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22.4.0 -->
  <w:body>
    <w:p w:rsidR="00A77B3E">
      <w:pPr>
        <w:spacing w:line="240" w:lineRule="auto"/>
        <w:ind w:left="0"/>
        <w:jc w:val="center"/>
        <w:rPr>
          <w:rFonts w:ascii="Times New Roman" w:eastAsia="Times New Roman" w:hAnsi="Times New Roman" w:cs="Times New Roman"/>
          <w:b/>
          <w:caps/>
          <w:sz w:val="24"/>
        </w:rPr>
      </w:pPr>
      <w:r>
        <w:rPr>
          <w:rFonts w:ascii="Times New Roman" w:eastAsia="Times New Roman" w:hAnsi="Times New Roman" w:cs="Times New Roman"/>
          <w:b/>
          <w:caps/>
          <w:sz w:val="24"/>
        </w:rPr>
        <w:t>Zarządzenie</w:t>
      </w:r>
      <w:r>
        <w:rPr>
          <w:rFonts w:ascii="Times New Roman" w:eastAsia="Times New Roman" w:hAnsi="Times New Roman" w:cs="Times New Roman"/>
          <w:b/>
          <w:caps/>
          <w:sz w:val="24"/>
        </w:rPr>
        <w:br/>
      </w:r>
      <w:r>
        <w:rPr>
          <w:rFonts w:ascii="Times New Roman" w:eastAsia="Times New Roman" w:hAnsi="Times New Roman" w:cs="Times New Roman"/>
          <w:b/>
          <w:caps/>
          <w:sz w:val="24"/>
        </w:rPr>
        <w:t>Regionalnego Dyrektora Ochrony Środowiska w Bydgoszczy</w:t>
      </w:r>
    </w:p>
    <w:p w:rsidR="00A77B3E">
      <w:pPr>
        <w:spacing w:before="280" w:after="280" w:line="240" w:lineRule="auto"/>
        <w:ind w:left="0"/>
        <w:jc w:val="center"/>
        <w:rPr>
          <w:rFonts w:ascii="Times New Roman" w:eastAsia="Times New Roman" w:hAnsi="Times New Roman" w:cs="Times New Roman"/>
          <w:b/>
          <w:caps/>
          <w:sz w:val="24"/>
        </w:rPr>
      </w:pPr>
      <w:r>
        <w:rPr>
          <w:rFonts w:ascii="Times New Roman" w:eastAsia="Times New Roman" w:hAnsi="Times New Roman" w:cs="Times New Roman"/>
          <w:b w:val="0"/>
          <w:caps w:val="0"/>
          <w:sz w:val="24"/>
        </w:rPr>
        <w:t>z dnia 19 maja 2025 r.</w:t>
      </w:r>
    </w:p>
    <w:p w:rsidR="00A77B3E">
      <w:pPr>
        <w:spacing w:before="280" w:after="280" w:line="240" w:lineRule="auto"/>
        <w:ind w:left="0"/>
        <w:jc w:val="center"/>
        <w:rPr>
          <w:rFonts w:ascii="Times New Roman" w:eastAsia="Times New Roman" w:hAnsi="Times New Roman" w:cs="Times New Roman"/>
          <w:b w:val="0"/>
          <w:caps w:val="0"/>
          <w:sz w:val="22"/>
        </w:rPr>
      </w:pPr>
    </w:p>
    <w:p w:rsidR="00A77B3E">
      <w:pPr>
        <w:keepNext/>
        <w:spacing w:before="0" w:after="480" w:line="240" w:lineRule="auto"/>
        <w:ind w:left="0" w:right="0" w:firstLine="0"/>
        <w:jc w:val="center"/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</w:pPr>
      <w:r>
        <w:rPr>
          <w:rFonts w:ascii="Times New Roman" w:eastAsia="Times New Roman" w:hAnsi="Times New Roman" w:cs="Times New Roman"/>
          <w:b/>
          <w:caps w:val="0"/>
          <w:sz w:val="24"/>
        </w:rPr>
        <w:t>w sprawie uznania za rezerwat przyrody „Uroczysko Nasiegniewo im. dr Wiesława Cyzmana”</w:t>
      </w:r>
    </w:p>
    <w:p w:rsidR="00A77B3E">
      <w:pPr>
        <w:keepNext w:val="0"/>
        <w:keepLines/>
        <w:spacing w:before="120" w:after="120" w:line="240" w:lineRule="auto"/>
        <w:ind w:left="0" w:right="0" w:firstLine="227"/>
        <w:jc w:val="both"/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</w:pPr>
      <w:r>
        <w:rPr>
          <w:rFonts w:ascii="Times New Roman" w:eastAsia="Times New Roman" w:hAnsi="Times New Roman" w:cs="Times New Roman"/>
          <w:b w:val="0"/>
          <w:caps w:val="0"/>
          <w:strike w:val="0"/>
          <w:color w:val="auto"/>
          <w:sz w:val="24"/>
          <w:u w:val="none"/>
        </w:rPr>
        <w:t>Na podstawie art. 13 ust. 3 ustawy z dnia 16 kwietnia 2004 roku o ochronie przyrody (Dz. U. z 2024 r. poz. 1478 oraz 1940) zarządza się, co następuje: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sz w:val="24"/>
        </w:rPr>
        <w:t>§ 1. </w:t>
      </w:r>
      <w:r>
        <w:rPr>
          <w:rFonts w:ascii="Times New Roman" w:eastAsia="Times New Roman" w:hAnsi="Times New Roman" w:cs="Times New Roman"/>
          <w:sz w:val="24"/>
        </w:rPr>
        <w:t>1. 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auto"/>
          <w:sz w:val="24"/>
          <w:u w:val="none"/>
          <w:vertAlign w:val="baseline"/>
        </w:rPr>
        <w:t xml:space="preserve">Uznaje się za rezerwat przyrody pod nazwą „Uroczysko Nasiegniewo im. dr Wiesława Cyzmana”, zwany dalej „rezerwatem”, obszar o powierzchni 38,91 ha, położony na terenie gminy Fabianki, w powiecie włocławskim, w województwie kujawsko-pomorskim. 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2. 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Na obszarach graniczących z rezerwatem wyznacza się otulinę o powierzchni 63,03 ha, położoną na terenie gminy Fabianki, w powiecie włocławskim, w województwie  kujawsko-pomorskim.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3. 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Położenie i przebieg granicy rezerwatu oraz jego otuliny w postaci mapy są określone w załączniku nr 1 do zarządzenia.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4. 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Położenie i przebieg granicy rezerwatu w postaci wykazu współrzędnych punktów załamania granicy są określone w załączniku nr 2 do zarządzenia.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5. 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Położenie i przebieg granicy otuliny rezerwatu w postaci wykazu współrzędnych punktów załamania granicy są określone w załączniku nr 3 do zarządzenia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sz w:val="24"/>
        </w:rPr>
        <w:t>§ 2.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Celem ochrony rezerwatu jest zachowanie cennych zbiorowisk leśnych - grądów i łęgów wraz z rzadkimi i chronionymi gatunkami roślin.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sz w:val="24"/>
        </w:rPr>
        <w:t>§ 3. </w:t>
      </w:r>
      <w:r>
        <w:rPr>
          <w:rFonts w:ascii="Times New Roman" w:eastAsia="Times New Roman" w:hAnsi="Times New Roman" w:cs="Times New Roman"/>
          <w:sz w:val="24"/>
        </w:rPr>
        <w:t>1. 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Dla rezerwatu określa się rodzaj - Leśny (L)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2. 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Dla rezerwatu określa się typ i podtyp:</w:t>
      </w:r>
    </w:p>
    <w:p w:rsidR="00A77B3E">
      <w:pPr>
        <w:keepNext w:val="0"/>
        <w:keepLines w:val="0"/>
        <w:spacing w:before="120" w:after="120" w:line="240" w:lineRule="auto"/>
        <w:ind w:left="340" w:right="0" w:hanging="227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1)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ze względu na dominujący przedmiot ochrony: typ - Fitocenotyczny (PFi), podtyp - zbiorowisk leśnych (zl);</w:t>
      </w:r>
    </w:p>
    <w:p w:rsidR="00A77B3E">
      <w:pPr>
        <w:keepNext w:val="0"/>
        <w:keepLines w:val="0"/>
        <w:spacing w:before="120" w:after="120" w:line="240" w:lineRule="auto"/>
        <w:ind w:left="340" w:right="0" w:hanging="227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sz w:val="24"/>
        </w:rPr>
        <w:t>2)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ze względu na główny typ ekosystemu: typ – Leśny i borowy (EL), podtyp – lasów nizinnych (lni).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sz w:val="24"/>
        </w:rPr>
        <w:t>§ 4.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Nadzór nad rezerwatem sprawuje Regionalny Dyrektor Ochrony Środowiska w Bydgoszczy.</w:t>
      </w:r>
    </w:p>
    <w:p w:rsidR="00A77B3E">
      <w:pPr>
        <w:keepNext w:val="0"/>
        <w:keepLines/>
        <w:spacing w:before="120" w:after="120" w:line="240" w:lineRule="auto"/>
        <w:ind w:left="0" w:right="0" w:firstLine="340"/>
        <w:jc w:val="both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sz w:val="24"/>
        </w:rPr>
        <w:t>§ 5.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t>Zarządzenie wchodzi w życie po upływie 14 dni od dnia ogłoszenia.</w:t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drawing>
          <wp:inline>
            <wp:extent cx="2670440" cy="1054608"/>
            <wp:docPr id="100001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 r:link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70440" cy="105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sectPr>
          <w:footerReference w:type="default" r:id="rId7"/>
          <w:endnotePr>
            <w:numFmt w:val="decimal"/>
          </w:endnotePr>
          <w:pgSz w:w="11906" w:h="16838"/>
          <w:pgMar w:top="992" w:right="1020" w:bottom="992" w:left="1020" w:header="708" w:footer="708" w:gutter="0"/>
          <w:cols w:space="708"/>
          <w:docGrid w:linePitch="360"/>
        </w:sectPr>
      </w:pPr>
    </w:p>
    <w:p w:rsidR="00A77B3E">
      <w:pPr>
        <w:keepNext/>
        <w:spacing w:before="120" w:after="120" w:line="360" w:lineRule="auto"/>
        <w:ind w:left="3634" w:right="0" w:firstLine="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fldChar w:fldCharType="begin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fldChar w:fldCharType="separate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4"/>
          <w:u w:val="none" w:color="000000"/>
          <w:vertAlign w:val="baseline"/>
        </w:rPr>
        <w:fldChar w:fldCharType="end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Załącznik Nr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1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do zarządzenia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Regionalnego Dyrektora Ochrony Środowiska w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Bydgoszczy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 dnia 19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maja 2025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r.</w:t>
      </w:r>
    </w:p>
    <w:p w:rsidR="00A77B3E">
      <w:pPr>
        <w:keepNext/>
        <w:spacing w:before="0" w:after="480" w:line="240" w:lineRule="auto"/>
        <w:ind w:left="0" w:right="0" w:firstLine="0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Położenie i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przebieg granicy rezerwatu i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jego otuliny w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postaci mapy</w:t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6088" cy="7715121"/>
            <wp:docPr id="100003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" r:link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66088" cy="7715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6088" cy="7715121"/>
            <wp:docPr id="100005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" r:link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66088" cy="7715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6088" cy="7715121"/>
            <wp:docPr id="100007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2" r:link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66088" cy="7715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6088" cy="7715121"/>
            <wp:docPr id="100009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4" r:link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66088" cy="7715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6088" cy="7715121"/>
            <wp:docPr id="100011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6" r:link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66088" cy="7715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6088" cy="7715121"/>
            <wp:docPr id="100013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8" r:link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66088" cy="7715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6088" cy="7715121"/>
            <wp:docPr id="100015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0" r:link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66088" cy="7715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66088" cy="7715121"/>
            <wp:docPr id="100017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7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2" r:link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66088" cy="7715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6279989" cy="7732237"/>
            <wp:docPr id="100019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19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24" r:link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79989" cy="7732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8" w:type="dxa"/>
          <w:right w:w="108" w:type="dxa"/>
        </w:tblCellMar>
      </w:tblPr>
      <w:tblGrid>
        <w:gridCol w:w="5041"/>
        <w:gridCol w:w="5041"/>
      </w:tblGrid>
      <w:tr>
        <w:tblPrEx>
          <w:tblW w:w="5000" w:type="pc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CellMar>
            <w:left w:w="108" w:type="dxa"/>
            <w:right w:w="108" w:type="dxa"/>
          </w:tblCellMar>
        </w:tblPrEx>
        <w:trPr>
          <w:trHeight w:val="105"/>
        </w:trPr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noWrap w:val="0"/>
            <w:tcMar>
              <w:top w:w="100" w:type="dxa"/>
            </w:tcMar>
            <w:textDirection w:val="lrTb"/>
            <w:vAlign w:val="top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</w:p>
        </w:tc>
        <w:tc>
          <w:tcPr>
            <w:tcW w:w="5040" w:type="dxa"/>
            <w:tcBorders>
              <w:top w:val="nil"/>
              <w:left w:val="nil"/>
              <w:bottom w:val="nil"/>
              <w:right w:val="nil"/>
            </w:tcBorders>
            <w:noWrap w:val="0"/>
            <w:tcMar>
              <w:top w:w="100" w:type="dxa"/>
            </w:tcMar>
            <w:textDirection w:val="lrTb"/>
            <w:vAlign w:val="top"/>
          </w:tcPr>
          <w:p w:rsidR="00A77B3E">
            <w:pPr>
              <w:spacing w:before="0" w:after="0"/>
              <w:jc w:val="center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</w:p>
        </w:tc>
      </w:tr>
    </w:tbl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2670440" cy="1054608"/>
            <wp:docPr id="100021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1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 r:link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70440" cy="105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sectPr>
          <w:footerReference w:type="default" r:id="rId27"/>
          <w:endnotePr>
            <w:numFmt w:val="decimal"/>
          </w:endnotePr>
          <w:type w:val="nextPage"/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</w:p>
    <w:p w:rsidR="00A77B3E">
      <w:pPr>
        <w:keepNext/>
        <w:spacing w:before="120" w:after="120" w:line="360" w:lineRule="auto"/>
        <w:ind w:left="3634" w:right="0" w:firstLine="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begin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separate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end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Załącznik Nr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2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do zarządzenia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Regionalnego Dyrektora Ochrony Środowiska w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Bydgoszczy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 dnia 19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maja 2025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r.</w:t>
      </w:r>
    </w:p>
    <w:p w:rsidR="00A77B3E">
      <w:pPr>
        <w:keepNext/>
        <w:spacing w:before="0" w:after="480" w:line="240" w:lineRule="auto"/>
        <w:ind w:left="0" w:right="0" w:firstLine="0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Położenie i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przebieg granicy rezerwatu w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postaci wykazu współrzędnych punktów załamania granicy w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układzie współrzędnych płaskich prostokątnych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PL-1992</w:t>
      </w:r>
      <w:r>
        <w:rPr>
          <w:rStyle w:val="FootnoteReference"/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0"/>
          <w:u w:val="none" w:color="000000"/>
          <w:vertAlign w:val="superscript"/>
        </w:rPr>
        <w:footnoteReference w:customMarkFollows="1" w:id="2"/>
        <w:t xml:space="preserve">1)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8" w:type="dxa"/>
          <w:right w:w="108" w:type="dxa"/>
        </w:tblCellMar>
      </w:tblPr>
      <w:tblGrid>
        <w:gridCol w:w="2509"/>
        <w:gridCol w:w="2509"/>
        <w:gridCol w:w="2532"/>
        <w:gridCol w:w="2532"/>
      </w:tblGrid>
      <w:tr>
        <w:tblPrEx>
          <w:tblW w:w="5000" w:type="pc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Część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Nr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X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Y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534927,14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512309,09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535082,38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512340,95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535212,65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512339,32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535266,69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512315,25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535307,80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512296,94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535309,14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512296,34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535311,72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512295,19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535335,70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512284,51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535325,82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512270,56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535310,13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512248,40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535401,91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512297,17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535426,97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512315,64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535436,66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512343,73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535460,51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512381,39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535456,08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512385,57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535451,27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512399,06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535455,62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512409,63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535453,42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512420,95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535441,15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512424,03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535439,62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512430,73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535415,46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512437,78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535412,97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512452,51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535406,19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512459,58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535398,39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512466,33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535385,76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512465,03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535383,93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512456,67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535367,29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512451,23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535345,27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512467,56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535334,31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512466,29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535330,33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512486,32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535319,03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512486,09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535318,55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512479,39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535314,65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512479,33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535310,66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512479,28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535308,01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512479,24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535302,97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512489,21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535291,30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512494,46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535282,10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512501,78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535277,48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512507,52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535282,58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512515,95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535279,38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512519,47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535266,34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512517,55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535244,87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512488,03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535229,55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512503,96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535224,89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512516,92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535204,33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512513,08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535203,32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512517,44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535191,46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512518,67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535190,63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512524,59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535196,82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512531,90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535190,45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512536,03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535187,48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512544,20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535178,06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512543,94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535178,70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512523,07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535155,91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512508,53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535145,70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512525,64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535147,08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512532,78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535152,39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512534,11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535152,15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512542,81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535146,09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512547,00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535129,77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512555,75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535122,98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512566,35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535122,91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512580,32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535128,68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512584,34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535126,60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512592,80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535110,24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512597,73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535102,09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512596,90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535091,92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512601,53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535081,95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512615,30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535087,13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512634,85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535096,76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512625,31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535099,81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512630,46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535100,00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512637,59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535094,40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512648,72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535097,67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512654,02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535093,18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512660,59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535076,60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512660,57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535074,72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512677,55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535071,29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512685,85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535071,58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512691,72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535060,43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512699,22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535050,51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512708,61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535040,21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512707,51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535038,47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512697,72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535034,57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512693,59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535023,11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512696,69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535006,40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512714,81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534983,81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512722,74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534973,22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512731,95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534959,05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512736,32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534949,60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512747,13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534923,09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512756,95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534922,08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512771,79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534919,08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512775,51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534911,27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512773,05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534906,73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512775,82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534902,18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512773,54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534901,17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512767,12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534894,51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512766,56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534892,29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512771,26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534884,15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512775,12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534882,52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512788,38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534874,40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512789,04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534866,75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512786,30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534868,89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512778,71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534864,23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512764,31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534847,52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512769,27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534832,42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512769,52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534823,03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512765,17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534820,44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512754,02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534808,30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512741,64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534799,53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512741,24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534794,14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512729,51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534780,64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512725,70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534768,74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512723,44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534755,73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512728,51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534744,83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512725,08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534740,69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512734,63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534734,72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512733,05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534724,44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512738,71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534706,57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512737,25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534700,32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512745,55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534697,51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512753,05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534680,21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512738,37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534681,36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512713,87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534659,89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512699,60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534650,15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512686,54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534646,85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512690,09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534623,67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512684,39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534621,97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512694,75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534602,33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512689,97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534598,61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512679,38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534584,78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512695,35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534588,57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512706,23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534595,77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512706,12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534597,72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512714,29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534587,83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512732,90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534577,71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512735,74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534574,39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512745,69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534557,03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512773,82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534557,77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512783,67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534548,89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512793,96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534540,51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512788,45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534534,35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512776,98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534518,07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512771,33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534505,59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512773,88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534494,90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512778,71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534467,62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512770,38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534456,66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512770,80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534440,23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512695,00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534421,56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512608,93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534418,52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512594,87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534405,09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512532,94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534411,82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512541,04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534434,45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512567,51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534438,64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512568,25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534448,51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512570,01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534463,96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512572,75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534489,92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512561,05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534637,35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512405,14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534660,97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512380,16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534771,40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512277,13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534801,88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512283,38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534804,97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512284,02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534825,55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512288,24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534927,14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512309,09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534037,92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511836,38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534038,21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511825,97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534036,49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511812,68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534019,31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511795,98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534014,29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511782,79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534052,34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511778,77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534055,26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511778,59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534065,02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511777,85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534107,59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511774,64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534104,17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511779,17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534114,28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511808,72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534116,23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511827,38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534189,64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511833,67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534201,81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511964,28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534211,47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511985,14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534270,80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511989,74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534258,24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512047,79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534246,43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512102,39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534249,02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512116,95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534273,02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512239,39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534279,96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512242,88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534287,02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512246,44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534242,88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512274,42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534232,23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512262,83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534164,40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512303,16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534162,66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512299,84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534157,28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512291,68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534149,76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512280,26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534144,18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512259,38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534137,74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512259,48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534133,31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512267,49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534111,89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512272,49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534100,63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512244,45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534093,15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512231,36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534089,71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512224,27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534091,06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512206,10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534087,08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512197,86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534069,85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512192,90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534066,15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512175,16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534055,48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512166,18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534057,38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512158,11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534066,87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512159,21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534069,93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512150,90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534066,68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512135,96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534062,16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512127,44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534064,44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512122,05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534081,27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512109,76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534060,76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512097,15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534062,38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512089,08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534075,45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512082,71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534078,85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512071,05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534070,94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512063,27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534073,05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512048,20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534080,06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512038,95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534073,06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512031,38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534066,90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512027,90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534057,95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512032,43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534046,06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512032,71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534044,69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512028,64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534051,78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512020,86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534053,29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512010,73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534044,54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511994,55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534032,56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511984,54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534025,12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511965,82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534015,99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511958,83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534017,88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511952,87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534034,72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511937,78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534047,44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511916,81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534045,37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511902,65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534036,70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511897,51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71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534019,66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511897,52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534015,33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511894,71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73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534013,79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511879,58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534009,19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511874,32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534012,84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511865,22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76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534016,47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511853,79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77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534028,95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511845,56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255"/>
        </w:trPr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5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78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534037,92</w:t>
            </w:r>
          </w:p>
        </w:tc>
        <w:tc>
          <w:tcPr>
            <w:tcW w:w="159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511836,38</w:t>
            </w:r>
          </w:p>
        </w:tc>
      </w:tr>
    </w:tbl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2670440" cy="1054608"/>
            <wp:docPr id="100023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3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 r:link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70440" cy="105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sectPr>
          <w:footerReference w:type="default" r:id="rId29"/>
          <w:endnotePr>
            <w:numFmt w:val="decimal"/>
          </w:endnotePr>
          <w:type w:val="nextPage"/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</w:p>
    <w:p w:rsidR="00A77B3E">
      <w:pPr>
        <w:keepNext/>
        <w:spacing w:before="120" w:after="120" w:line="360" w:lineRule="auto"/>
        <w:ind w:left="3634" w:right="0" w:firstLine="0"/>
        <w:jc w:val="lef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begin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separate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fldChar w:fldCharType="end"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Załącznik Nr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3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do zarządzenia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Regionalnego Dyrektora Ochrony Środowiska w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Bydgoszczy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z dnia 19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maja 2025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t>r.</w:t>
      </w:r>
    </w:p>
    <w:p w:rsidR="00A77B3E">
      <w:pPr>
        <w:keepNext/>
        <w:spacing w:before="0" w:after="480" w:line="240" w:lineRule="auto"/>
        <w:ind w:left="0" w:right="0" w:firstLine="0"/>
        <w:jc w:val="center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Położenie i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przebieg granicy otuliny rezerwatu w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postaci wykazu współrzędnych punktów załamania granicy w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 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układzie współrzędnych płaskich prostokątnych</w:t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br/>
      </w:r>
      <w:r>
        <w:rPr>
          <w:rFonts w:ascii="Times New Roman" w:eastAsia="Times New Roman" w:hAnsi="Times New Roman" w:cs="Times New Roman"/>
          <w:b/>
          <w:i w:val="0"/>
          <w:caps w:val="0"/>
          <w:strike w:val="0"/>
          <w:color w:val="000000"/>
          <w:sz w:val="22"/>
          <w:u w:val="none" w:color="000000"/>
          <w:vertAlign w:val="baseline"/>
        </w:rPr>
        <w:t>PL-1992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8" w:type="dxa"/>
          <w:right w:w="108" w:type="dxa"/>
        </w:tblCellMar>
      </w:tblPr>
      <w:tblGrid>
        <w:gridCol w:w="1224"/>
        <w:gridCol w:w="2766"/>
        <w:gridCol w:w="2766"/>
        <w:gridCol w:w="3326"/>
      </w:tblGrid>
      <w:tr>
        <w:tblPrEx>
          <w:tblW w:w="5000" w:type="pct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CellMar>
            <w:left w:w="108" w:type="dxa"/>
            <w:right w:w="108" w:type="dxa"/>
          </w:tblCellMar>
        </w:tblPrEx>
        <w:trPr>
          <w:trHeight w:val="52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Nr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X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Y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lef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b/>
                <w:sz w:val="22"/>
              </w:rPr>
              <w:t>Komentarz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535178,39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512816,08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534851,20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512855,11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534815,26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512860,45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534771,31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512870,67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534771,23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512870,76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534767,94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512874,58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534734,29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512913,61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534725,86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512910,13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534709,90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512909,41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534693,92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512913,42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534644,95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512935,23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534614,73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512940,31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534602,99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512883,05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534596,09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512881,49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534576,86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512877,31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534543,70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512871,18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534534,23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512866,44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534527,82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512853,62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534513,33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512845,26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534491,87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512846,10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534471,53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512846,38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534467,91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512842,20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534463,68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512839,76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534460,66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512838,02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534441,71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512838,30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534409,11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512840,80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534372,88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512839,41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534360,34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512837,74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534339,44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512834,40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534338,66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512834,01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534325,84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512702,79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534335,92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512679,46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534330,08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512674,35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534329,45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512665,45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534326,56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512664,95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534322,25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512667,55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534317,55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512672,82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534314,63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512674,09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534306,35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512670,13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534299,72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512668,83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534293,99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512669,50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534283,21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512677,07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534278,58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512679,81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534272,96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512679,88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534268,20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512676,30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534266,47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512672,36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534268,03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512654,05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534267,25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512643,20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534264,10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512634,36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534256,32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512628,09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534242,70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512619,10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534239,25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512605,32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534226,97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512594,44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534222,93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512588,30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534221,36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512582,12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534222,59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512571,04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534222,77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512565,82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534212,71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512547,95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534207,78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512546,61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534194,86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512549,73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534188,53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512548,62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534184,30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512543,05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534183,38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512535,74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534185,19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512528,67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534196,31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512513,79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534200,46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512506,61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534199,48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512502,92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534192,43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512495,60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69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534175,43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512486,87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534171,19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512481,60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534171,42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512474,85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534173,53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512469,43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534183,62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512464,36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534183,43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512459,54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534173,61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512454,08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534159,80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512452,50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534151,26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512446,55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534146,52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512431,51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79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534129,14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512422,39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534124,11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512416,51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534123,10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512413,40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534123,05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512408,52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534127,53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512398,98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534125,33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512399,57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534113,78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512405,95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534061,11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512435,14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533995,64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512471,43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533990,05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512474,53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89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533983,18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512460,71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533953,08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512392,72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533965,48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512385,47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533942,95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512324,72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533943,26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512303,31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533943,22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512303,33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533943,26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512303,06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533944,37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512290,52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533946,32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512276,87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533949,81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512264,74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99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533956,63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512245,66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533961,37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512230,05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533960,95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512226,15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533961,23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512222,81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533968,62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512215,56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533973,63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512209,71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533975,03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512202,60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533973,63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512189,23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533970,15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512173,76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533962,77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512150,63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109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533957,61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512126,67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533956,91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512119,56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533957,03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512118,68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533957,33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512116,36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533954,13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512110,78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533946,74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512107,72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533938,94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512105,21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533929,47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512089,19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533926,68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512078,04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533923,89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512057,56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119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533921,11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512046,00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533913,44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512031,65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533905,36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512025,51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533894,21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512022,31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533891,57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512017,85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533889,48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512008,66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533889,20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511997,65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533890,31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511981,21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533888,08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511968,67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533886,32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511962,71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129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533885,44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511959,75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533888,36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511954,46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533896,44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511948,05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533902,85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511939,69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533901,46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511931,75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533896,58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511919,35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533893,80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511899,84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533886,27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511870,30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533884,48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511864,06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533876,80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511837,28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139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533874,99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511827,81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533868,02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511816,80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533848,38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511810,53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533847,17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511809,97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533943,34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511750,30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533977,43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511729,14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533990,58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511722,08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533994,13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511719,14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533998,34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511715,42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534010,45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511713,30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149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534016,90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511712,16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534031,66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511706,03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534032,50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511692,93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534037,15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511678,77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534040,74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511678,73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534048,66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511682,34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534105,79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511713,83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534125,16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511714,03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534129,11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511728,12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534198,18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511734,04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159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534289,21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511824,39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534290,71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511842,66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534290,91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511842,67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534297,73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511915,81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534359,32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511998,52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534368,54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512010,89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534348,39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512104,02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534371,15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512220,15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534373,46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512229,42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534493,17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512232,83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169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534643,04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512237,11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534795,12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512241,45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534806,41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512215,17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534882,26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512216,81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535002,03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512219,40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535000,90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512237,07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535040,68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512237,83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535040,91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512220,24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535218,08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512224,07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535287,04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512225,57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179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535282,40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512164,73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535310,08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512165,30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535310,06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512155,25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535351,66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512149,08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535466,92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512152,97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535561,24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512152,49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535575,52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512152,18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535570,75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512199,53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535568,95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512217,41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535568,83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512219,26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189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535571,16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512219,55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535570,81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512221,34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535568,71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512221,06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535568,59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512223,00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535562,84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512222,49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535560,70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512226,23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535557,99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512228,17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535553,47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512231,29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535548,57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512236,52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535543,59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512235,84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199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535524,22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512245,30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535500,69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512425,88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535458,51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512468,52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535457,41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512655,54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535374,25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512668,79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535312,52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512678,30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535320,33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512796,60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535207,62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512810,72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535202,06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512758,57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535172,50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512762,18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209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535178,39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512816,08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Otulina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534927,14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512309,09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535082,38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512340,95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535212,65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512339,32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535266,69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512315,25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535307,80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512296,94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535309,14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512296,34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535311,72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512295,19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535335,70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512284,51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535325,82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512270,56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219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535310,13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512248,40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535401,91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512297,17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535426,97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512315,64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535436,66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512343,73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535460,51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512381,39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535456,08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512385,57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535451,27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512399,06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535455,62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512409,63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535453,42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512420,95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535441,15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512424,03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229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535439,62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512430,73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535415,46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512437,78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535412,97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512452,51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535406,19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512459,58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535398,39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512466,33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535385,76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512465,03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535383,93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512456,67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535367,29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512451,23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535345,27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512467,56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535334,31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512466,29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239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535330,33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512486,32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535319,03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512486,09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535318,55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512479,39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535314,65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512479,33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535310,66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512479,28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535308,01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512479,24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535302,97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512489,21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535291,30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512494,46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535282,10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512501,78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535277,48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512507,52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249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535282,58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512515,95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535279,38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512519,47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535266,34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512517,55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535244,87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512488,03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535229,55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512503,96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535224,89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512516,92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535204,33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512513,08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535203,32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512517,44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535191,46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512518,67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535190,63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512524,59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259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535196,82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512531,90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535190,45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512536,03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535187,48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512544,20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535178,06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512543,94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535178,70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512523,07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535155,91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512508,53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535145,70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512525,64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535147,08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512532,78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535152,39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512534,11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535152,15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512542,81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269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535146,09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512547,00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535129,77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512555,75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535122,98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512566,35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535122,91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512580,32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535128,68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512584,34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535126,60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512592,80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535110,24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512597,73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535102,09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512596,90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535091,92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512601,53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535081,95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512615,30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279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535087,13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512634,85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535096,76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512625,31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535099,81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512630,46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535100,00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512637,59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535094,40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512648,72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535097,67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512654,02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535093,18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512660,59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535076,60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512660,57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535074,72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512677,55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535071,29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512685,85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289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535071,58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512691,72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535060,43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512699,22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535050,51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512708,61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535040,21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512707,51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535038,47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512697,72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535034,57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512693,59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535023,11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512696,69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535006,40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512714,81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534983,81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512722,74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534973,22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512731,95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299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534959,05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512736,32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534949,60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512747,13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534923,09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512756,95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534922,08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512771,79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534919,08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512775,51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534911,27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512773,05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534906,73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512775,82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534902,18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512773,54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534901,17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512767,12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534894,51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512766,56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309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534892,29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512771,26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534884,15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512775,12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534882,52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512788,38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534874,40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512789,04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534866,75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512786,30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534868,89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512778,71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534864,23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512764,31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534847,52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512769,27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534832,42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512769,52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534823,03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512765,17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319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534820,44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512754,02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534808,30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512741,64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534799,53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512741,24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534794,14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512729,51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534780,64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512725,70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534768,74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512723,44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534755,73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512728,51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534744,83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512725,08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534740,69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512734,63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534734,72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512733,05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329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534724,44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512738,71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534706,57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512737,25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534700,32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512745,55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534697,51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512753,05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534680,21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512738,37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534681,36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512713,87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534659,89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512699,60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534650,15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512686,54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534646,85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512690,09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534623,67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512684,39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339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534621,97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512694,75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534602,33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512689,97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534598,61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512679,38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534584,78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512695,35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534588,57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512706,23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534595,77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512706,12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534597,72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512714,29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534587,83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512732,90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534577,71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512735,74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534574,39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512745,69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349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534557,03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512773,82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534557,77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512783,67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534548,89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512793,96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534540,51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512788,45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534534,35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512776,98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534518,07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512771,33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534505,59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512773,88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534494,90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512778,71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534467,62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512770,38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534456,66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512770,80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359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534440,23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512695,00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534421,56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512608,93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534418,52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512594,87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534405,09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512532,94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534411,82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512541,04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534434,45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512567,51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534438,64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512568,25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534448,51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512570,01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534463,96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512572,75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534489,92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512561,05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369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534637,35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512405,14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534660,97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512380,16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534771,40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512277,13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534801,88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512283,38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534804,97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512284,02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534825,55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512288,24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534927,14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512309,09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1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534037,92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511836,38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534038,21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511825,97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534036,49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511812,68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379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534019,31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511795,98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534014,29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511782,79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534052,34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511778,77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534055,26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511778,59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534065,02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511777,85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534107,59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511774,64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534104,17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511779,17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534114,28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511808,72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534116,23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511827,38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534189,64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511833,67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389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534201,81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511964,28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534211,47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511985,14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534270,80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511989,74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534258,24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512047,79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534246,43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512102,39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534249,02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512116,95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534273,02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512239,39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534279,96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512242,88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534287,02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512246,44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534242,88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512274,42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399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534232,23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512262,83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534164,40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512303,16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534162,66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512299,84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534157,28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512291,68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534149,76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512280,26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534144,18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512259,38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534137,74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512259,48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534133,31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512267,49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534111,89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512272,49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534100,63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512244,45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409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534093,15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512231,36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534089,71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512224,27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534091,06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512206,10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534087,08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512197,86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534069,85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512192,90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534066,15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512175,16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534055,48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512166,18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534057,38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512158,11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534066,87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512159,21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534069,93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512150,90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419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534066,68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512135,96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534062,16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512127,44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534064,44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512122,05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534081,27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512109,76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534060,76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512097,15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534062,38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512089,08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534075,45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512082,71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534078,85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512071,05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534070,94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512063,27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534073,05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512048,20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429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534080,06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512038,95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534073,06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512031,38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534066,90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512027,90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534057,95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512032,43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534046,06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512032,71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534044,69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512028,64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534051,78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512020,86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534053,29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512010,73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534044,54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511994,55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534032,56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511984,54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439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534025,12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511965,82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534015,99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511958,83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534017,88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511952,87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534034,72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511937,78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534047,44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511916,81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534045,37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511902,65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534036,70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511897,51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534019,66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511897,52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534015,33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511894,71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448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534013,79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511879,58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449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534009,19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511874,32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450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534012,84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511865,22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451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534016,47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511853,79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534028,95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511845,56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  <w:tr>
        <w:tblPrEx>
          <w:tblW w:w="5000" w:type="pct"/>
          <w:tblLayout w:type="fixed"/>
          <w:tblCellMar>
            <w:left w:w="108" w:type="dxa"/>
            <w:right w:w="108" w:type="dxa"/>
          </w:tblCellMar>
        </w:tblPrEx>
        <w:trPr>
          <w:trHeight w:val="315"/>
        </w:trPr>
        <w:tc>
          <w:tcPr>
            <w:tcW w:w="5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453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534037,92</w:t>
            </w:r>
          </w:p>
        </w:tc>
        <w:tc>
          <w:tcPr>
            <w:tcW w:w="11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center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511836,38</w:t>
            </w:r>
          </w:p>
        </w:tc>
        <w:tc>
          <w:tcPr>
            <w:tcW w:w="14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noWrap w:val="0"/>
            <w:tcMar>
              <w:top w:w="100" w:type="dxa"/>
            </w:tcMar>
            <w:textDirection w:val="lrTb"/>
            <w:vAlign w:val="bottom"/>
          </w:tcPr>
          <w:p w:rsidR="00A77B3E">
            <w:pPr>
              <w:spacing w:before="0" w:after="0"/>
              <w:jc w:val="right"/>
              <w:rPr>
                <w:rFonts w:ascii="Times New Roman" w:eastAsia="Times New Roman" w:hAnsi="Times New Roman" w:cs="Times New Roman"/>
                <w:b w:val="0"/>
                <w:i w:val="0"/>
                <w:caps w:val="0"/>
                <w:strike w:val="0"/>
                <w:color w:val="000000"/>
                <w:sz w:val="22"/>
                <w:u w:val="none" w:color="000000"/>
                <w:vertAlign w:val="baseline"/>
              </w:rPr>
            </w:pPr>
            <w:r>
              <w:rPr>
                <w:sz w:val="22"/>
              </w:rPr>
              <w:t>Wyłączenie 2</w:t>
            </w:r>
          </w:p>
        </w:tc>
      </w:tr>
    </w:tbl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</w:pPr>
      <w:r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drawing>
          <wp:inline>
            <wp:extent cx="2670440" cy="1054608"/>
            <wp:docPr id="100025" name="" descr="Obraz w treści dokument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25" name="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5" r:link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70440" cy="105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>
      <w:pPr>
        <w:keepNext w:val="0"/>
        <w:keepLines w:val="0"/>
        <w:spacing w:before="120" w:after="120" w:line="240" w:lineRule="auto"/>
        <w:ind w:left="283" w:right="0" w:firstLine="227"/>
        <w:jc w:val="right"/>
        <w:rPr>
          <w:rFonts w:ascii="Times New Roman" w:eastAsia="Times New Roman" w:hAnsi="Times New Roman" w:cs="Times New Roman"/>
          <w:b w:val="0"/>
          <w:i w:val="0"/>
          <w:caps w:val="0"/>
          <w:strike w:val="0"/>
          <w:color w:val="000000"/>
          <w:sz w:val="22"/>
          <w:u w:val="none" w:color="000000"/>
          <w:vertAlign w:val="baseline"/>
        </w:rPr>
        <w:sectPr>
          <w:footerReference w:type="default" r:id="rId31"/>
          <w:endnotePr>
            <w:numFmt w:val="decimal"/>
          </w:endnotePr>
          <w:type w:val="nextPage"/>
          <w:pgSz w:w="11906" w:h="16838"/>
          <w:pgMar w:top="992" w:right="1020" w:bottom="992" w:left="1020" w:header="708" w:footer="708" w:gutter="0"/>
          <w:pgNumType w:start="1"/>
          <w:cols w:space="708"/>
          <w:docGrid w:linePitch="360"/>
        </w:sectPr>
      </w:pP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contextualSpacing w:val="0"/>
        <w:jc w:val="left"/>
        <w:rPr>
          <w:color w:val="000000"/>
          <w:szCs w:val="20"/>
          <w:shd w:val="clear" w:color="auto" w:fill="FFFFFF"/>
          <w:lang w:val="x-none" w:eastAsia="en-US" w:bidi="ar-SA"/>
        </w:rPr>
      </w:pP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jc w:val="center"/>
        <w:rPr>
          <w:b/>
          <w:caps/>
          <w:color w:val="000000"/>
          <w:szCs w:val="20"/>
          <w:shd w:val="clear" w:color="auto" w:fill="FFFFFF"/>
          <w:lang w:val="x-none" w:eastAsia="en-US" w:bidi="ar-SA"/>
        </w:rPr>
      </w:pPr>
      <w:r>
        <w:rPr>
          <w:b/>
          <w:caps/>
          <w:color w:val="000000"/>
          <w:szCs w:val="20"/>
          <w:shd w:val="clear" w:color="auto" w:fill="FFFFFF"/>
          <w:lang w:val="x-none" w:eastAsia="en-US" w:bidi="ar-SA"/>
        </w:rPr>
        <w:t>u</w:t>
      </w:r>
      <w:r>
        <w:rPr>
          <w:b/>
          <w:caps/>
          <w:color w:val="000000"/>
          <w:szCs w:val="20"/>
          <w:shd w:val="clear" w:color="auto" w:fill="FFFFFF"/>
        </w:rPr>
        <w:t>ZASADNIENIE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jc w:val="center"/>
        <w:rPr>
          <w:b/>
          <w:caps/>
          <w:color w:val="000000"/>
          <w:szCs w:val="20"/>
          <w:shd w:val="clear" w:color="auto" w:fill="FFFFFF"/>
          <w:lang w:val="x-none" w:eastAsia="en-US" w:bidi="ar-SA"/>
        </w:rPr>
      </w:pP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08"/>
        <w:contextualSpacing w:val="0"/>
        <w:rPr>
          <w:color w:val="000000"/>
          <w:sz w:val="23"/>
          <w:szCs w:val="20"/>
          <w:shd w:val="clear" w:color="auto" w:fill="FFFFFF"/>
          <w:lang w:val="x-none" w:eastAsia="en-US" w:bidi="ar-SA"/>
        </w:rPr>
      </w:pP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>Na podstawie art. 13 ust. 3 ustawy z dnia 16 kwietnia 2004 roku o ochronie przyrody (Dz. U. z 2024 r. poz. 1478 ze zm.) uznanie za rezerwat przyrody następuje w drodze aktu prawa miejscowego w formie zarządzenia regionalnego dyrektora ochrony środowiska, które określa jego nazwę, położenie lub przebieg granicy i otulinę, jeżeli została wyznaczona, cele ochrony  oraz rodzaj, typ i podtyp rezerwatu przyrody, a także sprawującego nadzór nad rezerwatem.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08"/>
        <w:contextualSpacing w:val="0"/>
        <w:rPr>
          <w:color w:val="000000"/>
          <w:sz w:val="23"/>
          <w:szCs w:val="20"/>
          <w:shd w:val="clear" w:color="auto" w:fill="FFFFFF"/>
          <w:lang w:val="x-none" w:eastAsia="en-US" w:bidi="ar-SA"/>
        </w:rPr>
      </w:pP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>Rezerwat przyrody „Uroczysko Nasiegniewo im. dr Wiesława Cyzmana” o powierzchni 38,91 ha zlokalizowany jest na terenie gminy Fabianki, w powiecie włocławskim, w województwie kujawsko-pomorskim. W dniu 14 sierpnia 2024 r. do Regionalnej Dyrekcji  Ochrony Środowiska w Bydgoszczy wpłynął wniosek Nadleśnictwa Włocławek  o utworzenie powyższego rezerwatu przyrody.</w:t>
      </w:r>
      <w:r>
        <w:rPr>
          <w:color w:val="000000"/>
          <w:sz w:val="23"/>
          <w:szCs w:val="20"/>
          <w:shd w:val="clear" w:color="auto" w:fill="FFFFFF"/>
        </w:rPr>
        <w:t xml:space="preserve"> </w:t>
      </w: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Przedmiotowy obszar należy do rzadkich na tym terenie kompleksów leśnych, w których zachowały się w miarę naturalne zespoły lasów łęgowych i grądów zboczowych z klasy </w:t>
      </w:r>
      <w:r>
        <w:rPr>
          <w:i/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Querco-Fagetea. </w:t>
      </w: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>Na obszarach graniczących z rezerwatem wyznacza się otulinę o powierzchni 63,03 ha. Dane o proponowanym rezerwacie pochodzą m.in. z dokumentacji pn. "Ocena walorów przyrodniczych projektowanego rezerwatu na terenie uroczyska leśnego Nasiegniewo w dolinie Świętego Strumienia", wykonanego na zlecenie Wojewódzkiego Konserwatora Przyrody we Włocławku.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08"/>
        <w:contextualSpacing w:val="0"/>
        <w:rPr>
          <w:color w:val="000000"/>
          <w:sz w:val="23"/>
          <w:szCs w:val="20"/>
          <w:shd w:val="clear" w:color="auto" w:fill="FFFFFF"/>
          <w:lang w:val="x-none" w:eastAsia="en-US" w:bidi="ar-SA"/>
        </w:rPr>
      </w:pP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Proponowany do objęcia ochroną obszar stanowi kompleks leśny, położony na zróżnicowanym pod względem rzeźby terenie na wąskich terasach zalewowych występują łęgi wiązowo-jesionowe </w:t>
      </w:r>
      <w:r>
        <w:rPr>
          <w:i/>
          <w:color w:val="000000"/>
          <w:sz w:val="23"/>
          <w:szCs w:val="20"/>
          <w:shd w:val="clear" w:color="auto" w:fill="FFFFFF"/>
          <w:lang w:val="x-none" w:eastAsia="en-US" w:bidi="ar-SA"/>
        </w:rPr>
        <w:t>Ficario-Ulmetum</w:t>
      </w: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, natomiast w miejscach, gdzie terasy rozszerzają się rozwija się łęg olszowo-jesionowy </w:t>
      </w:r>
      <w:r>
        <w:rPr>
          <w:i/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Circaeo-Alnetum. </w:t>
      </w: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W pozostałej części występują lasy grądowe ze związku </w:t>
      </w:r>
      <w:r>
        <w:rPr>
          <w:i/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Carpinion betuli, </w:t>
      </w: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z czego największą powierzchnię zajmuje grąd subkontynentalny, który różnicuje się na trzy podzespoły - grąd niski czyśćcowy </w:t>
      </w:r>
      <w:r>
        <w:rPr>
          <w:i/>
          <w:color w:val="000000"/>
          <w:sz w:val="23"/>
          <w:szCs w:val="20"/>
          <w:shd w:val="clear" w:color="auto" w:fill="FFFFFF"/>
          <w:lang w:val="x-none" w:eastAsia="en-US" w:bidi="ar-SA"/>
        </w:rPr>
        <w:t>Tilio-Carpinetum stachyetosum</w:t>
      </w: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, grąd niski kokoryczowy </w:t>
      </w:r>
      <w:r>
        <w:rPr>
          <w:i/>
          <w:color w:val="000000"/>
          <w:sz w:val="23"/>
          <w:szCs w:val="20"/>
          <w:shd w:val="clear" w:color="auto" w:fill="FFFFFF"/>
          <w:lang w:val="x-none" w:eastAsia="en-US" w:bidi="ar-SA"/>
        </w:rPr>
        <w:t>Tilio-Carpinetum corydaletosum</w:t>
      </w: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 oraz grąd typowy </w:t>
      </w:r>
      <w:r>
        <w:rPr>
          <w:i/>
          <w:color w:val="000000"/>
          <w:sz w:val="23"/>
          <w:szCs w:val="20"/>
          <w:shd w:val="clear" w:color="auto" w:fill="FFFFFF"/>
          <w:lang w:val="x-none" w:eastAsia="en-US" w:bidi="ar-SA"/>
        </w:rPr>
        <w:t>Tilio-Carpinetum typicum</w:t>
      </w: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. Wyjątkową cechą uroczyska jest również duża powierzchnia, na której występuje las klonowo-lipowy </w:t>
      </w:r>
      <w:r>
        <w:rPr>
          <w:i/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Aceri -Tilietum.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08"/>
        <w:contextualSpacing w:val="0"/>
        <w:rPr>
          <w:color w:val="000000"/>
          <w:sz w:val="23"/>
          <w:szCs w:val="20"/>
          <w:shd w:val="clear" w:color="auto" w:fill="FFFFFF"/>
          <w:lang w:val="x-none" w:eastAsia="en-US" w:bidi="ar-SA"/>
        </w:rPr>
      </w:pP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>Na terenie projektowanego rezerwatu przyrody stwierdzono występowanie 554 gatunków flory naczyniowej, a wśród nich k</w:t>
      </w:r>
      <w:r>
        <w:rPr>
          <w:color w:val="000000"/>
          <w:sz w:val="23"/>
          <w:szCs w:val="20"/>
          <w:shd w:val="clear" w:color="auto" w:fill="FFFFFF"/>
        </w:rPr>
        <w:t>il</w:t>
      </w: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ka osobliwości regionalnych oraz kilkanaście rzadkich i chronionych w skali kraju, jak np. kukułka szerokolistna </w:t>
      </w:r>
      <w:r>
        <w:rPr>
          <w:i/>
          <w:color w:val="000000"/>
          <w:sz w:val="23"/>
          <w:szCs w:val="20"/>
          <w:shd w:val="clear" w:color="auto" w:fill="FFFFFF"/>
          <w:lang w:val="x-none" w:eastAsia="en-US" w:bidi="ar-SA"/>
        </w:rPr>
        <w:t>Dactylorhiza latifolia</w:t>
      </w: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, kruszczyk szerokolistny </w:t>
      </w:r>
      <w:r>
        <w:rPr>
          <w:i/>
          <w:color w:val="000000"/>
          <w:sz w:val="23"/>
          <w:szCs w:val="20"/>
          <w:shd w:val="clear" w:color="auto" w:fill="FFFFFF"/>
          <w:lang w:val="x-none" w:eastAsia="en-US" w:bidi="ar-SA"/>
        </w:rPr>
        <w:t>Epipactis helleborine</w:t>
      </w: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, kopytnik pospolity </w:t>
      </w:r>
      <w:r>
        <w:rPr>
          <w:i/>
          <w:color w:val="000000"/>
          <w:sz w:val="23"/>
          <w:szCs w:val="20"/>
          <w:shd w:val="clear" w:color="auto" w:fill="FFFFFF"/>
          <w:lang w:val="x-none" w:eastAsia="en-US" w:bidi="ar-SA"/>
        </w:rPr>
        <w:t>Asarum europaeum</w:t>
      </w: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, wawrzynek wilczełyko </w:t>
      </w:r>
      <w:r>
        <w:rPr>
          <w:i/>
          <w:color w:val="000000"/>
          <w:sz w:val="23"/>
          <w:szCs w:val="20"/>
          <w:shd w:val="clear" w:color="auto" w:fill="FFFFFF"/>
          <w:lang w:val="x-none" w:eastAsia="en-US" w:bidi="ar-SA"/>
        </w:rPr>
        <w:t>Daphne mezereum</w:t>
      </w: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>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08"/>
        <w:contextualSpacing w:val="0"/>
        <w:rPr>
          <w:color w:val="000000"/>
          <w:sz w:val="23"/>
          <w:szCs w:val="20"/>
          <w:shd w:val="clear" w:color="auto" w:fill="FFFFFF"/>
          <w:lang w:val="x-none" w:eastAsia="en-US" w:bidi="ar-SA"/>
        </w:rPr>
      </w:pP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>Z powyższych względów, warto zachować przedmiotowy teren dla przyszłych pokoleń, a ochrona w formie rezerwatu przyrody przedmiotowego terenu zapewni jego skuteczne zabezpieczenie.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08"/>
        <w:contextualSpacing w:val="0"/>
        <w:rPr>
          <w:color w:val="000000"/>
          <w:sz w:val="23"/>
          <w:szCs w:val="20"/>
          <w:shd w:val="clear" w:color="auto" w:fill="FFFFFF"/>
          <w:lang w:val="x-none" w:eastAsia="en-US" w:bidi="ar-SA"/>
        </w:rPr>
      </w:pP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Zgodnie z rozporządzeniem Ministra Środowiska z dnia 30 marca 2005 r. w sprawie rodzajów, typów i podtypów rezerwatów przyrody (Dz. U. z 2005 r., Nr 60, poz. 533) dla rezerwatu przyrody „Uroczysko Nasiegniewo im. dr Wiesława Cyzmana” określono rodzaj rezerwatu Leśny (L) oraz określono typ i podtyp: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rPr>
          <w:color w:val="000000"/>
          <w:sz w:val="23"/>
          <w:szCs w:val="20"/>
          <w:shd w:val="clear" w:color="auto" w:fill="FFFFFF"/>
          <w:lang w:val="x-none" w:eastAsia="en-US" w:bidi="ar-SA"/>
        </w:rPr>
      </w:pP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1) ze względu na dominujący przedmiot ochrony: typ - Fitocenotyczny (PFi), podtyp - zbiorowisk leśnych (zl);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rPr>
          <w:color w:val="000000"/>
          <w:sz w:val="23"/>
          <w:szCs w:val="20"/>
          <w:shd w:val="clear" w:color="auto" w:fill="FFFFFF"/>
          <w:lang w:val="x-none" w:eastAsia="en-US" w:bidi="ar-SA"/>
        </w:rPr>
      </w:pP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2) ze względu na główny typ ekosystemu: typ – Leśny i borowy (EL), podtyp – lasów nizinnych (lni).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08"/>
        <w:contextualSpacing w:val="0"/>
        <w:rPr>
          <w:color w:val="000000"/>
          <w:sz w:val="23"/>
          <w:szCs w:val="20"/>
          <w:shd w:val="clear" w:color="auto" w:fill="FFFFFF"/>
          <w:lang w:val="x-none" w:eastAsia="en-US" w:bidi="ar-SA"/>
        </w:rPr>
      </w:pP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>W niniejszym akcie prawnym, wykorzystując dane systemu informacji przestrzennej, wprowadzono załączniki w postaci mapy obszaru rezerwatu oraz wykaz współrzędnych punktów załamania granic rezerwatu, sporządzonych w układzie współrzędnych płaskich prostokątnych PL-1992, o których mowa w rozporządzeniu Rady Ministrów z dnia 15 października 2012 r. w sprawie państwowego systemu odniesień przestrzennych (Dz.U z 2024 r., poz. 342).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08"/>
        <w:contextualSpacing w:val="0"/>
        <w:rPr>
          <w:color w:val="000000"/>
          <w:sz w:val="23"/>
          <w:szCs w:val="20"/>
          <w:shd w:val="clear" w:color="auto" w:fill="FFFFFF"/>
          <w:lang w:val="x-none" w:eastAsia="en-US" w:bidi="ar-SA"/>
        </w:rPr>
      </w:pP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Rezerwat przyrody „Uroczysko Nasiegniewo im. dr Wiesława Cyzmana” położony jest na gruntach należących do Skarbu Państwa, zarządzanych przez Państwowe Gospodarstwo Leśne Lasy Państwowe Nadleśnictwo Włocławek.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08"/>
        <w:contextualSpacing w:val="0"/>
        <w:rPr>
          <w:color w:val="000000"/>
          <w:sz w:val="23"/>
          <w:szCs w:val="20"/>
          <w:shd w:val="clear" w:color="auto" w:fill="FFFFFF"/>
          <w:lang w:val="x-none" w:eastAsia="en-US" w:bidi="ar-SA"/>
        </w:rPr>
      </w:pP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>Państwowe Gospodarstwo Leśne Lasy Państwowe Nadleśnictwo Włocławek, wyraziło zgodę na utworzenie rezerwatu przyrody „Uroczysko Nasiegniewo im. dr Wiesława Cyzmana” i zaopiniowało projekt niniejszego zarządzenia pozytywnie pismem z dnia 28 stycznia 2025 r., znak ZG.7212.1.17.2024.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08"/>
        <w:contextualSpacing w:val="0"/>
        <w:rPr>
          <w:color w:val="000000"/>
          <w:sz w:val="23"/>
          <w:szCs w:val="20"/>
          <w:shd w:val="clear" w:color="auto" w:fill="FFFFFF"/>
          <w:lang w:val="x-none" w:eastAsia="en-US" w:bidi="ar-SA"/>
        </w:rPr>
      </w:pP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>Regionalna Dyrekcja Lasów Państwowych w Toruniu wyraziła zgodę na utworzenie rezerwatu przyrody „Uroczysko Nasiegniewo im. dr Wiesława Cyzmana” pismem z dnia 17 stycznia 2025 r., znak 1ZO.7212.2.2025.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08"/>
        <w:contextualSpacing w:val="0"/>
        <w:rPr>
          <w:color w:val="000000"/>
          <w:sz w:val="23"/>
          <w:szCs w:val="20"/>
          <w:shd w:val="clear" w:color="auto" w:fill="FFFFFF"/>
          <w:lang w:val="x-none" w:eastAsia="en-US" w:bidi="ar-SA"/>
        </w:rPr>
      </w:pP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>Nadzór nad rezerwatem powierzony został Regionalnemu Dyrektorowi Ochrony Środowiska w Bydgoszczy.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 w:val="23"/>
          <w:szCs w:val="20"/>
          <w:shd w:val="clear" w:color="auto" w:fill="FFFFFF"/>
        </w:rPr>
      </w:pP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Projekt zarządzenia został zaopiniowany pozytywnie przez Regionalną Radę Ochrony Przyrody w Bydgoszczy  uchwałą </w:t>
      </w:r>
      <w:r>
        <w:rPr>
          <w:color w:val="000000"/>
          <w:sz w:val="23"/>
          <w:szCs w:val="20"/>
          <w:shd w:val="clear" w:color="auto" w:fill="FFFFFF"/>
        </w:rPr>
        <w:t xml:space="preserve">nr 2/2025, z dnia 13 marca 2025 r.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720"/>
        <w:contextualSpacing w:val="0"/>
        <w:rPr>
          <w:color w:val="000000"/>
          <w:sz w:val="23"/>
          <w:szCs w:val="20"/>
          <w:shd w:val="clear" w:color="auto" w:fill="FFFFFF"/>
          <w:lang w:val="x-none" w:eastAsia="en-US" w:bidi="ar-SA"/>
        </w:rPr>
      </w:pPr>
      <w:r>
        <w:rPr>
          <w:color w:val="000000"/>
          <w:sz w:val="23"/>
          <w:szCs w:val="20"/>
          <w:shd w:val="clear" w:color="auto" w:fill="FFFFFF"/>
          <w:lang w:val="x-none" w:eastAsia="en-US" w:bidi="ar-SA"/>
        </w:rPr>
        <w:t xml:space="preserve">Na podstawie art. 59 ust. 2 ustawy z dnia 23 stycznia 2009 r. o wojewodzie i administracji rządowej w województwie (Dz. U. z 2023 r. poz. 190), projekt zarządzenia został uzgodniony </w:t>
        <w:br/>
        <w:t xml:space="preserve">przez Wojewodę Kujawsko-Pomorskiego pismem znak: </w:t>
      </w:r>
      <w:r>
        <w:rPr>
          <w:color w:val="000000"/>
          <w:sz w:val="23"/>
          <w:szCs w:val="20"/>
          <w:shd w:val="clear" w:color="auto" w:fill="FFFFFF"/>
        </w:rPr>
        <w:t xml:space="preserve">WRS.II.710.4.1.2025, z dnia 20 marca 2025r. </w:t>
      </w:r>
    </w:p>
    <w:p>
      <w:pPr>
        <w:keepNext w:val="0"/>
        <w:keepLines w:val="0"/>
        <w:widowControl/>
        <w:suppressLineNumbers w:val="0"/>
        <w:shd w:val="clear" w:color="auto" w:fill="auto"/>
        <w:suppressAutoHyphens w:val="0"/>
        <w:spacing w:before="0" w:beforeAutospacing="0" w:after="0" w:afterAutospacing="0" w:line="360" w:lineRule="auto"/>
        <w:ind w:left="0" w:right="0" w:firstLine="0"/>
        <w:contextualSpacing w:val="0"/>
        <w:jc w:val="right"/>
        <w:rPr>
          <w:color w:val="000000"/>
          <w:szCs w:val="20"/>
          <w:shd w:val="clear" w:color="auto" w:fill="FFFFFF"/>
          <w:lang w:val="x-none" w:eastAsia="en-US" w:bidi="ar-SA"/>
        </w:rPr>
      </w:pPr>
      <w:r>
        <w:rPr>
          <w:color w:val="000000"/>
          <w:szCs w:val="20"/>
          <w:shd w:val="clear" w:color="auto" w:fill="FFFFFF"/>
        </w:rPr>
        <w:t xml:space="preserve"> </w:t>
      </w:r>
      <w:r>
        <w:drawing>
          <wp:inline>
            <wp:extent cx="2639060" cy="1052195"/>
            <wp:docPr id="1" name="Pictur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39060" cy="1052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>
      <w:footerReference w:type="default" r:id="rId33"/>
      <w:type w:val="nextPage"/>
      <w:pgSz w:w="11907" w:h="16839" w:code="9"/>
      <w:pgMar w:top="1440" w:right="862" w:bottom="1440" w:left="1440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7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7A87" w:usb1="80000000" w:usb2="00000008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108" w:type="dxa"/>
        <w:right w:w="108" w:type="dxa"/>
      </w:tblCellMar>
    </w:tblPr>
    <w:tblGrid>
      <w:gridCol w:w="6577"/>
      <w:gridCol w:w="3289"/>
    </w:tblGrid>
    <w:tr>
      <w:tblPrEx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8" w:type="dxa"/>
          <w:right w:w="108" w:type="dxa"/>
        </w:tblCellMar>
      </w:tblPrEx>
      <w:tc>
        <w:tcPr>
          <w:tcW w:w="6577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lef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>Id: 100D4336-E89F-4F96-8807-EDD97634A1D5. Uchwalony</w:t>
          </w:r>
        </w:p>
      </w:tc>
      <w:tc>
        <w:tcPr>
          <w:tcW w:w="3289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righ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 xml:space="preserve">Strona </w: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begin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instrText>PAGE</w:instrTex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separate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end"/>
          </w:r>
        </w:p>
      </w:tc>
    </w:tr>
  </w:tbl>
  <w:p>
    <w:pPr>
      <w:rPr>
        <w:rFonts w:ascii="Times New Roman" w:eastAsia="Times New Roman" w:hAnsi="Times New Roman" w:cs="Times New Roman"/>
        <w:b w:val="0"/>
        <w:sz w:val="18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108" w:type="dxa"/>
        <w:right w:w="108" w:type="dxa"/>
      </w:tblCellMar>
    </w:tblPr>
    <w:tblGrid>
      <w:gridCol w:w="6577"/>
      <w:gridCol w:w="3289"/>
    </w:tblGrid>
    <w:tr>
      <w:tblPrEx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8" w:type="dxa"/>
          <w:right w:w="108" w:type="dxa"/>
        </w:tblCellMar>
      </w:tblPrEx>
      <w:tc>
        <w:tcPr>
          <w:tcW w:w="6577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lef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>Id: 100D4336-E89F-4F96-8807-EDD97634A1D5. Uchwalony</w:t>
          </w:r>
        </w:p>
      </w:tc>
      <w:tc>
        <w:tcPr>
          <w:tcW w:w="3289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righ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 xml:space="preserve">Strona </w: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begin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instrText>PAGE</w:instrTex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separate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end"/>
          </w:r>
        </w:p>
      </w:tc>
    </w:tr>
  </w:tbl>
  <w:p>
    <w:pPr>
      <w:rPr>
        <w:rFonts w:ascii="Times New Roman" w:eastAsia="Times New Roman" w:hAnsi="Times New Roman" w:cs="Times New Roman"/>
        <w:b w:val="0"/>
        <w:sz w:val="18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108" w:type="dxa"/>
        <w:right w:w="108" w:type="dxa"/>
      </w:tblCellMar>
    </w:tblPr>
    <w:tblGrid>
      <w:gridCol w:w="6577"/>
      <w:gridCol w:w="3289"/>
    </w:tblGrid>
    <w:tr>
      <w:tblPrEx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8" w:type="dxa"/>
          <w:right w:w="108" w:type="dxa"/>
        </w:tblCellMar>
      </w:tblPrEx>
      <w:tc>
        <w:tcPr>
          <w:tcW w:w="6577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lef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>Id: 100D4336-E89F-4F96-8807-EDD97634A1D5. Uchwalony</w:t>
          </w:r>
        </w:p>
      </w:tc>
      <w:tc>
        <w:tcPr>
          <w:tcW w:w="3289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righ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 xml:space="preserve">Strona </w: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begin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instrText>PAGE</w:instrTex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separate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end"/>
          </w:r>
        </w:p>
      </w:tc>
    </w:tr>
  </w:tbl>
  <w:p>
    <w:pPr>
      <w:rPr>
        <w:rFonts w:ascii="Times New Roman" w:eastAsia="Times New Roman" w:hAnsi="Times New Roman" w:cs="Times New Roman"/>
        <w:b w:val="0"/>
        <w:sz w:val="18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108" w:type="dxa"/>
        <w:right w:w="108" w:type="dxa"/>
      </w:tblCellMar>
    </w:tblPr>
    <w:tblGrid>
      <w:gridCol w:w="6577"/>
      <w:gridCol w:w="3289"/>
    </w:tblGrid>
    <w:tr>
      <w:tblPrEx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8" w:type="dxa"/>
          <w:right w:w="108" w:type="dxa"/>
        </w:tblCellMar>
      </w:tblPrEx>
      <w:tc>
        <w:tcPr>
          <w:tcW w:w="6577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lef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>Id: 100D4336-E89F-4F96-8807-EDD97634A1D5. Uchwalony</w:t>
          </w:r>
        </w:p>
      </w:tc>
      <w:tc>
        <w:tcPr>
          <w:tcW w:w="3289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righ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 xml:space="preserve">Strona </w: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begin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instrText>PAGE</w:instrTex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separate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end"/>
          </w:r>
        </w:p>
      </w:tc>
    </w:tr>
  </w:tbl>
  <w:p>
    <w:pPr>
      <w:rPr>
        <w:rFonts w:ascii="Times New Roman" w:eastAsia="Times New Roman" w:hAnsi="Times New Roman" w:cs="Times New Roman"/>
        <w:b w:val="0"/>
        <w:sz w:val="18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5000" w:type="pct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108" w:type="dxa"/>
        <w:right w:w="108" w:type="dxa"/>
      </w:tblCellMar>
    </w:tblPr>
    <w:tblGrid>
      <w:gridCol w:w="6403"/>
      <w:gridCol w:w="3202"/>
    </w:tblGrid>
    <w:tr>
      <w:tblPrEx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8" w:type="dxa"/>
          <w:right w:w="108" w:type="dxa"/>
        </w:tblCellMar>
      </w:tblPrEx>
      <w:tc>
        <w:tcPr>
          <w:tcW w:w="6403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lef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>Id: 100D4336-E89F-4F96-8807-EDD97634A1D5. Uchwalony</w:t>
          </w:r>
        </w:p>
      </w:tc>
      <w:tc>
        <w:tcPr>
          <w:tcW w:w="3202" w:type="dxa"/>
          <w:tcBorders>
            <w:top w:val="single" w:sz="2" w:space="0" w:color="auto"/>
            <w:left w:val="nil"/>
            <w:bottom w:val="nil"/>
            <w:right w:val="nil"/>
          </w:tcBorders>
          <w:noWrap w:val="0"/>
          <w:tcMar>
            <w:top w:w="100" w:type="dxa"/>
          </w:tcMar>
          <w:textDirection w:val="lrTb"/>
          <w:vAlign w:val="bottom"/>
        </w:tcPr>
        <w:p>
          <w:pPr>
            <w:jc w:val="right"/>
            <w:rPr>
              <w:rFonts w:ascii="Times New Roman" w:eastAsia="Times New Roman" w:hAnsi="Times New Roman" w:cs="Times New Roman"/>
              <w:b w:val="0"/>
              <w:sz w:val="18"/>
            </w:rPr>
          </w:pPr>
          <w:r>
            <w:rPr>
              <w:rFonts w:ascii="Times New Roman" w:eastAsia="Times New Roman" w:hAnsi="Times New Roman" w:cs="Times New Roman"/>
              <w:b w:val="0"/>
              <w:sz w:val="18"/>
            </w:rPr>
            <w:t xml:space="preserve">Strona </w: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begin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instrText>PAGE</w:instrText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separate"/>
          </w:r>
          <w:r>
            <w:rPr>
              <w:rFonts w:ascii="Times New Roman" w:eastAsia="Times New Roman" w:hAnsi="Times New Roman" w:cs="Times New Roman"/>
              <w:b w:val="0"/>
              <w:sz w:val="18"/>
            </w:rPr>
            <w:fldChar w:fldCharType="end"/>
          </w:r>
        </w:p>
      </w:tc>
    </w:tr>
  </w:tbl>
  <w:p>
    <w:pPr>
      <w:rPr>
        <w:rFonts w:ascii="Times New Roman" w:eastAsia="Times New Roman" w:hAnsi="Times New Roman" w:cs="Times New Roman"/>
        <w:b w:val="0"/>
        <w:sz w:val="18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>
      <w:pPr>
        <w:spacing w:after="0" w:line="240" w:lineRule="auto"/>
      </w:pPr>
      <w:r>
        <w:separator/>
      </w:r>
    </w:p>
  </w:footnote>
  <w:footnote w:type="continuationSeparator" w:id="1">
    <w:p>
      <w:pPr>
        <w:spacing w:after="0" w:line="240" w:lineRule="auto"/>
      </w:pPr>
      <w:r>
        <w:continuationSeparator/>
      </w:r>
    </w:p>
  </w:footnote>
  <w:footnote w:id="2">
    <w:p>
      <w:pPr>
        <w:pStyle w:val="FootnoteText"/>
        <w:keepNext w:val="0"/>
        <w:keepLines/>
        <w:spacing w:before="0" w:after="0" w:line="240" w:lineRule="auto"/>
        <w:ind w:left="170" w:right="0" w:hanging="170"/>
        <w:jc w:val="both"/>
        <w:rPr>
          <w:rFonts w:ascii="Times New Roman" w:eastAsia="Times New Roman" w:hAnsi="Times New Roman" w:cs="Times New Roman"/>
          <w:sz w:val="20"/>
        </w:rPr>
      </w:pPr>
      <w:r>
        <w:rPr>
          <w:rStyle w:val="FootnoteReference"/>
          <w:b w:val="0"/>
          <w:caps w:val="0"/>
        </w:rPr>
        <w:t>1) </w:t>
      </w:r>
      <w:r>
        <w:rPr>
          <w:rFonts w:ascii="Times New Roman" w:eastAsia="Times New Roman" w:hAnsi="Times New Roman" w:cs="Times New Roman"/>
          <w:b w:val="0"/>
          <w:caps w:val="0"/>
          <w:sz w:val="20"/>
        </w:rPr>
        <w:t>Układ współrzędnych płaskich prostokątnych PL-1992 jest jednym z układów tworzących państwowy system odniesień przestrzennych, o którym mowa w przepisach wydanych na podstawie art. 3 ust. 5 ustawy z dnia 17 maja 1989 r. – Prawo geodezyjne i kartograficzne ( Dz. U. z 2024 r. poz. 1151 i 1824).</w:t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stylePaneFormatFilter w:val="3F01"/>
  <w:defaultTabStop w:val="720"/>
  <w:noPunctuationKerning/>
  <w:characterSpacingControl w:val="doNotCompress"/>
  <w:footnotePr>
    <w:footnote w:id="0"/>
    <w:footnote w:id="1"/>
  </w:footnotePr>
  <w:endnotePr>
    <w:numFmt w:val="decimal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77B3E"/>
    <w:rsid w:val="00A77B3E"/>
    <w:rsid w:val="00CA2A55"/>
  </w:rsids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jc w:val="both"/>
    </w:pPr>
    <w:rPr>
      <w:rFonts w:ascii="Times New Roman" w:eastAsia="Times New Roman" w:hAnsi="Times New Roman" w:cs="Times New Roman"/>
      <w:sz w:val="24"/>
      <w:szCs w:val="24"/>
      <w:lang w:val="pl-PL" w:eastAsia="pl-PL" w:bidi="pl-PL"/>
    </w:rPr>
  </w:style>
  <w:style w:type="character" w:default="1" w:styleId="DefaultParagraphFont">
    <w:name w:val="Default Paragraph Font"/>
    <w:semiHidden/>
    <w:rPr>
      <w:lang w:val="pl-PL" w:eastAsia="pl-PL" w:bidi="pl-PL"/>
    </w:rPr>
  </w:style>
  <w:style w:type="table" w:default="1" w:styleId="TableNormal">
    <w:name w:val="Normal Table"/>
    <w:semiHidden/>
    <w:rPr>
      <w:lang w:val="pl-PL" w:eastAsia="pl-PL" w:bidi="pl-PL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character" w:styleId="FootnoteReference">
    <w:name w:val="footnote reference"/>
    <w:basedOn w:val="DefaultParagraphFont"/>
    <w:rsid w:val="00805BCE"/>
    <w:rPr>
      <w:vertAlign w:val="superscript"/>
    </w:rPr>
  </w:style>
  <w:style w:type="paragraph" w:styleId="FootnoteText">
    <w:name w:val="footnote text"/>
    <w:basedOn w:val="Normal"/>
    <w:rsid w:val="00805BCE"/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footnotes" Target="footnotes.xml" /><Relationship Id="rId10" Type="http://schemas.openxmlformats.org/officeDocument/2006/relationships/image" Target="media/image3.png" /><Relationship Id="rId11" Type="http://schemas.openxmlformats.org/officeDocument/2006/relationships/image" Target="Zalacznik5C569C3E-FAB4-4409-A9AC-E35B90BAE9BB.png" TargetMode="External" /><Relationship Id="rId12" Type="http://schemas.openxmlformats.org/officeDocument/2006/relationships/image" Target="media/image4.png" /><Relationship Id="rId13" Type="http://schemas.openxmlformats.org/officeDocument/2006/relationships/image" Target="Zalacznik0349492E-6603-434F-8141-096980469B35.png" TargetMode="External" /><Relationship Id="rId14" Type="http://schemas.openxmlformats.org/officeDocument/2006/relationships/image" Target="media/image5.png" /><Relationship Id="rId15" Type="http://schemas.openxmlformats.org/officeDocument/2006/relationships/image" Target="Zalacznik03BE63A1-6D7C-4F65-9A46-4C06A8316DCB.png" TargetMode="External" /><Relationship Id="rId16" Type="http://schemas.openxmlformats.org/officeDocument/2006/relationships/image" Target="media/image6.png" /><Relationship Id="rId17" Type="http://schemas.openxmlformats.org/officeDocument/2006/relationships/image" Target="Zalacznik58A57AB1-19A3-4AD3-8F39-EA73880FAF1A.png" TargetMode="External" /><Relationship Id="rId18" Type="http://schemas.openxmlformats.org/officeDocument/2006/relationships/image" Target="media/image7.png" /><Relationship Id="rId19" Type="http://schemas.openxmlformats.org/officeDocument/2006/relationships/image" Target="ZalacznikFB29B597-802B-4D27-9A91-1F3DB71A5E19.png" TargetMode="External" /><Relationship Id="rId2" Type="http://schemas.openxmlformats.org/officeDocument/2006/relationships/settings" Target="settings.xml" /><Relationship Id="rId20" Type="http://schemas.openxmlformats.org/officeDocument/2006/relationships/image" Target="media/image8.png" /><Relationship Id="rId21" Type="http://schemas.openxmlformats.org/officeDocument/2006/relationships/image" Target="Zalacznik7F4D9332-2B6E-4BBF-9C06-817CE130D680.png" TargetMode="External" /><Relationship Id="rId22" Type="http://schemas.openxmlformats.org/officeDocument/2006/relationships/image" Target="media/image9.png" /><Relationship Id="rId23" Type="http://schemas.openxmlformats.org/officeDocument/2006/relationships/image" Target="Zalacznik242450B7-507B-4051-8E18-865A0E8AD350.png" TargetMode="External" /><Relationship Id="rId24" Type="http://schemas.openxmlformats.org/officeDocument/2006/relationships/image" Target="media/image10.png" /><Relationship Id="rId25" Type="http://schemas.openxmlformats.org/officeDocument/2006/relationships/image" Target="Zalacznik74CD2A68-8AB9-48B6-87EA-9F64817834D4.png" TargetMode="External" /><Relationship Id="rId26" Type="http://schemas.openxmlformats.org/officeDocument/2006/relationships/image" Target="Zalacznik05094027-3E19-4C5E-ADD4-BCC07C84FEB4.jpg" TargetMode="External" /><Relationship Id="rId27" Type="http://schemas.openxmlformats.org/officeDocument/2006/relationships/footer" Target="footer2.xml" /><Relationship Id="rId28" Type="http://schemas.openxmlformats.org/officeDocument/2006/relationships/image" Target="ZalacznikDB4323D3-65CD-46EB-ABE5-DD02DFFD6CB8.jpg" TargetMode="External" /><Relationship Id="rId29" Type="http://schemas.openxmlformats.org/officeDocument/2006/relationships/footer" Target="footer3.xml" /><Relationship Id="rId3" Type="http://schemas.openxmlformats.org/officeDocument/2006/relationships/webSettings" Target="webSettings.xml" /><Relationship Id="rId30" Type="http://schemas.openxmlformats.org/officeDocument/2006/relationships/image" Target="ZalacznikCBFB8A03-9A2A-4D94-A934-7BCE0896E577.jpg" TargetMode="External" /><Relationship Id="rId31" Type="http://schemas.openxmlformats.org/officeDocument/2006/relationships/footer" Target="footer4.xml" /><Relationship Id="rId32" Type="http://schemas.openxmlformats.org/officeDocument/2006/relationships/image" Target="media/image11.jpeg" /><Relationship Id="rId33" Type="http://schemas.openxmlformats.org/officeDocument/2006/relationships/footer" Target="footer5.xml" /><Relationship Id="rId34" Type="http://schemas.openxmlformats.org/officeDocument/2006/relationships/theme" Target="theme/theme1.xml" /><Relationship Id="rId35" Type="http://schemas.openxmlformats.org/officeDocument/2006/relationships/styles" Target="styles.xml" /><Relationship Id="rId4" Type="http://schemas.openxmlformats.org/officeDocument/2006/relationships/fontTable" Target="fontTable.xml" /><Relationship Id="rId5" Type="http://schemas.openxmlformats.org/officeDocument/2006/relationships/image" Target="media/image1.jpeg" /><Relationship Id="rId6" Type="http://schemas.openxmlformats.org/officeDocument/2006/relationships/image" Target="Zalacznik8371ABD3-B832-46DC-8254-4ABAEA2DA9D2.jpg" TargetMode="External" /><Relationship Id="rId7" Type="http://schemas.openxmlformats.org/officeDocument/2006/relationships/footer" Target="footer1.xml" /><Relationship Id="rId8" Type="http://schemas.openxmlformats.org/officeDocument/2006/relationships/image" Target="media/image2.png" /><Relationship Id="rId9" Type="http://schemas.openxmlformats.org/officeDocument/2006/relationships/image" Target="Zalacznik149E7AE2-A694-4EF0-B196-6C08D1E36690.png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/>
      </a:dk1>
      <a:lt1>
        <a:sysClr val="window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</Template>
  <TotalTime>0</TotalTime>
  <Pages>1</Pages>
  <Words>0</Words>
  <Characters>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Regionalny Dyrektor Ochrony Środowiska w Bydgoszczy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Zarządzenie z dnia 19 maja 2025 r.</dc:title>
  <dc:subject>w^sprawie uznania za rezerwat przyrody „Uroczysko Nasiegniewo im. dr Wiesława Cyzmana”</dc:subject>
  <dc:creator>kleszczynska</dc:creator>
  <cp:lastModifiedBy>kleszczynska</cp:lastModifiedBy>
  <cp:revision>1</cp:revision>
  <dcterms:created xsi:type="dcterms:W3CDTF">2025-05-19T12:36:46Z</dcterms:created>
  <dcterms:modified xsi:type="dcterms:W3CDTF">2025-05-19T12:36:46Z</dcterms:modified>
  <cp:category>Akt prawny</cp:category>
</cp:coreProperties>
</file>