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47BFC" w14:textId="77777777" w:rsidR="00D15995" w:rsidRPr="0076328D" w:rsidRDefault="00D15995" w:rsidP="00AD4D1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2"/>
          <w:szCs w:val="28"/>
        </w:rPr>
      </w:pPr>
      <w:r w:rsidRPr="0076328D">
        <w:rPr>
          <w:rFonts w:ascii="Times New Roman" w:hAnsi="Times New Roman" w:cs="Times New Roman"/>
          <w:sz w:val="22"/>
          <w:szCs w:val="28"/>
        </w:rPr>
        <w:t>Załącznik B.101.</w:t>
      </w:r>
    </w:p>
    <w:p w14:paraId="4B954904" w14:textId="77777777" w:rsidR="00D15995" w:rsidRPr="0076328D" w:rsidRDefault="00D15995" w:rsidP="00AD4D1C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2"/>
          <w:szCs w:val="28"/>
        </w:rPr>
      </w:pPr>
    </w:p>
    <w:p w14:paraId="391EE975" w14:textId="22A06077" w:rsidR="00915078" w:rsidRPr="0076328D" w:rsidRDefault="00BC1828" w:rsidP="00AD4D1C">
      <w:pPr>
        <w:spacing w:after="240" w:line="240" w:lineRule="auto"/>
        <w:jc w:val="left"/>
        <w:rPr>
          <w:rFonts w:ascii="Times New Roman" w:hAnsi="Times New Roman" w:cs="Times New Roman"/>
          <w:b/>
          <w:sz w:val="28"/>
          <w:szCs w:val="24"/>
        </w:rPr>
      </w:pPr>
      <w:r w:rsidRPr="0076328D">
        <w:rPr>
          <w:rFonts w:ascii="Times New Roman" w:hAnsi="Times New Roman" w:cs="Times New Roman"/>
          <w:b/>
          <w:sz w:val="28"/>
          <w:szCs w:val="28"/>
        </w:rPr>
        <w:t xml:space="preserve">LECZENIE INHIBITORAMI PCSK-9 PACJENTÓW Z </w:t>
      </w:r>
      <w:r w:rsidR="009E0618" w:rsidRPr="0076328D">
        <w:rPr>
          <w:rFonts w:ascii="Times New Roman" w:hAnsi="Times New Roman" w:cs="Times New Roman"/>
          <w:b/>
          <w:sz w:val="28"/>
          <w:szCs w:val="28"/>
        </w:rPr>
        <w:t>ZABURZENIAMI LIPIDOWYMI</w:t>
      </w:r>
      <w:r w:rsidRPr="0076328D">
        <w:rPr>
          <w:rFonts w:ascii="Times New Roman" w:hAnsi="Times New Roman" w:cs="Times New Roman"/>
          <w:b/>
          <w:sz w:val="28"/>
          <w:szCs w:val="28"/>
        </w:rPr>
        <w:t xml:space="preserve"> (ICD-10 E78.01</w:t>
      </w:r>
      <w:r w:rsidR="00597A1E" w:rsidRPr="0076328D">
        <w:rPr>
          <w:rFonts w:ascii="Times New Roman" w:hAnsi="Times New Roman" w:cs="Times New Roman"/>
          <w:b/>
          <w:sz w:val="28"/>
          <w:szCs w:val="28"/>
        </w:rPr>
        <w:t>,</w:t>
      </w:r>
      <w:r w:rsidRPr="00763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20D" w:rsidRPr="0076328D">
        <w:rPr>
          <w:rFonts w:ascii="Times New Roman" w:hAnsi="Times New Roman" w:cs="Times New Roman"/>
          <w:b/>
          <w:sz w:val="28"/>
          <w:szCs w:val="28"/>
        </w:rPr>
        <w:t>I21</w:t>
      </w:r>
      <w:r w:rsidR="00597A1E" w:rsidRPr="0076328D">
        <w:rPr>
          <w:rFonts w:ascii="Times New Roman" w:hAnsi="Times New Roman" w:cs="Times New Roman"/>
          <w:b/>
          <w:sz w:val="28"/>
          <w:szCs w:val="28"/>
        </w:rPr>
        <w:t>, I22</w:t>
      </w:r>
      <w:r w:rsidR="000F120D" w:rsidRPr="0076328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97A1E" w:rsidRPr="0076328D">
        <w:rPr>
          <w:rFonts w:ascii="Times New Roman" w:hAnsi="Times New Roman" w:cs="Times New Roman"/>
          <w:b/>
          <w:sz w:val="28"/>
          <w:szCs w:val="28"/>
        </w:rPr>
        <w:t>I25</w:t>
      </w:r>
      <w:r w:rsidRPr="0076328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01"/>
        <w:gridCol w:w="3632"/>
        <w:gridCol w:w="5755"/>
      </w:tblGrid>
      <w:tr w:rsidR="00C058A9" w:rsidRPr="0076328D" w14:paraId="78F3F868" w14:textId="77777777" w:rsidTr="00C07A27">
        <w:trPr>
          <w:trHeight w:val="567"/>
        </w:trPr>
        <w:tc>
          <w:tcPr>
            <w:tcW w:w="5000" w:type="pct"/>
            <w:gridSpan w:val="3"/>
            <w:vAlign w:val="center"/>
          </w:tcPr>
          <w:p w14:paraId="71EF0086" w14:textId="77777777" w:rsidR="00C058A9" w:rsidRPr="0076328D" w:rsidRDefault="00E1105B" w:rsidP="0091507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E1105B" w:rsidRPr="0076328D" w14:paraId="6C135314" w14:textId="77777777" w:rsidTr="0076328D">
        <w:trPr>
          <w:trHeight w:val="567"/>
        </w:trPr>
        <w:tc>
          <w:tcPr>
            <w:tcW w:w="1950" w:type="pct"/>
            <w:vAlign w:val="center"/>
          </w:tcPr>
          <w:p w14:paraId="428DA4FE" w14:textId="77777777" w:rsidR="00E1105B" w:rsidRPr="0076328D" w:rsidRDefault="00E1105B" w:rsidP="00C76A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180" w:type="pct"/>
            <w:vAlign w:val="center"/>
          </w:tcPr>
          <w:p w14:paraId="4EFF7DD0" w14:textId="77777777" w:rsidR="00E1105B" w:rsidRPr="0076328D" w:rsidRDefault="00E1105B" w:rsidP="00C76A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SCHEMAT DAWKOWANIA LEKÓW </w:t>
            </w:r>
            <w:r w:rsidR="00C76AB1"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PROGRAMIE</w:t>
            </w:r>
          </w:p>
        </w:tc>
        <w:tc>
          <w:tcPr>
            <w:tcW w:w="1870" w:type="pct"/>
            <w:vAlign w:val="center"/>
          </w:tcPr>
          <w:p w14:paraId="3A8A70BA" w14:textId="77777777" w:rsidR="00E1105B" w:rsidRPr="0076328D" w:rsidRDefault="00E1105B" w:rsidP="00C76A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 DIAGNOSTYCZNE WYKONYWANE W RAMACH PROGRAMU</w:t>
            </w:r>
          </w:p>
        </w:tc>
      </w:tr>
      <w:tr w:rsidR="00C058A9" w:rsidRPr="00915078" w14:paraId="038024C9" w14:textId="77777777" w:rsidTr="0076328D">
        <w:trPr>
          <w:trHeight w:val="20"/>
        </w:trPr>
        <w:tc>
          <w:tcPr>
            <w:tcW w:w="1950" w:type="pct"/>
          </w:tcPr>
          <w:p w14:paraId="3C67195B" w14:textId="6B02D94D" w:rsidR="00C058A9" w:rsidRPr="0076328D" w:rsidRDefault="00E1105B" w:rsidP="009615AC">
            <w:pPr>
              <w:pStyle w:val="Akapitzlist"/>
              <w:numPr>
                <w:ilvl w:val="0"/>
                <w:numId w:val="39"/>
              </w:numPr>
              <w:spacing w:before="120"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Kryteria kwalifikacji</w:t>
            </w:r>
          </w:p>
          <w:p w14:paraId="675744CC" w14:textId="30DD22B2" w:rsidR="00740CF7" w:rsidRPr="0076328D" w:rsidRDefault="00740CF7" w:rsidP="009615AC">
            <w:pPr>
              <w:pStyle w:val="Akapitzlist"/>
              <w:numPr>
                <w:ilvl w:val="1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Leczenie pacjentów z hipercholesterolemią rodzinną</w:t>
            </w:r>
          </w:p>
          <w:p w14:paraId="5A4491E5" w14:textId="77777777" w:rsidR="00C058A9" w:rsidRPr="0076328D" w:rsidRDefault="0087056E" w:rsidP="009615AC">
            <w:pPr>
              <w:pStyle w:val="Akapitzlist"/>
              <w:spacing w:after="60" w:line="276" w:lineRule="auto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Łączne spełnienie następujących warunków</w:t>
            </w:r>
            <w:r w:rsidR="00712270" w:rsidRPr="007632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9DF63B" w14:textId="29D43B31" w:rsidR="00470471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7056E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iek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18 lat i powyżej;</w:t>
            </w:r>
          </w:p>
          <w:p w14:paraId="2DFBE876" w14:textId="41D4C959" w:rsidR="00470471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>ewna diagnoza rodzinnej heterozygotycznej</w:t>
            </w:r>
            <w:r w:rsidR="005E03DC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hipercholesterolemii, tj. &gt; 8 punktów w skali Dutch Lipid </w:t>
            </w:r>
            <w:proofErr w:type="spellStart"/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>Clinic</w:t>
            </w:r>
            <w:proofErr w:type="spellEnd"/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Network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11C518" w14:textId="1675876D" w:rsidR="00470471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pełnienie kryteriów kwalifikacji do leczenia LDL aferezą,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a w przypadku pacjentów już leczonych, spełnianie tych kryteriów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>w chwili rozpoczęcia leczenia LDL aferezą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C2F579" w14:textId="2D1C86DD" w:rsidR="00470471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577D9" w:rsidRPr="0076328D">
              <w:rPr>
                <w:rFonts w:ascii="Times New Roman" w:hAnsi="Times New Roman" w:cs="Times New Roman"/>
                <w:sz w:val="20"/>
                <w:szCs w:val="20"/>
              </w:rPr>
              <w:t>ryteria kwal</w:t>
            </w:r>
            <w:r w:rsidR="00F27B3F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ifikacji do LDL aferezy: LDL-C &gt; 160 mg/dl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27B3F" w:rsidRPr="0076328D">
              <w:rPr>
                <w:rFonts w:ascii="Times New Roman" w:hAnsi="Times New Roman" w:cs="Times New Roman"/>
                <w:sz w:val="20"/>
                <w:szCs w:val="20"/>
              </w:rPr>
              <w:t>(4,1</w:t>
            </w:r>
            <w:r w:rsidR="007577D9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77D9" w:rsidRPr="0076328D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="007577D9" w:rsidRPr="0076328D">
              <w:rPr>
                <w:rFonts w:ascii="Times New Roman" w:hAnsi="Times New Roman" w:cs="Times New Roman"/>
                <w:sz w:val="20"/>
                <w:szCs w:val="20"/>
              </w:rPr>
              <w:t>/dl) pomimo stosowania diety i:</w:t>
            </w:r>
          </w:p>
          <w:p w14:paraId="5A4FEEEF" w14:textId="14E98052" w:rsidR="003954D4" w:rsidRPr="0076328D" w:rsidRDefault="007577D9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intensywnego leczenia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w maksymalnych dawkach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tj.: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atorwastatyna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mg lub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rosuwastatyna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5E03DC" w:rsidRPr="007632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3DC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mg, a następnie </w:t>
            </w:r>
            <w:proofErr w:type="spellStart"/>
            <w:r w:rsidR="005E03DC" w:rsidRPr="0076328D">
              <w:rPr>
                <w:rFonts w:ascii="Times New Roman" w:hAnsi="Times New Roman" w:cs="Times New Roman"/>
                <w:sz w:val="20"/>
                <w:szCs w:val="20"/>
              </w:rPr>
              <w:t>atorwastatyna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40-80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mg lub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rosuwas</w:t>
            </w:r>
            <w:r w:rsidR="005E03DC" w:rsidRPr="0076328D">
              <w:rPr>
                <w:rFonts w:ascii="Times New Roman" w:hAnsi="Times New Roman" w:cs="Times New Roman"/>
                <w:sz w:val="20"/>
                <w:szCs w:val="20"/>
              </w:rPr>
              <w:t>tatyna</w:t>
            </w:r>
            <w:proofErr w:type="spellEnd"/>
            <w:r w:rsidR="009B2766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20-40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766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mg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B2766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w skojarzeniu z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ezetymibem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mg; stosowanego łącznie przez 6 miesięcy, w tym leczenia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kojarzonego przez minimum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1 miesiąc</w:t>
            </w:r>
          </w:p>
          <w:p w14:paraId="478E27B5" w14:textId="77777777" w:rsidR="003954D4" w:rsidRPr="0076328D" w:rsidRDefault="00470471" w:rsidP="009615AC">
            <w:pPr>
              <w:spacing w:after="60" w:line="276" w:lineRule="auto"/>
              <w:ind w:left="4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3961F46" w14:textId="21F36B90" w:rsidR="007A29FD" w:rsidRPr="0076328D" w:rsidRDefault="007A29FD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9B2766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tensywnego leczenia </w:t>
            </w:r>
            <w:proofErr w:type="spellStart"/>
            <w:r w:rsidR="009B2766" w:rsidRPr="0076328D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="009B2766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 maksymalnych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olerowanych dawkach, a następnie w skojarzeniu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ezetymibem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mg; stosowanego przez łącznie 6 miesięcy,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w tym leczenia skojarzonego przez minimum 1 miesiąc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1B4477" w14:textId="77777777" w:rsidR="0076328D" w:rsidRPr="0076328D" w:rsidRDefault="0076328D" w:rsidP="009615AC">
            <w:pPr>
              <w:pStyle w:val="Akapitzlist"/>
              <w:spacing w:after="60" w:line="276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F2989" w14:textId="5881C4CD" w:rsidR="00740CF7" w:rsidRPr="0076328D" w:rsidRDefault="00740CF7" w:rsidP="009615AC">
            <w:pPr>
              <w:pStyle w:val="Akapitzlist"/>
              <w:numPr>
                <w:ilvl w:val="1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Leczenie pacjentów z bardzo wysokim ryzykiem chorób układu sercowo-naczyniowego</w:t>
            </w:r>
          </w:p>
          <w:p w14:paraId="0567DEBE" w14:textId="4D3B757B" w:rsidR="00740CF7" w:rsidRPr="0076328D" w:rsidRDefault="00740CF7" w:rsidP="009615AC">
            <w:pPr>
              <w:pStyle w:val="Akapitzlist"/>
              <w:spacing w:after="60" w:line="276" w:lineRule="auto"/>
              <w:ind w:left="2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Łączne spełnienie następujących warunków:</w:t>
            </w:r>
          </w:p>
          <w:p w14:paraId="53B084EF" w14:textId="71180A80" w:rsidR="00740CF7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wiek 18 lat i powyżej; </w:t>
            </w:r>
          </w:p>
          <w:p w14:paraId="35E8B944" w14:textId="081E5FED" w:rsidR="00740CF7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LDL-C &gt;100 mg/dl (2,5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/l) pomimo stosowania diety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i intensywnego leczenia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w maksymalnie tolerowanych dawkach, a następnie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w maksymalnych tolerowanych dawkach w połączeniu z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ezetymibem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182385" w14:textId="317C1270" w:rsidR="00740CF7" w:rsidRPr="0076328D" w:rsidRDefault="00740CF7" w:rsidP="009615AC">
            <w:pPr>
              <w:pStyle w:val="Akapitzlist"/>
              <w:spacing w:after="60" w:line="276" w:lineRule="auto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Wymagane jest, aby całkowity okres leczenia trwał co najmniej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3 miesiące, w tym co najmniej 1 miesiąc leczenia skojarzonego (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statyna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w maksymalnych tolerowanych dawkach +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ezetymib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A6AA3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przypadku pacjentów z podejrzeniem </w:t>
            </w:r>
            <w:proofErr w:type="spellStart"/>
            <w:r w:rsidR="007A6AA3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rabdomiolizy</w:t>
            </w:r>
            <w:proofErr w:type="spellEnd"/>
            <w:r w:rsidR="007A6AA3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związanej </w:t>
            </w:r>
            <w:r w:rsid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7A6AA3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podawaniem </w:t>
            </w:r>
            <w:proofErr w:type="spellStart"/>
            <w:r w:rsidR="007A6AA3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statyn</w:t>
            </w:r>
            <w:proofErr w:type="spellEnd"/>
            <w:r w:rsidR="007A6AA3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okres leczenia ustalany jest przez lekarza prowadzącego zgodnie z wytycznymi ESC/EAS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17798A" w14:textId="7FDC18E4" w:rsidR="00740CF7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Przebyty zawał serca diagnozowany inwazyjnie, który wystąpił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do 12 miesięcy przed włączeniem do programu lekowego oraz</w:t>
            </w:r>
          </w:p>
          <w:p w14:paraId="709E5CE6" w14:textId="7F6E7D1C" w:rsidR="00740CF7" w:rsidRPr="0076328D" w:rsidRDefault="00740CF7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z dodatkowo przebytym zawałem serca w wywiadzie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i wielonaczyniową chorobą wieńcową, zdefiniowaną jako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co najmniej 50% zwężenie światła naczynia w co najmniej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2 naczyniach</w:t>
            </w:r>
          </w:p>
          <w:p w14:paraId="065EE57C" w14:textId="306D8FCB" w:rsidR="00740CF7" w:rsidRPr="0076328D" w:rsidRDefault="007A6AA3" w:rsidP="009615AC">
            <w:pPr>
              <w:spacing w:after="60" w:line="276" w:lineRule="auto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01967854" w14:textId="77777777" w:rsidR="00740CF7" w:rsidRPr="0076328D" w:rsidRDefault="00740CF7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z chorobą miażdżycową tętnic innych niż wieńcowe, rozumianą jako:</w:t>
            </w:r>
          </w:p>
          <w:p w14:paraId="0492DD6D" w14:textId="77777777" w:rsidR="00740CF7" w:rsidRPr="0076328D" w:rsidRDefault="00740CF7" w:rsidP="009615AC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choroba tętnic obwodowych (PAD), tj.</w:t>
            </w:r>
          </w:p>
          <w:p w14:paraId="114546D7" w14:textId="77777777" w:rsidR="00740CF7" w:rsidRPr="0076328D" w:rsidRDefault="00740CF7" w:rsidP="009615AC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chromanie przestankowe ze wskaźnikiem kostka-ramię (ABI) &lt;0,85,</w:t>
            </w:r>
          </w:p>
          <w:p w14:paraId="29BB5379" w14:textId="77777777" w:rsidR="00740CF7" w:rsidRPr="0076328D" w:rsidRDefault="00740CF7" w:rsidP="009615AC">
            <w:pPr>
              <w:spacing w:after="60" w:line="276" w:lineRule="auto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127E075B" w14:textId="77777777" w:rsidR="00740CF7" w:rsidRPr="0076328D" w:rsidRDefault="00740CF7" w:rsidP="009615AC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przebyta rewaskularyzacja tętnic obwodowych,</w:t>
            </w:r>
          </w:p>
          <w:p w14:paraId="07ECF52B" w14:textId="77777777" w:rsidR="00740CF7" w:rsidRPr="0076328D" w:rsidRDefault="00740CF7" w:rsidP="009615AC">
            <w:pPr>
              <w:spacing w:after="60" w:line="276" w:lineRule="auto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2886348F" w14:textId="77777777" w:rsidR="00740CF7" w:rsidRPr="0076328D" w:rsidRDefault="00740CF7" w:rsidP="009615AC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amputacja kończyny z powodu choroby miażdżycowej;</w:t>
            </w:r>
          </w:p>
          <w:p w14:paraId="3F9B25CB" w14:textId="0551AF0D" w:rsidR="00740CF7" w:rsidRPr="0076328D" w:rsidRDefault="007A6AA3" w:rsidP="009615AC">
            <w:pPr>
              <w:spacing w:after="60" w:line="276" w:lineRule="auto"/>
              <w:ind w:left="74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E05C067" w14:textId="77777777" w:rsidR="00740CF7" w:rsidRPr="0076328D" w:rsidRDefault="00740CF7" w:rsidP="009615AC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choroba tętnic mózgowych, tj.</w:t>
            </w:r>
          </w:p>
          <w:p w14:paraId="7DB2F938" w14:textId="77777777" w:rsidR="00740CF7" w:rsidRPr="0076328D" w:rsidRDefault="00740CF7" w:rsidP="009615AC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przebyty udar mózgu niedokrwienny,</w:t>
            </w:r>
          </w:p>
          <w:p w14:paraId="560FD653" w14:textId="77777777" w:rsidR="00740CF7" w:rsidRPr="0076328D" w:rsidRDefault="00740CF7" w:rsidP="009615AC">
            <w:pPr>
              <w:spacing w:after="60" w:line="276" w:lineRule="auto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89E0718" w14:textId="77777777" w:rsidR="00740CF7" w:rsidRPr="0076328D" w:rsidRDefault="00740CF7" w:rsidP="009615AC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przemijający atak niedokrwienny (TIA)</w:t>
            </w:r>
          </w:p>
          <w:p w14:paraId="3704629E" w14:textId="5E71F9B1" w:rsidR="00740CF7" w:rsidRPr="0076328D" w:rsidRDefault="005A78F1" w:rsidP="009615AC">
            <w:pPr>
              <w:pStyle w:val="Akapitzlist"/>
              <w:numPr>
                <w:ilvl w:val="1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o programu lekowego, w celu zapewnienia kontynuacji terapii, mogą być 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ponadto </w:t>
            </w:r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kwalifikowani pacjenci, którzy otrzymują obecnie leczenie </w:t>
            </w:r>
            <w:proofErr w:type="spellStart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>ewolokumabem</w:t>
            </w:r>
            <w:proofErr w:type="spellEnd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proofErr w:type="spellStart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>alirokumabem</w:t>
            </w:r>
            <w:proofErr w:type="spellEnd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i spełniali kryteria kwalifikacji do programu lekowego w chwili rozpoczęcia leczenia </w:t>
            </w:r>
            <w:proofErr w:type="spellStart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>ewolokumabem</w:t>
            </w:r>
            <w:proofErr w:type="spellEnd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proofErr w:type="spellStart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>alirokumabem</w:t>
            </w:r>
            <w:proofErr w:type="spellEnd"/>
            <w:r w:rsidR="000F120D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oraz nie spełnili kryteriów opisanych w pkt.3</w:t>
            </w:r>
            <w:r w:rsidR="00740CF7"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13A9613" w14:textId="77777777" w:rsidR="007A29FD" w:rsidRPr="0076328D" w:rsidRDefault="007A29FD" w:rsidP="009615AC">
            <w:pPr>
              <w:pStyle w:val="Akapitzlist"/>
              <w:spacing w:after="60" w:line="276" w:lineRule="auto"/>
              <w:ind w:left="28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9C21FB" w14:textId="1B9A3514" w:rsidR="00C058A9" w:rsidRPr="0076328D" w:rsidRDefault="00A84DD1" w:rsidP="009615AC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Określenie czasu leczenia w programie</w:t>
            </w:r>
          </w:p>
          <w:p w14:paraId="03D0742D" w14:textId="4AD9A076" w:rsidR="00C058A9" w:rsidRPr="0076328D" w:rsidRDefault="00804BF5" w:rsidP="009615AC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84DD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należy kontynuować do momentu podjęcia przez lekarza decyzji o wyłączeniu pacjenta z program</w:t>
            </w:r>
            <w:r w:rsidR="00E04754" w:rsidRPr="0076328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84DD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zgodnie z kryteriami zakończenia udziału w programie przedstawionymi w punkcie</w:t>
            </w:r>
            <w:r w:rsidR="00856222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C058A9" w:rsidRPr="007632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059B97" w14:textId="77777777" w:rsidR="00D7797F" w:rsidRPr="0076328D" w:rsidRDefault="00D7797F" w:rsidP="009615AC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EE75E" w14:textId="476D1187" w:rsidR="00A84DD1" w:rsidRPr="0076328D" w:rsidRDefault="00A84DD1" w:rsidP="009615AC">
            <w:pPr>
              <w:pStyle w:val="Akapitzlist"/>
              <w:keepNext/>
              <w:numPr>
                <w:ilvl w:val="0"/>
                <w:numId w:val="39"/>
              </w:numPr>
              <w:spacing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Kryteria zakończenia udziału w programie</w:t>
            </w:r>
          </w:p>
          <w:p w14:paraId="336ED033" w14:textId="66248AA4" w:rsidR="00890DC3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678E4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ystąpienie </w:t>
            </w:r>
            <w:r w:rsidR="0095000A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ciężkich </w:t>
            </w:r>
            <w:r w:rsidR="00B678E4" w:rsidRPr="0076328D">
              <w:rPr>
                <w:rFonts w:ascii="Times New Roman" w:hAnsi="Times New Roman" w:cs="Times New Roman"/>
                <w:sz w:val="20"/>
                <w:szCs w:val="20"/>
              </w:rPr>
              <w:t>reakcji alergicznych po podaniu leku</w:t>
            </w:r>
            <w:r w:rsidR="004F068F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360035" w14:textId="2C837EDC" w:rsidR="00044978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B430CD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rak skuteczności </w:t>
            </w:r>
            <w:r w:rsidR="00DA2AF2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po 3 miesiącach </w:t>
            </w:r>
            <w:r w:rsidR="00E04754" w:rsidRPr="0076328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A2AF2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430CD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rozumiany jako redukcja </w:t>
            </w:r>
            <w:r w:rsidR="00044978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stężenia </w:t>
            </w:r>
            <w:r w:rsidR="00B430CD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LDL-C </w:t>
            </w:r>
            <w:r w:rsidR="009517BE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044978" w:rsidRPr="0076328D">
              <w:rPr>
                <w:rFonts w:ascii="Times New Roman" w:hAnsi="Times New Roman" w:cs="Times New Roman"/>
                <w:sz w:val="20"/>
                <w:szCs w:val="20"/>
              </w:rPr>
              <w:t>&lt; 30% w stosunku do wartości wyjściowej określonej:</w:t>
            </w:r>
          </w:p>
          <w:p w14:paraId="5BB2B643" w14:textId="77777777" w:rsidR="00044978" w:rsidRPr="0076328D" w:rsidRDefault="00044978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przed roz</w:t>
            </w:r>
            <w:r w:rsidR="009B2766" w:rsidRPr="0076328D">
              <w:rPr>
                <w:rFonts w:ascii="Times New Roman" w:hAnsi="Times New Roman" w:cs="Times New Roman"/>
                <w:sz w:val="20"/>
                <w:szCs w:val="20"/>
              </w:rPr>
              <w:t>poczęciem procedury LDL aferezy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2766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przypadku pacjentów, u których była ona stosowana w chwili włączenia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do programu lekowego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A59542" w14:textId="5EFDD892" w:rsidR="004B0580" w:rsidRPr="0076328D" w:rsidRDefault="00044978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w momencie włączenia do programu lekowego, w przypadku pacjentów, którzy nie byli wcześniej leczeni LDL aferezą</w:t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>(w tym pacjentów włączonych do programu zgodnie z pkt. 1.2.)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5BF8336" w14:textId="3B15F0FA" w:rsidR="005A78F1" w:rsidRPr="0076328D" w:rsidRDefault="005A78F1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momencie rozpoczęcia terapii, w przypadku pacjentów włączonych do programu zgodnie z pkt. 1.3.</w:t>
            </w:r>
          </w:p>
          <w:p w14:paraId="1397BD1E" w14:textId="77777777" w:rsidR="00D7797F" w:rsidRPr="0076328D" w:rsidRDefault="00D7797F" w:rsidP="009615AC">
            <w:p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EDAC6" w14:textId="3E4637B1" w:rsidR="004521AB" w:rsidRPr="0076328D" w:rsidRDefault="00F15DB7" w:rsidP="009615AC">
            <w:pPr>
              <w:pStyle w:val="Akapitzlist"/>
              <w:numPr>
                <w:ilvl w:val="1"/>
                <w:numId w:val="39"/>
              </w:numPr>
              <w:spacing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Kryteria uniemożliwiające włączenie do programu</w:t>
            </w:r>
          </w:p>
          <w:p w14:paraId="695BC494" w14:textId="4C8CB9E3" w:rsidR="00296C8F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296C8F" w:rsidRPr="0076328D">
              <w:rPr>
                <w:rFonts w:ascii="Times New Roman" w:hAnsi="Times New Roman" w:cs="Times New Roman"/>
                <w:sz w:val="20"/>
                <w:szCs w:val="20"/>
              </w:rPr>
              <w:t>iperlipidemia</w:t>
            </w:r>
            <w:proofErr w:type="spellEnd"/>
            <w:r w:rsidR="00296C8F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wtórna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915C21" w14:textId="78FCA849" w:rsidR="00890DC3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890DC3" w:rsidRPr="0076328D">
              <w:rPr>
                <w:rFonts w:ascii="Times New Roman" w:hAnsi="Times New Roman" w:cs="Times New Roman"/>
                <w:sz w:val="20"/>
                <w:szCs w:val="20"/>
              </w:rPr>
              <w:t>omozygotyczna postać hipercholesterolemii rodzinnej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8802DA" w14:textId="308081E0" w:rsidR="004C7012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C7012" w:rsidRPr="0076328D">
              <w:rPr>
                <w:rFonts w:ascii="Times New Roman" w:hAnsi="Times New Roman" w:cs="Times New Roman"/>
                <w:sz w:val="20"/>
                <w:szCs w:val="20"/>
              </w:rPr>
              <w:t>iężk</w:t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4C7012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>zaburzenia czynności nerek (</w:t>
            </w:r>
            <w:proofErr w:type="spellStart"/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&lt; 30 ml/min/1,73 m</w:t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3E24D1F" w14:textId="28D42426" w:rsidR="004C7012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C7012" w:rsidRPr="0076328D">
              <w:rPr>
                <w:rFonts w:ascii="Times New Roman" w:hAnsi="Times New Roman" w:cs="Times New Roman"/>
                <w:sz w:val="20"/>
                <w:szCs w:val="20"/>
              </w:rPr>
              <w:t>iężk</w:t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4C7012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zaburzenia czynności wątroby (klasa C wg skali </w:t>
            </w:r>
            <w:proofErr w:type="spellStart"/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Childa-Pugha</w:t>
            </w:r>
            <w:proofErr w:type="spellEnd"/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B58117" w14:textId="1DBD48F6" w:rsidR="00C67E16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iąża;</w:t>
            </w:r>
          </w:p>
          <w:p w14:paraId="0D263FAD" w14:textId="2D4F114E" w:rsidR="00D7797F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678E4" w:rsidRPr="0076328D">
              <w:rPr>
                <w:rFonts w:ascii="Times New Roman" w:hAnsi="Times New Roman" w:cs="Times New Roman"/>
                <w:sz w:val="20"/>
                <w:szCs w:val="20"/>
              </w:rPr>
              <w:t>armienie piersią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658E0B" w14:textId="4B6A48D5" w:rsidR="00D014F3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014F3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adwrażliwość na </w:t>
            </w:r>
            <w:proofErr w:type="spellStart"/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ewolokumab</w:t>
            </w:r>
            <w:proofErr w:type="spellEnd"/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alirokumab</w:t>
            </w:r>
            <w:proofErr w:type="spellEnd"/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202D5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lub którąkolwiek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014F3" w:rsidRPr="0076328D">
              <w:rPr>
                <w:rFonts w:ascii="Times New Roman" w:hAnsi="Times New Roman" w:cs="Times New Roman"/>
                <w:sz w:val="20"/>
                <w:szCs w:val="20"/>
              </w:rPr>
              <w:t>z substancji</w:t>
            </w:r>
            <w:r w:rsidR="001269B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pomocniczych.</w:t>
            </w:r>
          </w:p>
          <w:p w14:paraId="4606E655" w14:textId="77777777" w:rsidR="004D0997" w:rsidRPr="0076328D" w:rsidRDefault="004D0997" w:rsidP="009615AC">
            <w:p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</w:tcPr>
          <w:p w14:paraId="11BF1669" w14:textId="6C159266" w:rsidR="006669FC" w:rsidRPr="0076328D" w:rsidRDefault="006669FC" w:rsidP="009615AC">
            <w:pPr>
              <w:pStyle w:val="Akapitzlist"/>
              <w:numPr>
                <w:ilvl w:val="0"/>
                <w:numId w:val="41"/>
              </w:numPr>
              <w:spacing w:before="120"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Alirokumab</w:t>
            </w:r>
            <w:proofErr w:type="spellEnd"/>
          </w:p>
          <w:p w14:paraId="6ACB7137" w14:textId="3F56C66C" w:rsidR="006669FC" w:rsidRPr="0076328D" w:rsidRDefault="006669FC" w:rsidP="009615AC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150 mg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alirokumabu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podawane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co 2 tygodnie</w:t>
            </w:r>
            <w:r w:rsidR="00C07A27" w:rsidRPr="007632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FBFDFF" w14:textId="77777777" w:rsidR="00C07A27" w:rsidRPr="0076328D" w:rsidRDefault="00C07A27" w:rsidP="009615AC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0DC9D" w14:textId="68C96215" w:rsidR="005E03DC" w:rsidRPr="0076328D" w:rsidRDefault="005E03DC" w:rsidP="009615AC">
            <w:pPr>
              <w:pStyle w:val="Akapitzlist"/>
              <w:numPr>
                <w:ilvl w:val="0"/>
                <w:numId w:val="41"/>
              </w:numPr>
              <w:spacing w:before="120"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Ewolokumab</w:t>
            </w:r>
            <w:proofErr w:type="spellEnd"/>
          </w:p>
          <w:p w14:paraId="462C612E" w14:textId="7F06E77C" w:rsidR="008D2DF1" w:rsidRPr="0076328D" w:rsidRDefault="005E03DC" w:rsidP="009615AC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140 mg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ewolokumabu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podawane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co 2 tygodnie</w:t>
            </w:r>
            <w:r w:rsidR="00C07A27" w:rsidRPr="007632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98FC27" w14:textId="77777777" w:rsidR="004D5926" w:rsidRPr="0076328D" w:rsidRDefault="004D5926" w:rsidP="009615AC">
            <w:pPr>
              <w:spacing w:after="60" w:line="276" w:lineRule="auto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E20DD" w14:textId="77777777" w:rsidR="008D2DF1" w:rsidRPr="0076328D" w:rsidRDefault="008D2DF1" w:rsidP="009615AC">
            <w:pPr>
              <w:spacing w:after="60" w:line="276" w:lineRule="auto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pct"/>
          </w:tcPr>
          <w:p w14:paraId="080F76B6" w14:textId="41910540" w:rsidR="00C058A9" w:rsidRPr="0076328D" w:rsidRDefault="003644A9" w:rsidP="009615AC">
            <w:pPr>
              <w:pStyle w:val="Akapitzlist"/>
              <w:numPr>
                <w:ilvl w:val="0"/>
                <w:numId w:val="40"/>
              </w:numPr>
              <w:spacing w:before="120"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Wykaz badań przy kwalifikacji</w:t>
            </w:r>
            <w:r w:rsidR="00C76AB1"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leczenia</w:t>
            </w:r>
          </w:p>
          <w:p w14:paraId="3ED8D3D6" w14:textId="225A39B0" w:rsidR="00C07A27" w:rsidRPr="0076328D" w:rsidRDefault="00C07A27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lipidogram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43834C" w14:textId="219F2DED" w:rsidR="00C07A27" w:rsidRPr="0076328D" w:rsidRDefault="00C07A27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aminotransferaza alaninowa (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C10CA2E" w14:textId="623D0E78" w:rsidR="00C07A27" w:rsidRPr="0076328D" w:rsidRDefault="00C07A27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kreatynina/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FBD7AB" w14:textId="0A86BC5E" w:rsidR="00C07A27" w:rsidRPr="0076328D" w:rsidRDefault="00C07A27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kinaza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kreatynowa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(CK).</w:t>
            </w:r>
          </w:p>
          <w:p w14:paraId="2B1ABA5C" w14:textId="77777777" w:rsidR="00C058A9" w:rsidRPr="0076328D" w:rsidRDefault="00C058A9" w:rsidP="009615AC">
            <w:pPr>
              <w:pStyle w:val="Akapitzlist"/>
              <w:spacing w:after="60" w:line="276" w:lineRule="auto"/>
              <w:ind w:left="22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C1E7C" w14:textId="73833CC4" w:rsidR="00C058A9" w:rsidRPr="0076328D" w:rsidRDefault="00C058A9" w:rsidP="009615AC">
            <w:pPr>
              <w:pStyle w:val="Akapitzlist"/>
              <w:numPr>
                <w:ilvl w:val="0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Monitorowanie leczenia</w:t>
            </w:r>
          </w:p>
          <w:p w14:paraId="2B4FF6DD" w14:textId="77777777" w:rsidR="00C07A27" w:rsidRPr="0076328D" w:rsidRDefault="00C07A27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Lipidogram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– po 3 miesiącach, a następnie co 12 miesięcy;</w:t>
            </w:r>
          </w:p>
          <w:p w14:paraId="18918D9D" w14:textId="6079F3F6" w:rsidR="00C07A27" w:rsidRPr="0076328D" w:rsidRDefault="00C07A27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Monitorowanie bezpieczeństwa leczenia na każdej wizycie.</w:t>
            </w:r>
          </w:p>
          <w:p w14:paraId="547E2D8C" w14:textId="77777777" w:rsidR="00BA2FC5" w:rsidRPr="0076328D" w:rsidRDefault="00BA2FC5" w:rsidP="009615AC">
            <w:p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62AA1" w14:textId="0CBF2737" w:rsidR="00C058A9" w:rsidRPr="0076328D" w:rsidRDefault="00C058A9" w:rsidP="009615AC">
            <w:pPr>
              <w:pStyle w:val="Akapitzlist"/>
              <w:numPr>
                <w:ilvl w:val="0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Monitorowanie programu</w:t>
            </w:r>
          </w:p>
          <w:p w14:paraId="0CBE2301" w14:textId="77777777" w:rsidR="00792185" w:rsidRPr="0076328D" w:rsidRDefault="00792185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Gromadzenie w dokumentacji medycznej pacjenta danych dotyczących monitorowania leczenia i każdorazowe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ich przedstawianie na </w:t>
            </w:r>
            <w:r w:rsidR="009B70C5" w:rsidRPr="0076328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ądanie kontrolerów Narodowego Funduszu Zdrowia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519FE6" w14:textId="77777777" w:rsidR="00C058A9" w:rsidRPr="0076328D" w:rsidRDefault="00C67E16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92185" w:rsidRPr="0076328D">
              <w:rPr>
                <w:rFonts w:ascii="Times New Roman" w:hAnsi="Times New Roman" w:cs="Times New Roman"/>
                <w:sz w:val="20"/>
                <w:szCs w:val="20"/>
              </w:rPr>
              <w:t>zupełni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92185" w:rsidRPr="0076328D">
              <w:rPr>
                <w:rFonts w:ascii="Times New Roman" w:hAnsi="Times New Roman" w:cs="Times New Roman"/>
                <w:sz w:val="20"/>
                <w:szCs w:val="20"/>
              </w:rPr>
              <w:t>nie danych zawartych w rejestrze (SMPT) dostępnym za pomocą aplikacji internetowej udostępnionej przez OW NFZ, z częstotliwością zgodną z opisem programu oraz na zakończenie leczenia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701FC8" w14:textId="4EA6E80A" w:rsidR="00C07A27" w:rsidRPr="0076328D" w:rsidRDefault="00C67E16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92185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rzekazywanie informacji sprawozdawczo-rozliczeniowych 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92185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do NFZ: informacje przekazuje się do NFZ w formie papierowej </w:t>
            </w:r>
            <w:r w:rsidR="00792185" w:rsidRPr="007632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 w formie elektronicznej, zgodnie z wymaganiami opublikowanymi przez Narodowy Fundusz Zdrowia.</w:t>
            </w:r>
          </w:p>
        </w:tc>
      </w:tr>
    </w:tbl>
    <w:p w14:paraId="660FE06D" w14:textId="77777777" w:rsidR="00B74B92" w:rsidRPr="00915078" w:rsidRDefault="00B74B92" w:rsidP="00915078">
      <w:pPr>
        <w:spacing w:after="200" w:line="276" w:lineRule="auto"/>
        <w:jc w:val="left"/>
        <w:rPr>
          <w:rFonts w:ascii="Times New Roman" w:hAnsi="Times New Roman" w:cs="Times New Roman"/>
          <w:sz w:val="8"/>
          <w:szCs w:val="20"/>
        </w:rPr>
      </w:pPr>
    </w:p>
    <w:sectPr w:rsidR="00B74B92" w:rsidRPr="00915078" w:rsidSect="00915078">
      <w:footerReference w:type="default" r:id="rId9"/>
      <w:pgSz w:w="16838" w:h="11906" w:orient="landscape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07129" w14:textId="77777777" w:rsidR="00295312" w:rsidRDefault="00295312" w:rsidP="00ED0E55">
      <w:pPr>
        <w:spacing w:line="240" w:lineRule="auto"/>
      </w:pPr>
      <w:r>
        <w:separator/>
      </w:r>
    </w:p>
  </w:endnote>
  <w:endnote w:type="continuationSeparator" w:id="0">
    <w:p w14:paraId="77E9900D" w14:textId="77777777" w:rsidR="00295312" w:rsidRDefault="00295312" w:rsidP="00ED0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69655" w14:textId="77777777" w:rsidR="00ED0E55" w:rsidRDefault="00ED0E55">
    <w:pPr>
      <w:pStyle w:val="Stopka"/>
      <w:jc w:val="center"/>
    </w:pPr>
  </w:p>
  <w:p w14:paraId="0E21F82C" w14:textId="77777777" w:rsidR="00ED0E55" w:rsidRDefault="00ED0E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1924A" w14:textId="77777777" w:rsidR="00295312" w:rsidRDefault="00295312" w:rsidP="00ED0E55">
      <w:pPr>
        <w:spacing w:line="240" w:lineRule="auto"/>
      </w:pPr>
      <w:r>
        <w:separator/>
      </w:r>
    </w:p>
  </w:footnote>
  <w:footnote w:type="continuationSeparator" w:id="0">
    <w:p w14:paraId="241793A9" w14:textId="77777777" w:rsidR="00295312" w:rsidRDefault="00295312" w:rsidP="00ED0E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5324"/>
    <w:multiLevelType w:val="hybridMultilevel"/>
    <w:tmpl w:val="C53AC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660A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5AD7532"/>
    <w:multiLevelType w:val="multilevel"/>
    <w:tmpl w:val="E99C84A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right"/>
      <w:pPr>
        <w:ind w:left="56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7AC7363"/>
    <w:multiLevelType w:val="hybridMultilevel"/>
    <w:tmpl w:val="BB96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50E59"/>
    <w:multiLevelType w:val="hybridMultilevel"/>
    <w:tmpl w:val="3A54F94A"/>
    <w:lvl w:ilvl="0" w:tplc="B778EC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17CB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29E5C03"/>
    <w:multiLevelType w:val="hybridMultilevel"/>
    <w:tmpl w:val="E872FD82"/>
    <w:lvl w:ilvl="0" w:tplc="1736F0F0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78753C6"/>
    <w:multiLevelType w:val="hybridMultilevel"/>
    <w:tmpl w:val="CC649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EA70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55137"/>
    <w:multiLevelType w:val="hybridMultilevel"/>
    <w:tmpl w:val="C846D03C"/>
    <w:lvl w:ilvl="0" w:tplc="6196117A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E163B6"/>
    <w:multiLevelType w:val="multilevel"/>
    <w:tmpl w:val="F604AB6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454" w:hanging="227"/>
      </w:pPr>
      <w:rPr>
        <w:rFonts w:ascii="Times New Roman" w:eastAsia="Times New Roman" w:hAnsi="Times New Roman" w:cs="Times New Roman" w:hint="default"/>
        <w:b w:val="0"/>
        <w:bCs/>
        <w:position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226"/>
      </w:pPr>
      <w:rPr>
        <w:rFonts w:ascii="Times New Roman" w:eastAsia="Times New Roman" w:hAnsi="Times New Roman" w:cs="Times New Roman" w:hint="default"/>
        <w:b w:val="0"/>
        <w:bCs/>
        <w:position w:val="0"/>
        <w:sz w:val="20"/>
        <w:szCs w:val="20"/>
      </w:rPr>
    </w:lvl>
    <w:lvl w:ilvl="4">
      <w:start w:val="1"/>
      <w:numFmt w:val="bullet"/>
      <w:lvlText w:val="−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  <w:b/>
        <w:bCs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1134"/>
        </w:tabs>
        <w:ind w:left="1134" w:hanging="227"/>
      </w:pPr>
      <w:rPr>
        <w:rFonts w:ascii="Times New Roman" w:eastAsia="Times New Roman" w:hAnsi="Times New Roman" w:cs="Times New Roman" w:hint="default"/>
        <w:b w:val="0"/>
        <w:bCs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266"/>
        </w:tabs>
        <w:ind w:left="3408" w:hanging="1042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746"/>
        </w:tabs>
        <w:ind w:left="3888" w:hanging="1162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286"/>
        </w:tabs>
        <w:ind w:left="4428" w:hanging="1342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</w:abstractNum>
  <w:abstractNum w:abstractNumId="10" w15:restartNumberingAfterBreak="0">
    <w:nsid w:val="1D8A6DCB"/>
    <w:multiLevelType w:val="hybridMultilevel"/>
    <w:tmpl w:val="88C8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EA70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A4535"/>
    <w:multiLevelType w:val="hybridMultilevel"/>
    <w:tmpl w:val="A566C91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C767C3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C2A7042"/>
    <w:multiLevelType w:val="hybridMultilevel"/>
    <w:tmpl w:val="3D460A6E"/>
    <w:lvl w:ilvl="0" w:tplc="8AAA2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401B3"/>
    <w:multiLevelType w:val="hybridMultilevel"/>
    <w:tmpl w:val="B7CEFA7C"/>
    <w:lvl w:ilvl="0" w:tplc="61B8583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D4B96"/>
    <w:multiLevelType w:val="hybridMultilevel"/>
    <w:tmpl w:val="1A405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17BE9"/>
    <w:multiLevelType w:val="hybridMultilevel"/>
    <w:tmpl w:val="DC683E38"/>
    <w:lvl w:ilvl="0" w:tplc="7F6CE73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2DA6DB4">
      <w:start w:val="21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4DF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C10AB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5879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718DE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88184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D2A2C8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47065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43069"/>
    <w:multiLevelType w:val="hybridMultilevel"/>
    <w:tmpl w:val="F438A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37E87"/>
    <w:multiLevelType w:val="multilevel"/>
    <w:tmpl w:val="8244DB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D4C4A57"/>
    <w:multiLevelType w:val="hybridMultilevel"/>
    <w:tmpl w:val="6EBE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B27E0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417272FA"/>
    <w:multiLevelType w:val="multilevel"/>
    <w:tmpl w:val="1D500B4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4163B17"/>
    <w:multiLevelType w:val="hybridMultilevel"/>
    <w:tmpl w:val="949A568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F712E3"/>
    <w:multiLevelType w:val="hybridMultilevel"/>
    <w:tmpl w:val="EE745A1E"/>
    <w:lvl w:ilvl="0" w:tplc="8A9C17E8">
      <w:start w:val="1"/>
      <w:numFmt w:val="decimal"/>
      <w:lvlText w:val="%1)"/>
      <w:lvlJc w:val="left"/>
      <w:pPr>
        <w:ind w:left="644" w:hanging="360"/>
      </w:pPr>
      <w:rPr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62F01CC"/>
    <w:multiLevelType w:val="multilevel"/>
    <w:tmpl w:val="F604AB6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454" w:hanging="227"/>
      </w:pPr>
      <w:rPr>
        <w:rFonts w:ascii="Times New Roman" w:eastAsia="Times New Roman" w:hAnsi="Times New Roman" w:cs="Times New Roman" w:hint="default"/>
        <w:b w:val="0"/>
        <w:bCs/>
        <w:position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226"/>
      </w:pPr>
      <w:rPr>
        <w:rFonts w:ascii="Times New Roman" w:eastAsia="Times New Roman" w:hAnsi="Times New Roman" w:cs="Times New Roman" w:hint="default"/>
        <w:b w:val="0"/>
        <w:bCs/>
        <w:position w:val="0"/>
        <w:sz w:val="20"/>
        <w:szCs w:val="20"/>
      </w:rPr>
    </w:lvl>
    <w:lvl w:ilvl="4">
      <w:start w:val="1"/>
      <w:numFmt w:val="bullet"/>
      <w:lvlText w:val="−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  <w:b/>
        <w:bCs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1134"/>
        </w:tabs>
        <w:ind w:left="1134" w:hanging="227"/>
      </w:pPr>
      <w:rPr>
        <w:rFonts w:ascii="Times New Roman" w:eastAsia="Times New Roman" w:hAnsi="Times New Roman" w:cs="Times New Roman" w:hint="default"/>
        <w:b w:val="0"/>
        <w:bCs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266"/>
        </w:tabs>
        <w:ind w:left="3408" w:hanging="1042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746"/>
        </w:tabs>
        <w:ind w:left="3888" w:hanging="1162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286"/>
        </w:tabs>
        <w:ind w:left="4428" w:hanging="1342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</w:abstractNum>
  <w:abstractNum w:abstractNumId="25" w15:restartNumberingAfterBreak="0">
    <w:nsid w:val="5752377C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594278DC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59DD42EB"/>
    <w:multiLevelType w:val="hybridMultilevel"/>
    <w:tmpl w:val="F866EAC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6535752B"/>
    <w:multiLevelType w:val="hybridMultilevel"/>
    <w:tmpl w:val="6A76A906"/>
    <w:lvl w:ilvl="0" w:tplc="B85AF118">
      <w:start w:val="1"/>
      <w:numFmt w:val="decimal"/>
      <w:lvlText w:val="%1)"/>
      <w:lvlJc w:val="left"/>
      <w:pPr>
        <w:ind w:left="644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C3618B1"/>
    <w:multiLevelType w:val="multilevel"/>
    <w:tmpl w:val="D4B26E7A"/>
    <w:lvl w:ilvl="0">
      <w:start w:val="1"/>
      <w:numFmt w:val="decimal"/>
      <w:suff w:val="space"/>
      <w:lvlText w:val="%1."/>
      <w:lvlJc w:val="left"/>
      <w:pPr>
        <w:ind w:left="510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E2B4408"/>
    <w:multiLevelType w:val="hybridMultilevel"/>
    <w:tmpl w:val="57D8726C"/>
    <w:lvl w:ilvl="0" w:tplc="08341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40A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6F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EE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29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EC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8C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0D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FCA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7A3BA5"/>
    <w:multiLevelType w:val="hybridMultilevel"/>
    <w:tmpl w:val="BB96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65648"/>
    <w:multiLevelType w:val="hybridMultilevel"/>
    <w:tmpl w:val="96B2B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EA70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B6EB3"/>
    <w:multiLevelType w:val="hybridMultilevel"/>
    <w:tmpl w:val="291A3D54"/>
    <w:lvl w:ilvl="0" w:tplc="61A0B7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E324D"/>
    <w:multiLevelType w:val="multilevel"/>
    <w:tmpl w:val="E99C84A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right"/>
      <w:pPr>
        <w:ind w:left="56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D056B49"/>
    <w:multiLevelType w:val="hybridMultilevel"/>
    <w:tmpl w:val="17A4405C"/>
    <w:lvl w:ilvl="0" w:tplc="A282E4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23"/>
  </w:num>
  <w:num w:numId="4">
    <w:abstractNumId w:val="31"/>
  </w:num>
  <w:num w:numId="5">
    <w:abstractNumId w:val="22"/>
  </w:num>
  <w:num w:numId="6">
    <w:abstractNumId w:val="28"/>
  </w:num>
  <w:num w:numId="7">
    <w:abstractNumId w:val="7"/>
  </w:num>
  <w:num w:numId="8">
    <w:abstractNumId w:val="3"/>
  </w:num>
  <w:num w:numId="9">
    <w:abstractNumId w:val="8"/>
  </w:num>
  <w:num w:numId="10">
    <w:abstractNumId w:val="18"/>
  </w:num>
  <w:num w:numId="11">
    <w:abstractNumId w:val="17"/>
  </w:num>
  <w:num w:numId="12">
    <w:abstractNumId w:val="33"/>
  </w:num>
  <w:num w:numId="13">
    <w:abstractNumId w:val="15"/>
  </w:num>
  <w:num w:numId="14">
    <w:abstractNumId w:val="14"/>
  </w:num>
  <w:num w:numId="15">
    <w:abstractNumId w:val="0"/>
  </w:num>
  <w:num w:numId="16">
    <w:abstractNumId w:val="19"/>
  </w:num>
  <w:num w:numId="17">
    <w:abstractNumId w:val="16"/>
  </w:num>
  <w:num w:numId="18">
    <w:abstractNumId w:val="30"/>
  </w:num>
  <w:num w:numId="19">
    <w:abstractNumId w:val="4"/>
  </w:num>
  <w:num w:numId="20">
    <w:abstractNumId w:val="27"/>
  </w:num>
  <w:num w:numId="21">
    <w:abstractNumId w:val="11"/>
  </w:num>
  <w:num w:numId="22">
    <w:abstractNumId w:val="13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2"/>
  </w:num>
  <w:num w:numId="31">
    <w:abstractNumId w:val="34"/>
  </w:num>
  <w:num w:numId="32">
    <w:abstractNumId w:val="21"/>
  </w:num>
  <w:num w:numId="33">
    <w:abstractNumId w:val="2"/>
  </w:num>
  <w:num w:numId="34">
    <w:abstractNumId w:val="24"/>
  </w:num>
  <w:num w:numId="35">
    <w:abstractNumId w:val="9"/>
  </w:num>
  <w:num w:numId="36">
    <w:abstractNumId w:val="12"/>
  </w:num>
  <w:num w:numId="37">
    <w:abstractNumId w:val="6"/>
  </w:num>
  <w:num w:numId="38">
    <w:abstractNumId w:val="26"/>
  </w:num>
  <w:num w:numId="39">
    <w:abstractNumId w:val="25"/>
  </w:num>
  <w:num w:numId="40">
    <w:abstractNumId w:val="20"/>
  </w:num>
  <w:num w:numId="41">
    <w:abstractNumId w:val="1"/>
  </w:num>
  <w:num w:numId="4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92"/>
    <w:rsid w:val="00001F53"/>
    <w:rsid w:val="00007C52"/>
    <w:rsid w:val="00014A56"/>
    <w:rsid w:val="0002336F"/>
    <w:rsid w:val="00024E60"/>
    <w:rsid w:val="000308CC"/>
    <w:rsid w:val="000309AA"/>
    <w:rsid w:val="00030E0C"/>
    <w:rsid w:val="000314CB"/>
    <w:rsid w:val="00034608"/>
    <w:rsid w:val="00044978"/>
    <w:rsid w:val="000517B9"/>
    <w:rsid w:val="00054BC5"/>
    <w:rsid w:val="00076F2E"/>
    <w:rsid w:val="00084E48"/>
    <w:rsid w:val="000950B8"/>
    <w:rsid w:val="0009774A"/>
    <w:rsid w:val="000A3CC2"/>
    <w:rsid w:val="000B2D26"/>
    <w:rsid w:val="000C10B5"/>
    <w:rsid w:val="000D1B31"/>
    <w:rsid w:val="000E772A"/>
    <w:rsid w:val="000E7BBA"/>
    <w:rsid w:val="000F120D"/>
    <w:rsid w:val="000F3A70"/>
    <w:rsid w:val="000F60A5"/>
    <w:rsid w:val="000F6719"/>
    <w:rsid w:val="000F7EA1"/>
    <w:rsid w:val="0011300D"/>
    <w:rsid w:val="00123DBC"/>
    <w:rsid w:val="00124A62"/>
    <w:rsid w:val="001269B1"/>
    <w:rsid w:val="00131661"/>
    <w:rsid w:val="0013608C"/>
    <w:rsid w:val="00141AF5"/>
    <w:rsid w:val="00146FE7"/>
    <w:rsid w:val="0014742D"/>
    <w:rsid w:val="00151B5D"/>
    <w:rsid w:val="001530A0"/>
    <w:rsid w:val="00155881"/>
    <w:rsid w:val="001634F3"/>
    <w:rsid w:val="00164594"/>
    <w:rsid w:val="00165082"/>
    <w:rsid w:val="00167C41"/>
    <w:rsid w:val="0017349D"/>
    <w:rsid w:val="00176059"/>
    <w:rsid w:val="00181176"/>
    <w:rsid w:val="00182AB0"/>
    <w:rsid w:val="0019123C"/>
    <w:rsid w:val="0019187F"/>
    <w:rsid w:val="00195992"/>
    <w:rsid w:val="001A0D04"/>
    <w:rsid w:val="001A18DF"/>
    <w:rsid w:val="001A3BB4"/>
    <w:rsid w:val="001B4FAA"/>
    <w:rsid w:val="001C35E9"/>
    <w:rsid w:val="001D121A"/>
    <w:rsid w:val="001D2347"/>
    <w:rsid w:val="001D54BB"/>
    <w:rsid w:val="001E0CD3"/>
    <w:rsid w:val="001E14A1"/>
    <w:rsid w:val="001E39C8"/>
    <w:rsid w:val="001E73C0"/>
    <w:rsid w:val="001F1ABF"/>
    <w:rsid w:val="002010CB"/>
    <w:rsid w:val="00210588"/>
    <w:rsid w:val="002107C6"/>
    <w:rsid w:val="002114A0"/>
    <w:rsid w:val="00212D46"/>
    <w:rsid w:val="00214996"/>
    <w:rsid w:val="0021761C"/>
    <w:rsid w:val="002241C8"/>
    <w:rsid w:val="00237755"/>
    <w:rsid w:val="0023794E"/>
    <w:rsid w:val="00237A15"/>
    <w:rsid w:val="0024507B"/>
    <w:rsid w:val="00245D56"/>
    <w:rsid w:val="00251A9D"/>
    <w:rsid w:val="00254647"/>
    <w:rsid w:val="00267A6B"/>
    <w:rsid w:val="00270DC9"/>
    <w:rsid w:val="00277151"/>
    <w:rsid w:val="002836CD"/>
    <w:rsid w:val="00285FA1"/>
    <w:rsid w:val="0029218B"/>
    <w:rsid w:val="00292E81"/>
    <w:rsid w:val="00295312"/>
    <w:rsid w:val="00296C8F"/>
    <w:rsid w:val="002A04DC"/>
    <w:rsid w:val="002A2B15"/>
    <w:rsid w:val="002A2F63"/>
    <w:rsid w:val="002B39A9"/>
    <w:rsid w:val="002B5BC1"/>
    <w:rsid w:val="002B75FF"/>
    <w:rsid w:val="002B7EEF"/>
    <w:rsid w:val="002C3A3A"/>
    <w:rsid w:val="002C69D8"/>
    <w:rsid w:val="002E32C0"/>
    <w:rsid w:val="002F073D"/>
    <w:rsid w:val="002F2AAD"/>
    <w:rsid w:val="002F4444"/>
    <w:rsid w:val="00300D6D"/>
    <w:rsid w:val="00301791"/>
    <w:rsid w:val="00302065"/>
    <w:rsid w:val="003059C6"/>
    <w:rsid w:val="00313156"/>
    <w:rsid w:val="00344445"/>
    <w:rsid w:val="00360450"/>
    <w:rsid w:val="0036239C"/>
    <w:rsid w:val="003644A9"/>
    <w:rsid w:val="0036757D"/>
    <w:rsid w:val="00371F5E"/>
    <w:rsid w:val="00372949"/>
    <w:rsid w:val="00374819"/>
    <w:rsid w:val="00374E0E"/>
    <w:rsid w:val="0037672E"/>
    <w:rsid w:val="003809B0"/>
    <w:rsid w:val="0038102F"/>
    <w:rsid w:val="003826C3"/>
    <w:rsid w:val="00383241"/>
    <w:rsid w:val="003848C5"/>
    <w:rsid w:val="003954D4"/>
    <w:rsid w:val="003A1597"/>
    <w:rsid w:val="003A1D1B"/>
    <w:rsid w:val="003A52CC"/>
    <w:rsid w:val="003A797A"/>
    <w:rsid w:val="003B1B4C"/>
    <w:rsid w:val="003B6447"/>
    <w:rsid w:val="003C0BFB"/>
    <w:rsid w:val="003C287A"/>
    <w:rsid w:val="003D5D68"/>
    <w:rsid w:val="003D6A10"/>
    <w:rsid w:val="003E0F45"/>
    <w:rsid w:val="003E19BE"/>
    <w:rsid w:val="003F4BC2"/>
    <w:rsid w:val="003F4C2B"/>
    <w:rsid w:val="00401A0D"/>
    <w:rsid w:val="00406832"/>
    <w:rsid w:val="00413B94"/>
    <w:rsid w:val="0043408A"/>
    <w:rsid w:val="004400BE"/>
    <w:rsid w:val="004467A6"/>
    <w:rsid w:val="004521AB"/>
    <w:rsid w:val="004570C2"/>
    <w:rsid w:val="004626BF"/>
    <w:rsid w:val="004654DE"/>
    <w:rsid w:val="0046662B"/>
    <w:rsid w:val="00470471"/>
    <w:rsid w:val="00473B51"/>
    <w:rsid w:val="00477515"/>
    <w:rsid w:val="00477D7E"/>
    <w:rsid w:val="00482102"/>
    <w:rsid w:val="00483342"/>
    <w:rsid w:val="00483FD1"/>
    <w:rsid w:val="004A6C43"/>
    <w:rsid w:val="004B0580"/>
    <w:rsid w:val="004B6FBD"/>
    <w:rsid w:val="004C3330"/>
    <w:rsid w:val="004C7012"/>
    <w:rsid w:val="004D0997"/>
    <w:rsid w:val="004D1CD2"/>
    <w:rsid w:val="004D358A"/>
    <w:rsid w:val="004D5926"/>
    <w:rsid w:val="004E3669"/>
    <w:rsid w:val="004E472C"/>
    <w:rsid w:val="004E4EE2"/>
    <w:rsid w:val="004E5FFF"/>
    <w:rsid w:val="004E6CFD"/>
    <w:rsid w:val="004E6E78"/>
    <w:rsid w:val="004E769B"/>
    <w:rsid w:val="004F068F"/>
    <w:rsid w:val="004F232B"/>
    <w:rsid w:val="004F3044"/>
    <w:rsid w:val="00513AE4"/>
    <w:rsid w:val="00515C88"/>
    <w:rsid w:val="0052102F"/>
    <w:rsid w:val="00522F59"/>
    <w:rsid w:val="00526EB6"/>
    <w:rsid w:val="00530F30"/>
    <w:rsid w:val="005352E1"/>
    <w:rsid w:val="0053739C"/>
    <w:rsid w:val="00553B2D"/>
    <w:rsid w:val="00563707"/>
    <w:rsid w:val="00565E8A"/>
    <w:rsid w:val="005723D5"/>
    <w:rsid w:val="005757C3"/>
    <w:rsid w:val="00590CAC"/>
    <w:rsid w:val="00591EC7"/>
    <w:rsid w:val="00594A41"/>
    <w:rsid w:val="00597A1E"/>
    <w:rsid w:val="005A1889"/>
    <w:rsid w:val="005A536F"/>
    <w:rsid w:val="005A63CA"/>
    <w:rsid w:val="005A65B6"/>
    <w:rsid w:val="005A78F1"/>
    <w:rsid w:val="005C2D7D"/>
    <w:rsid w:val="005C590D"/>
    <w:rsid w:val="005E03DC"/>
    <w:rsid w:val="005E7C1C"/>
    <w:rsid w:val="005F0760"/>
    <w:rsid w:val="005F13AE"/>
    <w:rsid w:val="00601645"/>
    <w:rsid w:val="0061408A"/>
    <w:rsid w:val="00631A00"/>
    <w:rsid w:val="0063586B"/>
    <w:rsid w:val="00637B7B"/>
    <w:rsid w:val="00642689"/>
    <w:rsid w:val="00655AF7"/>
    <w:rsid w:val="00662B0F"/>
    <w:rsid w:val="006669FC"/>
    <w:rsid w:val="00674D38"/>
    <w:rsid w:val="00677AE6"/>
    <w:rsid w:val="00684153"/>
    <w:rsid w:val="00686728"/>
    <w:rsid w:val="00687A90"/>
    <w:rsid w:val="00691224"/>
    <w:rsid w:val="006963B3"/>
    <w:rsid w:val="006A66A7"/>
    <w:rsid w:val="006B68EA"/>
    <w:rsid w:val="006B7A80"/>
    <w:rsid w:val="006C3D7D"/>
    <w:rsid w:val="006D67B9"/>
    <w:rsid w:val="006F023E"/>
    <w:rsid w:val="006F1CE9"/>
    <w:rsid w:val="006F5ED7"/>
    <w:rsid w:val="0070174C"/>
    <w:rsid w:val="007070EB"/>
    <w:rsid w:val="00707334"/>
    <w:rsid w:val="00712270"/>
    <w:rsid w:val="007144F6"/>
    <w:rsid w:val="00714DE1"/>
    <w:rsid w:val="00721B73"/>
    <w:rsid w:val="00722436"/>
    <w:rsid w:val="00724753"/>
    <w:rsid w:val="00726D0A"/>
    <w:rsid w:val="00735170"/>
    <w:rsid w:val="00735C74"/>
    <w:rsid w:val="0073740E"/>
    <w:rsid w:val="0074031C"/>
    <w:rsid w:val="00740CF7"/>
    <w:rsid w:val="00741AE0"/>
    <w:rsid w:val="007516D7"/>
    <w:rsid w:val="007577BA"/>
    <w:rsid w:val="007577D9"/>
    <w:rsid w:val="00757B92"/>
    <w:rsid w:val="00760B6D"/>
    <w:rsid w:val="007613FA"/>
    <w:rsid w:val="00762427"/>
    <w:rsid w:val="0076328D"/>
    <w:rsid w:val="0077712F"/>
    <w:rsid w:val="00782CE1"/>
    <w:rsid w:val="00786B1B"/>
    <w:rsid w:val="00792185"/>
    <w:rsid w:val="0079379B"/>
    <w:rsid w:val="00793B55"/>
    <w:rsid w:val="007A29FD"/>
    <w:rsid w:val="007A6AA3"/>
    <w:rsid w:val="007A6DEE"/>
    <w:rsid w:val="007B42D6"/>
    <w:rsid w:val="007B6411"/>
    <w:rsid w:val="007C0150"/>
    <w:rsid w:val="007D04A4"/>
    <w:rsid w:val="007D3F04"/>
    <w:rsid w:val="007D7F3F"/>
    <w:rsid w:val="007E4F5A"/>
    <w:rsid w:val="007F096D"/>
    <w:rsid w:val="007F5571"/>
    <w:rsid w:val="00800D03"/>
    <w:rsid w:val="00804BF5"/>
    <w:rsid w:val="00806BE4"/>
    <w:rsid w:val="00823953"/>
    <w:rsid w:val="00830E8F"/>
    <w:rsid w:val="00831EFB"/>
    <w:rsid w:val="008326C8"/>
    <w:rsid w:val="008371AA"/>
    <w:rsid w:val="008440E6"/>
    <w:rsid w:val="00847B16"/>
    <w:rsid w:val="008532C0"/>
    <w:rsid w:val="00856222"/>
    <w:rsid w:val="00863528"/>
    <w:rsid w:val="0086562C"/>
    <w:rsid w:val="00866E75"/>
    <w:rsid w:val="008676C3"/>
    <w:rsid w:val="0087056E"/>
    <w:rsid w:val="0087605B"/>
    <w:rsid w:val="008825C6"/>
    <w:rsid w:val="008846B3"/>
    <w:rsid w:val="00884A68"/>
    <w:rsid w:val="00890DC3"/>
    <w:rsid w:val="008956F1"/>
    <w:rsid w:val="008A08C9"/>
    <w:rsid w:val="008B72D2"/>
    <w:rsid w:val="008C219E"/>
    <w:rsid w:val="008D2DF1"/>
    <w:rsid w:val="008D400B"/>
    <w:rsid w:val="008E1667"/>
    <w:rsid w:val="008E27C2"/>
    <w:rsid w:val="008E7F1D"/>
    <w:rsid w:val="00900EC1"/>
    <w:rsid w:val="00902F3D"/>
    <w:rsid w:val="0090723D"/>
    <w:rsid w:val="00914E35"/>
    <w:rsid w:val="00914E46"/>
    <w:rsid w:val="00915078"/>
    <w:rsid w:val="00916F36"/>
    <w:rsid w:val="00931276"/>
    <w:rsid w:val="0095000A"/>
    <w:rsid w:val="009517BE"/>
    <w:rsid w:val="009615AC"/>
    <w:rsid w:val="009711F4"/>
    <w:rsid w:val="00977CA4"/>
    <w:rsid w:val="00986322"/>
    <w:rsid w:val="00986DE7"/>
    <w:rsid w:val="00994F6B"/>
    <w:rsid w:val="009957C9"/>
    <w:rsid w:val="00995F64"/>
    <w:rsid w:val="009B2766"/>
    <w:rsid w:val="009B4692"/>
    <w:rsid w:val="009B6E3A"/>
    <w:rsid w:val="009B70C5"/>
    <w:rsid w:val="009B7147"/>
    <w:rsid w:val="009C1F64"/>
    <w:rsid w:val="009D1E4A"/>
    <w:rsid w:val="009E0618"/>
    <w:rsid w:val="009E0A5E"/>
    <w:rsid w:val="009E3CCF"/>
    <w:rsid w:val="009F2329"/>
    <w:rsid w:val="00A00CA5"/>
    <w:rsid w:val="00A01CD1"/>
    <w:rsid w:val="00A0293C"/>
    <w:rsid w:val="00A0711F"/>
    <w:rsid w:val="00A07368"/>
    <w:rsid w:val="00A11E1D"/>
    <w:rsid w:val="00A141F9"/>
    <w:rsid w:val="00A14D58"/>
    <w:rsid w:val="00A31C67"/>
    <w:rsid w:val="00A35F7D"/>
    <w:rsid w:val="00A363B9"/>
    <w:rsid w:val="00A545F9"/>
    <w:rsid w:val="00A60369"/>
    <w:rsid w:val="00A63436"/>
    <w:rsid w:val="00A6505C"/>
    <w:rsid w:val="00A674A2"/>
    <w:rsid w:val="00A84688"/>
    <w:rsid w:val="00A84DD1"/>
    <w:rsid w:val="00A8590C"/>
    <w:rsid w:val="00A91633"/>
    <w:rsid w:val="00A93F34"/>
    <w:rsid w:val="00A9402C"/>
    <w:rsid w:val="00A95BC5"/>
    <w:rsid w:val="00A96BDB"/>
    <w:rsid w:val="00AB7BD6"/>
    <w:rsid w:val="00AC5858"/>
    <w:rsid w:val="00AC6818"/>
    <w:rsid w:val="00AD1441"/>
    <w:rsid w:val="00AD4D1C"/>
    <w:rsid w:val="00AE1DA3"/>
    <w:rsid w:val="00AF288A"/>
    <w:rsid w:val="00AF3A1A"/>
    <w:rsid w:val="00AF42E1"/>
    <w:rsid w:val="00AF4DB2"/>
    <w:rsid w:val="00AF6F60"/>
    <w:rsid w:val="00B04CF3"/>
    <w:rsid w:val="00B05750"/>
    <w:rsid w:val="00B11184"/>
    <w:rsid w:val="00B21775"/>
    <w:rsid w:val="00B25D0D"/>
    <w:rsid w:val="00B3378F"/>
    <w:rsid w:val="00B34A42"/>
    <w:rsid w:val="00B34D02"/>
    <w:rsid w:val="00B35CAC"/>
    <w:rsid w:val="00B430CD"/>
    <w:rsid w:val="00B46CE6"/>
    <w:rsid w:val="00B54B83"/>
    <w:rsid w:val="00B626D0"/>
    <w:rsid w:val="00B678E4"/>
    <w:rsid w:val="00B74B92"/>
    <w:rsid w:val="00B877C9"/>
    <w:rsid w:val="00B920CD"/>
    <w:rsid w:val="00B95DD1"/>
    <w:rsid w:val="00B96A6D"/>
    <w:rsid w:val="00BA0FB3"/>
    <w:rsid w:val="00BA2FC5"/>
    <w:rsid w:val="00BC1828"/>
    <w:rsid w:val="00BC4203"/>
    <w:rsid w:val="00BC6083"/>
    <w:rsid w:val="00BC63D1"/>
    <w:rsid w:val="00BC74A2"/>
    <w:rsid w:val="00BD0D8D"/>
    <w:rsid w:val="00BD254E"/>
    <w:rsid w:val="00BD5303"/>
    <w:rsid w:val="00BD72EF"/>
    <w:rsid w:val="00BF00B8"/>
    <w:rsid w:val="00BF28BB"/>
    <w:rsid w:val="00BF4089"/>
    <w:rsid w:val="00BF4706"/>
    <w:rsid w:val="00C058A9"/>
    <w:rsid w:val="00C075CB"/>
    <w:rsid w:val="00C078F6"/>
    <w:rsid w:val="00C07A27"/>
    <w:rsid w:val="00C15A9E"/>
    <w:rsid w:val="00C16DE9"/>
    <w:rsid w:val="00C202D5"/>
    <w:rsid w:val="00C2642D"/>
    <w:rsid w:val="00C272DB"/>
    <w:rsid w:val="00C30FBD"/>
    <w:rsid w:val="00C32847"/>
    <w:rsid w:val="00C42752"/>
    <w:rsid w:val="00C664D9"/>
    <w:rsid w:val="00C67E16"/>
    <w:rsid w:val="00C72D63"/>
    <w:rsid w:val="00C7637F"/>
    <w:rsid w:val="00C76AB1"/>
    <w:rsid w:val="00C81A90"/>
    <w:rsid w:val="00CA46DD"/>
    <w:rsid w:val="00CA5DCF"/>
    <w:rsid w:val="00CA7C22"/>
    <w:rsid w:val="00CB30F9"/>
    <w:rsid w:val="00CC6F9D"/>
    <w:rsid w:val="00CD4620"/>
    <w:rsid w:val="00CE414C"/>
    <w:rsid w:val="00CE5745"/>
    <w:rsid w:val="00CE6596"/>
    <w:rsid w:val="00CF4FE7"/>
    <w:rsid w:val="00D014F3"/>
    <w:rsid w:val="00D05BA1"/>
    <w:rsid w:val="00D076BF"/>
    <w:rsid w:val="00D103F3"/>
    <w:rsid w:val="00D15995"/>
    <w:rsid w:val="00D2178F"/>
    <w:rsid w:val="00D4080A"/>
    <w:rsid w:val="00D50793"/>
    <w:rsid w:val="00D52BBE"/>
    <w:rsid w:val="00D5513A"/>
    <w:rsid w:val="00D55CB4"/>
    <w:rsid w:val="00D566FA"/>
    <w:rsid w:val="00D56F54"/>
    <w:rsid w:val="00D66DE3"/>
    <w:rsid w:val="00D7797F"/>
    <w:rsid w:val="00D85B13"/>
    <w:rsid w:val="00D927AC"/>
    <w:rsid w:val="00D942D7"/>
    <w:rsid w:val="00DA1A9F"/>
    <w:rsid w:val="00DA21B0"/>
    <w:rsid w:val="00DA2AF2"/>
    <w:rsid w:val="00DB0811"/>
    <w:rsid w:val="00DB314D"/>
    <w:rsid w:val="00DC1DF9"/>
    <w:rsid w:val="00DC3160"/>
    <w:rsid w:val="00DD0F8C"/>
    <w:rsid w:val="00DD3A3C"/>
    <w:rsid w:val="00DE0F3F"/>
    <w:rsid w:val="00DF5BB0"/>
    <w:rsid w:val="00E01E4A"/>
    <w:rsid w:val="00E04754"/>
    <w:rsid w:val="00E1105B"/>
    <w:rsid w:val="00E2160E"/>
    <w:rsid w:val="00E26B10"/>
    <w:rsid w:val="00E33421"/>
    <w:rsid w:val="00E37397"/>
    <w:rsid w:val="00E439C8"/>
    <w:rsid w:val="00E53D2E"/>
    <w:rsid w:val="00E53EF1"/>
    <w:rsid w:val="00E61BFD"/>
    <w:rsid w:val="00E63906"/>
    <w:rsid w:val="00E710C5"/>
    <w:rsid w:val="00E71F5D"/>
    <w:rsid w:val="00E72B8A"/>
    <w:rsid w:val="00E73105"/>
    <w:rsid w:val="00E7790C"/>
    <w:rsid w:val="00E82004"/>
    <w:rsid w:val="00E8718D"/>
    <w:rsid w:val="00E900C9"/>
    <w:rsid w:val="00E946B1"/>
    <w:rsid w:val="00E97D0F"/>
    <w:rsid w:val="00EA69FA"/>
    <w:rsid w:val="00EB28D4"/>
    <w:rsid w:val="00EB7753"/>
    <w:rsid w:val="00EC52D9"/>
    <w:rsid w:val="00ED0E55"/>
    <w:rsid w:val="00EE2990"/>
    <w:rsid w:val="00EF234D"/>
    <w:rsid w:val="00EF6AEB"/>
    <w:rsid w:val="00F024E9"/>
    <w:rsid w:val="00F048E0"/>
    <w:rsid w:val="00F049A2"/>
    <w:rsid w:val="00F07B27"/>
    <w:rsid w:val="00F10661"/>
    <w:rsid w:val="00F117E0"/>
    <w:rsid w:val="00F14878"/>
    <w:rsid w:val="00F15DB7"/>
    <w:rsid w:val="00F161DE"/>
    <w:rsid w:val="00F27B3F"/>
    <w:rsid w:val="00F31BDD"/>
    <w:rsid w:val="00F408DA"/>
    <w:rsid w:val="00F45570"/>
    <w:rsid w:val="00F50C30"/>
    <w:rsid w:val="00F55394"/>
    <w:rsid w:val="00F555F8"/>
    <w:rsid w:val="00F577CC"/>
    <w:rsid w:val="00F61B6F"/>
    <w:rsid w:val="00F63545"/>
    <w:rsid w:val="00F63D66"/>
    <w:rsid w:val="00F67845"/>
    <w:rsid w:val="00F71E7A"/>
    <w:rsid w:val="00F74D72"/>
    <w:rsid w:val="00F772FD"/>
    <w:rsid w:val="00F94921"/>
    <w:rsid w:val="00FB0B7A"/>
    <w:rsid w:val="00FB3B5B"/>
    <w:rsid w:val="00FC7A81"/>
    <w:rsid w:val="00FD0774"/>
    <w:rsid w:val="00FD69E4"/>
    <w:rsid w:val="00FE0468"/>
    <w:rsid w:val="00FE7DE9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CB955"/>
  <w15:docId w15:val="{CB8C5396-A9EE-42BF-8A84-62FF7AC0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997"/>
    <w:pPr>
      <w:spacing w:line="360" w:lineRule="auto"/>
      <w:jc w:val="both"/>
    </w:pPr>
    <w:rPr>
      <w:rFonts w:ascii="Verdana" w:eastAsia="Times New Roman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55AF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55AF7"/>
    <w:rPr>
      <w:rFonts w:ascii="Cambria" w:hAnsi="Cambria" w:cs="Cambria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95992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182AB0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B96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96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6A6D"/>
    <w:rPr>
      <w:rFonts w:ascii="Verdana" w:hAnsi="Verdana" w:cs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96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6A6D"/>
    <w:rPr>
      <w:rFonts w:ascii="Verdana" w:hAnsi="Verdana" w:cs="Verdan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96A6D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6963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84688"/>
    <w:rPr>
      <w:rFonts w:ascii="Verdana" w:eastAsia="Times New Roman" w:hAnsi="Verdana" w:cs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E55"/>
    <w:rPr>
      <w:rFonts w:ascii="Verdana" w:eastAsia="Times New Roman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E55"/>
    <w:rPr>
      <w:rFonts w:ascii="Verdana" w:eastAsia="Times New Roman" w:hAnsi="Verdana" w:cs="Verdana"/>
      <w:sz w:val="18"/>
      <w:szCs w:val="18"/>
    </w:rPr>
  </w:style>
  <w:style w:type="character" w:customStyle="1" w:styleId="shorttext">
    <w:name w:val="short_text"/>
    <w:basedOn w:val="Domylnaczcionkaakapitu"/>
    <w:rsid w:val="001F1ABF"/>
  </w:style>
  <w:style w:type="character" w:customStyle="1" w:styleId="hps">
    <w:name w:val="hps"/>
    <w:basedOn w:val="Domylnaczcionkaakapitu"/>
    <w:rsid w:val="001F1ABF"/>
  </w:style>
  <w:style w:type="paragraph" w:styleId="Tekstpodstawowy">
    <w:name w:val="Body Text"/>
    <w:basedOn w:val="Normalny"/>
    <w:link w:val="TekstpodstawowyZnak"/>
    <w:unhideWhenUsed/>
    <w:rsid w:val="00B74B92"/>
    <w:pPr>
      <w:spacing w:before="240" w:line="240" w:lineRule="exact"/>
    </w:pPr>
    <w:rPr>
      <w:rFonts w:ascii="Calibri Light" w:eastAsiaTheme="minorEastAsia" w:hAnsi="Calibri Light" w:cstheme="minorBidi"/>
      <w:sz w:val="20"/>
      <w:szCs w:val="24"/>
      <w:lang w:val="nl-BE" w:eastAsia="nl-NL"/>
    </w:rPr>
  </w:style>
  <w:style w:type="character" w:customStyle="1" w:styleId="TekstpodstawowyZnak">
    <w:name w:val="Tekst podstawowy Znak"/>
    <w:basedOn w:val="Domylnaczcionkaakapitu"/>
    <w:link w:val="Tekstpodstawowy"/>
    <w:rsid w:val="00B74B92"/>
    <w:rPr>
      <w:rFonts w:ascii="Calibri Light" w:eastAsiaTheme="minorEastAsia" w:hAnsi="Calibri Light" w:cstheme="minorBidi"/>
      <w:sz w:val="20"/>
      <w:szCs w:val="24"/>
      <w:lang w:val="nl-BE" w:eastAsia="nl-NL"/>
    </w:rPr>
  </w:style>
  <w:style w:type="character" w:styleId="Hipercze">
    <w:name w:val="Hyperlink"/>
    <w:basedOn w:val="Domylnaczcionkaakapitu"/>
    <w:uiPriority w:val="99"/>
    <w:unhideWhenUsed/>
    <w:rsid w:val="00B74B9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CA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CAC"/>
    <w:rPr>
      <w:rFonts w:ascii="Verdana" w:eastAsia="Times New Roman" w:hAnsi="Verdana" w:cs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CAC"/>
    <w:rPr>
      <w:vertAlign w:val="superscript"/>
    </w:rPr>
  </w:style>
  <w:style w:type="character" w:customStyle="1" w:styleId="s2">
    <w:name w:val="s2"/>
    <w:basedOn w:val="Domylnaczcionkaakapitu"/>
    <w:rsid w:val="007A29FD"/>
  </w:style>
  <w:style w:type="table" w:customStyle="1" w:styleId="TableNormal">
    <w:name w:val="Table Normal"/>
    <w:rsid w:val="00BC18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Styl moj Znak"/>
    <w:basedOn w:val="Domylnaczcionkaakapitu"/>
    <w:link w:val="Akapitzlist"/>
    <w:uiPriority w:val="34"/>
    <w:locked/>
    <w:rsid w:val="00BC1828"/>
    <w:rPr>
      <w:rFonts w:ascii="Verdana" w:eastAsia="Times New Roman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3686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44">
          <w:marLeft w:val="108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09">
          <w:marLeft w:val="108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8490d18d-1e1f-4ae2-adbe-3f6683173bee" value=""/>
  <element uid="03e9b10b-a1f9-4a88-9630-476473f62285" value=""/>
  <element uid="7349a702-6462-4442-88eb-c64cd513835c" value=""/>
</sisl>
</file>

<file path=customXml/itemProps1.xml><?xml version="1.0" encoding="utf-8"?>
<ds:datastoreItem xmlns:ds="http://schemas.openxmlformats.org/officeDocument/2006/customXml" ds:itemID="{298B6C88-EEC1-4CFD-AFB9-7BFACDE48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6011C-7A1C-407A-916C-B61F8100BE1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721</Words>
  <Characters>4518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P.Wojciechowski</dc:creator>
  <cp:keywords>*$%PUB-*$%GenBus</cp:keywords>
  <cp:lastModifiedBy>Królak-Buzakowska Joanna</cp:lastModifiedBy>
  <cp:revision>15</cp:revision>
  <cp:lastPrinted>2019-10-02T09:21:00Z</cp:lastPrinted>
  <dcterms:created xsi:type="dcterms:W3CDTF">2020-10-07T21:32:00Z</dcterms:created>
  <dcterms:modified xsi:type="dcterms:W3CDTF">2020-10-20T21:33:00Z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a53d5511-c46c-444c-8c85-9ae3397a31b9</vt:lpwstr>
  </property>
  <property fmtid="{D5CDD505-2E9C-101B-9397-08002B2CF9AE}" pid="4" name="bjSaver">
    <vt:lpwstr>gvOuDYKqgnC+Ol8ZjbLxz0roa12XtkNn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6" name="bjDocumentLabelXML-0">
    <vt:lpwstr>ames.com/2008/01/sie/internal/label"&gt;&lt;element uid="8490d18d-1e1f-4ae2-adbe-3f6683173bee" value="" /&gt;&lt;element uid="03e9b10b-a1f9-4a88-9630-476473f62285" value="" /&gt;&lt;element uid="7349a702-6462-4442-88eb-c64cd513835c" value="" /&gt;&lt;/sisl&gt;</vt:lpwstr>
  </property>
  <property fmtid="{D5CDD505-2E9C-101B-9397-08002B2CF9AE}" pid="7" name="bjDocumentSecurityLabel">
    <vt:lpwstr>Public - General Business</vt:lpwstr>
  </property>
</Properties>
</file>