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0463" w14:textId="6802EF43" w:rsidR="006E0F03" w:rsidRPr="006E0F03" w:rsidRDefault="006E0F03" w:rsidP="006E0F03">
      <w:pPr>
        <w:pStyle w:val="Bezodstpw"/>
        <w:suppressAutoHyphens/>
        <w:spacing w:after="400"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6E0F03">
        <w:rPr>
          <w:rFonts w:asciiTheme="minorHAnsi" w:hAnsiTheme="minorHAnsi"/>
          <w:sz w:val="24"/>
          <w:szCs w:val="24"/>
        </w:rPr>
        <w:t>Gdańsk,  30 czerwca 2025 r.</w:t>
      </w:r>
    </w:p>
    <w:p w14:paraId="6458E6D0" w14:textId="768728F4" w:rsidR="00000000" w:rsidRPr="006E0F03" w:rsidRDefault="00000000" w:rsidP="006E0F03">
      <w:pPr>
        <w:pStyle w:val="Bezodstpw"/>
        <w:suppressAutoHyphens/>
        <w:spacing w:after="4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1B4D55">
        <w:rPr>
          <w:rFonts w:asciiTheme="minorHAnsi" w:hAnsiTheme="minorHAnsi"/>
          <w:b/>
          <w:bCs/>
          <w:sz w:val="24"/>
          <w:szCs w:val="24"/>
        </w:rPr>
        <w:t>NSP-III.7570.36.2024</w:t>
      </w:r>
      <w:bookmarkEnd w:id="0"/>
      <w:r w:rsidRPr="001B4D55">
        <w:rPr>
          <w:rFonts w:asciiTheme="minorHAnsi" w:hAnsiTheme="minorHAnsi"/>
          <w:b/>
          <w:bCs/>
          <w:sz w:val="24"/>
          <w:szCs w:val="24"/>
        </w:rPr>
        <w:t>.</w:t>
      </w:r>
      <w:bookmarkStart w:id="1" w:name="ezdAutorInicjaly"/>
      <w:r w:rsidRPr="001B4D55">
        <w:rPr>
          <w:rFonts w:asciiTheme="minorHAnsi" w:hAnsiTheme="minorHAnsi"/>
          <w:b/>
          <w:bCs/>
          <w:sz w:val="24"/>
          <w:szCs w:val="24"/>
        </w:rPr>
        <w:t>AS</w:t>
      </w:r>
      <w:bookmarkEnd w:id="1"/>
      <w:r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419BAD8D" w14:textId="77777777" w:rsidR="00000000" w:rsidRPr="00F21337" w:rsidRDefault="00000000" w:rsidP="006E0F03">
      <w:pPr>
        <w:pStyle w:val="Bezodstpw"/>
        <w:suppressAutoHyphens/>
        <w:spacing w:before="80" w:after="400"/>
        <w:ind w:left="2124" w:firstLine="708"/>
        <w:jc w:val="center"/>
        <w:rPr>
          <w:rFonts w:asciiTheme="minorHAnsi" w:hAnsiTheme="minorHAnsi"/>
          <w:b/>
          <w:sz w:val="24"/>
          <w:szCs w:val="24"/>
        </w:rPr>
      </w:pPr>
      <w:r w:rsidRPr="00174B3B">
        <w:rPr>
          <w:rFonts w:asciiTheme="minorHAnsi" w:hAnsiTheme="minorHAnsi"/>
          <w:b/>
          <w:sz w:val="24"/>
          <w:szCs w:val="24"/>
        </w:rPr>
        <w:t>wg rozdzielnika</w:t>
      </w:r>
    </w:p>
    <w:p w14:paraId="07A5AF97" w14:textId="616F31AC" w:rsidR="00000000" w:rsidRPr="00174B3B" w:rsidRDefault="00000000" w:rsidP="006E0F03">
      <w:pPr>
        <w:pStyle w:val="Bezodstpw"/>
        <w:suppressAutoHyphens/>
        <w:spacing w:before="80" w:after="400"/>
        <w:rPr>
          <w:rFonts w:asciiTheme="minorHAnsi" w:hAnsiTheme="minorHAnsi"/>
          <w:sz w:val="24"/>
          <w:szCs w:val="24"/>
        </w:rPr>
      </w:pPr>
      <w:r w:rsidRPr="00174B3B">
        <w:rPr>
          <w:rFonts w:asciiTheme="minorHAnsi" w:hAnsiTheme="minorHAnsi"/>
          <w:sz w:val="24"/>
          <w:szCs w:val="24"/>
        </w:rPr>
        <w:t>Szanowni Państwo,</w:t>
      </w:r>
    </w:p>
    <w:p w14:paraId="7A4DEB60" w14:textId="77777777" w:rsidR="00000000" w:rsidRPr="001B4D55" w:rsidRDefault="00000000" w:rsidP="001B4D55">
      <w:pPr>
        <w:pStyle w:val="Bezodstpw"/>
        <w:suppressAutoHyphens/>
        <w:spacing w:after="80"/>
        <w:rPr>
          <w:rFonts w:cs="Calibri"/>
          <w:sz w:val="24"/>
          <w:szCs w:val="24"/>
        </w:rPr>
      </w:pPr>
      <w:r w:rsidRPr="001B4D55">
        <w:rPr>
          <w:rFonts w:cs="Calibri"/>
          <w:sz w:val="24"/>
          <w:szCs w:val="24"/>
        </w:rPr>
        <w:t xml:space="preserve">na podstawie art. 36 ustawy z dnia 14 czerwca 1960 r. – Kodeks postępowania administracyjnego (j.t. Dz. U. z 2024 r., poz. 572), </w:t>
      </w:r>
      <w:r w:rsidRPr="001B4D55">
        <w:rPr>
          <w:rFonts w:cs="Calibri"/>
          <w:iCs/>
          <w:sz w:val="24"/>
          <w:szCs w:val="24"/>
        </w:rPr>
        <w:t xml:space="preserve">zawiadamiam, że w </w:t>
      </w:r>
      <w:r w:rsidRPr="001B4D55">
        <w:rPr>
          <w:rFonts w:cs="Calibri"/>
          <w:sz w:val="24"/>
          <w:szCs w:val="24"/>
        </w:rPr>
        <w:t xml:space="preserve">związku z oczekiwaniem na sporządzenie przez biegłego rzeczoznawcę majątkowego opinii o wartości nieruchomości w formie operatu szacunkowego, zakończenie prowadzonego postępowania w sprawie ustalenia odszkodowania za nieruchomość oznaczoną </w:t>
      </w:r>
      <w:r w:rsidRPr="001B4D55">
        <w:rPr>
          <w:rFonts w:eastAsia="Arial Unicode MS" w:cs="Calibri"/>
          <w:kern w:val="1"/>
          <w:sz w:val="24"/>
          <w:szCs w:val="24"/>
          <w:lang w:eastAsia="ar-SA"/>
        </w:rPr>
        <w:t xml:space="preserve">jako działka </w:t>
      </w:r>
      <w:r w:rsidRPr="001B4D55">
        <w:rPr>
          <w:rFonts w:eastAsia="Arial Unicode MS" w:cs="Calibri"/>
          <w:b/>
          <w:kern w:val="1"/>
          <w:sz w:val="24"/>
          <w:szCs w:val="24"/>
          <w:lang w:eastAsia="ar-SA"/>
        </w:rPr>
        <w:t>nr 2653/1 o</w:t>
      </w:r>
      <w:r>
        <w:rPr>
          <w:rFonts w:eastAsia="Arial Unicode MS" w:cs="Calibri"/>
          <w:b/>
          <w:kern w:val="1"/>
          <w:sz w:val="24"/>
          <w:szCs w:val="24"/>
          <w:lang w:eastAsia="ar-SA"/>
        </w:rPr>
        <w:t> </w:t>
      </w:r>
      <w:r w:rsidRPr="001B4D55">
        <w:rPr>
          <w:rFonts w:eastAsia="Arial Unicode MS" w:cs="Calibri"/>
          <w:b/>
          <w:kern w:val="1"/>
          <w:sz w:val="24"/>
          <w:szCs w:val="24"/>
          <w:lang w:eastAsia="ar-SA"/>
        </w:rPr>
        <w:t>pow. 0,0007 ha</w:t>
      </w:r>
      <w:r w:rsidRPr="001B4D55">
        <w:rPr>
          <w:rFonts w:eastAsia="Arial Unicode MS" w:cs="Calibri"/>
          <w:kern w:val="1"/>
          <w:sz w:val="24"/>
          <w:szCs w:val="24"/>
          <w:lang w:eastAsia="ar-SA"/>
        </w:rPr>
        <w:t xml:space="preserve">, która powstała z podziału działki </w:t>
      </w:r>
      <w:r w:rsidRPr="001B4D55">
        <w:rPr>
          <w:rFonts w:eastAsia="Arial Unicode MS" w:cs="Calibri"/>
          <w:b/>
          <w:kern w:val="1"/>
          <w:sz w:val="24"/>
          <w:szCs w:val="24"/>
          <w:lang w:eastAsia="ar-SA"/>
        </w:rPr>
        <w:t>nr 2653</w:t>
      </w:r>
      <w:r w:rsidRPr="001B4D55">
        <w:rPr>
          <w:rFonts w:eastAsia="Arial Unicode MS" w:cs="Calibri"/>
          <w:kern w:val="1"/>
          <w:sz w:val="24"/>
          <w:szCs w:val="24"/>
          <w:lang w:eastAsia="ar-SA"/>
        </w:rPr>
        <w:t xml:space="preserve">, położoną w gminie </w:t>
      </w:r>
      <w:r w:rsidRPr="001B4D55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>M. Gdynia</w:t>
      </w:r>
      <w:r w:rsidRPr="001B4D55">
        <w:rPr>
          <w:rFonts w:eastAsia="Arial Unicode MS" w:cs="Calibri"/>
          <w:kern w:val="1"/>
          <w:sz w:val="24"/>
          <w:szCs w:val="24"/>
          <w:lang w:eastAsia="ar-SA"/>
        </w:rPr>
        <w:t xml:space="preserve">, obręb </w:t>
      </w:r>
      <w:r w:rsidRPr="001B4D55">
        <w:rPr>
          <w:rFonts w:eastAsia="Arial Unicode MS" w:cs="Calibri"/>
          <w:b/>
          <w:bCs/>
          <w:kern w:val="1"/>
          <w:sz w:val="24"/>
          <w:szCs w:val="24"/>
          <w:lang w:eastAsia="ar-SA"/>
        </w:rPr>
        <w:t>Wielki Kack (nr 0027)</w:t>
      </w:r>
      <w:r w:rsidRPr="001B4D55">
        <w:rPr>
          <w:rFonts w:eastAsia="Arial Unicode MS" w:cs="Calibri"/>
          <w:kern w:val="1"/>
          <w:sz w:val="24"/>
          <w:szCs w:val="24"/>
          <w:lang w:eastAsia="ar-SA"/>
        </w:rPr>
        <w:t xml:space="preserve">, objętą ostateczną decyzją Wojewody Pomorskiego z dnia </w:t>
      </w:r>
      <w:r w:rsidRPr="001B4D55">
        <w:rPr>
          <w:rFonts w:cs="Calibri"/>
          <w:sz w:val="24"/>
          <w:szCs w:val="24"/>
        </w:rPr>
        <w:t>31</w:t>
      </w:r>
      <w:r>
        <w:rPr>
          <w:rFonts w:cs="Calibri"/>
          <w:sz w:val="24"/>
          <w:szCs w:val="24"/>
        </w:rPr>
        <w:t> </w:t>
      </w:r>
      <w:r w:rsidRPr="001B4D55">
        <w:rPr>
          <w:rFonts w:cs="Calibri"/>
          <w:sz w:val="24"/>
          <w:szCs w:val="24"/>
        </w:rPr>
        <w:t xml:space="preserve">grudnia 2019 r. nr WI-III.7820.14.2019.MKH o zezwoleniu na realizację inwestycji drogowej pn. </w:t>
      </w:r>
      <w:r w:rsidRPr="001B4D55">
        <w:rPr>
          <w:rFonts w:cs="Calibri"/>
          <w:i/>
          <w:iCs/>
          <w:sz w:val="24"/>
          <w:szCs w:val="24"/>
        </w:rPr>
        <w:t>"Budowa węzła integracyjnego transportu publicznego przy przystanku Pomorskiej Kolei Metropolitalnej Gdynia Karwiny"</w:t>
      </w:r>
      <w:r w:rsidRPr="001B4D55">
        <w:rPr>
          <w:rFonts w:cs="Calibri"/>
          <w:bCs/>
          <w:sz w:val="24"/>
          <w:szCs w:val="24"/>
        </w:rPr>
        <w:t xml:space="preserve">, </w:t>
      </w:r>
      <w:r w:rsidRPr="001B4D55">
        <w:rPr>
          <w:rFonts w:cs="Calibri"/>
          <w:sz w:val="24"/>
          <w:szCs w:val="24"/>
        </w:rPr>
        <w:t>w terminie wcześniej wskazanym nie jest możliwe.</w:t>
      </w:r>
    </w:p>
    <w:p w14:paraId="650E45B5" w14:textId="3F7135CC" w:rsidR="00000000" w:rsidRPr="001B4D55" w:rsidRDefault="00000000" w:rsidP="006E0F03">
      <w:pPr>
        <w:pStyle w:val="Bezodstpw"/>
        <w:suppressAutoHyphens/>
        <w:spacing w:after="400"/>
        <w:rPr>
          <w:rFonts w:cs="Calibri"/>
          <w:b/>
          <w:sz w:val="24"/>
          <w:szCs w:val="24"/>
        </w:rPr>
      </w:pPr>
      <w:r w:rsidRPr="001B4D55">
        <w:rPr>
          <w:rFonts w:cs="Calibri"/>
          <w:sz w:val="24"/>
          <w:szCs w:val="24"/>
        </w:rPr>
        <w:t xml:space="preserve">W związku z powyższym, wyznaczam nowy termin załatwienia sprawy do dnia </w:t>
      </w:r>
      <w:r w:rsidRPr="001B4D55">
        <w:rPr>
          <w:rFonts w:cs="Calibri"/>
          <w:b/>
          <w:sz w:val="24"/>
          <w:szCs w:val="24"/>
        </w:rPr>
        <w:t>31 grudnia 2025 r.</w:t>
      </w:r>
    </w:p>
    <w:p w14:paraId="6F951335" w14:textId="77777777" w:rsidR="00000000" w:rsidRPr="004A37ED" w:rsidRDefault="00000000" w:rsidP="00C804AE">
      <w:pPr>
        <w:spacing w:after="0" w:line="240" w:lineRule="auto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4A37ED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450ECC05" w14:textId="77777777" w:rsidR="00000000" w:rsidRPr="004A37ED" w:rsidRDefault="00000000" w:rsidP="00C804A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37ED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63B5A7B8" w14:textId="77777777" w:rsidR="00000000" w:rsidRPr="004A37ED" w:rsidRDefault="00000000" w:rsidP="00C804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37ED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 zgodnie wskazanym z art. 36 § 1 (bezczynność);</w:t>
      </w:r>
    </w:p>
    <w:p w14:paraId="4AF017C2" w14:textId="77777777" w:rsidR="00000000" w:rsidRPr="004A37ED" w:rsidRDefault="00000000" w:rsidP="00C804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37ED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72AAC22A" w14:textId="1352A218" w:rsidR="00000000" w:rsidRDefault="00000000" w:rsidP="006E0F03">
      <w:pPr>
        <w:widowControl w:val="0"/>
        <w:suppressAutoHyphens/>
        <w:spacing w:after="600" w:line="240" w:lineRule="auto"/>
        <w:ind w:left="284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4A37E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Rozwoju i Technologii za pośrednictwem Wojewody Pomorskiego. Ponaglenie powinno zawierać uzasadnienie </w:t>
      </w:r>
      <w:r w:rsidRPr="004A37ED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4A37ED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j.t. Dz. U. z 2024 r., poz. 572</w:t>
      </w:r>
      <w:r w:rsidRPr="004A37ED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).</w:t>
      </w:r>
    </w:p>
    <w:p w14:paraId="6295F4A9" w14:textId="77777777" w:rsidR="006E0F03" w:rsidRPr="006E0F03" w:rsidRDefault="006E0F03" w:rsidP="006E0F03">
      <w:pPr>
        <w:widowControl w:val="0"/>
        <w:suppressAutoHyphens/>
        <w:spacing w:after="0" w:line="240" w:lineRule="auto"/>
        <w:ind w:left="4962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6E0F0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z upoważnienia Wojewody Pomorskiego</w:t>
      </w:r>
    </w:p>
    <w:p w14:paraId="2DD7F414" w14:textId="77777777" w:rsidR="006E0F03" w:rsidRPr="006E0F03" w:rsidRDefault="006E0F03" w:rsidP="006E0F03">
      <w:pPr>
        <w:widowControl w:val="0"/>
        <w:suppressAutoHyphens/>
        <w:spacing w:after="0" w:line="240" w:lineRule="auto"/>
        <w:ind w:left="4962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6E0F0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Zastępca Dyrektora</w:t>
      </w:r>
    </w:p>
    <w:p w14:paraId="50BB6055" w14:textId="77777777" w:rsidR="006E0F03" w:rsidRPr="006E0F03" w:rsidRDefault="006E0F03" w:rsidP="006E0F03">
      <w:pPr>
        <w:widowControl w:val="0"/>
        <w:suppressAutoHyphens/>
        <w:spacing w:after="0" w:line="240" w:lineRule="auto"/>
        <w:ind w:left="4962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6E0F0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Wydziału Nieruchomości i Skarbu Państwa</w:t>
      </w:r>
    </w:p>
    <w:p w14:paraId="3F6B7824" w14:textId="77777777" w:rsidR="006E0F03" w:rsidRPr="006E0F03" w:rsidRDefault="006E0F03" w:rsidP="006E0F03">
      <w:pPr>
        <w:widowControl w:val="0"/>
        <w:suppressAutoHyphens/>
        <w:spacing w:after="0" w:line="240" w:lineRule="auto"/>
        <w:ind w:left="4962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6E0F0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Dorota Dambek-Duda</w:t>
      </w:r>
    </w:p>
    <w:p w14:paraId="661CCAB3" w14:textId="18ECE010" w:rsidR="006E0F03" w:rsidRPr="006E0F03" w:rsidRDefault="006E0F03" w:rsidP="006E0F03">
      <w:pPr>
        <w:widowControl w:val="0"/>
        <w:suppressAutoHyphens/>
        <w:spacing w:after="600" w:line="240" w:lineRule="auto"/>
        <w:ind w:left="4961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</w:pPr>
      <w:r w:rsidRPr="006E0F0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/dokument podpisany elektronicznie/</w:t>
      </w:r>
    </w:p>
    <w:p w14:paraId="4FA50BB1" w14:textId="4B177CAA" w:rsidR="00000000" w:rsidRPr="001B4D55" w:rsidRDefault="00000000" w:rsidP="001B4D55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1B4D55">
        <w:rPr>
          <w:rFonts w:asciiTheme="minorHAnsi" w:hAnsiTheme="minorHAnsi" w:cstheme="minorHAnsi"/>
          <w:b/>
          <w:sz w:val="16"/>
          <w:szCs w:val="16"/>
        </w:rPr>
        <w:t xml:space="preserve">Strona </w:t>
      </w:r>
      <w:r>
        <w:rPr>
          <w:rFonts w:asciiTheme="minorHAnsi" w:hAnsiTheme="minorHAnsi" w:cstheme="minorHAnsi"/>
          <w:b/>
          <w:sz w:val="16"/>
          <w:szCs w:val="16"/>
        </w:rPr>
        <w:t>BIP Pomorskiego Urzędu Wojewódzkiego w Gdańsku</w:t>
      </w:r>
    </w:p>
    <w:p w14:paraId="09BE65AA" w14:textId="77777777" w:rsidR="00000000" w:rsidRPr="00C804AE" w:rsidRDefault="00000000" w:rsidP="00C804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B4D55">
        <w:rPr>
          <w:rFonts w:asciiTheme="minorHAnsi" w:hAnsiTheme="minorHAnsi" w:cstheme="minorHAnsi"/>
          <w:b/>
          <w:sz w:val="16"/>
          <w:szCs w:val="16"/>
        </w:rPr>
        <w:t>aa.</w:t>
      </w:r>
    </w:p>
    <w:sectPr w:rsidR="00324E1F" w:rsidRPr="00C804AE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E2C5" w14:textId="77777777" w:rsidR="003741D0" w:rsidRDefault="003741D0">
      <w:pPr>
        <w:spacing w:after="0" w:line="240" w:lineRule="auto"/>
      </w:pPr>
      <w:r>
        <w:separator/>
      </w:r>
    </w:p>
  </w:endnote>
  <w:endnote w:type="continuationSeparator" w:id="0">
    <w:p w14:paraId="687298A1" w14:textId="77777777" w:rsidR="003741D0" w:rsidRDefault="0037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35A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87C07F2">
        <v:rect id="_x0000_i1025" style="width:0;height:1.5pt" o:hralign="center" o:hrstd="t" o:hr="t" fillcolor="#a0a0a0" stroked="f"/>
      </w:pict>
    </w:r>
  </w:p>
  <w:p w14:paraId="09C68C3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20FD91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CCDA4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3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3"/>
  </w:p>
  <w:p w14:paraId="5FDD93E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527EF5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B949D20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D81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A2C422B">
        <v:rect id="_x0000_i1027" style="width:0;height:1.5pt" o:hralign="center" o:hrstd="t" o:hr="t" fillcolor="#a0a0a0" stroked="f"/>
      </w:pict>
    </w:r>
  </w:p>
  <w:p w14:paraId="6AFF5C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6184C8C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16FC7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12E0455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0D0C17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07B6" w14:textId="77777777" w:rsidR="003741D0" w:rsidRDefault="003741D0">
      <w:pPr>
        <w:spacing w:after="0" w:line="240" w:lineRule="auto"/>
      </w:pPr>
      <w:r>
        <w:separator/>
      </w:r>
    </w:p>
  </w:footnote>
  <w:footnote w:type="continuationSeparator" w:id="0">
    <w:p w14:paraId="07946CC4" w14:textId="77777777" w:rsidR="003741D0" w:rsidRDefault="0037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07" w14:textId="77777777" w:rsidR="00000000" w:rsidRDefault="00000000">
    <w:pPr>
      <w:pStyle w:val="Nagwek"/>
    </w:pPr>
  </w:p>
  <w:p w14:paraId="279CC25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EDA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DEA72A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949AAD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3C121202">
      <w:start w:val="1"/>
      <w:numFmt w:val="decimal"/>
      <w:lvlText w:val="%1)"/>
      <w:lvlJc w:val="left"/>
      <w:pPr>
        <w:ind w:left="720" w:hanging="360"/>
      </w:pPr>
    </w:lvl>
    <w:lvl w:ilvl="1" w:tplc="4B2EB708" w:tentative="1">
      <w:start w:val="1"/>
      <w:numFmt w:val="lowerLetter"/>
      <w:lvlText w:val="%2."/>
      <w:lvlJc w:val="left"/>
      <w:pPr>
        <w:ind w:left="1440" w:hanging="360"/>
      </w:pPr>
    </w:lvl>
    <w:lvl w:ilvl="2" w:tplc="2500DCC6" w:tentative="1">
      <w:start w:val="1"/>
      <w:numFmt w:val="lowerRoman"/>
      <w:lvlText w:val="%3."/>
      <w:lvlJc w:val="right"/>
      <w:pPr>
        <w:ind w:left="2160" w:hanging="180"/>
      </w:pPr>
    </w:lvl>
    <w:lvl w:ilvl="3" w:tplc="2272F24E" w:tentative="1">
      <w:start w:val="1"/>
      <w:numFmt w:val="decimal"/>
      <w:lvlText w:val="%4."/>
      <w:lvlJc w:val="left"/>
      <w:pPr>
        <w:ind w:left="2880" w:hanging="360"/>
      </w:pPr>
    </w:lvl>
    <w:lvl w:ilvl="4" w:tplc="43FED37C" w:tentative="1">
      <w:start w:val="1"/>
      <w:numFmt w:val="lowerLetter"/>
      <w:lvlText w:val="%5."/>
      <w:lvlJc w:val="left"/>
      <w:pPr>
        <w:ind w:left="3600" w:hanging="360"/>
      </w:pPr>
    </w:lvl>
    <w:lvl w:ilvl="5" w:tplc="D7C069FC" w:tentative="1">
      <w:start w:val="1"/>
      <w:numFmt w:val="lowerRoman"/>
      <w:lvlText w:val="%6."/>
      <w:lvlJc w:val="right"/>
      <w:pPr>
        <w:ind w:left="4320" w:hanging="180"/>
      </w:pPr>
    </w:lvl>
    <w:lvl w:ilvl="6" w:tplc="5BEA8968" w:tentative="1">
      <w:start w:val="1"/>
      <w:numFmt w:val="decimal"/>
      <w:lvlText w:val="%7."/>
      <w:lvlJc w:val="left"/>
      <w:pPr>
        <w:ind w:left="5040" w:hanging="360"/>
      </w:pPr>
    </w:lvl>
    <w:lvl w:ilvl="7" w:tplc="0066865E" w:tentative="1">
      <w:start w:val="1"/>
      <w:numFmt w:val="lowerLetter"/>
      <w:lvlText w:val="%8."/>
      <w:lvlJc w:val="left"/>
      <w:pPr>
        <w:ind w:left="5760" w:hanging="360"/>
      </w:pPr>
    </w:lvl>
    <w:lvl w:ilvl="8" w:tplc="27C66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91E"/>
    <w:multiLevelType w:val="hybridMultilevel"/>
    <w:tmpl w:val="057222EA"/>
    <w:lvl w:ilvl="0" w:tplc="CCC40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1967B1C">
      <w:start w:val="1"/>
      <w:numFmt w:val="lowerLetter"/>
      <w:lvlText w:val="%2."/>
      <w:lvlJc w:val="left"/>
      <w:pPr>
        <w:ind w:left="1440" w:hanging="360"/>
      </w:pPr>
    </w:lvl>
    <w:lvl w:ilvl="2" w:tplc="750A59D6" w:tentative="1">
      <w:start w:val="1"/>
      <w:numFmt w:val="lowerRoman"/>
      <w:lvlText w:val="%3."/>
      <w:lvlJc w:val="right"/>
      <w:pPr>
        <w:ind w:left="2160" w:hanging="180"/>
      </w:pPr>
    </w:lvl>
    <w:lvl w:ilvl="3" w:tplc="D0CE1206" w:tentative="1">
      <w:start w:val="1"/>
      <w:numFmt w:val="decimal"/>
      <w:lvlText w:val="%4."/>
      <w:lvlJc w:val="left"/>
      <w:pPr>
        <w:ind w:left="2880" w:hanging="360"/>
      </w:pPr>
    </w:lvl>
    <w:lvl w:ilvl="4" w:tplc="D18C7966" w:tentative="1">
      <w:start w:val="1"/>
      <w:numFmt w:val="lowerLetter"/>
      <w:lvlText w:val="%5."/>
      <w:lvlJc w:val="left"/>
      <w:pPr>
        <w:ind w:left="3600" w:hanging="360"/>
      </w:pPr>
    </w:lvl>
    <w:lvl w:ilvl="5" w:tplc="AD36A5B0" w:tentative="1">
      <w:start w:val="1"/>
      <w:numFmt w:val="lowerRoman"/>
      <w:lvlText w:val="%6."/>
      <w:lvlJc w:val="right"/>
      <w:pPr>
        <w:ind w:left="4320" w:hanging="180"/>
      </w:pPr>
    </w:lvl>
    <w:lvl w:ilvl="6" w:tplc="EBBE889A" w:tentative="1">
      <w:start w:val="1"/>
      <w:numFmt w:val="decimal"/>
      <w:lvlText w:val="%7."/>
      <w:lvlJc w:val="left"/>
      <w:pPr>
        <w:ind w:left="5040" w:hanging="360"/>
      </w:pPr>
    </w:lvl>
    <w:lvl w:ilvl="7" w:tplc="00EA5CFA" w:tentative="1">
      <w:start w:val="1"/>
      <w:numFmt w:val="lowerLetter"/>
      <w:lvlText w:val="%8."/>
      <w:lvlJc w:val="left"/>
      <w:pPr>
        <w:ind w:left="5760" w:hanging="360"/>
      </w:pPr>
    </w:lvl>
    <w:lvl w:ilvl="8" w:tplc="74D6C0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5256">
    <w:abstractNumId w:val="1"/>
  </w:num>
  <w:num w:numId="2" w16cid:durableId="213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EB"/>
    <w:rsid w:val="003741D0"/>
    <w:rsid w:val="006E0F03"/>
    <w:rsid w:val="00D460EB"/>
    <w:rsid w:val="00E02E94"/>
    <w:rsid w:val="00FA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5D4CA"/>
  <w15:docId w15:val="{7AD73004-C9D9-4009-ACB4-ABC03EE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Przesunięcie terminu NSP-III.7570.36.2024.AS</dc:title>
  <dc:creator>Andrzej Leszczyński</dc:creator>
  <cp:keywords>Przesunięcie terminu NSP-III.7570.36.2024.AS</cp:keywords>
  <cp:lastModifiedBy>Anna Sołtys</cp:lastModifiedBy>
  <cp:revision>28</cp:revision>
  <cp:lastPrinted>2012-09-10T07:00:00Z</cp:lastPrinted>
  <dcterms:created xsi:type="dcterms:W3CDTF">2022-05-12T07:37:00Z</dcterms:created>
  <dcterms:modified xsi:type="dcterms:W3CDTF">2025-07-01T17:33:00Z</dcterms:modified>
</cp:coreProperties>
</file>