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4.xml" ContentType="application/vnd.openxmlformats-officedocument.wordprocessingml.header+xml"/>
  <Override PartName="/word/footer25.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7.xml" ContentType="application/vnd.openxmlformats-officedocument.wordprocessingml.header+xml"/>
  <Override PartName="/word/footer28.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30.xml" ContentType="application/vnd.openxmlformats-officedocument.wordprocessingml.header+xml"/>
  <Override PartName="/word/footer31.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33.xml" ContentType="application/vnd.openxmlformats-officedocument.wordprocessingml.header+xml"/>
  <Override PartName="/word/footer34.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36.xml" ContentType="application/vnd.openxmlformats-officedocument.wordprocessingml.header+xml"/>
  <Override PartName="/word/footer37.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header39.xml" ContentType="application/vnd.openxmlformats-officedocument.wordprocessingml.header+xml"/>
  <Override PartName="/word/footer40.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1.xml" ContentType="application/vnd.openxmlformats-officedocument.wordprocessingml.footer+xml"/>
  <Override PartName="/word/footer42.xml" ContentType="application/vnd.openxmlformats-officedocument.wordprocessingml.footer+xml"/>
  <Override PartName="/word/header42.xml" ContentType="application/vnd.openxmlformats-officedocument.wordprocessingml.header+xml"/>
  <Override PartName="/word/footer43.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4.xml" ContentType="application/vnd.openxmlformats-officedocument.wordprocessingml.footer+xml"/>
  <Override PartName="/word/footer45.xml" ContentType="application/vnd.openxmlformats-officedocument.wordprocessingml.footer+xml"/>
  <Override PartName="/word/header45.xml" ContentType="application/vnd.openxmlformats-officedocument.wordprocessingml.header+xml"/>
  <Override PartName="/word/footer46.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7.xml" ContentType="application/vnd.openxmlformats-officedocument.wordprocessingml.footer+xml"/>
  <Override PartName="/word/footer48.xml" ContentType="application/vnd.openxmlformats-officedocument.wordprocessingml.footer+xml"/>
  <Override PartName="/word/header48.xml" ContentType="application/vnd.openxmlformats-officedocument.wordprocessingml.header+xml"/>
  <Override PartName="/word/footer49.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50.xml" ContentType="application/vnd.openxmlformats-officedocument.wordprocessingml.footer+xml"/>
  <Override PartName="/word/footer51.xml" ContentType="application/vnd.openxmlformats-officedocument.wordprocessingml.footer+xml"/>
  <Override PartName="/word/header51.xml" ContentType="application/vnd.openxmlformats-officedocument.wordprocessingml.header+xml"/>
  <Override PartName="/word/footer52.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3.xml" ContentType="application/vnd.openxmlformats-officedocument.wordprocessingml.footer+xml"/>
  <Override PartName="/word/footer54.xml" ContentType="application/vnd.openxmlformats-officedocument.wordprocessingml.footer+xml"/>
  <Override PartName="/word/header54.xml" ContentType="application/vnd.openxmlformats-officedocument.wordprocessingml.header+xml"/>
  <Override PartName="/word/footer5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B3E" w:rsidRPr="00701ADE" w:rsidRDefault="00A77B3E">
      <w:pPr>
        <w:rPr>
          <w:lang w:val="en-GB"/>
        </w:rPr>
      </w:pPr>
      <w:bookmarkStart w:id="0" w:name="_GoBack"/>
      <w:bookmarkEnd w:id="0"/>
    </w:p>
    <w:p w:rsidR="00A77B3E" w:rsidRPr="00701ADE" w:rsidRDefault="00BB4ED7">
      <w:pPr>
        <w:jc w:val="center"/>
        <w:rPr>
          <w:color w:val="000000"/>
          <w:sz w:val="32"/>
          <w:lang w:val="en-GB"/>
        </w:rPr>
      </w:pPr>
      <w:r w:rsidRPr="00701ADE">
        <w:rPr>
          <w:color w:val="000000"/>
          <w:sz w:val="32"/>
          <w:lang w:val="en-GB"/>
        </w:rPr>
        <w:t>SFC2021 Programme supported by the AMIF, the ISF and the BMVI</w:t>
      </w:r>
    </w:p>
    <w:p w:rsidR="00A77B3E" w:rsidRPr="00701ADE" w:rsidRDefault="00A77B3E">
      <w:pPr>
        <w:jc w:val="center"/>
        <w:rPr>
          <w:color w:val="000000"/>
          <w:sz w:val="32"/>
          <w:lang w:val="en-GB"/>
        </w:rPr>
      </w:pPr>
    </w:p>
    <w:p w:rsidR="00A77B3E" w:rsidRPr="00701ADE" w:rsidRDefault="00A77B3E">
      <w:pPr>
        <w:jc w:val="center"/>
        <w:rPr>
          <w:color w:val="000000"/>
          <w:sz w:val="3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0"/>
        <w:gridCol w:w="5120"/>
      </w:tblGrid>
      <w:tr w:rsidR="004B75EC" w:rsidRPr="00701ADE">
        <w:trPr>
          <w:trHeight w:val="240"/>
        </w:trPr>
        <w:tc>
          <w:tcPr>
            <w:tcW w:w="1667" w:type="pct"/>
            <w:tcMar>
              <w:left w:w="100" w:type="dxa"/>
              <w:right w:w="100" w:type="dxa"/>
            </w:tcMar>
          </w:tcPr>
          <w:p w:rsidR="00A77B3E" w:rsidRPr="00701ADE" w:rsidRDefault="00BB4ED7">
            <w:pPr>
              <w:rPr>
                <w:color w:val="000000"/>
                <w:lang w:val="en-GB"/>
              </w:rPr>
            </w:pPr>
            <w:r w:rsidRPr="00701ADE">
              <w:rPr>
                <w:color w:val="000000"/>
                <w:lang w:val="en-GB"/>
              </w:rPr>
              <w:t>CCI number</w:t>
            </w:r>
          </w:p>
        </w:tc>
        <w:tc>
          <w:tcPr>
            <w:tcW w:w="1667" w:type="pct"/>
            <w:tcMar>
              <w:left w:w="100" w:type="dxa"/>
              <w:right w:w="100" w:type="dxa"/>
            </w:tcMar>
          </w:tcPr>
          <w:p w:rsidR="00A77B3E" w:rsidRPr="00701ADE" w:rsidRDefault="00BB4ED7">
            <w:pPr>
              <w:rPr>
                <w:color w:val="000000"/>
                <w:lang w:val="en-GB"/>
              </w:rPr>
            </w:pPr>
            <w:r w:rsidRPr="00701ADE">
              <w:rPr>
                <w:color w:val="000000"/>
                <w:lang w:val="en-GB"/>
              </w:rPr>
              <w:t>2021PL65AMPR001</w:t>
            </w:r>
          </w:p>
        </w:tc>
      </w:tr>
      <w:tr w:rsidR="004B75EC" w:rsidRPr="00701ADE">
        <w:trPr>
          <w:trHeight w:val="240"/>
        </w:trPr>
        <w:tc>
          <w:tcPr>
            <w:tcW w:w="1667" w:type="pct"/>
            <w:tcMar>
              <w:left w:w="100" w:type="dxa"/>
              <w:right w:w="100" w:type="dxa"/>
            </w:tcMar>
          </w:tcPr>
          <w:p w:rsidR="00A77B3E" w:rsidRPr="00701ADE" w:rsidRDefault="00BB4ED7">
            <w:pPr>
              <w:rPr>
                <w:color w:val="000000"/>
                <w:lang w:val="en-GB"/>
              </w:rPr>
            </w:pPr>
            <w:r w:rsidRPr="00701ADE">
              <w:rPr>
                <w:color w:val="000000"/>
                <w:lang w:val="en-GB"/>
              </w:rPr>
              <w:t>Title in English</w:t>
            </w:r>
          </w:p>
        </w:tc>
        <w:tc>
          <w:tcPr>
            <w:tcW w:w="1667" w:type="pct"/>
            <w:tcMar>
              <w:left w:w="100" w:type="dxa"/>
              <w:right w:w="100" w:type="dxa"/>
            </w:tcMar>
          </w:tcPr>
          <w:p w:rsidR="00A77B3E" w:rsidRPr="00701ADE" w:rsidRDefault="00BB4ED7">
            <w:pPr>
              <w:rPr>
                <w:color w:val="000000"/>
                <w:lang w:val="en-GB"/>
              </w:rPr>
            </w:pPr>
            <w:r w:rsidRPr="00701ADE">
              <w:rPr>
                <w:color w:val="000000"/>
                <w:lang w:val="en-GB"/>
              </w:rPr>
              <w:t>Programme Poland - AMIF</w:t>
            </w:r>
          </w:p>
        </w:tc>
      </w:tr>
      <w:tr w:rsidR="004B75EC" w:rsidRPr="00701ADE">
        <w:trPr>
          <w:trHeight w:val="240"/>
        </w:trPr>
        <w:tc>
          <w:tcPr>
            <w:tcW w:w="1667" w:type="pct"/>
            <w:tcMar>
              <w:left w:w="100" w:type="dxa"/>
              <w:right w:w="100" w:type="dxa"/>
            </w:tcMar>
          </w:tcPr>
          <w:p w:rsidR="00A77B3E" w:rsidRPr="00701ADE" w:rsidRDefault="00BB4ED7">
            <w:pPr>
              <w:rPr>
                <w:color w:val="000000"/>
                <w:lang w:val="en-GB"/>
              </w:rPr>
            </w:pPr>
            <w:r w:rsidRPr="00701ADE">
              <w:rPr>
                <w:color w:val="000000"/>
                <w:lang w:val="en-GB"/>
              </w:rPr>
              <w:t>Title in the national language/languages</w:t>
            </w:r>
          </w:p>
        </w:tc>
        <w:tc>
          <w:tcPr>
            <w:tcW w:w="1667" w:type="pct"/>
            <w:tcMar>
              <w:left w:w="100" w:type="dxa"/>
              <w:right w:w="100" w:type="dxa"/>
            </w:tcMar>
          </w:tcPr>
          <w:p w:rsidR="00A77B3E" w:rsidRPr="00701ADE" w:rsidRDefault="00BB4ED7">
            <w:pPr>
              <w:rPr>
                <w:color w:val="000000"/>
                <w:lang w:val="en-GB"/>
              </w:rPr>
            </w:pPr>
            <w:r w:rsidRPr="00701ADE">
              <w:rPr>
                <w:color w:val="000000"/>
                <w:lang w:val="en-GB"/>
              </w:rPr>
              <w:t>PL - Polski Program - FAMI</w:t>
            </w:r>
          </w:p>
        </w:tc>
      </w:tr>
      <w:tr w:rsidR="004B75EC" w:rsidRPr="00701ADE">
        <w:trPr>
          <w:trHeight w:val="240"/>
        </w:trPr>
        <w:tc>
          <w:tcPr>
            <w:tcW w:w="1667" w:type="pct"/>
            <w:tcMar>
              <w:left w:w="100" w:type="dxa"/>
              <w:right w:w="100" w:type="dxa"/>
            </w:tcMar>
          </w:tcPr>
          <w:p w:rsidR="00A77B3E" w:rsidRPr="00701ADE" w:rsidRDefault="00BB4ED7">
            <w:pPr>
              <w:rPr>
                <w:color w:val="000000"/>
                <w:lang w:val="en-GB"/>
              </w:rPr>
            </w:pPr>
            <w:r w:rsidRPr="00701ADE">
              <w:rPr>
                <w:color w:val="000000"/>
                <w:lang w:val="en-GB"/>
              </w:rPr>
              <w:t>Version</w:t>
            </w:r>
          </w:p>
        </w:tc>
        <w:tc>
          <w:tcPr>
            <w:tcW w:w="1667" w:type="pct"/>
            <w:tcMar>
              <w:left w:w="100" w:type="dxa"/>
              <w:right w:w="100" w:type="dxa"/>
            </w:tcMar>
          </w:tcPr>
          <w:p w:rsidR="00A77B3E" w:rsidRPr="00701ADE" w:rsidRDefault="00BB4ED7">
            <w:pPr>
              <w:rPr>
                <w:color w:val="000000"/>
                <w:lang w:val="en-GB"/>
              </w:rPr>
            </w:pPr>
            <w:r w:rsidRPr="00701ADE">
              <w:rPr>
                <w:color w:val="000000"/>
                <w:lang w:val="en-GB"/>
              </w:rPr>
              <w:t>1.2</w:t>
            </w:r>
          </w:p>
        </w:tc>
      </w:tr>
      <w:tr w:rsidR="004B75EC" w:rsidRPr="00701ADE">
        <w:trPr>
          <w:trHeight w:val="240"/>
        </w:trPr>
        <w:tc>
          <w:tcPr>
            <w:tcW w:w="1667" w:type="pct"/>
            <w:tcMar>
              <w:left w:w="100" w:type="dxa"/>
              <w:right w:w="100" w:type="dxa"/>
            </w:tcMar>
          </w:tcPr>
          <w:p w:rsidR="00A77B3E" w:rsidRPr="00701ADE" w:rsidRDefault="00BB4ED7">
            <w:pPr>
              <w:rPr>
                <w:color w:val="000000"/>
                <w:lang w:val="en-GB"/>
              </w:rPr>
            </w:pPr>
            <w:r w:rsidRPr="00701ADE">
              <w:rPr>
                <w:color w:val="000000"/>
                <w:lang w:val="en-GB"/>
              </w:rPr>
              <w:t>First year</w:t>
            </w:r>
          </w:p>
        </w:tc>
        <w:tc>
          <w:tcPr>
            <w:tcW w:w="1667" w:type="pct"/>
            <w:tcMar>
              <w:left w:w="100" w:type="dxa"/>
              <w:right w:w="100" w:type="dxa"/>
            </w:tcMar>
          </w:tcPr>
          <w:p w:rsidR="00A77B3E" w:rsidRPr="00701ADE" w:rsidRDefault="00BB4ED7">
            <w:pPr>
              <w:rPr>
                <w:color w:val="000000"/>
                <w:lang w:val="en-GB"/>
              </w:rPr>
            </w:pPr>
            <w:r w:rsidRPr="00701ADE">
              <w:rPr>
                <w:color w:val="000000"/>
                <w:lang w:val="en-GB"/>
              </w:rPr>
              <w:t>2021</w:t>
            </w:r>
          </w:p>
        </w:tc>
      </w:tr>
      <w:tr w:rsidR="004B75EC" w:rsidRPr="00701ADE">
        <w:trPr>
          <w:trHeight w:val="240"/>
        </w:trPr>
        <w:tc>
          <w:tcPr>
            <w:tcW w:w="1667" w:type="pct"/>
            <w:tcMar>
              <w:left w:w="100" w:type="dxa"/>
              <w:right w:w="100" w:type="dxa"/>
            </w:tcMar>
          </w:tcPr>
          <w:p w:rsidR="00A77B3E" w:rsidRPr="00701ADE" w:rsidRDefault="00BB4ED7">
            <w:pPr>
              <w:rPr>
                <w:color w:val="000000"/>
                <w:lang w:val="en-GB"/>
              </w:rPr>
            </w:pPr>
            <w:r w:rsidRPr="00701ADE">
              <w:rPr>
                <w:color w:val="000000"/>
                <w:lang w:val="en-GB"/>
              </w:rPr>
              <w:t>Last year</w:t>
            </w:r>
          </w:p>
        </w:tc>
        <w:tc>
          <w:tcPr>
            <w:tcW w:w="1667" w:type="pct"/>
            <w:tcMar>
              <w:left w:w="100" w:type="dxa"/>
              <w:right w:w="100" w:type="dxa"/>
            </w:tcMar>
          </w:tcPr>
          <w:p w:rsidR="00A77B3E" w:rsidRPr="00701ADE" w:rsidRDefault="00BB4ED7">
            <w:pPr>
              <w:rPr>
                <w:color w:val="000000"/>
                <w:lang w:val="en-GB"/>
              </w:rPr>
            </w:pPr>
            <w:r w:rsidRPr="00701ADE">
              <w:rPr>
                <w:color w:val="000000"/>
                <w:lang w:val="en-GB"/>
              </w:rPr>
              <w:t>2027</w:t>
            </w:r>
          </w:p>
        </w:tc>
      </w:tr>
      <w:tr w:rsidR="004B75EC" w:rsidRPr="00701ADE">
        <w:trPr>
          <w:trHeight w:val="240"/>
        </w:trPr>
        <w:tc>
          <w:tcPr>
            <w:tcW w:w="1667" w:type="pct"/>
            <w:tcMar>
              <w:left w:w="100" w:type="dxa"/>
              <w:right w:w="100" w:type="dxa"/>
            </w:tcMar>
          </w:tcPr>
          <w:p w:rsidR="00A77B3E" w:rsidRPr="00701ADE" w:rsidRDefault="00BB4ED7">
            <w:pPr>
              <w:rPr>
                <w:color w:val="000000"/>
                <w:lang w:val="en-GB"/>
              </w:rPr>
            </w:pPr>
            <w:r w:rsidRPr="00701ADE">
              <w:rPr>
                <w:color w:val="000000"/>
                <w:lang w:val="en-GB"/>
              </w:rPr>
              <w:t>Eligible from</w:t>
            </w:r>
          </w:p>
        </w:tc>
        <w:tc>
          <w:tcPr>
            <w:tcW w:w="1667" w:type="pct"/>
            <w:tcMar>
              <w:left w:w="100" w:type="dxa"/>
              <w:right w:w="100" w:type="dxa"/>
            </w:tcMar>
          </w:tcPr>
          <w:p w:rsidR="00A77B3E" w:rsidRPr="00701ADE" w:rsidRDefault="00BB4ED7">
            <w:pPr>
              <w:rPr>
                <w:color w:val="000000"/>
                <w:lang w:val="en-GB"/>
              </w:rPr>
            </w:pPr>
            <w:r w:rsidRPr="00701ADE">
              <w:rPr>
                <w:color w:val="000000"/>
                <w:lang w:val="en-GB"/>
              </w:rPr>
              <w:t>1 Jan 2021</w:t>
            </w:r>
          </w:p>
        </w:tc>
      </w:tr>
      <w:tr w:rsidR="004B75EC" w:rsidRPr="00701ADE">
        <w:trPr>
          <w:trHeight w:val="240"/>
        </w:trPr>
        <w:tc>
          <w:tcPr>
            <w:tcW w:w="1667" w:type="pct"/>
            <w:tcMar>
              <w:left w:w="100" w:type="dxa"/>
              <w:right w:w="100" w:type="dxa"/>
            </w:tcMar>
          </w:tcPr>
          <w:p w:rsidR="00A77B3E" w:rsidRPr="00701ADE" w:rsidRDefault="00BB4ED7">
            <w:pPr>
              <w:rPr>
                <w:color w:val="000000"/>
                <w:lang w:val="en-GB"/>
              </w:rPr>
            </w:pPr>
            <w:r w:rsidRPr="00701ADE">
              <w:rPr>
                <w:color w:val="000000"/>
                <w:lang w:val="en-GB"/>
              </w:rPr>
              <w:t>Eligible until</w:t>
            </w:r>
          </w:p>
        </w:tc>
        <w:tc>
          <w:tcPr>
            <w:tcW w:w="1667" w:type="pct"/>
            <w:tcMar>
              <w:left w:w="100" w:type="dxa"/>
              <w:right w:w="100" w:type="dxa"/>
            </w:tcMar>
          </w:tcPr>
          <w:p w:rsidR="00A77B3E" w:rsidRPr="00701ADE" w:rsidRDefault="00BB4ED7">
            <w:pPr>
              <w:rPr>
                <w:color w:val="000000"/>
                <w:lang w:val="en-GB"/>
              </w:rPr>
            </w:pPr>
            <w:r w:rsidRPr="00701ADE">
              <w:rPr>
                <w:color w:val="000000"/>
                <w:lang w:val="en-GB"/>
              </w:rPr>
              <w:t>31 Dec 2029</w:t>
            </w:r>
          </w:p>
        </w:tc>
      </w:tr>
      <w:tr w:rsidR="004B75EC" w:rsidRPr="00701ADE">
        <w:trPr>
          <w:trHeight w:val="240"/>
        </w:trPr>
        <w:tc>
          <w:tcPr>
            <w:tcW w:w="1667" w:type="pct"/>
            <w:tcMar>
              <w:left w:w="100" w:type="dxa"/>
              <w:right w:w="100" w:type="dxa"/>
            </w:tcMar>
          </w:tcPr>
          <w:p w:rsidR="00A77B3E" w:rsidRPr="00701ADE" w:rsidRDefault="00BB4ED7">
            <w:pPr>
              <w:rPr>
                <w:color w:val="000000"/>
                <w:lang w:val="en-GB"/>
              </w:rPr>
            </w:pPr>
            <w:r w:rsidRPr="00701ADE">
              <w:rPr>
                <w:color w:val="000000"/>
                <w:lang w:val="en-GB"/>
              </w:rPr>
              <w:t>Commission Decision Number</w:t>
            </w:r>
          </w:p>
        </w:tc>
        <w:tc>
          <w:tcPr>
            <w:tcW w:w="1667" w:type="pct"/>
            <w:tcMar>
              <w:left w:w="100" w:type="dxa"/>
              <w:right w:w="100" w:type="dxa"/>
            </w:tcMar>
          </w:tcPr>
          <w:p w:rsidR="00A77B3E" w:rsidRPr="00701ADE" w:rsidRDefault="00BB4ED7">
            <w:pPr>
              <w:rPr>
                <w:color w:val="000000"/>
                <w:lang w:val="en-GB"/>
              </w:rPr>
            </w:pPr>
            <w:r w:rsidRPr="00701ADE">
              <w:rPr>
                <w:color w:val="000000"/>
                <w:lang w:val="en-GB"/>
              </w:rPr>
              <w:t>C(2022)9060</w:t>
            </w:r>
          </w:p>
        </w:tc>
      </w:tr>
      <w:tr w:rsidR="004B75EC" w:rsidRPr="00701ADE">
        <w:trPr>
          <w:trHeight w:val="240"/>
        </w:trPr>
        <w:tc>
          <w:tcPr>
            <w:tcW w:w="1667" w:type="pct"/>
            <w:tcMar>
              <w:left w:w="100" w:type="dxa"/>
              <w:right w:w="100" w:type="dxa"/>
            </w:tcMar>
          </w:tcPr>
          <w:p w:rsidR="00A77B3E" w:rsidRPr="00701ADE" w:rsidRDefault="00BB4ED7">
            <w:pPr>
              <w:rPr>
                <w:color w:val="000000"/>
                <w:lang w:val="en-GB"/>
              </w:rPr>
            </w:pPr>
            <w:r w:rsidRPr="00701ADE">
              <w:rPr>
                <w:color w:val="000000"/>
                <w:lang w:val="en-GB"/>
              </w:rPr>
              <w:t>Commission Decision Date</w:t>
            </w:r>
          </w:p>
        </w:tc>
        <w:tc>
          <w:tcPr>
            <w:tcW w:w="1667" w:type="pct"/>
            <w:tcMar>
              <w:left w:w="100" w:type="dxa"/>
              <w:right w:w="100" w:type="dxa"/>
            </w:tcMar>
          </w:tcPr>
          <w:p w:rsidR="00A77B3E" w:rsidRPr="00701ADE" w:rsidRDefault="00BB4ED7">
            <w:pPr>
              <w:rPr>
                <w:color w:val="000000"/>
                <w:lang w:val="en-GB"/>
              </w:rPr>
            </w:pPr>
            <w:r w:rsidRPr="00701ADE">
              <w:rPr>
                <w:color w:val="000000"/>
                <w:lang w:val="en-GB"/>
              </w:rPr>
              <w:t>12 Dec 2022</w:t>
            </w:r>
          </w:p>
        </w:tc>
      </w:tr>
      <w:tr w:rsidR="004B75EC" w:rsidRPr="00701ADE">
        <w:trPr>
          <w:trHeight w:val="240"/>
        </w:trPr>
        <w:tc>
          <w:tcPr>
            <w:tcW w:w="1667" w:type="pct"/>
            <w:tcMar>
              <w:left w:w="100" w:type="dxa"/>
              <w:right w:w="100" w:type="dxa"/>
            </w:tcMar>
          </w:tcPr>
          <w:p w:rsidR="00A77B3E" w:rsidRPr="00701ADE" w:rsidRDefault="00BB4ED7">
            <w:pPr>
              <w:rPr>
                <w:color w:val="000000"/>
                <w:lang w:val="en-GB"/>
              </w:rPr>
            </w:pPr>
            <w:r w:rsidRPr="00701ADE">
              <w:rPr>
                <w:color w:val="000000"/>
                <w:lang w:val="en-GB"/>
              </w:rPr>
              <w:t>Member State amending decision number</w:t>
            </w:r>
          </w:p>
        </w:tc>
        <w:tc>
          <w:tcPr>
            <w:tcW w:w="1667" w:type="pct"/>
            <w:tcMar>
              <w:left w:w="100" w:type="dxa"/>
              <w:right w:w="100" w:type="dxa"/>
            </w:tcMar>
          </w:tcPr>
          <w:p w:rsidR="00A77B3E" w:rsidRPr="00701ADE" w:rsidRDefault="00A77B3E">
            <w:pPr>
              <w:rPr>
                <w:color w:val="000000"/>
                <w:lang w:val="en-GB"/>
              </w:rPr>
            </w:pPr>
          </w:p>
        </w:tc>
      </w:tr>
      <w:tr w:rsidR="004B75EC" w:rsidRPr="00701ADE">
        <w:trPr>
          <w:trHeight w:val="240"/>
        </w:trPr>
        <w:tc>
          <w:tcPr>
            <w:tcW w:w="1667" w:type="pct"/>
            <w:tcMar>
              <w:left w:w="100" w:type="dxa"/>
              <w:right w:w="100" w:type="dxa"/>
            </w:tcMar>
          </w:tcPr>
          <w:p w:rsidR="00A77B3E" w:rsidRPr="00701ADE" w:rsidRDefault="00BB4ED7">
            <w:pPr>
              <w:rPr>
                <w:color w:val="000000"/>
                <w:lang w:val="en-GB"/>
              </w:rPr>
            </w:pPr>
            <w:r w:rsidRPr="00701ADE">
              <w:rPr>
                <w:color w:val="000000"/>
                <w:lang w:val="en-GB"/>
              </w:rPr>
              <w:t>Member State amending decision entry into force date</w:t>
            </w:r>
          </w:p>
        </w:tc>
        <w:tc>
          <w:tcPr>
            <w:tcW w:w="1667" w:type="pct"/>
            <w:tcMar>
              <w:left w:w="100" w:type="dxa"/>
              <w:right w:w="100" w:type="dxa"/>
            </w:tcMar>
          </w:tcPr>
          <w:p w:rsidR="00A77B3E" w:rsidRPr="00701ADE" w:rsidRDefault="00A77B3E">
            <w:pPr>
              <w:rPr>
                <w:color w:val="000000"/>
                <w:lang w:val="en-GB"/>
              </w:rPr>
            </w:pPr>
          </w:p>
        </w:tc>
      </w:tr>
      <w:tr w:rsidR="004B75EC" w:rsidRPr="00701ADE">
        <w:trPr>
          <w:trHeight w:val="240"/>
        </w:trPr>
        <w:tc>
          <w:tcPr>
            <w:tcW w:w="1667" w:type="pct"/>
            <w:tcMar>
              <w:left w:w="100" w:type="dxa"/>
              <w:right w:w="100" w:type="dxa"/>
            </w:tcMar>
          </w:tcPr>
          <w:p w:rsidR="00A77B3E" w:rsidRPr="00701ADE" w:rsidRDefault="00BB4ED7">
            <w:pPr>
              <w:rPr>
                <w:color w:val="000000"/>
                <w:lang w:val="en-GB"/>
              </w:rPr>
            </w:pPr>
            <w:r w:rsidRPr="00701ADE">
              <w:rPr>
                <w:color w:val="000000"/>
                <w:lang w:val="en-GB"/>
              </w:rPr>
              <w:t>Non-substantial transfer (Article 24(5) of the Common Provisions Regulation</w:t>
            </w:r>
          </w:p>
        </w:tc>
        <w:tc>
          <w:tcPr>
            <w:tcW w:w="1667" w:type="pct"/>
            <w:tcMar>
              <w:left w:w="100" w:type="dxa"/>
              <w:right w:w="100" w:type="dxa"/>
            </w:tcMar>
          </w:tcPr>
          <w:p w:rsidR="00A77B3E" w:rsidRPr="00701ADE" w:rsidRDefault="00BB4ED7">
            <w:pPr>
              <w:rPr>
                <w:color w:val="000000"/>
                <w:lang w:val="en-GB"/>
              </w:rPr>
            </w:pPr>
            <w:r w:rsidRPr="00701ADE">
              <w:rPr>
                <w:color w:val="000000"/>
                <w:lang w:val="en-GB"/>
              </w:rPr>
              <w:t>No</w:t>
            </w:r>
          </w:p>
        </w:tc>
      </w:tr>
    </w:tbl>
    <w:p w:rsidR="00A77B3E" w:rsidRPr="00701ADE" w:rsidRDefault="00BB4ED7">
      <w:pPr>
        <w:jc w:val="center"/>
        <w:rPr>
          <w:b/>
          <w:color w:val="000000"/>
          <w:lang w:val="en-GB"/>
        </w:rPr>
      </w:pPr>
      <w:r w:rsidRPr="00701ADE">
        <w:rPr>
          <w:color w:val="000000"/>
          <w:lang w:val="en-GB"/>
        </w:rPr>
        <w:br w:type="page"/>
      </w:r>
      <w:r w:rsidRPr="00701ADE">
        <w:rPr>
          <w:b/>
          <w:bCs/>
          <w:color w:val="000000"/>
          <w:lang w:val="en-GB"/>
        </w:rPr>
        <w:lastRenderedPageBreak/>
        <w:t>List of contents</w:t>
      </w:r>
    </w:p>
    <w:p w:rsidR="00A77B3E" w:rsidRPr="00701ADE" w:rsidRDefault="00A77B3E">
      <w:pPr>
        <w:jc w:val="center"/>
        <w:rPr>
          <w:color w:val="000000"/>
          <w:lang w:val="en-GB"/>
        </w:rPr>
      </w:pPr>
    </w:p>
    <w:p w:rsidR="00701ADE" w:rsidRPr="00701ADE" w:rsidRDefault="00DC51E9">
      <w:pPr>
        <w:pStyle w:val="Spistreci1"/>
        <w:tabs>
          <w:tab w:val="right" w:leader="dot" w:pos="10240"/>
        </w:tabs>
        <w:rPr>
          <w:rFonts w:asciiTheme="minorHAnsi" w:eastAsiaTheme="minorEastAsia" w:hAnsiTheme="minorHAnsi" w:cstheme="minorBidi"/>
          <w:sz w:val="22"/>
          <w:szCs w:val="22"/>
          <w:lang w:val="en-GB" w:eastAsia="pl-PL"/>
        </w:rPr>
      </w:pPr>
      <w:r w:rsidRPr="00701ADE">
        <w:rPr>
          <w:color w:val="000000"/>
          <w:lang w:val="en-GB"/>
        </w:rPr>
        <w:fldChar w:fldCharType="begin"/>
      </w:r>
      <w:r w:rsidR="00A77B3E" w:rsidRPr="00701ADE">
        <w:rPr>
          <w:color w:val="000000"/>
          <w:lang w:val="en-GB"/>
        </w:rPr>
        <w:instrText>TOC \o "1-9" \z \u \h</w:instrText>
      </w:r>
      <w:r w:rsidRPr="00701ADE">
        <w:rPr>
          <w:color w:val="000000"/>
          <w:lang w:val="en-GB"/>
        </w:rPr>
        <w:fldChar w:fldCharType="separate"/>
      </w:r>
      <w:hyperlink w:anchor="_Toc126925377" w:history="1">
        <w:r w:rsidR="00701ADE" w:rsidRPr="00701ADE">
          <w:rPr>
            <w:rStyle w:val="Hipercze"/>
            <w:lang w:val="en-GB"/>
          </w:rPr>
          <w:t>1. Programme strategy: main challenges and policy responses</w:t>
        </w:r>
        <w:r w:rsidR="00701ADE" w:rsidRPr="00701ADE">
          <w:rPr>
            <w:webHidden/>
            <w:lang w:val="en-GB"/>
          </w:rPr>
          <w:tab/>
        </w:r>
        <w:r w:rsidRPr="00701ADE">
          <w:rPr>
            <w:webHidden/>
            <w:lang w:val="en-GB"/>
          </w:rPr>
          <w:fldChar w:fldCharType="begin"/>
        </w:r>
        <w:r w:rsidR="00701ADE" w:rsidRPr="00701ADE">
          <w:rPr>
            <w:webHidden/>
            <w:lang w:val="en-GB"/>
          </w:rPr>
          <w:instrText xml:space="preserve"> PAGEREF _Toc126925377 \h </w:instrText>
        </w:r>
        <w:r w:rsidRPr="00701ADE">
          <w:rPr>
            <w:webHidden/>
            <w:lang w:val="en-GB"/>
          </w:rPr>
        </w:r>
        <w:r w:rsidRPr="00701ADE">
          <w:rPr>
            <w:webHidden/>
            <w:lang w:val="en-GB"/>
          </w:rPr>
          <w:fldChar w:fldCharType="separate"/>
        </w:r>
        <w:r w:rsidR="00701ADE" w:rsidRPr="00701ADE">
          <w:rPr>
            <w:webHidden/>
            <w:lang w:val="en-GB"/>
          </w:rPr>
          <w:t>4</w:t>
        </w:r>
        <w:r w:rsidRPr="00701ADE">
          <w:rPr>
            <w:webHidden/>
            <w:lang w:val="en-GB"/>
          </w:rPr>
          <w:fldChar w:fldCharType="end"/>
        </w:r>
      </w:hyperlink>
    </w:p>
    <w:p w:rsidR="00701ADE" w:rsidRPr="00701ADE" w:rsidRDefault="002A06CB">
      <w:pPr>
        <w:pStyle w:val="Spistreci1"/>
        <w:tabs>
          <w:tab w:val="right" w:leader="dot" w:pos="10240"/>
        </w:tabs>
        <w:rPr>
          <w:rFonts w:asciiTheme="minorHAnsi" w:eastAsiaTheme="minorEastAsia" w:hAnsiTheme="minorHAnsi" w:cstheme="minorBidi"/>
          <w:sz w:val="22"/>
          <w:szCs w:val="22"/>
          <w:lang w:val="en-GB" w:eastAsia="pl-PL"/>
        </w:rPr>
      </w:pPr>
      <w:hyperlink w:anchor="_Toc126925378" w:history="1">
        <w:r w:rsidR="00701ADE" w:rsidRPr="00701ADE">
          <w:rPr>
            <w:rStyle w:val="Hipercze"/>
            <w:lang w:val="en-GB"/>
          </w:rPr>
          <w:t>2. Specific objectives and technical assistance</w:t>
        </w:r>
        <w:r w:rsidR="00701ADE" w:rsidRPr="00701ADE">
          <w:rPr>
            <w:webHidden/>
            <w:lang w:val="en-GB"/>
          </w:rPr>
          <w:tab/>
        </w:r>
        <w:r w:rsidR="00DC51E9" w:rsidRPr="00701ADE">
          <w:rPr>
            <w:webHidden/>
            <w:lang w:val="en-GB"/>
          </w:rPr>
          <w:fldChar w:fldCharType="begin"/>
        </w:r>
        <w:r w:rsidR="00701ADE" w:rsidRPr="00701ADE">
          <w:rPr>
            <w:webHidden/>
            <w:lang w:val="en-GB"/>
          </w:rPr>
          <w:instrText xml:space="preserve"> PAGEREF _Toc126925378 \h </w:instrText>
        </w:r>
        <w:r w:rsidR="00DC51E9" w:rsidRPr="00701ADE">
          <w:rPr>
            <w:webHidden/>
            <w:lang w:val="en-GB"/>
          </w:rPr>
        </w:r>
        <w:r w:rsidR="00DC51E9" w:rsidRPr="00701ADE">
          <w:rPr>
            <w:webHidden/>
            <w:lang w:val="en-GB"/>
          </w:rPr>
          <w:fldChar w:fldCharType="separate"/>
        </w:r>
        <w:r w:rsidR="00701ADE" w:rsidRPr="00701ADE">
          <w:rPr>
            <w:webHidden/>
            <w:lang w:val="en-GB"/>
          </w:rPr>
          <w:t>8</w:t>
        </w:r>
        <w:r w:rsidR="00DC51E9" w:rsidRPr="00701ADE">
          <w:rPr>
            <w:webHidden/>
            <w:lang w:val="en-GB"/>
          </w:rPr>
          <w:fldChar w:fldCharType="end"/>
        </w:r>
      </w:hyperlink>
    </w:p>
    <w:p w:rsidR="00701ADE" w:rsidRPr="00701ADE" w:rsidRDefault="002A06CB">
      <w:pPr>
        <w:pStyle w:val="Spistreci2"/>
        <w:tabs>
          <w:tab w:val="right" w:leader="dot" w:pos="10240"/>
        </w:tabs>
        <w:rPr>
          <w:rFonts w:asciiTheme="minorHAnsi" w:eastAsiaTheme="minorEastAsia" w:hAnsiTheme="minorHAnsi" w:cstheme="minorBidi"/>
          <w:sz w:val="22"/>
          <w:szCs w:val="22"/>
          <w:lang w:val="en-GB" w:eastAsia="pl-PL"/>
        </w:rPr>
      </w:pPr>
      <w:hyperlink w:anchor="_Toc126925379" w:history="1">
        <w:r w:rsidR="00701ADE" w:rsidRPr="00701ADE">
          <w:rPr>
            <w:rStyle w:val="Hipercze"/>
            <w:lang w:val="en-GB"/>
          </w:rPr>
          <w:t>2.1. Specific objective: 1. CEAS</w:t>
        </w:r>
        <w:r w:rsidR="00701ADE" w:rsidRPr="00701ADE">
          <w:rPr>
            <w:webHidden/>
            <w:lang w:val="en-GB"/>
          </w:rPr>
          <w:tab/>
        </w:r>
        <w:r w:rsidR="00DC51E9" w:rsidRPr="00701ADE">
          <w:rPr>
            <w:webHidden/>
            <w:lang w:val="en-GB"/>
          </w:rPr>
          <w:fldChar w:fldCharType="begin"/>
        </w:r>
        <w:r w:rsidR="00701ADE" w:rsidRPr="00701ADE">
          <w:rPr>
            <w:webHidden/>
            <w:lang w:val="en-GB"/>
          </w:rPr>
          <w:instrText xml:space="preserve"> PAGEREF _Toc126925379 \h </w:instrText>
        </w:r>
        <w:r w:rsidR="00DC51E9" w:rsidRPr="00701ADE">
          <w:rPr>
            <w:webHidden/>
            <w:lang w:val="en-GB"/>
          </w:rPr>
        </w:r>
        <w:r w:rsidR="00DC51E9" w:rsidRPr="00701ADE">
          <w:rPr>
            <w:webHidden/>
            <w:lang w:val="en-GB"/>
          </w:rPr>
          <w:fldChar w:fldCharType="separate"/>
        </w:r>
        <w:r w:rsidR="00701ADE" w:rsidRPr="00701ADE">
          <w:rPr>
            <w:webHidden/>
            <w:lang w:val="en-GB"/>
          </w:rPr>
          <w:t>10</w:t>
        </w:r>
        <w:r w:rsidR="00DC51E9" w:rsidRPr="00701ADE">
          <w:rPr>
            <w:webHidden/>
            <w:lang w:val="en-GB"/>
          </w:rPr>
          <w:fldChar w:fldCharType="end"/>
        </w:r>
      </w:hyperlink>
    </w:p>
    <w:p w:rsidR="00701ADE" w:rsidRPr="00701ADE" w:rsidRDefault="002A06CB">
      <w:pPr>
        <w:pStyle w:val="Spistreci3"/>
        <w:tabs>
          <w:tab w:val="right" w:leader="dot" w:pos="10240"/>
        </w:tabs>
        <w:rPr>
          <w:rFonts w:asciiTheme="minorHAnsi" w:eastAsiaTheme="minorEastAsia" w:hAnsiTheme="minorHAnsi" w:cstheme="minorBidi"/>
          <w:sz w:val="22"/>
          <w:szCs w:val="22"/>
          <w:lang w:val="en-GB" w:eastAsia="pl-PL"/>
        </w:rPr>
      </w:pPr>
      <w:hyperlink w:anchor="_Toc126925380" w:history="1">
        <w:r w:rsidR="00701ADE" w:rsidRPr="00701ADE">
          <w:rPr>
            <w:rStyle w:val="Hipercze"/>
            <w:lang w:val="en-GB"/>
          </w:rPr>
          <w:t>2.1.1. Description of the specific objective</w:t>
        </w:r>
        <w:r w:rsidR="00701ADE" w:rsidRPr="00701ADE">
          <w:rPr>
            <w:webHidden/>
            <w:lang w:val="en-GB"/>
          </w:rPr>
          <w:tab/>
        </w:r>
        <w:r w:rsidR="00DC51E9" w:rsidRPr="00701ADE">
          <w:rPr>
            <w:webHidden/>
            <w:lang w:val="en-GB"/>
          </w:rPr>
          <w:fldChar w:fldCharType="begin"/>
        </w:r>
        <w:r w:rsidR="00701ADE" w:rsidRPr="00701ADE">
          <w:rPr>
            <w:webHidden/>
            <w:lang w:val="en-GB"/>
          </w:rPr>
          <w:instrText xml:space="preserve"> PAGEREF _Toc126925380 \h </w:instrText>
        </w:r>
        <w:r w:rsidR="00DC51E9" w:rsidRPr="00701ADE">
          <w:rPr>
            <w:webHidden/>
            <w:lang w:val="en-GB"/>
          </w:rPr>
        </w:r>
        <w:r w:rsidR="00DC51E9" w:rsidRPr="00701ADE">
          <w:rPr>
            <w:webHidden/>
            <w:lang w:val="en-GB"/>
          </w:rPr>
          <w:fldChar w:fldCharType="separate"/>
        </w:r>
        <w:r w:rsidR="00701ADE" w:rsidRPr="00701ADE">
          <w:rPr>
            <w:webHidden/>
            <w:lang w:val="en-GB"/>
          </w:rPr>
          <w:t>10</w:t>
        </w:r>
        <w:r w:rsidR="00DC51E9" w:rsidRPr="00701ADE">
          <w:rPr>
            <w:webHidden/>
            <w:lang w:val="en-GB"/>
          </w:rPr>
          <w:fldChar w:fldCharType="end"/>
        </w:r>
      </w:hyperlink>
    </w:p>
    <w:p w:rsidR="00701ADE" w:rsidRPr="00701ADE" w:rsidRDefault="002A06CB">
      <w:pPr>
        <w:pStyle w:val="Spistreci3"/>
        <w:tabs>
          <w:tab w:val="right" w:leader="dot" w:pos="10240"/>
        </w:tabs>
        <w:rPr>
          <w:rFonts w:asciiTheme="minorHAnsi" w:eastAsiaTheme="minorEastAsia" w:hAnsiTheme="minorHAnsi" w:cstheme="minorBidi"/>
          <w:sz w:val="22"/>
          <w:szCs w:val="22"/>
          <w:lang w:val="en-GB" w:eastAsia="pl-PL"/>
        </w:rPr>
      </w:pPr>
      <w:hyperlink w:anchor="_Toc126925381" w:history="1">
        <w:r w:rsidR="00701ADE" w:rsidRPr="00701ADE">
          <w:rPr>
            <w:rStyle w:val="Hipercze"/>
            <w:lang w:val="en-GB"/>
          </w:rPr>
          <w:t>2.1.2. Indicators</w:t>
        </w:r>
        <w:r w:rsidR="00701ADE" w:rsidRPr="00701ADE">
          <w:rPr>
            <w:webHidden/>
            <w:lang w:val="en-GB"/>
          </w:rPr>
          <w:tab/>
        </w:r>
        <w:r w:rsidR="00DC51E9" w:rsidRPr="00701ADE">
          <w:rPr>
            <w:webHidden/>
            <w:lang w:val="en-GB"/>
          </w:rPr>
          <w:fldChar w:fldCharType="begin"/>
        </w:r>
        <w:r w:rsidR="00701ADE" w:rsidRPr="00701ADE">
          <w:rPr>
            <w:webHidden/>
            <w:lang w:val="en-GB"/>
          </w:rPr>
          <w:instrText xml:space="preserve"> PAGEREF _Toc126925381 \h </w:instrText>
        </w:r>
        <w:r w:rsidR="00DC51E9" w:rsidRPr="00701ADE">
          <w:rPr>
            <w:webHidden/>
            <w:lang w:val="en-GB"/>
          </w:rPr>
        </w:r>
        <w:r w:rsidR="00DC51E9" w:rsidRPr="00701ADE">
          <w:rPr>
            <w:webHidden/>
            <w:lang w:val="en-GB"/>
          </w:rPr>
          <w:fldChar w:fldCharType="separate"/>
        </w:r>
        <w:r w:rsidR="00701ADE" w:rsidRPr="00701ADE">
          <w:rPr>
            <w:webHidden/>
            <w:lang w:val="en-GB"/>
          </w:rPr>
          <w:t>14</w:t>
        </w:r>
        <w:r w:rsidR="00DC51E9" w:rsidRPr="00701ADE">
          <w:rPr>
            <w:webHidden/>
            <w:lang w:val="en-GB"/>
          </w:rPr>
          <w:fldChar w:fldCharType="end"/>
        </w:r>
      </w:hyperlink>
    </w:p>
    <w:p w:rsidR="00701ADE" w:rsidRPr="00701ADE" w:rsidRDefault="002A06CB">
      <w:pPr>
        <w:pStyle w:val="Spistreci4"/>
        <w:tabs>
          <w:tab w:val="right" w:leader="dot" w:pos="10240"/>
        </w:tabs>
        <w:rPr>
          <w:rFonts w:asciiTheme="minorHAnsi" w:eastAsiaTheme="minorEastAsia" w:hAnsiTheme="minorHAnsi" w:cstheme="minorBidi"/>
          <w:sz w:val="22"/>
          <w:szCs w:val="22"/>
          <w:lang w:val="en-GB" w:eastAsia="pl-PL"/>
        </w:rPr>
      </w:pPr>
      <w:hyperlink w:anchor="_Toc126925382" w:history="1">
        <w:r w:rsidR="00701ADE" w:rsidRPr="00701ADE">
          <w:rPr>
            <w:rStyle w:val="Hipercze"/>
            <w:lang w:val="en-GB"/>
          </w:rPr>
          <w:t>Table 1: Output indicators</w:t>
        </w:r>
        <w:r w:rsidR="00701ADE" w:rsidRPr="00701ADE">
          <w:rPr>
            <w:webHidden/>
            <w:lang w:val="en-GB"/>
          </w:rPr>
          <w:tab/>
        </w:r>
        <w:r w:rsidR="00DC51E9" w:rsidRPr="00701ADE">
          <w:rPr>
            <w:webHidden/>
            <w:lang w:val="en-GB"/>
          </w:rPr>
          <w:fldChar w:fldCharType="begin"/>
        </w:r>
        <w:r w:rsidR="00701ADE" w:rsidRPr="00701ADE">
          <w:rPr>
            <w:webHidden/>
            <w:lang w:val="en-GB"/>
          </w:rPr>
          <w:instrText xml:space="preserve"> PAGEREF _Toc126925382 \h </w:instrText>
        </w:r>
        <w:r w:rsidR="00DC51E9" w:rsidRPr="00701ADE">
          <w:rPr>
            <w:webHidden/>
            <w:lang w:val="en-GB"/>
          </w:rPr>
        </w:r>
        <w:r w:rsidR="00DC51E9" w:rsidRPr="00701ADE">
          <w:rPr>
            <w:webHidden/>
            <w:lang w:val="en-GB"/>
          </w:rPr>
          <w:fldChar w:fldCharType="separate"/>
        </w:r>
        <w:r w:rsidR="00701ADE" w:rsidRPr="00701ADE">
          <w:rPr>
            <w:webHidden/>
            <w:lang w:val="en-GB"/>
          </w:rPr>
          <w:t>14</w:t>
        </w:r>
        <w:r w:rsidR="00DC51E9" w:rsidRPr="00701ADE">
          <w:rPr>
            <w:webHidden/>
            <w:lang w:val="en-GB"/>
          </w:rPr>
          <w:fldChar w:fldCharType="end"/>
        </w:r>
      </w:hyperlink>
    </w:p>
    <w:p w:rsidR="00701ADE" w:rsidRPr="00701ADE" w:rsidRDefault="002A06CB">
      <w:pPr>
        <w:pStyle w:val="Spistreci4"/>
        <w:tabs>
          <w:tab w:val="right" w:leader="dot" w:pos="10240"/>
        </w:tabs>
        <w:rPr>
          <w:rFonts w:asciiTheme="minorHAnsi" w:eastAsiaTheme="minorEastAsia" w:hAnsiTheme="minorHAnsi" w:cstheme="minorBidi"/>
          <w:sz w:val="22"/>
          <w:szCs w:val="22"/>
          <w:lang w:val="en-GB" w:eastAsia="pl-PL"/>
        </w:rPr>
      </w:pPr>
      <w:hyperlink w:anchor="_Toc126925383" w:history="1">
        <w:r w:rsidR="00701ADE" w:rsidRPr="00701ADE">
          <w:rPr>
            <w:rStyle w:val="Hipercze"/>
            <w:lang w:val="en-GB"/>
          </w:rPr>
          <w:t>Table 2: Result indicators</w:t>
        </w:r>
        <w:r w:rsidR="00701ADE" w:rsidRPr="00701ADE">
          <w:rPr>
            <w:webHidden/>
            <w:lang w:val="en-GB"/>
          </w:rPr>
          <w:tab/>
        </w:r>
        <w:r w:rsidR="00DC51E9" w:rsidRPr="00701ADE">
          <w:rPr>
            <w:webHidden/>
            <w:lang w:val="en-GB"/>
          </w:rPr>
          <w:fldChar w:fldCharType="begin"/>
        </w:r>
        <w:r w:rsidR="00701ADE" w:rsidRPr="00701ADE">
          <w:rPr>
            <w:webHidden/>
            <w:lang w:val="en-GB"/>
          </w:rPr>
          <w:instrText xml:space="preserve"> PAGEREF _Toc126925383 \h </w:instrText>
        </w:r>
        <w:r w:rsidR="00DC51E9" w:rsidRPr="00701ADE">
          <w:rPr>
            <w:webHidden/>
            <w:lang w:val="en-GB"/>
          </w:rPr>
        </w:r>
        <w:r w:rsidR="00DC51E9" w:rsidRPr="00701ADE">
          <w:rPr>
            <w:webHidden/>
            <w:lang w:val="en-GB"/>
          </w:rPr>
          <w:fldChar w:fldCharType="separate"/>
        </w:r>
        <w:r w:rsidR="00701ADE" w:rsidRPr="00701ADE">
          <w:rPr>
            <w:webHidden/>
            <w:lang w:val="en-GB"/>
          </w:rPr>
          <w:t>15</w:t>
        </w:r>
        <w:r w:rsidR="00DC51E9" w:rsidRPr="00701ADE">
          <w:rPr>
            <w:webHidden/>
            <w:lang w:val="en-GB"/>
          </w:rPr>
          <w:fldChar w:fldCharType="end"/>
        </w:r>
      </w:hyperlink>
    </w:p>
    <w:p w:rsidR="00701ADE" w:rsidRPr="00701ADE" w:rsidRDefault="002A06CB">
      <w:pPr>
        <w:pStyle w:val="Spistreci3"/>
        <w:tabs>
          <w:tab w:val="right" w:leader="dot" w:pos="10240"/>
        </w:tabs>
        <w:rPr>
          <w:rFonts w:asciiTheme="minorHAnsi" w:eastAsiaTheme="minorEastAsia" w:hAnsiTheme="minorHAnsi" w:cstheme="minorBidi"/>
          <w:sz w:val="22"/>
          <w:szCs w:val="22"/>
          <w:lang w:val="en-GB" w:eastAsia="pl-PL"/>
        </w:rPr>
      </w:pPr>
      <w:hyperlink w:anchor="_Toc126925384" w:history="1">
        <w:r w:rsidR="00701ADE" w:rsidRPr="00701ADE">
          <w:rPr>
            <w:rStyle w:val="Hipercze"/>
            <w:lang w:val="en-GB"/>
          </w:rPr>
          <w:t>2.1.3. Indicative breakdown of programme resources (EU) by type of intervention</w:t>
        </w:r>
        <w:r w:rsidR="00701ADE" w:rsidRPr="00701ADE">
          <w:rPr>
            <w:webHidden/>
            <w:lang w:val="en-GB"/>
          </w:rPr>
          <w:tab/>
        </w:r>
        <w:r w:rsidR="00DC51E9" w:rsidRPr="00701ADE">
          <w:rPr>
            <w:webHidden/>
            <w:lang w:val="en-GB"/>
          </w:rPr>
          <w:fldChar w:fldCharType="begin"/>
        </w:r>
        <w:r w:rsidR="00701ADE" w:rsidRPr="00701ADE">
          <w:rPr>
            <w:webHidden/>
            <w:lang w:val="en-GB"/>
          </w:rPr>
          <w:instrText xml:space="preserve"> PAGEREF _Toc126925384 \h </w:instrText>
        </w:r>
        <w:r w:rsidR="00DC51E9" w:rsidRPr="00701ADE">
          <w:rPr>
            <w:webHidden/>
            <w:lang w:val="en-GB"/>
          </w:rPr>
        </w:r>
        <w:r w:rsidR="00DC51E9" w:rsidRPr="00701ADE">
          <w:rPr>
            <w:webHidden/>
            <w:lang w:val="en-GB"/>
          </w:rPr>
          <w:fldChar w:fldCharType="separate"/>
        </w:r>
        <w:r w:rsidR="00701ADE" w:rsidRPr="00701ADE">
          <w:rPr>
            <w:webHidden/>
            <w:lang w:val="en-GB"/>
          </w:rPr>
          <w:t>16</w:t>
        </w:r>
        <w:r w:rsidR="00DC51E9" w:rsidRPr="00701ADE">
          <w:rPr>
            <w:webHidden/>
            <w:lang w:val="en-GB"/>
          </w:rPr>
          <w:fldChar w:fldCharType="end"/>
        </w:r>
      </w:hyperlink>
    </w:p>
    <w:p w:rsidR="00701ADE" w:rsidRPr="00701ADE" w:rsidRDefault="002A06CB">
      <w:pPr>
        <w:pStyle w:val="Spistreci4"/>
        <w:tabs>
          <w:tab w:val="right" w:leader="dot" w:pos="10240"/>
        </w:tabs>
        <w:rPr>
          <w:rFonts w:asciiTheme="minorHAnsi" w:eastAsiaTheme="minorEastAsia" w:hAnsiTheme="minorHAnsi" w:cstheme="minorBidi"/>
          <w:sz w:val="22"/>
          <w:szCs w:val="22"/>
          <w:lang w:val="en-GB" w:eastAsia="pl-PL"/>
        </w:rPr>
      </w:pPr>
      <w:hyperlink w:anchor="_Toc126925385" w:history="1">
        <w:r w:rsidR="00701ADE" w:rsidRPr="00701ADE">
          <w:rPr>
            <w:rStyle w:val="Hipercze"/>
            <w:lang w:val="en-GB"/>
          </w:rPr>
          <w:t>Table 3: Indicative breakdown</w:t>
        </w:r>
        <w:r w:rsidR="00701ADE" w:rsidRPr="00701ADE">
          <w:rPr>
            <w:webHidden/>
            <w:lang w:val="en-GB"/>
          </w:rPr>
          <w:tab/>
        </w:r>
        <w:r w:rsidR="00DC51E9" w:rsidRPr="00701ADE">
          <w:rPr>
            <w:webHidden/>
            <w:lang w:val="en-GB"/>
          </w:rPr>
          <w:fldChar w:fldCharType="begin"/>
        </w:r>
        <w:r w:rsidR="00701ADE" w:rsidRPr="00701ADE">
          <w:rPr>
            <w:webHidden/>
            <w:lang w:val="en-GB"/>
          </w:rPr>
          <w:instrText xml:space="preserve"> PAGEREF _Toc126925385 \h </w:instrText>
        </w:r>
        <w:r w:rsidR="00DC51E9" w:rsidRPr="00701ADE">
          <w:rPr>
            <w:webHidden/>
            <w:lang w:val="en-GB"/>
          </w:rPr>
        </w:r>
        <w:r w:rsidR="00DC51E9" w:rsidRPr="00701ADE">
          <w:rPr>
            <w:webHidden/>
            <w:lang w:val="en-GB"/>
          </w:rPr>
          <w:fldChar w:fldCharType="separate"/>
        </w:r>
        <w:r w:rsidR="00701ADE" w:rsidRPr="00701ADE">
          <w:rPr>
            <w:webHidden/>
            <w:lang w:val="en-GB"/>
          </w:rPr>
          <w:t>16</w:t>
        </w:r>
        <w:r w:rsidR="00DC51E9" w:rsidRPr="00701ADE">
          <w:rPr>
            <w:webHidden/>
            <w:lang w:val="en-GB"/>
          </w:rPr>
          <w:fldChar w:fldCharType="end"/>
        </w:r>
      </w:hyperlink>
    </w:p>
    <w:p w:rsidR="00701ADE" w:rsidRPr="00701ADE" w:rsidRDefault="002A06CB">
      <w:pPr>
        <w:pStyle w:val="Spistreci2"/>
        <w:tabs>
          <w:tab w:val="right" w:leader="dot" w:pos="10240"/>
        </w:tabs>
        <w:rPr>
          <w:rFonts w:asciiTheme="minorHAnsi" w:eastAsiaTheme="minorEastAsia" w:hAnsiTheme="minorHAnsi" w:cstheme="minorBidi"/>
          <w:sz w:val="22"/>
          <w:szCs w:val="22"/>
          <w:lang w:val="en-GB" w:eastAsia="pl-PL"/>
        </w:rPr>
      </w:pPr>
      <w:hyperlink w:anchor="_Toc126925386" w:history="1">
        <w:r w:rsidR="00701ADE" w:rsidRPr="00701ADE">
          <w:rPr>
            <w:rStyle w:val="Hipercze"/>
            <w:lang w:val="en-GB"/>
          </w:rPr>
          <w:t>2.1. Specific objective: 2. Legal migration and integration</w:t>
        </w:r>
        <w:r w:rsidR="00701ADE" w:rsidRPr="00701ADE">
          <w:rPr>
            <w:webHidden/>
            <w:lang w:val="en-GB"/>
          </w:rPr>
          <w:tab/>
        </w:r>
        <w:r w:rsidR="00DC51E9" w:rsidRPr="00701ADE">
          <w:rPr>
            <w:webHidden/>
            <w:lang w:val="en-GB"/>
          </w:rPr>
          <w:fldChar w:fldCharType="begin"/>
        </w:r>
        <w:r w:rsidR="00701ADE" w:rsidRPr="00701ADE">
          <w:rPr>
            <w:webHidden/>
            <w:lang w:val="en-GB"/>
          </w:rPr>
          <w:instrText xml:space="preserve"> PAGEREF _Toc126925386 \h </w:instrText>
        </w:r>
        <w:r w:rsidR="00DC51E9" w:rsidRPr="00701ADE">
          <w:rPr>
            <w:webHidden/>
            <w:lang w:val="en-GB"/>
          </w:rPr>
        </w:r>
        <w:r w:rsidR="00DC51E9" w:rsidRPr="00701ADE">
          <w:rPr>
            <w:webHidden/>
            <w:lang w:val="en-GB"/>
          </w:rPr>
          <w:fldChar w:fldCharType="separate"/>
        </w:r>
        <w:r w:rsidR="00701ADE" w:rsidRPr="00701ADE">
          <w:rPr>
            <w:webHidden/>
            <w:lang w:val="en-GB"/>
          </w:rPr>
          <w:t>17</w:t>
        </w:r>
        <w:r w:rsidR="00DC51E9" w:rsidRPr="00701ADE">
          <w:rPr>
            <w:webHidden/>
            <w:lang w:val="en-GB"/>
          </w:rPr>
          <w:fldChar w:fldCharType="end"/>
        </w:r>
      </w:hyperlink>
    </w:p>
    <w:p w:rsidR="00701ADE" w:rsidRPr="00701ADE" w:rsidRDefault="002A06CB">
      <w:pPr>
        <w:pStyle w:val="Spistreci3"/>
        <w:tabs>
          <w:tab w:val="right" w:leader="dot" w:pos="10240"/>
        </w:tabs>
        <w:rPr>
          <w:rFonts w:asciiTheme="minorHAnsi" w:eastAsiaTheme="minorEastAsia" w:hAnsiTheme="minorHAnsi" w:cstheme="minorBidi"/>
          <w:sz w:val="22"/>
          <w:szCs w:val="22"/>
          <w:lang w:val="en-GB" w:eastAsia="pl-PL"/>
        </w:rPr>
      </w:pPr>
      <w:hyperlink w:anchor="_Toc126925387" w:history="1">
        <w:r w:rsidR="00701ADE" w:rsidRPr="00701ADE">
          <w:rPr>
            <w:rStyle w:val="Hipercze"/>
            <w:lang w:val="en-GB"/>
          </w:rPr>
          <w:t>2.1.1. Description of the specific objective</w:t>
        </w:r>
        <w:r w:rsidR="00701ADE" w:rsidRPr="00701ADE">
          <w:rPr>
            <w:webHidden/>
            <w:lang w:val="en-GB"/>
          </w:rPr>
          <w:tab/>
        </w:r>
        <w:r w:rsidR="00DC51E9" w:rsidRPr="00701ADE">
          <w:rPr>
            <w:webHidden/>
            <w:lang w:val="en-GB"/>
          </w:rPr>
          <w:fldChar w:fldCharType="begin"/>
        </w:r>
        <w:r w:rsidR="00701ADE" w:rsidRPr="00701ADE">
          <w:rPr>
            <w:webHidden/>
            <w:lang w:val="en-GB"/>
          </w:rPr>
          <w:instrText xml:space="preserve"> PAGEREF _Toc126925387 \h </w:instrText>
        </w:r>
        <w:r w:rsidR="00DC51E9" w:rsidRPr="00701ADE">
          <w:rPr>
            <w:webHidden/>
            <w:lang w:val="en-GB"/>
          </w:rPr>
        </w:r>
        <w:r w:rsidR="00DC51E9" w:rsidRPr="00701ADE">
          <w:rPr>
            <w:webHidden/>
            <w:lang w:val="en-GB"/>
          </w:rPr>
          <w:fldChar w:fldCharType="separate"/>
        </w:r>
        <w:r w:rsidR="00701ADE" w:rsidRPr="00701ADE">
          <w:rPr>
            <w:webHidden/>
            <w:lang w:val="en-GB"/>
          </w:rPr>
          <w:t>17</w:t>
        </w:r>
        <w:r w:rsidR="00DC51E9" w:rsidRPr="00701ADE">
          <w:rPr>
            <w:webHidden/>
            <w:lang w:val="en-GB"/>
          </w:rPr>
          <w:fldChar w:fldCharType="end"/>
        </w:r>
      </w:hyperlink>
    </w:p>
    <w:p w:rsidR="00701ADE" w:rsidRPr="00701ADE" w:rsidRDefault="002A06CB">
      <w:pPr>
        <w:pStyle w:val="Spistreci3"/>
        <w:tabs>
          <w:tab w:val="right" w:leader="dot" w:pos="10240"/>
        </w:tabs>
        <w:rPr>
          <w:rFonts w:asciiTheme="minorHAnsi" w:eastAsiaTheme="minorEastAsia" w:hAnsiTheme="minorHAnsi" w:cstheme="minorBidi"/>
          <w:sz w:val="22"/>
          <w:szCs w:val="22"/>
          <w:lang w:val="en-GB" w:eastAsia="pl-PL"/>
        </w:rPr>
      </w:pPr>
      <w:hyperlink w:anchor="_Toc126925388" w:history="1">
        <w:r w:rsidR="00701ADE" w:rsidRPr="00701ADE">
          <w:rPr>
            <w:rStyle w:val="Hipercze"/>
            <w:lang w:val="en-GB"/>
          </w:rPr>
          <w:t>2.1.2. Indicators</w:t>
        </w:r>
        <w:r w:rsidR="00701ADE" w:rsidRPr="00701ADE">
          <w:rPr>
            <w:webHidden/>
            <w:lang w:val="en-GB"/>
          </w:rPr>
          <w:tab/>
        </w:r>
        <w:r w:rsidR="00DC51E9" w:rsidRPr="00701ADE">
          <w:rPr>
            <w:webHidden/>
            <w:lang w:val="en-GB"/>
          </w:rPr>
          <w:fldChar w:fldCharType="begin"/>
        </w:r>
        <w:r w:rsidR="00701ADE" w:rsidRPr="00701ADE">
          <w:rPr>
            <w:webHidden/>
            <w:lang w:val="en-GB"/>
          </w:rPr>
          <w:instrText xml:space="preserve"> PAGEREF _Toc126925388 \h </w:instrText>
        </w:r>
        <w:r w:rsidR="00DC51E9" w:rsidRPr="00701ADE">
          <w:rPr>
            <w:webHidden/>
            <w:lang w:val="en-GB"/>
          </w:rPr>
        </w:r>
        <w:r w:rsidR="00DC51E9" w:rsidRPr="00701ADE">
          <w:rPr>
            <w:webHidden/>
            <w:lang w:val="en-GB"/>
          </w:rPr>
          <w:fldChar w:fldCharType="separate"/>
        </w:r>
        <w:r w:rsidR="00701ADE" w:rsidRPr="00701ADE">
          <w:rPr>
            <w:webHidden/>
            <w:lang w:val="en-GB"/>
          </w:rPr>
          <w:t>22</w:t>
        </w:r>
        <w:r w:rsidR="00DC51E9" w:rsidRPr="00701ADE">
          <w:rPr>
            <w:webHidden/>
            <w:lang w:val="en-GB"/>
          </w:rPr>
          <w:fldChar w:fldCharType="end"/>
        </w:r>
      </w:hyperlink>
    </w:p>
    <w:p w:rsidR="00701ADE" w:rsidRPr="00701ADE" w:rsidRDefault="002A06CB">
      <w:pPr>
        <w:pStyle w:val="Spistreci4"/>
        <w:tabs>
          <w:tab w:val="right" w:leader="dot" w:pos="10240"/>
        </w:tabs>
        <w:rPr>
          <w:rFonts w:asciiTheme="minorHAnsi" w:eastAsiaTheme="minorEastAsia" w:hAnsiTheme="minorHAnsi" w:cstheme="minorBidi"/>
          <w:sz w:val="22"/>
          <w:szCs w:val="22"/>
          <w:lang w:val="en-GB" w:eastAsia="pl-PL"/>
        </w:rPr>
      </w:pPr>
      <w:hyperlink w:anchor="_Toc126925389" w:history="1">
        <w:r w:rsidR="00701ADE" w:rsidRPr="00701ADE">
          <w:rPr>
            <w:rStyle w:val="Hipercze"/>
            <w:lang w:val="en-GB"/>
          </w:rPr>
          <w:t>Table 1: Output indicators</w:t>
        </w:r>
        <w:r w:rsidR="00701ADE" w:rsidRPr="00701ADE">
          <w:rPr>
            <w:webHidden/>
            <w:lang w:val="en-GB"/>
          </w:rPr>
          <w:tab/>
        </w:r>
        <w:r w:rsidR="00DC51E9" w:rsidRPr="00701ADE">
          <w:rPr>
            <w:webHidden/>
            <w:lang w:val="en-GB"/>
          </w:rPr>
          <w:fldChar w:fldCharType="begin"/>
        </w:r>
        <w:r w:rsidR="00701ADE" w:rsidRPr="00701ADE">
          <w:rPr>
            <w:webHidden/>
            <w:lang w:val="en-GB"/>
          </w:rPr>
          <w:instrText xml:space="preserve"> PAGEREF _Toc126925389 \h </w:instrText>
        </w:r>
        <w:r w:rsidR="00DC51E9" w:rsidRPr="00701ADE">
          <w:rPr>
            <w:webHidden/>
            <w:lang w:val="en-GB"/>
          </w:rPr>
        </w:r>
        <w:r w:rsidR="00DC51E9" w:rsidRPr="00701ADE">
          <w:rPr>
            <w:webHidden/>
            <w:lang w:val="en-GB"/>
          </w:rPr>
          <w:fldChar w:fldCharType="separate"/>
        </w:r>
        <w:r w:rsidR="00701ADE" w:rsidRPr="00701ADE">
          <w:rPr>
            <w:webHidden/>
            <w:lang w:val="en-GB"/>
          </w:rPr>
          <w:t>22</w:t>
        </w:r>
        <w:r w:rsidR="00DC51E9" w:rsidRPr="00701ADE">
          <w:rPr>
            <w:webHidden/>
            <w:lang w:val="en-GB"/>
          </w:rPr>
          <w:fldChar w:fldCharType="end"/>
        </w:r>
      </w:hyperlink>
    </w:p>
    <w:p w:rsidR="00701ADE" w:rsidRPr="00701ADE" w:rsidRDefault="002A06CB">
      <w:pPr>
        <w:pStyle w:val="Spistreci4"/>
        <w:tabs>
          <w:tab w:val="right" w:leader="dot" w:pos="10240"/>
        </w:tabs>
        <w:rPr>
          <w:rFonts w:asciiTheme="minorHAnsi" w:eastAsiaTheme="minorEastAsia" w:hAnsiTheme="minorHAnsi" w:cstheme="minorBidi"/>
          <w:sz w:val="22"/>
          <w:szCs w:val="22"/>
          <w:lang w:val="en-GB" w:eastAsia="pl-PL"/>
        </w:rPr>
      </w:pPr>
      <w:hyperlink w:anchor="_Toc126925390" w:history="1">
        <w:r w:rsidR="00701ADE" w:rsidRPr="00701ADE">
          <w:rPr>
            <w:rStyle w:val="Hipercze"/>
            <w:lang w:val="en-GB"/>
          </w:rPr>
          <w:t>Table 2: Result indicators</w:t>
        </w:r>
        <w:r w:rsidR="00701ADE" w:rsidRPr="00701ADE">
          <w:rPr>
            <w:webHidden/>
            <w:lang w:val="en-GB"/>
          </w:rPr>
          <w:tab/>
        </w:r>
        <w:r w:rsidR="00DC51E9" w:rsidRPr="00701ADE">
          <w:rPr>
            <w:webHidden/>
            <w:lang w:val="en-GB"/>
          </w:rPr>
          <w:fldChar w:fldCharType="begin"/>
        </w:r>
        <w:r w:rsidR="00701ADE" w:rsidRPr="00701ADE">
          <w:rPr>
            <w:webHidden/>
            <w:lang w:val="en-GB"/>
          </w:rPr>
          <w:instrText xml:space="preserve"> PAGEREF _Toc126925390 \h </w:instrText>
        </w:r>
        <w:r w:rsidR="00DC51E9" w:rsidRPr="00701ADE">
          <w:rPr>
            <w:webHidden/>
            <w:lang w:val="en-GB"/>
          </w:rPr>
        </w:r>
        <w:r w:rsidR="00DC51E9" w:rsidRPr="00701ADE">
          <w:rPr>
            <w:webHidden/>
            <w:lang w:val="en-GB"/>
          </w:rPr>
          <w:fldChar w:fldCharType="separate"/>
        </w:r>
        <w:r w:rsidR="00701ADE" w:rsidRPr="00701ADE">
          <w:rPr>
            <w:webHidden/>
            <w:lang w:val="en-GB"/>
          </w:rPr>
          <w:t>23</w:t>
        </w:r>
        <w:r w:rsidR="00DC51E9" w:rsidRPr="00701ADE">
          <w:rPr>
            <w:webHidden/>
            <w:lang w:val="en-GB"/>
          </w:rPr>
          <w:fldChar w:fldCharType="end"/>
        </w:r>
      </w:hyperlink>
    </w:p>
    <w:p w:rsidR="00701ADE" w:rsidRPr="00701ADE" w:rsidRDefault="002A06CB">
      <w:pPr>
        <w:pStyle w:val="Spistreci3"/>
        <w:tabs>
          <w:tab w:val="right" w:leader="dot" w:pos="10240"/>
        </w:tabs>
        <w:rPr>
          <w:rFonts w:asciiTheme="minorHAnsi" w:eastAsiaTheme="minorEastAsia" w:hAnsiTheme="minorHAnsi" w:cstheme="minorBidi"/>
          <w:sz w:val="22"/>
          <w:szCs w:val="22"/>
          <w:lang w:val="en-GB" w:eastAsia="pl-PL"/>
        </w:rPr>
      </w:pPr>
      <w:hyperlink w:anchor="_Toc126925391" w:history="1">
        <w:r w:rsidR="00701ADE" w:rsidRPr="00701ADE">
          <w:rPr>
            <w:rStyle w:val="Hipercze"/>
            <w:lang w:val="en-GB"/>
          </w:rPr>
          <w:t>2.1.3. Indicative breakdown of programme resources (EU) by type of intervention</w:t>
        </w:r>
        <w:r w:rsidR="00701ADE" w:rsidRPr="00701ADE">
          <w:rPr>
            <w:webHidden/>
            <w:lang w:val="en-GB"/>
          </w:rPr>
          <w:tab/>
        </w:r>
        <w:r w:rsidR="00DC51E9" w:rsidRPr="00701ADE">
          <w:rPr>
            <w:webHidden/>
            <w:lang w:val="en-GB"/>
          </w:rPr>
          <w:fldChar w:fldCharType="begin"/>
        </w:r>
        <w:r w:rsidR="00701ADE" w:rsidRPr="00701ADE">
          <w:rPr>
            <w:webHidden/>
            <w:lang w:val="en-GB"/>
          </w:rPr>
          <w:instrText xml:space="preserve"> PAGEREF _Toc126925391 \h </w:instrText>
        </w:r>
        <w:r w:rsidR="00DC51E9" w:rsidRPr="00701ADE">
          <w:rPr>
            <w:webHidden/>
            <w:lang w:val="en-GB"/>
          </w:rPr>
        </w:r>
        <w:r w:rsidR="00DC51E9" w:rsidRPr="00701ADE">
          <w:rPr>
            <w:webHidden/>
            <w:lang w:val="en-GB"/>
          </w:rPr>
          <w:fldChar w:fldCharType="separate"/>
        </w:r>
        <w:r w:rsidR="00701ADE" w:rsidRPr="00701ADE">
          <w:rPr>
            <w:webHidden/>
            <w:lang w:val="en-GB"/>
          </w:rPr>
          <w:t>24</w:t>
        </w:r>
        <w:r w:rsidR="00DC51E9" w:rsidRPr="00701ADE">
          <w:rPr>
            <w:webHidden/>
            <w:lang w:val="en-GB"/>
          </w:rPr>
          <w:fldChar w:fldCharType="end"/>
        </w:r>
      </w:hyperlink>
    </w:p>
    <w:p w:rsidR="00701ADE" w:rsidRPr="00701ADE" w:rsidRDefault="002A06CB">
      <w:pPr>
        <w:pStyle w:val="Spistreci4"/>
        <w:tabs>
          <w:tab w:val="right" w:leader="dot" w:pos="10240"/>
        </w:tabs>
        <w:rPr>
          <w:rFonts w:asciiTheme="minorHAnsi" w:eastAsiaTheme="minorEastAsia" w:hAnsiTheme="minorHAnsi" w:cstheme="minorBidi"/>
          <w:sz w:val="22"/>
          <w:szCs w:val="22"/>
          <w:lang w:val="en-GB" w:eastAsia="pl-PL"/>
        </w:rPr>
      </w:pPr>
      <w:hyperlink w:anchor="_Toc126925392" w:history="1">
        <w:r w:rsidR="00701ADE" w:rsidRPr="00701ADE">
          <w:rPr>
            <w:rStyle w:val="Hipercze"/>
            <w:lang w:val="en-GB"/>
          </w:rPr>
          <w:t>Table 3: Indicative breakdown</w:t>
        </w:r>
        <w:r w:rsidR="00701ADE" w:rsidRPr="00701ADE">
          <w:rPr>
            <w:webHidden/>
            <w:lang w:val="en-GB"/>
          </w:rPr>
          <w:tab/>
        </w:r>
        <w:r w:rsidR="00DC51E9" w:rsidRPr="00701ADE">
          <w:rPr>
            <w:webHidden/>
            <w:lang w:val="en-GB"/>
          </w:rPr>
          <w:fldChar w:fldCharType="begin"/>
        </w:r>
        <w:r w:rsidR="00701ADE" w:rsidRPr="00701ADE">
          <w:rPr>
            <w:webHidden/>
            <w:lang w:val="en-GB"/>
          </w:rPr>
          <w:instrText xml:space="preserve"> PAGEREF _Toc126925392 \h </w:instrText>
        </w:r>
        <w:r w:rsidR="00DC51E9" w:rsidRPr="00701ADE">
          <w:rPr>
            <w:webHidden/>
            <w:lang w:val="en-GB"/>
          </w:rPr>
        </w:r>
        <w:r w:rsidR="00DC51E9" w:rsidRPr="00701ADE">
          <w:rPr>
            <w:webHidden/>
            <w:lang w:val="en-GB"/>
          </w:rPr>
          <w:fldChar w:fldCharType="separate"/>
        </w:r>
        <w:r w:rsidR="00701ADE" w:rsidRPr="00701ADE">
          <w:rPr>
            <w:webHidden/>
            <w:lang w:val="en-GB"/>
          </w:rPr>
          <w:t>24</w:t>
        </w:r>
        <w:r w:rsidR="00DC51E9" w:rsidRPr="00701ADE">
          <w:rPr>
            <w:webHidden/>
            <w:lang w:val="en-GB"/>
          </w:rPr>
          <w:fldChar w:fldCharType="end"/>
        </w:r>
      </w:hyperlink>
    </w:p>
    <w:p w:rsidR="00701ADE" w:rsidRPr="00701ADE" w:rsidRDefault="002A06CB">
      <w:pPr>
        <w:pStyle w:val="Spistreci2"/>
        <w:tabs>
          <w:tab w:val="right" w:leader="dot" w:pos="10240"/>
        </w:tabs>
        <w:rPr>
          <w:rFonts w:asciiTheme="minorHAnsi" w:eastAsiaTheme="minorEastAsia" w:hAnsiTheme="minorHAnsi" w:cstheme="minorBidi"/>
          <w:sz w:val="22"/>
          <w:szCs w:val="22"/>
          <w:lang w:val="en-GB" w:eastAsia="pl-PL"/>
        </w:rPr>
      </w:pPr>
      <w:hyperlink w:anchor="_Toc126925393" w:history="1">
        <w:r w:rsidR="00701ADE" w:rsidRPr="00701ADE">
          <w:rPr>
            <w:rStyle w:val="Hipercze"/>
            <w:lang w:val="en-GB"/>
          </w:rPr>
          <w:t>2.1. Specific objective: 3. Return</w:t>
        </w:r>
        <w:r w:rsidR="00701ADE" w:rsidRPr="00701ADE">
          <w:rPr>
            <w:webHidden/>
            <w:lang w:val="en-GB"/>
          </w:rPr>
          <w:tab/>
        </w:r>
        <w:r w:rsidR="00DC51E9" w:rsidRPr="00701ADE">
          <w:rPr>
            <w:webHidden/>
            <w:lang w:val="en-GB"/>
          </w:rPr>
          <w:fldChar w:fldCharType="begin"/>
        </w:r>
        <w:r w:rsidR="00701ADE" w:rsidRPr="00701ADE">
          <w:rPr>
            <w:webHidden/>
            <w:lang w:val="en-GB"/>
          </w:rPr>
          <w:instrText xml:space="preserve"> PAGEREF _Toc126925393 \h </w:instrText>
        </w:r>
        <w:r w:rsidR="00DC51E9" w:rsidRPr="00701ADE">
          <w:rPr>
            <w:webHidden/>
            <w:lang w:val="en-GB"/>
          </w:rPr>
        </w:r>
        <w:r w:rsidR="00DC51E9" w:rsidRPr="00701ADE">
          <w:rPr>
            <w:webHidden/>
            <w:lang w:val="en-GB"/>
          </w:rPr>
          <w:fldChar w:fldCharType="separate"/>
        </w:r>
        <w:r w:rsidR="00701ADE" w:rsidRPr="00701ADE">
          <w:rPr>
            <w:webHidden/>
            <w:lang w:val="en-GB"/>
          </w:rPr>
          <w:t>25</w:t>
        </w:r>
        <w:r w:rsidR="00DC51E9" w:rsidRPr="00701ADE">
          <w:rPr>
            <w:webHidden/>
            <w:lang w:val="en-GB"/>
          </w:rPr>
          <w:fldChar w:fldCharType="end"/>
        </w:r>
      </w:hyperlink>
    </w:p>
    <w:p w:rsidR="00701ADE" w:rsidRPr="00701ADE" w:rsidRDefault="002A06CB">
      <w:pPr>
        <w:pStyle w:val="Spistreci3"/>
        <w:tabs>
          <w:tab w:val="right" w:leader="dot" w:pos="10240"/>
        </w:tabs>
        <w:rPr>
          <w:rFonts w:asciiTheme="minorHAnsi" w:eastAsiaTheme="minorEastAsia" w:hAnsiTheme="minorHAnsi" w:cstheme="minorBidi"/>
          <w:sz w:val="22"/>
          <w:szCs w:val="22"/>
          <w:lang w:val="en-GB" w:eastAsia="pl-PL"/>
        </w:rPr>
      </w:pPr>
      <w:hyperlink w:anchor="_Toc126925394" w:history="1">
        <w:r w:rsidR="00701ADE" w:rsidRPr="00701ADE">
          <w:rPr>
            <w:rStyle w:val="Hipercze"/>
            <w:lang w:val="en-GB"/>
          </w:rPr>
          <w:t>2.1.1. Description of the specific objective</w:t>
        </w:r>
        <w:r w:rsidR="00701ADE" w:rsidRPr="00701ADE">
          <w:rPr>
            <w:webHidden/>
            <w:lang w:val="en-GB"/>
          </w:rPr>
          <w:tab/>
        </w:r>
        <w:r w:rsidR="00DC51E9" w:rsidRPr="00701ADE">
          <w:rPr>
            <w:webHidden/>
            <w:lang w:val="en-GB"/>
          </w:rPr>
          <w:fldChar w:fldCharType="begin"/>
        </w:r>
        <w:r w:rsidR="00701ADE" w:rsidRPr="00701ADE">
          <w:rPr>
            <w:webHidden/>
            <w:lang w:val="en-GB"/>
          </w:rPr>
          <w:instrText xml:space="preserve"> PAGEREF _Toc126925394 \h </w:instrText>
        </w:r>
        <w:r w:rsidR="00DC51E9" w:rsidRPr="00701ADE">
          <w:rPr>
            <w:webHidden/>
            <w:lang w:val="en-GB"/>
          </w:rPr>
        </w:r>
        <w:r w:rsidR="00DC51E9" w:rsidRPr="00701ADE">
          <w:rPr>
            <w:webHidden/>
            <w:lang w:val="en-GB"/>
          </w:rPr>
          <w:fldChar w:fldCharType="separate"/>
        </w:r>
        <w:r w:rsidR="00701ADE" w:rsidRPr="00701ADE">
          <w:rPr>
            <w:webHidden/>
            <w:lang w:val="en-GB"/>
          </w:rPr>
          <w:t>25</w:t>
        </w:r>
        <w:r w:rsidR="00DC51E9" w:rsidRPr="00701ADE">
          <w:rPr>
            <w:webHidden/>
            <w:lang w:val="en-GB"/>
          </w:rPr>
          <w:fldChar w:fldCharType="end"/>
        </w:r>
      </w:hyperlink>
    </w:p>
    <w:p w:rsidR="00701ADE" w:rsidRPr="00701ADE" w:rsidRDefault="002A06CB">
      <w:pPr>
        <w:pStyle w:val="Spistreci3"/>
        <w:tabs>
          <w:tab w:val="right" w:leader="dot" w:pos="10240"/>
        </w:tabs>
        <w:rPr>
          <w:rFonts w:asciiTheme="minorHAnsi" w:eastAsiaTheme="minorEastAsia" w:hAnsiTheme="minorHAnsi" w:cstheme="minorBidi"/>
          <w:sz w:val="22"/>
          <w:szCs w:val="22"/>
          <w:lang w:val="en-GB" w:eastAsia="pl-PL"/>
        </w:rPr>
      </w:pPr>
      <w:hyperlink w:anchor="_Toc126925395" w:history="1">
        <w:r w:rsidR="00701ADE" w:rsidRPr="00701ADE">
          <w:rPr>
            <w:rStyle w:val="Hipercze"/>
            <w:lang w:val="en-GB"/>
          </w:rPr>
          <w:t>2.1.2. Indicators</w:t>
        </w:r>
        <w:r w:rsidR="00701ADE" w:rsidRPr="00701ADE">
          <w:rPr>
            <w:webHidden/>
            <w:lang w:val="en-GB"/>
          </w:rPr>
          <w:tab/>
        </w:r>
        <w:r w:rsidR="00DC51E9" w:rsidRPr="00701ADE">
          <w:rPr>
            <w:webHidden/>
            <w:lang w:val="en-GB"/>
          </w:rPr>
          <w:fldChar w:fldCharType="begin"/>
        </w:r>
        <w:r w:rsidR="00701ADE" w:rsidRPr="00701ADE">
          <w:rPr>
            <w:webHidden/>
            <w:lang w:val="en-GB"/>
          </w:rPr>
          <w:instrText xml:space="preserve"> PAGEREF _Toc126925395 \h </w:instrText>
        </w:r>
        <w:r w:rsidR="00DC51E9" w:rsidRPr="00701ADE">
          <w:rPr>
            <w:webHidden/>
            <w:lang w:val="en-GB"/>
          </w:rPr>
        </w:r>
        <w:r w:rsidR="00DC51E9" w:rsidRPr="00701ADE">
          <w:rPr>
            <w:webHidden/>
            <w:lang w:val="en-GB"/>
          </w:rPr>
          <w:fldChar w:fldCharType="separate"/>
        </w:r>
        <w:r w:rsidR="00701ADE" w:rsidRPr="00701ADE">
          <w:rPr>
            <w:webHidden/>
            <w:lang w:val="en-GB"/>
          </w:rPr>
          <w:t>30</w:t>
        </w:r>
        <w:r w:rsidR="00DC51E9" w:rsidRPr="00701ADE">
          <w:rPr>
            <w:webHidden/>
            <w:lang w:val="en-GB"/>
          </w:rPr>
          <w:fldChar w:fldCharType="end"/>
        </w:r>
      </w:hyperlink>
    </w:p>
    <w:p w:rsidR="00701ADE" w:rsidRPr="00701ADE" w:rsidRDefault="002A06CB">
      <w:pPr>
        <w:pStyle w:val="Spistreci4"/>
        <w:tabs>
          <w:tab w:val="right" w:leader="dot" w:pos="10240"/>
        </w:tabs>
        <w:rPr>
          <w:rFonts w:asciiTheme="minorHAnsi" w:eastAsiaTheme="minorEastAsia" w:hAnsiTheme="minorHAnsi" w:cstheme="minorBidi"/>
          <w:sz w:val="22"/>
          <w:szCs w:val="22"/>
          <w:lang w:val="en-GB" w:eastAsia="pl-PL"/>
        </w:rPr>
      </w:pPr>
      <w:hyperlink w:anchor="_Toc126925396" w:history="1">
        <w:r w:rsidR="00701ADE" w:rsidRPr="00701ADE">
          <w:rPr>
            <w:rStyle w:val="Hipercze"/>
            <w:lang w:val="en-GB"/>
          </w:rPr>
          <w:t>Table 1: Output indicators</w:t>
        </w:r>
        <w:r w:rsidR="00701ADE" w:rsidRPr="00701ADE">
          <w:rPr>
            <w:webHidden/>
            <w:lang w:val="en-GB"/>
          </w:rPr>
          <w:tab/>
        </w:r>
        <w:r w:rsidR="00DC51E9" w:rsidRPr="00701ADE">
          <w:rPr>
            <w:webHidden/>
            <w:lang w:val="en-GB"/>
          </w:rPr>
          <w:fldChar w:fldCharType="begin"/>
        </w:r>
        <w:r w:rsidR="00701ADE" w:rsidRPr="00701ADE">
          <w:rPr>
            <w:webHidden/>
            <w:lang w:val="en-GB"/>
          </w:rPr>
          <w:instrText xml:space="preserve"> PAGEREF _Toc126925396 \h </w:instrText>
        </w:r>
        <w:r w:rsidR="00DC51E9" w:rsidRPr="00701ADE">
          <w:rPr>
            <w:webHidden/>
            <w:lang w:val="en-GB"/>
          </w:rPr>
        </w:r>
        <w:r w:rsidR="00DC51E9" w:rsidRPr="00701ADE">
          <w:rPr>
            <w:webHidden/>
            <w:lang w:val="en-GB"/>
          </w:rPr>
          <w:fldChar w:fldCharType="separate"/>
        </w:r>
        <w:r w:rsidR="00701ADE" w:rsidRPr="00701ADE">
          <w:rPr>
            <w:webHidden/>
            <w:lang w:val="en-GB"/>
          </w:rPr>
          <w:t>30</w:t>
        </w:r>
        <w:r w:rsidR="00DC51E9" w:rsidRPr="00701ADE">
          <w:rPr>
            <w:webHidden/>
            <w:lang w:val="en-GB"/>
          </w:rPr>
          <w:fldChar w:fldCharType="end"/>
        </w:r>
      </w:hyperlink>
    </w:p>
    <w:p w:rsidR="00701ADE" w:rsidRPr="00701ADE" w:rsidRDefault="002A06CB">
      <w:pPr>
        <w:pStyle w:val="Spistreci4"/>
        <w:tabs>
          <w:tab w:val="right" w:leader="dot" w:pos="10240"/>
        </w:tabs>
        <w:rPr>
          <w:rFonts w:asciiTheme="minorHAnsi" w:eastAsiaTheme="minorEastAsia" w:hAnsiTheme="minorHAnsi" w:cstheme="minorBidi"/>
          <w:sz w:val="22"/>
          <w:szCs w:val="22"/>
          <w:lang w:val="en-GB" w:eastAsia="pl-PL"/>
        </w:rPr>
      </w:pPr>
      <w:hyperlink w:anchor="_Toc126925397" w:history="1">
        <w:r w:rsidR="00701ADE" w:rsidRPr="00701ADE">
          <w:rPr>
            <w:rStyle w:val="Hipercze"/>
            <w:lang w:val="en-GB"/>
          </w:rPr>
          <w:t>Table 2: Result indicators</w:t>
        </w:r>
        <w:r w:rsidR="00701ADE" w:rsidRPr="00701ADE">
          <w:rPr>
            <w:webHidden/>
            <w:lang w:val="en-GB"/>
          </w:rPr>
          <w:tab/>
        </w:r>
        <w:r w:rsidR="00DC51E9" w:rsidRPr="00701ADE">
          <w:rPr>
            <w:webHidden/>
            <w:lang w:val="en-GB"/>
          </w:rPr>
          <w:fldChar w:fldCharType="begin"/>
        </w:r>
        <w:r w:rsidR="00701ADE" w:rsidRPr="00701ADE">
          <w:rPr>
            <w:webHidden/>
            <w:lang w:val="en-GB"/>
          </w:rPr>
          <w:instrText xml:space="preserve"> PAGEREF _Toc126925397 \h </w:instrText>
        </w:r>
        <w:r w:rsidR="00DC51E9" w:rsidRPr="00701ADE">
          <w:rPr>
            <w:webHidden/>
            <w:lang w:val="en-GB"/>
          </w:rPr>
        </w:r>
        <w:r w:rsidR="00DC51E9" w:rsidRPr="00701ADE">
          <w:rPr>
            <w:webHidden/>
            <w:lang w:val="en-GB"/>
          </w:rPr>
          <w:fldChar w:fldCharType="separate"/>
        </w:r>
        <w:r w:rsidR="00701ADE" w:rsidRPr="00701ADE">
          <w:rPr>
            <w:webHidden/>
            <w:lang w:val="en-GB"/>
          </w:rPr>
          <w:t>31</w:t>
        </w:r>
        <w:r w:rsidR="00DC51E9" w:rsidRPr="00701ADE">
          <w:rPr>
            <w:webHidden/>
            <w:lang w:val="en-GB"/>
          </w:rPr>
          <w:fldChar w:fldCharType="end"/>
        </w:r>
      </w:hyperlink>
    </w:p>
    <w:p w:rsidR="00701ADE" w:rsidRPr="00701ADE" w:rsidRDefault="002A06CB">
      <w:pPr>
        <w:pStyle w:val="Spistreci3"/>
        <w:tabs>
          <w:tab w:val="right" w:leader="dot" w:pos="10240"/>
        </w:tabs>
        <w:rPr>
          <w:rFonts w:asciiTheme="minorHAnsi" w:eastAsiaTheme="minorEastAsia" w:hAnsiTheme="minorHAnsi" w:cstheme="minorBidi"/>
          <w:sz w:val="22"/>
          <w:szCs w:val="22"/>
          <w:lang w:val="en-GB" w:eastAsia="pl-PL"/>
        </w:rPr>
      </w:pPr>
      <w:hyperlink w:anchor="_Toc126925398" w:history="1">
        <w:r w:rsidR="00701ADE" w:rsidRPr="00701ADE">
          <w:rPr>
            <w:rStyle w:val="Hipercze"/>
            <w:lang w:val="en-GB"/>
          </w:rPr>
          <w:t>2.1.3. Indicative breakdown of programme resources (EU) by type of intervention</w:t>
        </w:r>
        <w:r w:rsidR="00701ADE" w:rsidRPr="00701ADE">
          <w:rPr>
            <w:webHidden/>
            <w:lang w:val="en-GB"/>
          </w:rPr>
          <w:tab/>
        </w:r>
        <w:r w:rsidR="00DC51E9" w:rsidRPr="00701ADE">
          <w:rPr>
            <w:webHidden/>
            <w:lang w:val="en-GB"/>
          </w:rPr>
          <w:fldChar w:fldCharType="begin"/>
        </w:r>
        <w:r w:rsidR="00701ADE" w:rsidRPr="00701ADE">
          <w:rPr>
            <w:webHidden/>
            <w:lang w:val="en-GB"/>
          </w:rPr>
          <w:instrText xml:space="preserve"> PAGEREF _Toc126925398 \h </w:instrText>
        </w:r>
        <w:r w:rsidR="00DC51E9" w:rsidRPr="00701ADE">
          <w:rPr>
            <w:webHidden/>
            <w:lang w:val="en-GB"/>
          </w:rPr>
        </w:r>
        <w:r w:rsidR="00DC51E9" w:rsidRPr="00701ADE">
          <w:rPr>
            <w:webHidden/>
            <w:lang w:val="en-GB"/>
          </w:rPr>
          <w:fldChar w:fldCharType="separate"/>
        </w:r>
        <w:r w:rsidR="00701ADE" w:rsidRPr="00701ADE">
          <w:rPr>
            <w:webHidden/>
            <w:lang w:val="en-GB"/>
          </w:rPr>
          <w:t>32</w:t>
        </w:r>
        <w:r w:rsidR="00DC51E9" w:rsidRPr="00701ADE">
          <w:rPr>
            <w:webHidden/>
            <w:lang w:val="en-GB"/>
          </w:rPr>
          <w:fldChar w:fldCharType="end"/>
        </w:r>
      </w:hyperlink>
    </w:p>
    <w:p w:rsidR="00701ADE" w:rsidRPr="00701ADE" w:rsidRDefault="002A06CB">
      <w:pPr>
        <w:pStyle w:val="Spistreci4"/>
        <w:tabs>
          <w:tab w:val="right" w:leader="dot" w:pos="10240"/>
        </w:tabs>
        <w:rPr>
          <w:rFonts w:asciiTheme="minorHAnsi" w:eastAsiaTheme="minorEastAsia" w:hAnsiTheme="minorHAnsi" w:cstheme="minorBidi"/>
          <w:sz w:val="22"/>
          <w:szCs w:val="22"/>
          <w:lang w:val="en-GB" w:eastAsia="pl-PL"/>
        </w:rPr>
      </w:pPr>
      <w:hyperlink w:anchor="_Toc126925399" w:history="1">
        <w:r w:rsidR="00701ADE" w:rsidRPr="00701ADE">
          <w:rPr>
            <w:rStyle w:val="Hipercze"/>
            <w:lang w:val="en-GB"/>
          </w:rPr>
          <w:t>Table 3: Indicative breakdown</w:t>
        </w:r>
        <w:r w:rsidR="00701ADE" w:rsidRPr="00701ADE">
          <w:rPr>
            <w:webHidden/>
            <w:lang w:val="en-GB"/>
          </w:rPr>
          <w:tab/>
        </w:r>
        <w:r w:rsidR="00DC51E9" w:rsidRPr="00701ADE">
          <w:rPr>
            <w:webHidden/>
            <w:lang w:val="en-GB"/>
          </w:rPr>
          <w:fldChar w:fldCharType="begin"/>
        </w:r>
        <w:r w:rsidR="00701ADE" w:rsidRPr="00701ADE">
          <w:rPr>
            <w:webHidden/>
            <w:lang w:val="en-GB"/>
          </w:rPr>
          <w:instrText xml:space="preserve"> PAGEREF _Toc126925399 \h </w:instrText>
        </w:r>
        <w:r w:rsidR="00DC51E9" w:rsidRPr="00701ADE">
          <w:rPr>
            <w:webHidden/>
            <w:lang w:val="en-GB"/>
          </w:rPr>
        </w:r>
        <w:r w:rsidR="00DC51E9" w:rsidRPr="00701ADE">
          <w:rPr>
            <w:webHidden/>
            <w:lang w:val="en-GB"/>
          </w:rPr>
          <w:fldChar w:fldCharType="separate"/>
        </w:r>
        <w:r w:rsidR="00701ADE" w:rsidRPr="00701ADE">
          <w:rPr>
            <w:webHidden/>
            <w:lang w:val="en-GB"/>
          </w:rPr>
          <w:t>32</w:t>
        </w:r>
        <w:r w:rsidR="00DC51E9" w:rsidRPr="00701ADE">
          <w:rPr>
            <w:webHidden/>
            <w:lang w:val="en-GB"/>
          </w:rPr>
          <w:fldChar w:fldCharType="end"/>
        </w:r>
      </w:hyperlink>
    </w:p>
    <w:p w:rsidR="00701ADE" w:rsidRPr="00701ADE" w:rsidRDefault="002A06CB">
      <w:pPr>
        <w:pStyle w:val="Spistreci2"/>
        <w:tabs>
          <w:tab w:val="right" w:leader="dot" w:pos="10240"/>
        </w:tabs>
        <w:rPr>
          <w:rFonts w:asciiTheme="minorHAnsi" w:eastAsiaTheme="minorEastAsia" w:hAnsiTheme="minorHAnsi" w:cstheme="minorBidi"/>
          <w:sz w:val="22"/>
          <w:szCs w:val="22"/>
          <w:lang w:val="en-GB" w:eastAsia="pl-PL"/>
        </w:rPr>
      </w:pPr>
      <w:hyperlink w:anchor="_Toc126925400" w:history="1">
        <w:r w:rsidR="00701ADE" w:rsidRPr="00701ADE">
          <w:rPr>
            <w:rStyle w:val="Hipercze"/>
            <w:lang w:val="en-GB"/>
          </w:rPr>
          <w:t>2.1. Specific objective: 4. Solidarity</w:t>
        </w:r>
        <w:r w:rsidR="00701ADE" w:rsidRPr="00701ADE">
          <w:rPr>
            <w:webHidden/>
            <w:lang w:val="en-GB"/>
          </w:rPr>
          <w:tab/>
        </w:r>
        <w:r w:rsidR="00DC51E9" w:rsidRPr="00701ADE">
          <w:rPr>
            <w:webHidden/>
            <w:lang w:val="en-GB"/>
          </w:rPr>
          <w:fldChar w:fldCharType="begin"/>
        </w:r>
        <w:r w:rsidR="00701ADE" w:rsidRPr="00701ADE">
          <w:rPr>
            <w:webHidden/>
            <w:lang w:val="en-GB"/>
          </w:rPr>
          <w:instrText xml:space="preserve"> PAGEREF _Toc126925400 \h </w:instrText>
        </w:r>
        <w:r w:rsidR="00DC51E9" w:rsidRPr="00701ADE">
          <w:rPr>
            <w:webHidden/>
            <w:lang w:val="en-GB"/>
          </w:rPr>
        </w:r>
        <w:r w:rsidR="00DC51E9" w:rsidRPr="00701ADE">
          <w:rPr>
            <w:webHidden/>
            <w:lang w:val="en-GB"/>
          </w:rPr>
          <w:fldChar w:fldCharType="separate"/>
        </w:r>
        <w:r w:rsidR="00701ADE" w:rsidRPr="00701ADE">
          <w:rPr>
            <w:webHidden/>
            <w:lang w:val="en-GB"/>
          </w:rPr>
          <w:t>33</w:t>
        </w:r>
        <w:r w:rsidR="00DC51E9" w:rsidRPr="00701ADE">
          <w:rPr>
            <w:webHidden/>
            <w:lang w:val="en-GB"/>
          </w:rPr>
          <w:fldChar w:fldCharType="end"/>
        </w:r>
      </w:hyperlink>
    </w:p>
    <w:p w:rsidR="00701ADE" w:rsidRPr="00701ADE" w:rsidRDefault="002A06CB">
      <w:pPr>
        <w:pStyle w:val="Spistreci3"/>
        <w:tabs>
          <w:tab w:val="right" w:leader="dot" w:pos="10240"/>
        </w:tabs>
        <w:rPr>
          <w:rFonts w:asciiTheme="minorHAnsi" w:eastAsiaTheme="minorEastAsia" w:hAnsiTheme="minorHAnsi" w:cstheme="minorBidi"/>
          <w:sz w:val="22"/>
          <w:szCs w:val="22"/>
          <w:lang w:val="en-GB" w:eastAsia="pl-PL"/>
        </w:rPr>
      </w:pPr>
      <w:hyperlink w:anchor="_Toc126925401" w:history="1">
        <w:r w:rsidR="00701ADE" w:rsidRPr="00701ADE">
          <w:rPr>
            <w:rStyle w:val="Hipercze"/>
            <w:lang w:val="en-GB"/>
          </w:rPr>
          <w:t>2.1.1. Description of the specific objective</w:t>
        </w:r>
        <w:r w:rsidR="00701ADE" w:rsidRPr="00701ADE">
          <w:rPr>
            <w:webHidden/>
            <w:lang w:val="en-GB"/>
          </w:rPr>
          <w:tab/>
        </w:r>
        <w:r w:rsidR="00DC51E9" w:rsidRPr="00701ADE">
          <w:rPr>
            <w:webHidden/>
            <w:lang w:val="en-GB"/>
          </w:rPr>
          <w:fldChar w:fldCharType="begin"/>
        </w:r>
        <w:r w:rsidR="00701ADE" w:rsidRPr="00701ADE">
          <w:rPr>
            <w:webHidden/>
            <w:lang w:val="en-GB"/>
          </w:rPr>
          <w:instrText xml:space="preserve"> PAGEREF _Toc126925401 \h </w:instrText>
        </w:r>
        <w:r w:rsidR="00DC51E9" w:rsidRPr="00701ADE">
          <w:rPr>
            <w:webHidden/>
            <w:lang w:val="en-GB"/>
          </w:rPr>
        </w:r>
        <w:r w:rsidR="00DC51E9" w:rsidRPr="00701ADE">
          <w:rPr>
            <w:webHidden/>
            <w:lang w:val="en-GB"/>
          </w:rPr>
          <w:fldChar w:fldCharType="separate"/>
        </w:r>
        <w:r w:rsidR="00701ADE" w:rsidRPr="00701ADE">
          <w:rPr>
            <w:webHidden/>
            <w:lang w:val="en-GB"/>
          </w:rPr>
          <w:t>33</w:t>
        </w:r>
        <w:r w:rsidR="00DC51E9" w:rsidRPr="00701ADE">
          <w:rPr>
            <w:webHidden/>
            <w:lang w:val="en-GB"/>
          </w:rPr>
          <w:fldChar w:fldCharType="end"/>
        </w:r>
      </w:hyperlink>
    </w:p>
    <w:p w:rsidR="00701ADE" w:rsidRPr="00701ADE" w:rsidRDefault="002A06CB">
      <w:pPr>
        <w:pStyle w:val="Spistreci3"/>
        <w:tabs>
          <w:tab w:val="right" w:leader="dot" w:pos="10240"/>
        </w:tabs>
        <w:rPr>
          <w:rFonts w:asciiTheme="minorHAnsi" w:eastAsiaTheme="minorEastAsia" w:hAnsiTheme="minorHAnsi" w:cstheme="minorBidi"/>
          <w:sz w:val="22"/>
          <w:szCs w:val="22"/>
          <w:lang w:val="en-GB" w:eastAsia="pl-PL"/>
        </w:rPr>
      </w:pPr>
      <w:hyperlink w:anchor="_Toc126925402" w:history="1">
        <w:r w:rsidR="00701ADE" w:rsidRPr="00701ADE">
          <w:rPr>
            <w:rStyle w:val="Hipercze"/>
            <w:lang w:val="en-GB"/>
          </w:rPr>
          <w:t>2.1.2. Indicators</w:t>
        </w:r>
        <w:r w:rsidR="00701ADE" w:rsidRPr="00701ADE">
          <w:rPr>
            <w:webHidden/>
            <w:lang w:val="en-GB"/>
          </w:rPr>
          <w:tab/>
        </w:r>
        <w:r w:rsidR="00DC51E9" w:rsidRPr="00701ADE">
          <w:rPr>
            <w:webHidden/>
            <w:lang w:val="en-GB"/>
          </w:rPr>
          <w:fldChar w:fldCharType="begin"/>
        </w:r>
        <w:r w:rsidR="00701ADE" w:rsidRPr="00701ADE">
          <w:rPr>
            <w:webHidden/>
            <w:lang w:val="en-GB"/>
          </w:rPr>
          <w:instrText xml:space="preserve"> PAGEREF _Toc126925402 \h </w:instrText>
        </w:r>
        <w:r w:rsidR="00DC51E9" w:rsidRPr="00701ADE">
          <w:rPr>
            <w:webHidden/>
            <w:lang w:val="en-GB"/>
          </w:rPr>
        </w:r>
        <w:r w:rsidR="00DC51E9" w:rsidRPr="00701ADE">
          <w:rPr>
            <w:webHidden/>
            <w:lang w:val="en-GB"/>
          </w:rPr>
          <w:fldChar w:fldCharType="separate"/>
        </w:r>
        <w:r w:rsidR="00701ADE" w:rsidRPr="00701ADE">
          <w:rPr>
            <w:webHidden/>
            <w:lang w:val="en-GB"/>
          </w:rPr>
          <w:t>34</w:t>
        </w:r>
        <w:r w:rsidR="00DC51E9" w:rsidRPr="00701ADE">
          <w:rPr>
            <w:webHidden/>
            <w:lang w:val="en-GB"/>
          </w:rPr>
          <w:fldChar w:fldCharType="end"/>
        </w:r>
      </w:hyperlink>
    </w:p>
    <w:p w:rsidR="00701ADE" w:rsidRPr="00701ADE" w:rsidRDefault="002A06CB">
      <w:pPr>
        <w:pStyle w:val="Spistreci4"/>
        <w:tabs>
          <w:tab w:val="right" w:leader="dot" w:pos="10240"/>
        </w:tabs>
        <w:rPr>
          <w:rFonts w:asciiTheme="minorHAnsi" w:eastAsiaTheme="minorEastAsia" w:hAnsiTheme="minorHAnsi" w:cstheme="minorBidi"/>
          <w:sz w:val="22"/>
          <w:szCs w:val="22"/>
          <w:lang w:val="en-GB" w:eastAsia="pl-PL"/>
        </w:rPr>
      </w:pPr>
      <w:hyperlink w:anchor="_Toc126925403" w:history="1">
        <w:r w:rsidR="00701ADE" w:rsidRPr="00701ADE">
          <w:rPr>
            <w:rStyle w:val="Hipercze"/>
            <w:lang w:val="en-GB"/>
          </w:rPr>
          <w:t>Table 1: Output indicators</w:t>
        </w:r>
        <w:r w:rsidR="00701ADE" w:rsidRPr="00701ADE">
          <w:rPr>
            <w:webHidden/>
            <w:lang w:val="en-GB"/>
          </w:rPr>
          <w:tab/>
        </w:r>
        <w:r w:rsidR="00DC51E9" w:rsidRPr="00701ADE">
          <w:rPr>
            <w:webHidden/>
            <w:lang w:val="en-GB"/>
          </w:rPr>
          <w:fldChar w:fldCharType="begin"/>
        </w:r>
        <w:r w:rsidR="00701ADE" w:rsidRPr="00701ADE">
          <w:rPr>
            <w:webHidden/>
            <w:lang w:val="en-GB"/>
          </w:rPr>
          <w:instrText xml:space="preserve"> PAGEREF _Toc126925403 \h </w:instrText>
        </w:r>
        <w:r w:rsidR="00DC51E9" w:rsidRPr="00701ADE">
          <w:rPr>
            <w:webHidden/>
            <w:lang w:val="en-GB"/>
          </w:rPr>
        </w:r>
        <w:r w:rsidR="00DC51E9" w:rsidRPr="00701ADE">
          <w:rPr>
            <w:webHidden/>
            <w:lang w:val="en-GB"/>
          </w:rPr>
          <w:fldChar w:fldCharType="separate"/>
        </w:r>
        <w:r w:rsidR="00701ADE" w:rsidRPr="00701ADE">
          <w:rPr>
            <w:webHidden/>
            <w:lang w:val="en-GB"/>
          </w:rPr>
          <w:t>34</w:t>
        </w:r>
        <w:r w:rsidR="00DC51E9" w:rsidRPr="00701ADE">
          <w:rPr>
            <w:webHidden/>
            <w:lang w:val="en-GB"/>
          </w:rPr>
          <w:fldChar w:fldCharType="end"/>
        </w:r>
      </w:hyperlink>
    </w:p>
    <w:p w:rsidR="00701ADE" w:rsidRPr="00701ADE" w:rsidRDefault="002A06CB">
      <w:pPr>
        <w:pStyle w:val="Spistreci4"/>
        <w:tabs>
          <w:tab w:val="right" w:leader="dot" w:pos="10240"/>
        </w:tabs>
        <w:rPr>
          <w:rFonts w:asciiTheme="minorHAnsi" w:eastAsiaTheme="minorEastAsia" w:hAnsiTheme="minorHAnsi" w:cstheme="minorBidi"/>
          <w:sz w:val="22"/>
          <w:szCs w:val="22"/>
          <w:lang w:val="en-GB" w:eastAsia="pl-PL"/>
        </w:rPr>
      </w:pPr>
      <w:hyperlink w:anchor="_Toc126925404" w:history="1">
        <w:r w:rsidR="00701ADE" w:rsidRPr="00701ADE">
          <w:rPr>
            <w:rStyle w:val="Hipercze"/>
            <w:lang w:val="en-GB"/>
          </w:rPr>
          <w:t>Table 2: Result indicators</w:t>
        </w:r>
        <w:r w:rsidR="00701ADE" w:rsidRPr="00701ADE">
          <w:rPr>
            <w:webHidden/>
            <w:lang w:val="en-GB"/>
          </w:rPr>
          <w:tab/>
        </w:r>
        <w:r w:rsidR="00DC51E9" w:rsidRPr="00701ADE">
          <w:rPr>
            <w:webHidden/>
            <w:lang w:val="en-GB"/>
          </w:rPr>
          <w:fldChar w:fldCharType="begin"/>
        </w:r>
        <w:r w:rsidR="00701ADE" w:rsidRPr="00701ADE">
          <w:rPr>
            <w:webHidden/>
            <w:lang w:val="en-GB"/>
          </w:rPr>
          <w:instrText xml:space="preserve"> PAGEREF _Toc126925404 \h </w:instrText>
        </w:r>
        <w:r w:rsidR="00DC51E9" w:rsidRPr="00701ADE">
          <w:rPr>
            <w:webHidden/>
            <w:lang w:val="en-GB"/>
          </w:rPr>
        </w:r>
        <w:r w:rsidR="00DC51E9" w:rsidRPr="00701ADE">
          <w:rPr>
            <w:webHidden/>
            <w:lang w:val="en-GB"/>
          </w:rPr>
          <w:fldChar w:fldCharType="separate"/>
        </w:r>
        <w:r w:rsidR="00701ADE" w:rsidRPr="00701ADE">
          <w:rPr>
            <w:webHidden/>
            <w:lang w:val="en-GB"/>
          </w:rPr>
          <w:t>35</w:t>
        </w:r>
        <w:r w:rsidR="00DC51E9" w:rsidRPr="00701ADE">
          <w:rPr>
            <w:webHidden/>
            <w:lang w:val="en-GB"/>
          </w:rPr>
          <w:fldChar w:fldCharType="end"/>
        </w:r>
      </w:hyperlink>
    </w:p>
    <w:p w:rsidR="00701ADE" w:rsidRPr="00701ADE" w:rsidRDefault="002A06CB">
      <w:pPr>
        <w:pStyle w:val="Spistreci3"/>
        <w:tabs>
          <w:tab w:val="right" w:leader="dot" w:pos="10240"/>
        </w:tabs>
        <w:rPr>
          <w:rFonts w:asciiTheme="minorHAnsi" w:eastAsiaTheme="minorEastAsia" w:hAnsiTheme="minorHAnsi" w:cstheme="minorBidi"/>
          <w:sz w:val="22"/>
          <w:szCs w:val="22"/>
          <w:lang w:val="en-GB" w:eastAsia="pl-PL"/>
        </w:rPr>
      </w:pPr>
      <w:hyperlink w:anchor="_Toc126925405" w:history="1">
        <w:r w:rsidR="00701ADE" w:rsidRPr="00701ADE">
          <w:rPr>
            <w:rStyle w:val="Hipercze"/>
            <w:lang w:val="en-GB"/>
          </w:rPr>
          <w:t>2.1.3. Indicative breakdown of programme resources (EU) by type of intervention</w:t>
        </w:r>
        <w:r w:rsidR="00701ADE" w:rsidRPr="00701ADE">
          <w:rPr>
            <w:webHidden/>
            <w:lang w:val="en-GB"/>
          </w:rPr>
          <w:tab/>
        </w:r>
        <w:r w:rsidR="00DC51E9" w:rsidRPr="00701ADE">
          <w:rPr>
            <w:webHidden/>
            <w:lang w:val="en-GB"/>
          </w:rPr>
          <w:fldChar w:fldCharType="begin"/>
        </w:r>
        <w:r w:rsidR="00701ADE" w:rsidRPr="00701ADE">
          <w:rPr>
            <w:webHidden/>
            <w:lang w:val="en-GB"/>
          </w:rPr>
          <w:instrText xml:space="preserve"> PAGEREF _Toc126925405 \h </w:instrText>
        </w:r>
        <w:r w:rsidR="00DC51E9" w:rsidRPr="00701ADE">
          <w:rPr>
            <w:webHidden/>
            <w:lang w:val="en-GB"/>
          </w:rPr>
        </w:r>
        <w:r w:rsidR="00DC51E9" w:rsidRPr="00701ADE">
          <w:rPr>
            <w:webHidden/>
            <w:lang w:val="en-GB"/>
          </w:rPr>
          <w:fldChar w:fldCharType="separate"/>
        </w:r>
        <w:r w:rsidR="00701ADE" w:rsidRPr="00701ADE">
          <w:rPr>
            <w:webHidden/>
            <w:lang w:val="en-GB"/>
          </w:rPr>
          <w:t>36</w:t>
        </w:r>
        <w:r w:rsidR="00DC51E9" w:rsidRPr="00701ADE">
          <w:rPr>
            <w:webHidden/>
            <w:lang w:val="en-GB"/>
          </w:rPr>
          <w:fldChar w:fldCharType="end"/>
        </w:r>
      </w:hyperlink>
    </w:p>
    <w:p w:rsidR="00701ADE" w:rsidRPr="00701ADE" w:rsidRDefault="002A06CB">
      <w:pPr>
        <w:pStyle w:val="Spistreci4"/>
        <w:tabs>
          <w:tab w:val="right" w:leader="dot" w:pos="10240"/>
        </w:tabs>
        <w:rPr>
          <w:rFonts w:asciiTheme="minorHAnsi" w:eastAsiaTheme="minorEastAsia" w:hAnsiTheme="minorHAnsi" w:cstheme="minorBidi"/>
          <w:sz w:val="22"/>
          <w:szCs w:val="22"/>
          <w:lang w:val="en-GB" w:eastAsia="pl-PL"/>
        </w:rPr>
      </w:pPr>
      <w:hyperlink w:anchor="_Toc126925406" w:history="1">
        <w:r w:rsidR="00701ADE" w:rsidRPr="00701ADE">
          <w:rPr>
            <w:rStyle w:val="Hipercze"/>
            <w:lang w:val="en-GB"/>
          </w:rPr>
          <w:t>Table 3: Indicative breakdown</w:t>
        </w:r>
        <w:r w:rsidR="00701ADE" w:rsidRPr="00701ADE">
          <w:rPr>
            <w:webHidden/>
            <w:lang w:val="en-GB"/>
          </w:rPr>
          <w:tab/>
        </w:r>
        <w:r w:rsidR="00DC51E9" w:rsidRPr="00701ADE">
          <w:rPr>
            <w:webHidden/>
            <w:lang w:val="en-GB"/>
          </w:rPr>
          <w:fldChar w:fldCharType="begin"/>
        </w:r>
        <w:r w:rsidR="00701ADE" w:rsidRPr="00701ADE">
          <w:rPr>
            <w:webHidden/>
            <w:lang w:val="en-GB"/>
          </w:rPr>
          <w:instrText xml:space="preserve"> PAGEREF _Toc126925406 \h </w:instrText>
        </w:r>
        <w:r w:rsidR="00DC51E9" w:rsidRPr="00701ADE">
          <w:rPr>
            <w:webHidden/>
            <w:lang w:val="en-GB"/>
          </w:rPr>
        </w:r>
        <w:r w:rsidR="00DC51E9" w:rsidRPr="00701ADE">
          <w:rPr>
            <w:webHidden/>
            <w:lang w:val="en-GB"/>
          </w:rPr>
          <w:fldChar w:fldCharType="separate"/>
        </w:r>
        <w:r w:rsidR="00701ADE" w:rsidRPr="00701ADE">
          <w:rPr>
            <w:webHidden/>
            <w:lang w:val="en-GB"/>
          </w:rPr>
          <w:t>36</w:t>
        </w:r>
        <w:r w:rsidR="00DC51E9" w:rsidRPr="00701ADE">
          <w:rPr>
            <w:webHidden/>
            <w:lang w:val="en-GB"/>
          </w:rPr>
          <w:fldChar w:fldCharType="end"/>
        </w:r>
      </w:hyperlink>
    </w:p>
    <w:p w:rsidR="00701ADE" w:rsidRPr="00701ADE" w:rsidRDefault="002A06CB">
      <w:pPr>
        <w:pStyle w:val="Spistreci2"/>
        <w:tabs>
          <w:tab w:val="right" w:leader="dot" w:pos="10240"/>
        </w:tabs>
        <w:rPr>
          <w:rFonts w:asciiTheme="minorHAnsi" w:eastAsiaTheme="minorEastAsia" w:hAnsiTheme="minorHAnsi" w:cstheme="minorBidi"/>
          <w:sz w:val="22"/>
          <w:szCs w:val="22"/>
          <w:lang w:val="en-GB" w:eastAsia="pl-PL"/>
        </w:rPr>
      </w:pPr>
      <w:hyperlink w:anchor="_Toc126925407" w:history="1">
        <w:r w:rsidR="00701ADE" w:rsidRPr="00701ADE">
          <w:rPr>
            <w:rStyle w:val="Hipercze"/>
            <w:lang w:val="en-GB"/>
          </w:rPr>
          <w:t>2.2. Technical assistance: TA.36(5). Technical assistance – flat rate (Article 36(5) of the Common Provisions Regulation)</w:t>
        </w:r>
        <w:r w:rsidR="00701ADE" w:rsidRPr="00701ADE">
          <w:rPr>
            <w:webHidden/>
            <w:lang w:val="en-GB"/>
          </w:rPr>
          <w:tab/>
        </w:r>
        <w:r w:rsidR="00DC51E9" w:rsidRPr="00701ADE">
          <w:rPr>
            <w:webHidden/>
            <w:lang w:val="en-GB"/>
          </w:rPr>
          <w:fldChar w:fldCharType="begin"/>
        </w:r>
        <w:r w:rsidR="00701ADE" w:rsidRPr="00701ADE">
          <w:rPr>
            <w:webHidden/>
            <w:lang w:val="en-GB"/>
          </w:rPr>
          <w:instrText xml:space="preserve"> PAGEREF _Toc126925407 \h </w:instrText>
        </w:r>
        <w:r w:rsidR="00DC51E9" w:rsidRPr="00701ADE">
          <w:rPr>
            <w:webHidden/>
            <w:lang w:val="en-GB"/>
          </w:rPr>
        </w:r>
        <w:r w:rsidR="00DC51E9" w:rsidRPr="00701ADE">
          <w:rPr>
            <w:webHidden/>
            <w:lang w:val="en-GB"/>
          </w:rPr>
          <w:fldChar w:fldCharType="separate"/>
        </w:r>
        <w:r w:rsidR="00701ADE" w:rsidRPr="00701ADE">
          <w:rPr>
            <w:webHidden/>
            <w:lang w:val="en-GB"/>
          </w:rPr>
          <w:t>37</w:t>
        </w:r>
        <w:r w:rsidR="00DC51E9" w:rsidRPr="00701ADE">
          <w:rPr>
            <w:webHidden/>
            <w:lang w:val="en-GB"/>
          </w:rPr>
          <w:fldChar w:fldCharType="end"/>
        </w:r>
      </w:hyperlink>
    </w:p>
    <w:p w:rsidR="00701ADE" w:rsidRPr="00701ADE" w:rsidRDefault="002A06CB">
      <w:pPr>
        <w:pStyle w:val="Spistreci3"/>
        <w:tabs>
          <w:tab w:val="right" w:leader="dot" w:pos="10240"/>
        </w:tabs>
        <w:rPr>
          <w:rFonts w:asciiTheme="minorHAnsi" w:eastAsiaTheme="minorEastAsia" w:hAnsiTheme="minorHAnsi" w:cstheme="minorBidi"/>
          <w:sz w:val="22"/>
          <w:szCs w:val="22"/>
          <w:lang w:val="en-GB" w:eastAsia="pl-PL"/>
        </w:rPr>
      </w:pPr>
      <w:hyperlink w:anchor="_Toc126925408" w:history="1">
        <w:r w:rsidR="00701ADE" w:rsidRPr="00701ADE">
          <w:rPr>
            <w:rStyle w:val="Hipercze"/>
            <w:lang w:val="en-GB"/>
          </w:rPr>
          <w:t>2.2.1. Description</w:t>
        </w:r>
        <w:r w:rsidR="00701ADE" w:rsidRPr="00701ADE">
          <w:rPr>
            <w:webHidden/>
            <w:lang w:val="en-GB"/>
          </w:rPr>
          <w:tab/>
        </w:r>
        <w:r w:rsidR="00DC51E9" w:rsidRPr="00701ADE">
          <w:rPr>
            <w:webHidden/>
            <w:lang w:val="en-GB"/>
          </w:rPr>
          <w:fldChar w:fldCharType="begin"/>
        </w:r>
        <w:r w:rsidR="00701ADE" w:rsidRPr="00701ADE">
          <w:rPr>
            <w:webHidden/>
            <w:lang w:val="en-GB"/>
          </w:rPr>
          <w:instrText xml:space="preserve"> PAGEREF _Toc126925408 \h </w:instrText>
        </w:r>
        <w:r w:rsidR="00DC51E9" w:rsidRPr="00701ADE">
          <w:rPr>
            <w:webHidden/>
            <w:lang w:val="en-GB"/>
          </w:rPr>
        </w:r>
        <w:r w:rsidR="00DC51E9" w:rsidRPr="00701ADE">
          <w:rPr>
            <w:webHidden/>
            <w:lang w:val="en-GB"/>
          </w:rPr>
          <w:fldChar w:fldCharType="separate"/>
        </w:r>
        <w:r w:rsidR="00701ADE" w:rsidRPr="00701ADE">
          <w:rPr>
            <w:webHidden/>
            <w:lang w:val="en-GB"/>
          </w:rPr>
          <w:t>37</w:t>
        </w:r>
        <w:r w:rsidR="00DC51E9" w:rsidRPr="00701ADE">
          <w:rPr>
            <w:webHidden/>
            <w:lang w:val="en-GB"/>
          </w:rPr>
          <w:fldChar w:fldCharType="end"/>
        </w:r>
      </w:hyperlink>
    </w:p>
    <w:p w:rsidR="00701ADE" w:rsidRPr="00701ADE" w:rsidRDefault="002A06CB">
      <w:pPr>
        <w:pStyle w:val="Spistreci3"/>
        <w:tabs>
          <w:tab w:val="right" w:leader="dot" w:pos="10240"/>
        </w:tabs>
        <w:rPr>
          <w:rFonts w:asciiTheme="minorHAnsi" w:eastAsiaTheme="minorEastAsia" w:hAnsiTheme="minorHAnsi" w:cstheme="minorBidi"/>
          <w:sz w:val="22"/>
          <w:szCs w:val="22"/>
          <w:lang w:val="en-GB" w:eastAsia="pl-PL"/>
        </w:rPr>
      </w:pPr>
      <w:hyperlink w:anchor="_Toc126925409" w:history="1">
        <w:r w:rsidR="00701ADE" w:rsidRPr="00701ADE">
          <w:rPr>
            <w:rStyle w:val="Hipercze"/>
            <w:lang w:val="en-GB"/>
          </w:rPr>
          <w:t>2.2.2. Indicative breakdown of technical assistance under Article 37 of the Common Provisions Regulation</w:t>
        </w:r>
        <w:r w:rsidR="00701ADE" w:rsidRPr="00701ADE">
          <w:rPr>
            <w:webHidden/>
            <w:lang w:val="en-GB"/>
          </w:rPr>
          <w:tab/>
        </w:r>
        <w:r w:rsidR="00DC51E9" w:rsidRPr="00701ADE">
          <w:rPr>
            <w:webHidden/>
            <w:lang w:val="en-GB"/>
          </w:rPr>
          <w:fldChar w:fldCharType="begin"/>
        </w:r>
        <w:r w:rsidR="00701ADE" w:rsidRPr="00701ADE">
          <w:rPr>
            <w:webHidden/>
            <w:lang w:val="en-GB"/>
          </w:rPr>
          <w:instrText xml:space="preserve"> PAGEREF _Toc126925409 \h </w:instrText>
        </w:r>
        <w:r w:rsidR="00DC51E9" w:rsidRPr="00701ADE">
          <w:rPr>
            <w:webHidden/>
            <w:lang w:val="en-GB"/>
          </w:rPr>
        </w:r>
        <w:r w:rsidR="00DC51E9" w:rsidRPr="00701ADE">
          <w:rPr>
            <w:webHidden/>
            <w:lang w:val="en-GB"/>
          </w:rPr>
          <w:fldChar w:fldCharType="separate"/>
        </w:r>
        <w:r w:rsidR="00701ADE" w:rsidRPr="00701ADE">
          <w:rPr>
            <w:webHidden/>
            <w:lang w:val="en-GB"/>
          </w:rPr>
          <w:t>38</w:t>
        </w:r>
        <w:r w:rsidR="00DC51E9" w:rsidRPr="00701ADE">
          <w:rPr>
            <w:webHidden/>
            <w:lang w:val="en-GB"/>
          </w:rPr>
          <w:fldChar w:fldCharType="end"/>
        </w:r>
      </w:hyperlink>
    </w:p>
    <w:p w:rsidR="00701ADE" w:rsidRPr="00701ADE" w:rsidRDefault="002A06CB">
      <w:pPr>
        <w:pStyle w:val="Spistreci4"/>
        <w:tabs>
          <w:tab w:val="right" w:leader="dot" w:pos="10240"/>
        </w:tabs>
        <w:rPr>
          <w:rFonts w:asciiTheme="minorHAnsi" w:eastAsiaTheme="minorEastAsia" w:hAnsiTheme="minorHAnsi" w:cstheme="minorBidi"/>
          <w:sz w:val="22"/>
          <w:szCs w:val="22"/>
          <w:lang w:val="en-GB" w:eastAsia="pl-PL"/>
        </w:rPr>
      </w:pPr>
      <w:hyperlink w:anchor="_Toc126925410" w:history="1">
        <w:r w:rsidR="00701ADE" w:rsidRPr="00701ADE">
          <w:rPr>
            <w:rStyle w:val="Hipercze"/>
            <w:lang w:val="en-GB"/>
          </w:rPr>
          <w:t>Table 4: Indicative breakdown</w:t>
        </w:r>
        <w:r w:rsidR="00701ADE" w:rsidRPr="00701ADE">
          <w:rPr>
            <w:webHidden/>
            <w:lang w:val="en-GB"/>
          </w:rPr>
          <w:tab/>
        </w:r>
        <w:r w:rsidR="00DC51E9" w:rsidRPr="00701ADE">
          <w:rPr>
            <w:webHidden/>
            <w:lang w:val="en-GB"/>
          </w:rPr>
          <w:fldChar w:fldCharType="begin"/>
        </w:r>
        <w:r w:rsidR="00701ADE" w:rsidRPr="00701ADE">
          <w:rPr>
            <w:webHidden/>
            <w:lang w:val="en-GB"/>
          </w:rPr>
          <w:instrText xml:space="preserve"> PAGEREF _Toc126925410 \h </w:instrText>
        </w:r>
        <w:r w:rsidR="00DC51E9" w:rsidRPr="00701ADE">
          <w:rPr>
            <w:webHidden/>
            <w:lang w:val="en-GB"/>
          </w:rPr>
        </w:r>
        <w:r w:rsidR="00DC51E9" w:rsidRPr="00701ADE">
          <w:rPr>
            <w:webHidden/>
            <w:lang w:val="en-GB"/>
          </w:rPr>
          <w:fldChar w:fldCharType="separate"/>
        </w:r>
        <w:r w:rsidR="00701ADE" w:rsidRPr="00701ADE">
          <w:rPr>
            <w:webHidden/>
            <w:lang w:val="en-GB"/>
          </w:rPr>
          <w:t>38</w:t>
        </w:r>
        <w:r w:rsidR="00DC51E9" w:rsidRPr="00701ADE">
          <w:rPr>
            <w:webHidden/>
            <w:lang w:val="en-GB"/>
          </w:rPr>
          <w:fldChar w:fldCharType="end"/>
        </w:r>
      </w:hyperlink>
    </w:p>
    <w:p w:rsidR="00701ADE" w:rsidRPr="00701ADE" w:rsidRDefault="002A06CB">
      <w:pPr>
        <w:pStyle w:val="Spistreci1"/>
        <w:tabs>
          <w:tab w:val="right" w:leader="dot" w:pos="10240"/>
        </w:tabs>
        <w:rPr>
          <w:rFonts w:asciiTheme="minorHAnsi" w:eastAsiaTheme="minorEastAsia" w:hAnsiTheme="minorHAnsi" w:cstheme="minorBidi"/>
          <w:sz w:val="22"/>
          <w:szCs w:val="22"/>
          <w:lang w:val="en-GB" w:eastAsia="pl-PL"/>
        </w:rPr>
      </w:pPr>
      <w:hyperlink w:anchor="_Toc126925411" w:history="1">
        <w:r w:rsidR="00701ADE" w:rsidRPr="00701ADE">
          <w:rPr>
            <w:rStyle w:val="Hipercze"/>
            <w:lang w:val="en-GB"/>
          </w:rPr>
          <w:t>3. Financing plan</w:t>
        </w:r>
        <w:r w:rsidR="00701ADE" w:rsidRPr="00701ADE">
          <w:rPr>
            <w:webHidden/>
            <w:lang w:val="en-GB"/>
          </w:rPr>
          <w:tab/>
        </w:r>
        <w:r w:rsidR="00DC51E9" w:rsidRPr="00701ADE">
          <w:rPr>
            <w:webHidden/>
            <w:lang w:val="en-GB"/>
          </w:rPr>
          <w:fldChar w:fldCharType="begin"/>
        </w:r>
        <w:r w:rsidR="00701ADE" w:rsidRPr="00701ADE">
          <w:rPr>
            <w:webHidden/>
            <w:lang w:val="en-GB"/>
          </w:rPr>
          <w:instrText xml:space="preserve"> PAGEREF _Toc126925411 \h </w:instrText>
        </w:r>
        <w:r w:rsidR="00DC51E9" w:rsidRPr="00701ADE">
          <w:rPr>
            <w:webHidden/>
            <w:lang w:val="en-GB"/>
          </w:rPr>
        </w:r>
        <w:r w:rsidR="00DC51E9" w:rsidRPr="00701ADE">
          <w:rPr>
            <w:webHidden/>
            <w:lang w:val="en-GB"/>
          </w:rPr>
          <w:fldChar w:fldCharType="separate"/>
        </w:r>
        <w:r w:rsidR="00701ADE" w:rsidRPr="00701ADE">
          <w:rPr>
            <w:webHidden/>
            <w:lang w:val="en-GB"/>
          </w:rPr>
          <w:t>39</w:t>
        </w:r>
        <w:r w:rsidR="00DC51E9" w:rsidRPr="00701ADE">
          <w:rPr>
            <w:webHidden/>
            <w:lang w:val="en-GB"/>
          </w:rPr>
          <w:fldChar w:fldCharType="end"/>
        </w:r>
      </w:hyperlink>
    </w:p>
    <w:p w:rsidR="00701ADE" w:rsidRPr="00701ADE" w:rsidRDefault="002A06CB">
      <w:pPr>
        <w:pStyle w:val="Spistreci2"/>
        <w:tabs>
          <w:tab w:val="right" w:leader="dot" w:pos="10240"/>
        </w:tabs>
        <w:rPr>
          <w:rFonts w:asciiTheme="minorHAnsi" w:eastAsiaTheme="minorEastAsia" w:hAnsiTheme="minorHAnsi" w:cstheme="minorBidi"/>
          <w:sz w:val="22"/>
          <w:szCs w:val="22"/>
          <w:lang w:val="en-GB" w:eastAsia="pl-PL"/>
        </w:rPr>
      </w:pPr>
      <w:hyperlink w:anchor="_Toc126925412" w:history="1">
        <w:r w:rsidR="00701ADE" w:rsidRPr="00701ADE">
          <w:rPr>
            <w:rStyle w:val="Hipercze"/>
            <w:lang w:val="en-GB"/>
          </w:rPr>
          <w:t>3.1. Financial allocations by year</w:t>
        </w:r>
        <w:r w:rsidR="00701ADE" w:rsidRPr="00701ADE">
          <w:rPr>
            <w:webHidden/>
            <w:lang w:val="en-GB"/>
          </w:rPr>
          <w:tab/>
        </w:r>
        <w:r w:rsidR="00DC51E9" w:rsidRPr="00701ADE">
          <w:rPr>
            <w:webHidden/>
            <w:lang w:val="en-GB"/>
          </w:rPr>
          <w:fldChar w:fldCharType="begin"/>
        </w:r>
        <w:r w:rsidR="00701ADE" w:rsidRPr="00701ADE">
          <w:rPr>
            <w:webHidden/>
            <w:lang w:val="en-GB"/>
          </w:rPr>
          <w:instrText xml:space="preserve"> PAGEREF _Toc126925412 \h </w:instrText>
        </w:r>
        <w:r w:rsidR="00DC51E9" w:rsidRPr="00701ADE">
          <w:rPr>
            <w:webHidden/>
            <w:lang w:val="en-GB"/>
          </w:rPr>
        </w:r>
        <w:r w:rsidR="00DC51E9" w:rsidRPr="00701ADE">
          <w:rPr>
            <w:webHidden/>
            <w:lang w:val="en-GB"/>
          </w:rPr>
          <w:fldChar w:fldCharType="separate"/>
        </w:r>
        <w:r w:rsidR="00701ADE" w:rsidRPr="00701ADE">
          <w:rPr>
            <w:webHidden/>
            <w:lang w:val="en-GB"/>
          </w:rPr>
          <w:t>39</w:t>
        </w:r>
        <w:r w:rsidR="00DC51E9" w:rsidRPr="00701ADE">
          <w:rPr>
            <w:webHidden/>
            <w:lang w:val="en-GB"/>
          </w:rPr>
          <w:fldChar w:fldCharType="end"/>
        </w:r>
      </w:hyperlink>
    </w:p>
    <w:p w:rsidR="00701ADE" w:rsidRPr="00701ADE" w:rsidRDefault="002A06CB">
      <w:pPr>
        <w:pStyle w:val="Spistreci4"/>
        <w:tabs>
          <w:tab w:val="right" w:leader="dot" w:pos="10240"/>
        </w:tabs>
        <w:rPr>
          <w:rFonts w:asciiTheme="minorHAnsi" w:eastAsiaTheme="minorEastAsia" w:hAnsiTheme="minorHAnsi" w:cstheme="minorBidi"/>
          <w:sz w:val="22"/>
          <w:szCs w:val="22"/>
          <w:lang w:val="en-GB" w:eastAsia="pl-PL"/>
        </w:rPr>
      </w:pPr>
      <w:hyperlink w:anchor="_Toc126925413" w:history="1">
        <w:r w:rsidR="00701ADE" w:rsidRPr="00701ADE">
          <w:rPr>
            <w:rStyle w:val="Hipercze"/>
            <w:lang w:val="en-GB"/>
          </w:rPr>
          <w:t>Table 5: Financial allocations by year</w:t>
        </w:r>
        <w:r w:rsidR="00701ADE" w:rsidRPr="00701ADE">
          <w:rPr>
            <w:webHidden/>
            <w:lang w:val="en-GB"/>
          </w:rPr>
          <w:tab/>
        </w:r>
        <w:r w:rsidR="00DC51E9" w:rsidRPr="00701ADE">
          <w:rPr>
            <w:webHidden/>
            <w:lang w:val="en-GB"/>
          </w:rPr>
          <w:fldChar w:fldCharType="begin"/>
        </w:r>
        <w:r w:rsidR="00701ADE" w:rsidRPr="00701ADE">
          <w:rPr>
            <w:webHidden/>
            <w:lang w:val="en-GB"/>
          </w:rPr>
          <w:instrText xml:space="preserve"> PAGEREF _Toc126925413 \h </w:instrText>
        </w:r>
        <w:r w:rsidR="00DC51E9" w:rsidRPr="00701ADE">
          <w:rPr>
            <w:webHidden/>
            <w:lang w:val="en-GB"/>
          </w:rPr>
        </w:r>
        <w:r w:rsidR="00DC51E9" w:rsidRPr="00701ADE">
          <w:rPr>
            <w:webHidden/>
            <w:lang w:val="en-GB"/>
          </w:rPr>
          <w:fldChar w:fldCharType="separate"/>
        </w:r>
        <w:r w:rsidR="00701ADE" w:rsidRPr="00701ADE">
          <w:rPr>
            <w:webHidden/>
            <w:lang w:val="en-GB"/>
          </w:rPr>
          <w:t>39</w:t>
        </w:r>
        <w:r w:rsidR="00DC51E9" w:rsidRPr="00701ADE">
          <w:rPr>
            <w:webHidden/>
            <w:lang w:val="en-GB"/>
          </w:rPr>
          <w:fldChar w:fldCharType="end"/>
        </w:r>
      </w:hyperlink>
    </w:p>
    <w:p w:rsidR="00701ADE" w:rsidRPr="00701ADE" w:rsidRDefault="002A06CB">
      <w:pPr>
        <w:pStyle w:val="Spistreci2"/>
        <w:tabs>
          <w:tab w:val="right" w:leader="dot" w:pos="10240"/>
        </w:tabs>
        <w:rPr>
          <w:rFonts w:asciiTheme="minorHAnsi" w:eastAsiaTheme="minorEastAsia" w:hAnsiTheme="minorHAnsi" w:cstheme="minorBidi"/>
          <w:sz w:val="22"/>
          <w:szCs w:val="22"/>
          <w:lang w:val="en-GB" w:eastAsia="pl-PL"/>
        </w:rPr>
      </w:pPr>
      <w:hyperlink w:anchor="_Toc126925414" w:history="1">
        <w:r w:rsidR="00701ADE" w:rsidRPr="00701ADE">
          <w:rPr>
            <w:rStyle w:val="Hipercze"/>
            <w:lang w:val="en-GB"/>
          </w:rPr>
          <w:t>3.2. Total financial allocations</w:t>
        </w:r>
        <w:r w:rsidR="00701ADE" w:rsidRPr="00701ADE">
          <w:rPr>
            <w:webHidden/>
            <w:lang w:val="en-GB"/>
          </w:rPr>
          <w:tab/>
        </w:r>
        <w:r w:rsidR="00DC51E9" w:rsidRPr="00701ADE">
          <w:rPr>
            <w:webHidden/>
            <w:lang w:val="en-GB"/>
          </w:rPr>
          <w:fldChar w:fldCharType="begin"/>
        </w:r>
        <w:r w:rsidR="00701ADE" w:rsidRPr="00701ADE">
          <w:rPr>
            <w:webHidden/>
            <w:lang w:val="en-GB"/>
          </w:rPr>
          <w:instrText xml:space="preserve"> PAGEREF _Toc126925414 \h </w:instrText>
        </w:r>
        <w:r w:rsidR="00DC51E9" w:rsidRPr="00701ADE">
          <w:rPr>
            <w:webHidden/>
            <w:lang w:val="en-GB"/>
          </w:rPr>
        </w:r>
        <w:r w:rsidR="00DC51E9" w:rsidRPr="00701ADE">
          <w:rPr>
            <w:webHidden/>
            <w:lang w:val="en-GB"/>
          </w:rPr>
          <w:fldChar w:fldCharType="separate"/>
        </w:r>
        <w:r w:rsidR="00701ADE" w:rsidRPr="00701ADE">
          <w:rPr>
            <w:webHidden/>
            <w:lang w:val="en-GB"/>
          </w:rPr>
          <w:t>40</w:t>
        </w:r>
        <w:r w:rsidR="00DC51E9" w:rsidRPr="00701ADE">
          <w:rPr>
            <w:webHidden/>
            <w:lang w:val="en-GB"/>
          </w:rPr>
          <w:fldChar w:fldCharType="end"/>
        </w:r>
      </w:hyperlink>
    </w:p>
    <w:p w:rsidR="00701ADE" w:rsidRPr="00701ADE" w:rsidRDefault="002A06CB">
      <w:pPr>
        <w:pStyle w:val="Spistreci4"/>
        <w:tabs>
          <w:tab w:val="right" w:leader="dot" w:pos="10240"/>
        </w:tabs>
        <w:rPr>
          <w:rFonts w:asciiTheme="minorHAnsi" w:eastAsiaTheme="minorEastAsia" w:hAnsiTheme="minorHAnsi" w:cstheme="minorBidi"/>
          <w:sz w:val="22"/>
          <w:szCs w:val="22"/>
          <w:lang w:val="en-GB" w:eastAsia="pl-PL"/>
        </w:rPr>
      </w:pPr>
      <w:hyperlink w:anchor="_Toc126925415" w:history="1">
        <w:r w:rsidR="00701ADE" w:rsidRPr="00701ADE">
          <w:rPr>
            <w:rStyle w:val="Hipercze"/>
            <w:lang w:val="en-GB"/>
          </w:rPr>
          <w:t>Table 6: Total financial allocations by fund and national co-financing</w:t>
        </w:r>
        <w:r w:rsidR="00701ADE" w:rsidRPr="00701ADE">
          <w:rPr>
            <w:webHidden/>
            <w:lang w:val="en-GB"/>
          </w:rPr>
          <w:tab/>
        </w:r>
        <w:r w:rsidR="00DC51E9" w:rsidRPr="00701ADE">
          <w:rPr>
            <w:webHidden/>
            <w:lang w:val="en-GB"/>
          </w:rPr>
          <w:fldChar w:fldCharType="begin"/>
        </w:r>
        <w:r w:rsidR="00701ADE" w:rsidRPr="00701ADE">
          <w:rPr>
            <w:webHidden/>
            <w:lang w:val="en-GB"/>
          </w:rPr>
          <w:instrText xml:space="preserve"> PAGEREF _Toc126925415 \h </w:instrText>
        </w:r>
        <w:r w:rsidR="00DC51E9" w:rsidRPr="00701ADE">
          <w:rPr>
            <w:webHidden/>
            <w:lang w:val="en-GB"/>
          </w:rPr>
        </w:r>
        <w:r w:rsidR="00DC51E9" w:rsidRPr="00701ADE">
          <w:rPr>
            <w:webHidden/>
            <w:lang w:val="en-GB"/>
          </w:rPr>
          <w:fldChar w:fldCharType="separate"/>
        </w:r>
        <w:r w:rsidR="00701ADE" w:rsidRPr="00701ADE">
          <w:rPr>
            <w:webHidden/>
            <w:lang w:val="en-GB"/>
          </w:rPr>
          <w:t>40</w:t>
        </w:r>
        <w:r w:rsidR="00DC51E9" w:rsidRPr="00701ADE">
          <w:rPr>
            <w:webHidden/>
            <w:lang w:val="en-GB"/>
          </w:rPr>
          <w:fldChar w:fldCharType="end"/>
        </w:r>
      </w:hyperlink>
    </w:p>
    <w:p w:rsidR="00701ADE" w:rsidRPr="00701ADE" w:rsidRDefault="002A06CB">
      <w:pPr>
        <w:pStyle w:val="Spistreci2"/>
        <w:tabs>
          <w:tab w:val="right" w:leader="dot" w:pos="10240"/>
        </w:tabs>
        <w:rPr>
          <w:rFonts w:asciiTheme="minorHAnsi" w:eastAsiaTheme="minorEastAsia" w:hAnsiTheme="minorHAnsi" w:cstheme="minorBidi"/>
          <w:sz w:val="22"/>
          <w:szCs w:val="22"/>
          <w:lang w:val="en-GB" w:eastAsia="pl-PL"/>
        </w:rPr>
      </w:pPr>
      <w:hyperlink w:anchor="_Toc126925416" w:history="1">
        <w:r w:rsidR="00701ADE" w:rsidRPr="00701ADE">
          <w:rPr>
            <w:rStyle w:val="Hipercze"/>
            <w:lang w:val="en-GB"/>
          </w:rPr>
          <w:t>3.3. Transfers</w:t>
        </w:r>
        <w:r w:rsidR="00701ADE" w:rsidRPr="00701ADE">
          <w:rPr>
            <w:webHidden/>
            <w:lang w:val="en-GB"/>
          </w:rPr>
          <w:tab/>
        </w:r>
        <w:r w:rsidR="00DC51E9" w:rsidRPr="00701ADE">
          <w:rPr>
            <w:webHidden/>
            <w:lang w:val="en-GB"/>
          </w:rPr>
          <w:fldChar w:fldCharType="begin"/>
        </w:r>
        <w:r w:rsidR="00701ADE" w:rsidRPr="00701ADE">
          <w:rPr>
            <w:webHidden/>
            <w:lang w:val="en-GB"/>
          </w:rPr>
          <w:instrText xml:space="preserve"> PAGEREF _Toc126925416 \h </w:instrText>
        </w:r>
        <w:r w:rsidR="00DC51E9" w:rsidRPr="00701ADE">
          <w:rPr>
            <w:webHidden/>
            <w:lang w:val="en-GB"/>
          </w:rPr>
        </w:r>
        <w:r w:rsidR="00DC51E9" w:rsidRPr="00701ADE">
          <w:rPr>
            <w:webHidden/>
            <w:lang w:val="en-GB"/>
          </w:rPr>
          <w:fldChar w:fldCharType="separate"/>
        </w:r>
        <w:r w:rsidR="00701ADE" w:rsidRPr="00701ADE">
          <w:rPr>
            <w:webHidden/>
            <w:lang w:val="en-GB"/>
          </w:rPr>
          <w:t>41</w:t>
        </w:r>
        <w:r w:rsidR="00DC51E9" w:rsidRPr="00701ADE">
          <w:rPr>
            <w:webHidden/>
            <w:lang w:val="en-GB"/>
          </w:rPr>
          <w:fldChar w:fldCharType="end"/>
        </w:r>
      </w:hyperlink>
    </w:p>
    <w:p w:rsidR="00701ADE" w:rsidRPr="00701ADE" w:rsidRDefault="002A06CB">
      <w:pPr>
        <w:pStyle w:val="Spistreci3"/>
        <w:tabs>
          <w:tab w:val="right" w:leader="dot" w:pos="10240"/>
        </w:tabs>
        <w:rPr>
          <w:rFonts w:asciiTheme="minorHAnsi" w:eastAsiaTheme="minorEastAsia" w:hAnsiTheme="minorHAnsi" w:cstheme="minorBidi"/>
          <w:sz w:val="22"/>
          <w:szCs w:val="22"/>
          <w:lang w:val="en-GB" w:eastAsia="pl-PL"/>
        </w:rPr>
      </w:pPr>
      <w:hyperlink w:anchor="_Toc126925417" w:history="1">
        <w:r w:rsidR="00701ADE" w:rsidRPr="00701ADE">
          <w:rPr>
            <w:rStyle w:val="Hipercze"/>
            <w:lang w:val="en-GB"/>
          </w:rPr>
          <w:t>Table 7: Transfers between shared management funds</w:t>
        </w:r>
        <w:r w:rsidR="00701ADE" w:rsidRPr="00701ADE">
          <w:rPr>
            <w:rStyle w:val="Hipercze"/>
            <w:vertAlign w:val="superscript"/>
            <w:lang w:val="en-GB"/>
          </w:rPr>
          <w:t>1</w:t>
        </w:r>
        <w:r w:rsidR="00701ADE" w:rsidRPr="00701ADE">
          <w:rPr>
            <w:webHidden/>
            <w:lang w:val="en-GB"/>
          </w:rPr>
          <w:tab/>
        </w:r>
        <w:r w:rsidR="00DC51E9" w:rsidRPr="00701ADE">
          <w:rPr>
            <w:webHidden/>
            <w:lang w:val="en-GB"/>
          </w:rPr>
          <w:fldChar w:fldCharType="begin"/>
        </w:r>
        <w:r w:rsidR="00701ADE" w:rsidRPr="00701ADE">
          <w:rPr>
            <w:webHidden/>
            <w:lang w:val="en-GB"/>
          </w:rPr>
          <w:instrText xml:space="preserve"> PAGEREF _Toc126925417 \h </w:instrText>
        </w:r>
        <w:r w:rsidR="00DC51E9" w:rsidRPr="00701ADE">
          <w:rPr>
            <w:webHidden/>
            <w:lang w:val="en-GB"/>
          </w:rPr>
        </w:r>
        <w:r w:rsidR="00DC51E9" w:rsidRPr="00701ADE">
          <w:rPr>
            <w:webHidden/>
            <w:lang w:val="en-GB"/>
          </w:rPr>
          <w:fldChar w:fldCharType="separate"/>
        </w:r>
        <w:r w:rsidR="00701ADE" w:rsidRPr="00701ADE">
          <w:rPr>
            <w:webHidden/>
            <w:lang w:val="en-GB"/>
          </w:rPr>
          <w:t>41</w:t>
        </w:r>
        <w:r w:rsidR="00DC51E9" w:rsidRPr="00701ADE">
          <w:rPr>
            <w:webHidden/>
            <w:lang w:val="en-GB"/>
          </w:rPr>
          <w:fldChar w:fldCharType="end"/>
        </w:r>
      </w:hyperlink>
    </w:p>
    <w:p w:rsidR="00701ADE" w:rsidRPr="00701ADE" w:rsidRDefault="002A06CB">
      <w:pPr>
        <w:pStyle w:val="Spistreci3"/>
        <w:tabs>
          <w:tab w:val="right" w:leader="dot" w:pos="10240"/>
        </w:tabs>
        <w:rPr>
          <w:rFonts w:asciiTheme="minorHAnsi" w:eastAsiaTheme="minorEastAsia" w:hAnsiTheme="minorHAnsi" w:cstheme="minorBidi"/>
          <w:sz w:val="22"/>
          <w:szCs w:val="22"/>
          <w:lang w:val="en-GB" w:eastAsia="pl-PL"/>
        </w:rPr>
      </w:pPr>
      <w:hyperlink w:anchor="_Toc126925418" w:history="1">
        <w:r w:rsidR="00701ADE" w:rsidRPr="00701ADE">
          <w:rPr>
            <w:rStyle w:val="Hipercze"/>
            <w:lang w:val="en-GB"/>
          </w:rPr>
          <w:t>Table 8: Transfers to instruments under direct or indirect management</w:t>
        </w:r>
        <w:r w:rsidR="00701ADE" w:rsidRPr="00701ADE">
          <w:rPr>
            <w:rStyle w:val="Hipercze"/>
            <w:vertAlign w:val="superscript"/>
            <w:lang w:val="en-GB"/>
          </w:rPr>
          <w:t>1</w:t>
        </w:r>
        <w:r w:rsidR="00701ADE" w:rsidRPr="00701ADE">
          <w:rPr>
            <w:webHidden/>
            <w:lang w:val="en-GB"/>
          </w:rPr>
          <w:tab/>
        </w:r>
        <w:r w:rsidR="00DC51E9" w:rsidRPr="00701ADE">
          <w:rPr>
            <w:webHidden/>
            <w:lang w:val="en-GB"/>
          </w:rPr>
          <w:fldChar w:fldCharType="begin"/>
        </w:r>
        <w:r w:rsidR="00701ADE" w:rsidRPr="00701ADE">
          <w:rPr>
            <w:webHidden/>
            <w:lang w:val="en-GB"/>
          </w:rPr>
          <w:instrText xml:space="preserve"> PAGEREF _Toc126925418 \h </w:instrText>
        </w:r>
        <w:r w:rsidR="00DC51E9" w:rsidRPr="00701ADE">
          <w:rPr>
            <w:webHidden/>
            <w:lang w:val="en-GB"/>
          </w:rPr>
        </w:r>
        <w:r w:rsidR="00DC51E9" w:rsidRPr="00701ADE">
          <w:rPr>
            <w:webHidden/>
            <w:lang w:val="en-GB"/>
          </w:rPr>
          <w:fldChar w:fldCharType="separate"/>
        </w:r>
        <w:r w:rsidR="00701ADE" w:rsidRPr="00701ADE">
          <w:rPr>
            <w:webHidden/>
            <w:lang w:val="en-GB"/>
          </w:rPr>
          <w:t>42</w:t>
        </w:r>
        <w:r w:rsidR="00DC51E9" w:rsidRPr="00701ADE">
          <w:rPr>
            <w:webHidden/>
            <w:lang w:val="en-GB"/>
          </w:rPr>
          <w:fldChar w:fldCharType="end"/>
        </w:r>
      </w:hyperlink>
    </w:p>
    <w:p w:rsidR="00701ADE" w:rsidRPr="00701ADE" w:rsidRDefault="002A06CB">
      <w:pPr>
        <w:pStyle w:val="Spistreci1"/>
        <w:tabs>
          <w:tab w:val="right" w:leader="dot" w:pos="10240"/>
        </w:tabs>
        <w:rPr>
          <w:rFonts w:asciiTheme="minorHAnsi" w:eastAsiaTheme="minorEastAsia" w:hAnsiTheme="minorHAnsi" w:cstheme="minorBidi"/>
          <w:sz w:val="22"/>
          <w:szCs w:val="22"/>
          <w:lang w:val="en-GB" w:eastAsia="pl-PL"/>
        </w:rPr>
      </w:pPr>
      <w:hyperlink w:anchor="_Toc126925419" w:history="1">
        <w:r w:rsidR="00701ADE" w:rsidRPr="00701ADE">
          <w:rPr>
            <w:rStyle w:val="Hipercze"/>
            <w:lang w:val="en-GB"/>
          </w:rPr>
          <w:t>4. Enabling conditions</w:t>
        </w:r>
        <w:r w:rsidR="00701ADE" w:rsidRPr="00701ADE">
          <w:rPr>
            <w:webHidden/>
            <w:lang w:val="en-GB"/>
          </w:rPr>
          <w:tab/>
        </w:r>
        <w:r w:rsidR="00DC51E9" w:rsidRPr="00701ADE">
          <w:rPr>
            <w:webHidden/>
            <w:lang w:val="en-GB"/>
          </w:rPr>
          <w:fldChar w:fldCharType="begin"/>
        </w:r>
        <w:r w:rsidR="00701ADE" w:rsidRPr="00701ADE">
          <w:rPr>
            <w:webHidden/>
            <w:lang w:val="en-GB"/>
          </w:rPr>
          <w:instrText xml:space="preserve"> PAGEREF _Toc126925419 \h </w:instrText>
        </w:r>
        <w:r w:rsidR="00DC51E9" w:rsidRPr="00701ADE">
          <w:rPr>
            <w:webHidden/>
            <w:lang w:val="en-GB"/>
          </w:rPr>
        </w:r>
        <w:r w:rsidR="00DC51E9" w:rsidRPr="00701ADE">
          <w:rPr>
            <w:webHidden/>
            <w:lang w:val="en-GB"/>
          </w:rPr>
          <w:fldChar w:fldCharType="separate"/>
        </w:r>
        <w:r w:rsidR="00701ADE" w:rsidRPr="00701ADE">
          <w:rPr>
            <w:webHidden/>
            <w:lang w:val="en-GB"/>
          </w:rPr>
          <w:t>43</w:t>
        </w:r>
        <w:r w:rsidR="00DC51E9" w:rsidRPr="00701ADE">
          <w:rPr>
            <w:webHidden/>
            <w:lang w:val="en-GB"/>
          </w:rPr>
          <w:fldChar w:fldCharType="end"/>
        </w:r>
      </w:hyperlink>
    </w:p>
    <w:p w:rsidR="00701ADE" w:rsidRPr="00701ADE" w:rsidRDefault="002A06CB">
      <w:pPr>
        <w:pStyle w:val="Spistreci2"/>
        <w:tabs>
          <w:tab w:val="right" w:leader="dot" w:pos="10240"/>
        </w:tabs>
        <w:rPr>
          <w:rFonts w:asciiTheme="minorHAnsi" w:eastAsiaTheme="minorEastAsia" w:hAnsiTheme="minorHAnsi" w:cstheme="minorBidi"/>
          <w:sz w:val="22"/>
          <w:szCs w:val="22"/>
          <w:lang w:val="en-GB" w:eastAsia="pl-PL"/>
        </w:rPr>
      </w:pPr>
      <w:hyperlink w:anchor="_Toc126925420" w:history="1">
        <w:r w:rsidR="00701ADE" w:rsidRPr="00701ADE">
          <w:rPr>
            <w:rStyle w:val="Hipercze"/>
            <w:lang w:val="en-GB"/>
          </w:rPr>
          <w:t>Table 9: Horizontal enabling conditions</w:t>
        </w:r>
        <w:r w:rsidR="00701ADE" w:rsidRPr="00701ADE">
          <w:rPr>
            <w:webHidden/>
            <w:lang w:val="en-GB"/>
          </w:rPr>
          <w:tab/>
        </w:r>
        <w:r w:rsidR="00DC51E9" w:rsidRPr="00701ADE">
          <w:rPr>
            <w:webHidden/>
            <w:lang w:val="en-GB"/>
          </w:rPr>
          <w:fldChar w:fldCharType="begin"/>
        </w:r>
        <w:r w:rsidR="00701ADE" w:rsidRPr="00701ADE">
          <w:rPr>
            <w:webHidden/>
            <w:lang w:val="en-GB"/>
          </w:rPr>
          <w:instrText xml:space="preserve"> PAGEREF _Toc126925420 \h </w:instrText>
        </w:r>
        <w:r w:rsidR="00DC51E9" w:rsidRPr="00701ADE">
          <w:rPr>
            <w:webHidden/>
            <w:lang w:val="en-GB"/>
          </w:rPr>
        </w:r>
        <w:r w:rsidR="00DC51E9" w:rsidRPr="00701ADE">
          <w:rPr>
            <w:webHidden/>
            <w:lang w:val="en-GB"/>
          </w:rPr>
          <w:fldChar w:fldCharType="separate"/>
        </w:r>
        <w:r w:rsidR="00701ADE" w:rsidRPr="00701ADE">
          <w:rPr>
            <w:webHidden/>
            <w:lang w:val="en-GB"/>
          </w:rPr>
          <w:t>43</w:t>
        </w:r>
        <w:r w:rsidR="00DC51E9" w:rsidRPr="00701ADE">
          <w:rPr>
            <w:webHidden/>
            <w:lang w:val="en-GB"/>
          </w:rPr>
          <w:fldChar w:fldCharType="end"/>
        </w:r>
      </w:hyperlink>
    </w:p>
    <w:p w:rsidR="00701ADE" w:rsidRPr="00701ADE" w:rsidRDefault="002A06CB">
      <w:pPr>
        <w:pStyle w:val="Spistreci1"/>
        <w:tabs>
          <w:tab w:val="right" w:leader="dot" w:pos="10240"/>
        </w:tabs>
        <w:rPr>
          <w:rFonts w:asciiTheme="minorHAnsi" w:eastAsiaTheme="minorEastAsia" w:hAnsiTheme="minorHAnsi" w:cstheme="minorBidi"/>
          <w:sz w:val="22"/>
          <w:szCs w:val="22"/>
          <w:lang w:val="en-GB" w:eastAsia="pl-PL"/>
        </w:rPr>
      </w:pPr>
      <w:hyperlink w:anchor="_Toc126925421" w:history="1">
        <w:r w:rsidR="00701ADE" w:rsidRPr="00701ADE">
          <w:rPr>
            <w:rStyle w:val="Hipercze"/>
            <w:lang w:val="en-GB"/>
          </w:rPr>
          <w:t>5. Programme authorities</w:t>
        </w:r>
        <w:r w:rsidR="00701ADE" w:rsidRPr="00701ADE">
          <w:rPr>
            <w:webHidden/>
            <w:lang w:val="en-GB"/>
          </w:rPr>
          <w:tab/>
        </w:r>
        <w:r w:rsidR="00DC51E9" w:rsidRPr="00701ADE">
          <w:rPr>
            <w:webHidden/>
            <w:lang w:val="en-GB"/>
          </w:rPr>
          <w:fldChar w:fldCharType="begin"/>
        </w:r>
        <w:r w:rsidR="00701ADE" w:rsidRPr="00701ADE">
          <w:rPr>
            <w:webHidden/>
            <w:lang w:val="en-GB"/>
          </w:rPr>
          <w:instrText xml:space="preserve"> PAGEREF _Toc126925421 \h </w:instrText>
        </w:r>
        <w:r w:rsidR="00DC51E9" w:rsidRPr="00701ADE">
          <w:rPr>
            <w:webHidden/>
            <w:lang w:val="en-GB"/>
          </w:rPr>
        </w:r>
        <w:r w:rsidR="00DC51E9" w:rsidRPr="00701ADE">
          <w:rPr>
            <w:webHidden/>
            <w:lang w:val="en-GB"/>
          </w:rPr>
          <w:fldChar w:fldCharType="separate"/>
        </w:r>
        <w:r w:rsidR="00701ADE" w:rsidRPr="00701ADE">
          <w:rPr>
            <w:webHidden/>
            <w:lang w:val="en-GB"/>
          </w:rPr>
          <w:t>49</w:t>
        </w:r>
        <w:r w:rsidR="00DC51E9" w:rsidRPr="00701ADE">
          <w:rPr>
            <w:webHidden/>
            <w:lang w:val="en-GB"/>
          </w:rPr>
          <w:fldChar w:fldCharType="end"/>
        </w:r>
      </w:hyperlink>
    </w:p>
    <w:p w:rsidR="00701ADE" w:rsidRPr="00701ADE" w:rsidRDefault="002A06CB">
      <w:pPr>
        <w:pStyle w:val="Spistreci2"/>
        <w:tabs>
          <w:tab w:val="right" w:leader="dot" w:pos="10240"/>
        </w:tabs>
        <w:rPr>
          <w:rFonts w:asciiTheme="minorHAnsi" w:eastAsiaTheme="minorEastAsia" w:hAnsiTheme="minorHAnsi" w:cstheme="minorBidi"/>
          <w:sz w:val="22"/>
          <w:szCs w:val="22"/>
          <w:lang w:val="en-GB" w:eastAsia="pl-PL"/>
        </w:rPr>
      </w:pPr>
      <w:hyperlink w:anchor="_Toc126925422" w:history="1">
        <w:r w:rsidR="00701ADE" w:rsidRPr="00701ADE">
          <w:rPr>
            <w:rStyle w:val="Hipercze"/>
            <w:lang w:val="en-GB"/>
          </w:rPr>
          <w:t>Table 10: Programme authorities</w:t>
        </w:r>
        <w:r w:rsidR="00701ADE" w:rsidRPr="00701ADE">
          <w:rPr>
            <w:webHidden/>
            <w:lang w:val="en-GB"/>
          </w:rPr>
          <w:tab/>
        </w:r>
        <w:r w:rsidR="00DC51E9" w:rsidRPr="00701ADE">
          <w:rPr>
            <w:webHidden/>
            <w:lang w:val="en-GB"/>
          </w:rPr>
          <w:fldChar w:fldCharType="begin"/>
        </w:r>
        <w:r w:rsidR="00701ADE" w:rsidRPr="00701ADE">
          <w:rPr>
            <w:webHidden/>
            <w:lang w:val="en-GB"/>
          </w:rPr>
          <w:instrText xml:space="preserve"> PAGEREF _Toc126925422 \h </w:instrText>
        </w:r>
        <w:r w:rsidR="00DC51E9" w:rsidRPr="00701ADE">
          <w:rPr>
            <w:webHidden/>
            <w:lang w:val="en-GB"/>
          </w:rPr>
        </w:r>
        <w:r w:rsidR="00DC51E9" w:rsidRPr="00701ADE">
          <w:rPr>
            <w:webHidden/>
            <w:lang w:val="en-GB"/>
          </w:rPr>
          <w:fldChar w:fldCharType="separate"/>
        </w:r>
        <w:r w:rsidR="00701ADE" w:rsidRPr="00701ADE">
          <w:rPr>
            <w:webHidden/>
            <w:lang w:val="en-GB"/>
          </w:rPr>
          <w:t>49</w:t>
        </w:r>
        <w:r w:rsidR="00DC51E9" w:rsidRPr="00701ADE">
          <w:rPr>
            <w:webHidden/>
            <w:lang w:val="en-GB"/>
          </w:rPr>
          <w:fldChar w:fldCharType="end"/>
        </w:r>
      </w:hyperlink>
    </w:p>
    <w:p w:rsidR="00701ADE" w:rsidRPr="00701ADE" w:rsidRDefault="002A06CB">
      <w:pPr>
        <w:pStyle w:val="Spistreci1"/>
        <w:tabs>
          <w:tab w:val="right" w:leader="dot" w:pos="10240"/>
        </w:tabs>
        <w:rPr>
          <w:rFonts w:asciiTheme="minorHAnsi" w:eastAsiaTheme="minorEastAsia" w:hAnsiTheme="minorHAnsi" w:cstheme="minorBidi"/>
          <w:sz w:val="22"/>
          <w:szCs w:val="22"/>
          <w:lang w:val="en-GB" w:eastAsia="pl-PL"/>
        </w:rPr>
      </w:pPr>
      <w:hyperlink w:anchor="_Toc126925423" w:history="1">
        <w:r w:rsidR="00701ADE" w:rsidRPr="00701ADE">
          <w:rPr>
            <w:rStyle w:val="Hipercze"/>
            <w:lang w:val="en-GB"/>
          </w:rPr>
          <w:t>6. Partnership</w:t>
        </w:r>
        <w:r w:rsidR="00701ADE" w:rsidRPr="00701ADE">
          <w:rPr>
            <w:webHidden/>
            <w:lang w:val="en-GB"/>
          </w:rPr>
          <w:tab/>
        </w:r>
        <w:r w:rsidR="00DC51E9" w:rsidRPr="00701ADE">
          <w:rPr>
            <w:webHidden/>
            <w:lang w:val="en-GB"/>
          </w:rPr>
          <w:fldChar w:fldCharType="begin"/>
        </w:r>
        <w:r w:rsidR="00701ADE" w:rsidRPr="00701ADE">
          <w:rPr>
            <w:webHidden/>
            <w:lang w:val="en-GB"/>
          </w:rPr>
          <w:instrText xml:space="preserve"> PAGEREF _Toc126925423 \h </w:instrText>
        </w:r>
        <w:r w:rsidR="00DC51E9" w:rsidRPr="00701ADE">
          <w:rPr>
            <w:webHidden/>
            <w:lang w:val="en-GB"/>
          </w:rPr>
        </w:r>
        <w:r w:rsidR="00DC51E9" w:rsidRPr="00701ADE">
          <w:rPr>
            <w:webHidden/>
            <w:lang w:val="en-GB"/>
          </w:rPr>
          <w:fldChar w:fldCharType="separate"/>
        </w:r>
        <w:r w:rsidR="00701ADE" w:rsidRPr="00701ADE">
          <w:rPr>
            <w:webHidden/>
            <w:lang w:val="en-GB"/>
          </w:rPr>
          <w:t>50</w:t>
        </w:r>
        <w:r w:rsidR="00DC51E9" w:rsidRPr="00701ADE">
          <w:rPr>
            <w:webHidden/>
            <w:lang w:val="en-GB"/>
          </w:rPr>
          <w:fldChar w:fldCharType="end"/>
        </w:r>
      </w:hyperlink>
    </w:p>
    <w:p w:rsidR="00701ADE" w:rsidRPr="00701ADE" w:rsidRDefault="002A06CB">
      <w:pPr>
        <w:pStyle w:val="Spistreci1"/>
        <w:tabs>
          <w:tab w:val="right" w:leader="dot" w:pos="10240"/>
        </w:tabs>
        <w:rPr>
          <w:rFonts w:asciiTheme="minorHAnsi" w:eastAsiaTheme="minorEastAsia" w:hAnsiTheme="minorHAnsi" w:cstheme="minorBidi"/>
          <w:sz w:val="22"/>
          <w:szCs w:val="22"/>
          <w:lang w:val="en-GB" w:eastAsia="pl-PL"/>
        </w:rPr>
      </w:pPr>
      <w:hyperlink w:anchor="_Toc126925424" w:history="1">
        <w:r w:rsidR="00701ADE" w:rsidRPr="00701ADE">
          <w:rPr>
            <w:rStyle w:val="Hipercze"/>
            <w:lang w:val="en-GB"/>
          </w:rPr>
          <w:t>7. Communication and visibility</w:t>
        </w:r>
        <w:r w:rsidR="00701ADE" w:rsidRPr="00701ADE">
          <w:rPr>
            <w:webHidden/>
            <w:lang w:val="en-GB"/>
          </w:rPr>
          <w:tab/>
        </w:r>
        <w:r w:rsidR="00DC51E9" w:rsidRPr="00701ADE">
          <w:rPr>
            <w:webHidden/>
            <w:lang w:val="en-GB"/>
          </w:rPr>
          <w:fldChar w:fldCharType="begin"/>
        </w:r>
        <w:r w:rsidR="00701ADE" w:rsidRPr="00701ADE">
          <w:rPr>
            <w:webHidden/>
            <w:lang w:val="en-GB"/>
          </w:rPr>
          <w:instrText xml:space="preserve"> PAGEREF _Toc126925424 \h </w:instrText>
        </w:r>
        <w:r w:rsidR="00DC51E9" w:rsidRPr="00701ADE">
          <w:rPr>
            <w:webHidden/>
            <w:lang w:val="en-GB"/>
          </w:rPr>
        </w:r>
        <w:r w:rsidR="00DC51E9" w:rsidRPr="00701ADE">
          <w:rPr>
            <w:webHidden/>
            <w:lang w:val="en-GB"/>
          </w:rPr>
          <w:fldChar w:fldCharType="separate"/>
        </w:r>
        <w:r w:rsidR="00701ADE" w:rsidRPr="00701ADE">
          <w:rPr>
            <w:webHidden/>
            <w:lang w:val="en-GB"/>
          </w:rPr>
          <w:t>52</w:t>
        </w:r>
        <w:r w:rsidR="00DC51E9" w:rsidRPr="00701ADE">
          <w:rPr>
            <w:webHidden/>
            <w:lang w:val="en-GB"/>
          </w:rPr>
          <w:fldChar w:fldCharType="end"/>
        </w:r>
      </w:hyperlink>
    </w:p>
    <w:p w:rsidR="00701ADE" w:rsidRPr="00701ADE" w:rsidRDefault="002A06CB">
      <w:pPr>
        <w:pStyle w:val="Spistreci1"/>
        <w:tabs>
          <w:tab w:val="right" w:leader="dot" w:pos="10240"/>
        </w:tabs>
        <w:rPr>
          <w:rFonts w:asciiTheme="minorHAnsi" w:eastAsiaTheme="minorEastAsia" w:hAnsiTheme="minorHAnsi" w:cstheme="minorBidi"/>
          <w:sz w:val="22"/>
          <w:szCs w:val="22"/>
          <w:lang w:val="en-GB" w:eastAsia="pl-PL"/>
        </w:rPr>
      </w:pPr>
      <w:hyperlink w:anchor="_Toc126925425" w:history="1">
        <w:r w:rsidR="00701ADE" w:rsidRPr="00701ADE">
          <w:rPr>
            <w:rStyle w:val="Hipercze"/>
            <w:lang w:val="en-GB"/>
          </w:rPr>
          <w:t>8. Use of unit costs, lump sums, flat rates and financing not linked to costs</w:t>
        </w:r>
        <w:r w:rsidR="00701ADE" w:rsidRPr="00701ADE">
          <w:rPr>
            <w:webHidden/>
            <w:lang w:val="en-GB"/>
          </w:rPr>
          <w:tab/>
        </w:r>
        <w:r w:rsidR="00DC51E9" w:rsidRPr="00701ADE">
          <w:rPr>
            <w:webHidden/>
            <w:lang w:val="en-GB"/>
          </w:rPr>
          <w:fldChar w:fldCharType="begin"/>
        </w:r>
        <w:r w:rsidR="00701ADE" w:rsidRPr="00701ADE">
          <w:rPr>
            <w:webHidden/>
            <w:lang w:val="en-GB"/>
          </w:rPr>
          <w:instrText xml:space="preserve"> PAGEREF _Toc126925425 \h </w:instrText>
        </w:r>
        <w:r w:rsidR="00DC51E9" w:rsidRPr="00701ADE">
          <w:rPr>
            <w:webHidden/>
            <w:lang w:val="en-GB"/>
          </w:rPr>
        </w:r>
        <w:r w:rsidR="00DC51E9" w:rsidRPr="00701ADE">
          <w:rPr>
            <w:webHidden/>
            <w:lang w:val="en-GB"/>
          </w:rPr>
          <w:fldChar w:fldCharType="separate"/>
        </w:r>
        <w:r w:rsidR="00701ADE" w:rsidRPr="00701ADE">
          <w:rPr>
            <w:webHidden/>
            <w:lang w:val="en-GB"/>
          </w:rPr>
          <w:t>55</w:t>
        </w:r>
        <w:r w:rsidR="00DC51E9" w:rsidRPr="00701ADE">
          <w:rPr>
            <w:webHidden/>
            <w:lang w:val="en-GB"/>
          </w:rPr>
          <w:fldChar w:fldCharType="end"/>
        </w:r>
      </w:hyperlink>
    </w:p>
    <w:p w:rsidR="00701ADE" w:rsidRPr="00701ADE" w:rsidRDefault="002A06CB">
      <w:pPr>
        <w:pStyle w:val="Spistreci1"/>
        <w:tabs>
          <w:tab w:val="right" w:leader="dot" w:pos="10240"/>
        </w:tabs>
        <w:rPr>
          <w:rFonts w:asciiTheme="minorHAnsi" w:eastAsiaTheme="minorEastAsia" w:hAnsiTheme="minorHAnsi" w:cstheme="minorBidi"/>
          <w:sz w:val="22"/>
          <w:szCs w:val="22"/>
          <w:lang w:val="en-GB" w:eastAsia="pl-PL"/>
        </w:rPr>
      </w:pPr>
      <w:hyperlink w:anchor="_Toc126925426" w:history="1">
        <w:r w:rsidR="00701ADE" w:rsidRPr="00701ADE">
          <w:rPr>
            <w:rStyle w:val="Hipercze"/>
            <w:lang w:val="en-GB"/>
          </w:rPr>
          <w:t>Appendix 1: Union contribution based on unit costs, lump sums and flat rates</w:t>
        </w:r>
        <w:r w:rsidR="00701ADE" w:rsidRPr="00701ADE">
          <w:rPr>
            <w:webHidden/>
            <w:lang w:val="en-GB"/>
          </w:rPr>
          <w:tab/>
        </w:r>
        <w:r w:rsidR="00DC51E9" w:rsidRPr="00701ADE">
          <w:rPr>
            <w:webHidden/>
            <w:lang w:val="en-GB"/>
          </w:rPr>
          <w:fldChar w:fldCharType="begin"/>
        </w:r>
        <w:r w:rsidR="00701ADE" w:rsidRPr="00701ADE">
          <w:rPr>
            <w:webHidden/>
            <w:lang w:val="en-GB"/>
          </w:rPr>
          <w:instrText xml:space="preserve"> PAGEREF _Toc126925426 \h </w:instrText>
        </w:r>
        <w:r w:rsidR="00DC51E9" w:rsidRPr="00701ADE">
          <w:rPr>
            <w:webHidden/>
            <w:lang w:val="en-GB"/>
          </w:rPr>
        </w:r>
        <w:r w:rsidR="00DC51E9" w:rsidRPr="00701ADE">
          <w:rPr>
            <w:webHidden/>
            <w:lang w:val="en-GB"/>
          </w:rPr>
          <w:fldChar w:fldCharType="separate"/>
        </w:r>
        <w:r w:rsidR="00701ADE" w:rsidRPr="00701ADE">
          <w:rPr>
            <w:webHidden/>
            <w:lang w:val="en-GB"/>
          </w:rPr>
          <w:t>56</w:t>
        </w:r>
        <w:r w:rsidR="00DC51E9" w:rsidRPr="00701ADE">
          <w:rPr>
            <w:webHidden/>
            <w:lang w:val="en-GB"/>
          </w:rPr>
          <w:fldChar w:fldCharType="end"/>
        </w:r>
      </w:hyperlink>
    </w:p>
    <w:p w:rsidR="00701ADE" w:rsidRPr="00701ADE" w:rsidRDefault="002A06CB">
      <w:pPr>
        <w:pStyle w:val="Spistreci2"/>
        <w:tabs>
          <w:tab w:val="right" w:leader="dot" w:pos="10240"/>
        </w:tabs>
        <w:rPr>
          <w:rFonts w:asciiTheme="minorHAnsi" w:eastAsiaTheme="minorEastAsia" w:hAnsiTheme="minorHAnsi" w:cstheme="minorBidi"/>
          <w:sz w:val="22"/>
          <w:szCs w:val="22"/>
          <w:lang w:val="en-GB" w:eastAsia="pl-PL"/>
        </w:rPr>
      </w:pPr>
      <w:hyperlink w:anchor="_Toc126925427" w:history="1">
        <w:r w:rsidR="00701ADE" w:rsidRPr="00701ADE">
          <w:rPr>
            <w:rStyle w:val="Hipercze"/>
            <w:lang w:val="en-GB"/>
          </w:rPr>
          <w:t>A. Summary of the main elements</w:t>
        </w:r>
        <w:r w:rsidR="00701ADE" w:rsidRPr="00701ADE">
          <w:rPr>
            <w:webHidden/>
            <w:lang w:val="en-GB"/>
          </w:rPr>
          <w:tab/>
        </w:r>
        <w:r w:rsidR="00DC51E9" w:rsidRPr="00701ADE">
          <w:rPr>
            <w:webHidden/>
            <w:lang w:val="en-GB"/>
          </w:rPr>
          <w:fldChar w:fldCharType="begin"/>
        </w:r>
        <w:r w:rsidR="00701ADE" w:rsidRPr="00701ADE">
          <w:rPr>
            <w:webHidden/>
            <w:lang w:val="en-GB"/>
          </w:rPr>
          <w:instrText xml:space="preserve"> PAGEREF _Toc126925427 \h </w:instrText>
        </w:r>
        <w:r w:rsidR="00DC51E9" w:rsidRPr="00701ADE">
          <w:rPr>
            <w:webHidden/>
            <w:lang w:val="en-GB"/>
          </w:rPr>
        </w:r>
        <w:r w:rsidR="00DC51E9" w:rsidRPr="00701ADE">
          <w:rPr>
            <w:webHidden/>
            <w:lang w:val="en-GB"/>
          </w:rPr>
          <w:fldChar w:fldCharType="separate"/>
        </w:r>
        <w:r w:rsidR="00701ADE" w:rsidRPr="00701ADE">
          <w:rPr>
            <w:webHidden/>
            <w:lang w:val="en-GB"/>
          </w:rPr>
          <w:t>56</w:t>
        </w:r>
        <w:r w:rsidR="00DC51E9" w:rsidRPr="00701ADE">
          <w:rPr>
            <w:webHidden/>
            <w:lang w:val="en-GB"/>
          </w:rPr>
          <w:fldChar w:fldCharType="end"/>
        </w:r>
      </w:hyperlink>
    </w:p>
    <w:p w:rsidR="00701ADE" w:rsidRPr="00701ADE" w:rsidRDefault="002A06CB">
      <w:pPr>
        <w:pStyle w:val="Spistreci2"/>
        <w:tabs>
          <w:tab w:val="right" w:leader="dot" w:pos="10240"/>
        </w:tabs>
        <w:rPr>
          <w:rFonts w:asciiTheme="minorHAnsi" w:eastAsiaTheme="minorEastAsia" w:hAnsiTheme="minorHAnsi" w:cstheme="minorBidi"/>
          <w:sz w:val="22"/>
          <w:szCs w:val="22"/>
          <w:lang w:val="en-GB" w:eastAsia="pl-PL"/>
        </w:rPr>
      </w:pPr>
      <w:hyperlink w:anchor="_Toc126925428" w:history="1">
        <w:r w:rsidR="00701ADE" w:rsidRPr="00701ADE">
          <w:rPr>
            <w:rStyle w:val="Hipercze"/>
            <w:lang w:val="en-GB"/>
          </w:rPr>
          <w:t>B. Detailed information by type of operation</w:t>
        </w:r>
        <w:r w:rsidR="00701ADE" w:rsidRPr="00701ADE">
          <w:rPr>
            <w:webHidden/>
            <w:lang w:val="en-GB"/>
          </w:rPr>
          <w:tab/>
        </w:r>
        <w:r w:rsidR="00DC51E9" w:rsidRPr="00701ADE">
          <w:rPr>
            <w:webHidden/>
            <w:lang w:val="en-GB"/>
          </w:rPr>
          <w:fldChar w:fldCharType="begin"/>
        </w:r>
        <w:r w:rsidR="00701ADE" w:rsidRPr="00701ADE">
          <w:rPr>
            <w:webHidden/>
            <w:lang w:val="en-GB"/>
          </w:rPr>
          <w:instrText xml:space="preserve"> PAGEREF _Toc126925428 \h </w:instrText>
        </w:r>
        <w:r w:rsidR="00DC51E9" w:rsidRPr="00701ADE">
          <w:rPr>
            <w:webHidden/>
            <w:lang w:val="en-GB"/>
          </w:rPr>
        </w:r>
        <w:r w:rsidR="00DC51E9" w:rsidRPr="00701ADE">
          <w:rPr>
            <w:webHidden/>
            <w:lang w:val="en-GB"/>
          </w:rPr>
          <w:fldChar w:fldCharType="separate"/>
        </w:r>
        <w:r w:rsidR="00701ADE" w:rsidRPr="00701ADE">
          <w:rPr>
            <w:webHidden/>
            <w:lang w:val="en-GB"/>
          </w:rPr>
          <w:t>57</w:t>
        </w:r>
        <w:r w:rsidR="00DC51E9" w:rsidRPr="00701ADE">
          <w:rPr>
            <w:webHidden/>
            <w:lang w:val="en-GB"/>
          </w:rPr>
          <w:fldChar w:fldCharType="end"/>
        </w:r>
      </w:hyperlink>
    </w:p>
    <w:p w:rsidR="00701ADE" w:rsidRPr="00701ADE" w:rsidRDefault="002A06CB">
      <w:pPr>
        <w:pStyle w:val="Spistreci2"/>
        <w:tabs>
          <w:tab w:val="right" w:leader="dot" w:pos="10240"/>
        </w:tabs>
        <w:rPr>
          <w:rFonts w:asciiTheme="minorHAnsi" w:eastAsiaTheme="minorEastAsia" w:hAnsiTheme="minorHAnsi" w:cstheme="minorBidi"/>
          <w:sz w:val="22"/>
          <w:szCs w:val="22"/>
          <w:lang w:val="en-GB" w:eastAsia="pl-PL"/>
        </w:rPr>
      </w:pPr>
      <w:hyperlink w:anchor="_Toc126925429" w:history="1">
        <w:r w:rsidR="00701ADE" w:rsidRPr="00701ADE">
          <w:rPr>
            <w:rStyle w:val="Hipercze"/>
            <w:lang w:val="en-GB"/>
          </w:rPr>
          <w:t>C. Calculation of the standard scale of unit costs, lump sums or flat rates</w:t>
        </w:r>
        <w:r w:rsidR="00701ADE" w:rsidRPr="00701ADE">
          <w:rPr>
            <w:webHidden/>
            <w:lang w:val="en-GB"/>
          </w:rPr>
          <w:tab/>
        </w:r>
        <w:r w:rsidR="00DC51E9" w:rsidRPr="00701ADE">
          <w:rPr>
            <w:webHidden/>
            <w:lang w:val="en-GB"/>
          </w:rPr>
          <w:fldChar w:fldCharType="begin"/>
        </w:r>
        <w:r w:rsidR="00701ADE" w:rsidRPr="00701ADE">
          <w:rPr>
            <w:webHidden/>
            <w:lang w:val="en-GB"/>
          </w:rPr>
          <w:instrText xml:space="preserve"> PAGEREF _Toc126925429 \h </w:instrText>
        </w:r>
        <w:r w:rsidR="00DC51E9" w:rsidRPr="00701ADE">
          <w:rPr>
            <w:webHidden/>
            <w:lang w:val="en-GB"/>
          </w:rPr>
        </w:r>
        <w:r w:rsidR="00DC51E9" w:rsidRPr="00701ADE">
          <w:rPr>
            <w:webHidden/>
            <w:lang w:val="en-GB"/>
          </w:rPr>
          <w:fldChar w:fldCharType="separate"/>
        </w:r>
        <w:r w:rsidR="00701ADE" w:rsidRPr="00701ADE">
          <w:rPr>
            <w:webHidden/>
            <w:lang w:val="en-GB"/>
          </w:rPr>
          <w:t>58</w:t>
        </w:r>
        <w:r w:rsidR="00DC51E9" w:rsidRPr="00701ADE">
          <w:rPr>
            <w:webHidden/>
            <w:lang w:val="en-GB"/>
          </w:rPr>
          <w:fldChar w:fldCharType="end"/>
        </w:r>
      </w:hyperlink>
    </w:p>
    <w:p w:rsidR="00701ADE" w:rsidRPr="00701ADE" w:rsidRDefault="002A06CB">
      <w:pPr>
        <w:pStyle w:val="Spistreci4"/>
        <w:tabs>
          <w:tab w:val="right" w:leader="dot" w:pos="10240"/>
        </w:tabs>
        <w:rPr>
          <w:rFonts w:asciiTheme="minorHAnsi" w:eastAsiaTheme="minorEastAsia" w:hAnsiTheme="minorHAnsi" w:cstheme="minorBidi"/>
          <w:sz w:val="22"/>
          <w:szCs w:val="22"/>
          <w:lang w:val="en-GB" w:eastAsia="pl-PL"/>
        </w:rPr>
      </w:pPr>
      <w:hyperlink w:anchor="_Toc126925430" w:history="1">
        <w:r w:rsidR="00701ADE" w:rsidRPr="00701ADE">
          <w:rPr>
            <w:rStyle w:val="Hipercze"/>
            <w:lang w:val="en-GB"/>
          </w:rPr>
          <w:t>1. Source of data used to calculate the standard scale of unit costs, lump sums or flat rates (who produced, collected and recorded the data; where the data are stored; cut-off dates; validation, etc.):</w:t>
        </w:r>
        <w:r w:rsidR="00701ADE" w:rsidRPr="00701ADE">
          <w:rPr>
            <w:webHidden/>
            <w:lang w:val="en-GB"/>
          </w:rPr>
          <w:tab/>
        </w:r>
        <w:r w:rsidR="00DC51E9" w:rsidRPr="00701ADE">
          <w:rPr>
            <w:webHidden/>
            <w:lang w:val="en-GB"/>
          </w:rPr>
          <w:fldChar w:fldCharType="begin"/>
        </w:r>
        <w:r w:rsidR="00701ADE" w:rsidRPr="00701ADE">
          <w:rPr>
            <w:webHidden/>
            <w:lang w:val="en-GB"/>
          </w:rPr>
          <w:instrText xml:space="preserve"> PAGEREF _Toc126925430 \h </w:instrText>
        </w:r>
        <w:r w:rsidR="00DC51E9" w:rsidRPr="00701ADE">
          <w:rPr>
            <w:webHidden/>
            <w:lang w:val="en-GB"/>
          </w:rPr>
        </w:r>
        <w:r w:rsidR="00DC51E9" w:rsidRPr="00701ADE">
          <w:rPr>
            <w:webHidden/>
            <w:lang w:val="en-GB"/>
          </w:rPr>
          <w:fldChar w:fldCharType="separate"/>
        </w:r>
        <w:r w:rsidR="00701ADE" w:rsidRPr="00701ADE">
          <w:rPr>
            <w:webHidden/>
            <w:lang w:val="en-GB"/>
          </w:rPr>
          <w:t>58</w:t>
        </w:r>
        <w:r w:rsidR="00DC51E9" w:rsidRPr="00701ADE">
          <w:rPr>
            <w:webHidden/>
            <w:lang w:val="en-GB"/>
          </w:rPr>
          <w:fldChar w:fldCharType="end"/>
        </w:r>
      </w:hyperlink>
    </w:p>
    <w:p w:rsidR="00701ADE" w:rsidRPr="00701ADE" w:rsidRDefault="002A06CB">
      <w:pPr>
        <w:pStyle w:val="Spistreci4"/>
        <w:tabs>
          <w:tab w:val="right" w:leader="dot" w:pos="10240"/>
        </w:tabs>
        <w:rPr>
          <w:rFonts w:asciiTheme="minorHAnsi" w:eastAsiaTheme="minorEastAsia" w:hAnsiTheme="minorHAnsi" w:cstheme="minorBidi"/>
          <w:sz w:val="22"/>
          <w:szCs w:val="22"/>
          <w:lang w:val="en-GB" w:eastAsia="pl-PL"/>
        </w:rPr>
      </w:pPr>
      <w:hyperlink w:anchor="_Toc126925431" w:history="1">
        <w:r w:rsidR="00701ADE" w:rsidRPr="00701ADE">
          <w:rPr>
            <w:rStyle w:val="Hipercze"/>
            <w:lang w:val="en-GB"/>
          </w:rPr>
          <w:t>2. Please specify why the proposed method and calculation based on Article 94(2) CPR is relevant to the type of operation.</w:t>
        </w:r>
        <w:r w:rsidR="00701ADE" w:rsidRPr="00701ADE">
          <w:rPr>
            <w:webHidden/>
            <w:lang w:val="en-GB"/>
          </w:rPr>
          <w:tab/>
        </w:r>
        <w:r w:rsidR="00DC51E9" w:rsidRPr="00701ADE">
          <w:rPr>
            <w:webHidden/>
            <w:lang w:val="en-GB"/>
          </w:rPr>
          <w:fldChar w:fldCharType="begin"/>
        </w:r>
        <w:r w:rsidR="00701ADE" w:rsidRPr="00701ADE">
          <w:rPr>
            <w:webHidden/>
            <w:lang w:val="en-GB"/>
          </w:rPr>
          <w:instrText xml:space="preserve"> PAGEREF _Toc126925431 \h </w:instrText>
        </w:r>
        <w:r w:rsidR="00DC51E9" w:rsidRPr="00701ADE">
          <w:rPr>
            <w:webHidden/>
            <w:lang w:val="en-GB"/>
          </w:rPr>
        </w:r>
        <w:r w:rsidR="00DC51E9" w:rsidRPr="00701ADE">
          <w:rPr>
            <w:webHidden/>
            <w:lang w:val="en-GB"/>
          </w:rPr>
          <w:fldChar w:fldCharType="separate"/>
        </w:r>
        <w:r w:rsidR="00701ADE" w:rsidRPr="00701ADE">
          <w:rPr>
            <w:webHidden/>
            <w:lang w:val="en-GB"/>
          </w:rPr>
          <w:t>59</w:t>
        </w:r>
        <w:r w:rsidR="00DC51E9" w:rsidRPr="00701ADE">
          <w:rPr>
            <w:webHidden/>
            <w:lang w:val="en-GB"/>
          </w:rPr>
          <w:fldChar w:fldCharType="end"/>
        </w:r>
      </w:hyperlink>
    </w:p>
    <w:p w:rsidR="00701ADE" w:rsidRPr="00701ADE" w:rsidRDefault="002A06CB">
      <w:pPr>
        <w:pStyle w:val="Spistreci4"/>
        <w:tabs>
          <w:tab w:val="right" w:leader="dot" w:pos="10240"/>
        </w:tabs>
        <w:rPr>
          <w:rFonts w:asciiTheme="minorHAnsi" w:eastAsiaTheme="minorEastAsia" w:hAnsiTheme="minorHAnsi" w:cstheme="minorBidi"/>
          <w:sz w:val="22"/>
          <w:szCs w:val="22"/>
          <w:lang w:val="en-GB" w:eastAsia="pl-PL"/>
        </w:rPr>
      </w:pPr>
      <w:hyperlink w:anchor="_Toc126925432" w:history="1">
        <w:r w:rsidR="00701ADE" w:rsidRPr="00701ADE">
          <w:rPr>
            <w:rStyle w:val="Hipercze"/>
            <w:lang w:val="en-GB"/>
          </w:rPr>
          <w:t>3. Please specify how the calculations were made, in particular including any assumptions made in terms of quality or quantities. Where relevant, statistical evidence and benchmarks should be used and, if requested, provided in a format that is usable by the Commission.</w:t>
        </w:r>
        <w:r w:rsidR="00701ADE" w:rsidRPr="00701ADE">
          <w:rPr>
            <w:webHidden/>
            <w:lang w:val="en-GB"/>
          </w:rPr>
          <w:tab/>
        </w:r>
        <w:r w:rsidR="00DC51E9" w:rsidRPr="00701ADE">
          <w:rPr>
            <w:webHidden/>
            <w:lang w:val="en-GB"/>
          </w:rPr>
          <w:fldChar w:fldCharType="begin"/>
        </w:r>
        <w:r w:rsidR="00701ADE" w:rsidRPr="00701ADE">
          <w:rPr>
            <w:webHidden/>
            <w:lang w:val="en-GB"/>
          </w:rPr>
          <w:instrText xml:space="preserve"> PAGEREF _Toc126925432 \h </w:instrText>
        </w:r>
        <w:r w:rsidR="00DC51E9" w:rsidRPr="00701ADE">
          <w:rPr>
            <w:webHidden/>
            <w:lang w:val="en-GB"/>
          </w:rPr>
        </w:r>
        <w:r w:rsidR="00DC51E9" w:rsidRPr="00701ADE">
          <w:rPr>
            <w:webHidden/>
            <w:lang w:val="en-GB"/>
          </w:rPr>
          <w:fldChar w:fldCharType="separate"/>
        </w:r>
        <w:r w:rsidR="00701ADE" w:rsidRPr="00701ADE">
          <w:rPr>
            <w:webHidden/>
            <w:lang w:val="en-GB"/>
          </w:rPr>
          <w:t>60</w:t>
        </w:r>
        <w:r w:rsidR="00DC51E9" w:rsidRPr="00701ADE">
          <w:rPr>
            <w:webHidden/>
            <w:lang w:val="en-GB"/>
          </w:rPr>
          <w:fldChar w:fldCharType="end"/>
        </w:r>
      </w:hyperlink>
    </w:p>
    <w:p w:rsidR="00701ADE" w:rsidRPr="00701ADE" w:rsidRDefault="002A06CB">
      <w:pPr>
        <w:pStyle w:val="Spistreci4"/>
        <w:tabs>
          <w:tab w:val="right" w:leader="dot" w:pos="10240"/>
        </w:tabs>
        <w:rPr>
          <w:rFonts w:asciiTheme="minorHAnsi" w:eastAsiaTheme="minorEastAsia" w:hAnsiTheme="minorHAnsi" w:cstheme="minorBidi"/>
          <w:sz w:val="22"/>
          <w:szCs w:val="22"/>
          <w:lang w:val="en-GB" w:eastAsia="pl-PL"/>
        </w:rPr>
      </w:pPr>
      <w:hyperlink w:anchor="_Toc126925433" w:history="1">
        <w:r w:rsidR="00701ADE" w:rsidRPr="00701ADE">
          <w:rPr>
            <w:rStyle w:val="Hipercze"/>
            <w:lang w:val="en-GB"/>
          </w:rPr>
          <w:t>4. Please explain how you have ensured that only eligible expenditure was included in the calculation of the standard scale of unit cost, lump sum or flat rate:</w:t>
        </w:r>
        <w:r w:rsidR="00701ADE" w:rsidRPr="00701ADE">
          <w:rPr>
            <w:webHidden/>
            <w:lang w:val="en-GB"/>
          </w:rPr>
          <w:tab/>
        </w:r>
        <w:r w:rsidR="00DC51E9" w:rsidRPr="00701ADE">
          <w:rPr>
            <w:webHidden/>
            <w:lang w:val="en-GB"/>
          </w:rPr>
          <w:fldChar w:fldCharType="begin"/>
        </w:r>
        <w:r w:rsidR="00701ADE" w:rsidRPr="00701ADE">
          <w:rPr>
            <w:webHidden/>
            <w:lang w:val="en-GB"/>
          </w:rPr>
          <w:instrText xml:space="preserve"> PAGEREF _Toc126925433 \h </w:instrText>
        </w:r>
        <w:r w:rsidR="00DC51E9" w:rsidRPr="00701ADE">
          <w:rPr>
            <w:webHidden/>
            <w:lang w:val="en-GB"/>
          </w:rPr>
        </w:r>
        <w:r w:rsidR="00DC51E9" w:rsidRPr="00701ADE">
          <w:rPr>
            <w:webHidden/>
            <w:lang w:val="en-GB"/>
          </w:rPr>
          <w:fldChar w:fldCharType="separate"/>
        </w:r>
        <w:r w:rsidR="00701ADE" w:rsidRPr="00701ADE">
          <w:rPr>
            <w:webHidden/>
            <w:lang w:val="en-GB"/>
          </w:rPr>
          <w:t>61</w:t>
        </w:r>
        <w:r w:rsidR="00DC51E9" w:rsidRPr="00701ADE">
          <w:rPr>
            <w:webHidden/>
            <w:lang w:val="en-GB"/>
          </w:rPr>
          <w:fldChar w:fldCharType="end"/>
        </w:r>
      </w:hyperlink>
    </w:p>
    <w:p w:rsidR="00701ADE" w:rsidRPr="00701ADE" w:rsidRDefault="002A06CB">
      <w:pPr>
        <w:pStyle w:val="Spistreci4"/>
        <w:tabs>
          <w:tab w:val="right" w:leader="dot" w:pos="10240"/>
        </w:tabs>
        <w:rPr>
          <w:rFonts w:asciiTheme="minorHAnsi" w:eastAsiaTheme="minorEastAsia" w:hAnsiTheme="minorHAnsi" w:cstheme="minorBidi"/>
          <w:sz w:val="22"/>
          <w:szCs w:val="22"/>
          <w:lang w:val="en-GB" w:eastAsia="pl-PL"/>
        </w:rPr>
      </w:pPr>
      <w:hyperlink w:anchor="_Toc126925434" w:history="1">
        <w:r w:rsidR="00701ADE" w:rsidRPr="00701ADE">
          <w:rPr>
            <w:rStyle w:val="Hipercze"/>
            <w:lang w:val="en-GB"/>
          </w:rPr>
          <w:t>5. Assessment of the audit authority(ies) of the calculation methodology and amounts and the arrangements to ensure the verification, quality, collection and storage of data.</w:t>
        </w:r>
        <w:r w:rsidR="00701ADE" w:rsidRPr="00701ADE">
          <w:rPr>
            <w:webHidden/>
            <w:lang w:val="en-GB"/>
          </w:rPr>
          <w:tab/>
        </w:r>
        <w:r w:rsidR="00DC51E9" w:rsidRPr="00701ADE">
          <w:rPr>
            <w:webHidden/>
            <w:lang w:val="en-GB"/>
          </w:rPr>
          <w:fldChar w:fldCharType="begin"/>
        </w:r>
        <w:r w:rsidR="00701ADE" w:rsidRPr="00701ADE">
          <w:rPr>
            <w:webHidden/>
            <w:lang w:val="en-GB"/>
          </w:rPr>
          <w:instrText xml:space="preserve"> PAGEREF _Toc126925434 \h </w:instrText>
        </w:r>
        <w:r w:rsidR="00DC51E9" w:rsidRPr="00701ADE">
          <w:rPr>
            <w:webHidden/>
            <w:lang w:val="en-GB"/>
          </w:rPr>
        </w:r>
        <w:r w:rsidR="00DC51E9" w:rsidRPr="00701ADE">
          <w:rPr>
            <w:webHidden/>
            <w:lang w:val="en-GB"/>
          </w:rPr>
          <w:fldChar w:fldCharType="separate"/>
        </w:r>
        <w:r w:rsidR="00701ADE" w:rsidRPr="00701ADE">
          <w:rPr>
            <w:webHidden/>
            <w:lang w:val="en-GB"/>
          </w:rPr>
          <w:t>62</w:t>
        </w:r>
        <w:r w:rsidR="00DC51E9" w:rsidRPr="00701ADE">
          <w:rPr>
            <w:webHidden/>
            <w:lang w:val="en-GB"/>
          </w:rPr>
          <w:fldChar w:fldCharType="end"/>
        </w:r>
      </w:hyperlink>
    </w:p>
    <w:p w:rsidR="00701ADE" w:rsidRPr="00701ADE" w:rsidRDefault="002A06CB">
      <w:pPr>
        <w:pStyle w:val="Spistreci1"/>
        <w:tabs>
          <w:tab w:val="right" w:leader="dot" w:pos="10240"/>
        </w:tabs>
        <w:rPr>
          <w:rFonts w:asciiTheme="minorHAnsi" w:eastAsiaTheme="minorEastAsia" w:hAnsiTheme="minorHAnsi" w:cstheme="minorBidi"/>
          <w:sz w:val="22"/>
          <w:szCs w:val="22"/>
          <w:lang w:val="en-GB" w:eastAsia="pl-PL"/>
        </w:rPr>
      </w:pPr>
      <w:hyperlink w:anchor="_Toc126925435" w:history="1">
        <w:r w:rsidR="00701ADE" w:rsidRPr="00701ADE">
          <w:rPr>
            <w:rStyle w:val="Hipercze"/>
            <w:lang w:val="en-GB"/>
          </w:rPr>
          <w:t>Appendix 2: Union contribution based on financing not linked to costs</w:t>
        </w:r>
        <w:r w:rsidR="00701ADE" w:rsidRPr="00701ADE">
          <w:rPr>
            <w:webHidden/>
            <w:lang w:val="en-GB"/>
          </w:rPr>
          <w:tab/>
        </w:r>
        <w:r w:rsidR="00DC51E9" w:rsidRPr="00701ADE">
          <w:rPr>
            <w:webHidden/>
            <w:lang w:val="en-GB"/>
          </w:rPr>
          <w:fldChar w:fldCharType="begin"/>
        </w:r>
        <w:r w:rsidR="00701ADE" w:rsidRPr="00701ADE">
          <w:rPr>
            <w:webHidden/>
            <w:lang w:val="en-GB"/>
          </w:rPr>
          <w:instrText xml:space="preserve"> PAGEREF _Toc126925435 \h </w:instrText>
        </w:r>
        <w:r w:rsidR="00DC51E9" w:rsidRPr="00701ADE">
          <w:rPr>
            <w:webHidden/>
            <w:lang w:val="en-GB"/>
          </w:rPr>
        </w:r>
        <w:r w:rsidR="00DC51E9" w:rsidRPr="00701ADE">
          <w:rPr>
            <w:webHidden/>
            <w:lang w:val="en-GB"/>
          </w:rPr>
          <w:fldChar w:fldCharType="separate"/>
        </w:r>
        <w:r w:rsidR="00701ADE" w:rsidRPr="00701ADE">
          <w:rPr>
            <w:webHidden/>
            <w:lang w:val="en-GB"/>
          </w:rPr>
          <w:t>63</w:t>
        </w:r>
        <w:r w:rsidR="00DC51E9" w:rsidRPr="00701ADE">
          <w:rPr>
            <w:webHidden/>
            <w:lang w:val="en-GB"/>
          </w:rPr>
          <w:fldChar w:fldCharType="end"/>
        </w:r>
      </w:hyperlink>
    </w:p>
    <w:p w:rsidR="00701ADE" w:rsidRPr="00701ADE" w:rsidRDefault="002A06CB">
      <w:pPr>
        <w:pStyle w:val="Spistreci2"/>
        <w:tabs>
          <w:tab w:val="right" w:leader="dot" w:pos="10240"/>
        </w:tabs>
        <w:rPr>
          <w:rFonts w:asciiTheme="minorHAnsi" w:eastAsiaTheme="minorEastAsia" w:hAnsiTheme="minorHAnsi" w:cstheme="minorBidi"/>
          <w:sz w:val="22"/>
          <w:szCs w:val="22"/>
          <w:lang w:val="en-GB" w:eastAsia="pl-PL"/>
        </w:rPr>
      </w:pPr>
      <w:hyperlink w:anchor="_Toc126925436" w:history="1">
        <w:r w:rsidR="00701ADE" w:rsidRPr="00701ADE">
          <w:rPr>
            <w:rStyle w:val="Hipercze"/>
            <w:lang w:val="en-GB"/>
          </w:rPr>
          <w:t>A. Summary of the main elements</w:t>
        </w:r>
        <w:r w:rsidR="00701ADE" w:rsidRPr="00701ADE">
          <w:rPr>
            <w:webHidden/>
            <w:lang w:val="en-GB"/>
          </w:rPr>
          <w:tab/>
        </w:r>
        <w:r w:rsidR="00DC51E9" w:rsidRPr="00701ADE">
          <w:rPr>
            <w:webHidden/>
            <w:lang w:val="en-GB"/>
          </w:rPr>
          <w:fldChar w:fldCharType="begin"/>
        </w:r>
        <w:r w:rsidR="00701ADE" w:rsidRPr="00701ADE">
          <w:rPr>
            <w:webHidden/>
            <w:lang w:val="en-GB"/>
          </w:rPr>
          <w:instrText xml:space="preserve"> PAGEREF _Toc126925436 \h </w:instrText>
        </w:r>
        <w:r w:rsidR="00DC51E9" w:rsidRPr="00701ADE">
          <w:rPr>
            <w:webHidden/>
            <w:lang w:val="en-GB"/>
          </w:rPr>
        </w:r>
        <w:r w:rsidR="00DC51E9" w:rsidRPr="00701ADE">
          <w:rPr>
            <w:webHidden/>
            <w:lang w:val="en-GB"/>
          </w:rPr>
          <w:fldChar w:fldCharType="separate"/>
        </w:r>
        <w:r w:rsidR="00701ADE" w:rsidRPr="00701ADE">
          <w:rPr>
            <w:webHidden/>
            <w:lang w:val="en-GB"/>
          </w:rPr>
          <w:t>63</w:t>
        </w:r>
        <w:r w:rsidR="00DC51E9" w:rsidRPr="00701ADE">
          <w:rPr>
            <w:webHidden/>
            <w:lang w:val="en-GB"/>
          </w:rPr>
          <w:fldChar w:fldCharType="end"/>
        </w:r>
      </w:hyperlink>
    </w:p>
    <w:p w:rsidR="00701ADE" w:rsidRPr="00701ADE" w:rsidRDefault="002A06CB">
      <w:pPr>
        <w:pStyle w:val="Spistreci2"/>
        <w:tabs>
          <w:tab w:val="right" w:leader="dot" w:pos="10240"/>
        </w:tabs>
        <w:rPr>
          <w:rFonts w:asciiTheme="minorHAnsi" w:eastAsiaTheme="minorEastAsia" w:hAnsiTheme="minorHAnsi" w:cstheme="minorBidi"/>
          <w:sz w:val="22"/>
          <w:szCs w:val="22"/>
          <w:lang w:val="en-GB" w:eastAsia="pl-PL"/>
        </w:rPr>
      </w:pPr>
      <w:hyperlink w:anchor="_Toc126925437" w:history="1">
        <w:r w:rsidR="00701ADE" w:rsidRPr="00701ADE">
          <w:rPr>
            <w:rStyle w:val="Hipercze"/>
            <w:lang w:val="en-GB"/>
          </w:rPr>
          <w:t>B. Detailed information by type of operation</w:t>
        </w:r>
        <w:r w:rsidR="00701ADE" w:rsidRPr="00701ADE">
          <w:rPr>
            <w:webHidden/>
            <w:lang w:val="en-GB"/>
          </w:rPr>
          <w:tab/>
        </w:r>
        <w:r w:rsidR="00DC51E9" w:rsidRPr="00701ADE">
          <w:rPr>
            <w:webHidden/>
            <w:lang w:val="en-GB"/>
          </w:rPr>
          <w:fldChar w:fldCharType="begin"/>
        </w:r>
        <w:r w:rsidR="00701ADE" w:rsidRPr="00701ADE">
          <w:rPr>
            <w:webHidden/>
            <w:lang w:val="en-GB"/>
          </w:rPr>
          <w:instrText xml:space="preserve"> PAGEREF _Toc126925437 \h </w:instrText>
        </w:r>
        <w:r w:rsidR="00DC51E9" w:rsidRPr="00701ADE">
          <w:rPr>
            <w:webHidden/>
            <w:lang w:val="en-GB"/>
          </w:rPr>
        </w:r>
        <w:r w:rsidR="00DC51E9" w:rsidRPr="00701ADE">
          <w:rPr>
            <w:webHidden/>
            <w:lang w:val="en-GB"/>
          </w:rPr>
          <w:fldChar w:fldCharType="separate"/>
        </w:r>
        <w:r w:rsidR="00701ADE" w:rsidRPr="00701ADE">
          <w:rPr>
            <w:webHidden/>
            <w:lang w:val="en-GB"/>
          </w:rPr>
          <w:t>64</w:t>
        </w:r>
        <w:r w:rsidR="00DC51E9" w:rsidRPr="00701ADE">
          <w:rPr>
            <w:webHidden/>
            <w:lang w:val="en-GB"/>
          </w:rPr>
          <w:fldChar w:fldCharType="end"/>
        </w:r>
      </w:hyperlink>
    </w:p>
    <w:p w:rsidR="00701ADE" w:rsidRPr="00701ADE" w:rsidRDefault="002A06CB">
      <w:pPr>
        <w:pStyle w:val="Spistreci1"/>
        <w:tabs>
          <w:tab w:val="right" w:leader="dot" w:pos="10240"/>
        </w:tabs>
        <w:rPr>
          <w:rFonts w:asciiTheme="minorHAnsi" w:eastAsiaTheme="minorEastAsia" w:hAnsiTheme="minorHAnsi" w:cstheme="minorBidi"/>
          <w:sz w:val="22"/>
          <w:szCs w:val="22"/>
          <w:lang w:val="en-GB" w:eastAsia="pl-PL"/>
        </w:rPr>
      </w:pPr>
      <w:hyperlink w:anchor="_Toc126925438" w:history="1">
        <w:r w:rsidR="00701ADE" w:rsidRPr="00701ADE">
          <w:rPr>
            <w:rStyle w:val="Hipercze"/>
            <w:lang w:val="en-GB"/>
          </w:rPr>
          <w:t>DOCUMENTS</w:t>
        </w:r>
        <w:r w:rsidR="00701ADE" w:rsidRPr="00701ADE">
          <w:rPr>
            <w:webHidden/>
            <w:lang w:val="en-GB"/>
          </w:rPr>
          <w:tab/>
        </w:r>
        <w:r w:rsidR="00DC51E9" w:rsidRPr="00701ADE">
          <w:rPr>
            <w:webHidden/>
            <w:lang w:val="en-GB"/>
          </w:rPr>
          <w:fldChar w:fldCharType="begin"/>
        </w:r>
        <w:r w:rsidR="00701ADE" w:rsidRPr="00701ADE">
          <w:rPr>
            <w:webHidden/>
            <w:lang w:val="en-GB"/>
          </w:rPr>
          <w:instrText xml:space="preserve"> PAGEREF _Toc126925438 \h </w:instrText>
        </w:r>
        <w:r w:rsidR="00DC51E9" w:rsidRPr="00701ADE">
          <w:rPr>
            <w:webHidden/>
            <w:lang w:val="en-GB"/>
          </w:rPr>
        </w:r>
        <w:r w:rsidR="00DC51E9" w:rsidRPr="00701ADE">
          <w:rPr>
            <w:webHidden/>
            <w:lang w:val="en-GB"/>
          </w:rPr>
          <w:fldChar w:fldCharType="separate"/>
        </w:r>
        <w:r w:rsidR="00701ADE" w:rsidRPr="00701ADE">
          <w:rPr>
            <w:webHidden/>
            <w:lang w:val="en-GB"/>
          </w:rPr>
          <w:t>65</w:t>
        </w:r>
        <w:r w:rsidR="00DC51E9" w:rsidRPr="00701ADE">
          <w:rPr>
            <w:webHidden/>
            <w:lang w:val="en-GB"/>
          </w:rPr>
          <w:fldChar w:fldCharType="end"/>
        </w:r>
      </w:hyperlink>
    </w:p>
    <w:p w:rsidR="00A77B3E" w:rsidRPr="00701ADE" w:rsidRDefault="00DC51E9">
      <w:pPr>
        <w:pStyle w:val="Nagwek1"/>
        <w:rPr>
          <w:rFonts w:ascii="Times New Roman" w:hAnsi="Times New Roman" w:cs="Times New Roman"/>
          <w:b w:val="0"/>
          <w:color w:val="000000"/>
          <w:sz w:val="24"/>
          <w:lang w:val="en-GB"/>
        </w:rPr>
      </w:pPr>
      <w:r w:rsidRPr="00701ADE">
        <w:rPr>
          <w:rFonts w:ascii="Times New Roman" w:hAnsi="Times New Roman" w:cs="Times New Roman"/>
          <w:b w:val="0"/>
          <w:color w:val="000000"/>
          <w:sz w:val="24"/>
          <w:lang w:val="en-GB"/>
        </w:rPr>
        <w:fldChar w:fldCharType="end"/>
      </w:r>
      <w:r w:rsidR="00BB4ED7" w:rsidRPr="00701ADE">
        <w:rPr>
          <w:rFonts w:ascii="Times New Roman" w:hAnsi="Times New Roman" w:cs="Times New Roman"/>
          <w:b w:val="0"/>
          <w:color w:val="000000"/>
          <w:sz w:val="24"/>
          <w:lang w:val="en-GB"/>
        </w:rPr>
        <w:br w:type="page"/>
      </w:r>
      <w:bookmarkStart w:id="1" w:name="_Toc126925377"/>
      <w:r w:rsidR="00BB4ED7" w:rsidRPr="00701ADE">
        <w:rPr>
          <w:rFonts w:ascii="Times New Roman" w:hAnsi="Times New Roman" w:cs="Times New Roman"/>
          <w:b w:val="0"/>
          <w:color w:val="000000"/>
          <w:sz w:val="24"/>
          <w:lang w:val="en-GB"/>
        </w:rPr>
        <w:lastRenderedPageBreak/>
        <w:t>1. Programme strategy: main challenges and policy responses</w:t>
      </w:r>
      <w:bookmarkEnd w:id="1"/>
    </w:p>
    <w:p w:rsidR="00A77B3E" w:rsidRPr="00701ADE" w:rsidRDefault="00BB4ED7">
      <w:pPr>
        <w:rPr>
          <w:color w:val="000000"/>
          <w:sz w:val="16"/>
          <w:lang w:val="en-GB"/>
        </w:rPr>
      </w:pPr>
      <w:r w:rsidRPr="00701ADE">
        <w:rPr>
          <w:color w:val="000000"/>
          <w:lang w:val="en-GB"/>
        </w:rPr>
        <w:t>Reference: Article 22(3)(a)(iii), (iv), (v) and (ix) of Regulation (EU) 2021/1060 (CPR)</w:t>
      </w:r>
    </w:p>
    <w:p w:rsidR="00A77B3E" w:rsidRPr="00701ADE" w:rsidRDefault="00A77B3E">
      <w:pPr>
        <w:rPr>
          <w:color w:val="000000"/>
          <w:sz w:val="1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4B75EC" w:rsidRPr="00701ADE">
        <w:trPr>
          <w:trHeight w:val="240"/>
        </w:trPr>
        <w:tc>
          <w:tcPr>
            <w:tcW w:w="5000" w:type="pct"/>
            <w:tcBorders>
              <w:top w:val="single" w:sz="4" w:space="0" w:color="auto"/>
              <w:left w:val="single" w:sz="4" w:space="0" w:color="auto"/>
              <w:bottom w:val="single" w:sz="4" w:space="0" w:color="auto"/>
              <w:right w:val="single" w:sz="4" w:space="0" w:color="auto"/>
            </w:tcBorders>
            <w:tcMar>
              <w:left w:w="100" w:type="dxa"/>
              <w:right w:w="100" w:type="dxa"/>
            </w:tcMar>
          </w:tcPr>
          <w:p w:rsidR="00A77B3E" w:rsidRPr="00701ADE" w:rsidRDefault="00A77B3E">
            <w:pPr>
              <w:rPr>
                <w:color w:val="000000"/>
                <w:sz w:val="0"/>
                <w:lang w:val="en-GB"/>
              </w:rPr>
            </w:pPr>
          </w:p>
          <w:p w:rsidR="00A77B3E" w:rsidRPr="00701ADE" w:rsidRDefault="00BB4ED7">
            <w:pPr>
              <w:rPr>
                <w:color w:val="000000"/>
                <w:lang w:val="en-GB"/>
              </w:rPr>
            </w:pPr>
            <w:r w:rsidRPr="00701ADE">
              <w:rPr>
                <w:b/>
                <w:bCs/>
                <w:color w:val="000000"/>
                <w:lang w:val="en-GB"/>
              </w:rPr>
              <w:t>Glossary:</w:t>
            </w:r>
          </w:p>
          <w:p w:rsidR="00A77B3E" w:rsidRPr="00701ADE" w:rsidRDefault="00A77B3E">
            <w:pPr>
              <w:rPr>
                <w:color w:val="000000"/>
                <w:lang w:val="en-GB"/>
              </w:rPr>
            </w:pPr>
          </w:p>
          <w:p w:rsidR="00A77B3E" w:rsidRPr="00701ADE" w:rsidRDefault="00BB4ED7">
            <w:pPr>
              <w:rPr>
                <w:color w:val="000000"/>
                <w:lang w:val="en-GB"/>
              </w:rPr>
            </w:pPr>
            <w:r w:rsidRPr="00701ADE">
              <w:rPr>
                <w:b/>
                <w:bCs/>
                <w:color w:val="000000"/>
                <w:lang w:val="en-GB"/>
              </w:rPr>
              <w:t>EES</w:t>
            </w:r>
            <w:r w:rsidRPr="00701ADE">
              <w:rPr>
                <w:color w:val="000000"/>
                <w:lang w:val="en-GB"/>
              </w:rPr>
              <w:t xml:space="preserve"> – Entry Exit System</w:t>
            </w:r>
          </w:p>
          <w:p w:rsidR="00A77B3E" w:rsidRPr="00701ADE" w:rsidRDefault="00BB4ED7">
            <w:pPr>
              <w:rPr>
                <w:color w:val="000000"/>
                <w:lang w:val="en-GB"/>
              </w:rPr>
            </w:pPr>
            <w:r w:rsidRPr="00701ADE">
              <w:rPr>
                <w:b/>
                <w:bCs/>
                <w:color w:val="000000"/>
                <w:lang w:val="en-GB"/>
              </w:rPr>
              <w:t>NFM</w:t>
            </w:r>
            <w:r w:rsidRPr="00701ADE">
              <w:rPr>
                <w:color w:val="000000"/>
                <w:lang w:val="en-GB"/>
              </w:rPr>
              <w:t xml:space="preserve"> – Norwegian Financial Mechanism</w:t>
            </w:r>
          </w:p>
          <w:p w:rsidR="00A77B3E" w:rsidRPr="00701ADE" w:rsidRDefault="00BB4ED7">
            <w:pPr>
              <w:rPr>
                <w:color w:val="000000"/>
                <w:lang w:val="en-GB"/>
              </w:rPr>
            </w:pPr>
            <w:r w:rsidRPr="00701ADE">
              <w:rPr>
                <w:b/>
                <w:bCs/>
                <w:color w:val="000000"/>
                <w:lang w:val="en-GB"/>
              </w:rPr>
              <w:t>MAC</w:t>
            </w:r>
            <w:r w:rsidRPr="00701ADE">
              <w:rPr>
                <w:color w:val="000000"/>
                <w:lang w:val="en-GB"/>
              </w:rPr>
              <w:t xml:space="preserve"> – Migration Analytical Centre;</w:t>
            </w:r>
          </w:p>
          <w:p w:rsidR="00A77B3E" w:rsidRPr="00701ADE" w:rsidRDefault="00BB4ED7">
            <w:pPr>
              <w:rPr>
                <w:color w:val="000000"/>
                <w:lang w:val="en-GB"/>
              </w:rPr>
            </w:pPr>
            <w:r w:rsidRPr="00701ADE">
              <w:rPr>
                <w:b/>
                <w:bCs/>
                <w:color w:val="000000"/>
                <w:lang w:val="en-GB"/>
              </w:rPr>
              <w:t>EUAA</w:t>
            </w:r>
            <w:r w:rsidRPr="00701ADE">
              <w:rPr>
                <w:color w:val="000000"/>
                <w:lang w:val="en-GB"/>
              </w:rPr>
              <w:t xml:space="preserve"> – European Union Agency for Asylum</w:t>
            </w:r>
          </w:p>
          <w:p w:rsidR="00A77B3E" w:rsidRPr="00701ADE" w:rsidRDefault="00BB4ED7">
            <w:pPr>
              <w:rPr>
                <w:color w:val="000000"/>
                <w:lang w:val="en-GB"/>
              </w:rPr>
            </w:pPr>
            <w:r w:rsidRPr="00701ADE">
              <w:rPr>
                <w:b/>
                <w:bCs/>
                <w:color w:val="000000"/>
                <w:lang w:val="en-GB"/>
              </w:rPr>
              <w:t xml:space="preserve">TCNs </w:t>
            </w:r>
            <w:r w:rsidRPr="00701ADE">
              <w:rPr>
                <w:color w:val="000000"/>
                <w:lang w:val="en-GB"/>
              </w:rPr>
              <w:t xml:space="preserve">– third-country nationals; </w:t>
            </w:r>
          </w:p>
          <w:p w:rsidR="00A77B3E" w:rsidRPr="00701ADE" w:rsidRDefault="00BB4ED7">
            <w:pPr>
              <w:rPr>
                <w:color w:val="000000"/>
                <w:lang w:val="en-GB"/>
              </w:rPr>
            </w:pPr>
            <w:r w:rsidRPr="00701ADE">
              <w:rPr>
                <w:b/>
                <w:bCs/>
                <w:color w:val="000000"/>
                <w:lang w:val="en-GB"/>
              </w:rPr>
              <w:t>MA</w:t>
            </w:r>
            <w:r w:rsidRPr="00701ADE">
              <w:rPr>
                <w:color w:val="000000"/>
                <w:lang w:val="en-GB"/>
              </w:rPr>
              <w:t xml:space="preserve"> – Managing Authority</w:t>
            </w:r>
          </w:p>
          <w:p w:rsidR="00A77B3E" w:rsidRPr="00701ADE" w:rsidRDefault="00BB4ED7">
            <w:pPr>
              <w:rPr>
                <w:color w:val="000000"/>
                <w:lang w:val="en-GB"/>
              </w:rPr>
            </w:pPr>
            <w:r w:rsidRPr="00701ADE">
              <w:rPr>
                <w:b/>
                <w:bCs/>
                <w:color w:val="000000"/>
                <w:lang w:val="en-GB"/>
              </w:rPr>
              <w:t>BG</w:t>
            </w:r>
            <w:r w:rsidRPr="00701ADE">
              <w:rPr>
                <w:color w:val="000000"/>
                <w:lang w:val="en-GB"/>
              </w:rPr>
              <w:t xml:space="preserve"> – Border Guard</w:t>
            </w:r>
          </w:p>
          <w:p w:rsidR="00A77B3E" w:rsidRPr="00701ADE" w:rsidRDefault="00BB4ED7">
            <w:pPr>
              <w:rPr>
                <w:color w:val="000000"/>
                <w:lang w:val="en-GB"/>
              </w:rPr>
            </w:pPr>
            <w:r w:rsidRPr="00701ADE">
              <w:rPr>
                <w:b/>
                <w:bCs/>
                <w:color w:val="000000"/>
                <w:lang w:val="en-GB"/>
              </w:rPr>
              <w:t>SP</w:t>
            </w:r>
            <w:r w:rsidRPr="00701ADE">
              <w:rPr>
                <w:color w:val="000000"/>
                <w:lang w:val="en-GB"/>
              </w:rPr>
              <w:t xml:space="preserve"> – System Pobyt</w:t>
            </w:r>
          </w:p>
          <w:p w:rsidR="00A77B3E" w:rsidRPr="00701ADE" w:rsidRDefault="00BB4ED7">
            <w:pPr>
              <w:rPr>
                <w:color w:val="000000"/>
                <w:lang w:val="en-GB"/>
              </w:rPr>
            </w:pPr>
            <w:r w:rsidRPr="00701ADE">
              <w:rPr>
                <w:b/>
                <w:bCs/>
                <w:color w:val="000000"/>
                <w:lang w:val="en-GB"/>
              </w:rPr>
              <w:t xml:space="preserve">OfF </w:t>
            </w:r>
            <w:r w:rsidRPr="00701ADE">
              <w:rPr>
                <w:color w:val="000000"/>
                <w:lang w:val="en-GB"/>
              </w:rPr>
              <w:t>– Office for Foreigners</w:t>
            </w:r>
          </w:p>
          <w:p w:rsidR="00A77B3E" w:rsidRPr="00701ADE" w:rsidRDefault="00BB4ED7">
            <w:pPr>
              <w:rPr>
                <w:color w:val="000000"/>
                <w:lang w:val="en-GB"/>
              </w:rPr>
            </w:pPr>
            <w:r w:rsidRPr="00701ADE">
              <w:rPr>
                <w:color w:val="000000"/>
                <w:lang w:val="en-GB"/>
              </w:rPr>
              <w:t>The Programme lays down the strategy for spendings based on the current situation, the status of implementation of EU acquis and experience gained in the implementation of the AMIF 2014-2020.</w:t>
            </w:r>
          </w:p>
          <w:p w:rsidR="00A77B3E" w:rsidRPr="00701ADE" w:rsidRDefault="00BB4ED7">
            <w:pPr>
              <w:rPr>
                <w:color w:val="000000"/>
                <w:lang w:val="en-GB"/>
              </w:rPr>
            </w:pPr>
            <w:r w:rsidRPr="00701ADE">
              <w:rPr>
                <w:color w:val="000000"/>
                <w:lang w:val="en-GB"/>
              </w:rPr>
              <w:t>The administrative capacity of the MA to manage the AMIF is sufficient. The MA has experience gained in the 2014-2020 perspective (e.g. the COVID pandemic and the related restrictions), the funds allocated to Technical Assistance are sufficient. The administration's capacities are being monitored and corrective actions will be taken if challenges arise.</w:t>
            </w:r>
          </w:p>
          <w:p w:rsidR="00A77B3E" w:rsidRPr="00701ADE" w:rsidRDefault="00BB4ED7">
            <w:pPr>
              <w:rPr>
                <w:color w:val="000000"/>
                <w:lang w:val="en-GB"/>
              </w:rPr>
            </w:pPr>
            <w:r w:rsidRPr="00701ADE">
              <w:rPr>
                <w:color w:val="000000"/>
                <w:lang w:val="en-GB"/>
              </w:rPr>
              <w:t xml:space="preserve">The Polish system of providing assistance to TCNs is </w:t>
            </w:r>
            <w:r w:rsidRPr="00701ADE">
              <w:rPr>
                <w:b/>
                <w:bCs/>
                <w:color w:val="000000"/>
                <w:lang w:val="en-GB"/>
              </w:rPr>
              <w:t xml:space="preserve">compatible with the acquis of the Common European Asylum System </w:t>
            </w:r>
            <w:r w:rsidRPr="00701ADE">
              <w:rPr>
                <w:color w:val="000000"/>
                <w:lang w:val="en-GB"/>
              </w:rPr>
              <w:t xml:space="preserve">and based mainly on the </w:t>
            </w:r>
            <w:r w:rsidRPr="00701ADE">
              <w:rPr>
                <w:i/>
                <w:iCs/>
                <w:color w:val="000000"/>
                <w:lang w:val="en-GB"/>
              </w:rPr>
              <w:t xml:space="preserve">Act on granting protection to foreigners within the territory of the Republic of Poland. </w:t>
            </w:r>
            <w:r w:rsidRPr="00701ADE">
              <w:rPr>
                <w:color w:val="000000"/>
                <w:lang w:val="en-GB"/>
              </w:rPr>
              <w:t xml:space="preserve">In the situation of </w:t>
            </w:r>
            <w:r w:rsidRPr="00701ADE">
              <w:rPr>
                <w:b/>
                <w:bCs/>
                <w:color w:val="000000"/>
                <w:lang w:val="en-GB"/>
              </w:rPr>
              <w:t xml:space="preserve">unpredictable influx of TCNs </w:t>
            </w:r>
            <w:r w:rsidRPr="00701ADE">
              <w:rPr>
                <w:color w:val="000000"/>
                <w:lang w:val="en-GB"/>
              </w:rPr>
              <w:t xml:space="preserve">(beginning in mid-2021), the greatest challenges faced by the migration authorities included </w:t>
            </w:r>
            <w:r w:rsidRPr="00701ADE">
              <w:rPr>
                <w:b/>
                <w:bCs/>
                <w:color w:val="000000"/>
                <w:lang w:val="en-GB"/>
              </w:rPr>
              <w:t>smooth current handling of TCNs applying for protection, insufficient reception capacities and the necessity to provide comprehensive assistance to TCNs.</w:t>
            </w:r>
          </w:p>
          <w:p w:rsidR="00A77B3E" w:rsidRPr="00701ADE" w:rsidRDefault="00BB4ED7">
            <w:pPr>
              <w:rPr>
                <w:color w:val="000000"/>
                <w:lang w:val="en-GB"/>
              </w:rPr>
            </w:pPr>
            <w:r w:rsidRPr="00701ADE">
              <w:rPr>
                <w:b/>
                <w:bCs/>
                <w:color w:val="000000"/>
                <w:lang w:val="en-GB"/>
              </w:rPr>
              <w:t xml:space="preserve">In 2017 - 2020, the influx of TCNs applying for international protection decreased </w:t>
            </w:r>
            <w:r w:rsidRPr="00701ADE">
              <w:rPr>
                <w:color w:val="000000"/>
                <w:lang w:val="en-GB"/>
              </w:rPr>
              <w:t xml:space="preserve">(from more than 12,000 in 2016 to ca. 4,000 in 2019). In the first half of 2022, applications were submitted by 5,100 foreigners. In 2014-2019, the largest number of decisions to grant the refugee status was issued to nationals of Syria – 395, Ukraine – 109, Russia - 81, Iraq – 81 and Turkey – 75, whereas the largest number of decisions to grant subsidiary protection was issued to Russians – 529, Ukrainians – 413, Iraqi - 73, Tajiks – 70 and Syrians – 48. The number of applicants for international protection almost tripled (7,699 persons) compared to 2020. Belarus, Afghanistan and Iraq were the main countries of origin. </w:t>
            </w:r>
            <w:r w:rsidRPr="00701ADE">
              <w:rPr>
                <w:b/>
                <w:bCs/>
                <w:color w:val="000000"/>
                <w:lang w:val="en-GB"/>
              </w:rPr>
              <w:t>The number of applications submitted by unaccompanied minors</w:t>
            </w:r>
            <w:r w:rsidRPr="00701ADE">
              <w:rPr>
                <w:color w:val="000000"/>
                <w:lang w:val="en-GB"/>
              </w:rPr>
              <w:t xml:space="preserve">, mainly Afghan nationals, </w:t>
            </w:r>
            <w:r w:rsidRPr="00701ADE">
              <w:rPr>
                <w:b/>
                <w:bCs/>
                <w:color w:val="000000"/>
                <w:lang w:val="en-GB"/>
              </w:rPr>
              <w:t xml:space="preserve">grew </w:t>
            </w:r>
            <w:r w:rsidRPr="00701ADE">
              <w:rPr>
                <w:color w:val="000000"/>
                <w:lang w:val="en-GB"/>
              </w:rPr>
              <w:t xml:space="preserve">in 2021. Furthermore, Poland recorded one of Europe's highest rates of female and child applicants. Due to  to the Russian Federation's armed aggression on Ukraine and mass influx of TCNs from Ukraine, the inflow of potential refugees was estimated at 4-5 million by the end of 2022. </w:t>
            </w:r>
            <w:r w:rsidRPr="00701ADE">
              <w:rPr>
                <w:b/>
                <w:bCs/>
                <w:color w:val="000000"/>
                <w:lang w:val="en-GB"/>
              </w:rPr>
              <w:t xml:space="preserve">Ukrainian nationals who entered Poland after 24 February 2022 were granted the temporary protection status for 18 months. Thus the number of persons covered by asylum procedures did not rise significantly. Receiving such a large number of persons is a challenge which requires adequate actions. </w:t>
            </w:r>
            <w:r w:rsidRPr="00701ADE">
              <w:rPr>
                <w:color w:val="000000"/>
                <w:lang w:val="en-GB"/>
              </w:rPr>
              <w:t>The AMIF programme will allow co-financing of actions aimed at improving the situation of the target group. Coordination with MAs responsible for other EU funds will be ensured.</w:t>
            </w:r>
          </w:p>
          <w:p w:rsidR="00A77B3E" w:rsidRPr="00701ADE" w:rsidRDefault="00BB4ED7">
            <w:pPr>
              <w:rPr>
                <w:color w:val="000000"/>
                <w:lang w:val="en-GB"/>
              </w:rPr>
            </w:pPr>
            <w:r w:rsidRPr="00701ADE">
              <w:rPr>
                <w:color w:val="000000"/>
                <w:lang w:val="en-GB"/>
              </w:rPr>
              <w:t xml:space="preserve">On average, social assistance during the refugee procedure is used by 4,900 TCNs (2021). The number of places at OfF centres and BG guarded centres is over 3,900, with several hundred additional ones possible to be provided in a crisis situation. To date, support in applying has been provided under AMIF 2014-2020 to ca. 40,000 TCNs. In addition, a number of OfF and BG reception facilities have been adapted to receive, handle and accommodate TCNs under the international protection system. TCNs have been granted procedural and material assistance. Moreover, the </w:t>
            </w:r>
            <w:r w:rsidR="006A3529">
              <w:rPr>
                <w:color w:val="000000"/>
                <w:lang w:val="en-GB"/>
              </w:rPr>
              <w:t>AMIF</w:t>
            </w:r>
            <w:r w:rsidRPr="00701ADE">
              <w:rPr>
                <w:color w:val="000000"/>
                <w:lang w:val="en-GB"/>
              </w:rPr>
              <w:t xml:space="preserve"> 2014-2020 and NFM were used for financing projects regarding protection against violence of children of TCNs applying for international protection.</w:t>
            </w:r>
          </w:p>
          <w:p w:rsidR="00A77B3E" w:rsidRPr="00701ADE" w:rsidRDefault="00BB4ED7">
            <w:pPr>
              <w:rPr>
                <w:color w:val="000000"/>
                <w:lang w:val="en-GB"/>
              </w:rPr>
            </w:pPr>
            <w:r w:rsidRPr="00701ADE">
              <w:rPr>
                <w:color w:val="000000"/>
                <w:lang w:val="en-GB"/>
              </w:rPr>
              <w:t xml:space="preserve">Despite the expenditure on the infrastructure for TCNs in 2014-2020 as well as on material, educational, social and pre-integration support, these actions require cyclical investments and are in constant demand. It is still necessary to update the knowledge held by the personnel, in particular working with TCNs from vulnerable groups, in the area of social assistance, and to increase employment at the centres. The staff should have up-to-date information on asylum procedures, countries of origin and </w:t>
            </w:r>
            <w:r w:rsidRPr="00701ADE">
              <w:rPr>
                <w:color w:val="000000"/>
                <w:lang w:val="en-GB"/>
              </w:rPr>
              <w:lastRenderedPageBreak/>
              <w:t>relevant statistical data. Used to this end are Eurostat data, EUAA tools as well as data from the MAC established under AMIF 2014-2020. Synergies with EUAA tools, platforms and initiatives will be established. Further improvement in TCN reception conditions and further enhancement of the staff's potential are necessary, which will contribute to facilitating the application of the procedures. A challenge in this area is posed also by the prevention of migration pressure and crisis situations as well as solidarity actions such as participation in initiatives aimed at cooperation with third countries in building their migration management capacities, including the development of asylum and reception systems in those countries.</w:t>
            </w:r>
          </w:p>
          <w:p w:rsidR="00A77B3E" w:rsidRPr="00701ADE" w:rsidRDefault="00BB4ED7">
            <w:pPr>
              <w:rPr>
                <w:color w:val="000000"/>
                <w:lang w:val="en-GB"/>
              </w:rPr>
            </w:pPr>
            <w:r w:rsidRPr="00701ADE">
              <w:rPr>
                <w:color w:val="000000"/>
                <w:lang w:val="en-GB"/>
              </w:rPr>
              <w:t xml:space="preserve">Poland has been a destination country for regular migration within the EU for several years, and an attractive destination for economic migrants: 375,342 of first work-related residence permits were issued in 2015, </w:t>
            </w:r>
            <w:r w:rsidRPr="00401002">
              <w:rPr>
                <w:color w:val="000000"/>
                <w:lang w:val="en-GB"/>
              </w:rPr>
              <w:t>493,960 in 2016,</w:t>
            </w:r>
            <w:r w:rsidRPr="00701ADE">
              <w:rPr>
                <w:color w:val="000000"/>
                <w:lang w:val="en-GB"/>
              </w:rPr>
              <w:t xml:space="preserve"> 596,916 in 2017, 533,646 in 2018, 625,120 in 2019 and 502,342 in 2020 (Eurostat). TCNs account for more than 5% of the labour market, compared to less than 1% in 2013, and the demand for migrant workers is forecast to increase by several, and even between 10 and 20, percent. Poland has recorded a growth in the number of TCNs who take up studies at higher education establishments: 78,259 TCNs studied in academic year 2018/2019, which represented a 7.6% increase over 2017/2018 (72,743 studying TCNs). The number of post-graduate TCN students is also rising, accounting for 5.05% of post-graduate students in Poland as of the end of 2019.</w:t>
            </w:r>
          </w:p>
          <w:p w:rsidR="00A77B3E" w:rsidRPr="00701ADE" w:rsidRDefault="00BB4ED7">
            <w:pPr>
              <w:rPr>
                <w:color w:val="000000"/>
                <w:lang w:val="en-GB"/>
              </w:rPr>
            </w:pPr>
            <w:r w:rsidRPr="00701ADE">
              <w:rPr>
                <w:b/>
                <w:bCs/>
                <w:color w:val="000000"/>
                <w:lang w:val="en-GB"/>
              </w:rPr>
              <w:t xml:space="preserve">The key challenges </w:t>
            </w:r>
            <w:r w:rsidRPr="00401002">
              <w:rPr>
                <w:b/>
                <w:bCs/>
                <w:color w:val="000000"/>
                <w:lang w:val="en-GB"/>
              </w:rPr>
              <w:t xml:space="preserve">listed in </w:t>
            </w:r>
            <w:r w:rsidRPr="00401002">
              <w:rPr>
                <w:b/>
                <w:bCs/>
                <w:i/>
                <w:iCs/>
                <w:color w:val="000000"/>
                <w:lang w:val="en-GB"/>
              </w:rPr>
              <w:t xml:space="preserve">Migration Policy of Poland - Diagnosis of the Initial State </w:t>
            </w:r>
            <w:r w:rsidRPr="00401002">
              <w:rPr>
                <w:b/>
                <w:bCs/>
                <w:color w:val="000000"/>
                <w:lang w:val="en-GB"/>
              </w:rPr>
              <w:t>(2021) include low efficiency of the employment and residence legalisation</w:t>
            </w:r>
            <w:r w:rsidRPr="00701ADE">
              <w:rPr>
                <w:b/>
                <w:bCs/>
                <w:color w:val="000000"/>
                <w:lang w:val="en-GB"/>
              </w:rPr>
              <w:t xml:space="preserve"> system arising from </w:t>
            </w:r>
            <w:r w:rsidRPr="00701ADE">
              <w:rPr>
                <w:b/>
                <w:bCs/>
                <w:i/>
                <w:iCs/>
                <w:color w:val="000000"/>
                <w:lang w:val="en-GB"/>
              </w:rPr>
              <w:t xml:space="preserve">inter alia </w:t>
            </w:r>
            <w:r w:rsidRPr="00701ADE">
              <w:rPr>
                <w:b/>
                <w:bCs/>
                <w:color w:val="000000"/>
                <w:lang w:val="en-GB"/>
              </w:rPr>
              <w:t>the excessive length of the procedures and insufficient level of electronisation of the proceedings.</w:t>
            </w:r>
            <w:r w:rsidRPr="00701ADE">
              <w:rPr>
                <w:color w:val="000000"/>
                <w:lang w:val="en-GB"/>
              </w:rPr>
              <w:t xml:space="preserve"> The document highlighted also the need to increase expenditure on the development of ICT systems and the deployment of artificial intelligence technology to support the fight against fraud. According to a 2019 report by the Supreme Audit Office, the public administration had not been prepared for smooth handling of large numbers of TCNs. The report noted the excessive length of the proceedings, insufficient human resources of migration bodies, </w:t>
            </w:r>
            <w:r w:rsidRPr="00401002">
              <w:rPr>
                <w:color w:val="000000"/>
                <w:lang w:val="en-GB"/>
              </w:rPr>
              <w:t>lack of formalised handling standards</w:t>
            </w:r>
            <w:r w:rsidRPr="00701ADE">
              <w:rPr>
                <w:color w:val="000000"/>
                <w:lang w:val="en-GB"/>
              </w:rPr>
              <w:t xml:space="preserve"> and, partially, accommodation shortages.</w:t>
            </w:r>
          </w:p>
          <w:p w:rsidR="00A77B3E" w:rsidRPr="00701ADE" w:rsidRDefault="00BB4ED7">
            <w:pPr>
              <w:rPr>
                <w:color w:val="000000"/>
                <w:lang w:val="en-GB"/>
              </w:rPr>
            </w:pPr>
            <w:r w:rsidRPr="00701ADE">
              <w:rPr>
                <w:color w:val="000000"/>
                <w:lang w:val="en-GB"/>
              </w:rPr>
              <w:t xml:space="preserve">The residence legalisation system is based on tasks performed by respective Voivodes, the Head of the OfF and the BG. Temporary, permanent and long-term residence permits in the EU are issued by Voivodes based on applications submitted by TCNs. The number of applications submitted and permits issued is increasing, and it is expected that the upward trend will continue. </w:t>
            </w:r>
            <w:r w:rsidRPr="00C434C3">
              <w:rPr>
                <w:color w:val="000000"/>
                <w:lang w:val="en-GB"/>
              </w:rPr>
              <w:t>Difficulties with increasing the number of TCNs performing deficit skilled professions</w:t>
            </w:r>
            <w:r w:rsidRPr="00701ADE">
              <w:rPr>
                <w:color w:val="000000"/>
                <w:lang w:val="en-GB"/>
              </w:rPr>
              <w:t xml:space="preserve"> in Poland result also from restrictions on recognition of diplomas and qualifications earned in countries of origin. These actions were financed under the AMIF 2014-2020 as part of guidance services, </w:t>
            </w:r>
            <w:r w:rsidRPr="008654B4">
              <w:rPr>
                <w:color w:val="000000"/>
                <w:lang w:val="en-GB"/>
              </w:rPr>
              <w:t>but the demand for them was marginal</w:t>
            </w:r>
            <w:r w:rsidRPr="00701ADE">
              <w:rPr>
                <w:color w:val="000000"/>
                <w:lang w:val="en-GB"/>
              </w:rPr>
              <w:t xml:space="preserve"> and it is planned to provide the services as required.</w:t>
            </w:r>
          </w:p>
          <w:p w:rsidR="00A77B3E" w:rsidRPr="00701ADE" w:rsidRDefault="00BB4ED7">
            <w:pPr>
              <w:rPr>
                <w:color w:val="000000"/>
                <w:lang w:val="en-GB"/>
              </w:rPr>
            </w:pPr>
            <w:r w:rsidRPr="00701ADE">
              <w:rPr>
                <w:color w:val="000000"/>
                <w:lang w:val="en-GB"/>
              </w:rPr>
              <w:t xml:space="preserve">Faced with the growing number of work/residence permit applications, the infrastructural and human resources of Voivodes and the OfF are insufficient. In this light, </w:t>
            </w:r>
            <w:r w:rsidRPr="00701ADE">
              <w:rPr>
                <w:b/>
                <w:bCs/>
                <w:color w:val="000000"/>
                <w:lang w:val="en-GB"/>
              </w:rPr>
              <w:t xml:space="preserve">the priorities include further enhancement of administrative capacities and adaptation of those capacities to the needs of TCNs, as well as enhancement of systems, including the SP, infrastructure and staff responsible for legalisation of residence and work permits. </w:t>
            </w:r>
          </w:p>
          <w:p w:rsidR="00A77B3E" w:rsidRPr="00701ADE" w:rsidRDefault="00BB4ED7">
            <w:pPr>
              <w:rPr>
                <w:color w:val="000000"/>
                <w:lang w:val="en-GB"/>
              </w:rPr>
            </w:pPr>
            <w:r w:rsidRPr="008654B4">
              <w:rPr>
                <w:color w:val="000000"/>
                <w:lang w:val="en-GB"/>
              </w:rPr>
              <w:t>In 2014-2020,</w:t>
            </w:r>
            <w:r w:rsidRPr="00701ADE">
              <w:rPr>
                <w:color w:val="000000"/>
                <w:lang w:val="en-GB"/>
              </w:rPr>
              <w:t xml:space="preserve"> </w:t>
            </w:r>
            <w:r w:rsidRPr="00701ADE">
              <w:rPr>
                <w:b/>
                <w:bCs/>
                <w:color w:val="000000"/>
                <w:lang w:val="en-GB"/>
              </w:rPr>
              <w:t xml:space="preserve">integration activities for TCNs </w:t>
            </w:r>
            <w:r w:rsidRPr="00701ADE">
              <w:rPr>
                <w:color w:val="000000"/>
                <w:lang w:val="en-GB"/>
              </w:rPr>
              <w:t>were conducted by non-governmental organisations, international organisations, local government units</w:t>
            </w:r>
            <w:r w:rsidRPr="008654B4">
              <w:rPr>
                <w:color w:val="000000"/>
                <w:lang w:val="en-GB"/>
              </w:rPr>
              <w:t xml:space="preserve">, higher education schools and government administration bodies. They included </w:t>
            </w:r>
            <w:r w:rsidRPr="008654B4">
              <w:rPr>
                <w:i/>
                <w:iCs/>
                <w:color w:val="000000"/>
                <w:lang w:val="en-GB"/>
              </w:rPr>
              <w:t xml:space="preserve">inter alia </w:t>
            </w:r>
            <w:r w:rsidRPr="008654B4">
              <w:rPr>
                <w:color w:val="000000"/>
                <w:lang w:val="en-GB"/>
              </w:rPr>
              <w:t>guid</w:t>
            </w:r>
            <w:r w:rsidRPr="00701ADE">
              <w:rPr>
                <w:color w:val="000000"/>
                <w:lang w:val="en-GB"/>
              </w:rPr>
              <w:t xml:space="preserve">ance and assistance regarding legalisation of residence; administrative and legal matters; employees' rights; integration; health, psychological and social care; childcare and family reunification; education of children, youth and adults; student support; Polish language courses; increasing TCNs' competencies to facilitate access to the labour market; courses in laws applicable in Poland and living conditions; promotion of self-reliance, including professional activation, assessment and enhancement of competencies, vocational guidance; activities designed to enhance integration with the Polish society and integration promotion actions addressed to the receiving society. Beginning in 2018, every </w:t>
            </w:r>
            <w:r w:rsidR="00061EC9">
              <w:rPr>
                <w:color w:val="000000"/>
                <w:lang w:val="en-GB"/>
              </w:rPr>
              <w:t>v</w:t>
            </w:r>
            <w:r w:rsidRPr="00F3372F">
              <w:rPr>
                <w:color w:val="000000"/>
                <w:lang w:val="en-GB"/>
              </w:rPr>
              <w:t>oivodship</w:t>
            </w:r>
            <w:r w:rsidRPr="00701ADE">
              <w:rPr>
                <w:color w:val="000000"/>
                <w:lang w:val="en-GB"/>
              </w:rPr>
              <w:t xml:space="preserve"> implemented a comprehensive project involving </w:t>
            </w:r>
            <w:r w:rsidRPr="00701ADE">
              <w:rPr>
                <w:i/>
                <w:iCs/>
                <w:color w:val="000000"/>
                <w:lang w:val="en-GB"/>
              </w:rPr>
              <w:t xml:space="preserve">inter alia </w:t>
            </w:r>
            <w:r w:rsidRPr="00701ADE">
              <w:rPr>
                <w:color w:val="000000"/>
                <w:lang w:val="en-GB"/>
              </w:rPr>
              <w:t xml:space="preserve">building permanent organisational structures which contribute to integration, training personnel who work with TCNs, and conducting activities related to professional guidance, education and professional activation of TCNs. </w:t>
            </w:r>
            <w:r w:rsidRPr="00701ADE">
              <w:rPr>
                <w:b/>
                <w:bCs/>
                <w:color w:val="000000"/>
                <w:lang w:val="en-GB"/>
              </w:rPr>
              <w:t>Due to the large number of TCNs arriving in Poland, the actions addressed directly to TCNs will be continued</w:t>
            </w:r>
            <w:r w:rsidRPr="00701ADE">
              <w:rPr>
                <w:color w:val="000000"/>
                <w:lang w:val="en-GB"/>
              </w:rPr>
              <w:t xml:space="preserve">. In this context, it is important to enhance cooperation between the NGO sector and </w:t>
            </w:r>
            <w:r w:rsidR="002C5B76">
              <w:rPr>
                <w:color w:val="000000"/>
                <w:lang w:val="en-GB"/>
              </w:rPr>
              <w:t>s</w:t>
            </w:r>
            <w:r w:rsidRPr="00F3372F">
              <w:rPr>
                <w:color w:val="000000"/>
                <w:lang w:val="en-GB"/>
              </w:rPr>
              <w:t>tate</w:t>
            </w:r>
            <w:r w:rsidRPr="00701ADE">
              <w:rPr>
                <w:color w:val="000000"/>
                <w:lang w:val="en-GB"/>
              </w:rPr>
              <w:t xml:space="preserve"> administration within the framework of the two-way integration process which involves both migrants and the receiving society. For integration to be </w:t>
            </w:r>
            <w:r w:rsidRPr="00701ADE">
              <w:rPr>
                <w:color w:val="000000"/>
                <w:lang w:val="en-GB"/>
              </w:rPr>
              <w:lastRenderedPageBreak/>
              <w:t xml:space="preserve">successful, administration staff, including office and education workers, must be prepared. Current trends show that the increasing influx of TCNs from culturally and linguistically distant countries (South-East Asia) will require additional integration efforts. It is a challenge to create </w:t>
            </w:r>
            <w:r w:rsidRPr="00701ADE">
              <w:rPr>
                <w:b/>
                <w:bCs/>
                <w:color w:val="000000"/>
                <w:lang w:val="en-GB"/>
              </w:rPr>
              <w:t>a comprehensive TCN integration support system at State and Voivodship level by means of building a TCN integration structure based on unified activities undertaken in respective Voivodships.</w:t>
            </w:r>
          </w:p>
          <w:p w:rsidR="00A77B3E" w:rsidRPr="00701ADE" w:rsidRDefault="00BB4ED7">
            <w:pPr>
              <w:rPr>
                <w:color w:val="000000"/>
                <w:lang w:val="en-GB"/>
              </w:rPr>
            </w:pPr>
            <w:r w:rsidRPr="00701ADE">
              <w:rPr>
                <w:color w:val="000000"/>
                <w:lang w:val="en-GB"/>
              </w:rPr>
              <w:t xml:space="preserve">Launched in 1998 and modernised under AMIF 2014-2020, the SP is Poland's main ICT system for handling matters regarding TCN entry </w:t>
            </w:r>
            <w:r w:rsidRPr="00746F09">
              <w:rPr>
                <w:color w:val="000000"/>
                <w:lang w:val="en-GB"/>
              </w:rPr>
              <w:t>to, stay in and exit from</w:t>
            </w:r>
            <w:r w:rsidRPr="00701ADE">
              <w:rPr>
                <w:color w:val="000000"/>
                <w:lang w:val="en-GB"/>
              </w:rPr>
              <w:t xml:space="preserve"> Poland; the system requires further development. The solutions developed have improved availability of information for persons applying for international protection, and efforts are being continued to accelerate the application handling process. </w:t>
            </w:r>
            <w:r w:rsidRPr="00746F09">
              <w:rPr>
                <w:color w:val="000000"/>
                <w:lang w:val="en-GB"/>
              </w:rPr>
              <w:t>Challenge</w:t>
            </w:r>
            <w:r w:rsidR="006A3529">
              <w:rPr>
                <w:color w:val="000000"/>
                <w:lang w:val="en-GB"/>
              </w:rPr>
              <w:t>s</w:t>
            </w:r>
            <w:r w:rsidRPr="00701ADE">
              <w:rPr>
                <w:color w:val="000000"/>
                <w:lang w:val="en-GB"/>
              </w:rPr>
              <w:t xml:space="preserve"> include further improvement of the SP, provision of digital services, development of information channels for TCNs to facilitate submission of applications and access to information about TCNs' rights and obligations as well as social assistance. Poland also intends to respond to challenges related to ensuring interoperability of large-scale information systems, such as SIS, VIS, EES, ETIAS, </w:t>
            </w:r>
            <w:r w:rsidRPr="00746F09">
              <w:rPr>
                <w:color w:val="000000"/>
                <w:lang w:val="en-GB"/>
              </w:rPr>
              <w:t>ECRIS TCN used</w:t>
            </w:r>
            <w:r w:rsidRPr="00701ADE">
              <w:rPr>
                <w:color w:val="000000"/>
                <w:lang w:val="en-GB"/>
              </w:rPr>
              <w:t xml:space="preserve"> in migration procedures, with the country's SP.</w:t>
            </w:r>
          </w:p>
          <w:p w:rsidR="00A77B3E" w:rsidRPr="00701ADE" w:rsidRDefault="00BB4ED7">
            <w:pPr>
              <w:rPr>
                <w:color w:val="000000"/>
                <w:lang w:val="en-GB"/>
              </w:rPr>
            </w:pPr>
            <w:r w:rsidRPr="00701ADE">
              <w:rPr>
                <w:color w:val="000000"/>
                <w:lang w:val="en-GB"/>
              </w:rPr>
              <w:t xml:space="preserve">Research shows that the Polish society is concerned about the impact of TCN labour force on their situation. </w:t>
            </w:r>
            <w:r w:rsidRPr="00746F09">
              <w:rPr>
                <w:color w:val="000000"/>
                <w:lang w:val="en-GB"/>
              </w:rPr>
              <w:t>Neither did Poles find the vision of a multicultural society attractive, but a long-term analysis shows an increase in social acceptance of that phenomenon</w:t>
            </w:r>
            <w:r w:rsidRPr="00701ADE">
              <w:rPr>
                <w:color w:val="000000"/>
                <w:lang w:val="en-GB"/>
              </w:rPr>
              <w:t xml:space="preserve">. Effectiveness of integration actions depends on </w:t>
            </w:r>
            <w:r w:rsidRPr="00701ADE">
              <w:rPr>
                <w:i/>
                <w:iCs/>
                <w:color w:val="000000"/>
                <w:lang w:val="en-GB"/>
              </w:rPr>
              <w:t xml:space="preserve">inter alia </w:t>
            </w:r>
            <w:r w:rsidRPr="00701ADE">
              <w:rPr>
                <w:color w:val="000000"/>
                <w:lang w:val="en-GB"/>
              </w:rPr>
              <w:t>actions addressed to the receiving society. Those actions should be aimed at increasing awareness of cultural diversity and the resulting benefits, preventing cultural discrimination and conflicts, including the so-called hate speech. It is particularly important to support migrant children and youth at schools to prevent their exclusion from the school community. Actions addressed to the receiving society will be continued.</w:t>
            </w:r>
          </w:p>
          <w:p w:rsidR="00A77B3E" w:rsidRPr="00701ADE" w:rsidRDefault="00BB4ED7">
            <w:pPr>
              <w:rPr>
                <w:color w:val="000000"/>
                <w:lang w:val="en-GB"/>
              </w:rPr>
            </w:pPr>
            <w:r w:rsidRPr="00701ADE">
              <w:rPr>
                <w:color w:val="000000"/>
                <w:lang w:val="en-GB"/>
              </w:rPr>
              <w:t xml:space="preserve">In view of the </w:t>
            </w:r>
            <w:r w:rsidRPr="00746F09">
              <w:rPr>
                <w:color w:val="000000"/>
                <w:lang w:val="en-GB"/>
              </w:rPr>
              <w:t>large influx TCNs</w:t>
            </w:r>
            <w:r w:rsidRPr="00701ADE">
              <w:rPr>
                <w:color w:val="000000"/>
                <w:lang w:val="en-GB"/>
              </w:rPr>
              <w:t xml:space="preserve">, it is important to develop analytical tools for migration management, which includes building information systems, ensuring appropriate tools and resources, and developing competencies of the staff. This will permit better diagnosing and forecasting of migration trends. Those systems will be developed within the </w:t>
            </w:r>
            <w:r w:rsidRPr="00701ADE">
              <w:rPr>
                <w:b/>
                <w:bCs/>
                <w:color w:val="000000"/>
                <w:lang w:val="en-GB"/>
              </w:rPr>
              <w:t>MAC</w:t>
            </w:r>
            <w:r w:rsidRPr="00701ADE">
              <w:rPr>
                <w:color w:val="000000"/>
                <w:lang w:val="en-GB"/>
              </w:rPr>
              <w:t>, which will also serve analyses regarding international protection.</w:t>
            </w:r>
          </w:p>
          <w:p w:rsidR="00A77B3E" w:rsidRPr="00701ADE" w:rsidRDefault="00BB4ED7">
            <w:pPr>
              <w:rPr>
                <w:color w:val="000000"/>
                <w:lang w:val="en-GB"/>
              </w:rPr>
            </w:pPr>
            <w:r w:rsidRPr="00701ADE">
              <w:rPr>
                <w:color w:val="000000"/>
                <w:lang w:val="en-GB"/>
              </w:rPr>
              <w:t xml:space="preserve">All actions will be carried out in synergy with other forms of support, i.e. funds covered by Regulation EU 2021/1060 and national financing. In addition to the AMIF, it is planned to use in this area the NFM (soft expenditure, i.e. training, workshops, study visits), Frontex grant agreements and State budget funding (expenditures on TCNs who are not beneficiaries of the AMIF, NFM or Frontex grant agreements). Furthermore, the actions will be complementary with the Cohesion Funds, primarily the European Social Fund Plus. AMIF funds will be used for granting support at early stages of TCN integration, while the ESF+ will complement the AMIF with funding related to medium and long-term integration, in particular funding of TCN employment and integration on the labour market and granting support to TCN children immediately after their arrival (e.g. access to primary and secondary education, prevention of early school leaving). Furthermore, the European Regional Development Fund will complement AMIF actions e.g. through providing support for (temporary) reception infrastructure, social housing or social infrastructure for migrants, refugees and persons either covered by or applying for international protection. </w:t>
            </w:r>
            <w:r w:rsidRPr="00746F09">
              <w:rPr>
                <w:color w:val="000000"/>
                <w:lang w:val="en-GB"/>
              </w:rPr>
              <w:t>MAs</w:t>
            </w:r>
            <w:r w:rsidRPr="00701ADE">
              <w:rPr>
                <w:color w:val="000000"/>
                <w:lang w:val="en-GB"/>
              </w:rPr>
              <w:t xml:space="preserve"> will conduct dialogue in the area of integration in the context of complementarity of relevant funds. Moreover, AMIF actions will be complementary with the Internal Security Fund (particularly in the area of protection of migrant children, prevention of trafficking in human beings, protection of victims of trafficking in human beings, prevention of migrant smuggling and radicalisation) and the </w:t>
            </w:r>
            <w:r w:rsidRPr="00221D39">
              <w:rPr>
                <w:color w:val="000000"/>
                <w:lang w:val="en-GB"/>
              </w:rPr>
              <w:t>Instrument for Financial Support for Border Management and Visa Policy</w:t>
            </w:r>
            <w:r w:rsidRPr="00701ADE">
              <w:rPr>
                <w:color w:val="000000"/>
                <w:lang w:val="en-GB"/>
              </w:rPr>
              <w:t xml:space="preserve"> as part of the Integrated Border Management Fund (application of a fingerprint identification system to establish a TCN's identity and status; actions relating to the improvement of visa application processing will be complementary with actions relating to the promotion of legal migration paths). Throughout the implementation of the programme, the complementarity and synergies will be monitored on an on-going basis to avoid overlaps within the Programmes. </w:t>
            </w:r>
          </w:p>
          <w:p w:rsidR="00A77B3E" w:rsidRPr="00701ADE" w:rsidRDefault="00BB4ED7">
            <w:pPr>
              <w:rPr>
                <w:color w:val="000000"/>
                <w:lang w:val="en-GB"/>
              </w:rPr>
            </w:pPr>
            <w:r w:rsidRPr="00701ADE">
              <w:rPr>
                <w:color w:val="000000"/>
                <w:lang w:val="en-GB"/>
              </w:rPr>
              <w:t xml:space="preserve">Poland </w:t>
            </w:r>
            <w:r w:rsidRPr="00701ADE">
              <w:rPr>
                <w:b/>
                <w:bCs/>
                <w:color w:val="000000"/>
                <w:lang w:val="en-GB"/>
              </w:rPr>
              <w:t>is both a transit country on the way to Western European countries and a destination country for TCNs.</w:t>
            </w:r>
            <w:r w:rsidRPr="00701ADE">
              <w:rPr>
                <w:color w:val="000000"/>
                <w:lang w:val="en-GB"/>
              </w:rPr>
              <w:t xml:space="preserve"> The BG is under obligation to take effective measures to enforce compliance with applicable laws by TCNs, enhance the system that provides for controlling the legality of stay in Poland, and the legality of and compliance with standards regarding employment of TCNs in the country. </w:t>
            </w:r>
          </w:p>
          <w:p w:rsidR="00A77B3E" w:rsidRPr="00701ADE" w:rsidRDefault="00BB4ED7">
            <w:pPr>
              <w:rPr>
                <w:color w:val="000000"/>
                <w:lang w:val="en-GB"/>
              </w:rPr>
            </w:pPr>
            <w:r w:rsidRPr="00701ADE">
              <w:rPr>
                <w:color w:val="000000"/>
                <w:lang w:val="en-GB"/>
              </w:rPr>
              <w:t xml:space="preserve">Arranging returns is among </w:t>
            </w:r>
            <w:r w:rsidRPr="00701ADE">
              <w:rPr>
                <w:b/>
                <w:bCs/>
                <w:color w:val="000000"/>
                <w:lang w:val="en-GB"/>
              </w:rPr>
              <w:t xml:space="preserve">the most effective methods of preventing illegal migration and an important element of the migration and asylum system in Poland and the EU. The obligation to </w:t>
            </w:r>
            <w:r w:rsidRPr="00701ADE">
              <w:rPr>
                <w:b/>
                <w:bCs/>
                <w:color w:val="000000"/>
                <w:lang w:val="en-GB"/>
              </w:rPr>
              <w:lastRenderedPageBreak/>
              <w:t xml:space="preserve">return arises by law (expiry of the residence title) and by means of a decision requiring the return (the decision is issued by the BG). The number of return decisions has been rising </w:t>
            </w:r>
            <w:r w:rsidRPr="00701ADE">
              <w:rPr>
                <w:color w:val="000000"/>
                <w:lang w:val="en-GB"/>
              </w:rPr>
              <w:t xml:space="preserve">since 2016, with 24,943 decisions issued in 2017, 29,520 in 2018, 29,408 in 2019, 10,972 in 2020, and 10,349 in 2021. Given the large influx of TCNs in 2021, it is forecast that the number of return decisions will be high in the </w:t>
            </w:r>
            <w:r w:rsidR="006A3529">
              <w:rPr>
                <w:color w:val="000000"/>
                <w:lang w:val="en-GB"/>
              </w:rPr>
              <w:t>future</w:t>
            </w:r>
            <w:r w:rsidRPr="00701ADE">
              <w:rPr>
                <w:color w:val="000000"/>
                <w:lang w:val="en-GB"/>
              </w:rPr>
              <w:t>, which will require support for the migration services and TCNs.</w:t>
            </w:r>
          </w:p>
          <w:p w:rsidR="00A77B3E" w:rsidRPr="00701ADE" w:rsidRDefault="00BB4ED7">
            <w:pPr>
              <w:rPr>
                <w:color w:val="000000"/>
                <w:lang w:val="en-GB"/>
              </w:rPr>
            </w:pPr>
            <w:r w:rsidRPr="00701ADE">
              <w:rPr>
                <w:color w:val="000000"/>
                <w:lang w:val="en-GB"/>
              </w:rPr>
              <w:t xml:space="preserve">The AMIF 2014-2020 was used to arrange forced and voluntary returns, train BG officers and expand the BG's infrastructure used for handling TCNs. It is planned to </w:t>
            </w:r>
            <w:r w:rsidRPr="00701ADE">
              <w:rPr>
                <w:b/>
                <w:bCs/>
                <w:color w:val="000000"/>
                <w:lang w:val="en-GB"/>
              </w:rPr>
              <w:t xml:space="preserve">continue enhancing the effectiveness and sustainability of returns by means of enhancing the BG's infrastructural capacities, developing and enhancing interoperability of the ICT and database infrastructure, enhancing the competencies of officers and other entities involved in preventing illegal migration and by providing returnees, including vulnerable persons, with access to reintegration assistance. </w:t>
            </w:r>
            <w:r w:rsidRPr="00701ADE">
              <w:rPr>
                <w:color w:val="000000"/>
                <w:lang w:val="en-GB"/>
              </w:rPr>
              <w:t>In view of the expected increase in the number of persons under the return procedure, it will be necessary to ensure free-of-charge legal and interpreting assistance and to build a system for monitoring of enforcement of return decisions.</w:t>
            </w:r>
          </w:p>
          <w:p w:rsidR="00A77B3E" w:rsidRPr="00701ADE" w:rsidRDefault="00BB4ED7">
            <w:pPr>
              <w:rPr>
                <w:color w:val="000000"/>
                <w:lang w:val="en-GB"/>
              </w:rPr>
            </w:pPr>
            <w:r w:rsidRPr="00701ADE">
              <w:rPr>
                <w:color w:val="000000"/>
                <w:lang w:val="en-GB"/>
              </w:rPr>
              <w:t xml:space="preserve">In 2014-2020, actions were taken to further cooperation with third countries, including </w:t>
            </w:r>
            <w:r w:rsidRPr="00701ADE">
              <w:rPr>
                <w:i/>
                <w:iCs/>
                <w:color w:val="000000"/>
                <w:lang w:val="en-GB"/>
              </w:rPr>
              <w:t xml:space="preserve">inter alia </w:t>
            </w:r>
            <w:r w:rsidRPr="00701ADE">
              <w:rPr>
                <w:color w:val="000000"/>
                <w:lang w:val="en-GB"/>
              </w:rPr>
              <w:t xml:space="preserve">Vietnam, to ensure effective implementation of returns. </w:t>
            </w:r>
            <w:r w:rsidRPr="00701ADE">
              <w:rPr>
                <w:b/>
                <w:bCs/>
                <w:color w:val="000000"/>
                <w:lang w:val="en-GB"/>
              </w:rPr>
              <w:t>Cooperation with third countries through enhancing their capabilities to implement readmission agreements and other facilities and to provide for sustainable returns will be continued.</w:t>
            </w:r>
          </w:p>
          <w:p w:rsidR="00A77B3E" w:rsidRPr="00701ADE" w:rsidRDefault="00BB4ED7">
            <w:pPr>
              <w:rPr>
                <w:color w:val="000000"/>
                <w:lang w:val="en-GB"/>
              </w:rPr>
            </w:pPr>
            <w:r w:rsidRPr="00701ADE">
              <w:rPr>
                <w:color w:val="000000"/>
                <w:lang w:val="en-GB"/>
              </w:rPr>
              <w:t>The BG has the authority to check the legality of residence and employment. With their number continually increasing, such checks are aimed at discouraging illegal migration which is made stronger by the perspective of employment in the EU, hence BG units responsible for employment legality checks in urban areas must be strengthened. Their tasks will include detecting, preventing and combating illegal migration and streamlining the return procedures. Employment legality checks are also within the remit of the National Labour Inspectorate (</w:t>
            </w:r>
            <w:r w:rsidRPr="00701ADE">
              <w:rPr>
                <w:i/>
                <w:iCs/>
                <w:color w:val="000000"/>
                <w:lang w:val="en-GB"/>
              </w:rPr>
              <w:t>Państwowa Inspekcja Pracy</w:t>
            </w:r>
            <w:r w:rsidRPr="00701ADE">
              <w:rPr>
                <w:color w:val="000000"/>
                <w:lang w:val="en-GB"/>
              </w:rPr>
              <w:t xml:space="preserve">, PIP), which funds its operations from own resources, complementing the ones undertaken under the AMIF through </w:t>
            </w:r>
            <w:r w:rsidRPr="00701ADE">
              <w:rPr>
                <w:i/>
                <w:iCs/>
                <w:color w:val="000000"/>
                <w:lang w:val="en-GB"/>
              </w:rPr>
              <w:t xml:space="preserve">inter alia </w:t>
            </w:r>
            <w:r w:rsidRPr="00701ADE">
              <w:rPr>
                <w:color w:val="000000"/>
                <w:lang w:val="en-GB"/>
              </w:rPr>
              <w:t>checks and preventive actions. Actions of both services are complementary. The PIP and BG signed an agreement on the rules of cooperation in 2018. The cooperation involves sharing information on infringements, exchanging experiences, improving control methods and initiatives aimed at improving compliance with law through e.g. joint information campaigns, training as well as meetings and conferences with the participation of TCNs, employers and non-governmental organisations.</w:t>
            </w:r>
          </w:p>
          <w:p w:rsidR="00A77B3E" w:rsidRPr="00701ADE" w:rsidRDefault="00BB4ED7">
            <w:pPr>
              <w:rPr>
                <w:color w:val="000000"/>
                <w:lang w:val="en-GB"/>
              </w:rPr>
            </w:pPr>
            <w:r w:rsidRPr="00701ADE">
              <w:rPr>
                <w:color w:val="000000"/>
                <w:lang w:val="en-GB"/>
              </w:rPr>
              <w:t xml:space="preserve">Actions will also be taken with respect to alternatives to detention, but they have not been and will not be financed from the AMIF. </w:t>
            </w:r>
            <w:r w:rsidRPr="00701ADE">
              <w:rPr>
                <w:b/>
                <w:bCs/>
                <w:color w:val="000000"/>
                <w:lang w:val="en-GB"/>
              </w:rPr>
              <w:t xml:space="preserve">Alternatives to detention in use include reporting to the BG at defined time intervals, depositing a monetary security, staying at a location assigned in the decision (which is not publicly-financed accommodation). </w:t>
            </w:r>
            <w:r w:rsidRPr="00701ADE">
              <w:rPr>
                <w:color w:val="000000"/>
                <w:lang w:val="en-GB"/>
              </w:rPr>
              <w:t xml:space="preserve">Those measures </w:t>
            </w:r>
            <w:r w:rsidRPr="00701ADE">
              <w:rPr>
                <w:b/>
                <w:bCs/>
                <w:color w:val="000000"/>
                <w:lang w:val="en-GB"/>
              </w:rPr>
              <w:t xml:space="preserve">do not involve any significant public funds </w:t>
            </w:r>
            <w:r w:rsidRPr="00701ADE">
              <w:rPr>
                <w:color w:val="000000"/>
                <w:lang w:val="en-GB"/>
              </w:rPr>
              <w:t xml:space="preserve">and therefore do not need to be financed from the AMIF. In 2021, alternatives to detention covered 95 TCNs (under the Act on granting protection to foreigners within the territory of the Republic of Poland). Vulnerable persons receive financial support from the State budget under Polish law. The AMIF will also be used to implement recommendations made in the Schengen evaluation in the area of returns. Poland does not intend to use </w:t>
            </w:r>
            <w:r w:rsidRPr="00701ADE">
              <w:rPr>
                <w:b/>
                <w:bCs/>
                <w:color w:val="000000"/>
                <w:lang w:val="en-GB"/>
              </w:rPr>
              <w:t xml:space="preserve">financial instruments </w:t>
            </w:r>
            <w:r w:rsidRPr="00701ADE">
              <w:rPr>
                <w:color w:val="000000"/>
                <w:lang w:val="en-GB"/>
              </w:rPr>
              <w:t>as an additional form of support.</w:t>
            </w:r>
          </w:p>
          <w:p w:rsidR="00A77B3E" w:rsidRPr="00701ADE" w:rsidRDefault="00A77B3E">
            <w:pPr>
              <w:rPr>
                <w:color w:val="000000"/>
                <w:lang w:val="en-GB"/>
              </w:rPr>
            </w:pPr>
          </w:p>
        </w:tc>
      </w:tr>
    </w:tbl>
    <w:p w:rsidR="00A77B3E" w:rsidRPr="00701ADE" w:rsidRDefault="00A77B3E">
      <w:pPr>
        <w:rPr>
          <w:color w:val="000000"/>
          <w:lang w:val="en-GB"/>
        </w:rPr>
        <w:sectPr w:rsidR="00A77B3E" w:rsidRPr="00701ADE">
          <w:footerReference w:type="default" r:id="rId8"/>
          <w:pgSz w:w="11906" w:h="16838"/>
          <w:pgMar w:top="720" w:right="936" w:bottom="864" w:left="720" w:header="0" w:footer="72" w:gutter="0"/>
          <w:cols w:space="720"/>
          <w:noEndnote/>
          <w:docGrid w:linePitch="360"/>
        </w:sectPr>
      </w:pPr>
    </w:p>
    <w:p w:rsidR="00A77B3E" w:rsidRPr="00701ADE" w:rsidRDefault="00BB4ED7">
      <w:pPr>
        <w:pStyle w:val="Nagwek1"/>
        <w:spacing w:before="100" w:after="0"/>
        <w:rPr>
          <w:rFonts w:ascii="Times New Roman" w:hAnsi="Times New Roman" w:cs="Times New Roman"/>
          <w:b w:val="0"/>
          <w:color w:val="000000"/>
          <w:sz w:val="24"/>
          <w:lang w:val="en-GB"/>
        </w:rPr>
      </w:pPr>
      <w:bookmarkStart w:id="2" w:name="_Toc126925378"/>
      <w:r w:rsidRPr="00701ADE">
        <w:rPr>
          <w:rFonts w:ascii="Times New Roman" w:hAnsi="Times New Roman" w:cs="Times New Roman"/>
          <w:b w:val="0"/>
          <w:color w:val="000000"/>
          <w:sz w:val="24"/>
          <w:lang w:val="en-GB"/>
        </w:rPr>
        <w:lastRenderedPageBreak/>
        <w:t>2. Specific objectives and technical assistance</w:t>
      </w:r>
      <w:bookmarkEnd w:id="2"/>
    </w:p>
    <w:p w:rsidR="00A77B3E" w:rsidRPr="00701ADE" w:rsidRDefault="00A77B3E">
      <w:pPr>
        <w:spacing w:before="100"/>
        <w:rPr>
          <w:color w:val="000000"/>
          <w:sz w:val="0"/>
          <w:lang w:val="en-GB"/>
        </w:rPr>
      </w:pPr>
    </w:p>
    <w:p w:rsidR="00A77B3E" w:rsidRPr="00701ADE" w:rsidRDefault="00BB4ED7">
      <w:pPr>
        <w:spacing w:before="100"/>
        <w:rPr>
          <w:color w:val="000000"/>
          <w:sz w:val="12"/>
          <w:lang w:val="en-GB"/>
        </w:rPr>
      </w:pPr>
      <w:r w:rsidRPr="00701ADE">
        <w:rPr>
          <w:color w:val="000000"/>
          <w:lang w:val="en-GB"/>
        </w:rPr>
        <w:t>Reference: Article 22(2) and (4) of the Common Provisions Regulation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5120"/>
        <w:gridCol w:w="2560"/>
      </w:tblGrid>
      <w:tr w:rsidR="004B75EC" w:rsidRPr="00701ADE">
        <w:trPr>
          <w:trHeight w:val="160"/>
          <w:tblHeader/>
        </w:trPr>
        <w:tc>
          <w:tcPr>
            <w:tcW w:w="6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lang w:val="en-GB"/>
              </w:rPr>
            </w:pPr>
            <w:r w:rsidRPr="00701ADE">
              <w:rPr>
                <w:color w:val="000000"/>
                <w:lang w:val="en-GB"/>
              </w:rPr>
              <w:t xml:space="preserve"> Selected</w:t>
            </w:r>
          </w:p>
        </w:tc>
        <w:tc>
          <w:tcPr>
            <w:tcW w:w="4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lang w:val="en-GB"/>
              </w:rPr>
            </w:pPr>
            <w:r w:rsidRPr="00701ADE">
              <w:rPr>
                <w:color w:val="000000"/>
                <w:lang w:val="en-GB"/>
              </w:rPr>
              <w:t>Specific objective or technical assistance</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lang w:val="en-GB"/>
              </w:rPr>
            </w:pPr>
            <w:r w:rsidRPr="00701ADE">
              <w:rPr>
                <w:color w:val="000000"/>
                <w:lang w:val="en-GB"/>
              </w:rPr>
              <w:t>Type of action</w:t>
            </w:r>
          </w:p>
        </w:tc>
      </w:tr>
      <w:tr w:rsidR="004B75EC" w:rsidRPr="00701ADE">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DC51E9">
            <w:pPr>
              <w:spacing w:before="100"/>
              <w:jc w:val="center"/>
              <w:rPr>
                <w:color w:val="000000"/>
                <w:lang w:val="en-GB"/>
              </w:rPr>
            </w:pPr>
            <w:r w:rsidRPr="00701ADE">
              <w:rPr>
                <w:color w:val="000000"/>
                <w:lang w:val="en-GB"/>
              </w:rPr>
              <w:fldChar w:fldCharType="begin">
                <w:ffData>
                  <w:name w:val=""/>
                  <w:enabled/>
                  <w:calcOnExit w:val="0"/>
                  <w:checkBox>
                    <w:size w:val="20"/>
                    <w:default w:val="1"/>
                    <w:checked/>
                  </w:checkBox>
                </w:ffData>
              </w:fldChar>
            </w:r>
            <w:r w:rsidR="00BB4ED7" w:rsidRPr="00701ADE">
              <w:rPr>
                <w:color w:val="000000"/>
                <w:lang w:val="en-GB"/>
              </w:rPr>
              <w:instrText xml:space="preserve"> FORMCHECKBOX </w:instrText>
            </w:r>
            <w:r w:rsidR="002A06CB">
              <w:rPr>
                <w:color w:val="000000"/>
                <w:lang w:val="en-GB"/>
              </w:rPr>
            </w:r>
            <w:r w:rsidR="002A06CB">
              <w:rPr>
                <w:color w:val="000000"/>
                <w:lang w:val="en-GB"/>
              </w:rPr>
              <w:fldChar w:fldCharType="separate"/>
            </w:r>
            <w:r w:rsidRPr="00701ADE">
              <w:rPr>
                <w:color w:val="000000"/>
                <w:lang w:val="en-GB"/>
              </w:rPr>
              <w:fldChar w:fldCharType="end"/>
            </w:r>
            <w:r w:rsidR="00BB4ED7" w:rsidRPr="00701ADE">
              <w:rPr>
                <w:color w:val="000000"/>
                <w:lang w:val="en-GB"/>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lang w:val="en-GB"/>
              </w:rPr>
            </w:pPr>
            <w:r w:rsidRPr="00701ADE">
              <w:rPr>
                <w:color w:val="000000"/>
                <w:lang w:val="en-GB"/>
              </w:rPr>
              <w:t>1. CEAS</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lang w:val="en-GB"/>
              </w:rPr>
            </w:pPr>
            <w:r w:rsidRPr="00701ADE">
              <w:rPr>
                <w:color w:val="000000"/>
                <w:lang w:val="en-GB"/>
              </w:rPr>
              <w:t>Regular actions</w:t>
            </w:r>
          </w:p>
        </w:tc>
      </w:tr>
      <w:tr w:rsidR="004B75EC" w:rsidRPr="00701ADE">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DC51E9">
            <w:pPr>
              <w:spacing w:before="100"/>
              <w:jc w:val="center"/>
              <w:rPr>
                <w:color w:val="000000"/>
                <w:lang w:val="en-GB"/>
              </w:rPr>
            </w:pPr>
            <w:r w:rsidRPr="00701ADE">
              <w:rPr>
                <w:color w:val="000000"/>
                <w:lang w:val="en-GB"/>
              </w:rPr>
              <w:fldChar w:fldCharType="begin">
                <w:ffData>
                  <w:name w:val=""/>
                  <w:enabled/>
                  <w:calcOnExit w:val="0"/>
                  <w:checkBox>
                    <w:size w:val="20"/>
                    <w:default w:val="0"/>
                    <w:checked w:val="0"/>
                  </w:checkBox>
                </w:ffData>
              </w:fldChar>
            </w:r>
            <w:r w:rsidR="00BB4ED7" w:rsidRPr="00701ADE">
              <w:rPr>
                <w:color w:val="000000"/>
                <w:lang w:val="en-GB"/>
              </w:rPr>
              <w:instrText xml:space="preserve"> FORMCHECKBOX </w:instrText>
            </w:r>
            <w:r w:rsidR="002A06CB">
              <w:rPr>
                <w:color w:val="000000"/>
                <w:lang w:val="en-GB"/>
              </w:rPr>
            </w:r>
            <w:r w:rsidR="002A06CB">
              <w:rPr>
                <w:color w:val="000000"/>
                <w:lang w:val="en-GB"/>
              </w:rPr>
              <w:fldChar w:fldCharType="separate"/>
            </w:r>
            <w:r w:rsidRPr="00701ADE">
              <w:rPr>
                <w:color w:val="000000"/>
                <w:lang w:val="en-GB"/>
              </w:rPr>
              <w:fldChar w:fldCharType="end"/>
            </w:r>
            <w:r w:rsidR="00BB4ED7" w:rsidRPr="00701ADE">
              <w:rPr>
                <w:color w:val="000000"/>
                <w:lang w:val="en-GB"/>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lang w:val="en-GB"/>
              </w:rPr>
            </w:pPr>
            <w:r w:rsidRPr="00701ADE">
              <w:rPr>
                <w:color w:val="000000"/>
                <w:lang w:val="en-GB"/>
              </w:rPr>
              <w:t>1. CEAS</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lang w:val="en-GB"/>
              </w:rPr>
            </w:pPr>
            <w:r w:rsidRPr="00701ADE">
              <w:rPr>
                <w:color w:val="000000"/>
                <w:lang w:val="en-GB"/>
              </w:rPr>
              <w:t>Specific actions</w:t>
            </w:r>
          </w:p>
        </w:tc>
      </w:tr>
      <w:tr w:rsidR="004B75EC" w:rsidRPr="00701ADE">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DC51E9">
            <w:pPr>
              <w:spacing w:before="100"/>
              <w:jc w:val="center"/>
              <w:rPr>
                <w:color w:val="000000"/>
                <w:lang w:val="en-GB"/>
              </w:rPr>
            </w:pPr>
            <w:r w:rsidRPr="00701ADE">
              <w:rPr>
                <w:color w:val="000000"/>
                <w:lang w:val="en-GB"/>
              </w:rPr>
              <w:fldChar w:fldCharType="begin">
                <w:ffData>
                  <w:name w:val=""/>
                  <w:enabled/>
                  <w:calcOnExit w:val="0"/>
                  <w:checkBox>
                    <w:size w:val="20"/>
                    <w:default w:val="1"/>
                    <w:checked/>
                  </w:checkBox>
                </w:ffData>
              </w:fldChar>
            </w:r>
            <w:r w:rsidR="00BB4ED7" w:rsidRPr="00701ADE">
              <w:rPr>
                <w:color w:val="000000"/>
                <w:lang w:val="en-GB"/>
              </w:rPr>
              <w:instrText xml:space="preserve"> FORMCHECKBOX </w:instrText>
            </w:r>
            <w:r w:rsidR="002A06CB">
              <w:rPr>
                <w:color w:val="000000"/>
                <w:lang w:val="en-GB"/>
              </w:rPr>
            </w:r>
            <w:r w:rsidR="002A06CB">
              <w:rPr>
                <w:color w:val="000000"/>
                <w:lang w:val="en-GB"/>
              </w:rPr>
              <w:fldChar w:fldCharType="separate"/>
            </w:r>
            <w:r w:rsidRPr="00701ADE">
              <w:rPr>
                <w:color w:val="000000"/>
                <w:lang w:val="en-GB"/>
              </w:rPr>
              <w:fldChar w:fldCharType="end"/>
            </w:r>
            <w:r w:rsidR="00BB4ED7" w:rsidRPr="00701ADE">
              <w:rPr>
                <w:color w:val="000000"/>
                <w:lang w:val="en-GB"/>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lang w:val="en-GB"/>
              </w:rPr>
            </w:pPr>
            <w:r w:rsidRPr="00701ADE">
              <w:rPr>
                <w:color w:val="000000"/>
                <w:lang w:val="en-GB"/>
              </w:rPr>
              <w:t>1. CEAS</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lang w:val="en-GB"/>
              </w:rPr>
            </w:pPr>
            <w:r w:rsidRPr="00701ADE">
              <w:rPr>
                <w:color w:val="000000"/>
                <w:lang w:val="en-GB"/>
              </w:rPr>
              <w:t>Actions set out in Annex IV</w:t>
            </w:r>
          </w:p>
        </w:tc>
      </w:tr>
      <w:tr w:rsidR="004B75EC" w:rsidRPr="00701ADE">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DC51E9">
            <w:pPr>
              <w:spacing w:before="100"/>
              <w:jc w:val="center"/>
              <w:rPr>
                <w:color w:val="000000"/>
                <w:lang w:val="en-GB"/>
              </w:rPr>
            </w:pPr>
            <w:r w:rsidRPr="00701ADE">
              <w:rPr>
                <w:color w:val="000000"/>
                <w:lang w:val="en-GB"/>
              </w:rPr>
              <w:fldChar w:fldCharType="begin">
                <w:ffData>
                  <w:name w:val=""/>
                  <w:enabled/>
                  <w:calcOnExit w:val="0"/>
                  <w:checkBox>
                    <w:size w:val="20"/>
                    <w:default w:val="1"/>
                    <w:checked/>
                  </w:checkBox>
                </w:ffData>
              </w:fldChar>
            </w:r>
            <w:r w:rsidR="00BB4ED7" w:rsidRPr="00701ADE">
              <w:rPr>
                <w:color w:val="000000"/>
                <w:lang w:val="en-GB"/>
              </w:rPr>
              <w:instrText xml:space="preserve"> FORMCHECKBOX </w:instrText>
            </w:r>
            <w:r w:rsidR="002A06CB">
              <w:rPr>
                <w:color w:val="000000"/>
                <w:lang w:val="en-GB"/>
              </w:rPr>
            </w:r>
            <w:r w:rsidR="002A06CB">
              <w:rPr>
                <w:color w:val="000000"/>
                <w:lang w:val="en-GB"/>
              </w:rPr>
              <w:fldChar w:fldCharType="separate"/>
            </w:r>
            <w:r w:rsidRPr="00701ADE">
              <w:rPr>
                <w:color w:val="000000"/>
                <w:lang w:val="en-GB"/>
              </w:rPr>
              <w:fldChar w:fldCharType="end"/>
            </w:r>
            <w:r w:rsidR="00BB4ED7" w:rsidRPr="00701ADE">
              <w:rPr>
                <w:color w:val="000000"/>
                <w:lang w:val="en-GB"/>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lang w:val="en-GB"/>
              </w:rPr>
            </w:pPr>
            <w:r w:rsidRPr="00701ADE">
              <w:rPr>
                <w:color w:val="000000"/>
                <w:lang w:val="en-GB"/>
              </w:rPr>
              <w:t>1. CEAS</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lang w:val="en-GB"/>
              </w:rPr>
            </w:pPr>
            <w:r w:rsidRPr="00701ADE">
              <w:rPr>
                <w:color w:val="000000"/>
                <w:lang w:val="en-GB"/>
              </w:rPr>
              <w:t>Operating support</w:t>
            </w:r>
          </w:p>
        </w:tc>
      </w:tr>
      <w:tr w:rsidR="004B75EC" w:rsidRPr="00701ADE">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DC51E9">
            <w:pPr>
              <w:spacing w:before="100"/>
              <w:jc w:val="center"/>
              <w:rPr>
                <w:color w:val="000000"/>
                <w:lang w:val="en-GB"/>
              </w:rPr>
            </w:pPr>
            <w:r w:rsidRPr="00701ADE">
              <w:rPr>
                <w:color w:val="000000"/>
                <w:lang w:val="en-GB"/>
              </w:rPr>
              <w:fldChar w:fldCharType="begin">
                <w:ffData>
                  <w:name w:val=""/>
                  <w:enabled/>
                  <w:calcOnExit w:val="0"/>
                  <w:checkBox>
                    <w:size w:val="20"/>
                    <w:default w:val="0"/>
                    <w:checked w:val="0"/>
                  </w:checkBox>
                </w:ffData>
              </w:fldChar>
            </w:r>
            <w:r w:rsidR="00BB4ED7" w:rsidRPr="00701ADE">
              <w:rPr>
                <w:color w:val="000000"/>
                <w:lang w:val="en-GB"/>
              </w:rPr>
              <w:instrText xml:space="preserve"> FORMCHECKBOX </w:instrText>
            </w:r>
            <w:r w:rsidR="002A06CB">
              <w:rPr>
                <w:color w:val="000000"/>
                <w:lang w:val="en-GB"/>
              </w:rPr>
            </w:r>
            <w:r w:rsidR="002A06CB">
              <w:rPr>
                <w:color w:val="000000"/>
                <w:lang w:val="en-GB"/>
              </w:rPr>
              <w:fldChar w:fldCharType="separate"/>
            </w:r>
            <w:r w:rsidRPr="00701ADE">
              <w:rPr>
                <w:color w:val="000000"/>
                <w:lang w:val="en-GB"/>
              </w:rPr>
              <w:fldChar w:fldCharType="end"/>
            </w:r>
            <w:r w:rsidR="00BB4ED7" w:rsidRPr="00701ADE">
              <w:rPr>
                <w:color w:val="000000"/>
                <w:lang w:val="en-GB"/>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lang w:val="en-GB"/>
              </w:rPr>
            </w:pPr>
            <w:r w:rsidRPr="00701ADE">
              <w:rPr>
                <w:color w:val="000000"/>
                <w:lang w:val="en-GB"/>
              </w:rPr>
              <w:t>1. CEAS</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lang w:val="en-GB"/>
              </w:rPr>
            </w:pPr>
            <w:r w:rsidRPr="00701ADE">
              <w:rPr>
                <w:color w:val="000000"/>
                <w:lang w:val="en-GB"/>
              </w:rPr>
              <w:t>Emergency assistance</w:t>
            </w:r>
          </w:p>
        </w:tc>
      </w:tr>
      <w:tr w:rsidR="004B75EC" w:rsidRPr="00701ADE">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DC51E9">
            <w:pPr>
              <w:spacing w:before="100"/>
              <w:jc w:val="center"/>
              <w:rPr>
                <w:color w:val="000000"/>
                <w:lang w:val="en-GB"/>
              </w:rPr>
            </w:pPr>
            <w:r w:rsidRPr="00701ADE">
              <w:rPr>
                <w:color w:val="000000"/>
                <w:lang w:val="en-GB"/>
              </w:rPr>
              <w:fldChar w:fldCharType="begin">
                <w:ffData>
                  <w:name w:val=""/>
                  <w:enabled/>
                  <w:calcOnExit w:val="0"/>
                  <w:checkBox>
                    <w:size w:val="20"/>
                    <w:default w:val="1"/>
                    <w:checked/>
                  </w:checkBox>
                </w:ffData>
              </w:fldChar>
            </w:r>
            <w:r w:rsidR="00BB4ED7" w:rsidRPr="00701ADE">
              <w:rPr>
                <w:color w:val="000000"/>
                <w:lang w:val="en-GB"/>
              </w:rPr>
              <w:instrText xml:space="preserve"> FORMCHECKBOX </w:instrText>
            </w:r>
            <w:r w:rsidR="002A06CB">
              <w:rPr>
                <w:color w:val="000000"/>
                <w:lang w:val="en-GB"/>
              </w:rPr>
            </w:r>
            <w:r w:rsidR="002A06CB">
              <w:rPr>
                <w:color w:val="000000"/>
                <w:lang w:val="en-GB"/>
              </w:rPr>
              <w:fldChar w:fldCharType="separate"/>
            </w:r>
            <w:r w:rsidRPr="00701ADE">
              <w:rPr>
                <w:color w:val="000000"/>
                <w:lang w:val="en-GB"/>
              </w:rPr>
              <w:fldChar w:fldCharType="end"/>
            </w:r>
            <w:r w:rsidR="00BB4ED7" w:rsidRPr="00701ADE">
              <w:rPr>
                <w:color w:val="000000"/>
                <w:lang w:val="en-GB"/>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lang w:val="en-GB"/>
              </w:rPr>
            </w:pPr>
            <w:r w:rsidRPr="00701ADE">
              <w:rPr>
                <w:color w:val="000000"/>
                <w:lang w:val="en-GB"/>
              </w:rPr>
              <w:t>2. Legal migration and integration</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lang w:val="en-GB"/>
              </w:rPr>
            </w:pPr>
            <w:r w:rsidRPr="00701ADE">
              <w:rPr>
                <w:color w:val="000000"/>
                <w:lang w:val="en-GB"/>
              </w:rPr>
              <w:t>Regular actions</w:t>
            </w:r>
          </w:p>
        </w:tc>
      </w:tr>
      <w:tr w:rsidR="004B75EC" w:rsidRPr="00701ADE">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DC51E9">
            <w:pPr>
              <w:spacing w:before="100"/>
              <w:jc w:val="center"/>
              <w:rPr>
                <w:color w:val="000000"/>
                <w:lang w:val="en-GB"/>
              </w:rPr>
            </w:pPr>
            <w:r w:rsidRPr="00701ADE">
              <w:rPr>
                <w:color w:val="000000"/>
                <w:lang w:val="en-GB"/>
              </w:rPr>
              <w:fldChar w:fldCharType="begin">
                <w:ffData>
                  <w:name w:val=""/>
                  <w:enabled/>
                  <w:calcOnExit w:val="0"/>
                  <w:checkBox>
                    <w:size w:val="20"/>
                    <w:default w:val="0"/>
                    <w:checked w:val="0"/>
                  </w:checkBox>
                </w:ffData>
              </w:fldChar>
            </w:r>
            <w:r w:rsidR="00BB4ED7" w:rsidRPr="00701ADE">
              <w:rPr>
                <w:color w:val="000000"/>
                <w:lang w:val="en-GB"/>
              </w:rPr>
              <w:instrText xml:space="preserve"> FORMCHECKBOX </w:instrText>
            </w:r>
            <w:r w:rsidR="002A06CB">
              <w:rPr>
                <w:color w:val="000000"/>
                <w:lang w:val="en-GB"/>
              </w:rPr>
            </w:r>
            <w:r w:rsidR="002A06CB">
              <w:rPr>
                <w:color w:val="000000"/>
                <w:lang w:val="en-GB"/>
              </w:rPr>
              <w:fldChar w:fldCharType="separate"/>
            </w:r>
            <w:r w:rsidRPr="00701ADE">
              <w:rPr>
                <w:color w:val="000000"/>
                <w:lang w:val="en-GB"/>
              </w:rPr>
              <w:fldChar w:fldCharType="end"/>
            </w:r>
            <w:r w:rsidR="00BB4ED7" w:rsidRPr="00701ADE">
              <w:rPr>
                <w:color w:val="000000"/>
                <w:lang w:val="en-GB"/>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lang w:val="en-GB"/>
              </w:rPr>
            </w:pPr>
            <w:r w:rsidRPr="00701ADE">
              <w:rPr>
                <w:color w:val="000000"/>
                <w:lang w:val="en-GB"/>
              </w:rPr>
              <w:t>2. Legal migration and integration</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lang w:val="en-GB"/>
              </w:rPr>
            </w:pPr>
            <w:r w:rsidRPr="00701ADE">
              <w:rPr>
                <w:color w:val="000000"/>
                <w:lang w:val="en-GB"/>
              </w:rPr>
              <w:t>Specific actions</w:t>
            </w:r>
          </w:p>
        </w:tc>
      </w:tr>
      <w:tr w:rsidR="004B75EC" w:rsidRPr="00701ADE">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DC51E9">
            <w:pPr>
              <w:spacing w:before="100"/>
              <w:jc w:val="center"/>
              <w:rPr>
                <w:color w:val="000000"/>
                <w:lang w:val="en-GB"/>
              </w:rPr>
            </w:pPr>
            <w:r w:rsidRPr="00701ADE">
              <w:rPr>
                <w:color w:val="000000"/>
                <w:lang w:val="en-GB"/>
              </w:rPr>
              <w:fldChar w:fldCharType="begin">
                <w:ffData>
                  <w:name w:val=""/>
                  <w:enabled/>
                  <w:calcOnExit w:val="0"/>
                  <w:checkBox>
                    <w:size w:val="20"/>
                    <w:default w:val="1"/>
                    <w:checked/>
                  </w:checkBox>
                </w:ffData>
              </w:fldChar>
            </w:r>
            <w:r w:rsidR="00BB4ED7" w:rsidRPr="00701ADE">
              <w:rPr>
                <w:color w:val="000000"/>
                <w:lang w:val="en-GB"/>
              </w:rPr>
              <w:instrText xml:space="preserve"> FORMCHECKBOX </w:instrText>
            </w:r>
            <w:r w:rsidR="002A06CB">
              <w:rPr>
                <w:color w:val="000000"/>
                <w:lang w:val="en-GB"/>
              </w:rPr>
            </w:r>
            <w:r w:rsidR="002A06CB">
              <w:rPr>
                <w:color w:val="000000"/>
                <w:lang w:val="en-GB"/>
              </w:rPr>
              <w:fldChar w:fldCharType="separate"/>
            </w:r>
            <w:r w:rsidRPr="00701ADE">
              <w:rPr>
                <w:color w:val="000000"/>
                <w:lang w:val="en-GB"/>
              </w:rPr>
              <w:fldChar w:fldCharType="end"/>
            </w:r>
            <w:r w:rsidR="00BB4ED7" w:rsidRPr="00701ADE">
              <w:rPr>
                <w:color w:val="000000"/>
                <w:lang w:val="en-GB"/>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lang w:val="en-GB"/>
              </w:rPr>
            </w:pPr>
            <w:r w:rsidRPr="00701ADE">
              <w:rPr>
                <w:color w:val="000000"/>
                <w:lang w:val="en-GB"/>
              </w:rPr>
              <w:t>2. Legal migration and integration</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lang w:val="en-GB"/>
              </w:rPr>
            </w:pPr>
            <w:r w:rsidRPr="00701ADE">
              <w:rPr>
                <w:color w:val="000000"/>
                <w:lang w:val="en-GB"/>
              </w:rPr>
              <w:t>Actions set out in Annex IV</w:t>
            </w:r>
          </w:p>
        </w:tc>
      </w:tr>
      <w:tr w:rsidR="004B75EC" w:rsidRPr="00701ADE">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DC51E9">
            <w:pPr>
              <w:spacing w:before="100"/>
              <w:jc w:val="center"/>
              <w:rPr>
                <w:color w:val="000000"/>
                <w:lang w:val="en-GB"/>
              </w:rPr>
            </w:pPr>
            <w:r w:rsidRPr="00701ADE">
              <w:rPr>
                <w:color w:val="000000"/>
                <w:lang w:val="en-GB"/>
              </w:rPr>
              <w:fldChar w:fldCharType="begin">
                <w:ffData>
                  <w:name w:val=""/>
                  <w:enabled/>
                  <w:calcOnExit w:val="0"/>
                  <w:checkBox>
                    <w:size w:val="20"/>
                    <w:default w:val="1"/>
                    <w:checked/>
                  </w:checkBox>
                </w:ffData>
              </w:fldChar>
            </w:r>
            <w:r w:rsidR="00BB4ED7" w:rsidRPr="00701ADE">
              <w:rPr>
                <w:color w:val="000000"/>
                <w:lang w:val="en-GB"/>
              </w:rPr>
              <w:instrText xml:space="preserve"> FORMCHECKBOX </w:instrText>
            </w:r>
            <w:r w:rsidR="002A06CB">
              <w:rPr>
                <w:color w:val="000000"/>
                <w:lang w:val="en-GB"/>
              </w:rPr>
            </w:r>
            <w:r w:rsidR="002A06CB">
              <w:rPr>
                <w:color w:val="000000"/>
                <w:lang w:val="en-GB"/>
              </w:rPr>
              <w:fldChar w:fldCharType="separate"/>
            </w:r>
            <w:r w:rsidRPr="00701ADE">
              <w:rPr>
                <w:color w:val="000000"/>
                <w:lang w:val="en-GB"/>
              </w:rPr>
              <w:fldChar w:fldCharType="end"/>
            </w:r>
            <w:r w:rsidR="00BB4ED7" w:rsidRPr="00701ADE">
              <w:rPr>
                <w:color w:val="000000"/>
                <w:lang w:val="en-GB"/>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lang w:val="en-GB"/>
              </w:rPr>
            </w:pPr>
            <w:r w:rsidRPr="00701ADE">
              <w:rPr>
                <w:color w:val="000000"/>
                <w:lang w:val="en-GB"/>
              </w:rPr>
              <w:t>2. Legal migration and integration</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lang w:val="en-GB"/>
              </w:rPr>
            </w:pPr>
            <w:r w:rsidRPr="00701ADE">
              <w:rPr>
                <w:color w:val="000000"/>
                <w:lang w:val="en-GB"/>
              </w:rPr>
              <w:t>Operating support</w:t>
            </w:r>
          </w:p>
        </w:tc>
      </w:tr>
      <w:tr w:rsidR="004B75EC" w:rsidRPr="00701ADE">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DC51E9">
            <w:pPr>
              <w:spacing w:before="100"/>
              <w:jc w:val="center"/>
              <w:rPr>
                <w:color w:val="000000"/>
                <w:lang w:val="en-GB"/>
              </w:rPr>
            </w:pPr>
            <w:r w:rsidRPr="00701ADE">
              <w:rPr>
                <w:color w:val="000000"/>
                <w:lang w:val="en-GB"/>
              </w:rPr>
              <w:fldChar w:fldCharType="begin">
                <w:ffData>
                  <w:name w:val=""/>
                  <w:enabled/>
                  <w:calcOnExit w:val="0"/>
                  <w:checkBox>
                    <w:size w:val="20"/>
                    <w:default w:val="0"/>
                    <w:checked w:val="0"/>
                  </w:checkBox>
                </w:ffData>
              </w:fldChar>
            </w:r>
            <w:r w:rsidR="00BB4ED7" w:rsidRPr="00701ADE">
              <w:rPr>
                <w:color w:val="000000"/>
                <w:lang w:val="en-GB"/>
              </w:rPr>
              <w:instrText xml:space="preserve"> FORMCHECKBOX </w:instrText>
            </w:r>
            <w:r w:rsidR="002A06CB">
              <w:rPr>
                <w:color w:val="000000"/>
                <w:lang w:val="en-GB"/>
              </w:rPr>
            </w:r>
            <w:r w:rsidR="002A06CB">
              <w:rPr>
                <w:color w:val="000000"/>
                <w:lang w:val="en-GB"/>
              </w:rPr>
              <w:fldChar w:fldCharType="separate"/>
            </w:r>
            <w:r w:rsidRPr="00701ADE">
              <w:rPr>
                <w:color w:val="000000"/>
                <w:lang w:val="en-GB"/>
              </w:rPr>
              <w:fldChar w:fldCharType="end"/>
            </w:r>
            <w:r w:rsidR="00BB4ED7" w:rsidRPr="00701ADE">
              <w:rPr>
                <w:color w:val="000000"/>
                <w:lang w:val="en-GB"/>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lang w:val="en-GB"/>
              </w:rPr>
            </w:pPr>
            <w:r w:rsidRPr="00701ADE">
              <w:rPr>
                <w:color w:val="000000"/>
                <w:lang w:val="en-GB"/>
              </w:rPr>
              <w:t>2. Legal migration and integration</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lang w:val="en-GB"/>
              </w:rPr>
            </w:pPr>
            <w:r w:rsidRPr="00701ADE">
              <w:rPr>
                <w:color w:val="000000"/>
                <w:lang w:val="en-GB"/>
              </w:rPr>
              <w:t>Emergency assistance</w:t>
            </w:r>
          </w:p>
        </w:tc>
      </w:tr>
      <w:tr w:rsidR="004B75EC" w:rsidRPr="00701ADE">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DC51E9">
            <w:pPr>
              <w:spacing w:before="100"/>
              <w:jc w:val="center"/>
              <w:rPr>
                <w:color w:val="000000"/>
                <w:lang w:val="en-GB"/>
              </w:rPr>
            </w:pPr>
            <w:r w:rsidRPr="00701ADE">
              <w:rPr>
                <w:color w:val="000000"/>
                <w:lang w:val="en-GB"/>
              </w:rPr>
              <w:fldChar w:fldCharType="begin">
                <w:ffData>
                  <w:name w:val=""/>
                  <w:enabled/>
                  <w:calcOnExit w:val="0"/>
                  <w:checkBox>
                    <w:size w:val="20"/>
                    <w:default w:val="1"/>
                    <w:checked/>
                  </w:checkBox>
                </w:ffData>
              </w:fldChar>
            </w:r>
            <w:r w:rsidR="00BB4ED7" w:rsidRPr="00701ADE">
              <w:rPr>
                <w:color w:val="000000"/>
                <w:lang w:val="en-GB"/>
              </w:rPr>
              <w:instrText xml:space="preserve"> FORMCHECKBOX </w:instrText>
            </w:r>
            <w:r w:rsidR="002A06CB">
              <w:rPr>
                <w:color w:val="000000"/>
                <w:lang w:val="en-GB"/>
              </w:rPr>
            </w:r>
            <w:r w:rsidR="002A06CB">
              <w:rPr>
                <w:color w:val="000000"/>
                <w:lang w:val="en-GB"/>
              </w:rPr>
              <w:fldChar w:fldCharType="separate"/>
            </w:r>
            <w:r w:rsidRPr="00701ADE">
              <w:rPr>
                <w:color w:val="000000"/>
                <w:lang w:val="en-GB"/>
              </w:rPr>
              <w:fldChar w:fldCharType="end"/>
            </w:r>
            <w:r w:rsidR="00BB4ED7" w:rsidRPr="00701ADE">
              <w:rPr>
                <w:color w:val="000000"/>
                <w:lang w:val="en-GB"/>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lang w:val="en-GB"/>
              </w:rPr>
            </w:pPr>
            <w:r w:rsidRPr="00701ADE">
              <w:rPr>
                <w:color w:val="000000"/>
                <w:lang w:val="en-GB"/>
              </w:rPr>
              <w:t>3. Return</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lang w:val="en-GB"/>
              </w:rPr>
            </w:pPr>
            <w:r w:rsidRPr="00701ADE">
              <w:rPr>
                <w:color w:val="000000"/>
                <w:lang w:val="en-GB"/>
              </w:rPr>
              <w:t>Regular actions</w:t>
            </w:r>
          </w:p>
        </w:tc>
      </w:tr>
      <w:tr w:rsidR="004B75EC" w:rsidRPr="00701ADE">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DC51E9">
            <w:pPr>
              <w:spacing w:before="100"/>
              <w:jc w:val="center"/>
              <w:rPr>
                <w:color w:val="000000"/>
                <w:lang w:val="en-GB"/>
              </w:rPr>
            </w:pPr>
            <w:r w:rsidRPr="00701ADE">
              <w:rPr>
                <w:color w:val="000000"/>
                <w:lang w:val="en-GB"/>
              </w:rPr>
              <w:fldChar w:fldCharType="begin">
                <w:ffData>
                  <w:name w:val=""/>
                  <w:enabled/>
                  <w:calcOnExit w:val="0"/>
                  <w:checkBox>
                    <w:size w:val="20"/>
                    <w:default w:val="0"/>
                    <w:checked w:val="0"/>
                  </w:checkBox>
                </w:ffData>
              </w:fldChar>
            </w:r>
            <w:r w:rsidR="00BB4ED7" w:rsidRPr="00701ADE">
              <w:rPr>
                <w:color w:val="000000"/>
                <w:lang w:val="en-GB"/>
              </w:rPr>
              <w:instrText xml:space="preserve"> FORMCHECKBOX </w:instrText>
            </w:r>
            <w:r w:rsidR="002A06CB">
              <w:rPr>
                <w:color w:val="000000"/>
                <w:lang w:val="en-GB"/>
              </w:rPr>
            </w:r>
            <w:r w:rsidR="002A06CB">
              <w:rPr>
                <w:color w:val="000000"/>
                <w:lang w:val="en-GB"/>
              </w:rPr>
              <w:fldChar w:fldCharType="separate"/>
            </w:r>
            <w:r w:rsidRPr="00701ADE">
              <w:rPr>
                <w:color w:val="000000"/>
                <w:lang w:val="en-GB"/>
              </w:rPr>
              <w:fldChar w:fldCharType="end"/>
            </w:r>
            <w:r w:rsidR="00BB4ED7" w:rsidRPr="00701ADE">
              <w:rPr>
                <w:color w:val="000000"/>
                <w:lang w:val="en-GB"/>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lang w:val="en-GB"/>
              </w:rPr>
            </w:pPr>
            <w:r w:rsidRPr="00701ADE">
              <w:rPr>
                <w:color w:val="000000"/>
                <w:lang w:val="en-GB"/>
              </w:rPr>
              <w:t>3. Return</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lang w:val="en-GB"/>
              </w:rPr>
            </w:pPr>
            <w:r w:rsidRPr="00701ADE">
              <w:rPr>
                <w:color w:val="000000"/>
                <w:lang w:val="en-GB"/>
              </w:rPr>
              <w:t>Specific actions</w:t>
            </w:r>
          </w:p>
        </w:tc>
      </w:tr>
      <w:tr w:rsidR="004B75EC" w:rsidRPr="00701ADE">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DC51E9">
            <w:pPr>
              <w:spacing w:before="100"/>
              <w:jc w:val="center"/>
              <w:rPr>
                <w:color w:val="000000"/>
                <w:lang w:val="en-GB"/>
              </w:rPr>
            </w:pPr>
            <w:r w:rsidRPr="00701ADE">
              <w:rPr>
                <w:color w:val="000000"/>
                <w:lang w:val="en-GB"/>
              </w:rPr>
              <w:fldChar w:fldCharType="begin">
                <w:ffData>
                  <w:name w:val=""/>
                  <w:enabled/>
                  <w:calcOnExit w:val="0"/>
                  <w:checkBox>
                    <w:size w:val="20"/>
                    <w:default w:val="1"/>
                    <w:checked/>
                  </w:checkBox>
                </w:ffData>
              </w:fldChar>
            </w:r>
            <w:r w:rsidR="00BB4ED7" w:rsidRPr="00701ADE">
              <w:rPr>
                <w:color w:val="000000"/>
                <w:lang w:val="en-GB"/>
              </w:rPr>
              <w:instrText xml:space="preserve"> FORMCHECKBOX </w:instrText>
            </w:r>
            <w:r w:rsidR="002A06CB">
              <w:rPr>
                <w:color w:val="000000"/>
                <w:lang w:val="en-GB"/>
              </w:rPr>
            </w:r>
            <w:r w:rsidR="002A06CB">
              <w:rPr>
                <w:color w:val="000000"/>
                <w:lang w:val="en-GB"/>
              </w:rPr>
              <w:fldChar w:fldCharType="separate"/>
            </w:r>
            <w:r w:rsidRPr="00701ADE">
              <w:rPr>
                <w:color w:val="000000"/>
                <w:lang w:val="en-GB"/>
              </w:rPr>
              <w:fldChar w:fldCharType="end"/>
            </w:r>
            <w:r w:rsidR="00BB4ED7" w:rsidRPr="00701ADE">
              <w:rPr>
                <w:color w:val="000000"/>
                <w:lang w:val="en-GB"/>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lang w:val="en-GB"/>
              </w:rPr>
            </w:pPr>
            <w:r w:rsidRPr="00701ADE">
              <w:rPr>
                <w:color w:val="000000"/>
                <w:lang w:val="en-GB"/>
              </w:rPr>
              <w:t>3. Return</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lang w:val="en-GB"/>
              </w:rPr>
            </w:pPr>
            <w:r w:rsidRPr="00701ADE">
              <w:rPr>
                <w:color w:val="000000"/>
                <w:lang w:val="en-GB"/>
              </w:rPr>
              <w:t>Actions set out in Annex IV</w:t>
            </w:r>
          </w:p>
        </w:tc>
      </w:tr>
      <w:tr w:rsidR="004B75EC" w:rsidRPr="00701ADE">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DC51E9">
            <w:pPr>
              <w:spacing w:before="100"/>
              <w:jc w:val="center"/>
              <w:rPr>
                <w:color w:val="000000"/>
                <w:lang w:val="en-GB"/>
              </w:rPr>
            </w:pPr>
            <w:r w:rsidRPr="00701ADE">
              <w:rPr>
                <w:color w:val="000000"/>
                <w:lang w:val="en-GB"/>
              </w:rPr>
              <w:fldChar w:fldCharType="begin">
                <w:ffData>
                  <w:name w:val=""/>
                  <w:enabled/>
                  <w:calcOnExit w:val="0"/>
                  <w:checkBox>
                    <w:size w:val="20"/>
                    <w:default w:val="1"/>
                    <w:checked/>
                  </w:checkBox>
                </w:ffData>
              </w:fldChar>
            </w:r>
            <w:r w:rsidR="00BB4ED7" w:rsidRPr="00701ADE">
              <w:rPr>
                <w:color w:val="000000"/>
                <w:lang w:val="en-GB"/>
              </w:rPr>
              <w:instrText xml:space="preserve"> FORMCHECKBOX </w:instrText>
            </w:r>
            <w:r w:rsidR="002A06CB">
              <w:rPr>
                <w:color w:val="000000"/>
                <w:lang w:val="en-GB"/>
              </w:rPr>
            </w:r>
            <w:r w:rsidR="002A06CB">
              <w:rPr>
                <w:color w:val="000000"/>
                <w:lang w:val="en-GB"/>
              </w:rPr>
              <w:fldChar w:fldCharType="separate"/>
            </w:r>
            <w:r w:rsidRPr="00701ADE">
              <w:rPr>
                <w:color w:val="000000"/>
                <w:lang w:val="en-GB"/>
              </w:rPr>
              <w:fldChar w:fldCharType="end"/>
            </w:r>
            <w:r w:rsidR="00BB4ED7" w:rsidRPr="00701ADE">
              <w:rPr>
                <w:color w:val="000000"/>
                <w:lang w:val="en-GB"/>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lang w:val="en-GB"/>
              </w:rPr>
            </w:pPr>
            <w:r w:rsidRPr="00701ADE">
              <w:rPr>
                <w:color w:val="000000"/>
                <w:lang w:val="en-GB"/>
              </w:rPr>
              <w:t>3. Return</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lang w:val="en-GB"/>
              </w:rPr>
            </w:pPr>
            <w:r w:rsidRPr="00701ADE">
              <w:rPr>
                <w:color w:val="000000"/>
                <w:lang w:val="en-GB"/>
              </w:rPr>
              <w:t>Operating support</w:t>
            </w:r>
          </w:p>
        </w:tc>
      </w:tr>
      <w:tr w:rsidR="004B75EC" w:rsidRPr="00701ADE">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DC51E9">
            <w:pPr>
              <w:spacing w:before="100"/>
              <w:jc w:val="center"/>
              <w:rPr>
                <w:color w:val="000000"/>
                <w:lang w:val="en-GB"/>
              </w:rPr>
            </w:pPr>
            <w:r w:rsidRPr="00701ADE">
              <w:rPr>
                <w:color w:val="000000"/>
                <w:lang w:val="en-GB"/>
              </w:rPr>
              <w:fldChar w:fldCharType="begin">
                <w:ffData>
                  <w:name w:val=""/>
                  <w:enabled/>
                  <w:calcOnExit w:val="0"/>
                  <w:checkBox>
                    <w:size w:val="20"/>
                    <w:default w:val="0"/>
                    <w:checked w:val="0"/>
                  </w:checkBox>
                </w:ffData>
              </w:fldChar>
            </w:r>
            <w:r w:rsidR="00BB4ED7" w:rsidRPr="00701ADE">
              <w:rPr>
                <w:color w:val="000000"/>
                <w:lang w:val="en-GB"/>
              </w:rPr>
              <w:instrText xml:space="preserve"> FORMCHECKBOX </w:instrText>
            </w:r>
            <w:r w:rsidR="002A06CB">
              <w:rPr>
                <w:color w:val="000000"/>
                <w:lang w:val="en-GB"/>
              </w:rPr>
            </w:r>
            <w:r w:rsidR="002A06CB">
              <w:rPr>
                <w:color w:val="000000"/>
                <w:lang w:val="en-GB"/>
              </w:rPr>
              <w:fldChar w:fldCharType="separate"/>
            </w:r>
            <w:r w:rsidRPr="00701ADE">
              <w:rPr>
                <w:color w:val="000000"/>
                <w:lang w:val="en-GB"/>
              </w:rPr>
              <w:fldChar w:fldCharType="end"/>
            </w:r>
            <w:r w:rsidR="00BB4ED7" w:rsidRPr="00701ADE">
              <w:rPr>
                <w:color w:val="000000"/>
                <w:lang w:val="en-GB"/>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lang w:val="en-GB"/>
              </w:rPr>
            </w:pPr>
            <w:r w:rsidRPr="00701ADE">
              <w:rPr>
                <w:color w:val="000000"/>
                <w:lang w:val="en-GB"/>
              </w:rPr>
              <w:t>3. Return</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lang w:val="en-GB"/>
              </w:rPr>
            </w:pPr>
            <w:r w:rsidRPr="00701ADE">
              <w:rPr>
                <w:color w:val="000000"/>
                <w:lang w:val="en-GB"/>
              </w:rPr>
              <w:t>Emergency assistance</w:t>
            </w:r>
          </w:p>
        </w:tc>
      </w:tr>
      <w:tr w:rsidR="004B75EC" w:rsidRPr="00701ADE">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DC51E9">
            <w:pPr>
              <w:spacing w:before="100"/>
              <w:jc w:val="center"/>
              <w:rPr>
                <w:color w:val="000000"/>
                <w:lang w:val="en-GB"/>
              </w:rPr>
            </w:pPr>
            <w:r w:rsidRPr="00701ADE">
              <w:rPr>
                <w:color w:val="000000"/>
                <w:lang w:val="en-GB"/>
              </w:rPr>
              <w:fldChar w:fldCharType="begin">
                <w:ffData>
                  <w:name w:val=""/>
                  <w:enabled/>
                  <w:calcOnExit w:val="0"/>
                  <w:checkBox>
                    <w:size w:val="20"/>
                    <w:default w:val="1"/>
                    <w:checked/>
                  </w:checkBox>
                </w:ffData>
              </w:fldChar>
            </w:r>
            <w:r w:rsidR="00BB4ED7" w:rsidRPr="00701ADE">
              <w:rPr>
                <w:color w:val="000000"/>
                <w:lang w:val="en-GB"/>
              </w:rPr>
              <w:instrText xml:space="preserve"> FORMCHECKBOX </w:instrText>
            </w:r>
            <w:r w:rsidR="002A06CB">
              <w:rPr>
                <w:color w:val="000000"/>
                <w:lang w:val="en-GB"/>
              </w:rPr>
            </w:r>
            <w:r w:rsidR="002A06CB">
              <w:rPr>
                <w:color w:val="000000"/>
                <w:lang w:val="en-GB"/>
              </w:rPr>
              <w:fldChar w:fldCharType="separate"/>
            </w:r>
            <w:r w:rsidRPr="00701ADE">
              <w:rPr>
                <w:color w:val="000000"/>
                <w:lang w:val="en-GB"/>
              </w:rPr>
              <w:fldChar w:fldCharType="end"/>
            </w:r>
            <w:r w:rsidR="00BB4ED7" w:rsidRPr="00701ADE">
              <w:rPr>
                <w:color w:val="000000"/>
                <w:lang w:val="en-GB"/>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lang w:val="en-GB"/>
              </w:rPr>
            </w:pPr>
            <w:r w:rsidRPr="00701ADE">
              <w:rPr>
                <w:color w:val="000000"/>
                <w:lang w:val="en-GB"/>
              </w:rPr>
              <w:t>4. Solidarity</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lang w:val="en-GB"/>
              </w:rPr>
            </w:pPr>
            <w:r w:rsidRPr="00701ADE">
              <w:rPr>
                <w:color w:val="000000"/>
                <w:lang w:val="en-GB"/>
              </w:rPr>
              <w:t>Regular actions</w:t>
            </w:r>
          </w:p>
        </w:tc>
      </w:tr>
      <w:tr w:rsidR="004B75EC" w:rsidRPr="00701ADE">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DC51E9">
            <w:pPr>
              <w:spacing w:before="100"/>
              <w:jc w:val="center"/>
              <w:rPr>
                <w:color w:val="000000"/>
                <w:lang w:val="en-GB"/>
              </w:rPr>
            </w:pPr>
            <w:r w:rsidRPr="00701ADE">
              <w:rPr>
                <w:color w:val="000000"/>
                <w:lang w:val="en-GB"/>
              </w:rPr>
              <w:fldChar w:fldCharType="begin">
                <w:ffData>
                  <w:name w:val=""/>
                  <w:enabled/>
                  <w:calcOnExit w:val="0"/>
                  <w:checkBox>
                    <w:size w:val="20"/>
                    <w:default w:val="0"/>
                    <w:checked w:val="0"/>
                  </w:checkBox>
                </w:ffData>
              </w:fldChar>
            </w:r>
            <w:r w:rsidR="00BB4ED7" w:rsidRPr="00701ADE">
              <w:rPr>
                <w:color w:val="000000"/>
                <w:lang w:val="en-GB"/>
              </w:rPr>
              <w:instrText xml:space="preserve"> FORMCHECKBOX </w:instrText>
            </w:r>
            <w:r w:rsidR="002A06CB">
              <w:rPr>
                <w:color w:val="000000"/>
                <w:lang w:val="en-GB"/>
              </w:rPr>
            </w:r>
            <w:r w:rsidR="002A06CB">
              <w:rPr>
                <w:color w:val="000000"/>
                <w:lang w:val="en-GB"/>
              </w:rPr>
              <w:fldChar w:fldCharType="separate"/>
            </w:r>
            <w:r w:rsidRPr="00701ADE">
              <w:rPr>
                <w:color w:val="000000"/>
                <w:lang w:val="en-GB"/>
              </w:rPr>
              <w:fldChar w:fldCharType="end"/>
            </w:r>
            <w:r w:rsidR="00BB4ED7" w:rsidRPr="00701ADE">
              <w:rPr>
                <w:color w:val="000000"/>
                <w:lang w:val="en-GB"/>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lang w:val="en-GB"/>
              </w:rPr>
            </w:pPr>
            <w:r w:rsidRPr="00701ADE">
              <w:rPr>
                <w:color w:val="000000"/>
                <w:lang w:val="en-GB"/>
              </w:rPr>
              <w:t>4. Solidarity</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lang w:val="en-GB"/>
              </w:rPr>
            </w:pPr>
            <w:r w:rsidRPr="00701ADE">
              <w:rPr>
                <w:color w:val="000000"/>
                <w:lang w:val="en-GB"/>
              </w:rPr>
              <w:t>Specific actions</w:t>
            </w:r>
          </w:p>
        </w:tc>
      </w:tr>
      <w:tr w:rsidR="004B75EC" w:rsidRPr="00701ADE">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DC51E9">
            <w:pPr>
              <w:spacing w:before="100"/>
              <w:jc w:val="center"/>
              <w:rPr>
                <w:color w:val="000000"/>
                <w:lang w:val="en-GB"/>
              </w:rPr>
            </w:pPr>
            <w:r w:rsidRPr="00701ADE">
              <w:rPr>
                <w:color w:val="000000"/>
                <w:lang w:val="en-GB"/>
              </w:rPr>
              <w:fldChar w:fldCharType="begin">
                <w:ffData>
                  <w:name w:val=""/>
                  <w:enabled/>
                  <w:calcOnExit w:val="0"/>
                  <w:checkBox>
                    <w:size w:val="20"/>
                    <w:default w:val="1"/>
                    <w:checked/>
                  </w:checkBox>
                </w:ffData>
              </w:fldChar>
            </w:r>
            <w:r w:rsidR="00BB4ED7" w:rsidRPr="00701ADE">
              <w:rPr>
                <w:color w:val="000000"/>
                <w:lang w:val="en-GB"/>
              </w:rPr>
              <w:instrText xml:space="preserve"> FORMCHECKBOX </w:instrText>
            </w:r>
            <w:r w:rsidR="002A06CB">
              <w:rPr>
                <w:color w:val="000000"/>
                <w:lang w:val="en-GB"/>
              </w:rPr>
            </w:r>
            <w:r w:rsidR="002A06CB">
              <w:rPr>
                <w:color w:val="000000"/>
                <w:lang w:val="en-GB"/>
              </w:rPr>
              <w:fldChar w:fldCharType="separate"/>
            </w:r>
            <w:r w:rsidRPr="00701ADE">
              <w:rPr>
                <w:color w:val="000000"/>
                <w:lang w:val="en-GB"/>
              </w:rPr>
              <w:fldChar w:fldCharType="end"/>
            </w:r>
            <w:r w:rsidR="00BB4ED7" w:rsidRPr="00701ADE">
              <w:rPr>
                <w:color w:val="000000"/>
                <w:lang w:val="en-GB"/>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lang w:val="en-GB"/>
              </w:rPr>
            </w:pPr>
            <w:r w:rsidRPr="00701ADE">
              <w:rPr>
                <w:color w:val="000000"/>
                <w:lang w:val="en-GB"/>
              </w:rPr>
              <w:t>4. Solidarity</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lang w:val="en-GB"/>
              </w:rPr>
            </w:pPr>
            <w:r w:rsidRPr="00701ADE">
              <w:rPr>
                <w:color w:val="000000"/>
                <w:lang w:val="en-GB"/>
              </w:rPr>
              <w:t>Actions set out in Annex IV</w:t>
            </w:r>
          </w:p>
        </w:tc>
      </w:tr>
      <w:tr w:rsidR="004B75EC" w:rsidRPr="00701ADE">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DC51E9">
            <w:pPr>
              <w:spacing w:before="100"/>
              <w:jc w:val="center"/>
              <w:rPr>
                <w:color w:val="000000"/>
                <w:lang w:val="en-GB"/>
              </w:rPr>
            </w:pPr>
            <w:r w:rsidRPr="00701ADE">
              <w:rPr>
                <w:color w:val="000000"/>
                <w:lang w:val="en-GB"/>
              </w:rPr>
              <w:fldChar w:fldCharType="begin">
                <w:ffData>
                  <w:name w:val=""/>
                  <w:enabled/>
                  <w:calcOnExit w:val="0"/>
                  <w:checkBox>
                    <w:size w:val="20"/>
                    <w:default w:val="0"/>
                    <w:checked w:val="0"/>
                  </w:checkBox>
                </w:ffData>
              </w:fldChar>
            </w:r>
            <w:r w:rsidR="00BB4ED7" w:rsidRPr="00701ADE">
              <w:rPr>
                <w:color w:val="000000"/>
                <w:lang w:val="en-GB"/>
              </w:rPr>
              <w:instrText xml:space="preserve"> FORMCHECKBOX </w:instrText>
            </w:r>
            <w:r w:rsidR="002A06CB">
              <w:rPr>
                <w:color w:val="000000"/>
                <w:lang w:val="en-GB"/>
              </w:rPr>
            </w:r>
            <w:r w:rsidR="002A06CB">
              <w:rPr>
                <w:color w:val="000000"/>
                <w:lang w:val="en-GB"/>
              </w:rPr>
              <w:fldChar w:fldCharType="separate"/>
            </w:r>
            <w:r w:rsidRPr="00701ADE">
              <w:rPr>
                <w:color w:val="000000"/>
                <w:lang w:val="en-GB"/>
              </w:rPr>
              <w:fldChar w:fldCharType="end"/>
            </w:r>
            <w:r w:rsidR="00BB4ED7" w:rsidRPr="00701ADE">
              <w:rPr>
                <w:color w:val="000000"/>
                <w:lang w:val="en-GB"/>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lang w:val="en-GB"/>
              </w:rPr>
            </w:pPr>
            <w:r w:rsidRPr="00701ADE">
              <w:rPr>
                <w:color w:val="000000"/>
                <w:lang w:val="en-GB"/>
              </w:rPr>
              <w:t>4. Solidarity</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lang w:val="en-GB"/>
              </w:rPr>
            </w:pPr>
            <w:r w:rsidRPr="00701ADE">
              <w:rPr>
                <w:color w:val="000000"/>
                <w:lang w:val="en-GB"/>
              </w:rPr>
              <w:t>Operating support</w:t>
            </w:r>
          </w:p>
        </w:tc>
      </w:tr>
      <w:tr w:rsidR="004B75EC" w:rsidRPr="00701ADE">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DC51E9">
            <w:pPr>
              <w:spacing w:before="100"/>
              <w:jc w:val="center"/>
              <w:rPr>
                <w:color w:val="000000"/>
                <w:lang w:val="en-GB"/>
              </w:rPr>
            </w:pPr>
            <w:r w:rsidRPr="00701ADE">
              <w:rPr>
                <w:color w:val="000000"/>
                <w:lang w:val="en-GB"/>
              </w:rPr>
              <w:fldChar w:fldCharType="begin">
                <w:ffData>
                  <w:name w:val=""/>
                  <w:enabled/>
                  <w:calcOnExit w:val="0"/>
                  <w:checkBox>
                    <w:size w:val="20"/>
                    <w:default w:val="0"/>
                    <w:checked w:val="0"/>
                  </w:checkBox>
                </w:ffData>
              </w:fldChar>
            </w:r>
            <w:r w:rsidR="00BB4ED7" w:rsidRPr="00701ADE">
              <w:rPr>
                <w:color w:val="000000"/>
                <w:lang w:val="en-GB"/>
              </w:rPr>
              <w:instrText xml:space="preserve"> FORMCHECKBOX </w:instrText>
            </w:r>
            <w:r w:rsidR="002A06CB">
              <w:rPr>
                <w:color w:val="000000"/>
                <w:lang w:val="en-GB"/>
              </w:rPr>
            </w:r>
            <w:r w:rsidR="002A06CB">
              <w:rPr>
                <w:color w:val="000000"/>
                <w:lang w:val="en-GB"/>
              </w:rPr>
              <w:fldChar w:fldCharType="separate"/>
            </w:r>
            <w:r w:rsidRPr="00701ADE">
              <w:rPr>
                <w:color w:val="000000"/>
                <w:lang w:val="en-GB"/>
              </w:rPr>
              <w:fldChar w:fldCharType="end"/>
            </w:r>
            <w:r w:rsidR="00BB4ED7" w:rsidRPr="00701ADE">
              <w:rPr>
                <w:color w:val="000000"/>
                <w:lang w:val="en-GB"/>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lang w:val="en-GB"/>
              </w:rPr>
            </w:pPr>
            <w:r w:rsidRPr="00701ADE">
              <w:rPr>
                <w:color w:val="000000"/>
                <w:lang w:val="en-GB"/>
              </w:rPr>
              <w:t>4. Solidarity</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lang w:val="en-GB"/>
              </w:rPr>
            </w:pPr>
            <w:r w:rsidRPr="00701ADE">
              <w:rPr>
                <w:color w:val="000000"/>
                <w:lang w:val="en-GB"/>
              </w:rPr>
              <w:t>Emergency assistance</w:t>
            </w:r>
          </w:p>
        </w:tc>
      </w:tr>
      <w:tr w:rsidR="004B75EC" w:rsidRPr="00701ADE">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DC51E9">
            <w:pPr>
              <w:spacing w:before="100"/>
              <w:jc w:val="center"/>
              <w:rPr>
                <w:color w:val="000000"/>
                <w:lang w:val="en-GB"/>
              </w:rPr>
            </w:pPr>
            <w:r w:rsidRPr="00701ADE">
              <w:rPr>
                <w:color w:val="000000"/>
                <w:lang w:val="en-GB"/>
              </w:rPr>
              <w:fldChar w:fldCharType="begin">
                <w:ffData>
                  <w:name w:val=""/>
                  <w:enabled/>
                  <w:calcOnExit w:val="0"/>
                  <w:checkBox>
                    <w:size w:val="20"/>
                    <w:default w:val="0"/>
                    <w:checked w:val="0"/>
                  </w:checkBox>
                </w:ffData>
              </w:fldChar>
            </w:r>
            <w:r w:rsidR="00BB4ED7" w:rsidRPr="00701ADE">
              <w:rPr>
                <w:color w:val="000000"/>
                <w:lang w:val="en-GB"/>
              </w:rPr>
              <w:instrText xml:space="preserve"> FORMCHECKBOX </w:instrText>
            </w:r>
            <w:r w:rsidR="002A06CB">
              <w:rPr>
                <w:color w:val="000000"/>
                <w:lang w:val="en-GB"/>
              </w:rPr>
            </w:r>
            <w:r w:rsidR="002A06CB">
              <w:rPr>
                <w:color w:val="000000"/>
                <w:lang w:val="en-GB"/>
              </w:rPr>
              <w:fldChar w:fldCharType="separate"/>
            </w:r>
            <w:r w:rsidRPr="00701ADE">
              <w:rPr>
                <w:color w:val="000000"/>
                <w:lang w:val="en-GB"/>
              </w:rPr>
              <w:fldChar w:fldCharType="end"/>
            </w:r>
            <w:r w:rsidR="00BB4ED7" w:rsidRPr="00701ADE">
              <w:rPr>
                <w:color w:val="000000"/>
                <w:lang w:val="en-GB"/>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lang w:val="en-GB"/>
              </w:rPr>
            </w:pPr>
            <w:r w:rsidRPr="00701ADE">
              <w:rPr>
                <w:color w:val="000000"/>
                <w:lang w:val="en-GB"/>
              </w:rPr>
              <w:t>4. Solidarity</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lang w:val="en-GB"/>
              </w:rPr>
            </w:pPr>
            <w:r w:rsidRPr="00701ADE">
              <w:rPr>
                <w:color w:val="000000"/>
                <w:lang w:val="en-GB"/>
              </w:rPr>
              <w:t>Resettlement and humanitarian admission</w:t>
            </w:r>
          </w:p>
        </w:tc>
      </w:tr>
      <w:tr w:rsidR="004B75EC" w:rsidRPr="00701ADE">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DC51E9">
            <w:pPr>
              <w:spacing w:before="100"/>
              <w:jc w:val="center"/>
              <w:rPr>
                <w:color w:val="000000"/>
                <w:lang w:val="en-GB"/>
              </w:rPr>
            </w:pPr>
            <w:r w:rsidRPr="00701ADE">
              <w:rPr>
                <w:color w:val="000000"/>
                <w:lang w:val="en-GB"/>
              </w:rPr>
              <w:fldChar w:fldCharType="begin">
                <w:ffData>
                  <w:name w:val=""/>
                  <w:enabled/>
                  <w:calcOnExit w:val="0"/>
                  <w:checkBox>
                    <w:size w:val="20"/>
                    <w:default w:val="0"/>
                    <w:checked w:val="0"/>
                  </w:checkBox>
                </w:ffData>
              </w:fldChar>
            </w:r>
            <w:r w:rsidR="00BB4ED7" w:rsidRPr="00701ADE">
              <w:rPr>
                <w:color w:val="000000"/>
                <w:lang w:val="en-GB"/>
              </w:rPr>
              <w:instrText xml:space="preserve"> FORMCHECKBOX </w:instrText>
            </w:r>
            <w:r w:rsidR="002A06CB">
              <w:rPr>
                <w:color w:val="000000"/>
                <w:lang w:val="en-GB"/>
              </w:rPr>
            </w:r>
            <w:r w:rsidR="002A06CB">
              <w:rPr>
                <w:color w:val="000000"/>
                <w:lang w:val="en-GB"/>
              </w:rPr>
              <w:fldChar w:fldCharType="separate"/>
            </w:r>
            <w:r w:rsidRPr="00701ADE">
              <w:rPr>
                <w:color w:val="000000"/>
                <w:lang w:val="en-GB"/>
              </w:rPr>
              <w:fldChar w:fldCharType="end"/>
            </w:r>
            <w:r w:rsidR="00BB4ED7" w:rsidRPr="00701ADE">
              <w:rPr>
                <w:color w:val="000000"/>
                <w:lang w:val="en-GB"/>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lang w:val="en-GB"/>
              </w:rPr>
            </w:pPr>
            <w:r w:rsidRPr="00701ADE">
              <w:rPr>
                <w:color w:val="000000"/>
                <w:lang w:val="en-GB"/>
              </w:rPr>
              <w:t>4. Solidarity</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lang w:val="en-GB"/>
              </w:rPr>
            </w:pPr>
            <w:r w:rsidRPr="00701ADE">
              <w:rPr>
                <w:color w:val="000000"/>
                <w:lang w:val="en-GB"/>
              </w:rPr>
              <w:t>International protection (Transfer in)</w:t>
            </w:r>
          </w:p>
        </w:tc>
      </w:tr>
      <w:tr w:rsidR="004B75EC" w:rsidRPr="00701ADE">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DC51E9">
            <w:pPr>
              <w:spacing w:before="100"/>
              <w:jc w:val="center"/>
              <w:rPr>
                <w:color w:val="000000"/>
                <w:lang w:val="en-GB"/>
              </w:rPr>
            </w:pPr>
            <w:r w:rsidRPr="00701ADE">
              <w:rPr>
                <w:color w:val="000000"/>
                <w:lang w:val="en-GB"/>
              </w:rPr>
              <w:fldChar w:fldCharType="begin">
                <w:ffData>
                  <w:name w:val=""/>
                  <w:enabled/>
                  <w:calcOnExit w:val="0"/>
                  <w:checkBox>
                    <w:size w:val="20"/>
                    <w:default w:val="0"/>
                    <w:checked w:val="0"/>
                  </w:checkBox>
                </w:ffData>
              </w:fldChar>
            </w:r>
            <w:r w:rsidR="00BB4ED7" w:rsidRPr="00701ADE">
              <w:rPr>
                <w:color w:val="000000"/>
                <w:lang w:val="en-GB"/>
              </w:rPr>
              <w:instrText xml:space="preserve"> FORMCHECKBOX </w:instrText>
            </w:r>
            <w:r w:rsidR="002A06CB">
              <w:rPr>
                <w:color w:val="000000"/>
                <w:lang w:val="en-GB"/>
              </w:rPr>
            </w:r>
            <w:r w:rsidR="002A06CB">
              <w:rPr>
                <w:color w:val="000000"/>
                <w:lang w:val="en-GB"/>
              </w:rPr>
              <w:fldChar w:fldCharType="separate"/>
            </w:r>
            <w:r w:rsidRPr="00701ADE">
              <w:rPr>
                <w:color w:val="000000"/>
                <w:lang w:val="en-GB"/>
              </w:rPr>
              <w:fldChar w:fldCharType="end"/>
            </w:r>
            <w:r w:rsidR="00BB4ED7" w:rsidRPr="00701ADE">
              <w:rPr>
                <w:color w:val="000000"/>
                <w:lang w:val="en-GB"/>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lang w:val="en-GB"/>
              </w:rPr>
            </w:pPr>
            <w:r w:rsidRPr="00701ADE">
              <w:rPr>
                <w:color w:val="000000"/>
                <w:lang w:val="en-GB"/>
              </w:rPr>
              <w:t>4. Solidarity</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lang w:val="en-GB"/>
              </w:rPr>
            </w:pPr>
            <w:r w:rsidRPr="00701ADE">
              <w:rPr>
                <w:color w:val="000000"/>
                <w:lang w:val="en-GB"/>
              </w:rPr>
              <w:t>International protection (Transfer out)</w:t>
            </w:r>
          </w:p>
        </w:tc>
      </w:tr>
      <w:tr w:rsidR="004B75EC" w:rsidRPr="00701ADE">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DC51E9">
            <w:pPr>
              <w:spacing w:before="100"/>
              <w:jc w:val="center"/>
              <w:rPr>
                <w:color w:val="000000"/>
                <w:lang w:val="en-GB"/>
              </w:rPr>
            </w:pPr>
            <w:r w:rsidRPr="00701ADE">
              <w:rPr>
                <w:color w:val="000000"/>
                <w:lang w:val="en-GB"/>
              </w:rPr>
              <w:fldChar w:fldCharType="begin">
                <w:ffData>
                  <w:name w:val=""/>
                  <w:enabled/>
                  <w:calcOnExit w:val="0"/>
                  <w:checkBox>
                    <w:size w:val="20"/>
                    <w:default w:val="1"/>
                    <w:checked/>
                  </w:checkBox>
                </w:ffData>
              </w:fldChar>
            </w:r>
            <w:r w:rsidR="00BB4ED7" w:rsidRPr="00701ADE">
              <w:rPr>
                <w:color w:val="000000"/>
                <w:lang w:val="en-GB"/>
              </w:rPr>
              <w:instrText xml:space="preserve"> FORMCHECKBOX </w:instrText>
            </w:r>
            <w:r w:rsidR="002A06CB">
              <w:rPr>
                <w:color w:val="000000"/>
                <w:lang w:val="en-GB"/>
              </w:rPr>
            </w:r>
            <w:r w:rsidR="002A06CB">
              <w:rPr>
                <w:color w:val="000000"/>
                <w:lang w:val="en-GB"/>
              </w:rPr>
              <w:fldChar w:fldCharType="separate"/>
            </w:r>
            <w:r w:rsidRPr="00701ADE">
              <w:rPr>
                <w:color w:val="000000"/>
                <w:lang w:val="en-GB"/>
              </w:rPr>
              <w:fldChar w:fldCharType="end"/>
            </w:r>
            <w:r w:rsidR="00BB4ED7" w:rsidRPr="00701ADE">
              <w:rPr>
                <w:color w:val="000000"/>
                <w:lang w:val="en-GB"/>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lang w:val="en-GB"/>
              </w:rPr>
            </w:pPr>
            <w:r w:rsidRPr="00701ADE">
              <w:rPr>
                <w:color w:val="000000"/>
                <w:lang w:val="en-GB"/>
              </w:rPr>
              <w:t>TA.36(5). Technical assistance – flat rate (Article 36(5) of the Common Provisions Regulation)</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A77B3E">
            <w:pPr>
              <w:spacing w:before="100"/>
              <w:rPr>
                <w:color w:val="000000"/>
                <w:lang w:val="en-GB"/>
              </w:rPr>
            </w:pPr>
          </w:p>
        </w:tc>
      </w:tr>
      <w:tr w:rsidR="004B75EC" w:rsidRPr="00701ADE">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DC51E9">
            <w:pPr>
              <w:spacing w:before="100"/>
              <w:jc w:val="center"/>
              <w:rPr>
                <w:color w:val="000000"/>
                <w:lang w:val="en-GB"/>
              </w:rPr>
            </w:pPr>
            <w:r w:rsidRPr="00701ADE">
              <w:rPr>
                <w:color w:val="000000"/>
                <w:lang w:val="en-GB"/>
              </w:rPr>
              <w:lastRenderedPageBreak/>
              <w:fldChar w:fldCharType="begin">
                <w:ffData>
                  <w:name w:val=""/>
                  <w:enabled/>
                  <w:calcOnExit w:val="0"/>
                  <w:checkBox>
                    <w:size w:val="20"/>
                    <w:default w:val="0"/>
                    <w:checked w:val="0"/>
                  </w:checkBox>
                </w:ffData>
              </w:fldChar>
            </w:r>
            <w:r w:rsidR="00BB4ED7" w:rsidRPr="00701ADE">
              <w:rPr>
                <w:color w:val="000000"/>
                <w:lang w:val="en-GB"/>
              </w:rPr>
              <w:instrText xml:space="preserve"> FORMCHECKBOX </w:instrText>
            </w:r>
            <w:r w:rsidR="002A06CB">
              <w:rPr>
                <w:color w:val="000000"/>
                <w:lang w:val="en-GB"/>
              </w:rPr>
            </w:r>
            <w:r w:rsidR="002A06CB">
              <w:rPr>
                <w:color w:val="000000"/>
                <w:lang w:val="en-GB"/>
              </w:rPr>
              <w:fldChar w:fldCharType="separate"/>
            </w:r>
            <w:r w:rsidRPr="00701ADE">
              <w:rPr>
                <w:color w:val="000000"/>
                <w:lang w:val="en-GB"/>
              </w:rPr>
              <w:fldChar w:fldCharType="end"/>
            </w:r>
            <w:r w:rsidR="00BB4ED7" w:rsidRPr="00701ADE">
              <w:rPr>
                <w:color w:val="000000"/>
                <w:lang w:val="en-GB"/>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lang w:val="en-GB"/>
              </w:rPr>
            </w:pPr>
            <w:r w:rsidRPr="00701ADE">
              <w:rPr>
                <w:color w:val="000000"/>
                <w:lang w:val="en-GB"/>
              </w:rPr>
              <w:t>TA.37. Technical assistance – Financing not linked to costs (Article 37 of the Common Provisions Regulation)</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A77B3E">
            <w:pPr>
              <w:spacing w:before="100"/>
              <w:rPr>
                <w:color w:val="000000"/>
                <w:lang w:val="en-GB"/>
              </w:rPr>
            </w:pPr>
          </w:p>
        </w:tc>
      </w:tr>
    </w:tbl>
    <w:p w:rsidR="00A77B3E" w:rsidRPr="00701ADE" w:rsidRDefault="00A77B3E">
      <w:pPr>
        <w:spacing w:before="100"/>
        <w:jc w:val="center"/>
        <w:rPr>
          <w:color w:val="000000"/>
          <w:lang w:val="en-GB"/>
        </w:rPr>
        <w:sectPr w:rsidR="00A77B3E" w:rsidRPr="00701ADE">
          <w:headerReference w:type="even" r:id="rId9"/>
          <w:headerReference w:type="default" r:id="rId10"/>
          <w:footerReference w:type="even" r:id="rId11"/>
          <w:footerReference w:type="default" r:id="rId12"/>
          <w:headerReference w:type="first" r:id="rId13"/>
          <w:footerReference w:type="first" r:id="rId14"/>
          <w:pgSz w:w="11906" w:h="16838"/>
          <w:pgMar w:top="720" w:right="936" w:bottom="864" w:left="720" w:header="0" w:footer="72" w:gutter="0"/>
          <w:cols w:space="720"/>
          <w:noEndnote/>
          <w:docGrid w:linePitch="360"/>
        </w:sectPr>
      </w:pPr>
    </w:p>
    <w:p w:rsidR="00A77B3E" w:rsidRPr="00701ADE" w:rsidRDefault="00BB4ED7">
      <w:pPr>
        <w:pStyle w:val="Nagwek2"/>
        <w:spacing w:before="100" w:after="0"/>
        <w:rPr>
          <w:rFonts w:ascii="Times New Roman" w:hAnsi="Times New Roman" w:cs="Times New Roman"/>
          <w:b w:val="0"/>
          <w:i w:val="0"/>
          <w:color w:val="000000"/>
          <w:sz w:val="24"/>
          <w:lang w:val="en-GB"/>
        </w:rPr>
      </w:pPr>
      <w:bookmarkStart w:id="3" w:name="_Toc126925379"/>
      <w:r w:rsidRPr="00701ADE">
        <w:rPr>
          <w:rFonts w:ascii="Times New Roman" w:hAnsi="Times New Roman" w:cs="Times New Roman"/>
          <w:b w:val="0"/>
          <w:i w:val="0"/>
          <w:color w:val="000000"/>
          <w:sz w:val="24"/>
          <w:lang w:val="en-GB"/>
        </w:rPr>
        <w:lastRenderedPageBreak/>
        <w:t>2.1. Specific objective: 1. CEAS</w:t>
      </w:r>
      <w:bookmarkEnd w:id="3"/>
    </w:p>
    <w:p w:rsidR="00A77B3E" w:rsidRPr="00701ADE" w:rsidRDefault="00A77B3E">
      <w:pPr>
        <w:spacing w:before="100"/>
        <w:rPr>
          <w:color w:val="000000"/>
          <w:sz w:val="0"/>
          <w:lang w:val="en-GB"/>
        </w:rPr>
      </w:pPr>
    </w:p>
    <w:p w:rsidR="00A77B3E" w:rsidRPr="00701ADE" w:rsidRDefault="00BB4ED7">
      <w:pPr>
        <w:pStyle w:val="Nagwek3"/>
        <w:spacing w:before="100" w:after="0"/>
        <w:rPr>
          <w:rFonts w:ascii="Times New Roman" w:hAnsi="Times New Roman" w:cs="Times New Roman"/>
          <w:b w:val="0"/>
          <w:color w:val="000000"/>
          <w:sz w:val="24"/>
          <w:lang w:val="en-GB"/>
        </w:rPr>
      </w:pPr>
      <w:bookmarkStart w:id="4" w:name="_Toc126925380"/>
      <w:r w:rsidRPr="00701ADE">
        <w:rPr>
          <w:rFonts w:ascii="Times New Roman" w:hAnsi="Times New Roman" w:cs="Times New Roman"/>
          <w:b w:val="0"/>
          <w:color w:val="000000"/>
          <w:sz w:val="24"/>
          <w:lang w:val="en-GB"/>
        </w:rPr>
        <w:t>2.1.1. Description of the specific objective</w:t>
      </w:r>
      <w:bookmarkEnd w:id="4"/>
    </w:p>
    <w:p w:rsidR="00A77B3E" w:rsidRPr="00701ADE" w:rsidRDefault="00A77B3E">
      <w:pPr>
        <w:spacing w:before="100"/>
        <w:rPr>
          <w:color w:val="000000"/>
          <w:sz w:val="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4B75EC" w:rsidRPr="00701ADE">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A77B3E">
            <w:pPr>
              <w:spacing w:before="100"/>
              <w:rPr>
                <w:color w:val="000000"/>
                <w:sz w:val="0"/>
                <w:lang w:val="en-GB"/>
              </w:rPr>
            </w:pPr>
          </w:p>
          <w:p w:rsidR="00A77B3E" w:rsidRPr="00701ADE" w:rsidRDefault="00BB4ED7">
            <w:pPr>
              <w:spacing w:before="100"/>
              <w:rPr>
                <w:color w:val="000000"/>
                <w:lang w:val="en-GB"/>
              </w:rPr>
            </w:pPr>
            <w:r w:rsidRPr="00701ADE">
              <w:rPr>
                <w:color w:val="000000"/>
                <w:lang w:val="en-GB"/>
              </w:rPr>
              <w:t xml:space="preserve">The procedure of providing assistance to TCNs in Poland falls within the responsibility of the </w:t>
            </w:r>
            <w:r w:rsidRPr="00701ADE">
              <w:rPr>
                <w:b/>
                <w:bCs/>
                <w:color w:val="000000"/>
                <w:lang w:val="en-GB"/>
              </w:rPr>
              <w:t xml:space="preserve">BG </w:t>
            </w:r>
            <w:r w:rsidRPr="00701ADE">
              <w:rPr>
                <w:color w:val="000000"/>
                <w:lang w:val="en-GB"/>
              </w:rPr>
              <w:t xml:space="preserve">and </w:t>
            </w:r>
            <w:r w:rsidRPr="00701ADE">
              <w:rPr>
                <w:b/>
                <w:bCs/>
                <w:color w:val="000000"/>
                <w:lang w:val="en-GB"/>
              </w:rPr>
              <w:t>OfF</w:t>
            </w:r>
            <w:r w:rsidRPr="00701ADE">
              <w:rPr>
                <w:color w:val="000000"/>
                <w:lang w:val="en-GB"/>
              </w:rPr>
              <w:t xml:space="preserve">: Procedures and tasks of those entities are regulated under the Act on foreigners, which implements applicable EU asylum and migrations law. A TCN submits an international protection application to the Head of the OfF via the Commander of a Border Guard unit or appropriate local Commander of a BG post. The procedure involves </w:t>
            </w:r>
            <w:r w:rsidRPr="00701ADE">
              <w:rPr>
                <w:i/>
                <w:iCs/>
                <w:color w:val="000000"/>
                <w:lang w:val="en-GB"/>
              </w:rPr>
              <w:t xml:space="preserve">inter alia </w:t>
            </w:r>
            <w:r w:rsidRPr="00701ADE">
              <w:rPr>
                <w:color w:val="000000"/>
                <w:lang w:val="en-GB"/>
              </w:rPr>
              <w:t xml:space="preserve">confirming the identity of the TCN, assisting in submitting the application, providing social and medical assistance and conducting pre-integration actions. During the procedure, TCNs remain, depending on how they crossed the border, at BG or OfF facilities, or alternatives to detentions are used. The asylum procedure ends with a decision issued by the </w:t>
            </w:r>
            <w:r w:rsidR="006A3529">
              <w:rPr>
                <w:color w:val="000000"/>
                <w:lang w:val="en-GB"/>
              </w:rPr>
              <w:t xml:space="preserve">Head of the </w:t>
            </w:r>
            <w:r w:rsidRPr="00701ADE">
              <w:rPr>
                <w:color w:val="000000"/>
                <w:lang w:val="en-GB"/>
              </w:rPr>
              <w:t>OfF.</w:t>
            </w:r>
          </w:p>
          <w:p w:rsidR="00A77B3E" w:rsidRPr="00701ADE" w:rsidRDefault="00BB4ED7">
            <w:pPr>
              <w:spacing w:before="100"/>
              <w:rPr>
                <w:color w:val="000000"/>
                <w:lang w:val="en-GB"/>
              </w:rPr>
            </w:pPr>
            <w:r w:rsidRPr="00701ADE">
              <w:rPr>
                <w:color w:val="000000"/>
                <w:lang w:val="en-GB"/>
              </w:rPr>
              <w:t xml:space="preserve">According to data provided by Statistics Poland, the total number of TCNs who at the end of 2021 held a valid residence permit evidencing the granting of international protection (refugee status and subsidiary protection) or national protection (asylum, authorisation to stay for humanitarian reasons and tolerated stay permit) remained at a stable level similar to that recorded in the previous years which amounted to ca. 5,200–5,600 (it was 5,300 as of the end of 2019). However, </w:t>
            </w:r>
            <w:r w:rsidRPr="00701ADE">
              <w:rPr>
                <w:b/>
                <w:bCs/>
                <w:color w:val="000000"/>
                <w:lang w:val="en-GB"/>
              </w:rPr>
              <w:t>such permits were held by 5,800 people as of 1 January 2022 and one can expect that number to grow dynamically.</w:t>
            </w:r>
          </w:p>
          <w:p w:rsidR="00A77B3E" w:rsidRPr="00701ADE" w:rsidRDefault="00BB4ED7">
            <w:pPr>
              <w:spacing w:before="100"/>
              <w:rPr>
                <w:color w:val="000000"/>
                <w:lang w:val="en-GB"/>
              </w:rPr>
            </w:pPr>
            <w:r w:rsidRPr="00701ADE">
              <w:rPr>
                <w:color w:val="000000"/>
                <w:lang w:val="en-GB"/>
              </w:rPr>
              <w:t xml:space="preserve">The bulk of actions relating to maintaining and correct functioning of that structure rests in Poland on the BG and OfF. Strengthening these institutions through renovations of their facilities and provision of assistance to TCNs was only possible by means of the AMIF 2014-2020, and </w:t>
            </w:r>
            <w:r w:rsidRPr="00701ADE">
              <w:rPr>
                <w:b/>
                <w:bCs/>
                <w:color w:val="000000"/>
                <w:lang w:val="en-GB"/>
              </w:rPr>
              <w:t>it is necessary to continue to strengthen the capacities of both of them.</w:t>
            </w:r>
            <w:r w:rsidRPr="00701ADE">
              <w:rPr>
                <w:color w:val="000000"/>
                <w:lang w:val="en-GB"/>
              </w:rPr>
              <w:t xml:space="preserve"> Actions carried out included maintenance and development of the infrastructure and security, accommodation and reception systems required to handle applicants for international protection, as well as development, improvement and enhancement of the existing structures and systems, including the detention system. Alternatives to detention (reporting to the BG at defined time intervals, depositing a monetary security, staying at a location assigned in the decision ) </w:t>
            </w:r>
            <w:r w:rsidRPr="00701ADE">
              <w:rPr>
                <w:b/>
                <w:bCs/>
                <w:color w:val="000000"/>
                <w:lang w:val="en-GB"/>
              </w:rPr>
              <w:t xml:space="preserve">have not been financed from the AMIF and it is not planned to financed them under the Programme because, due to their nature, they do not involve any significant public funds. </w:t>
            </w:r>
            <w:r w:rsidRPr="00701ADE">
              <w:rPr>
                <w:color w:val="000000"/>
                <w:lang w:val="en-GB"/>
              </w:rPr>
              <w:t xml:space="preserve">The BG and OfF systematically </w:t>
            </w:r>
            <w:r w:rsidRPr="00701ADE">
              <w:rPr>
                <w:b/>
                <w:bCs/>
                <w:color w:val="000000"/>
                <w:lang w:val="en-GB"/>
              </w:rPr>
              <w:t xml:space="preserve">increase the reception capacities </w:t>
            </w:r>
            <w:r w:rsidRPr="00701ADE">
              <w:rPr>
                <w:color w:val="000000"/>
                <w:lang w:val="en-GB"/>
              </w:rPr>
              <w:t xml:space="preserve">of their facilities. As of February 2022, the BG had </w:t>
            </w:r>
            <w:r w:rsidRPr="00701ADE">
              <w:rPr>
                <w:b/>
                <w:bCs/>
                <w:color w:val="000000"/>
                <w:lang w:val="en-GB"/>
              </w:rPr>
              <w:t>1,979</w:t>
            </w:r>
            <w:r w:rsidRPr="00701ADE">
              <w:rPr>
                <w:color w:val="000000"/>
                <w:lang w:val="en-GB"/>
              </w:rPr>
              <w:t xml:space="preserve"> places at 7 guarded centres, and the OfF had </w:t>
            </w:r>
            <w:r w:rsidRPr="00701ADE">
              <w:rPr>
                <w:b/>
                <w:bCs/>
                <w:color w:val="000000"/>
                <w:lang w:val="en-GB"/>
              </w:rPr>
              <w:t>1,941</w:t>
            </w:r>
            <w:r w:rsidRPr="00701ADE">
              <w:rPr>
                <w:color w:val="000000"/>
                <w:lang w:val="en-GB"/>
              </w:rPr>
              <w:t xml:space="preserve"> places at 9 Centres for Foreigners. Utilisation of those facilities is continually increasing.</w:t>
            </w:r>
          </w:p>
          <w:p w:rsidR="00A77B3E" w:rsidRPr="00701ADE" w:rsidRDefault="00BB4ED7">
            <w:pPr>
              <w:spacing w:before="100"/>
              <w:rPr>
                <w:color w:val="000000"/>
                <w:lang w:val="en-GB"/>
              </w:rPr>
            </w:pPr>
            <w:r w:rsidRPr="00701ADE">
              <w:rPr>
                <w:color w:val="000000"/>
                <w:lang w:val="en-GB"/>
              </w:rPr>
              <w:t xml:space="preserve">In 2015, the average application handling time was nearly 4 months, compared to nearly 3 months in 2016, nearly 6 months in 2017, 2018 and 2019, and up to nearly 7 months in 2020. </w:t>
            </w:r>
            <w:r w:rsidRPr="00701ADE">
              <w:rPr>
                <w:b/>
                <w:bCs/>
                <w:color w:val="000000"/>
                <w:lang w:val="en-GB"/>
              </w:rPr>
              <w:t xml:space="preserve">The procedures can be streamlined </w:t>
            </w:r>
            <w:r w:rsidRPr="00701ADE">
              <w:rPr>
                <w:color w:val="000000"/>
                <w:lang w:val="en-GB"/>
              </w:rPr>
              <w:t xml:space="preserve">through enhancing the capacities of the migration services as regards collection, gathering, analysis and dissemination of data on asylum procedures and reception capacities, as well as enhancing the potential of the services in TCNs' countries of origin in connection with the rising, including the exchange of knowledge and best practices with EU Member States and third countries. Access to increasingly better tools and the most comprehensive and up-to-date sources possible is of key importance. It is necessary to build the capacities of the migration authorities through exchanging the knowledge and best practices in the area of TCN support, creating the reception and asylum system, and upgrading the IT systems. Optimisation of the resources within the aforementioned scope will contribute to ensuring better quality of decisions issued as part of the above processes. Such actions were supported under the AMIF 2014-2020 and </w:t>
            </w:r>
            <w:r w:rsidRPr="00701ADE">
              <w:rPr>
                <w:b/>
                <w:bCs/>
                <w:color w:val="000000"/>
                <w:lang w:val="en-GB"/>
              </w:rPr>
              <w:t xml:space="preserve">will be continued </w:t>
            </w:r>
            <w:r w:rsidRPr="00701ADE">
              <w:rPr>
                <w:color w:val="000000"/>
                <w:lang w:val="en-GB"/>
              </w:rPr>
              <w:t xml:space="preserve">to ensure that the staff have access to the most comprehensive and up-to-date sources of information possible, which will </w:t>
            </w:r>
            <w:r w:rsidRPr="00746F09">
              <w:rPr>
                <w:color w:val="000000"/>
                <w:lang w:val="en-GB"/>
              </w:rPr>
              <w:t>translate</w:t>
            </w:r>
            <w:r w:rsidRPr="00701ADE">
              <w:rPr>
                <w:color w:val="000000"/>
                <w:lang w:val="en-GB"/>
              </w:rPr>
              <w:t xml:space="preserve"> directly to faster and more efficient handling of matters.</w:t>
            </w:r>
          </w:p>
          <w:p w:rsidR="00A77B3E" w:rsidRPr="00701ADE" w:rsidRDefault="00BB4ED7">
            <w:pPr>
              <w:spacing w:before="100"/>
              <w:rPr>
                <w:color w:val="000000"/>
                <w:lang w:val="en-GB"/>
              </w:rPr>
            </w:pPr>
            <w:r w:rsidRPr="00701ADE">
              <w:rPr>
                <w:b/>
                <w:bCs/>
                <w:color w:val="000000"/>
                <w:lang w:val="en-GB"/>
              </w:rPr>
              <w:t xml:space="preserve">Support for the capacities of the asylum system in the area of TCN reception infrastructure and services </w:t>
            </w:r>
            <w:r w:rsidRPr="00701ADE">
              <w:rPr>
                <w:color w:val="000000"/>
                <w:lang w:val="en-GB"/>
              </w:rPr>
              <w:t xml:space="preserve">is the most important issue as regards the asylum system in Poland. The main challenges in this area include </w:t>
            </w:r>
            <w:r w:rsidRPr="00701ADE">
              <w:rPr>
                <w:b/>
                <w:bCs/>
                <w:color w:val="000000"/>
                <w:lang w:val="en-GB"/>
              </w:rPr>
              <w:t xml:space="preserve">smooth handling of TCNs applying for international protection or covered by temporary protection, streamlining the procedures and addressing the challenge posed by the </w:t>
            </w:r>
            <w:r w:rsidRPr="00746F09">
              <w:rPr>
                <w:b/>
                <w:bCs/>
                <w:color w:val="000000"/>
                <w:lang w:val="en-GB"/>
              </w:rPr>
              <w:t>sudden and unpredicted influx of TCNs in crisis situations</w:t>
            </w:r>
            <w:r w:rsidRPr="00701ADE">
              <w:rPr>
                <w:color w:val="000000"/>
                <w:lang w:val="en-GB"/>
              </w:rPr>
              <w:t xml:space="preserve">. Migration services must be prepared for further mass influx of TCNs into the territory of Poland, in particular by means of ensuring accommodation through either building or adapting appropriate facilities and providing appropriate </w:t>
            </w:r>
            <w:r w:rsidRPr="00701ADE">
              <w:rPr>
                <w:color w:val="000000"/>
                <w:lang w:val="en-GB"/>
              </w:rPr>
              <w:lastRenderedPageBreak/>
              <w:t>support. Ensuring the appropriate level of security at OfF facilities is of equal importance. It is therefore expected to create 100 new places within the reception infrastructure (O.1.3), and 905 places will be renovated or refurbished (O.1.4).</w:t>
            </w:r>
          </w:p>
          <w:p w:rsidR="00A77B3E" w:rsidRPr="00701ADE" w:rsidRDefault="00BB4ED7">
            <w:pPr>
              <w:spacing w:before="100"/>
              <w:rPr>
                <w:color w:val="000000"/>
                <w:lang w:val="en-GB"/>
              </w:rPr>
            </w:pPr>
            <w:r w:rsidRPr="00701ADE">
              <w:rPr>
                <w:color w:val="000000"/>
                <w:lang w:val="en-GB"/>
              </w:rPr>
              <w:t xml:space="preserve">It is necessary to </w:t>
            </w:r>
            <w:r w:rsidRPr="00701ADE">
              <w:rPr>
                <w:b/>
                <w:bCs/>
                <w:color w:val="000000"/>
                <w:lang w:val="en-GB"/>
              </w:rPr>
              <w:t xml:space="preserve">improve services provided to applicants for and beneficiaries of international protection, </w:t>
            </w:r>
            <w:r w:rsidRPr="00701ADE">
              <w:rPr>
                <w:color w:val="000000"/>
                <w:lang w:val="en-GB"/>
              </w:rPr>
              <w:t>such as provision of material support, auxiliary services (including translating and interpreting, education, language training, pre-integration actions), assistance at the border, psychological care, social assistance as well as information and support regarding administrative, judicial and legal procedures, ensuring and monitoring of free-of-charge legal assistance and representation. Legal assistance will be provided to ca. 3,209 people (</w:t>
            </w:r>
            <w:r w:rsidRPr="00746F09">
              <w:rPr>
                <w:color w:val="000000"/>
                <w:lang w:val="en-GB"/>
              </w:rPr>
              <w:t>O.1.1.1</w:t>
            </w:r>
            <w:r w:rsidRPr="00701ADE">
              <w:rPr>
                <w:color w:val="000000"/>
                <w:lang w:val="en-GB"/>
              </w:rPr>
              <w:t>), with other forms of support to cover ca. 23,338 people (O.1.1.2). The scope of the aforementioned services should be extended also to the beneficiaries of temporary protection.</w:t>
            </w:r>
            <w:r w:rsidRPr="00701ADE">
              <w:rPr>
                <w:b/>
                <w:bCs/>
                <w:color w:val="000000"/>
                <w:lang w:val="en-GB"/>
              </w:rPr>
              <w:t xml:space="preserve"> It is continually important to properly identify vulnerable groups and to prepare and provide adequate assistance. </w:t>
            </w:r>
            <w:r w:rsidRPr="00701ADE">
              <w:rPr>
                <w:color w:val="000000"/>
                <w:lang w:val="en-GB"/>
              </w:rPr>
              <w:t>Services provided to the target group account for a significant part of the "Asylum" objective.</w:t>
            </w:r>
          </w:p>
          <w:p w:rsidR="00A77B3E" w:rsidRPr="00701ADE" w:rsidRDefault="00BB4ED7">
            <w:pPr>
              <w:spacing w:before="100"/>
              <w:rPr>
                <w:color w:val="000000"/>
                <w:lang w:val="en-GB"/>
              </w:rPr>
            </w:pPr>
            <w:r w:rsidRPr="00701ADE">
              <w:rPr>
                <w:b/>
                <w:bCs/>
                <w:color w:val="000000"/>
                <w:lang w:val="en-GB"/>
              </w:rPr>
              <w:t>Enhancing the asylum system and streamlining the procedures is related to the permanent need to improve the existing and implement new technological solutions.</w:t>
            </w:r>
            <w:r w:rsidRPr="00701ADE">
              <w:rPr>
                <w:color w:val="000000"/>
                <w:lang w:val="en-GB"/>
              </w:rPr>
              <w:t xml:space="preserve"> The SP, which is used for keeping the national set of registers, records and lists in TCN matters, is the main tool used by the OfF. The system has been thoroughly modernised from EU funds and is still being modernised due to the constantly changing laws and the resulting critical system updates, increased number of registers and devices used within it. The system requires further expansion, including as regards interfaces with other systems and adaptation to the requirements of Statistical Regulation 2020/851, from which Poland has derogated. The hardware infrastructure supporting that system also requires modernisation and expansion.</w:t>
            </w:r>
          </w:p>
          <w:p w:rsidR="00A77B3E" w:rsidRPr="00701ADE" w:rsidRDefault="00BB4ED7">
            <w:pPr>
              <w:spacing w:before="100"/>
              <w:rPr>
                <w:color w:val="000000"/>
                <w:lang w:val="en-GB"/>
              </w:rPr>
            </w:pPr>
            <w:r w:rsidRPr="00701ADE">
              <w:rPr>
                <w:color w:val="000000"/>
                <w:lang w:val="en-GB"/>
              </w:rPr>
              <w:t xml:space="preserve">The constantly changing migration situation, both in the area of asylum (the changing political environment, other countries of origin, legislative changes) and legal migration (the growing number of applications submitted by TCNs in this respect, procedural and legislative changes), as well as staff rotation, make it necessary to </w:t>
            </w:r>
            <w:r w:rsidRPr="00701ADE">
              <w:rPr>
                <w:b/>
                <w:bCs/>
                <w:color w:val="000000"/>
                <w:lang w:val="en-GB"/>
              </w:rPr>
              <w:t>continually increase the staff competencies in order to ensure uniform application of the Union acquis and the Common European Asylum System priorities.</w:t>
            </w:r>
            <w:r w:rsidRPr="00701ADE">
              <w:rPr>
                <w:color w:val="000000"/>
                <w:lang w:val="en-GB"/>
              </w:rPr>
              <w:t> It is estimated that 130 persons will participate in training (O.1.2).</w:t>
            </w:r>
          </w:p>
          <w:p w:rsidR="00A77B3E" w:rsidRPr="00701ADE" w:rsidRDefault="00BB4ED7">
            <w:pPr>
              <w:spacing w:before="100"/>
              <w:rPr>
                <w:color w:val="000000"/>
                <w:lang w:val="en-GB"/>
              </w:rPr>
            </w:pPr>
            <w:r w:rsidRPr="00701ADE">
              <w:rPr>
                <w:b/>
                <w:bCs/>
                <w:color w:val="000000"/>
                <w:lang w:val="en-GB"/>
              </w:rPr>
              <w:t xml:space="preserve">The number of applications submitted by unaccompanied minors increased </w:t>
            </w:r>
            <w:r w:rsidRPr="00701ADE">
              <w:rPr>
                <w:color w:val="000000"/>
                <w:lang w:val="en-GB"/>
              </w:rPr>
              <w:t xml:space="preserve">in 2017-2020. They do not stay at centres for foreigners but at educational and care institutions which operate within the framework of the care system. Poland has not used AMIF to finance the cost of accommodation of unaccompanied minors under the international protection procedure and does not intend to use such financing at present. In 2020, </w:t>
            </w:r>
            <w:r w:rsidRPr="00701ADE">
              <w:rPr>
                <w:b/>
                <w:bCs/>
                <w:color w:val="000000"/>
                <w:lang w:val="en-GB"/>
              </w:rPr>
              <w:t xml:space="preserve">women and children accounted for 59% of the applicants, which is among the highest rates in Europe. </w:t>
            </w:r>
            <w:r w:rsidRPr="00701ADE">
              <w:rPr>
                <w:color w:val="000000"/>
                <w:lang w:val="en-GB"/>
              </w:rPr>
              <w:t xml:space="preserve">Legal provisions provide for </w:t>
            </w:r>
            <w:r w:rsidRPr="00701ADE">
              <w:rPr>
                <w:b/>
                <w:bCs/>
                <w:color w:val="000000"/>
                <w:lang w:val="en-GB"/>
              </w:rPr>
              <w:t>a special procedure with respect to individuals with special needs and children</w:t>
            </w:r>
            <w:r w:rsidRPr="00701ADE">
              <w:rPr>
                <w:color w:val="000000"/>
                <w:lang w:val="en-GB"/>
              </w:rPr>
              <w:t xml:space="preserve">, and the large numbers of such individuals makes it necessary to develop a special model and measures and procedures to be applied to this category of people. </w:t>
            </w:r>
            <w:r w:rsidRPr="002C5B76">
              <w:rPr>
                <w:color w:val="000000"/>
                <w:lang w:val="en-GB"/>
              </w:rPr>
              <w:t>Individuals who apply for international protection in Poland are varying physical and mental shape</w:t>
            </w:r>
            <w:r w:rsidRPr="008F6B61">
              <w:rPr>
                <w:color w:val="000000"/>
                <w:lang w:val="en-GB"/>
              </w:rPr>
              <w:t>.</w:t>
            </w:r>
            <w:r w:rsidRPr="00701ADE">
              <w:rPr>
                <w:color w:val="000000"/>
                <w:lang w:val="en-GB"/>
              </w:rPr>
              <w:t xml:space="preserve"> Many are not aware of their rights and obligations, nor of Polish procedures. Language barriers and cultural differences may further deepen the sense of helplessness in contacts with the receiving society. </w:t>
            </w:r>
            <w:r w:rsidRPr="00701ADE">
              <w:rPr>
                <w:b/>
                <w:bCs/>
                <w:color w:val="000000"/>
                <w:lang w:val="en-GB"/>
              </w:rPr>
              <w:t>Such assistance was provided under the AMIF 2014-2020 by non-governmental organisations and will be supported in the next financial perspective</w:t>
            </w:r>
            <w:r w:rsidRPr="00701ADE">
              <w:rPr>
                <w:color w:val="000000"/>
                <w:lang w:val="en-GB"/>
              </w:rPr>
              <w:t>. It is estimated that it will cover 2,590 people (O.1.1.3).</w:t>
            </w:r>
          </w:p>
          <w:p w:rsidR="00A77B3E" w:rsidRPr="00701ADE" w:rsidRDefault="00BB4ED7">
            <w:pPr>
              <w:spacing w:before="100"/>
              <w:rPr>
                <w:color w:val="000000"/>
                <w:lang w:val="en-GB"/>
              </w:rPr>
            </w:pPr>
            <w:r w:rsidRPr="00701ADE">
              <w:rPr>
                <w:color w:val="000000"/>
                <w:lang w:val="en-GB"/>
              </w:rPr>
              <w:t xml:space="preserve">Streamlining the procedures requires </w:t>
            </w:r>
            <w:r w:rsidRPr="00701ADE">
              <w:rPr>
                <w:b/>
                <w:bCs/>
                <w:color w:val="000000"/>
                <w:lang w:val="en-GB"/>
              </w:rPr>
              <w:t xml:space="preserve">improving the quality of information on migration trends in Europe </w:t>
            </w:r>
            <w:r w:rsidRPr="00701ADE">
              <w:rPr>
                <w:color w:val="000000"/>
                <w:lang w:val="en-GB"/>
              </w:rPr>
              <w:t>prepared for experts and decision makers. This purpose is achieved through the MAC, the establishment of which was financed under the AMIF 2014-2020. The MAC's core tasks revolve around data and analyses regarding asylum and migration: improvement of the quality of reports, promotion of a wider and effective use of analytics in decision-making processes and identification of main causes of data problems.</w:t>
            </w:r>
          </w:p>
          <w:p w:rsidR="00A77B3E" w:rsidRPr="00701ADE" w:rsidRDefault="00BB4ED7">
            <w:pPr>
              <w:spacing w:before="100"/>
              <w:rPr>
                <w:color w:val="000000"/>
                <w:lang w:val="en-GB"/>
              </w:rPr>
            </w:pPr>
            <w:r w:rsidRPr="00701ADE">
              <w:rPr>
                <w:b/>
                <w:bCs/>
                <w:color w:val="000000"/>
                <w:lang w:val="en-GB"/>
              </w:rPr>
              <w:t>Support for the asylum system capacities under the AMIF has been planned as a series of actions taking into account implement</w:t>
            </w:r>
            <w:r w:rsidR="006A3529">
              <w:rPr>
                <w:b/>
                <w:bCs/>
                <w:color w:val="000000"/>
                <w:lang w:val="en-GB"/>
              </w:rPr>
              <w:t>ation</w:t>
            </w:r>
            <w:r w:rsidRPr="00701ADE">
              <w:rPr>
                <w:b/>
                <w:bCs/>
                <w:color w:val="000000"/>
                <w:lang w:val="en-GB"/>
              </w:rPr>
              <w:t xml:space="preserve"> measures a), b) and c). </w:t>
            </w:r>
          </w:p>
          <w:p w:rsidR="00A77B3E" w:rsidRPr="00701ADE" w:rsidRDefault="00BB4ED7">
            <w:pPr>
              <w:spacing w:before="100"/>
              <w:rPr>
                <w:color w:val="000000"/>
                <w:lang w:val="en-GB"/>
              </w:rPr>
            </w:pPr>
            <w:r w:rsidRPr="00701ADE">
              <w:rPr>
                <w:color w:val="000000"/>
                <w:lang w:val="en-GB"/>
              </w:rPr>
              <w:t xml:space="preserve">The following has been planned as part of </w:t>
            </w:r>
            <w:r w:rsidRPr="00701ADE">
              <w:rPr>
                <w:b/>
                <w:bCs/>
                <w:color w:val="000000"/>
                <w:u w:val="single"/>
                <w:lang w:val="en-GB"/>
              </w:rPr>
              <w:t>implement</w:t>
            </w:r>
            <w:r w:rsidR="006A3529">
              <w:rPr>
                <w:b/>
                <w:bCs/>
                <w:color w:val="000000"/>
                <w:u w:val="single"/>
                <w:lang w:val="en-GB"/>
              </w:rPr>
              <w:t>ation</w:t>
            </w:r>
            <w:r w:rsidRPr="00701ADE">
              <w:rPr>
                <w:b/>
                <w:bCs/>
                <w:color w:val="000000"/>
                <w:u w:val="single"/>
                <w:lang w:val="en-GB"/>
              </w:rPr>
              <w:t xml:space="preserve"> measure a):</w:t>
            </w:r>
          </w:p>
          <w:p w:rsidR="00A77B3E" w:rsidRPr="00701ADE" w:rsidRDefault="00BB4ED7">
            <w:pPr>
              <w:numPr>
                <w:ilvl w:val="0"/>
                <w:numId w:val="1"/>
              </w:numPr>
              <w:spacing w:before="100"/>
              <w:rPr>
                <w:color w:val="000000"/>
                <w:lang w:val="en-GB"/>
              </w:rPr>
            </w:pPr>
            <w:r w:rsidRPr="00701ADE">
              <w:rPr>
                <w:b/>
                <w:bCs/>
                <w:color w:val="000000"/>
                <w:lang w:val="en-GB"/>
              </w:rPr>
              <w:lastRenderedPageBreak/>
              <w:t xml:space="preserve">upgrading staff skills and qualification </w:t>
            </w:r>
            <w:r w:rsidRPr="00701ADE">
              <w:rPr>
                <w:color w:val="000000"/>
                <w:lang w:val="en-GB"/>
              </w:rPr>
              <w:t>regarding comprehensive TCN services, inter-cultural communication, identification of vulnerable groups, information on countries of origin, prevention of discrimination, increased staff employment including interpreters; (scope of support - Annex III, points 1(b), 1(h)), indicator O.1.2</w:t>
            </w:r>
          </w:p>
          <w:p w:rsidR="00A77B3E" w:rsidRPr="00701ADE" w:rsidRDefault="00BB4ED7">
            <w:pPr>
              <w:numPr>
                <w:ilvl w:val="0"/>
                <w:numId w:val="1"/>
              </w:numPr>
              <w:spacing w:before="100"/>
              <w:rPr>
                <w:color w:val="000000"/>
                <w:lang w:val="en-GB"/>
              </w:rPr>
            </w:pPr>
            <w:r w:rsidRPr="00701ADE">
              <w:rPr>
                <w:b/>
                <w:bCs/>
                <w:color w:val="000000"/>
                <w:lang w:val="en-GB"/>
              </w:rPr>
              <w:t>developing appropriate methods of identification of vulnerable groups and increasing access to personalised actions that meet individual needs of TCNs from vulnerable groups</w:t>
            </w:r>
            <w:r w:rsidRPr="00701ADE">
              <w:rPr>
                <w:color w:val="000000"/>
                <w:lang w:val="en-GB"/>
              </w:rPr>
              <w:t>, such as appropriate medical care, psychological care, strengthened infrastructure and adequate retrofitting the premises with children's products and providing bathrooms/toilets for the disabled, as well as training courses building the capacity of the staff in this area; (scope of support – Annex III, points 1(a), 1(f)), indicator O.1.1.3</w:t>
            </w:r>
          </w:p>
          <w:p w:rsidR="00A77B3E" w:rsidRPr="00701ADE" w:rsidRDefault="00BB4ED7">
            <w:pPr>
              <w:numPr>
                <w:ilvl w:val="0"/>
                <w:numId w:val="1"/>
              </w:numPr>
              <w:spacing w:before="100"/>
              <w:rPr>
                <w:color w:val="000000"/>
                <w:lang w:val="en-GB"/>
              </w:rPr>
            </w:pPr>
            <w:r w:rsidRPr="00701ADE">
              <w:rPr>
                <w:b/>
                <w:bCs/>
                <w:color w:val="000000"/>
                <w:lang w:val="en-GB"/>
              </w:rPr>
              <w:t>developing appropriate methods of identification of minors and additional actions and resources adapted to the special needs of unaccompanied minors</w:t>
            </w:r>
            <w:r w:rsidRPr="00701ADE">
              <w:rPr>
                <w:color w:val="000000"/>
                <w:lang w:val="en-GB"/>
              </w:rPr>
              <w:t>, including protection of TCN children against violence and actions aimed at increasing awareness of the above issues among the staff working with TCNs; (scope of support – Annex III, point 1(g))</w:t>
            </w:r>
          </w:p>
          <w:p w:rsidR="00A77B3E" w:rsidRPr="00701ADE" w:rsidRDefault="00BB4ED7">
            <w:pPr>
              <w:numPr>
                <w:ilvl w:val="0"/>
                <w:numId w:val="1"/>
              </w:numPr>
              <w:spacing w:before="100"/>
              <w:rPr>
                <w:color w:val="000000"/>
                <w:lang w:val="en-GB"/>
              </w:rPr>
            </w:pPr>
            <w:r w:rsidRPr="00701ADE">
              <w:rPr>
                <w:b/>
                <w:bCs/>
                <w:color w:val="000000"/>
                <w:lang w:val="en-GB"/>
              </w:rPr>
              <w:t xml:space="preserve">further development of the MAC </w:t>
            </w:r>
            <w:r w:rsidRPr="00701ADE">
              <w:rPr>
                <w:color w:val="000000"/>
                <w:lang w:val="en-GB"/>
              </w:rPr>
              <w:t xml:space="preserve">in terms of external users in order to improve the quality of the data and ensure better use thereof; conducting research and analyses, and providing </w:t>
            </w:r>
            <w:r w:rsidRPr="008F6B61">
              <w:rPr>
                <w:color w:val="000000"/>
                <w:lang w:val="en-GB"/>
              </w:rPr>
              <w:t>expertise</w:t>
            </w:r>
            <w:r w:rsidRPr="00701ADE">
              <w:rPr>
                <w:color w:val="000000"/>
                <w:lang w:val="en-GB"/>
              </w:rPr>
              <w:t xml:space="preserve"> in the area covered by the fund’s support. (scope of support – Annex III, points 1(d), 1(e), 1(h))</w:t>
            </w:r>
          </w:p>
          <w:p w:rsidR="00A77B3E" w:rsidRPr="00701ADE" w:rsidRDefault="00A77B3E">
            <w:pPr>
              <w:spacing w:before="100"/>
              <w:rPr>
                <w:color w:val="000000"/>
                <w:lang w:val="en-GB"/>
              </w:rPr>
            </w:pPr>
          </w:p>
          <w:p w:rsidR="00A77B3E" w:rsidRPr="00701ADE" w:rsidRDefault="00BB4ED7">
            <w:pPr>
              <w:spacing w:before="100"/>
              <w:rPr>
                <w:color w:val="000000"/>
                <w:lang w:val="en-GB"/>
              </w:rPr>
            </w:pPr>
            <w:r w:rsidRPr="00701ADE">
              <w:rPr>
                <w:color w:val="000000"/>
                <w:lang w:val="en-GB"/>
              </w:rPr>
              <w:t xml:space="preserve">The following has been planned as part of </w:t>
            </w:r>
            <w:r w:rsidRPr="00701ADE">
              <w:rPr>
                <w:b/>
                <w:bCs/>
                <w:color w:val="000000"/>
                <w:u w:val="single"/>
                <w:lang w:val="en-GB"/>
              </w:rPr>
              <w:t>implement</w:t>
            </w:r>
            <w:r w:rsidR="006A3529">
              <w:rPr>
                <w:b/>
                <w:bCs/>
                <w:color w:val="000000"/>
                <w:u w:val="single"/>
                <w:lang w:val="en-GB"/>
              </w:rPr>
              <w:t>ation</w:t>
            </w:r>
            <w:r w:rsidRPr="00701ADE">
              <w:rPr>
                <w:b/>
                <w:bCs/>
                <w:color w:val="000000"/>
                <w:u w:val="single"/>
                <w:lang w:val="en-GB"/>
              </w:rPr>
              <w:t xml:space="preserve"> measure b):</w:t>
            </w:r>
          </w:p>
          <w:p w:rsidR="00A77B3E" w:rsidRPr="00701ADE" w:rsidRDefault="00BB4ED7">
            <w:pPr>
              <w:numPr>
                <w:ilvl w:val="0"/>
                <w:numId w:val="2"/>
              </w:numPr>
              <w:spacing w:before="100"/>
              <w:rPr>
                <w:color w:val="000000"/>
                <w:lang w:val="en-GB"/>
              </w:rPr>
            </w:pPr>
            <w:r w:rsidRPr="00701ADE">
              <w:rPr>
                <w:color w:val="000000"/>
                <w:lang w:val="en-GB"/>
              </w:rPr>
              <w:t xml:space="preserve">strengthening the reception and asylum system: </w:t>
            </w:r>
            <w:r w:rsidRPr="00701ADE">
              <w:rPr>
                <w:b/>
                <w:bCs/>
                <w:color w:val="000000"/>
                <w:lang w:val="en-GB"/>
              </w:rPr>
              <w:t xml:space="preserve">improving the conditions of reception of TCNs </w:t>
            </w:r>
            <w:r w:rsidRPr="00701ADE">
              <w:rPr>
                <w:color w:val="000000"/>
                <w:lang w:val="en-GB"/>
              </w:rPr>
              <w:t xml:space="preserve">through </w:t>
            </w:r>
            <w:r w:rsidRPr="00701ADE">
              <w:rPr>
                <w:b/>
                <w:bCs/>
                <w:color w:val="000000"/>
                <w:lang w:val="en-GB"/>
              </w:rPr>
              <w:t xml:space="preserve">developing the reception and asylum infrastructure </w:t>
            </w:r>
            <w:r w:rsidRPr="00701ADE">
              <w:rPr>
                <w:color w:val="000000"/>
                <w:lang w:val="en-GB"/>
              </w:rPr>
              <w:t>(including ensuring accommodation and boarding), and providing a broader range of support services, i.e. material and non-material support for TCNs applying for international protection and covered by temporary protection (e.g. legal assistance, psychological assistance, education, medical assistance, Polish language courses, pre-integration and social assistance), with particular focus on persons from vulnerable groups; (scope of support – Annex III, point 2(a), 2(b), 2(c), 2(d)) indicators O.1.1.1, O.1.1.2,</w:t>
            </w:r>
          </w:p>
          <w:p w:rsidR="00A77B3E" w:rsidRPr="00701ADE" w:rsidRDefault="00BB4ED7">
            <w:pPr>
              <w:numPr>
                <w:ilvl w:val="0"/>
                <w:numId w:val="2"/>
              </w:numPr>
              <w:spacing w:before="100"/>
              <w:rPr>
                <w:color w:val="000000"/>
                <w:lang w:val="en-GB"/>
              </w:rPr>
            </w:pPr>
            <w:r w:rsidRPr="00701ADE">
              <w:rPr>
                <w:b/>
                <w:bCs/>
                <w:color w:val="000000"/>
                <w:lang w:val="en-GB"/>
              </w:rPr>
              <w:t xml:space="preserve">improving the accommodation conditions in the network of TCN centres and ensuring security to persons staying at those centres, </w:t>
            </w:r>
            <w:r w:rsidRPr="00701ADE">
              <w:rPr>
                <w:color w:val="000000"/>
                <w:lang w:val="en-GB"/>
              </w:rPr>
              <w:t xml:space="preserve">and, potentially, expanding that network for the needs of persons under temporary protection in Poland through </w:t>
            </w:r>
            <w:r w:rsidRPr="00701ADE">
              <w:rPr>
                <w:i/>
                <w:iCs/>
                <w:color w:val="000000"/>
                <w:lang w:val="en-GB"/>
              </w:rPr>
              <w:t xml:space="preserve">inter alia </w:t>
            </w:r>
            <w:r w:rsidRPr="00701ADE">
              <w:rPr>
                <w:color w:val="000000"/>
                <w:lang w:val="en-GB"/>
              </w:rPr>
              <w:t>increasing the number of security personnel, conducting renovation, maintenance and modernisation works, adapting and retrofitting the facilities to meet the applicable provisions of law, including ecologically-friendly solutions, comprehensive training of OfF staff and security personnel in security-related matters, study visits as part of exchange of information about solutions implemented in the area concerned in other EU Member States; (scope of support – Annex III, point 2(e)) indicators O.1.3, O.1.4.</w:t>
            </w:r>
          </w:p>
          <w:p w:rsidR="00A77B3E" w:rsidRPr="00701ADE" w:rsidRDefault="00BB4ED7">
            <w:pPr>
              <w:numPr>
                <w:ilvl w:val="0"/>
                <w:numId w:val="2"/>
              </w:numPr>
              <w:spacing w:before="100"/>
              <w:rPr>
                <w:color w:val="000000"/>
                <w:lang w:val="en-GB"/>
              </w:rPr>
            </w:pPr>
            <w:r w:rsidRPr="00701ADE">
              <w:rPr>
                <w:color w:val="000000"/>
                <w:lang w:val="en-GB"/>
              </w:rPr>
              <w:t xml:space="preserve">providing </w:t>
            </w:r>
            <w:r w:rsidRPr="00701ADE">
              <w:rPr>
                <w:b/>
                <w:bCs/>
                <w:color w:val="000000"/>
                <w:lang w:val="en-GB"/>
              </w:rPr>
              <w:t xml:space="preserve">modern information systems </w:t>
            </w:r>
            <w:r w:rsidRPr="00701ADE">
              <w:rPr>
                <w:color w:val="000000"/>
                <w:lang w:val="en-GB"/>
              </w:rPr>
              <w:t>to streamline the performance of the services and support of TCNs, including faster processing of international protection applications and smooth issue of temporary protection certificates through the provision of modern digital services as well as the necessary hardware infrastructure and access thereto. (scope of support – Annex III, point 2(f))</w:t>
            </w:r>
          </w:p>
          <w:p w:rsidR="00A77B3E" w:rsidRPr="00701ADE" w:rsidRDefault="00BB4ED7">
            <w:pPr>
              <w:spacing w:before="100"/>
              <w:rPr>
                <w:color w:val="000000"/>
                <w:lang w:val="en-GB"/>
              </w:rPr>
            </w:pPr>
            <w:r w:rsidRPr="00701ADE">
              <w:rPr>
                <w:color w:val="000000"/>
                <w:lang w:val="en-GB"/>
              </w:rPr>
              <w:t xml:space="preserve">The following has been planned as part of </w:t>
            </w:r>
            <w:r w:rsidRPr="00701ADE">
              <w:rPr>
                <w:b/>
                <w:bCs/>
                <w:color w:val="000000"/>
                <w:u w:val="single"/>
                <w:lang w:val="en-GB"/>
              </w:rPr>
              <w:t>implement</w:t>
            </w:r>
            <w:r w:rsidR="006A3529">
              <w:rPr>
                <w:b/>
                <w:bCs/>
                <w:color w:val="000000"/>
                <w:u w:val="single"/>
                <w:lang w:val="en-GB"/>
              </w:rPr>
              <w:t>ation</w:t>
            </w:r>
            <w:r w:rsidRPr="00701ADE">
              <w:rPr>
                <w:b/>
                <w:bCs/>
                <w:color w:val="000000"/>
                <w:u w:val="single"/>
                <w:lang w:val="en-GB"/>
              </w:rPr>
              <w:t xml:space="preserve"> measure c):</w:t>
            </w:r>
          </w:p>
          <w:p w:rsidR="00A77B3E" w:rsidRPr="00701ADE" w:rsidRDefault="00BB4ED7">
            <w:pPr>
              <w:numPr>
                <w:ilvl w:val="0"/>
                <w:numId w:val="3"/>
              </w:numPr>
              <w:spacing w:before="100"/>
              <w:rPr>
                <w:color w:val="000000"/>
                <w:lang w:val="en-GB"/>
              </w:rPr>
            </w:pPr>
            <w:r w:rsidRPr="00701ADE">
              <w:rPr>
                <w:b/>
                <w:bCs/>
                <w:color w:val="000000"/>
                <w:lang w:val="en-GB"/>
              </w:rPr>
              <w:t xml:space="preserve">furthering cooperation with third countries to build their capacities to effectively manage migration in the areas of priority importance from Poland's perspective. </w:t>
            </w:r>
          </w:p>
          <w:p w:rsidR="00A77B3E" w:rsidRPr="00701ADE" w:rsidRDefault="00BB4ED7">
            <w:pPr>
              <w:spacing w:before="100"/>
              <w:rPr>
                <w:color w:val="000000"/>
                <w:lang w:val="en-GB"/>
              </w:rPr>
            </w:pPr>
            <w:r w:rsidRPr="00701ADE">
              <w:rPr>
                <w:color w:val="000000"/>
                <w:lang w:val="en-GB"/>
              </w:rPr>
              <w:t xml:space="preserve">Cooperation will encompass the Southern Neighbourhood States as part of Poland's participation in the Prague Process – the Migration Dialogue Forum EU-former USSR, Eastern African States as part of Poland's participation in the Khartoum Process – the Migration Dialogue Forum EU-the Horn of Africa, Georgia in connection with Poland's participation in the Mobility Partnership EU-Georgia etc. Cooperation is expected with other Member States and ICMPD (International Centre for Migration Policy Development), the latter of which plays the role of a Secretariat for the majority of multilateral </w:t>
            </w:r>
            <w:r w:rsidRPr="00701ADE">
              <w:rPr>
                <w:color w:val="000000"/>
                <w:lang w:val="en-GB"/>
              </w:rPr>
              <w:lastRenderedPageBreak/>
              <w:t xml:space="preserve">initiatives in the area of the external dimension in which Poland participates. Actions in this area will involve implementation of solidarity measures to support Member States through </w:t>
            </w:r>
            <w:r w:rsidRPr="00701ADE">
              <w:rPr>
                <w:i/>
                <w:iCs/>
                <w:color w:val="000000"/>
                <w:lang w:val="en-GB"/>
              </w:rPr>
              <w:t xml:space="preserve">inter alia </w:t>
            </w:r>
            <w:r w:rsidRPr="00701ADE">
              <w:rPr>
                <w:color w:val="000000"/>
                <w:lang w:val="en-GB"/>
              </w:rPr>
              <w:t>providing technical support to manage asylum and migration, training for migration services, delegating experts, exchanging experiences, study visits, supporting the construction of effective data gathering and processing systems in the area of asylum and migration, as well as other actions to build asylum and migration management capacities in Member States under constant migration pressure or in a crisis situation (scope of support – Annex III, point 2(i)).</w:t>
            </w:r>
          </w:p>
          <w:p w:rsidR="00A77B3E" w:rsidRPr="00701ADE" w:rsidRDefault="00BB4ED7">
            <w:pPr>
              <w:spacing w:before="100"/>
              <w:rPr>
                <w:color w:val="000000"/>
                <w:lang w:val="en-GB"/>
              </w:rPr>
            </w:pPr>
            <w:r w:rsidRPr="00701ADE">
              <w:rPr>
                <w:b/>
                <w:bCs/>
                <w:color w:val="000000"/>
                <w:u w:val="single"/>
                <w:lang w:val="en-GB"/>
              </w:rPr>
              <w:t>Operating support</w:t>
            </w:r>
          </w:p>
          <w:p w:rsidR="00A77B3E" w:rsidRPr="00701ADE" w:rsidRDefault="00BB4ED7">
            <w:pPr>
              <w:spacing w:before="100"/>
              <w:rPr>
                <w:color w:val="000000"/>
                <w:lang w:val="en-GB"/>
              </w:rPr>
            </w:pPr>
            <w:r w:rsidRPr="00701ADE">
              <w:rPr>
                <w:color w:val="000000"/>
                <w:lang w:val="en-GB"/>
              </w:rPr>
              <w:t>The beneficiaries of operating support in this field will include the OfF, the BG, Voivodship Offices and, potentially, other immigration service bodies. Within their respective statutory remits, the above units perform duties and carry out tasks relating to the broadly understood smooth support of TCN international protection applicants, including maintenance and management of the reception and asylum system, identification of TCNs and vulnerable groups, conduct of procedures, provision of assistance and benefits etc.</w:t>
            </w:r>
          </w:p>
          <w:p w:rsidR="00A77B3E" w:rsidRPr="00701ADE" w:rsidRDefault="00A77B3E">
            <w:pPr>
              <w:spacing w:before="100"/>
              <w:rPr>
                <w:color w:val="000000"/>
                <w:lang w:val="en-GB"/>
              </w:rPr>
            </w:pPr>
          </w:p>
          <w:p w:rsidR="00A77B3E" w:rsidRPr="00701ADE" w:rsidRDefault="00BB4ED7">
            <w:pPr>
              <w:spacing w:before="100"/>
              <w:rPr>
                <w:color w:val="000000"/>
                <w:lang w:val="en-GB"/>
              </w:rPr>
            </w:pPr>
            <w:r w:rsidRPr="00701ADE">
              <w:rPr>
                <w:color w:val="000000"/>
                <w:lang w:val="en-GB"/>
              </w:rPr>
              <w:t>Operating support will cover the expenditure on:</w:t>
            </w:r>
          </w:p>
          <w:p w:rsidR="00A77B3E" w:rsidRPr="00701ADE" w:rsidRDefault="00BB4ED7">
            <w:pPr>
              <w:numPr>
                <w:ilvl w:val="0"/>
                <w:numId w:val="4"/>
              </w:numPr>
              <w:spacing w:before="100"/>
              <w:rPr>
                <w:color w:val="000000"/>
                <w:lang w:val="en-GB"/>
              </w:rPr>
            </w:pPr>
            <w:r w:rsidRPr="00701ADE">
              <w:rPr>
                <w:b/>
                <w:bCs/>
                <w:color w:val="000000"/>
                <w:lang w:val="en-GB"/>
              </w:rPr>
              <w:t xml:space="preserve">costs of staff </w:t>
            </w:r>
            <w:r w:rsidRPr="00701ADE">
              <w:rPr>
                <w:color w:val="000000"/>
                <w:lang w:val="en-GB"/>
              </w:rPr>
              <w:t>operating the SP and entering data in the system (applications for international and temporary protection, applications relating to social assistance), as well as equipment for those persons. The staff costs will include also the staff at centres for TCNs applying for international protection and covered by temporary protection (reception, social workers, centre maintenance, mentors/interpreters, TCN support personnel and other workers, e.g. educators), as well as equipment for those persons;</w:t>
            </w:r>
          </w:p>
          <w:p w:rsidR="00A77B3E" w:rsidRPr="00701ADE" w:rsidRDefault="00BB4ED7">
            <w:pPr>
              <w:numPr>
                <w:ilvl w:val="0"/>
                <w:numId w:val="4"/>
              </w:numPr>
              <w:spacing w:before="100"/>
              <w:rPr>
                <w:color w:val="000000"/>
                <w:lang w:val="en-GB"/>
              </w:rPr>
            </w:pPr>
            <w:r w:rsidRPr="00701ADE">
              <w:rPr>
                <w:color w:val="000000"/>
                <w:lang w:val="en-GB"/>
              </w:rPr>
              <w:t xml:space="preserve">costs of </w:t>
            </w:r>
            <w:r w:rsidRPr="00701ADE">
              <w:rPr>
                <w:b/>
                <w:bCs/>
                <w:color w:val="000000"/>
                <w:lang w:val="en-GB"/>
              </w:rPr>
              <w:t xml:space="preserve">current maintenance of OfF centres </w:t>
            </w:r>
            <w:r w:rsidRPr="00701ADE">
              <w:rPr>
                <w:color w:val="000000"/>
                <w:lang w:val="en-GB"/>
              </w:rPr>
              <w:t>for international protection applicants;</w:t>
            </w:r>
          </w:p>
          <w:p w:rsidR="00A77B3E" w:rsidRPr="00701ADE" w:rsidRDefault="00BB4ED7">
            <w:pPr>
              <w:numPr>
                <w:ilvl w:val="0"/>
                <w:numId w:val="4"/>
              </w:numPr>
              <w:spacing w:before="100"/>
              <w:rPr>
                <w:color w:val="000000"/>
                <w:lang w:val="en-GB"/>
              </w:rPr>
            </w:pPr>
            <w:r w:rsidRPr="00701ADE">
              <w:rPr>
                <w:color w:val="000000"/>
                <w:lang w:val="en-GB"/>
              </w:rPr>
              <w:t xml:space="preserve">costs of </w:t>
            </w:r>
            <w:r w:rsidRPr="00701ADE">
              <w:rPr>
                <w:b/>
                <w:bCs/>
                <w:color w:val="000000"/>
                <w:lang w:val="en-GB"/>
              </w:rPr>
              <w:t xml:space="preserve">operation of the TCN hotline </w:t>
            </w:r>
            <w:r w:rsidRPr="00701ADE">
              <w:rPr>
                <w:color w:val="000000"/>
                <w:lang w:val="en-GB"/>
              </w:rPr>
              <w:t>run by the OfF and established under the AMIF 2014-2020;</w:t>
            </w:r>
          </w:p>
          <w:p w:rsidR="00A77B3E" w:rsidRPr="00701ADE" w:rsidRDefault="00BB4ED7">
            <w:pPr>
              <w:numPr>
                <w:ilvl w:val="0"/>
                <w:numId w:val="4"/>
              </w:numPr>
              <w:spacing w:before="100"/>
              <w:rPr>
                <w:color w:val="000000"/>
                <w:lang w:val="en-GB"/>
              </w:rPr>
            </w:pPr>
            <w:r w:rsidRPr="00701ADE">
              <w:rPr>
                <w:b/>
                <w:bCs/>
                <w:color w:val="000000"/>
                <w:lang w:val="en-GB"/>
              </w:rPr>
              <w:t xml:space="preserve">costs of support and maintenance of solutions created within the MAC </w:t>
            </w:r>
            <w:r w:rsidRPr="00701ADE">
              <w:rPr>
                <w:color w:val="000000"/>
                <w:lang w:val="en-GB"/>
              </w:rPr>
              <w:t>as well as the www.migracje.gov.pl website developed as part of that project;</w:t>
            </w:r>
          </w:p>
          <w:p w:rsidR="00A77B3E" w:rsidRPr="00701ADE" w:rsidRDefault="00BB4ED7">
            <w:pPr>
              <w:numPr>
                <w:ilvl w:val="0"/>
                <w:numId w:val="4"/>
              </w:numPr>
              <w:spacing w:before="100"/>
              <w:rPr>
                <w:color w:val="000000"/>
                <w:lang w:val="en-GB"/>
              </w:rPr>
            </w:pPr>
            <w:r w:rsidRPr="00701ADE">
              <w:rPr>
                <w:b/>
                <w:bCs/>
                <w:color w:val="000000"/>
                <w:lang w:val="en-GB"/>
              </w:rPr>
              <w:t xml:space="preserve">expenditure on the current operation </w:t>
            </w:r>
            <w:r w:rsidRPr="00701ADE">
              <w:rPr>
                <w:color w:val="000000"/>
                <w:lang w:val="en-GB"/>
              </w:rPr>
              <w:t>of the SP run by the OfF and used by migration services (technical support, current maintenance, system updated, failure prevention and recovery), and on the ICT infrastructure which supports the set of registers; purchase of computer hardware for the staff;</w:t>
            </w:r>
          </w:p>
          <w:p w:rsidR="00A77B3E" w:rsidRPr="00701ADE" w:rsidRDefault="00BB4ED7">
            <w:pPr>
              <w:numPr>
                <w:ilvl w:val="0"/>
                <w:numId w:val="4"/>
              </w:numPr>
              <w:spacing w:before="100"/>
              <w:rPr>
                <w:color w:val="000000"/>
                <w:lang w:val="en-GB"/>
              </w:rPr>
            </w:pPr>
            <w:r w:rsidRPr="00701ADE">
              <w:rPr>
                <w:color w:val="000000"/>
                <w:lang w:val="en-GB"/>
              </w:rPr>
              <w:t xml:space="preserve">expenditure on </w:t>
            </w:r>
            <w:r w:rsidRPr="00701ADE">
              <w:rPr>
                <w:b/>
                <w:bCs/>
                <w:color w:val="000000"/>
                <w:lang w:val="en-GB"/>
              </w:rPr>
              <w:t xml:space="preserve">strengthening the IT staff </w:t>
            </w:r>
            <w:r w:rsidRPr="00701ADE">
              <w:rPr>
                <w:color w:val="000000"/>
                <w:lang w:val="en-GB"/>
              </w:rPr>
              <w:t xml:space="preserve">tasked with maintenance and development of the ICT infrastructure and operation of applications, and with support for users of workstations where additional elements, such as document and fingerprint readers, are installed. IT support should be quick and flexible, which will ensure efficient performance in the area of issuing of </w:t>
            </w:r>
            <w:r w:rsidRPr="00701ADE">
              <w:rPr>
                <w:i/>
                <w:iCs/>
                <w:color w:val="000000"/>
                <w:lang w:val="en-GB"/>
              </w:rPr>
              <w:t xml:space="preserve">inter alia </w:t>
            </w:r>
            <w:r w:rsidRPr="00701ADE">
              <w:rPr>
                <w:color w:val="000000"/>
                <w:lang w:val="en-GB"/>
              </w:rPr>
              <w:t>decisions to TCNs.</w:t>
            </w:r>
          </w:p>
          <w:p w:rsidR="00A77B3E" w:rsidRPr="00701ADE" w:rsidRDefault="00BB4ED7">
            <w:pPr>
              <w:spacing w:before="100"/>
              <w:rPr>
                <w:color w:val="000000"/>
                <w:lang w:val="en-GB"/>
              </w:rPr>
            </w:pPr>
            <w:r w:rsidRPr="00701ADE">
              <w:rPr>
                <w:color w:val="000000"/>
                <w:lang w:val="en-GB"/>
              </w:rPr>
              <w:t>Utilisation of the support concerned contributes to achieving the AMIF objectives through strengthening of the reception and asylum system, enhancing the technical capacities, competencies and qualifications of Polish migration services and the staff involved in asylum-related actions.</w:t>
            </w:r>
          </w:p>
          <w:p w:rsidR="00A77B3E" w:rsidRPr="00701ADE" w:rsidRDefault="00A77B3E">
            <w:pPr>
              <w:spacing w:before="100"/>
              <w:rPr>
                <w:color w:val="000000"/>
                <w:lang w:val="en-GB"/>
              </w:rPr>
            </w:pPr>
          </w:p>
        </w:tc>
      </w:tr>
    </w:tbl>
    <w:p w:rsidR="00A77B3E" w:rsidRPr="00701ADE" w:rsidRDefault="00A77B3E">
      <w:pPr>
        <w:spacing w:before="100"/>
        <w:rPr>
          <w:color w:val="000000"/>
          <w:lang w:val="en-GB"/>
        </w:rPr>
        <w:sectPr w:rsidR="00A77B3E" w:rsidRPr="00701ADE">
          <w:headerReference w:type="even" r:id="rId15"/>
          <w:headerReference w:type="default" r:id="rId16"/>
          <w:footerReference w:type="even" r:id="rId17"/>
          <w:footerReference w:type="default" r:id="rId18"/>
          <w:headerReference w:type="first" r:id="rId19"/>
          <w:footerReference w:type="first" r:id="rId20"/>
          <w:pgSz w:w="11906" w:h="16838"/>
          <w:pgMar w:top="720" w:right="936" w:bottom="864" w:left="720" w:header="0" w:footer="72" w:gutter="0"/>
          <w:cols w:space="720"/>
          <w:noEndnote/>
          <w:docGrid w:linePitch="360"/>
        </w:sectPr>
      </w:pPr>
    </w:p>
    <w:p w:rsidR="00A77B3E" w:rsidRPr="00701ADE" w:rsidRDefault="00BB4ED7">
      <w:pPr>
        <w:spacing w:before="100"/>
        <w:rPr>
          <w:color w:val="000000"/>
          <w:lang w:val="en-GB"/>
        </w:rPr>
      </w:pPr>
      <w:r w:rsidRPr="00701ADE">
        <w:rPr>
          <w:color w:val="000000"/>
          <w:lang w:val="en-GB"/>
        </w:rPr>
        <w:lastRenderedPageBreak/>
        <w:t>2.1. Specific objective 1. CEAS</w:t>
      </w:r>
    </w:p>
    <w:p w:rsidR="00A77B3E" w:rsidRPr="00701ADE" w:rsidRDefault="00BB4ED7">
      <w:pPr>
        <w:pStyle w:val="Nagwek3"/>
        <w:spacing w:before="100" w:after="0"/>
        <w:rPr>
          <w:rFonts w:ascii="Times New Roman" w:hAnsi="Times New Roman" w:cs="Times New Roman"/>
          <w:b w:val="0"/>
          <w:color w:val="000000"/>
          <w:sz w:val="24"/>
          <w:lang w:val="en-GB"/>
        </w:rPr>
      </w:pPr>
      <w:bookmarkStart w:id="5" w:name="_Toc126925381"/>
      <w:r w:rsidRPr="00701ADE">
        <w:rPr>
          <w:rFonts w:ascii="Times New Roman" w:hAnsi="Times New Roman" w:cs="Times New Roman"/>
          <w:b w:val="0"/>
          <w:color w:val="000000"/>
          <w:sz w:val="24"/>
          <w:lang w:val="en-GB"/>
        </w:rPr>
        <w:t>2.1.2. Indicators</w:t>
      </w:r>
      <w:bookmarkEnd w:id="5"/>
    </w:p>
    <w:p w:rsidR="00A77B3E" w:rsidRPr="00701ADE" w:rsidRDefault="00BB4ED7">
      <w:pPr>
        <w:spacing w:before="100"/>
        <w:rPr>
          <w:color w:val="000000"/>
          <w:sz w:val="12"/>
          <w:lang w:val="en-GB"/>
        </w:rPr>
      </w:pPr>
      <w:r w:rsidRPr="00701ADE">
        <w:rPr>
          <w:color w:val="000000"/>
          <w:lang w:val="en-GB"/>
        </w:rPr>
        <w:t>Reference: Article 22(4)(e) of the Common Provisions Regulation</w:t>
      </w:r>
    </w:p>
    <w:p w:rsidR="00A77B3E" w:rsidRPr="00701ADE" w:rsidRDefault="00BB4ED7">
      <w:pPr>
        <w:pStyle w:val="Nagwek4"/>
        <w:spacing w:before="100" w:after="0"/>
        <w:rPr>
          <w:b w:val="0"/>
          <w:color w:val="000000"/>
          <w:sz w:val="24"/>
          <w:lang w:val="en-GB"/>
        </w:rPr>
      </w:pPr>
      <w:bookmarkStart w:id="6" w:name="_Toc126925382"/>
      <w:r w:rsidRPr="00701ADE">
        <w:rPr>
          <w:b w:val="0"/>
          <w:color w:val="000000"/>
          <w:sz w:val="24"/>
          <w:lang w:val="en-GB"/>
        </w:rPr>
        <w:t>Table 1: Output indicators</w:t>
      </w:r>
      <w:bookmarkEnd w:id="6"/>
    </w:p>
    <w:p w:rsidR="00A77B3E" w:rsidRPr="00701ADE" w:rsidRDefault="00A77B3E">
      <w:pPr>
        <w:spacing w:before="100"/>
        <w:rPr>
          <w:color w:val="000000"/>
          <w:sz w:val="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10370"/>
        <w:gridCol w:w="1519"/>
        <w:gridCol w:w="1421"/>
        <w:gridCol w:w="1147"/>
      </w:tblGrid>
      <w:tr w:rsidR="004B75EC" w:rsidRPr="00701ADE">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sz w:val="20"/>
                <w:lang w:val="en-GB"/>
              </w:rPr>
            </w:pPr>
            <w:r w:rsidRPr="00701ADE">
              <w:rPr>
                <w:color w:val="000000"/>
                <w:sz w:val="20"/>
                <w:lang w:val="en-GB"/>
              </w:rPr>
              <w:t>ID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sz w:val="20"/>
                <w:lang w:val="en-GB"/>
              </w:rPr>
            </w:pPr>
            <w:r w:rsidRPr="00701ADE">
              <w:rPr>
                <w:color w:val="000000"/>
                <w:sz w:val="20"/>
                <w:lang w:val="en-GB"/>
              </w:rPr>
              <w:t>Indicator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sz w:val="20"/>
                <w:lang w:val="en-GB"/>
              </w:rPr>
            </w:pPr>
            <w:r w:rsidRPr="00701ADE">
              <w:rPr>
                <w:color w:val="000000"/>
                <w:sz w:val="20"/>
                <w:lang w:val="en-GB"/>
              </w:rPr>
              <w:t>Measurement unit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sz w:val="20"/>
                <w:lang w:val="en-GB"/>
              </w:rPr>
            </w:pPr>
            <w:r w:rsidRPr="00701ADE">
              <w:rPr>
                <w:color w:val="000000"/>
                <w:sz w:val="20"/>
                <w:lang w:val="en-GB"/>
              </w:rPr>
              <w:t>Milestone (2024)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sz w:val="20"/>
                <w:lang w:val="en-GB"/>
              </w:rPr>
            </w:pPr>
            <w:r w:rsidRPr="00701ADE">
              <w:rPr>
                <w:color w:val="000000"/>
                <w:sz w:val="20"/>
                <w:lang w:val="en-GB"/>
              </w:rPr>
              <w:t>Target (2029)</w:t>
            </w:r>
          </w:p>
        </w:tc>
      </w:tr>
      <w:tr w:rsidR="004B75EC" w:rsidRPr="00701ADE">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rPr>
                <w:color w:val="000000"/>
                <w:sz w:val="20"/>
                <w:lang w:val="en-GB"/>
              </w:rPr>
            </w:pPr>
            <w:r w:rsidRPr="00701ADE">
              <w:rPr>
                <w:color w:val="000000"/>
                <w:sz w:val="20"/>
                <w:lang w:val="en-GB"/>
              </w:rPr>
              <w:t>O.1.1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rPr>
                <w:color w:val="000000"/>
                <w:sz w:val="20"/>
                <w:lang w:val="en-GB"/>
              </w:rPr>
            </w:pPr>
            <w:r w:rsidRPr="00701ADE">
              <w:rPr>
                <w:color w:val="000000"/>
                <w:sz w:val="20"/>
                <w:lang w:val="en-GB"/>
              </w:rPr>
              <w:t>Number of participants supported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rPr>
                <w:color w:val="000000"/>
                <w:sz w:val="20"/>
                <w:lang w:val="en-GB"/>
              </w:rPr>
            </w:pPr>
            <w:r w:rsidRPr="00701ADE">
              <w:rPr>
                <w:color w:val="000000"/>
                <w:sz w:val="20"/>
                <w:lang w:val="en-GB"/>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right"/>
              <w:rPr>
                <w:color w:val="000000"/>
                <w:sz w:val="20"/>
                <w:lang w:val="en-GB"/>
              </w:rPr>
            </w:pPr>
            <w:r w:rsidRPr="00701ADE">
              <w:rPr>
                <w:color w:val="000000"/>
                <w:sz w:val="20"/>
                <w:lang w:val="en-GB"/>
              </w:rPr>
              <w:t>3,982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right"/>
              <w:rPr>
                <w:color w:val="000000"/>
                <w:sz w:val="20"/>
                <w:lang w:val="en-GB"/>
              </w:rPr>
            </w:pPr>
            <w:r w:rsidRPr="00701ADE">
              <w:rPr>
                <w:color w:val="000000"/>
                <w:sz w:val="20"/>
                <w:lang w:val="en-GB"/>
              </w:rPr>
              <w:t>26,547</w:t>
            </w:r>
          </w:p>
        </w:tc>
      </w:tr>
      <w:tr w:rsidR="004B75EC" w:rsidRPr="00701ADE">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rPr>
                <w:color w:val="000000"/>
                <w:sz w:val="20"/>
                <w:lang w:val="en-GB"/>
              </w:rPr>
            </w:pPr>
            <w:r w:rsidRPr="00701ADE">
              <w:rPr>
                <w:color w:val="000000"/>
                <w:sz w:val="20"/>
                <w:lang w:val="en-GB"/>
              </w:rPr>
              <w:t>O.1.1.1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rPr>
                <w:color w:val="000000"/>
                <w:sz w:val="20"/>
                <w:lang w:val="en-GB"/>
              </w:rPr>
            </w:pPr>
            <w:r w:rsidRPr="00701ADE">
              <w:rPr>
                <w:color w:val="000000"/>
                <w:sz w:val="20"/>
                <w:lang w:val="en-GB"/>
              </w:rPr>
              <w:t>including the number of participants who received legal assistance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rPr>
                <w:color w:val="000000"/>
                <w:sz w:val="20"/>
                <w:lang w:val="en-GB"/>
              </w:rPr>
            </w:pPr>
            <w:r w:rsidRPr="00701ADE">
              <w:rPr>
                <w:color w:val="000000"/>
                <w:sz w:val="20"/>
                <w:lang w:val="en-GB"/>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right"/>
              <w:rPr>
                <w:color w:val="000000"/>
                <w:sz w:val="20"/>
                <w:lang w:val="en-GB"/>
              </w:rPr>
            </w:pPr>
            <w:r w:rsidRPr="00701ADE">
              <w:rPr>
                <w:color w:val="000000"/>
                <w:sz w:val="20"/>
                <w:lang w:val="en-GB"/>
              </w:rPr>
              <w:t>482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right"/>
              <w:rPr>
                <w:color w:val="000000"/>
                <w:sz w:val="20"/>
                <w:lang w:val="en-GB"/>
              </w:rPr>
            </w:pPr>
            <w:r w:rsidRPr="00701ADE">
              <w:rPr>
                <w:color w:val="000000"/>
                <w:sz w:val="20"/>
                <w:lang w:val="en-GB"/>
              </w:rPr>
              <w:t>3,209</w:t>
            </w:r>
          </w:p>
        </w:tc>
      </w:tr>
      <w:tr w:rsidR="004B75EC" w:rsidRPr="00701ADE">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rPr>
                <w:color w:val="000000"/>
                <w:sz w:val="20"/>
                <w:lang w:val="en-GB"/>
              </w:rPr>
            </w:pPr>
            <w:r w:rsidRPr="00701ADE">
              <w:rPr>
                <w:color w:val="000000"/>
                <w:sz w:val="20"/>
                <w:lang w:val="en-GB"/>
              </w:rPr>
              <w:t>O.1.1.2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rPr>
                <w:color w:val="000000"/>
                <w:sz w:val="20"/>
                <w:lang w:val="en-GB"/>
              </w:rPr>
            </w:pPr>
            <w:r w:rsidRPr="00701ADE">
              <w:rPr>
                <w:color w:val="000000"/>
                <w:sz w:val="20"/>
                <w:lang w:val="en-GB"/>
              </w:rPr>
              <w:t>including the number of participants benefiting from other types of support, including information and assistance throughout the asylum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rPr>
                <w:color w:val="000000"/>
                <w:sz w:val="20"/>
                <w:lang w:val="en-GB"/>
              </w:rPr>
            </w:pPr>
            <w:r w:rsidRPr="00701ADE">
              <w:rPr>
                <w:color w:val="000000"/>
                <w:sz w:val="20"/>
                <w:lang w:val="en-GB"/>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right"/>
              <w:rPr>
                <w:color w:val="000000"/>
                <w:sz w:val="20"/>
                <w:lang w:val="en-GB"/>
              </w:rPr>
            </w:pPr>
            <w:r w:rsidRPr="00701ADE">
              <w:rPr>
                <w:color w:val="000000"/>
                <w:sz w:val="20"/>
                <w:lang w:val="en-GB"/>
              </w:rPr>
              <w:t>3,500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right"/>
              <w:rPr>
                <w:color w:val="000000"/>
                <w:sz w:val="20"/>
                <w:lang w:val="en-GB"/>
              </w:rPr>
            </w:pPr>
            <w:r w:rsidRPr="00701ADE">
              <w:rPr>
                <w:color w:val="000000"/>
                <w:sz w:val="20"/>
                <w:lang w:val="en-GB"/>
              </w:rPr>
              <w:t>23,338</w:t>
            </w:r>
          </w:p>
        </w:tc>
      </w:tr>
      <w:tr w:rsidR="004B75EC" w:rsidRPr="00701ADE">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rPr>
                <w:color w:val="000000"/>
                <w:sz w:val="20"/>
                <w:lang w:val="en-GB"/>
              </w:rPr>
            </w:pPr>
            <w:r w:rsidRPr="00701ADE">
              <w:rPr>
                <w:color w:val="000000"/>
                <w:sz w:val="20"/>
                <w:lang w:val="en-GB"/>
              </w:rPr>
              <w:t>O.1.1.3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rPr>
                <w:color w:val="000000"/>
                <w:sz w:val="20"/>
                <w:lang w:val="en-GB"/>
              </w:rPr>
            </w:pPr>
            <w:r w:rsidRPr="00701ADE">
              <w:rPr>
                <w:color w:val="000000"/>
                <w:sz w:val="20"/>
                <w:lang w:val="en-GB"/>
              </w:rPr>
              <w:t>including the number of vulnerable participants assisted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rPr>
                <w:color w:val="000000"/>
                <w:sz w:val="20"/>
                <w:lang w:val="en-GB"/>
              </w:rPr>
            </w:pPr>
            <w:r w:rsidRPr="00701ADE">
              <w:rPr>
                <w:color w:val="000000"/>
                <w:sz w:val="20"/>
                <w:lang w:val="en-GB"/>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right"/>
              <w:rPr>
                <w:color w:val="000000"/>
                <w:sz w:val="20"/>
                <w:lang w:val="en-GB"/>
              </w:rPr>
            </w:pPr>
            <w:r w:rsidRPr="00701ADE">
              <w:rPr>
                <w:color w:val="000000"/>
                <w:sz w:val="20"/>
                <w:lang w:val="en-GB"/>
              </w:rPr>
              <w:t>388</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right"/>
              <w:rPr>
                <w:color w:val="000000"/>
                <w:sz w:val="20"/>
                <w:lang w:val="en-GB"/>
              </w:rPr>
            </w:pPr>
            <w:r w:rsidRPr="00701ADE">
              <w:rPr>
                <w:color w:val="000000"/>
                <w:sz w:val="20"/>
                <w:lang w:val="en-GB"/>
              </w:rPr>
              <w:t>2,590</w:t>
            </w:r>
          </w:p>
        </w:tc>
      </w:tr>
      <w:tr w:rsidR="004B75EC" w:rsidRPr="00701ADE">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rPr>
                <w:color w:val="000000"/>
                <w:sz w:val="20"/>
                <w:lang w:val="en-GB"/>
              </w:rPr>
            </w:pPr>
            <w:r w:rsidRPr="00701ADE">
              <w:rPr>
                <w:color w:val="000000"/>
                <w:sz w:val="20"/>
                <w:lang w:val="en-GB"/>
              </w:rPr>
              <w:t>O.1.2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rPr>
                <w:color w:val="000000"/>
                <w:sz w:val="20"/>
                <w:lang w:val="en-GB"/>
              </w:rPr>
            </w:pPr>
            <w:r w:rsidRPr="00701ADE">
              <w:rPr>
                <w:color w:val="000000"/>
                <w:sz w:val="20"/>
                <w:lang w:val="en-GB"/>
              </w:rPr>
              <w:t>Number of participants in training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rPr>
                <w:color w:val="000000"/>
                <w:sz w:val="20"/>
                <w:lang w:val="en-GB"/>
              </w:rPr>
            </w:pPr>
            <w:r w:rsidRPr="00701ADE">
              <w:rPr>
                <w:color w:val="000000"/>
                <w:sz w:val="20"/>
                <w:lang w:val="en-GB"/>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right"/>
              <w:rPr>
                <w:color w:val="000000"/>
                <w:sz w:val="20"/>
                <w:lang w:val="en-GB"/>
              </w:rPr>
            </w:pPr>
            <w:r w:rsidRPr="00701ADE">
              <w:rPr>
                <w:color w:val="000000"/>
                <w:sz w:val="20"/>
                <w:lang w:val="en-GB"/>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right"/>
              <w:rPr>
                <w:color w:val="000000"/>
                <w:sz w:val="20"/>
                <w:lang w:val="en-GB"/>
              </w:rPr>
            </w:pPr>
            <w:r w:rsidRPr="00701ADE">
              <w:rPr>
                <w:color w:val="000000"/>
                <w:sz w:val="20"/>
                <w:lang w:val="en-GB"/>
              </w:rPr>
              <w:t>130</w:t>
            </w:r>
          </w:p>
        </w:tc>
      </w:tr>
      <w:tr w:rsidR="004B75EC" w:rsidRPr="00701ADE">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rPr>
                <w:color w:val="000000"/>
                <w:sz w:val="20"/>
                <w:lang w:val="en-GB"/>
              </w:rPr>
            </w:pPr>
            <w:r w:rsidRPr="00701ADE">
              <w:rPr>
                <w:color w:val="000000"/>
                <w:sz w:val="20"/>
                <w:lang w:val="en-GB"/>
              </w:rPr>
              <w:t>O.1.3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rPr>
                <w:color w:val="000000"/>
                <w:sz w:val="20"/>
                <w:lang w:val="en-GB"/>
              </w:rPr>
            </w:pPr>
            <w:r w:rsidRPr="00701ADE">
              <w:rPr>
                <w:color w:val="000000"/>
                <w:sz w:val="20"/>
                <w:lang w:val="en-GB"/>
              </w:rPr>
              <w:t>Number of newly created places in reception infrastructure in accordance with Union acquis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rPr>
                <w:color w:val="000000"/>
                <w:sz w:val="20"/>
                <w:lang w:val="en-GB"/>
              </w:rPr>
            </w:pPr>
            <w:r w:rsidRPr="00701ADE">
              <w:rPr>
                <w:color w:val="000000"/>
                <w:sz w:val="20"/>
                <w:lang w:val="en-GB"/>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right"/>
              <w:rPr>
                <w:color w:val="000000"/>
                <w:sz w:val="20"/>
                <w:lang w:val="en-GB"/>
              </w:rPr>
            </w:pPr>
            <w:r w:rsidRPr="00701ADE">
              <w:rPr>
                <w:color w:val="000000"/>
                <w:sz w:val="20"/>
                <w:lang w:val="en-GB"/>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right"/>
              <w:rPr>
                <w:color w:val="000000"/>
                <w:sz w:val="20"/>
                <w:lang w:val="en-GB"/>
              </w:rPr>
            </w:pPr>
            <w:r w:rsidRPr="00701ADE">
              <w:rPr>
                <w:color w:val="000000"/>
                <w:sz w:val="20"/>
                <w:lang w:val="en-GB"/>
              </w:rPr>
              <w:t>100</w:t>
            </w:r>
          </w:p>
        </w:tc>
      </w:tr>
      <w:tr w:rsidR="004B75EC" w:rsidRPr="00701ADE">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rPr>
                <w:color w:val="000000"/>
                <w:sz w:val="20"/>
                <w:lang w:val="en-GB"/>
              </w:rPr>
            </w:pPr>
            <w:r w:rsidRPr="00701ADE">
              <w:rPr>
                <w:color w:val="000000"/>
                <w:sz w:val="20"/>
                <w:lang w:val="en-GB"/>
              </w:rPr>
              <w:t>O.1.3.1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rPr>
                <w:color w:val="000000"/>
                <w:sz w:val="20"/>
                <w:lang w:val="en-GB"/>
              </w:rPr>
            </w:pPr>
            <w:r w:rsidRPr="00701ADE">
              <w:rPr>
                <w:color w:val="000000"/>
                <w:sz w:val="20"/>
                <w:lang w:val="en-GB"/>
              </w:rPr>
              <w:t>including the number of newly created places for unaccompanied minors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rPr>
                <w:color w:val="000000"/>
                <w:sz w:val="20"/>
                <w:lang w:val="en-GB"/>
              </w:rPr>
            </w:pPr>
            <w:r w:rsidRPr="00701ADE">
              <w:rPr>
                <w:color w:val="000000"/>
                <w:sz w:val="20"/>
                <w:lang w:val="en-GB"/>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right"/>
              <w:rPr>
                <w:color w:val="000000"/>
                <w:sz w:val="20"/>
                <w:lang w:val="en-GB"/>
              </w:rPr>
            </w:pPr>
            <w:r w:rsidRPr="00701ADE">
              <w:rPr>
                <w:color w:val="000000"/>
                <w:sz w:val="20"/>
                <w:lang w:val="en-GB"/>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right"/>
              <w:rPr>
                <w:color w:val="000000"/>
                <w:sz w:val="20"/>
                <w:lang w:val="en-GB"/>
              </w:rPr>
            </w:pPr>
            <w:r w:rsidRPr="00701ADE">
              <w:rPr>
                <w:color w:val="000000"/>
                <w:sz w:val="20"/>
                <w:lang w:val="en-GB"/>
              </w:rPr>
              <w:t>0</w:t>
            </w:r>
          </w:p>
        </w:tc>
      </w:tr>
      <w:tr w:rsidR="004B75EC" w:rsidRPr="00701ADE">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rPr>
                <w:color w:val="000000"/>
                <w:sz w:val="20"/>
                <w:lang w:val="en-GB"/>
              </w:rPr>
            </w:pPr>
            <w:r w:rsidRPr="00701ADE">
              <w:rPr>
                <w:color w:val="000000"/>
                <w:sz w:val="20"/>
                <w:lang w:val="en-GB"/>
              </w:rPr>
              <w:t>O.1.4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rPr>
                <w:color w:val="000000"/>
                <w:sz w:val="20"/>
                <w:lang w:val="en-GB"/>
              </w:rPr>
            </w:pPr>
            <w:r w:rsidRPr="00701ADE">
              <w:rPr>
                <w:color w:val="000000"/>
                <w:sz w:val="20"/>
                <w:lang w:val="en-GB"/>
              </w:rPr>
              <w:t>Number of renovated or refurbished places in reception infrastructure in accordance with Union acquis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rPr>
                <w:color w:val="000000"/>
                <w:sz w:val="20"/>
                <w:lang w:val="en-GB"/>
              </w:rPr>
            </w:pPr>
            <w:r w:rsidRPr="00701ADE">
              <w:rPr>
                <w:color w:val="000000"/>
                <w:sz w:val="20"/>
                <w:lang w:val="en-GB"/>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right"/>
              <w:rPr>
                <w:color w:val="000000"/>
                <w:sz w:val="20"/>
                <w:lang w:val="en-GB"/>
              </w:rPr>
            </w:pPr>
            <w:r w:rsidRPr="00701ADE">
              <w:rPr>
                <w:color w:val="000000"/>
                <w:sz w:val="20"/>
                <w:lang w:val="en-GB"/>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right"/>
              <w:rPr>
                <w:color w:val="000000"/>
                <w:sz w:val="20"/>
                <w:lang w:val="en-GB"/>
              </w:rPr>
            </w:pPr>
            <w:r w:rsidRPr="00701ADE">
              <w:rPr>
                <w:color w:val="000000"/>
                <w:sz w:val="20"/>
                <w:lang w:val="en-GB"/>
              </w:rPr>
              <w:t>905</w:t>
            </w:r>
          </w:p>
        </w:tc>
      </w:tr>
      <w:tr w:rsidR="004B75EC" w:rsidRPr="00701ADE">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rPr>
                <w:color w:val="000000"/>
                <w:sz w:val="20"/>
                <w:lang w:val="en-GB"/>
              </w:rPr>
            </w:pPr>
            <w:r w:rsidRPr="00701ADE">
              <w:rPr>
                <w:color w:val="000000"/>
                <w:sz w:val="20"/>
                <w:lang w:val="en-GB"/>
              </w:rPr>
              <w:t>O.1.4.1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rPr>
                <w:color w:val="000000"/>
                <w:sz w:val="20"/>
                <w:lang w:val="en-GB"/>
              </w:rPr>
            </w:pPr>
            <w:r w:rsidRPr="00701ADE">
              <w:rPr>
                <w:color w:val="000000"/>
                <w:sz w:val="20"/>
                <w:lang w:val="en-GB"/>
              </w:rPr>
              <w:t>including the number of renovated or refurbished places for unaccompanied minors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rPr>
                <w:color w:val="000000"/>
                <w:sz w:val="20"/>
                <w:lang w:val="en-GB"/>
              </w:rPr>
            </w:pPr>
            <w:r w:rsidRPr="00701ADE">
              <w:rPr>
                <w:color w:val="000000"/>
                <w:sz w:val="20"/>
                <w:lang w:val="en-GB"/>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right"/>
              <w:rPr>
                <w:color w:val="000000"/>
                <w:sz w:val="20"/>
                <w:lang w:val="en-GB"/>
              </w:rPr>
            </w:pPr>
            <w:r w:rsidRPr="00701ADE">
              <w:rPr>
                <w:color w:val="000000"/>
                <w:sz w:val="20"/>
                <w:lang w:val="en-GB"/>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right"/>
              <w:rPr>
                <w:color w:val="000000"/>
                <w:sz w:val="20"/>
                <w:lang w:val="en-GB"/>
              </w:rPr>
            </w:pPr>
            <w:r w:rsidRPr="00701ADE">
              <w:rPr>
                <w:color w:val="000000"/>
                <w:sz w:val="20"/>
                <w:lang w:val="en-GB"/>
              </w:rPr>
              <w:t>0</w:t>
            </w:r>
          </w:p>
        </w:tc>
      </w:tr>
    </w:tbl>
    <w:p w:rsidR="00A77B3E" w:rsidRPr="00701ADE" w:rsidRDefault="00BB4ED7">
      <w:pPr>
        <w:spacing w:before="100"/>
        <w:rPr>
          <w:color w:val="000000"/>
          <w:lang w:val="en-GB"/>
        </w:rPr>
      </w:pPr>
      <w:r w:rsidRPr="00701ADE">
        <w:rPr>
          <w:color w:val="000000"/>
          <w:sz w:val="20"/>
          <w:lang w:val="en-GB"/>
        </w:rPr>
        <w:br w:type="page"/>
      </w:r>
      <w:r w:rsidRPr="00701ADE">
        <w:rPr>
          <w:color w:val="000000"/>
          <w:lang w:val="en-GB"/>
        </w:rPr>
        <w:lastRenderedPageBreak/>
        <w:t>2.1. Specific objective 1. CEAS</w:t>
      </w:r>
    </w:p>
    <w:p w:rsidR="00A77B3E" w:rsidRPr="00701ADE" w:rsidRDefault="00BB4ED7">
      <w:pPr>
        <w:spacing w:before="100"/>
        <w:rPr>
          <w:color w:val="000000"/>
          <w:sz w:val="0"/>
          <w:lang w:val="en-GB"/>
        </w:rPr>
      </w:pPr>
      <w:r w:rsidRPr="00701ADE">
        <w:rPr>
          <w:color w:val="000000"/>
          <w:lang w:val="en-GB"/>
        </w:rPr>
        <w:t>2.1.2. Indicators</w:t>
      </w:r>
    </w:p>
    <w:p w:rsidR="00A77B3E" w:rsidRPr="00701ADE" w:rsidRDefault="00BB4ED7">
      <w:pPr>
        <w:spacing w:before="100"/>
        <w:rPr>
          <w:color w:val="000000"/>
          <w:sz w:val="12"/>
          <w:lang w:val="en-GB"/>
        </w:rPr>
      </w:pPr>
      <w:r w:rsidRPr="00701ADE">
        <w:rPr>
          <w:color w:val="000000"/>
          <w:lang w:val="en-GB"/>
        </w:rPr>
        <w:t>Reference: Article 22(4)(e) of the Common Provisions Regulation</w:t>
      </w:r>
    </w:p>
    <w:p w:rsidR="00A77B3E" w:rsidRPr="00701ADE" w:rsidRDefault="00BB4ED7">
      <w:pPr>
        <w:pStyle w:val="Nagwek4"/>
        <w:spacing w:before="100" w:after="0"/>
        <w:rPr>
          <w:b w:val="0"/>
          <w:color w:val="000000"/>
          <w:sz w:val="24"/>
          <w:lang w:val="en-GB"/>
        </w:rPr>
      </w:pPr>
      <w:bookmarkStart w:id="7" w:name="_Toc126925383"/>
      <w:r w:rsidRPr="00701ADE">
        <w:rPr>
          <w:b w:val="0"/>
          <w:color w:val="000000"/>
          <w:sz w:val="24"/>
          <w:lang w:val="en-GB"/>
        </w:rPr>
        <w:t>Table 2: Result indicators</w:t>
      </w:r>
      <w:bookmarkEnd w:id="7"/>
    </w:p>
    <w:p w:rsidR="00A77B3E" w:rsidRPr="00701ADE" w:rsidRDefault="00A77B3E">
      <w:pPr>
        <w:spacing w:before="100"/>
        <w:rPr>
          <w:color w:val="000000"/>
          <w:sz w:val="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2276"/>
        <w:gridCol w:w="1517"/>
        <w:gridCol w:w="1517"/>
        <w:gridCol w:w="1517"/>
        <w:gridCol w:w="1517"/>
        <w:gridCol w:w="1517"/>
        <w:gridCol w:w="1517"/>
        <w:gridCol w:w="1517"/>
        <w:gridCol w:w="1517"/>
      </w:tblGrid>
      <w:tr w:rsidR="004B75EC" w:rsidRPr="00701ADE">
        <w:trPr>
          <w:tblHeader/>
        </w:trPr>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sz w:val="20"/>
                <w:lang w:val="en-GB"/>
              </w:rPr>
            </w:pPr>
            <w:r w:rsidRPr="00701ADE">
              <w:rPr>
                <w:color w:val="000000"/>
                <w:sz w:val="20"/>
                <w:lang w:val="en-GB"/>
              </w:rPr>
              <w:t>ID</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sz w:val="20"/>
                <w:lang w:val="en-GB"/>
              </w:rPr>
            </w:pPr>
            <w:r w:rsidRPr="00701ADE">
              <w:rPr>
                <w:color w:val="000000"/>
                <w:sz w:val="20"/>
                <w:lang w:val="en-GB"/>
              </w:rPr>
              <w:t>Indicator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sz w:val="20"/>
                <w:lang w:val="en-GB"/>
              </w:rPr>
            </w:pPr>
            <w:r w:rsidRPr="00701ADE">
              <w:rPr>
                <w:color w:val="000000"/>
                <w:sz w:val="20"/>
                <w:lang w:val="en-GB"/>
              </w:rPr>
              <w:t>Measurement unit</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sz w:val="20"/>
                <w:lang w:val="en-GB"/>
              </w:rPr>
            </w:pPr>
            <w:r w:rsidRPr="00701ADE">
              <w:rPr>
                <w:color w:val="000000"/>
                <w:sz w:val="20"/>
                <w:lang w:val="en-GB"/>
              </w:rPr>
              <w:t>Baseline value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sz w:val="20"/>
                <w:lang w:val="en-GB"/>
              </w:rPr>
            </w:pPr>
            <w:r w:rsidRPr="00701ADE">
              <w:rPr>
                <w:color w:val="000000"/>
                <w:sz w:val="20"/>
                <w:lang w:val="en-GB"/>
              </w:rPr>
              <w:t>Baseline value measurement unit</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sz w:val="20"/>
                <w:lang w:val="en-GB"/>
              </w:rPr>
            </w:pPr>
            <w:r w:rsidRPr="00701ADE">
              <w:rPr>
                <w:color w:val="000000"/>
                <w:sz w:val="20"/>
                <w:lang w:val="en-GB"/>
              </w:rPr>
              <w:t>Reference year/years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sz w:val="20"/>
                <w:lang w:val="en-GB"/>
              </w:rPr>
            </w:pPr>
            <w:r w:rsidRPr="00701ADE">
              <w:rPr>
                <w:color w:val="000000"/>
                <w:sz w:val="20"/>
                <w:lang w:val="en-GB"/>
              </w:rPr>
              <w:t>Target (2029)</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sz w:val="20"/>
                <w:lang w:val="en-GB"/>
              </w:rPr>
            </w:pPr>
            <w:r w:rsidRPr="00701ADE">
              <w:rPr>
                <w:color w:val="000000"/>
                <w:sz w:val="20"/>
                <w:lang w:val="en-GB"/>
              </w:rPr>
              <w:t>Target measurement unit</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sz w:val="20"/>
                <w:lang w:val="en-GB"/>
              </w:rPr>
            </w:pPr>
            <w:r w:rsidRPr="00701ADE">
              <w:rPr>
                <w:color w:val="000000"/>
                <w:sz w:val="20"/>
                <w:lang w:val="en-GB"/>
              </w:rPr>
              <w:t>Source of data</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rPr>
                <w:color w:val="000000"/>
                <w:sz w:val="20"/>
                <w:lang w:val="en-GB"/>
              </w:rPr>
            </w:pPr>
            <w:r w:rsidRPr="00701ADE">
              <w:rPr>
                <w:color w:val="000000"/>
                <w:sz w:val="20"/>
                <w:lang w:val="en-GB"/>
              </w:rPr>
              <w:t>Comments</w:t>
            </w:r>
          </w:p>
        </w:tc>
      </w:tr>
      <w:tr w:rsidR="004B75EC" w:rsidRPr="00701ADE">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R.1.5</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Number of participants who consider the training useful for their work</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participation</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center"/>
              <w:rPr>
                <w:color w:val="000000"/>
                <w:sz w:val="20"/>
                <w:lang w:val="en-GB"/>
              </w:rPr>
            </w:pPr>
            <w:r w:rsidRPr="00701ADE">
              <w:rPr>
                <w:color w:val="000000"/>
                <w:sz w:val="20"/>
                <w:lang w:val="en-GB"/>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center"/>
              <w:rPr>
                <w:color w:val="000000"/>
                <w:sz w:val="20"/>
                <w:lang w:val="en-GB"/>
              </w:rPr>
            </w:pPr>
            <w:r w:rsidRPr="00701ADE">
              <w:rPr>
                <w:color w:val="000000"/>
                <w:sz w:val="20"/>
                <w:lang w:val="en-GB"/>
              </w:rPr>
              <w:t>104</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measurement reported by beneficiaries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Base - no subsequent and related AMIF data</w:t>
            </w:r>
          </w:p>
        </w:tc>
      </w:tr>
      <w:tr w:rsidR="004B75EC" w:rsidRPr="00701ADE">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R.1.6</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Number of participants who report three months after the training activity that they are using the skills and competences acquired during the training</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participation</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center"/>
              <w:rPr>
                <w:color w:val="000000"/>
                <w:sz w:val="20"/>
                <w:lang w:val="en-GB"/>
              </w:rPr>
            </w:pPr>
            <w:r w:rsidRPr="00701ADE">
              <w:rPr>
                <w:color w:val="000000"/>
                <w:sz w:val="20"/>
                <w:lang w:val="en-GB"/>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center"/>
              <w:rPr>
                <w:color w:val="000000"/>
                <w:sz w:val="20"/>
                <w:lang w:val="en-GB"/>
              </w:rPr>
            </w:pPr>
            <w:r w:rsidRPr="00701ADE">
              <w:rPr>
                <w:color w:val="000000"/>
                <w:sz w:val="20"/>
                <w:lang w:val="en-GB"/>
              </w:rPr>
              <w:t>117</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measurement reported by beneficiaries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Base - no subsequent and related AMIF data</w:t>
            </w:r>
          </w:p>
        </w:tc>
      </w:tr>
      <w:tr w:rsidR="004B75EC" w:rsidRPr="00701ADE">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R.1.7</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Number of persons placed in alternatives to detention</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center"/>
              <w:rPr>
                <w:color w:val="000000"/>
                <w:sz w:val="20"/>
                <w:lang w:val="en-GB"/>
              </w:rPr>
            </w:pPr>
            <w:r w:rsidRPr="00701ADE">
              <w:rPr>
                <w:color w:val="000000"/>
                <w:sz w:val="20"/>
                <w:lang w:val="en-GB"/>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center"/>
              <w:rPr>
                <w:color w:val="000000"/>
                <w:sz w:val="20"/>
                <w:lang w:val="en-GB"/>
              </w:rPr>
            </w:pPr>
            <w:r w:rsidRPr="00701ADE">
              <w:rPr>
                <w:color w:val="000000"/>
                <w:sz w:val="20"/>
                <w:lang w:val="en-GB"/>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w:t>
            </w:r>
          </w:p>
        </w:tc>
      </w:tr>
      <w:tr w:rsidR="004B75EC" w:rsidRPr="00701ADE">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R.1.7.1</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including the number of unaccompanied minors placed in alternatives to detention</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center"/>
              <w:rPr>
                <w:color w:val="000000"/>
                <w:sz w:val="20"/>
                <w:lang w:val="en-GB"/>
              </w:rPr>
            </w:pPr>
            <w:r w:rsidRPr="00701ADE">
              <w:rPr>
                <w:color w:val="000000"/>
                <w:sz w:val="20"/>
                <w:lang w:val="en-GB"/>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center"/>
              <w:rPr>
                <w:color w:val="000000"/>
                <w:sz w:val="20"/>
                <w:lang w:val="en-GB"/>
              </w:rPr>
            </w:pPr>
            <w:r w:rsidRPr="00701ADE">
              <w:rPr>
                <w:color w:val="000000"/>
                <w:sz w:val="20"/>
                <w:lang w:val="en-GB"/>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w:t>
            </w:r>
          </w:p>
        </w:tc>
      </w:tr>
      <w:tr w:rsidR="004B75EC" w:rsidRPr="00701ADE">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R.1.7.2</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the number of families placed in alternatives to detention</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center"/>
              <w:rPr>
                <w:color w:val="000000"/>
                <w:sz w:val="20"/>
                <w:lang w:val="en-GB"/>
              </w:rPr>
            </w:pPr>
            <w:r w:rsidRPr="00701ADE">
              <w:rPr>
                <w:color w:val="000000"/>
                <w:sz w:val="20"/>
                <w:lang w:val="en-GB"/>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center"/>
              <w:rPr>
                <w:color w:val="000000"/>
                <w:sz w:val="20"/>
                <w:lang w:val="en-GB"/>
              </w:rPr>
            </w:pPr>
            <w:r w:rsidRPr="00701ADE">
              <w:rPr>
                <w:color w:val="000000"/>
                <w:sz w:val="20"/>
                <w:lang w:val="en-GB"/>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w:t>
            </w:r>
          </w:p>
        </w:tc>
      </w:tr>
    </w:tbl>
    <w:p w:rsidR="00A77B3E" w:rsidRPr="00701ADE" w:rsidRDefault="00A77B3E">
      <w:pPr>
        <w:spacing w:before="100"/>
        <w:rPr>
          <w:color w:val="000000"/>
          <w:sz w:val="20"/>
          <w:lang w:val="en-GB"/>
        </w:rPr>
        <w:sectPr w:rsidR="00A77B3E" w:rsidRPr="00701ADE">
          <w:headerReference w:type="even" r:id="rId21"/>
          <w:headerReference w:type="default" r:id="rId22"/>
          <w:footerReference w:type="even" r:id="rId23"/>
          <w:footerReference w:type="default" r:id="rId24"/>
          <w:headerReference w:type="first" r:id="rId25"/>
          <w:footerReference w:type="first" r:id="rId26"/>
          <w:pgSz w:w="16838" w:h="11906" w:orient="landscape"/>
          <w:pgMar w:top="720" w:right="720" w:bottom="864" w:left="936" w:header="288" w:footer="72" w:gutter="0"/>
          <w:cols w:space="720"/>
          <w:noEndnote/>
          <w:docGrid w:linePitch="360"/>
        </w:sectPr>
      </w:pPr>
    </w:p>
    <w:p w:rsidR="00A77B3E" w:rsidRPr="00701ADE" w:rsidRDefault="00BB4ED7">
      <w:pPr>
        <w:spacing w:before="100"/>
        <w:rPr>
          <w:color w:val="000000"/>
          <w:sz w:val="0"/>
          <w:lang w:val="en-GB"/>
        </w:rPr>
      </w:pPr>
      <w:r w:rsidRPr="00701ADE">
        <w:rPr>
          <w:color w:val="000000"/>
          <w:lang w:val="en-GB"/>
        </w:rPr>
        <w:lastRenderedPageBreak/>
        <w:t>2.1. Specific objective 1. CEAS</w:t>
      </w:r>
    </w:p>
    <w:p w:rsidR="00A77B3E" w:rsidRPr="00701ADE" w:rsidRDefault="00BB4ED7">
      <w:pPr>
        <w:pStyle w:val="Nagwek3"/>
        <w:spacing w:before="100" w:after="0"/>
        <w:rPr>
          <w:rFonts w:ascii="Times New Roman" w:hAnsi="Times New Roman" w:cs="Times New Roman"/>
          <w:b w:val="0"/>
          <w:color w:val="000000"/>
          <w:sz w:val="24"/>
          <w:lang w:val="en-GB"/>
        </w:rPr>
      </w:pPr>
      <w:bookmarkStart w:id="8" w:name="_Toc126925384"/>
      <w:r w:rsidRPr="00701ADE">
        <w:rPr>
          <w:rFonts w:ascii="Times New Roman" w:hAnsi="Times New Roman" w:cs="Times New Roman"/>
          <w:b w:val="0"/>
          <w:color w:val="000000"/>
          <w:sz w:val="24"/>
          <w:lang w:val="en-GB"/>
        </w:rPr>
        <w:t>2.1.3. Indicative breakdown of programme resources (EU) by type of intervention</w:t>
      </w:r>
      <w:bookmarkEnd w:id="8"/>
    </w:p>
    <w:p w:rsidR="00A77B3E" w:rsidRPr="00701ADE" w:rsidRDefault="00BB4ED7">
      <w:pPr>
        <w:spacing w:before="100"/>
        <w:rPr>
          <w:color w:val="000000"/>
          <w:lang w:val="en-GB"/>
        </w:rPr>
      </w:pPr>
      <w:r w:rsidRPr="00701ADE">
        <w:rPr>
          <w:color w:val="000000"/>
          <w:lang w:val="en-GB"/>
        </w:rPr>
        <w:t>Reference: Article 22(5) of the Common Provisions Regulation and Article 16(12) of the AMIF Regulation, Article 13(12) of the ISF Regulation or Article 13(18) of the BMVI Regulation</w:t>
      </w:r>
    </w:p>
    <w:p w:rsidR="00A77B3E" w:rsidRPr="00701ADE" w:rsidRDefault="00BB4ED7">
      <w:pPr>
        <w:pStyle w:val="Nagwek4"/>
        <w:spacing w:before="100" w:after="0"/>
        <w:rPr>
          <w:b w:val="0"/>
          <w:color w:val="000000"/>
          <w:sz w:val="24"/>
          <w:lang w:val="en-GB"/>
        </w:rPr>
      </w:pPr>
      <w:bookmarkStart w:id="9" w:name="_Toc126925385"/>
      <w:r w:rsidRPr="00701ADE">
        <w:rPr>
          <w:b w:val="0"/>
          <w:color w:val="000000"/>
          <w:sz w:val="24"/>
          <w:lang w:val="en-GB"/>
        </w:rPr>
        <w:t>Table 3: Indicative breakdown</w:t>
      </w:r>
      <w:bookmarkEnd w:id="9"/>
    </w:p>
    <w:p w:rsidR="00A77B3E" w:rsidRPr="00701ADE" w:rsidRDefault="00A77B3E">
      <w:pPr>
        <w:spacing w:before="100"/>
        <w:rPr>
          <w:color w:val="000000"/>
          <w:sz w:val="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10704"/>
        <w:gridCol w:w="2556"/>
      </w:tblGrid>
      <w:tr w:rsidR="004B75EC" w:rsidRPr="00701ADE">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Type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Code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20"/>
                <w:lang w:val="en-GB"/>
              </w:rPr>
            </w:pPr>
            <w:r w:rsidRPr="00701ADE">
              <w:rPr>
                <w:color w:val="000000"/>
                <w:sz w:val="20"/>
                <w:lang w:val="en-GB"/>
              </w:rPr>
              <w:t>Indicative amount (in EUR)</w:t>
            </w:r>
          </w:p>
        </w:tc>
      </w:tr>
      <w:tr w:rsidR="004B75EC" w:rsidRPr="00701ADE">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001.Reception conditions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20"/>
                <w:lang w:val="en-GB"/>
              </w:rPr>
            </w:pPr>
            <w:r w:rsidRPr="00701ADE">
              <w:rPr>
                <w:color w:val="000000"/>
                <w:sz w:val="20"/>
                <w:lang w:val="en-GB"/>
              </w:rPr>
              <w:t>11,735,500.00</w:t>
            </w:r>
          </w:p>
        </w:tc>
      </w:tr>
      <w:tr w:rsidR="004B75EC" w:rsidRPr="00701ADE">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002.Asylum procedures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20"/>
                <w:lang w:val="en-GB"/>
              </w:rPr>
            </w:pPr>
            <w:r w:rsidRPr="00701ADE">
              <w:rPr>
                <w:color w:val="000000"/>
                <w:sz w:val="20"/>
                <w:lang w:val="en-GB"/>
              </w:rPr>
              <w:t>6,000,000.00</w:t>
            </w:r>
          </w:p>
        </w:tc>
      </w:tr>
      <w:tr w:rsidR="004B75EC" w:rsidRPr="00701ADE">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003.Implementation of the Union acquis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20"/>
                <w:lang w:val="en-GB"/>
              </w:rPr>
            </w:pPr>
            <w:r w:rsidRPr="00701ADE">
              <w:rPr>
                <w:color w:val="000000"/>
                <w:sz w:val="20"/>
                <w:lang w:val="en-GB"/>
              </w:rPr>
              <w:t>9,000,000.00</w:t>
            </w:r>
          </w:p>
        </w:tc>
      </w:tr>
      <w:tr w:rsidR="004B75EC" w:rsidRPr="00701ADE">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004.Children in migration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20"/>
                <w:lang w:val="en-GB"/>
              </w:rPr>
            </w:pPr>
            <w:r w:rsidRPr="00701ADE">
              <w:rPr>
                <w:color w:val="000000"/>
                <w:sz w:val="20"/>
                <w:lang w:val="en-GB"/>
              </w:rPr>
              <w:t>1,000,000.00</w:t>
            </w:r>
          </w:p>
        </w:tc>
      </w:tr>
      <w:tr w:rsidR="004B75EC" w:rsidRPr="00701ADE">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005.Persons with special reception and procedural needs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20"/>
                <w:lang w:val="en-GB"/>
              </w:rPr>
            </w:pPr>
            <w:r w:rsidRPr="00701ADE">
              <w:rPr>
                <w:color w:val="000000"/>
                <w:sz w:val="20"/>
                <w:lang w:val="en-GB"/>
              </w:rPr>
              <w:t>6,000,000.00</w:t>
            </w:r>
          </w:p>
        </w:tc>
      </w:tr>
      <w:tr w:rsidR="004B75EC" w:rsidRPr="00701ADE">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006.Union resettlement programmes or national resettlement and humanitarian admission schemes (Annex III, point 2(g))</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20"/>
                <w:lang w:val="en-GB"/>
              </w:rPr>
            </w:pPr>
            <w:r w:rsidRPr="00701ADE">
              <w:rPr>
                <w:color w:val="000000"/>
                <w:sz w:val="20"/>
                <w:lang w:val="en-GB"/>
              </w:rPr>
              <w:t>0.00</w:t>
            </w:r>
          </w:p>
        </w:tc>
      </w:tr>
      <w:tr w:rsidR="004B75EC" w:rsidRPr="00701ADE">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007.Operating support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20"/>
                <w:lang w:val="en-GB"/>
              </w:rPr>
            </w:pPr>
            <w:r w:rsidRPr="00701ADE">
              <w:rPr>
                <w:color w:val="000000"/>
                <w:sz w:val="20"/>
                <w:lang w:val="en-GB"/>
              </w:rPr>
              <w:t>1,800,000.00</w:t>
            </w:r>
          </w:p>
        </w:tc>
      </w:tr>
    </w:tbl>
    <w:p w:rsidR="00A77B3E" w:rsidRPr="00701ADE" w:rsidRDefault="00A77B3E">
      <w:pPr>
        <w:spacing w:before="100"/>
        <w:rPr>
          <w:color w:val="000000"/>
          <w:sz w:val="20"/>
          <w:lang w:val="en-GB"/>
        </w:rPr>
        <w:sectPr w:rsidR="00A77B3E" w:rsidRPr="00701ADE">
          <w:pgSz w:w="16838" w:h="11906" w:orient="landscape"/>
          <w:pgMar w:top="720" w:right="720" w:bottom="864" w:left="936" w:header="288" w:footer="72" w:gutter="0"/>
          <w:cols w:space="720"/>
          <w:noEndnote/>
          <w:docGrid w:linePitch="360"/>
        </w:sectPr>
      </w:pPr>
    </w:p>
    <w:p w:rsidR="00A77B3E" w:rsidRPr="00701ADE" w:rsidRDefault="00BB4ED7">
      <w:pPr>
        <w:pStyle w:val="Nagwek2"/>
        <w:spacing w:before="100" w:after="0"/>
        <w:rPr>
          <w:rFonts w:ascii="Times New Roman" w:hAnsi="Times New Roman" w:cs="Times New Roman"/>
          <w:b w:val="0"/>
          <w:i w:val="0"/>
          <w:color w:val="000000"/>
          <w:sz w:val="24"/>
          <w:lang w:val="en-GB"/>
        </w:rPr>
      </w:pPr>
      <w:bookmarkStart w:id="10" w:name="_Toc126925386"/>
      <w:r w:rsidRPr="00701ADE">
        <w:rPr>
          <w:rFonts w:ascii="Times New Roman" w:hAnsi="Times New Roman" w:cs="Times New Roman"/>
          <w:b w:val="0"/>
          <w:i w:val="0"/>
          <w:color w:val="000000"/>
          <w:sz w:val="24"/>
          <w:lang w:val="en-GB"/>
        </w:rPr>
        <w:t>2.1. Specific objective: 2. Legal migration and integration</w:t>
      </w:r>
      <w:bookmarkEnd w:id="10"/>
    </w:p>
    <w:p w:rsidR="00A77B3E" w:rsidRPr="00701ADE" w:rsidRDefault="00A77B3E">
      <w:pPr>
        <w:spacing w:before="100"/>
        <w:rPr>
          <w:color w:val="000000"/>
          <w:sz w:val="0"/>
          <w:lang w:val="en-GB"/>
        </w:rPr>
      </w:pPr>
    </w:p>
    <w:p w:rsidR="00A77B3E" w:rsidRPr="00701ADE" w:rsidRDefault="00BB4ED7">
      <w:pPr>
        <w:pStyle w:val="Nagwek3"/>
        <w:spacing w:before="100" w:after="0"/>
        <w:rPr>
          <w:rFonts w:ascii="Times New Roman" w:hAnsi="Times New Roman" w:cs="Times New Roman"/>
          <w:b w:val="0"/>
          <w:color w:val="000000"/>
          <w:sz w:val="24"/>
          <w:lang w:val="en-GB"/>
        </w:rPr>
      </w:pPr>
      <w:bookmarkStart w:id="11" w:name="_Toc126925387"/>
      <w:r w:rsidRPr="00701ADE">
        <w:rPr>
          <w:rFonts w:ascii="Times New Roman" w:hAnsi="Times New Roman" w:cs="Times New Roman"/>
          <w:b w:val="0"/>
          <w:color w:val="000000"/>
          <w:sz w:val="24"/>
          <w:lang w:val="en-GB"/>
        </w:rPr>
        <w:t>2.1.1. Description of the specific objective</w:t>
      </w:r>
      <w:bookmarkEnd w:id="11"/>
    </w:p>
    <w:p w:rsidR="00A77B3E" w:rsidRPr="00701ADE" w:rsidRDefault="00A77B3E">
      <w:pPr>
        <w:spacing w:before="100"/>
        <w:rPr>
          <w:color w:val="000000"/>
          <w:sz w:val="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4B75EC" w:rsidRPr="00701ADE">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A77B3E">
            <w:pPr>
              <w:spacing w:before="100"/>
              <w:rPr>
                <w:color w:val="000000"/>
                <w:sz w:val="0"/>
                <w:lang w:val="en-GB"/>
              </w:rPr>
            </w:pPr>
          </w:p>
          <w:p w:rsidR="00A77B3E" w:rsidRPr="00701ADE" w:rsidRDefault="00BB4ED7">
            <w:pPr>
              <w:spacing w:before="100"/>
              <w:rPr>
                <w:color w:val="000000"/>
                <w:lang w:val="en-GB"/>
              </w:rPr>
            </w:pPr>
            <w:r w:rsidRPr="00701ADE">
              <w:rPr>
                <w:color w:val="000000"/>
                <w:lang w:val="en-GB"/>
              </w:rPr>
              <w:t xml:space="preserve">The increase in legal migration of TCNs to Poland observed since 2014 has revealed shortcomings of the Polish migration system, including </w:t>
            </w:r>
            <w:r w:rsidRPr="00701ADE">
              <w:rPr>
                <w:i/>
                <w:iCs/>
                <w:color w:val="000000"/>
                <w:lang w:val="en-GB"/>
              </w:rPr>
              <w:t>inter alia</w:t>
            </w:r>
            <w:r w:rsidRPr="00701ADE">
              <w:rPr>
                <w:color w:val="000000"/>
                <w:lang w:val="en-GB"/>
              </w:rPr>
              <w:t>:</w:t>
            </w:r>
          </w:p>
          <w:p w:rsidR="00A77B3E" w:rsidRPr="00701ADE" w:rsidRDefault="00BB4ED7">
            <w:pPr>
              <w:numPr>
                <w:ilvl w:val="0"/>
                <w:numId w:val="5"/>
              </w:numPr>
              <w:spacing w:before="100"/>
              <w:rPr>
                <w:color w:val="000000"/>
                <w:lang w:val="en-GB"/>
              </w:rPr>
            </w:pPr>
            <w:r w:rsidRPr="00701ADE">
              <w:rPr>
                <w:color w:val="000000"/>
                <w:lang w:val="en-GB"/>
              </w:rPr>
              <w:t>the low level of digitalisation of migration procedures which require direct contacts between migration authorities and customers; the low level of repeatability of typical cases and the structure of administrative proceedings which require strong involvement of human resources, extending the duration of administrative proceedings beyond statutory deadlines;</w:t>
            </w:r>
          </w:p>
          <w:p w:rsidR="00A77B3E" w:rsidRPr="00701ADE" w:rsidRDefault="00BB4ED7">
            <w:pPr>
              <w:numPr>
                <w:ilvl w:val="0"/>
                <w:numId w:val="5"/>
              </w:numPr>
              <w:spacing w:before="100"/>
              <w:rPr>
                <w:color w:val="000000"/>
                <w:lang w:val="en-GB"/>
              </w:rPr>
            </w:pPr>
            <w:r w:rsidRPr="00701ADE">
              <w:rPr>
                <w:color w:val="000000"/>
                <w:lang w:val="en-GB"/>
              </w:rPr>
              <w:t>rotation and inadequate professionalisation of the personnel handling proceedings in stay-related matters; inadequate provision of the migration authorities with tools that streamline the customer and proceeding support;</w:t>
            </w:r>
          </w:p>
          <w:p w:rsidR="00A77B3E" w:rsidRPr="00701ADE" w:rsidRDefault="00BB4ED7">
            <w:pPr>
              <w:numPr>
                <w:ilvl w:val="0"/>
                <w:numId w:val="5"/>
              </w:numPr>
              <w:spacing w:before="100"/>
              <w:rPr>
                <w:color w:val="000000"/>
                <w:lang w:val="en-GB"/>
              </w:rPr>
            </w:pPr>
            <w:r w:rsidRPr="00701ADE">
              <w:rPr>
                <w:b/>
                <w:bCs/>
                <w:color w:val="000000"/>
                <w:lang w:val="en-GB"/>
              </w:rPr>
              <w:t>the migration information channels which are dispersed, duplicated and partially unable to respond quickly to changes in the legal environment and customer needs;</w:t>
            </w:r>
          </w:p>
          <w:p w:rsidR="00A77B3E" w:rsidRPr="00701ADE" w:rsidRDefault="00BB4ED7">
            <w:pPr>
              <w:numPr>
                <w:ilvl w:val="0"/>
                <w:numId w:val="5"/>
              </w:numPr>
              <w:spacing w:before="100"/>
              <w:rPr>
                <w:color w:val="000000"/>
                <w:lang w:val="en-GB"/>
              </w:rPr>
            </w:pPr>
            <w:r w:rsidRPr="00701ADE">
              <w:rPr>
                <w:b/>
                <w:bCs/>
                <w:color w:val="000000"/>
                <w:lang w:val="en-GB"/>
              </w:rPr>
              <w:t xml:space="preserve">the high level of complexity of applicable law and low inadequate legal awareness of the customers, </w:t>
            </w:r>
            <w:r w:rsidRPr="00701ADE">
              <w:rPr>
                <w:color w:val="000000"/>
                <w:lang w:val="en-GB"/>
              </w:rPr>
              <w:t>hindering their cooperation in the procedures;</w:t>
            </w:r>
            <w:r w:rsidRPr="00701ADE">
              <w:rPr>
                <w:b/>
                <w:bCs/>
                <w:color w:val="000000"/>
                <w:lang w:val="en-GB"/>
              </w:rPr>
              <w:t xml:space="preserve"> </w:t>
            </w:r>
            <w:r w:rsidRPr="00701ADE">
              <w:rPr>
                <w:color w:val="000000"/>
                <w:lang w:val="en-GB"/>
              </w:rPr>
              <w:t>the language barrier;</w:t>
            </w:r>
          </w:p>
          <w:p w:rsidR="00A77B3E" w:rsidRPr="00701ADE" w:rsidRDefault="00BB4ED7">
            <w:pPr>
              <w:numPr>
                <w:ilvl w:val="0"/>
                <w:numId w:val="5"/>
              </w:numPr>
              <w:spacing w:before="100"/>
              <w:rPr>
                <w:color w:val="000000"/>
                <w:lang w:val="en-GB"/>
              </w:rPr>
            </w:pPr>
            <w:r w:rsidRPr="00701ADE">
              <w:rPr>
                <w:b/>
                <w:bCs/>
                <w:color w:val="000000"/>
                <w:lang w:val="en-GB"/>
              </w:rPr>
              <w:t xml:space="preserve">insufficient recognition of the needs of TCNs from countries with no history of migration to Poland </w:t>
            </w:r>
            <w:r w:rsidRPr="00701ADE">
              <w:rPr>
                <w:color w:val="000000"/>
                <w:lang w:val="en-GB"/>
              </w:rPr>
              <w:t>(China, Nepal, India, Indonesia), which will require preparing the migration services and conducting information and integration actions;</w:t>
            </w:r>
          </w:p>
          <w:p w:rsidR="00A77B3E" w:rsidRPr="00701ADE" w:rsidRDefault="00BB4ED7">
            <w:pPr>
              <w:numPr>
                <w:ilvl w:val="0"/>
                <w:numId w:val="5"/>
              </w:numPr>
              <w:spacing w:before="100"/>
              <w:rPr>
                <w:color w:val="000000"/>
                <w:lang w:val="en-GB"/>
              </w:rPr>
            </w:pPr>
            <w:r w:rsidRPr="00701ADE">
              <w:rPr>
                <w:b/>
                <w:bCs/>
                <w:color w:val="000000"/>
                <w:lang w:val="en-GB"/>
              </w:rPr>
              <w:t>unsatisfactory advocacy and educational actions among local communities, institutions, employers and migrants</w:t>
            </w:r>
            <w:r w:rsidRPr="00701ADE">
              <w:rPr>
                <w:color w:val="000000"/>
                <w:lang w:val="en-GB"/>
              </w:rPr>
              <w:t>; insufficient support for migrant children and youth;</w:t>
            </w:r>
          </w:p>
          <w:p w:rsidR="00A77B3E" w:rsidRPr="00701ADE" w:rsidRDefault="00BB4ED7">
            <w:pPr>
              <w:numPr>
                <w:ilvl w:val="0"/>
                <w:numId w:val="5"/>
              </w:numPr>
              <w:spacing w:before="100"/>
              <w:rPr>
                <w:color w:val="000000"/>
                <w:lang w:val="en-GB"/>
              </w:rPr>
            </w:pPr>
            <w:r w:rsidRPr="00701ADE">
              <w:rPr>
                <w:b/>
                <w:bCs/>
                <w:color w:val="000000"/>
                <w:lang w:val="en-GB"/>
              </w:rPr>
              <w:t>lack of a uniform structure of TCN integration in respective Voivodships</w:t>
            </w:r>
            <w:r w:rsidRPr="00701ADE">
              <w:rPr>
                <w:color w:val="000000"/>
                <w:lang w:val="en-GB"/>
              </w:rPr>
              <w:t>; inadequate support for the process of integrating TCNs with the receiving society and insufficient actions addressed to the receiving society.</w:t>
            </w:r>
          </w:p>
          <w:p w:rsidR="00A77B3E" w:rsidRPr="00701ADE" w:rsidRDefault="00A77B3E">
            <w:pPr>
              <w:spacing w:before="100"/>
              <w:rPr>
                <w:color w:val="000000"/>
                <w:lang w:val="en-GB"/>
              </w:rPr>
            </w:pPr>
          </w:p>
          <w:p w:rsidR="00A77B3E" w:rsidRPr="00701ADE" w:rsidRDefault="00BB4ED7">
            <w:pPr>
              <w:spacing w:before="100"/>
              <w:rPr>
                <w:color w:val="000000"/>
                <w:lang w:val="en-GB"/>
              </w:rPr>
            </w:pPr>
            <w:r w:rsidRPr="00701ADE">
              <w:rPr>
                <w:color w:val="000000"/>
                <w:lang w:val="en-GB"/>
              </w:rPr>
              <w:t xml:space="preserve">In response to the emerging challenges, </w:t>
            </w:r>
            <w:r w:rsidRPr="00701ADE">
              <w:rPr>
                <w:b/>
                <w:bCs/>
                <w:color w:val="000000"/>
                <w:lang w:val="en-GB"/>
              </w:rPr>
              <w:t>it will be necessary to support the development and implementation of policies that promote legal migration and the implementation of the Union acquis regarding legal migration, including in the area of enforcement of labour standards.</w:t>
            </w:r>
          </w:p>
          <w:p w:rsidR="00A77B3E" w:rsidRPr="00701ADE" w:rsidRDefault="00BB4ED7">
            <w:pPr>
              <w:spacing w:before="100"/>
              <w:rPr>
                <w:color w:val="000000"/>
                <w:lang w:val="en-GB"/>
              </w:rPr>
            </w:pPr>
            <w:r w:rsidRPr="00701ADE">
              <w:rPr>
                <w:color w:val="000000"/>
                <w:lang w:val="en-GB"/>
              </w:rPr>
              <w:t xml:space="preserve">Actions encompassed by this objective are in line with the document </w:t>
            </w:r>
            <w:r w:rsidRPr="00701ADE">
              <w:rPr>
                <w:i/>
                <w:iCs/>
                <w:color w:val="000000"/>
                <w:lang w:val="en-GB"/>
              </w:rPr>
              <w:t>Migration Policy of Poland - Diagnosis of the Initial State</w:t>
            </w:r>
            <w:r w:rsidRPr="00701ADE">
              <w:rPr>
                <w:color w:val="000000"/>
                <w:lang w:val="en-GB"/>
              </w:rPr>
              <w:t xml:space="preserve">. Work is currently under way to prepare an implementing document which will lay out key tasks regarding international migration. According to the document, in order to facilitate legal entry and stay in the EU, it will be relevant to </w:t>
            </w:r>
            <w:r w:rsidRPr="00701ADE">
              <w:rPr>
                <w:b/>
                <w:bCs/>
                <w:color w:val="000000"/>
                <w:lang w:val="en-GB"/>
              </w:rPr>
              <w:t xml:space="preserve">build the capacities of the migration authorities in the area of development of the EU acquis </w:t>
            </w:r>
            <w:r w:rsidRPr="00701ADE">
              <w:rPr>
                <w:color w:val="000000"/>
                <w:lang w:val="en-GB"/>
              </w:rPr>
              <w:t xml:space="preserve">on mobility within the EU and the attractiveness of the EU, and in the area of </w:t>
            </w:r>
            <w:r w:rsidRPr="00701ADE">
              <w:rPr>
                <w:b/>
                <w:bCs/>
                <w:color w:val="000000"/>
                <w:lang w:val="en-GB"/>
              </w:rPr>
              <w:t xml:space="preserve">the current customer service in the context of the constantly growing influx of TCNs </w:t>
            </w:r>
            <w:r w:rsidRPr="00701ADE">
              <w:rPr>
                <w:color w:val="000000"/>
                <w:lang w:val="en-GB"/>
              </w:rPr>
              <w:t xml:space="preserve">to Poland, so that excessively long administrative procedures could be prevented. The implementing document will encompass the issue of increased demand for migration workers, including highly qualified ones. In this light, </w:t>
            </w:r>
            <w:r w:rsidRPr="00701ADE">
              <w:rPr>
                <w:b/>
                <w:bCs/>
                <w:color w:val="000000"/>
                <w:lang w:val="en-GB"/>
              </w:rPr>
              <w:t>further actions are being planned to facilitate legal entry and stay in the EU for that group of TCNs</w:t>
            </w:r>
            <w:r w:rsidRPr="00701ADE">
              <w:rPr>
                <w:color w:val="000000"/>
                <w:lang w:val="en-GB"/>
              </w:rPr>
              <w:t>. In view of these challenges it will be important for the OfF and Voivodship Offices to pursue an active information policy in the area of the law and procedures applicable to TCNs' entry and stay in Poland, as dictated by the current needs and with the use of various means of communication. The plans include carrying out ca. 10 information packages and campaigns (O.2.4). Furthermore, due to the two-way process of integration involving actions of the receiving society and the migrants themselves, it is advisable to take actions to intensify the commitment of local authorities and non-governmental organisations. As in the 2014-2020 perspective, no projects encompassing mobility programmes will be implemented in the 2021–2027 perspective. This tool is not used for managing migration to Poland, and neither are family reunification support projects. However, support is planned for 3,300 TCNs (O.2.1) awaiting repatriation and covered by pre-departure measures.</w:t>
            </w:r>
          </w:p>
          <w:p w:rsidR="00A77B3E" w:rsidRPr="00701ADE" w:rsidRDefault="00BB4ED7">
            <w:pPr>
              <w:spacing w:before="100"/>
              <w:rPr>
                <w:color w:val="000000"/>
                <w:lang w:val="en-GB"/>
              </w:rPr>
            </w:pPr>
            <w:r w:rsidRPr="00701ADE">
              <w:rPr>
                <w:color w:val="000000"/>
                <w:lang w:val="en-GB"/>
              </w:rPr>
              <w:t xml:space="preserve">The main assumption behind the integration actions is to provide </w:t>
            </w:r>
            <w:r w:rsidRPr="00701ADE">
              <w:rPr>
                <w:b/>
                <w:bCs/>
                <w:color w:val="000000"/>
                <w:lang w:val="en-GB"/>
              </w:rPr>
              <w:t xml:space="preserve">access to integration services for all TCNs concerned who are staying in Poland legally. </w:t>
            </w:r>
            <w:r w:rsidRPr="008F6B61">
              <w:rPr>
                <w:color w:val="000000"/>
                <w:lang w:val="en-GB"/>
              </w:rPr>
              <w:t>To date</w:t>
            </w:r>
            <w:r w:rsidRPr="00701ADE">
              <w:rPr>
                <w:color w:val="000000"/>
                <w:lang w:val="en-GB"/>
              </w:rPr>
              <w:t xml:space="preserve">, such actions have been conducted under the AMIF 2014-2020 and their evaluation shows that they are </w:t>
            </w:r>
            <w:r w:rsidRPr="00701ADE">
              <w:rPr>
                <w:b/>
                <w:bCs/>
                <w:color w:val="000000"/>
                <w:lang w:val="en-GB"/>
              </w:rPr>
              <w:t>valuable and needed, and therefore should be continued</w:t>
            </w:r>
            <w:r w:rsidRPr="00701ADE">
              <w:rPr>
                <w:color w:val="000000"/>
                <w:lang w:val="en-GB"/>
              </w:rPr>
              <w:t>. Those actions require further support also because of the dynamic increase in immigration in 2014-2021 and the growing number of TCNs. Therefore, 1,328 local and regional authorities will receive support to develop appropriate integration services (O.2.2).</w:t>
            </w:r>
          </w:p>
          <w:p w:rsidR="00A77B3E" w:rsidRPr="00701ADE" w:rsidRDefault="00BB4ED7">
            <w:pPr>
              <w:spacing w:before="100"/>
              <w:rPr>
                <w:color w:val="000000"/>
                <w:lang w:val="en-GB"/>
              </w:rPr>
            </w:pPr>
            <w:r w:rsidRPr="00701ADE">
              <w:rPr>
                <w:b/>
                <w:bCs/>
                <w:color w:val="000000"/>
                <w:lang w:val="en-GB"/>
              </w:rPr>
              <w:t>Promotion of integration measures for social and economic inclusion of third country nationals is another area that requires support.</w:t>
            </w:r>
          </w:p>
          <w:p w:rsidR="00A77B3E" w:rsidRPr="00701ADE" w:rsidRDefault="00BB4ED7">
            <w:pPr>
              <w:spacing w:before="100"/>
              <w:rPr>
                <w:color w:val="000000"/>
                <w:lang w:val="en-GB"/>
              </w:rPr>
            </w:pPr>
            <w:r w:rsidRPr="00701ADE">
              <w:rPr>
                <w:color w:val="000000"/>
                <w:lang w:val="en-GB"/>
              </w:rPr>
              <w:t xml:space="preserve">Development of a strategy for integration of TCNs in Poland in the context of the country's regional diversity in terms of the number and categories of TCNs residing in respective Voivodships is a challenge. Adopted by the Council of Ministers in March 2018, </w:t>
            </w:r>
            <w:r w:rsidRPr="00701ADE">
              <w:rPr>
                <w:i/>
                <w:iCs/>
                <w:color w:val="000000"/>
                <w:lang w:val="en-GB"/>
              </w:rPr>
              <w:t>Social and economic priorities of the migration policy</w:t>
            </w:r>
            <w:r w:rsidRPr="00701ADE">
              <w:rPr>
                <w:color w:val="000000"/>
                <w:lang w:val="en-GB"/>
              </w:rPr>
              <w:t xml:space="preserve"> is the applicable document that determines the directions of the migration policy in Poland. It also contains provisions regarding the framework of the TCN integration policy and lays out such priority actions as Polish language courses and one-stop-shop support facilities offering assistance to TCNs in </w:t>
            </w:r>
            <w:r w:rsidRPr="00701ADE">
              <w:rPr>
                <w:i/>
                <w:iCs/>
                <w:color w:val="000000"/>
                <w:lang w:val="en-GB"/>
              </w:rPr>
              <w:t xml:space="preserve">inter alia </w:t>
            </w:r>
            <w:r w:rsidRPr="00701ADE">
              <w:rPr>
                <w:color w:val="000000"/>
                <w:lang w:val="en-GB"/>
              </w:rPr>
              <w:t xml:space="preserve">finding accommodation and obtaining information about </w:t>
            </w:r>
            <w:r w:rsidRPr="008F6B61">
              <w:rPr>
                <w:color w:val="000000"/>
                <w:lang w:val="en-GB"/>
              </w:rPr>
              <w:t>child education, procedures and Polish law.</w:t>
            </w:r>
            <w:r w:rsidRPr="00701ADE">
              <w:rPr>
                <w:color w:val="000000"/>
                <w:lang w:val="en-GB"/>
              </w:rPr>
              <w:t xml:space="preserve"> The need for harmonised integration actions, in particular at the level of regions and large cities where TCNs concentrate, was highlighted also in a report by the National Integration Evaluation Mechanism.</w:t>
            </w:r>
          </w:p>
          <w:p w:rsidR="00A77B3E" w:rsidRPr="00701ADE" w:rsidRDefault="00BB4ED7">
            <w:pPr>
              <w:spacing w:before="100"/>
              <w:rPr>
                <w:color w:val="000000"/>
                <w:lang w:val="en-GB"/>
              </w:rPr>
            </w:pPr>
            <w:r w:rsidRPr="00701ADE">
              <w:rPr>
                <w:color w:val="000000"/>
                <w:lang w:val="en-GB"/>
              </w:rPr>
              <w:t>In response to the challenges identified in the area of legal migration/integration, a number of initiatives will be undertaken to strengthen the channels for promotion of knowledge of legal migration, better adapt the application handling systems, improve the infrastructure as well as upgrade and develop the ICT systems for handling legal migration, including implementation of e-services, develop the skills and qualifications of the staff, provide a wide range of services adequate to the status of TCNs staying in Poland, and ensure a stronger involvement of regional and local institutions in the integration of TCNs.</w:t>
            </w:r>
          </w:p>
          <w:p w:rsidR="00A77B3E" w:rsidRPr="00701ADE" w:rsidRDefault="00BB4ED7">
            <w:pPr>
              <w:spacing w:before="100"/>
              <w:rPr>
                <w:color w:val="000000"/>
                <w:lang w:val="en-GB"/>
              </w:rPr>
            </w:pPr>
            <w:r w:rsidRPr="00701ADE">
              <w:rPr>
                <w:b/>
                <w:bCs/>
                <w:color w:val="000000"/>
                <w:lang w:val="en-GB"/>
              </w:rPr>
              <w:t>Strengthening and developing legal migration and promoting effective integration as part of the AMIF has been planned as a series of actions taking into account implement</w:t>
            </w:r>
            <w:r w:rsidR="006A3529">
              <w:rPr>
                <w:b/>
                <w:bCs/>
                <w:color w:val="000000"/>
                <w:lang w:val="en-GB"/>
              </w:rPr>
              <w:t>ation</w:t>
            </w:r>
            <w:r w:rsidRPr="00701ADE">
              <w:rPr>
                <w:b/>
                <w:bCs/>
                <w:color w:val="000000"/>
                <w:lang w:val="en-GB"/>
              </w:rPr>
              <w:t xml:space="preserve"> measures a), b), c) and d). </w:t>
            </w:r>
          </w:p>
          <w:p w:rsidR="00A77B3E" w:rsidRPr="00701ADE" w:rsidRDefault="00BB4ED7">
            <w:pPr>
              <w:spacing w:before="100"/>
              <w:rPr>
                <w:color w:val="000000"/>
                <w:lang w:val="en-GB"/>
              </w:rPr>
            </w:pPr>
            <w:r w:rsidRPr="00701ADE">
              <w:rPr>
                <w:color w:val="000000"/>
                <w:lang w:val="en-GB"/>
              </w:rPr>
              <w:t xml:space="preserve">The following has been planned as part of </w:t>
            </w:r>
            <w:r w:rsidRPr="00701ADE">
              <w:rPr>
                <w:b/>
                <w:bCs/>
                <w:color w:val="000000"/>
                <w:u w:val="single"/>
                <w:lang w:val="en-GB"/>
              </w:rPr>
              <w:t>implement</w:t>
            </w:r>
            <w:r w:rsidR="006A3529">
              <w:rPr>
                <w:b/>
                <w:bCs/>
                <w:color w:val="000000"/>
                <w:u w:val="single"/>
                <w:lang w:val="en-GB"/>
              </w:rPr>
              <w:t>ation</w:t>
            </w:r>
            <w:r w:rsidRPr="00701ADE">
              <w:rPr>
                <w:b/>
                <w:bCs/>
                <w:color w:val="000000"/>
                <w:u w:val="single"/>
                <w:lang w:val="en-GB"/>
              </w:rPr>
              <w:t xml:space="preserve"> measure a):</w:t>
            </w:r>
          </w:p>
          <w:p w:rsidR="00A77B3E" w:rsidRPr="00701ADE" w:rsidRDefault="00BB4ED7">
            <w:pPr>
              <w:numPr>
                <w:ilvl w:val="0"/>
                <w:numId w:val="6"/>
              </w:numPr>
              <w:spacing w:before="100"/>
              <w:rPr>
                <w:color w:val="000000"/>
                <w:lang w:val="en-GB"/>
              </w:rPr>
            </w:pPr>
            <w:r w:rsidRPr="00701ADE">
              <w:rPr>
                <w:b/>
                <w:bCs/>
                <w:color w:val="000000"/>
                <w:lang w:val="en-GB"/>
              </w:rPr>
              <w:t xml:space="preserve">conducting research and analyses, and providing expertise </w:t>
            </w:r>
            <w:r w:rsidRPr="00701ADE">
              <w:rPr>
                <w:color w:val="000000"/>
                <w:lang w:val="en-GB"/>
              </w:rPr>
              <w:t>in the area covered by the fund’s support; (scope of support – Annex III, point 3(m))</w:t>
            </w:r>
          </w:p>
          <w:p w:rsidR="00A77B3E" w:rsidRPr="00701ADE" w:rsidRDefault="00BB4ED7">
            <w:pPr>
              <w:numPr>
                <w:ilvl w:val="0"/>
                <w:numId w:val="6"/>
              </w:numPr>
              <w:spacing w:before="100"/>
              <w:rPr>
                <w:color w:val="000000"/>
                <w:lang w:val="en-GB"/>
              </w:rPr>
            </w:pPr>
            <w:r w:rsidRPr="00701ADE">
              <w:rPr>
                <w:b/>
                <w:bCs/>
                <w:color w:val="000000"/>
                <w:lang w:val="en-GB"/>
              </w:rPr>
              <w:t xml:space="preserve">information campaigns </w:t>
            </w:r>
            <w:r w:rsidRPr="00701ADE">
              <w:rPr>
                <w:color w:val="000000"/>
                <w:lang w:val="en-GB"/>
              </w:rPr>
              <w:t>in various languages aimed at promoting the knowledge about the rules of entry and stay, creating modern websites for migration authorities, providing digital services, building modern hotline systems and consultation points, conducting information campaigns to popularise migration procedures through various media and events addressed to specific target groups, national and regional information activities addressed to TCNs staying legally in Poland and designed to popularise the knowledge about residence permits, available rights and required obligations, including regarding access to employment and public services; (scope of support – Annex III, point 3(a)), indicator O.2.4</w:t>
            </w:r>
          </w:p>
          <w:p w:rsidR="00A77B3E" w:rsidRPr="00701ADE" w:rsidRDefault="00BB4ED7">
            <w:pPr>
              <w:numPr>
                <w:ilvl w:val="0"/>
                <w:numId w:val="6"/>
              </w:numPr>
              <w:spacing w:before="100"/>
              <w:rPr>
                <w:color w:val="000000"/>
                <w:lang w:val="en-GB"/>
              </w:rPr>
            </w:pPr>
            <w:r w:rsidRPr="00701ADE">
              <w:rPr>
                <w:color w:val="000000"/>
                <w:lang w:val="en-GB"/>
              </w:rPr>
              <w:t>information activities carried out in Poland and encompassing legal migration, in particular addressed to employment services,  public order services, judicial services and higher education establishments; setting up professional helplines and points of information at the migration authorities to provide information on the conditions of entry to and exit from Poland and on performing work by TCNs; (scope of support – Annex III, point 3(a)), indicator O.2.1.</w:t>
            </w:r>
          </w:p>
          <w:p w:rsidR="00A77B3E" w:rsidRPr="00701ADE" w:rsidRDefault="00BB4ED7">
            <w:pPr>
              <w:numPr>
                <w:ilvl w:val="0"/>
                <w:numId w:val="6"/>
              </w:numPr>
              <w:spacing w:before="100"/>
              <w:rPr>
                <w:color w:val="000000"/>
                <w:lang w:val="en-GB"/>
              </w:rPr>
            </w:pPr>
            <w:r w:rsidRPr="00701ADE">
              <w:rPr>
                <w:color w:val="000000"/>
                <w:lang w:val="en-GB"/>
              </w:rPr>
              <w:t xml:space="preserve">support in the area of recognition of diplomas and qualifications acquired in countries of origin through </w:t>
            </w:r>
            <w:r w:rsidRPr="00701ADE">
              <w:rPr>
                <w:i/>
                <w:iCs/>
                <w:color w:val="000000"/>
                <w:lang w:val="en-GB"/>
              </w:rPr>
              <w:t xml:space="preserve">inter alia </w:t>
            </w:r>
            <w:r w:rsidRPr="00701ADE">
              <w:rPr>
                <w:color w:val="000000"/>
                <w:lang w:val="en-GB"/>
              </w:rPr>
              <w:t>informing TCNs as well as training personnel of higher education establishments and employers; (scope of support – Annex III, point 3(d))</w:t>
            </w:r>
          </w:p>
          <w:p w:rsidR="00A77B3E" w:rsidRPr="00701ADE" w:rsidRDefault="00BB4ED7">
            <w:pPr>
              <w:numPr>
                <w:ilvl w:val="0"/>
                <w:numId w:val="6"/>
              </w:numPr>
              <w:spacing w:before="100"/>
              <w:rPr>
                <w:color w:val="000000"/>
                <w:lang w:val="en-GB"/>
              </w:rPr>
            </w:pPr>
            <w:r w:rsidRPr="00701ADE">
              <w:rPr>
                <w:color w:val="000000"/>
                <w:lang w:val="en-GB"/>
              </w:rPr>
              <w:t xml:space="preserve">developing resources that enable the recruitment of workers abroad in accordance with the needs of the Polish labour market; assessment of professional skills and qualifications; </w:t>
            </w:r>
            <w:r w:rsidRPr="008F6B61">
              <w:rPr>
                <w:color w:val="000000"/>
                <w:lang w:val="en-GB"/>
              </w:rPr>
              <w:t>non-vocational training</w:t>
            </w:r>
            <w:r w:rsidRPr="00701ADE">
              <w:rPr>
                <w:color w:val="000000"/>
                <w:lang w:val="en-GB"/>
              </w:rPr>
              <w:t xml:space="preserve"> courses aimed at increasing employability; civic courses; language courses; (scope of support – Annex III, point 3(b),(c)), indicator O.2.1</w:t>
            </w:r>
          </w:p>
          <w:p w:rsidR="00A77B3E" w:rsidRPr="00701ADE" w:rsidRDefault="00BB4ED7">
            <w:pPr>
              <w:numPr>
                <w:ilvl w:val="0"/>
                <w:numId w:val="6"/>
              </w:numPr>
              <w:spacing w:before="100"/>
              <w:rPr>
                <w:color w:val="000000"/>
                <w:lang w:val="en-GB"/>
              </w:rPr>
            </w:pPr>
            <w:r w:rsidRPr="00701ADE">
              <w:rPr>
                <w:color w:val="000000"/>
                <w:lang w:val="en-GB"/>
              </w:rPr>
              <w:t>actions aimed at strengthening the commitment of local authorities and non-governmental organisations such as projects implemented in partnership between competent authorities and non-governmental organisations; (scope of support – Annex III, point 3(j)), indicator O.2.1</w:t>
            </w:r>
          </w:p>
          <w:p w:rsidR="00A77B3E" w:rsidRPr="00701ADE" w:rsidRDefault="00BB4ED7">
            <w:pPr>
              <w:spacing w:before="100"/>
              <w:rPr>
                <w:color w:val="000000"/>
                <w:lang w:val="en-GB"/>
              </w:rPr>
            </w:pPr>
            <w:r w:rsidRPr="00701ADE">
              <w:rPr>
                <w:color w:val="000000"/>
                <w:lang w:val="en-GB"/>
              </w:rPr>
              <w:t xml:space="preserve">The following has been planned as part of </w:t>
            </w:r>
            <w:r w:rsidRPr="00701ADE">
              <w:rPr>
                <w:b/>
                <w:bCs/>
                <w:color w:val="000000"/>
                <w:u w:val="single"/>
                <w:lang w:val="en-GB"/>
              </w:rPr>
              <w:t>implement</w:t>
            </w:r>
            <w:r w:rsidR="006A3529">
              <w:rPr>
                <w:b/>
                <w:bCs/>
                <w:color w:val="000000"/>
                <w:u w:val="single"/>
                <w:lang w:val="en-GB"/>
              </w:rPr>
              <w:t>ation</w:t>
            </w:r>
            <w:r w:rsidRPr="00701ADE">
              <w:rPr>
                <w:b/>
                <w:bCs/>
                <w:color w:val="000000"/>
                <w:u w:val="single"/>
                <w:lang w:val="en-GB"/>
              </w:rPr>
              <w:t xml:space="preserve"> measure b):</w:t>
            </w:r>
          </w:p>
          <w:p w:rsidR="00A77B3E" w:rsidRPr="00701ADE" w:rsidRDefault="00BB4ED7">
            <w:pPr>
              <w:numPr>
                <w:ilvl w:val="0"/>
                <w:numId w:val="7"/>
              </w:numPr>
              <w:spacing w:before="100"/>
              <w:rPr>
                <w:color w:val="000000"/>
                <w:lang w:val="en-GB"/>
              </w:rPr>
            </w:pPr>
            <w:r w:rsidRPr="00701ADE">
              <w:rPr>
                <w:b/>
                <w:bCs/>
                <w:color w:val="000000"/>
                <w:lang w:val="en-GB"/>
              </w:rPr>
              <w:t xml:space="preserve">strengthening and developing legal migration to Poland by facilitating efficient integration of TCNs (persons awaiting repatriation). </w:t>
            </w:r>
            <w:r w:rsidRPr="00701ADE">
              <w:rPr>
                <w:color w:val="000000"/>
                <w:lang w:val="en-GB"/>
              </w:rPr>
              <w:t>Actions planned include: non-vocational training courses aimed at increasing employability; orientation courses, Polish language courses, assistance in finding accommodation, provision of essential information on procedures and cultural specificities. (indicators O.2.1 and O.2.4)</w:t>
            </w:r>
          </w:p>
          <w:p w:rsidR="00A77B3E" w:rsidRPr="00701ADE" w:rsidRDefault="00BB4ED7">
            <w:pPr>
              <w:spacing w:before="100"/>
              <w:rPr>
                <w:color w:val="000000"/>
                <w:lang w:val="en-GB"/>
              </w:rPr>
            </w:pPr>
            <w:r w:rsidRPr="00701ADE">
              <w:rPr>
                <w:color w:val="000000"/>
                <w:lang w:val="en-GB"/>
              </w:rPr>
              <w:t> It has been planned to build the capacity of migration authorities through:</w:t>
            </w:r>
          </w:p>
          <w:p w:rsidR="00A77B3E" w:rsidRPr="00701ADE" w:rsidRDefault="00BB4ED7">
            <w:pPr>
              <w:numPr>
                <w:ilvl w:val="0"/>
                <w:numId w:val="8"/>
              </w:numPr>
              <w:spacing w:before="100"/>
              <w:rPr>
                <w:color w:val="000000"/>
                <w:lang w:val="en-GB"/>
              </w:rPr>
            </w:pPr>
            <w:r w:rsidRPr="00701ADE">
              <w:rPr>
                <w:b/>
                <w:bCs/>
                <w:color w:val="000000"/>
                <w:lang w:val="en-GB"/>
              </w:rPr>
              <w:t>development of human capital</w:t>
            </w:r>
            <w:r w:rsidRPr="00701ADE">
              <w:rPr>
                <w:color w:val="000000"/>
                <w:lang w:val="en-GB"/>
              </w:rPr>
              <w:t>: establishment of a system of specialist training and courses, training of personnel in the area of legal migration, language training, training in the area of multiculturalism and non-discrimination, exchange of information and good practices at national and European/international level; (scope of support – Annex III, point 3(m))</w:t>
            </w:r>
          </w:p>
          <w:p w:rsidR="00A77B3E" w:rsidRPr="00701ADE" w:rsidRDefault="00BB4ED7">
            <w:pPr>
              <w:numPr>
                <w:ilvl w:val="0"/>
                <w:numId w:val="8"/>
              </w:numPr>
              <w:spacing w:before="100"/>
              <w:rPr>
                <w:color w:val="000000"/>
                <w:lang w:val="en-GB"/>
              </w:rPr>
            </w:pPr>
            <w:r w:rsidRPr="00701ADE">
              <w:rPr>
                <w:b/>
                <w:bCs/>
                <w:color w:val="000000"/>
                <w:lang w:val="en-GB"/>
              </w:rPr>
              <w:t xml:space="preserve">construction and development of national information systems </w:t>
            </w:r>
            <w:r w:rsidRPr="00701ADE">
              <w:rPr>
                <w:color w:val="000000"/>
                <w:lang w:val="en-GB"/>
              </w:rPr>
              <w:t xml:space="preserve">(in the area of legal entry) supporting the administrative procedures, ensuring system interoperability and compliance with EU </w:t>
            </w:r>
            <w:r w:rsidRPr="003E7A52">
              <w:rPr>
                <w:color w:val="000000"/>
                <w:lang w:val="en-GB"/>
              </w:rPr>
              <w:t>law</w:t>
            </w:r>
            <w:r w:rsidRPr="00701ADE">
              <w:rPr>
                <w:color w:val="000000"/>
                <w:lang w:val="en-GB"/>
              </w:rPr>
              <w:t xml:space="preserve"> and domestic needs, as well as implementation of e-services and development of the infrastructure of authorities that operate in the area of legal migration); (scope of support - Annex III, point 3(m))</w:t>
            </w:r>
          </w:p>
          <w:p w:rsidR="00A77B3E" w:rsidRPr="00701ADE" w:rsidRDefault="00BB4ED7">
            <w:pPr>
              <w:numPr>
                <w:ilvl w:val="0"/>
                <w:numId w:val="8"/>
              </w:numPr>
              <w:spacing w:before="100"/>
              <w:rPr>
                <w:color w:val="000000"/>
                <w:lang w:val="en-GB"/>
              </w:rPr>
            </w:pPr>
            <w:r w:rsidRPr="00701ADE">
              <w:rPr>
                <w:b/>
                <w:bCs/>
                <w:color w:val="000000"/>
                <w:lang w:val="en-GB"/>
              </w:rPr>
              <w:t>investments in modern IT systems, support technologies and migration process forecasting systems,</w:t>
            </w:r>
            <w:r w:rsidRPr="00701ADE">
              <w:rPr>
                <w:color w:val="000000"/>
                <w:lang w:val="en-GB"/>
              </w:rPr>
              <w:t xml:space="preserve"> automation and digitalisation of the processes, development of IT tools, modernisation and expansion of the SP and the Domestic Consultation System, ensured compatibility of national databases; (scope of support – Annex III, point 3(m))</w:t>
            </w:r>
          </w:p>
          <w:p w:rsidR="00A77B3E" w:rsidRPr="00701ADE" w:rsidRDefault="00BB4ED7">
            <w:pPr>
              <w:numPr>
                <w:ilvl w:val="0"/>
                <w:numId w:val="8"/>
              </w:numPr>
              <w:spacing w:before="100"/>
              <w:rPr>
                <w:color w:val="000000"/>
                <w:lang w:val="en-GB"/>
              </w:rPr>
            </w:pPr>
            <w:r w:rsidRPr="00701ADE">
              <w:rPr>
                <w:b/>
                <w:bCs/>
                <w:color w:val="000000"/>
                <w:lang w:val="en-GB"/>
              </w:rPr>
              <w:t xml:space="preserve">optimisation of services for TCNs and residence permit procedures </w:t>
            </w:r>
            <w:r w:rsidRPr="00701ADE">
              <w:rPr>
                <w:color w:val="000000"/>
                <w:lang w:val="en-GB"/>
              </w:rPr>
              <w:t>by voivodship offices to reduce the procedure time, also through modernisation of the service infrastructure (purchase of equipment and accessories, renovation and extention where necessary); (scope of support – Annex III, point 3(m))</w:t>
            </w:r>
          </w:p>
          <w:p w:rsidR="00A77B3E" w:rsidRPr="00701ADE" w:rsidRDefault="00BB4ED7">
            <w:pPr>
              <w:numPr>
                <w:ilvl w:val="0"/>
                <w:numId w:val="8"/>
              </w:numPr>
              <w:spacing w:before="100"/>
              <w:rPr>
                <w:color w:val="000000"/>
                <w:lang w:val="en-GB"/>
              </w:rPr>
            </w:pPr>
            <w:r w:rsidRPr="00701ADE">
              <w:rPr>
                <w:b/>
                <w:bCs/>
                <w:color w:val="000000"/>
                <w:lang w:val="en-GB"/>
              </w:rPr>
              <w:t xml:space="preserve">development of the functionality of the Migration Analytical Centre </w:t>
            </w:r>
            <w:r w:rsidRPr="00701ADE">
              <w:rPr>
                <w:color w:val="000000"/>
                <w:lang w:val="en-GB"/>
              </w:rPr>
              <w:t>to better diagnose and forecast migration trends; (scope of support – Annex III, point 3(m))</w:t>
            </w:r>
          </w:p>
          <w:p w:rsidR="00A77B3E" w:rsidRPr="00701ADE" w:rsidRDefault="00BB4ED7">
            <w:pPr>
              <w:numPr>
                <w:ilvl w:val="0"/>
                <w:numId w:val="8"/>
              </w:numPr>
              <w:spacing w:before="100"/>
              <w:rPr>
                <w:color w:val="000000"/>
                <w:lang w:val="en-GB"/>
              </w:rPr>
            </w:pPr>
            <w:r w:rsidRPr="00701ADE">
              <w:rPr>
                <w:b/>
                <w:bCs/>
                <w:color w:val="000000"/>
                <w:lang w:val="en-GB"/>
              </w:rPr>
              <w:t>development of the capacity to gather, analyse and disseminate data on migration flows and procedures</w:t>
            </w:r>
            <w:r w:rsidRPr="00701ADE">
              <w:rPr>
                <w:color w:val="000000"/>
                <w:lang w:val="en-GB"/>
              </w:rPr>
              <w:t>, including regularisation of stay and the situation of migrants in the Polish labour market; (scope of support – Annex III, point 3(m))</w:t>
            </w:r>
          </w:p>
          <w:p w:rsidR="00A77B3E" w:rsidRPr="00701ADE" w:rsidRDefault="00BB4ED7">
            <w:pPr>
              <w:numPr>
                <w:ilvl w:val="0"/>
                <w:numId w:val="8"/>
              </w:numPr>
              <w:spacing w:before="100"/>
              <w:rPr>
                <w:color w:val="000000"/>
                <w:lang w:val="en-GB"/>
              </w:rPr>
            </w:pPr>
            <w:r w:rsidRPr="00701ADE">
              <w:rPr>
                <w:b/>
                <w:bCs/>
                <w:color w:val="000000"/>
                <w:lang w:val="en-GB"/>
              </w:rPr>
              <w:t>monitoring and evaluation of migration strategies</w:t>
            </w:r>
            <w:r w:rsidRPr="00701ADE">
              <w:rPr>
                <w:color w:val="000000"/>
                <w:lang w:val="en-GB"/>
              </w:rPr>
              <w:t>, integration policies and tools at national, regional and local levels; development of methods of evaluation and indicators demonstrating their effectiveness; research projects; studies into legal migration, testing and implementation of new solutions; (scope of support – Annex III, point 3(m))</w:t>
            </w:r>
          </w:p>
          <w:p w:rsidR="00A77B3E" w:rsidRPr="00701ADE" w:rsidRDefault="00BB4ED7">
            <w:pPr>
              <w:numPr>
                <w:ilvl w:val="0"/>
                <w:numId w:val="8"/>
              </w:numPr>
              <w:spacing w:before="100"/>
              <w:rPr>
                <w:color w:val="000000"/>
                <w:lang w:val="en-GB"/>
              </w:rPr>
            </w:pPr>
            <w:r w:rsidRPr="00701ADE">
              <w:rPr>
                <w:b/>
                <w:bCs/>
                <w:color w:val="000000"/>
                <w:lang w:val="en-GB"/>
              </w:rPr>
              <w:t>construction and development of tools that enable quick responses to the changing statistical and analytical needs</w:t>
            </w:r>
            <w:r w:rsidRPr="00701ADE">
              <w:rPr>
                <w:color w:val="000000"/>
                <w:lang w:val="en-GB"/>
              </w:rPr>
              <w:t xml:space="preserve"> in the area of migration and international protection, including support for migration policymakers; (scope of support – Annex III, point 3(m))</w:t>
            </w:r>
          </w:p>
          <w:p w:rsidR="00A77B3E" w:rsidRPr="00701ADE" w:rsidRDefault="00BB4ED7">
            <w:pPr>
              <w:spacing w:before="100"/>
              <w:rPr>
                <w:color w:val="000000"/>
                <w:lang w:val="en-GB"/>
              </w:rPr>
            </w:pPr>
            <w:r w:rsidRPr="00701ADE">
              <w:rPr>
                <w:color w:val="000000"/>
                <w:lang w:val="en-GB"/>
              </w:rPr>
              <w:t>Strengthening of the administrative capacity is aimed at facilitating legal entry for the beneficiaries of the aid.</w:t>
            </w:r>
          </w:p>
          <w:p w:rsidR="00A77B3E" w:rsidRPr="00701ADE" w:rsidRDefault="00BB4ED7">
            <w:pPr>
              <w:spacing w:before="100"/>
              <w:rPr>
                <w:color w:val="000000"/>
                <w:lang w:val="en-GB"/>
              </w:rPr>
            </w:pPr>
            <w:r w:rsidRPr="00701ADE">
              <w:rPr>
                <w:i/>
                <w:iCs/>
                <w:color w:val="000000"/>
                <w:lang w:val="en-GB"/>
              </w:rPr>
              <w:t>                                           </w:t>
            </w:r>
          </w:p>
          <w:p w:rsidR="00A77B3E" w:rsidRPr="00701ADE" w:rsidRDefault="00BB4ED7">
            <w:pPr>
              <w:spacing w:before="100"/>
              <w:rPr>
                <w:color w:val="000000"/>
                <w:lang w:val="en-GB"/>
              </w:rPr>
            </w:pPr>
            <w:r w:rsidRPr="00701ADE">
              <w:rPr>
                <w:color w:val="000000"/>
                <w:lang w:val="en-GB"/>
              </w:rPr>
              <w:t xml:space="preserve">The following has been planned as part of </w:t>
            </w:r>
            <w:r w:rsidRPr="00701ADE">
              <w:rPr>
                <w:b/>
                <w:bCs/>
                <w:color w:val="000000"/>
                <w:u w:val="single"/>
                <w:lang w:val="en-GB"/>
              </w:rPr>
              <w:t>implement</w:t>
            </w:r>
            <w:r w:rsidR="006A3529">
              <w:rPr>
                <w:b/>
                <w:bCs/>
                <w:color w:val="000000"/>
                <w:u w:val="single"/>
                <w:lang w:val="en-GB"/>
              </w:rPr>
              <w:t>ation</w:t>
            </w:r>
            <w:r w:rsidRPr="00701ADE">
              <w:rPr>
                <w:b/>
                <w:bCs/>
                <w:color w:val="000000"/>
                <w:u w:val="single"/>
                <w:lang w:val="en-GB"/>
              </w:rPr>
              <w:t xml:space="preserve"> measure c):</w:t>
            </w:r>
          </w:p>
          <w:p w:rsidR="00A77B3E" w:rsidRPr="00701ADE" w:rsidRDefault="00BB4ED7">
            <w:pPr>
              <w:numPr>
                <w:ilvl w:val="0"/>
                <w:numId w:val="9"/>
              </w:numPr>
              <w:spacing w:before="100"/>
              <w:rPr>
                <w:color w:val="000000"/>
                <w:lang w:val="en-GB"/>
              </w:rPr>
            </w:pPr>
            <w:r w:rsidRPr="00701ADE">
              <w:rPr>
                <w:b/>
                <w:bCs/>
                <w:color w:val="000000"/>
                <w:lang w:val="en-GB"/>
              </w:rPr>
              <w:t xml:space="preserve">implementation of joint actions </w:t>
            </w:r>
            <w:r w:rsidRPr="00701ADE">
              <w:rPr>
                <w:color w:val="000000"/>
                <w:lang w:val="en-GB"/>
              </w:rPr>
              <w:t>with selected third countries regarding analysis of migration phenomena with the use of modern information technologies; (scope of support – Annex III, point 3(c), (m))</w:t>
            </w:r>
          </w:p>
          <w:p w:rsidR="00A77B3E" w:rsidRPr="00701ADE" w:rsidRDefault="00BB4ED7">
            <w:pPr>
              <w:numPr>
                <w:ilvl w:val="0"/>
                <w:numId w:val="9"/>
              </w:numPr>
              <w:spacing w:before="100"/>
              <w:rPr>
                <w:color w:val="000000"/>
                <w:lang w:val="en-GB"/>
              </w:rPr>
            </w:pPr>
            <w:r w:rsidRPr="00701ADE">
              <w:rPr>
                <w:b/>
                <w:bCs/>
                <w:color w:val="000000"/>
                <w:lang w:val="en-GB"/>
              </w:rPr>
              <w:t xml:space="preserve">support for third countries </w:t>
            </w:r>
            <w:r w:rsidRPr="00701ADE">
              <w:rPr>
                <w:color w:val="000000"/>
                <w:lang w:val="en-GB"/>
              </w:rPr>
              <w:t>in managing legal migration and integration; (scope of support – Annex III, point 3(b))</w:t>
            </w:r>
          </w:p>
          <w:p w:rsidR="00A77B3E" w:rsidRPr="00701ADE" w:rsidRDefault="00BB4ED7">
            <w:pPr>
              <w:spacing w:before="100"/>
              <w:rPr>
                <w:color w:val="000000"/>
                <w:lang w:val="en-GB"/>
              </w:rPr>
            </w:pPr>
            <w:r w:rsidRPr="00701ADE">
              <w:rPr>
                <w:color w:val="000000"/>
                <w:lang w:val="en-GB"/>
              </w:rPr>
              <w:t xml:space="preserve">The following has been planned as part of </w:t>
            </w:r>
            <w:r w:rsidRPr="00701ADE">
              <w:rPr>
                <w:b/>
                <w:bCs/>
                <w:color w:val="000000"/>
                <w:u w:val="single"/>
                <w:lang w:val="en-GB"/>
              </w:rPr>
              <w:t>implement</w:t>
            </w:r>
            <w:r w:rsidR="006A3529">
              <w:rPr>
                <w:b/>
                <w:bCs/>
                <w:color w:val="000000"/>
                <w:u w:val="single"/>
                <w:lang w:val="en-GB"/>
              </w:rPr>
              <w:t>ation</w:t>
            </w:r>
            <w:r w:rsidRPr="00701ADE">
              <w:rPr>
                <w:b/>
                <w:bCs/>
                <w:color w:val="000000"/>
                <w:u w:val="single"/>
                <w:lang w:val="en-GB"/>
              </w:rPr>
              <w:t xml:space="preserve"> measure d)</w:t>
            </w:r>
            <w:r w:rsidRPr="00701ADE">
              <w:rPr>
                <w:color w:val="000000"/>
                <w:lang w:val="en-GB"/>
              </w:rPr>
              <w:t>:</w:t>
            </w:r>
          </w:p>
          <w:p w:rsidR="00A77B3E" w:rsidRPr="00701ADE" w:rsidRDefault="00BB4ED7">
            <w:pPr>
              <w:numPr>
                <w:ilvl w:val="0"/>
                <w:numId w:val="10"/>
              </w:numPr>
              <w:spacing w:before="100"/>
              <w:rPr>
                <w:color w:val="000000"/>
                <w:lang w:val="en-GB"/>
              </w:rPr>
            </w:pPr>
            <w:r w:rsidRPr="00701ADE">
              <w:rPr>
                <w:b/>
                <w:bCs/>
                <w:color w:val="000000"/>
                <w:lang w:val="en-GB"/>
              </w:rPr>
              <w:t>expanding integration infrastructure</w:t>
            </w:r>
            <w:r w:rsidRPr="00701ADE">
              <w:rPr>
                <w:color w:val="000000"/>
                <w:lang w:val="en-GB"/>
              </w:rPr>
              <w:t xml:space="preserve"> involving the use of local government structures and enhancing the role of other institutions and organisations, including cultural and educational institutions as well as local institutions; (scope of support – Annex III, point 3(h), (i), (j))</w:t>
            </w:r>
          </w:p>
          <w:p w:rsidR="00A77B3E" w:rsidRPr="00701ADE" w:rsidRDefault="00BB4ED7">
            <w:pPr>
              <w:numPr>
                <w:ilvl w:val="0"/>
                <w:numId w:val="10"/>
              </w:numPr>
              <w:spacing w:before="100"/>
              <w:rPr>
                <w:color w:val="000000"/>
                <w:lang w:val="en-GB"/>
              </w:rPr>
            </w:pPr>
            <w:r w:rsidRPr="00701ADE">
              <w:rPr>
                <w:b/>
                <w:bCs/>
                <w:color w:val="000000"/>
                <w:lang w:val="en-GB"/>
              </w:rPr>
              <w:t xml:space="preserve">establishing a network of Foreigner Integration Centres (FIC) </w:t>
            </w:r>
            <w:r w:rsidRPr="00701ADE">
              <w:rPr>
                <w:color w:val="000000"/>
                <w:lang w:val="en-GB"/>
              </w:rPr>
              <w:t>based on the one-stop-shop formula; (scope of support – Annex III, point 3 (f), (g), (h), (i), (j), (k), (l)). The number of all supported TCNs is estimated to be 150,000 (indicator O.2.3). A vast majority of those people will receive support within the framework of comprehensive projects (integration actions) implemented by local and regional authorities across Poland. Coordination of the actions during implementation of the projects will be ensured. In the 2014-2020 perspective, the Ministry of Family and Social Policy (</w:t>
            </w:r>
            <w:r w:rsidR="006A3529">
              <w:rPr>
                <w:color w:val="000000"/>
                <w:lang w:val="en-GB"/>
              </w:rPr>
              <w:t>MFSP</w:t>
            </w:r>
            <w:r w:rsidRPr="00701ADE">
              <w:rPr>
                <w:color w:val="000000"/>
                <w:lang w:val="en-GB"/>
              </w:rPr>
              <w:t>) implemented two projects which developed a model of integration of foreigners in Poland and established FICs (pilots in two voivodeships), which was aimed at laying the foundations for a sustainable and systemic solution for integration of foreigners in Poland. The strategy will subsequently be implemented across Poland (indicator O.2.7).</w:t>
            </w:r>
          </w:p>
          <w:p w:rsidR="00A77B3E" w:rsidRPr="00701ADE" w:rsidRDefault="00BB4ED7">
            <w:pPr>
              <w:numPr>
                <w:ilvl w:val="0"/>
                <w:numId w:val="10"/>
              </w:numPr>
              <w:spacing w:before="100"/>
              <w:rPr>
                <w:color w:val="000000"/>
                <w:lang w:val="en-GB"/>
              </w:rPr>
            </w:pPr>
            <w:r w:rsidRPr="00701ADE">
              <w:rPr>
                <w:b/>
                <w:bCs/>
                <w:color w:val="000000"/>
                <w:lang w:val="en-GB"/>
              </w:rPr>
              <w:t xml:space="preserve">educating integration assistants </w:t>
            </w:r>
            <w:r w:rsidRPr="00701ADE">
              <w:rPr>
                <w:color w:val="000000"/>
                <w:lang w:val="en-GB"/>
              </w:rPr>
              <w:t>whose responsibilities will include assisting TCNs at the first stage of integration; (scope of support – Annex III, point 3(k))</w:t>
            </w:r>
          </w:p>
          <w:p w:rsidR="00A77B3E" w:rsidRPr="00701ADE" w:rsidRDefault="00BB4ED7">
            <w:pPr>
              <w:numPr>
                <w:ilvl w:val="0"/>
                <w:numId w:val="10"/>
              </w:numPr>
              <w:spacing w:before="100"/>
              <w:rPr>
                <w:color w:val="000000"/>
                <w:lang w:val="en-GB"/>
              </w:rPr>
            </w:pPr>
            <w:r w:rsidRPr="00701ADE">
              <w:rPr>
                <w:b/>
                <w:bCs/>
                <w:color w:val="000000"/>
                <w:lang w:val="en-GB"/>
              </w:rPr>
              <w:t xml:space="preserve">upskilling the personnel of the system of foster custody </w:t>
            </w:r>
            <w:r w:rsidRPr="00701ADE">
              <w:rPr>
                <w:color w:val="000000"/>
                <w:lang w:val="en-GB"/>
              </w:rPr>
              <w:t>addressed to unaccompanied TCN minors; (scope of support – Annex III, point 3(m))</w:t>
            </w:r>
          </w:p>
          <w:p w:rsidR="00A77B3E" w:rsidRPr="00701ADE" w:rsidRDefault="00BB4ED7">
            <w:pPr>
              <w:numPr>
                <w:ilvl w:val="0"/>
                <w:numId w:val="10"/>
              </w:numPr>
              <w:spacing w:before="100"/>
              <w:rPr>
                <w:color w:val="000000"/>
                <w:lang w:val="en-GB"/>
              </w:rPr>
            </w:pPr>
            <w:r w:rsidRPr="00701ADE">
              <w:rPr>
                <w:b/>
                <w:bCs/>
                <w:color w:val="000000"/>
                <w:lang w:val="en-GB"/>
              </w:rPr>
              <w:t>counselling and assistance in matters of regularisation of stay</w:t>
            </w:r>
            <w:r w:rsidRPr="00701ADE">
              <w:rPr>
                <w:color w:val="000000"/>
                <w:lang w:val="en-GB"/>
              </w:rPr>
              <w:t>, administrative and legal issues, workers' rights, prevention of discrimination and hate crime, accommodation and means of subsistence, integration orientation and assistance, health care, psychological and social assistance, child care and family reunification; (scope of support – Annex III, point 3(f), (g), (e)), indicator O.2.3.2</w:t>
            </w:r>
          </w:p>
          <w:p w:rsidR="00A77B3E" w:rsidRPr="00701ADE" w:rsidRDefault="00BB4ED7">
            <w:pPr>
              <w:numPr>
                <w:ilvl w:val="0"/>
                <w:numId w:val="10"/>
              </w:numPr>
              <w:spacing w:before="100"/>
              <w:rPr>
                <w:color w:val="000000"/>
                <w:lang w:val="en-GB"/>
              </w:rPr>
            </w:pPr>
            <w:r w:rsidRPr="00701ADE">
              <w:rPr>
                <w:b/>
                <w:bCs/>
                <w:color w:val="000000"/>
                <w:lang w:val="en-GB"/>
              </w:rPr>
              <w:t>providing training options for young people and adults</w:t>
            </w:r>
            <w:r w:rsidRPr="00701ADE">
              <w:rPr>
                <w:color w:val="000000"/>
                <w:lang w:val="en-GB"/>
              </w:rPr>
              <w:t>: language courses at various levels as well as actions designed to improve legal competencies and awareness with the view to facilitate access to the labour market; (scope of support – Annex III, point 3(d),(h)) indicators O.2.3.1, O.2.3.2 and O.2.3.3.</w:t>
            </w:r>
          </w:p>
          <w:p w:rsidR="00A77B3E" w:rsidRPr="00701ADE" w:rsidRDefault="00BB4ED7">
            <w:pPr>
              <w:numPr>
                <w:ilvl w:val="0"/>
                <w:numId w:val="10"/>
              </w:numPr>
              <w:spacing w:before="100"/>
              <w:rPr>
                <w:color w:val="000000"/>
                <w:lang w:val="en-GB"/>
              </w:rPr>
            </w:pPr>
            <w:r w:rsidRPr="00701ADE">
              <w:rPr>
                <w:b/>
                <w:bCs/>
                <w:color w:val="000000"/>
                <w:lang w:val="en-GB"/>
              </w:rPr>
              <w:t>increasing independence and self-sufficiency</w:t>
            </w:r>
            <w:r w:rsidRPr="00701ADE">
              <w:rPr>
                <w:color w:val="000000"/>
                <w:lang w:val="en-GB"/>
              </w:rPr>
              <w:t>, strengthening the mechanisms of self-help among TCNs; actions promoting the involvement of persons from the target groups in activities aimed at them and the receiving society; (scope of support – Annex III, point 3(l)), indicator O.2.3.2 and O.2.3.3</w:t>
            </w:r>
          </w:p>
          <w:p w:rsidR="00A77B3E" w:rsidRPr="00701ADE" w:rsidRDefault="00BB4ED7">
            <w:pPr>
              <w:numPr>
                <w:ilvl w:val="0"/>
                <w:numId w:val="10"/>
              </w:numPr>
              <w:spacing w:before="100"/>
              <w:rPr>
                <w:color w:val="000000"/>
                <w:lang w:val="en-GB"/>
              </w:rPr>
            </w:pPr>
            <w:r w:rsidRPr="00701ADE">
              <w:rPr>
                <w:b/>
                <w:bCs/>
                <w:color w:val="000000"/>
                <w:lang w:val="en-GB"/>
              </w:rPr>
              <w:t xml:space="preserve">pre-integration actions, </w:t>
            </w:r>
            <w:r w:rsidRPr="00701ADE">
              <w:rPr>
                <w:color w:val="000000"/>
                <w:lang w:val="en-GB"/>
              </w:rPr>
              <w:t>actions aimed at introducing TCNs into the receiving society and at facilitating adaptation in and integration with the new environment, including access to information about rights and responsibilities, access to services, child care, participation in social and cultural life; (scope of support – Annex III, point 3(f), (h), (i), (k), (l)), indicator O.2.3.2.</w:t>
            </w:r>
          </w:p>
          <w:p w:rsidR="00A77B3E" w:rsidRPr="00701ADE" w:rsidRDefault="00BB4ED7">
            <w:pPr>
              <w:numPr>
                <w:ilvl w:val="0"/>
                <w:numId w:val="10"/>
              </w:numPr>
              <w:spacing w:before="100"/>
              <w:rPr>
                <w:color w:val="000000"/>
                <w:lang w:val="en-GB"/>
              </w:rPr>
            </w:pPr>
            <w:r w:rsidRPr="00701ADE">
              <w:rPr>
                <w:b/>
                <w:bCs/>
                <w:color w:val="000000"/>
                <w:lang w:val="en-GB"/>
              </w:rPr>
              <w:t>actions addressed to vulnerable groups</w:t>
            </w:r>
            <w:r w:rsidRPr="00701ADE">
              <w:rPr>
                <w:color w:val="000000"/>
                <w:lang w:val="en-GB"/>
              </w:rPr>
              <w:t>, including women, children, unaccompanied minors, elderly, disabled, victims of human trafficking, beneficiaries of international and temporary protection; (scope of support – Annex III, point 3(a)-)m)), indicator O.2.3.2.</w:t>
            </w:r>
          </w:p>
          <w:p w:rsidR="00A77B3E" w:rsidRPr="00701ADE" w:rsidRDefault="00BB4ED7">
            <w:pPr>
              <w:numPr>
                <w:ilvl w:val="0"/>
                <w:numId w:val="10"/>
              </w:numPr>
              <w:spacing w:before="100"/>
              <w:rPr>
                <w:color w:val="000000"/>
                <w:lang w:val="en-GB"/>
              </w:rPr>
            </w:pPr>
            <w:r w:rsidRPr="00701ADE">
              <w:rPr>
                <w:b/>
                <w:bCs/>
                <w:color w:val="000000"/>
                <w:lang w:val="en-GB"/>
              </w:rPr>
              <w:t xml:space="preserve">actions supporting integration of TCN children </w:t>
            </w:r>
            <w:r w:rsidRPr="00701ADE">
              <w:rPr>
                <w:color w:val="000000"/>
                <w:lang w:val="en-GB"/>
              </w:rPr>
              <w:t>at schools addressed to school communities; (scope of support – Annex III, point 3(l))</w:t>
            </w:r>
          </w:p>
          <w:p w:rsidR="00A77B3E" w:rsidRPr="00701ADE" w:rsidRDefault="00BB4ED7">
            <w:pPr>
              <w:numPr>
                <w:ilvl w:val="0"/>
                <w:numId w:val="10"/>
              </w:numPr>
              <w:spacing w:before="100"/>
              <w:rPr>
                <w:color w:val="000000"/>
                <w:lang w:val="en-GB"/>
              </w:rPr>
            </w:pPr>
            <w:r w:rsidRPr="00701ADE">
              <w:rPr>
                <w:b/>
                <w:bCs/>
                <w:color w:val="000000"/>
                <w:lang w:val="en-GB"/>
              </w:rPr>
              <w:t xml:space="preserve">support for education staff </w:t>
            </w:r>
            <w:r w:rsidRPr="00701ADE">
              <w:rPr>
                <w:color w:val="000000"/>
                <w:lang w:val="en-GB"/>
              </w:rPr>
              <w:t>who support TCN integration; (scope of support – Annex III, point 3(m))</w:t>
            </w:r>
          </w:p>
          <w:p w:rsidR="00A77B3E" w:rsidRPr="00701ADE" w:rsidRDefault="00BB4ED7">
            <w:pPr>
              <w:numPr>
                <w:ilvl w:val="0"/>
                <w:numId w:val="10"/>
              </w:numPr>
              <w:spacing w:before="100"/>
              <w:rPr>
                <w:color w:val="000000"/>
                <w:lang w:val="en-GB"/>
              </w:rPr>
            </w:pPr>
            <w:r w:rsidRPr="00701ADE">
              <w:rPr>
                <w:b/>
                <w:bCs/>
                <w:color w:val="000000"/>
                <w:lang w:val="en-GB"/>
              </w:rPr>
              <w:t xml:space="preserve">actions addressed to TCN students and graduates </w:t>
            </w:r>
            <w:r w:rsidRPr="00701ADE">
              <w:rPr>
                <w:color w:val="000000"/>
                <w:lang w:val="en-GB"/>
              </w:rPr>
              <w:t>regarding legal awareness in the area of legal migration and facilitating integration into the Polish society; (scope of support – Annex III, point 3(f), (h), (i), (k), (l))</w:t>
            </w:r>
          </w:p>
          <w:p w:rsidR="00A77B3E" w:rsidRPr="00701ADE" w:rsidRDefault="00BB4ED7">
            <w:pPr>
              <w:numPr>
                <w:ilvl w:val="0"/>
                <w:numId w:val="10"/>
              </w:numPr>
              <w:spacing w:before="100"/>
              <w:rPr>
                <w:color w:val="000000"/>
                <w:lang w:val="en-GB"/>
              </w:rPr>
            </w:pPr>
            <w:r w:rsidRPr="00701ADE">
              <w:rPr>
                <w:b/>
                <w:bCs/>
                <w:color w:val="000000"/>
                <w:lang w:val="en-GB"/>
              </w:rPr>
              <w:t xml:space="preserve">developing and strengthening consultation platforms for TCNs </w:t>
            </w:r>
            <w:r w:rsidRPr="00701ADE">
              <w:rPr>
                <w:color w:val="000000"/>
                <w:lang w:val="en-GB"/>
              </w:rPr>
              <w:t>and platforms for intercultural and religious dialogue, including enhancing the competencies of the third sector, and supporting the inclusion of TCNs in the civic society and existing consultation platforms; (scope of support – Annex III, point 3(l))</w:t>
            </w:r>
          </w:p>
          <w:p w:rsidR="00A77B3E" w:rsidRPr="00701ADE" w:rsidRDefault="00BB4ED7">
            <w:pPr>
              <w:numPr>
                <w:ilvl w:val="0"/>
                <w:numId w:val="10"/>
              </w:numPr>
              <w:spacing w:before="100"/>
              <w:rPr>
                <w:color w:val="000000"/>
                <w:lang w:val="en-GB"/>
              </w:rPr>
            </w:pPr>
            <w:r w:rsidRPr="00701ADE">
              <w:rPr>
                <w:b/>
                <w:bCs/>
                <w:color w:val="000000"/>
                <w:lang w:val="en-GB"/>
              </w:rPr>
              <w:t>actions addressed to the receiving society</w:t>
            </w:r>
            <w:r w:rsidRPr="00701ADE">
              <w:rPr>
                <w:color w:val="000000"/>
                <w:lang w:val="en-GB"/>
              </w:rPr>
              <w:t xml:space="preserve"> and aimed designed to facilitate intercultural dialogue, prevent any forms of discrimination against TCNs at offices, schools, in access to the labour market, health care and interpersonal relations;</w:t>
            </w:r>
            <w:r w:rsidR="00F95659">
              <w:rPr>
                <w:color w:val="000000"/>
                <w:lang w:val="en-GB"/>
              </w:rPr>
              <w:t xml:space="preserve"> </w:t>
            </w:r>
            <w:r w:rsidRPr="00701ADE">
              <w:rPr>
                <w:color w:val="000000"/>
                <w:lang w:val="en-GB"/>
              </w:rPr>
              <w:t>(scope of support – Annex III, point 3(l), (m)), e.g. joint cultural or educational events creating informal opportunities for foreigners and representatives of the receiving society to meet and cooperate, voluntary service, information campaigns, classes at schools designed to build attitudes of openness and tolerance, actions enhancing the cultural sensitivity and building a positive image of migrants.</w:t>
            </w:r>
          </w:p>
          <w:p w:rsidR="00A77B3E" w:rsidRPr="00701ADE" w:rsidRDefault="00A77B3E">
            <w:pPr>
              <w:spacing w:before="100"/>
              <w:rPr>
                <w:color w:val="000000"/>
                <w:lang w:val="en-GB"/>
              </w:rPr>
            </w:pPr>
          </w:p>
          <w:p w:rsidR="00A77B3E" w:rsidRPr="00701ADE" w:rsidRDefault="00BB4ED7">
            <w:pPr>
              <w:spacing w:before="100"/>
              <w:rPr>
                <w:color w:val="000000"/>
                <w:lang w:val="en-GB"/>
              </w:rPr>
            </w:pPr>
            <w:r w:rsidRPr="00701ADE">
              <w:rPr>
                <w:color w:val="000000"/>
                <w:lang w:val="en-GB"/>
              </w:rPr>
              <w:t>As part of implement</w:t>
            </w:r>
            <w:r w:rsidR="006A3529">
              <w:rPr>
                <w:color w:val="000000"/>
                <w:lang w:val="en-GB"/>
              </w:rPr>
              <w:t>ation</w:t>
            </w:r>
            <w:r w:rsidRPr="00701ADE">
              <w:rPr>
                <w:color w:val="000000"/>
                <w:lang w:val="en-GB"/>
              </w:rPr>
              <w:t xml:space="preserve"> measure d), </w:t>
            </w:r>
            <w:r w:rsidRPr="00701ADE">
              <w:rPr>
                <w:b/>
                <w:bCs/>
                <w:color w:val="000000"/>
                <w:lang w:val="en-GB"/>
              </w:rPr>
              <w:t xml:space="preserve">Poland allows for the inclusion of immediate relatives of persons covered by the integration measures </w:t>
            </w:r>
            <w:r w:rsidRPr="00701ADE">
              <w:rPr>
                <w:color w:val="000000"/>
                <w:lang w:val="en-GB"/>
              </w:rPr>
              <w:t>referred to in Annex III to the extent necessary for the effective implementation of those measures.</w:t>
            </w:r>
          </w:p>
          <w:p w:rsidR="00A77B3E" w:rsidRPr="00701ADE" w:rsidRDefault="00A77B3E">
            <w:pPr>
              <w:spacing w:before="100"/>
              <w:rPr>
                <w:color w:val="000000"/>
                <w:lang w:val="en-GB"/>
              </w:rPr>
            </w:pPr>
          </w:p>
          <w:p w:rsidR="00A77B3E" w:rsidRPr="00701ADE" w:rsidRDefault="00BB4ED7">
            <w:pPr>
              <w:spacing w:before="100"/>
              <w:rPr>
                <w:color w:val="000000"/>
                <w:lang w:val="en-GB"/>
              </w:rPr>
            </w:pPr>
            <w:r w:rsidRPr="00701ADE">
              <w:rPr>
                <w:color w:val="000000"/>
                <w:lang w:val="en-GB"/>
              </w:rPr>
              <w:t xml:space="preserve">Actions under the AMIF will be complementary with the ESF+ which will concentrate on </w:t>
            </w:r>
            <w:r w:rsidRPr="00701ADE">
              <w:rPr>
                <w:i/>
                <w:iCs/>
                <w:color w:val="000000"/>
                <w:lang w:val="en-GB"/>
              </w:rPr>
              <w:t xml:space="preserve">inter alia </w:t>
            </w:r>
            <w:r w:rsidRPr="00701ADE">
              <w:rPr>
                <w:color w:val="000000"/>
                <w:lang w:val="en-GB"/>
              </w:rPr>
              <w:t xml:space="preserve">integrating foreigners into the labour market and society, on building the capacity of the public administration personnel in the area of TCN employment, and on supporting socio-vocational integration </w:t>
            </w:r>
            <w:r w:rsidR="00CA64EA" w:rsidRPr="00701ADE">
              <w:rPr>
                <w:color w:val="000000"/>
                <w:lang w:val="en-GB"/>
              </w:rPr>
              <w:t xml:space="preserve">socio-vocational integration </w:t>
            </w:r>
            <w:r w:rsidRPr="00701ADE">
              <w:rPr>
                <w:color w:val="000000"/>
                <w:lang w:val="en-GB"/>
              </w:rPr>
              <w:t>of third country nationals. It is planned to finance integration actions also from the European Regional Development Fund. Individual TCN integration programmes specified in the Act in social assistance will continue to be financed from domestic funds only. The other funding will come from own funds of local governments.</w:t>
            </w:r>
          </w:p>
          <w:p w:rsidR="00A77B3E" w:rsidRPr="00701ADE" w:rsidRDefault="00A77B3E">
            <w:pPr>
              <w:spacing w:before="100"/>
              <w:rPr>
                <w:color w:val="000000"/>
                <w:lang w:val="en-GB"/>
              </w:rPr>
            </w:pPr>
          </w:p>
          <w:p w:rsidR="00A77B3E" w:rsidRPr="00701ADE" w:rsidRDefault="00BB4ED7">
            <w:pPr>
              <w:spacing w:before="100"/>
              <w:rPr>
                <w:color w:val="000000"/>
                <w:lang w:val="en-GB"/>
              </w:rPr>
            </w:pPr>
            <w:r w:rsidRPr="00701ADE">
              <w:rPr>
                <w:b/>
                <w:bCs/>
                <w:color w:val="000000"/>
                <w:u w:val="single"/>
                <w:lang w:val="en-GB"/>
              </w:rPr>
              <w:t>Operating support</w:t>
            </w:r>
          </w:p>
          <w:p w:rsidR="00A77B3E" w:rsidRPr="00701ADE" w:rsidRDefault="00BB4ED7">
            <w:pPr>
              <w:spacing w:before="100"/>
              <w:rPr>
                <w:color w:val="000000"/>
                <w:lang w:val="en-GB"/>
              </w:rPr>
            </w:pPr>
            <w:r w:rsidRPr="00701ADE">
              <w:rPr>
                <w:color w:val="000000"/>
                <w:lang w:val="en-GB"/>
              </w:rPr>
              <w:t xml:space="preserve">The beneficiaries of operating support in this area will include migration services, mainly the </w:t>
            </w:r>
            <w:r w:rsidR="006A3529">
              <w:rPr>
                <w:color w:val="000000"/>
                <w:lang w:val="en-GB"/>
              </w:rPr>
              <w:t>MFSP</w:t>
            </w:r>
            <w:r w:rsidRPr="008011B1">
              <w:rPr>
                <w:color w:val="000000"/>
                <w:lang w:val="en-GB"/>
              </w:rPr>
              <w:t>,</w:t>
            </w:r>
            <w:r w:rsidRPr="00701ADE">
              <w:rPr>
                <w:color w:val="000000"/>
                <w:lang w:val="en-GB"/>
              </w:rPr>
              <w:t xml:space="preserve"> OfF and Voivodeship Offices. Within their statutory remit, they fulfill responsibilities and carry out tasks relating to broadly understood TCN integration.</w:t>
            </w:r>
          </w:p>
          <w:p w:rsidR="00A77B3E" w:rsidRPr="00701ADE" w:rsidRDefault="00BB4ED7">
            <w:pPr>
              <w:spacing w:before="100"/>
              <w:rPr>
                <w:color w:val="000000"/>
                <w:lang w:val="en-GB"/>
              </w:rPr>
            </w:pPr>
            <w:r w:rsidRPr="00701ADE">
              <w:rPr>
                <w:color w:val="000000"/>
                <w:lang w:val="en-GB"/>
              </w:rPr>
              <w:t>Operating support will cover the expenditure on:</w:t>
            </w:r>
          </w:p>
          <w:p w:rsidR="00A77B3E" w:rsidRPr="00701ADE" w:rsidRDefault="00BB4ED7">
            <w:pPr>
              <w:numPr>
                <w:ilvl w:val="0"/>
                <w:numId w:val="11"/>
              </w:numPr>
              <w:spacing w:before="100"/>
              <w:rPr>
                <w:color w:val="000000"/>
                <w:lang w:val="en-GB"/>
              </w:rPr>
            </w:pPr>
            <w:r w:rsidRPr="00701ADE">
              <w:rPr>
                <w:b/>
                <w:bCs/>
                <w:color w:val="000000"/>
                <w:lang w:val="en-GB"/>
              </w:rPr>
              <w:t>costs of personnel</w:t>
            </w:r>
            <w:r w:rsidRPr="00701ADE">
              <w:rPr>
                <w:color w:val="000000"/>
                <w:lang w:val="en-GB"/>
              </w:rPr>
              <w:t xml:space="preserve"> handling TCNs, entering data in the system (applications relating to legal migration and social assistance provided);</w:t>
            </w:r>
          </w:p>
          <w:p w:rsidR="00A77B3E" w:rsidRPr="00701ADE" w:rsidRDefault="00BB4ED7">
            <w:pPr>
              <w:numPr>
                <w:ilvl w:val="0"/>
                <w:numId w:val="11"/>
              </w:numPr>
              <w:spacing w:before="100"/>
              <w:rPr>
                <w:color w:val="000000"/>
                <w:lang w:val="en-GB"/>
              </w:rPr>
            </w:pPr>
            <w:r w:rsidRPr="00701ADE">
              <w:rPr>
                <w:color w:val="000000"/>
                <w:lang w:val="en-GB"/>
              </w:rPr>
              <w:t xml:space="preserve">costs of the </w:t>
            </w:r>
            <w:r w:rsidRPr="00701ADE">
              <w:rPr>
                <w:b/>
                <w:bCs/>
                <w:color w:val="000000"/>
                <w:lang w:val="en-GB"/>
              </w:rPr>
              <w:t xml:space="preserve">purchase, support and maintenance of hardware </w:t>
            </w:r>
            <w:r w:rsidRPr="00701ADE">
              <w:rPr>
                <w:color w:val="000000"/>
                <w:lang w:val="en-GB"/>
              </w:rPr>
              <w:t>for the personnel involved in handling and supporting TCNs and operating the SP;</w:t>
            </w:r>
          </w:p>
          <w:p w:rsidR="00A77B3E" w:rsidRPr="00701ADE" w:rsidRDefault="00BB4ED7">
            <w:pPr>
              <w:numPr>
                <w:ilvl w:val="0"/>
                <w:numId w:val="11"/>
              </w:numPr>
              <w:spacing w:before="100"/>
              <w:rPr>
                <w:color w:val="000000"/>
                <w:lang w:val="en-GB"/>
              </w:rPr>
            </w:pPr>
            <w:r w:rsidRPr="00701ADE">
              <w:rPr>
                <w:b/>
                <w:bCs/>
                <w:color w:val="000000"/>
                <w:lang w:val="en-GB"/>
              </w:rPr>
              <w:t xml:space="preserve">costs of operation of the TCN hotline </w:t>
            </w:r>
            <w:r w:rsidRPr="00701ADE">
              <w:rPr>
                <w:color w:val="000000"/>
                <w:lang w:val="en-GB"/>
              </w:rPr>
              <w:t>run by the OfF;</w:t>
            </w:r>
          </w:p>
          <w:p w:rsidR="00A77B3E" w:rsidRPr="00701ADE" w:rsidRDefault="00BB4ED7">
            <w:pPr>
              <w:numPr>
                <w:ilvl w:val="0"/>
                <w:numId w:val="11"/>
              </w:numPr>
              <w:spacing w:before="100"/>
              <w:rPr>
                <w:color w:val="000000"/>
                <w:lang w:val="en-GB"/>
              </w:rPr>
            </w:pPr>
            <w:r w:rsidRPr="00701ADE">
              <w:rPr>
                <w:b/>
                <w:bCs/>
                <w:color w:val="000000"/>
                <w:lang w:val="en-GB"/>
              </w:rPr>
              <w:t xml:space="preserve">costs of support and maintenance of solutions </w:t>
            </w:r>
            <w:r w:rsidRPr="00701ADE">
              <w:rPr>
                <w:color w:val="000000"/>
                <w:lang w:val="en-GB"/>
              </w:rPr>
              <w:t xml:space="preserve">created within the </w:t>
            </w:r>
            <w:r w:rsidRPr="00701ADE">
              <w:rPr>
                <w:b/>
                <w:bCs/>
                <w:color w:val="000000"/>
                <w:lang w:val="en-GB"/>
              </w:rPr>
              <w:t>MAC;</w:t>
            </w:r>
          </w:p>
          <w:p w:rsidR="00A77B3E" w:rsidRPr="00701ADE" w:rsidRDefault="00BB4ED7">
            <w:pPr>
              <w:numPr>
                <w:ilvl w:val="0"/>
                <w:numId w:val="11"/>
              </w:numPr>
              <w:spacing w:before="100"/>
              <w:rPr>
                <w:color w:val="000000"/>
                <w:lang w:val="en-GB"/>
              </w:rPr>
            </w:pPr>
            <w:r w:rsidRPr="00701ADE">
              <w:rPr>
                <w:b/>
                <w:bCs/>
                <w:color w:val="000000"/>
                <w:lang w:val="en-GB"/>
              </w:rPr>
              <w:t xml:space="preserve">expenditure on the current operation of the SP </w:t>
            </w:r>
            <w:r w:rsidRPr="00701ADE">
              <w:rPr>
                <w:color w:val="000000"/>
                <w:lang w:val="en-GB"/>
              </w:rPr>
              <w:t>run by the OfF and used by migration services (technical support, current maintenance, system updated, failure prevention and recovery), and on the ICT infrastructure within which the register works.</w:t>
            </w:r>
          </w:p>
          <w:p w:rsidR="00A77B3E" w:rsidRPr="00701ADE" w:rsidRDefault="00BB4ED7">
            <w:pPr>
              <w:spacing w:before="100"/>
              <w:rPr>
                <w:color w:val="000000"/>
                <w:lang w:val="en-GB"/>
              </w:rPr>
            </w:pPr>
            <w:r w:rsidRPr="00701ADE">
              <w:rPr>
                <w:color w:val="000000"/>
                <w:lang w:val="en-GB"/>
              </w:rPr>
              <w:t>Utilisation of the support concerned contributes to achieving the AMIF objectives through strengthening of the operating and reception capacities and enhancing the competencies and qualifications of Polish migration services involved in actions in the area of legal migration.</w:t>
            </w:r>
          </w:p>
          <w:p w:rsidR="00A77B3E" w:rsidRPr="00701ADE" w:rsidRDefault="00A77B3E">
            <w:pPr>
              <w:spacing w:before="100"/>
              <w:rPr>
                <w:color w:val="000000"/>
                <w:lang w:val="en-GB"/>
              </w:rPr>
            </w:pPr>
          </w:p>
        </w:tc>
      </w:tr>
    </w:tbl>
    <w:p w:rsidR="00A77B3E" w:rsidRPr="00701ADE" w:rsidRDefault="00A77B3E">
      <w:pPr>
        <w:spacing w:before="100"/>
        <w:rPr>
          <w:color w:val="000000"/>
          <w:lang w:val="en-GB"/>
        </w:rPr>
        <w:sectPr w:rsidR="00A77B3E" w:rsidRPr="00701ADE">
          <w:headerReference w:type="even" r:id="rId27"/>
          <w:headerReference w:type="default" r:id="rId28"/>
          <w:footerReference w:type="even" r:id="rId29"/>
          <w:footerReference w:type="default" r:id="rId30"/>
          <w:headerReference w:type="first" r:id="rId31"/>
          <w:footerReference w:type="first" r:id="rId32"/>
          <w:pgSz w:w="11906" w:h="16838"/>
          <w:pgMar w:top="720" w:right="936" w:bottom="864" w:left="720" w:header="0" w:footer="72" w:gutter="0"/>
          <w:cols w:space="720"/>
          <w:noEndnote/>
          <w:docGrid w:linePitch="360"/>
        </w:sectPr>
      </w:pPr>
    </w:p>
    <w:p w:rsidR="00A77B3E" w:rsidRPr="00701ADE" w:rsidRDefault="00BB4ED7">
      <w:pPr>
        <w:spacing w:before="100"/>
        <w:rPr>
          <w:color w:val="000000"/>
          <w:lang w:val="en-GB"/>
        </w:rPr>
      </w:pPr>
      <w:r w:rsidRPr="00701ADE">
        <w:rPr>
          <w:color w:val="000000"/>
          <w:lang w:val="en-GB"/>
        </w:rPr>
        <w:t>2.1. Specific objective 2. Legal migration and integration</w:t>
      </w:r>
    </w:p>
    <w:p w:rsidR="00A77B3E" w:rsidRPr="00701ADE" w:rsidRDefault="00BB4ED7">
      <w:pPr>
        <w:pStyle w:val="Nagwek3"/>
        <w:spacing w:before="100" w:after="0"/>
        <w:rPr>
          <w:rFonts w:ascii="Times New Roman" w:hAnsi="Times New Roman" w:cs="Times New Roman"/>
          <w:b w:val="0"/>
          <w:color w:val="000000"/>
          <w:sz w:val="24"/>
          <w:lang w:val="en-GB"/>
        </w:rPr>
      </w:pPr>
      <w:bookmarkStart w:id="12" w:name="_Toc126925388"/>
      <w:r w:rsidRPr="00701ADE">
        <w:rPr>
          <w:rFonts w:ascii="Times New Roman" w:hAnsi="Times New Roman" w:cs="Times New Roman"/>
          <w:b w:val="0"/>
          <w:color w:val="000000"/>
          <w:sz w:val="24"/>
          <w:lang w:val="en-GB"/>
        </w:rPr>
        <w:t>2.1.2. Indicators</w:t>
      </w:r>
      <w:bookmarkEnd w:id="12"/>
    </w:p>
    <w:p w:rsidR="00A77B3E" w:rsidRPr="00701ADE" w:rsidRDefault="00BB4ED7">
      <w:pPr>
        <w:spacing w:before="100"/>
        <w:rPr>
          <w:color w:val="000000"/>
          <w:sz w:val="12"/>
          <w:lang w:val="en-GB"/>
        </w:rPr>
      </w:pPr>
      <w:r w:rsidRPr="00701ADE">
        <w:rPr>
          <w:color w:val="000000"/>
          <w:lang w:val="en-GB"/>
        </w:rPr>
        <w:t>Reference: Article 22(4)(e) of the Common Provisions Regulation</w:t>
      </w:r>
    </w:p>
    <w:p w:rsidR="00A77B3E" w:rsidRPr="00701ADE" w:rsidRDefault="00BB4ED7">
      <w:pPr>
        <w:pStyle w:val="Nagwek4"/>
        <w:spacing w:before="100" w:after="0"/>
        <w:rPr>
          <w:b w:val="0"/>
          <w:color w:val="000000"/>
          <w:sz w:val="24"/>
          <w:lang w:val="en-GB"/>
        </w:rPr>
      </w:pPr>
      <w:bookmarkStart w:id="13" w:name="_Toc126925389"/>
      <w:r w:rsidRPr="00701ADE">
        <w:rPr>
          <w:b w:val="0"/>
          <w:color w:val="000000"/>
          <w:sz w:val="24"/>
          <w:lang w:val="en-GB"/>
        </w:rPr>
        <w:t>Table 1: Output indicators</w:t>
      </w:r>
      <w:bookmarkEnd w:id="13"/>
    </w:p>
    <w:p w:rsidR="00A77B3E" w:rsidRPr="00701ADE" w:rsidRDefault="00A77B3E">
      <w:pPr>
        <w:spacing w:before="100"/>
        <w:rPr>
          <w:color w:val="000000"/>
          <w:sz w:val="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9665"/>
        <w:gridCol w:w="1724"/>
        <w:gridCol w:w="1652"/>
        <w:gridCol w:w="1346"/>
      </w:tblGrid>
      <w:tr w:rsidR="004B75EC" w:rsidRPr="00701ADE">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sz w:val="20"/>
                <w:lang w:val="en-GB"/>
              </w:rPr>
            </w:pPr>
            <w:r w:rsidRPr="00701ADE">
              <w:rPr>
                <w:color w:val="000000"/>
                <w:sz w:val="20"/>
                <w:lang w:val="en-GB"/>
              </w:rPr>
              <w:t>ID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sz w:val="20"/>
                <w:lang w:val="en-GB"/>
              </w:rPr>
            </w:pPr>
            <w:r w:rsidRPr="00701ADE">
              <w:rPr>
                <w:color w:val="000000"/>
                <w:sz w:val="20"/>
                <w:lang w:val="en-GB"/>
              </w:rPr>
              <w:t>Indicator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sz w:val="20"/>
                <w:lang w:val="en-GB"/>
              </w:rPr>
            </w:pPr>
            <w:r w:rsidRPr="00701ADE">
              <w:rPr>
                <w:color w:val="000000"/>
                <w:sz w:val="20"/>
                <w:lang w:val="en-GB"/>
              </w:rPr>
              <w:t>Measurement unit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sz w:val="20"/>
                <w:lang w:val="en-GB"/>
              </w:rPr>
            </w:pPr>
            <w:r w:rsidRPr="00701ADE">
              <w:rPr>
                <w:color w:val="000000"/>
                <w:sz w:val="20"/>
                <w:lang w:val="en-GB"/>
              </w:rPr>
              <w:t>Milestone (2024)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sz w:val="20"/>
                <w:lang w:val="en-GB"/>
              </w:rPr>
            </w:pPr>
            <w:r w:rsidRPr="00701ADE">
              <w:rPr>
                <w:color w:val="000000"/>
                <w:sz w:val="20"/>
                <w:lang w:val="en-GB"/>
              </w:rPr>
              <w:t>Target (2029)</w:t>
            </w:r>
          </w:p>
        </w:tc>
      </w:tr>
      <w:tr w:rsidR="004B75EC" w:rsidRPr="00701ADE">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rPr>
                <w:color w:val="000000"/>
                <w:sz w:val="20"/>
                <w:lang w:val="en-GB"/>
              </w:rPr>
            </w:pPr>
            <w:r w:rsidRPr="00701ADE">
              <w:rPr>
                <w:color w:val="000000"/>
                <w:sz w:val="20"/>
                <w:lang w:val="en-GB"/>
              </w:rPr>
              <w:t>O.2.1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rPr>
                <w:color w:val="000000"/>
                <w:sz w:val="20"/>
                <w:lang w:val="en-GB"/>
              </w:rPr>
            </w:pPr>
            <w:r w:rsidRPr="00701ADE">
              <w:rPr>
                <w:color w:val="000000"/>
                <w:sz w:val="20"/>
                <w:lang w:val="en-GB"/>
              </w:rPr>
              <w:t xml:space="preserve">Number of participants who received pre-departure support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rPr>
                <w:color w:val="000000"/>
                <w:sz w:val="20"/>
                <w:lang w:val="en-GB"/>
              </w:rPr>
            </w:pPr>
            <w:r w:rsidRPr="00701ADE">
              <w:rPr>
                <w:color w:val="000000"/>
                <w:sz w:val="20"/>
                <w:lang w:val="en-GB"/>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right"/>
              <w:rPr>
                <w:color w:val="000000"/>
                <w:sz w:val="20"/>
                <w:lang w:val="en-GB"/>
              </w:rPr>
            </w:pPr>
            <w:r w:rsidRPr="00701ADE">
              <w:rPr>
                <w:color w:val="000000"/>
                <w:sz w:val="20"/>
                <w:lang w:val="en-GB"/>
              </w:rPr>
              <w:t>200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right"/>
              <w:rPr>
                <w:color w:val="000000"/>
                <w:sz w:val="20"/>
                <w:lang w:val="en-GB"/>
              </w:rPr>
            </w:pPr>
            <w:r w:rsidRPr="00701ADE">
              <w:rPr>
                <w:color w:val="000000"/>
                <w:sz w:val="20"/>
                <w:lang w:val="en-GB"/>
              </w:rPr>
              <w:t>3,300</w:t>
            </w:r>
          </w:p>
        </w:tc>
      </w:tr>
      <w:tr w:rsidR="004B75EC" w:rsidRPr="00701ADE">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rPr>
                <w:color w:val="000000"/>
                <w:sz w:val="20"/>
                <w:lang w:val="en-GB"/>
              </w:rPr>
            </w:pPr>
            <w:r w:rsidRPr="00701ADE">
              <w:rPr>
                <w:color w:val="000000"/>
                <w:sz w:val="20"/>
                <w:lang w:val="en-GB"/>
              </w:rPr>
              <w:t>O.2.2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rPr>
                <w:color w:val="000000"/>
                <w:sz w:val="20"/>
                <w:lang w:val="en-GB"/>
              </w:rPr>
            </w:pPr>
            <w:r w:rsidRPr="00701ADE">
              <w:rPr>
                <w:color w:val="000000"/>
                <w:sz w:val="20"/>
                <w:lang w:val="en-GB"/>
              </w:rPr>
              <w:t>Number of local and regional authorities supported to implement integration measures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rPr>
                <w:color w:val="000000"/>
                <w:sz w:val="20"/>
                <w:lang w:val="en-GB"/>
              </w:rPr>
            </w:pPr>
            <w:r w:rsidRPr="00701ADE">
              <w:rPr>
                <w:color w:val="000000"/>
                <w:sz w:val="20"/>
                <w:lang w:val="en-GB"/>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right"/>
              <w:rPr>
                <w:color w:val="000000"/>
                <w:sz w:val="20"/>
                <w:lang w:val="en-GB"/>
              </w:rPr>
            </w:pPr>
            <w:r w:rsidRPr="00701ADE">
              <w:rPr>
                <w:color w:val="000000"/>
                <w:sz w:val="20"/>
                <w:lang w:val="en-GB"/>
              </w:rPr>
              <w:t>95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right"/>
              <w:rPr>
                <w:color w:val="000000"/>
                <w:sz w:val="20"/>
                <w:lang w:val="en-GB"/>
              </w:rPr>
            </w:pPr>
            <w:r w:rsidRPr="00701ADE">
              <w:rPr>
                <w:color w:val="000000"/>
                <w:sz w:val="20"/>
                <w:lang w:val="en-GB"/>
              </w:rPr>
              <w:t>1,328</w:t>
            </w:r>
          </w:p>
        </w:tc>
      </w:tr>
      <w:tr w:rsidR="004B75EC" w:rsidRPr="00701ADE">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rPr>
                <w:color w:val="000000"/>
                <w:sz w:val="20"/>
                <w:lang w:val="en-GB"/>
              </w:rPr>
            </w:pPr>
            <w:r w:rsidRPr="00701ADE">
              <w:rPr>
                <w:color w:val="000000"/>
                <w:sz w:val="20"/>
                <w:lang w:val="en-GB"/>
              </w:rPr>
              <w:t>O.2.3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rPr>
                <w:color w:val="000000"/>
                <w:sz w:val="20"/>
                <w:lang w:val="en-GB"/>
              </w:rPr>
            </w:pPr>
            <w:r w:rsidRPr="00701ADE">
              <w:rPr>
                <w:color w:val="000000"/>
                <w:sz w:val="20"/>
                <w:lang w:val="en-GB"/>
              </w:rPr>
              <w:t>Number of participants supported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rPr>
                <w:color w:val="000000"/>
                <w:sz w:val="20"/>
                <w:lang w:val="en-GB"/>
              </w:rPr>
            </w:pPr>
            <w:r w:rsidRPr="00701ADE">
              <w:rPr>
                <w:color w:val="000000"/>
                <w:sz w:val="20"/>
                <w:lang w:val="en-GB"/>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right"/>
              <w:rPr>
                <w:color w:val="000000"/>
                <w:sz w:val="20"/>
                <w:lang w:val="en-GB"/>
              </w:rPr>
            </w:pPr>
            <w:r w:rsidRPr="00701ADE">
              <w:rPr>
                <w:color w:val="000000"/>
                <w:sz w:val="20"/>
                <w:lang w:val="en-GB"/>
              </w:rPr>
              <w:t>10,000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right"/>
              <w:rPr>
                <w:color w:val="000000"/>
                <w:sz w:val="20"/>
                <w:lang w:val="en-GB"/>
              </w:rPr>
            </w:pPr>
            <w:r w:rsidRPr="00701ADE">
              <w:rPr>
                <w:color w:val="000000"/>
                <w:sz w:val="20"/>
                <w:lang w:val="en-GB"/>
              </w:rPr>
              <w:t>150,000</w:t>
            </w:r>
          </w:p>
        </w:tc>
      </w:tr>
      <w:tr w:rsidR="004B75EC" w:rsidRPr="00701ADE">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rPr>
                <w:color w:val="000000"/>
                <w:sz w:val="20"/>
                <w:lang w:val="en-GB"/>
              </w:rPr>
            </w:pPr>
            <w:r w:rsidRPr="00701ADE">
              <w:rPr>
                <w:color w:val="000000"/>
                <w:sz w:val="20"/>
                <w:lang w:val="en-GB"/>
              </w:rPr>
              <w:t>O.2.3.1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rPr>
                <w:color w:val="000000"/>
                <w:sz w:val="20"/>
                <w:lang w:val="en-GB"/>
              </w:rPr>
            </w:pPr>
            <w:r w:rsidRPr="00701ADE">
              <w:rPr>
                <w:color w:val="000000"/>
                <w:sz w:val="20"/>
                <w:lang w:val="en-GB"/>
              </w:rPr>
              <w:t xml:space="preserve">including the number of participants in a language </w:t>
            </w:r>
            <w:r w:rsidRPr="008011B1">
              <w:rPr>
                <w:color w:val="000000"/>
                <w:sz w:val="20"/>
                <w:lang w:val="en-GB"/>
              </w:rPr>
              <w:t>course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rPr>
                <w:color w:val="000000"/>
                <w:sz w:val="20"/>
                <w:lang w:val="en-GB"/>
              </w:rPr>
            </w:pPr>
            <w:r w:rsidRPr="00701ADE">
              <w:rPr>
                <w:color w:val="000000"/>
                <w:sz w:val="20"/>
                <w:lang w:val="en-GB"/>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right"/>
              <w:rPr>
                <w:color w:val="000000"/>
                <w:sz w:val="20"/>
                <w:lang w:val="en-GB"/>
              </w:rPr>
            </w:pPr>
            <w:r w:rsidRPr="00701ADE">
              <w:rPr>
                <w:color w:val="000000"/>
                <w:sz w:val="20"/>
                <w:lang w:val="en-GB"/>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right"/>
              <w:rPr>
                <w:color w:val="000000"/>
                <w:sz w:val="20"/>
                <w:lang w:val="en-GB"/>
              </w:rPr>
            </w:pPr>
            <w:r w:rsidRPr="00701ADE">
              <w:rPr>
                <w:color w:val="000000"/>
                <w:sz w:val="20"/>
                <w:lang w:val="en-GB"/>
              </w:rPr>
              <w:t>15,000</w:t>
            </w:r>
          </w:p>
        </w:tc>
      </w:tr>
      <w:tr w:rsidR="004B75EC" w:rsidRPr="00701ADE">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rPr>
                <w:color w:val="000000"/>
                <w:sz w:val="20"/>
                <w:lang w:val="en-GB"/>
              </w:rPr>
            </w:pPr>
            <w:r w:rsidRPr="00701ADE">
              <w:rPr>
                <w:color w:val="000000"/>
                <w:sz w:val="20"/>
                <w:lang w:val="en-GB"/>
              </w:rPr>
              <w:t>O.2.3.2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rPr>
                <w:color w:val="000000"/>
                <w:sz w:val="20"/>
                <w:lang w:val="en-GB"/>
              </w:rPr>
            </w:pPr>
            <w:r w:rsidRPr="00701ADE">
              <w:rPr>
                <w:color w:val="000000"/>
                <w:sz w:val="20"/>
                <w:lang w:val="en-GB"/>
              </w:rPr>
              <w:t>the number of participants in a civic orientation course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rPr>
                <w:color w:val="000000"/>
                <w:sz w:val="20"/>
                <w:lang w:val="en-GB"/>
              </w:rPr>
            </w:pPr>
            <w:r w:rsidRPr="00701ADE">
              <w:rPr>
                <w:color w:val="000000"/>
                <w:sz w:val="20"/>
                <w:lang w:val="en-GB"/>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right"/>
              <w:rPr>
                <w:color w:val="000000"/>
                <w:sz w:val="20"/>
                <w:lang w:val="en-GB"/>
              </w:rPr>
            </w:pPr>
            <w:r w:rsidRPr="00701ADE">
              <w:rPr>
                <w:color w:val="000000"/>
                <w:sz w:val="20"/>
                <w:lang w:val="en-GB"/>
              </w:rPr>
              <w:t>700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right"/>
              <w:rPr>
                <w:color w:val="000000"/>
                <w:sz w:val="20"/>
                <w:lang w:val="en-GB"/>
              </w:rPr>
            </w:pPr>
            <w:r w:rsidRPr="00701ADE">
              <w:rPr>
                <w:color w:val="000000"/>
                <w:sz w:val="20"/>
                <w:lang w:val="en-GB"/>
              </w:rPr>
              <w:t>10,000</w:t>
            </w:r>
          </w:p>
        </w:tc>
      </w:tr>
      <w:tr w:rsidR="004B75EC" w:rsidRPr="00701ADE">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rPr>
                <w:color w:val="000000"/>
                <w:sz w:val="20"/>
                <w:lang w:val="en-GB"/>
              </w:rPr>
            </w:pPr>
            <w:r w:rsidRPr="00701ADE">
              <w:rPr>
                <w:color w:val="000000"/>
                <w:sz w:val="20"/>
                <w:lang w:val="en-GB"/>
              </w:rPr>
              <w:t>O.2.3.3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rPr>
                <w:color w:val="000000"/>
                <w:sz w:val="20"/>
                <w:lang w:val="en-GB"/>
              </w:rPr>
            </w:pPr>
            <w:r w:rsidRPr="00701ADE">
              <w:rPr>
                <w:color w:val="000000"/>
                <w:sz w:val="20"/>
                <w:lang w:val="en-GB"/>
              </w:rPr>
              <w:t>including the number of participants who received personalised professional guidance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rPr>
                <w:color w:val="000000"/>
                <w:sz w:val="20"/>
                <w:lang w:val="en-GB"/>
              </w:rPr>
            </w:pPr>
            <w:r w:rsidRPr="00701ADE">
              <w:rPr>
                <w:color w:val="000000"/>
                <w:sz w:val="20"/>
                <w:lang w:val="en-GB"/>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right"/>
              <w:rPr>
                <w:color w:val="000000"/>
                <w:sz w:val="20"/>
                <w:lang w:val="en-GB"/>
              </w:rPr>
            </w:pPr>
            <w:r w:rsidRPr="00701ADE">
              <w:rPr>
                <w:color w:val="000000"/>
                <w:sz w:val="20"/>
                <w:lang w:val="en-GB"/>
              </w:rPr>
              <w:t>650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right"/>
              <w:rPr>
                <w:color w:val="000000"/>
                <w:sz w:val="20"/>
                <w:lang w:val="en-GB"/>
              </w:rPr>
            </w:pPr>
            <w:r w:rsidRPr="00701ADE">
              <w:rPr>
                <w:color w:val="000000"/>
                <w:sz w:val="20"/>
                <w:lang w:val="en-GB"/>
              </w:rPr>
              <w:t>9,000</w:t>
            </w:r>
          </w:p>
        </w:tc>
      </w:tr>
      <w:tr w:rsidR="004B75EC" w:rsidRPr="00701ADE">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rPr>
                <w:color w:val="000000"/>
                <w:sz w:val="20"/>
                <w:lang w:val="en-GB"/>
              </w:rPr>
            </w:pPr>
            <w:r w:rsidRPr="00701ADE">
              <w:rPr>
                <w:color w:val="000000"/>
                <w:sz w:val="20"/>
                <w:lang w:val="en-GB"/>
              </w:rPr>
              <w:t>O.2.4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rPr>
                <w:color w:val="000000"/>
                <w:sz w:val="20"/>
                <w:lang w:val="en-GB"/>
              </w:rPr>
            </w:pPr>
            <w:r w:rsidRPr="00701ADE">
              <w:rPr>
                <w:color w:val="000000"/>
                <w:sz w:val="20"/>
                <w:lang w:val="en-GB"/>
              </w:rPr>
              <w:t>Number of information packages and campaigns to raise awareness of legal migration channels to the Union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rPr>
                <w:color w:val="000000"/>
                <w:sz w:val="20"/>
                <w:lang w:val="en-GB"/>
              </w:rPr>
            </w:pPr>
            <w:r w:rsidRPr="00701ADE">
              <w:rPr>
                <w:color w:val="000000"/>
                <w:sz w:val="20"/>
                <w:lang w:val="en-GB"/>
              </w:rPr>
              <w:t>nuumber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right"/>
              <w:rPr>
                <w:color w:val="000000"/>
                <w:sz w:val="20"/>
                <w:lang w:val="en-GB"/>
              </w:rPr>
            </w:pPr>
            <w:r w:rsidRPr="00701ADE">
              <w:rPr>
                <w:color w:val="000000"/>
                <w:sz w:val="20"/>
                <w:lang w:val="en-GB"/>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right"/>
              <w:rPr>
                <w:color w:val="000000"/>
                <w:sz w:val="20"/>
                <w:lang w:val="en-GB"/>
              </w:rPr>
            </w:pPr>
            <w:r w:rsidRPr="00701ADE">
              <w:rPr>
                <w:color w:val="000000"/>
                <w:sz w:val="20"/>
                <w:lang w:val="en-GB"/>
              </w:rPr>
              <w:t>10</w:t>
            </w:r>
          </w:p>
        </w:tc>
      </w:tr>
      <w:tr w:rsidR="004B75EC" w:rsidRPr="00701ADE">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rPr>
                <w:color w:val="000000"/>
                <w:sz w:val="20"/>
                <w:lang w:val="en-GB"/>
              </w:rPr>
            </w:pPr>
            <w:r w:rsidRPr="00701ADE">
              <w:rPr>
                <w:color w:val="000000"/>
                <w:sz w:val="20"/>
                <w:lang w:val="en-GB"/>
              </w:rPr>
              <w:t>O.2.5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rPr>
                <w:color w:val="000000"/>
                <w:sz w:val="20"/>
                <w:lang w:val="en-GB"/>
              </w:rPr>
            </w:pPr>
            <w:r w:rsidRPr="00701ADE">
              <w:rPr>
                <w:color w:val="000000"/>
                <w:sz w:val="20"/>
                <w:lang w:val="en-GB"/>
              </w:rPr>
              <w:t>Number of participants receiving information or assistance in applying for family reunification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rPr>
                <w:color w:val="000000"/>
                <w:sz w:val="20"/>
                <w:lang w:val="en-GB"/>
              </w:rPr>
            </w:pPr>
            <w:r w:rsidRPr="00701ADE">
              <w:rPr>
                <w:color w:val="000000"/>
                <w:sz w:val="20"/>
                <w:lang w:val="en-GB"/>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right"/>
              <w:rPr>
                <w:color w:val="000000"/>
                <w:sz w:val="20"/>
                <w:lang w:val="en-GB"/>
              </w:rPr>
            </w:pPr>
            <w:r w:rsidRPr="00701ADE">
              <w:rPr>
                <w:color w:val="000000"/>
                <w:sz w:val="20"/>
                <w:lang w:val="en-GB"/>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right"/>
              <w:rPr>
                <w:color w:val="000000"/>
                <w:sz w:val="20"/>
                <w:lang w:val="en-GB"/>
              </w:rPr>
            </w:pPr>
            <w:r w:rsidRPr="00701ADE">
              <w:rPr>
                <w:color w:val="000000"/>
                <w:sz w:val="20"/>
                <w:lang w:val="en-GB"/>
              </w:rPr>
              <w:t>0</w:t>
            </w:r>
          </w:p>
        </w:tc>
      </w:tr>
      <w:tr w:rsidR="004B75EC" w:rsidRPr="00701ADE">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rPr>
                <w:color w:val="000000"/>
                <w:sz w:val="20"/>
                <w:lang w:val="en-GB"/>
              </w:rPr>
            </w:pPr>
            <w:r w:rsidRPr="00701ADE">
              <w:rPr>
                <w:color w:val="000000"/>
                <w:sz w:val="20"/>
                <w:lang w:val="en-GB"/>
              </w:rPr>
              <w:t>O.2.6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rPr>
                <w:color w:val="000000"/>
                <w:sz w:val="20"/>
                <w:lang w:val="en-GB"/>
              </w:rPr>
            </w:pPr>
            <w:r w:rsidRPr="00701ADE">
              <w:rPr>
                <w:color w:val="000000"/>
                <w:sz w:val="20"/>
                <w:lang w:val="en-GB"/>
              </w:rPr>
              <w:t>Number of participants benefitting from mobility schemes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rPr>
                <w:color w:val="000000"/>
                <w:sz w:val="20"/>
                <w:lang w:val="en-GB"/>
              </w:rPr>
            </w:pPr>
            <w:r w:rsidRPr="00701ADE">
              <w:rPr>
                <w:color w:val="000000"/>
                <w:sz w:val="20"/>
                <w:lang w:val="en-GB"/>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right"/>
              <w:rPr>
                <w:color w:val="000000"/>
                <w:sz w:val="20"/>
                <w:lang w:val="en-GB"/>
              </w:rPr>
            </w:pPr>
            <w:r w:rsidRPr="00701ADE">
              <w:rPr>
                <w:color w:val="000000"/>
                <w:sz w:val="20"/>
                <w:lang w:val="en-GB"/>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right"/>
              <w:rPr>
                <w:color w:val="000000"/>
                <w:sz w:val="20"/>
                <w:lang w:val="en-GB"/>
              </w:rPr>
            </w:pPr>
            <w:r w:rsidRPr="00701ADE">
              <w:rPr>
                <w:color w:val="000000"/>
                <w:sz w:val="20"/>
                <w:lang w:val="en-GB"/>
              </w:rPr>
              <w:t>0</w:t>
            </w:r>
          </w:p>
        </w:tc>
      </w:tr>
      <w:tr w:rsidR="004B75EC" w:rsidRPr="00701ADE">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rPr>
                <w:color w:val="000000"/>
                <w:sz w:val="20"/>
                <w:lang w:val="en-GB"/>
              </w:rPr>
            </w:pPr>
            <w:r w:rsidRPr="00701ADE">
              <w:rPr>
                <w:color w:val="000000"/>
                <w:sz w:val="20"/>
                <w:lang w:val="en-GB"/>
              </w:rPr>
              <w:t>O.2.7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rPr>
                <w:color w:val="000000"/>
                <w:sz w:val="20"/>
                <w:lang w:val="en-GB"/>
              </w:rPr>
            </w:pPr>
            <w:r w:rsidRPr="00701ADE">
              <w:rPr>
                <w:color w:val="000000"/>
                <w:sz w:val="20"/>
                <w:lang w:val="en-GB"/>
              </w:rPr>
              <w:t>Number of integration projects where local and regional authorities are the beneficiary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rPr>
                <w:color w:val="000000"/>
                <w:sz w:val="20"/>
                <w:lang w:val="en-GB"/>
              </w:rPr>
            </w:pPr>
            <w:r w:rsidRPr="00701ADE">
              <w:rPr>
                <w:color w:val="000000"/>
                <w:sz w:val="20"/>
                <w:lang w:val="en-GB"/>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right"/>
              <w:rPr>
                <w:color w:val="000000"/>
                <w:sz w:val="20"/>
                <w:lang w:val="en-GB"/>
              </w:rPr>
            </w:pPr>
            <w:r w:rsidRPr="00701ADE">
              <w:rPr>
                <w:color w:val="000000"/>
                <w:sz w:val="20"/>
                <w:lang w:val="en-GB"/>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right"/>
              <w:rPr>
                <w:color w:val="000000"/>
                <w:sz w:val="20"/>
                <w:lang w:val="en-GB"/>
              </w:rPr>
            </w:pPr>
            <w:r w:rsidRPr="00701ADE">
              <w:rPr>
                <w:color w:val="000000"/>
                <w:sz w:val="20"/>
                <w:lang w:val="en-GB"/>
              </w:rPr>
              <w:t>32</w:t>
            </w:r>
          </w:p>
        </w:tc>
      </w:tr>
    </w:tbl>
    <w:p w:rsidR="00A77B3E" w:rsidRPr="00701ADE" w:rsidRDefault="00BB4ED7">
      <w:pPr>
        <w:spacing w:before="100"/>
        <w:rPr>
          <w:color w:val="000000"/>
          <w:lang w:val="en-GB"/>
        </w:rPr>
      </w:pPr>
      <w:r w:rsidRPr="00701ADE">
        <w:rPr>
          <w:color w:val="000000"/>
          <w:sz w:val="20"/>
          <w:lang w:val="en-GB"/>
        </w:rPr>
        <w:br w:type="page"/>
      </w:r>
      <w:r w:rsidRPr="00701ADE">
        <w:rPr>
          <w:color w:val="000000"/>
          <w:lang w:val="en-GB"/>
        </w:rPr>
        <w:t>2.1. Specific objective 2. Legal migration and integration</w:t>
      </w:r>
    </w:p>
    <w:p w:rsidR="00A77B3E" w:rsidRPr="00701ADE" w:rsidRDefault="00BB4ED7">
      <w:pPr>
        <w:spacing w:before="100"/>
        <w:rPr>
          <w:color w:val="000000"/>
          <w:sz w:val="0"/>
          <w:lang w:val="en-GB"/>
        </w:rPr>
      </w:pPr>
      <w:r w:rsidRPr="00701ADE">
        <w:rPr>
          <w:color w:val="000000"/>
          <w:lang w:val="en-GB"/>
        </w:rPr>
        <w:t>2.1.2. Indicators</w:t>
      </w:r>
    </w:p>
    <w:p w:rsidR="00A77B3E" w:rsidRPr="00701ADE" w:rsidRDefault="00BB4ED7">
      <w:pPr>
        <w:spacing w:before="100"/>
        <w:rPr>
          <w:color w:val="000000"/>
          <w:sz w:val="12"/>
          <w:lang w:val="en-GB"/>
        </w:rPr>
      </w:pPr>
      <w:r w:rsidRPr="00701ADE">
        <w:rPr>
          <w:color w:val="000000"/>
          <w:lang w:val="en-GB"/>
        </w:rPr>
        <w:t>Reference: Article 22(4)(e) of the Common Provisions Regulation</w:t>
      </w:r>
    </w:p>
    <w:p w:rsidR="00A77B3E" w:rsidRPr="00701ADE" w:rsidRDefault="00BB4ED7">
      <w:pPr>
        <w:pStyle w:val="Nagwek4"/>
        <w:spacing w:before="100" w:after="0"/>
        <w:rPr>
          <w:b w:val="0"/>
          <w:color w:val="000000"/>
          <w:sz w:val="24"/>
          <w:lang w:val="en-GB"/>
        </w:rPr>
      </w:pPr>
      <w:bookmarkStart w:id="14" w:name="_Toc126925390"/>
      <w:r w:rsidRPr="00701ADE">
        <w:rPr>
          <w:b w:val="0"/>
          <w:color w:val="000000"/>
          <w:sz w:val="24"/>
          <w:lang w:val="en-GB"/>
        </w:rPr>
        <w:t>Table 2: Result indicators</w:t>
      </w:r>
      <w:bookmarkEnd w:id="14"/>
    </w:p>
    <w:p w:rsidR="00A77B3E" w:rsidRPr="00701ADE" w:rsidRDefault="00A77B3E">
      <w:pPr>
        <w:spacing w:before="100"/>
        <w:rPr>
          <w:color w:val="000000"/>
          <w:sz w:val="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2276"/>
        <w:gridCol w:w="1517"/>
        <w:gridCol w:w="1517"/>
        <w:gridCol w:w="1517"/>
        <w:gridCol w:w="1517"/>
        <w:gridCol w:w="1517"/>
        <w:gridCol w:w="1517"/>
        <w:gridCol w:w="1517"/>
        <w:gridCol w:w="1517"/>
      </w:tblGrid>
      <w:tr w:rsidR="004B75EC" w:rsidRPr="00701ADE">
        <w:trPr>
          <w:tblHeader/>
        </w:trPr>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sz w:val="20"/>
                <w:lang w:val="en-GB"/>
              </w:rPr>
            </w:pPr>
            <w:r w:rsidRPr="00701ADE">
              <w:rPr>
                <w:color w:val="000000"/>
                <w:sz w:val="20"/>
                <w:lang w:val="en-GB"/>
              </w:rPr>
              <w:t>ID</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sz w:val="20"/>
                <w:lang w:val="en-GB"/>
              </w:rPr>
            </w:pPr>
            <w:r w:rsidRPr="00701ADE">
              <w:rPr>
                <w:color w:val="000000"/>
                <w:sz w:val="20"/>
                <w:lang w:val="en-GB"/>
              </w:rPr>
              <w:t>Indicator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sz w:val="20"/>
                <w:lang w:val="en-GB"/>
              </w:rPr>
            </w:pPr>
            <w:r w:rsidRPr="00701ADE">
              <w:rPr>
                <w:color w:val="000000"/>
                <w:sz w:val="20"/>
                <w:lang w:val="en-GB"/>
              </w:rPr>
              <w:t>Measurement unit</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sz w:val="20"/>
                <w:lang w:val="en-GB"/>
              </w:rPr>
            </w:pPr>
            <w:r w:rsidRPr="00701ADE">
              <w:rPr>
                <w:color w:val="000000"/>
                <w:sz w:val="20"/>
                <w:lang w:val="en-GB"/>
              </w:rPr>
              <w:t>Baseline value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sz w:val="20"/>
                <w:lang w:val="en-GB"/>
              </w:rPr>
            </w:pPr>
            <w:r w:rsidRPr="00701ADE">
              <w:rPr>
                <w:color w:val="000000"/>
                <w:sz w:val="20"/>
                <w:lang w:val="en-GB"/>
              </w:rPr>
              <w:t>Baseline value measurement unit</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sz w:val="20"/>
                <w:lang w:val="en-GB"/>
              </w:rPr>
            </w:pPr>
            <w:r w:rsidRPr="00701ADE">
              <w:rPr>
                <w:color w:val="000000"/>
                <w:sz w:val="20"/>
                <w:lang w:val="en-GB"/>
              </w:rPr>
              <w:t>Reference year/years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sz w:val="20"/>
                <w:lang w:val="en-GB"/>
              </w:rPr>
            </w:pPr>
            <w:r w:rsidRPr="00701ADE">
              <w:rPr>
                <w:color w:val="000000"/>
                <w:sz w:val="20"/>
                <w:lang w:val="en-GB"/>
              </w:rPr>
              <w:t>Target (2029)</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sz w:val="20"/>
                <w:lang w:val="en-GB"/>
              </w:rPr>
            </w:pPr>
            <w:r w:rsidRPr="00701ADE">
              <w:rPr>
                <w:color w:val="000000"/>
                <w:sz w:val="20"/>
                <w:lang w:val="en-GB"/>
              </w:rPr>
              <w:t>Target measurement unit</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sz w:val="20"/>
                <w:lang w:val="en-GB"/>
              </w:rPr>
            </w:pPr>
            <w:r w:rsidRPr="00701ADE">
              <w:rPr>
                <w:color w:val="000000"/>
                <w:sz w:val="20"/>
                <w:lang w:val="en-GB"/>
              </w:rPr>
              <w:t>Source of data</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rPr>
                <w:color w:val="000000"/>
                <w:sz w:val="20"/>
                <w:lang w:val="en-GB"/>
              </w:rPr>
            </w:pPr>
            <w:r w:rsidRPr="00701ADE">
              <w:rPr>
                <w:color w:val="000000"/>
                <w:sz w:val="20"/>
                <w:lang w:val="en-GB"/>
              </w:rPr>
              <w:t>Comments</w:t>
            </w:r>
          </w:p>
        </w:tc>
      </w:tr>
      <w:tr w:rsidR="004B75EC" w:rsidRPr="00701ADE">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R.2.8</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Number of participants in language courses who, upon leaving the language course, have improved their proficiency level in the host-country language by at least one level in the Common European Framework of Reference for Languages or national equivalent</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participation</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center"/>
              <w:rPr>
                <w:color w:val="000000"/>
                <w:sz w:val="20"/>
                <w:lang w:val="en-GB"/>
              </w:rPr>
            </w:pPr>
            <w:r w:rsidRPr="00701ADE">
              <w:rPr>
                <w:color w:val="000000"/>
                <w:sz w:val="20"/>
                <w:lang w:val="en-GB"/>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center"/>
              <w:rPr>
                <w:color w:val="000000"/>
                <w:sz w:val="20"/>
                <w:lang w:val="en-GB"/>
              </w:rPr>
            </w:pPr>
            <w:r w:rsidRPr="00701ADE">
              <w:rPr>
                <w:color w:val="000000"/>
                <w:sz w:val="20"/>
                <w:lang w:val="en-GB"/>
              </w:rPr>
              <w:t>10,500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measurement reported by beneficiaries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w:t>
            </w:r>
          </w:p>
        </w:tc>
      </w:tr>
      <w:tr w:rsidR="004B75EC" w:rsidRPr="00701ADE">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R.2.9</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Number of participants who report that the activity was helpful for their integration</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participation</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center"/>
              <w:rPr>
                <w:color w:val="000000"/>
                <w:sz w:val="20"/>
                <w:lang w:val="en-GB"/>
              </w:rPr>
            </w:pPr>
            <w:r w:rsidRPr="00701ADE">
              <w:rPr>
                <w:color w:val="000000"/>
                <w:sz w:val="20"/>
                <w:lang w:val="en-GB"/>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center"/>
              <w:rPr>
                <w:color w:val="000000"/>
                <w:sz w:val="20"/>
                <w:lang w:val="en-GB"/>
              </w:rPr>
            </w:pPr>
            <w:r w:rsidRPr="00701ADE">
              <w:rPr>
                <w:color w:val="000000"/>
                <w:sz w:val="20"/>
                <w:lang w:val="en-GB"/>
              </w:rPr>
              <w:t>105,000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measurement reported by beneficiaries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w:t>
            </w:r>
          </w:p>
        </w:tc>
      </w:tr>
      <w:tr w:rsidR="004B75EC" w:rsidRPr="00701ADE">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R.2.10</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Number of participants who applied for their qualification or skills acquired in a third country to be recognised or assessed</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center"/>
              <w:rPr>
                <w:color w:val="000000"/>
                <w:sz w:val="20"/>
                <w:lang w:val="en-GB"/>
              </w:rPr>
            </w:pPr>
            <w:r w:rsidRPr="00701ADE">
              <w:rPr>
                <w:color w:val="000000"/>
                <w:sz w:val="20"/>
                <w:lang w:val="en-GB"/>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center"/>
              <w:rPr>
                <w:color w:val="000000"/>
                <w:sz w:val="20"/>
                <w:lang w:val="en-GB"/>
              </w:rPr>
            </w:pPr>
            <w:r w:rsidRPr="00701ADE">
              <w:rPr>
                <w:color w:val="000000"/>
                <w:sz w:val="20"/>
                <w:lang w:val="en-GB"/>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w:t>
            </w:r>
          </w:p>
        </w:tc>
      </w:tr>
      <w:tr w:rsidR="004B75EC" w:rsidRPr="00701ADE">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R.2.11</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Number of participants who applied for a long-term residence status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center"/>
              <w:rPr>
                <w:color w:val="000000"/>
                <w:sz w:val="20"/>
                <w:lang w:val="en-GB"/>
              </w:rPr>
            </w:pPr>
            <w:r w:rsidRPr="00701ADE">
              <w:rPr>
                <w:color w:val="000000"/>
                <w:sz w:val="20"/>
                <w:lang w:val="en-GB"/>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center"/>
              <w:rPr>
                <w:color w:val="000000"/>
                <w:sz w:val="20"/>
                <w:lang w:val="en-GB"/>
              </w:rPr>
            </w:pPr>
            <w:r w:rsidRPr="00701ADE">
              <w:rPr>
                <w:color w:val="000000"/>
                <w:sz w:val="20"/>
                <w:lang w:val="en-GB"/>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w:t>
            </w:r>
          </w:p>
        </w:tc>
      </w:tr>
    </w:tbl>
    <w:p w:rsidR="00A77B3E" w:rsidRPr="00701ADE" w:rsidRDefault="00A77B3E">
      <w:pPr>
        <w:spacing w:before="100"/>
        <w:rPr>
          <w:color w:val="000000"/>
          <w:sz w:val="20"/>
          <w:lang w:val="en-GB"/>
        </w:rPr>
        <w:sectPr w:rsidR="00A77B3E" w:rsidRPr="00701ADE">
          <w:headerReference w:type="even" r:id="rId33"/>
          <w:headerReference w:type="default" r:id="rId34"/>
          <w:footerReference w:type="even" r:id="rId35"/>
          <w:footerReference w:type="default" r:id="rId36"/>
          <w:headerReference w:type="first" r:id="rId37"/>
          <w:footerReference w:type="first" r:id="rId38"/>
          <w:pgSz w:w="16838" w:h="11906" w:orient="landscape"/>
          <w:pgMar w:top="720" w:right="720" w:bottom="864" w:left="936" w:header="288" w:footer="72" w:gutter="0"/>
          <w:cols w:space="720"/>
          <w:noEndnote/>
          <w:docGrid w:linePitch="360"/>
        </w:sectPr>
      </w:pPr>
    </w:p>
    <w:p w:rsidR="00A77B3E" w:rsidRPr="00701ADE" w:rsidRDefault="00BB4ED7">
      <w:pPr>
        <w:spacing w:before="100"/>
        <w:rPr>
          <w:color w:val="000000"/>
          <w:sz w:val="0"/>
          <w:lang w:val="en-GB"/>
        </w:rPr>
      </w:pPr>
      <w:r w:rsidRPr="00701ADE">
        <w:rPr>
          <w:color w:val="000000"/>
          <w:lang w:val="en-GB"/>
        </w:rPr>
        <w:t>2.1. Specific objective 2. Legal migration and integration</w:t>
      </w:r>
    </w:p>
    <w:p w:rsidR="00A77B3E" w:rsidRPr="00701ADE" w:rsidRDefault="00BB4ED7">
      <w:pPr>
        <w:pStyle w:val="Nagwek3"/>
        <w:spacing w:before="100" w:after="0"/>
        <w:rPr>
          <w:rFonts w:ascii="Times New Roman" w:hAnsi="Times New Roman" w:cs="Times New Roman"/>
          <w:b w:val="0"/>
          <w:color w:val="000000"/>
          <w:sz w:val="24"/>
          <w:lang w:val="en-GB"/>
        </w:rPr>
      </w:pPr>
      <w:bookmarkStart w:id="15" w:name="_Toc126925391"/>
      <w:r w:rsidRPr="00701ADE">
        <w:rPr>
          <w:rFonts w:ascii="Times New Roman" w:hAnsi="Times New Roman" w:cs="Times New Roman"/>
          <w:b w:val="0"/>
          <w:color w:val="000000"/>
          <w:sz w:val="24"/>
          <w:lang w:val="en-GB"/>
        </w:rPr>
        <w:t>2.1.3. Indicative breakdown of programme resources (EU) by type of intervention</w:t>
      </w:r>
      <w:bookmarkEnd w:id="15"/>
    </w:p>
    <w:p w:rsidR="00A77B3E" w:rsidRPr="00701ADE" w:rsidRDefault="00BB4ED7">
      <w:pPr>
        <w:spacing w:before="100"/>
        <w:rPr>
          <w:color w:val="000000"/>
          <w:lang w:val="en-GB"/>
        </w:rPr>
      </w:pPr>
      <w:r w:rsidRPr="00701ADE">
        <w:rPr>
          <w:color w:val="000000"/>
          <w:lang w:val="en-GB"/>
        </w:rPr>
        <w:t>Reference: Article 22(5) of the Common Provisions Regulation and Article 16(12) of the AMIF Regulation, Article 13(12) of the ISF Regulation or Article 13(18) of the BMVI Regulation</w:t>
      </w:r>
    </w:p>
    <w:p w:rsidR="00A77B3E" w:rsidRPr="00701ADE" w:rsidRDefault="00BB4ED7">
      <w:pPr>
        <w:pStyle w:val="Nagwek4"/>
        <w:spacing w:before="100" w:after="0"/>
        <w:rPr>
          <w:b w:val="0"/>
          <w:color w:val="000000"/>
          <w:sz w:val="24"/>
          <w:lang w:val="en-GB"/>
        </w:rPr>
      </w:pPr>
      <w:bookmarkStart w:id="16" w:name="_Toc126925392"/>
      <w:r w:rsidRPr="00701ADE">
        <w:rPr>
          <w:b w:val="0"/>
          <w:color w:val="000000"/>
          <w:sz w:val="24"/>
          <w:lang w:val="en-GB"/>
        </w:rPr>
        <w:t>Table 3: Indicative breakdown</w:t>
      </w:r>
      <w:bookmarkEnd w:id="16"/>
    </w:p>
    <w:p w:rsidR="00A77B3E" w:rsidRPr="00701ADE" w:rsidRDefault="00A77B3E">
      <w:pPr>
        <w:spacing w:before="100"/>
        <w:rPr>
          <w:color w:val="000000"/>
          <w:sz w:val="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9207"/>
        <w:gridCol w:w="3413"/>
      </w:tblGrid>
      <w:tr w:rsidR="004B75EC" w:rsidRPr="00701ADE">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Type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Code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20"/>
                <w:lang w:val="en-GB"/>
              </w:rPr>
            </w:pPr>
            <w:r w:rsidRPr="00701ADE">
              <w:rPr>
                <w:color w:val="000000"/>
                <w:sz w:val="20"/>
                <w:lang w:val="en-GB"/>
              </w:rPr>
              <w:t>Indicative amount (in EUR)</w:t>
            </w:r>
          </w:p>
        </w:tc>
      </w:tr>
      <w:tr w:rsidR="004B75EC" w:rsidRPr="00701ADE">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001.Development of integration strategies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20"/>
                <w:lang w:val="en-GB"/>
              </w:rPr>
            </w:pPr>
            <w:r w:rsidRPr="00701ADE">
              <w:rPr>
                <w:color w:val="000000"/>
                <w:sz w:val="20"/>
                <w:lang w:val="en-GB"/>
              </w:rPr>
              <w:t>2,000,000.00</w:t>
            </w:r>
          </w:p>
        </w:tc>
      </w:tr>
      <w:tr w:rsidR="004B75EC" w:rsidRPr="00701ADE">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002.Victims of trafficking in human beings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20"/>
                <w:lang w:val="en-GB"/>
              </w:rPr>
            </w:pPr>
            <w:r w:rsidRPr="00701ADE">
              <w:rPr>
                <w:color w:val="000000"/>
                <w:sz w:val="20"/>
                <w:lang w:val="en-GB"/>
              </w:rPr>
              <w:t>500,000.00</w:t>
            </w:r>
          </w:p>
        </w:tc>
      </w:tr>
      <w:tr w:rsidR="004B75EC" w:rsidRPr="00701ADE">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003.Integration measures – information and orientation, one-stop shops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20"/>
                <w:lang w:val="en-GB"/>
              </w:rPr>
            </w:pPr>
            <w:r w:rsidRPr="00701ADE">
              <w:rPr>
                <w:color w:val="000000"/>
                <w:sz w:val="20"/>
                <w:lang w:val="en-GB"/>
              </w:rPr>
              <w:t>80,592,268.57</w:t>
            </w:r>
          </w:p>
        </w:tc>
      </w:tr>
      <w:tr w:rsidR="004B75EC" w:rsidRPr="00701ADE">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004.Integration measures – language training</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20"/>
                <w:lang w:val="en-GB"/>
              </w:rPr>
            </w:pPr>
            <w:r w:rsidRPr="00701ADE">
              <w:rPr>
                <w:color w:val="000000"/>
                <w:sz w:val="20"/>
                <w:lang w:val="en-GB"/>
              </w:rPr>
              <w:t>12,000,000.00</w:t>
            </w:r>
          </w:p>
        </w:tc>
      </w:tr>
      <w:tr w:rsidR="004B75EC" w:rsidRPr="00701ADE">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005.Integration measures – civics and other training</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20"/>
                <w:lang w:val="en-GB"/>
              </w:rPr>
            </w:pPr>
            <w:r w:rsidRPr="00701ADE">
              <w:rPr>
                <w:color w:val="000000"/>
                <w:sz w:val="20"/>
                <w:lang w:val="en-GB"/>
              </w:rPr>
              <w:t>4,000,000.00</w:t>
            </w:r>
          </w:p>
        </w:tc>
      </w:tr>
      <w:tr w:rsidR="004B75EC" w:rsidRPr="00701ADE">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006.Integration measures – introduction, participation, exchanges host society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20"/>
                <w:lang w:val="en-GB"/>
              </w:rPr>
            </w:pPr>
            <w:r w:rsidRPr="00701ADE">
              <w:rPr>
                <w:color w:val="000000"/>
                <w:sz w:val="20"/>
                <w:lang w:val="en-GB"/>
              </w:rPr>
              <w:t>4,000,000.00</w:t>
            </w:r>
          </w:p>
        </w:tc>
      </w:tr>
      <w:tr w:rsidR="004B75EC" w:rsidRPr="00701ADE">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007.Integration measures – basic needs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20"/>
                <w:lang w:val="en-GB"/>
              </w:rPr>
            </w:pPr>
            <w:r w:rsidRPr="00701ADE">
              <w:rPr>
                <w:color w:val="000000"/>
                <w:sz w:val="20"/>
                <w:lang w:val="en-GB"/>
              </w:rPr>
              <w:t>2,000,000.00</w:t>
            </w:r>
          </w:p>
        </w:tc>
      </w:tr>
      <w:tr w:rsidR="004B75EC" w:rsidRPr="00701ADE">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008.Pre-departure measures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20"/>
                <w:lang w:val="en-GB"/>
              </w:rPr>
            </w:pPr>
            <w:r w:rsidRPr="00701ADE">
              <w:rPr>
                <w:color w:val="000000"/>
                <w:sz w:val="20"/>
                <w:lang w:val="en-GB"/>
              </w:rPr>
              <w:t>500,000.00</w:t>
            </w:r>
          </w:p>
        </w:tc>
      </w:tr>
      <w:tr w:rsidR="004B75EC" w:rsidRPr="00701ADE">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009.Mobility schemes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20"/>
                <w:lang w:val="en-GB"/>
              </w:rPr>
            </w:pPr>
            <w:r w:rsidRPr="00701ADE">
              <w:rPr>
                <w:color w:val="000000"/>
                <w:sz w:val="20"/>
                <w:lang w:val="en-GB"/>
              </w:rPr>
              <w:t>0.00</w:t>
            </w:r>
          </w:p>
        </w:tc>
      </w:tr>
      <w:tr w:rsidR="004B75EC" w:rsidRPr="00701ADE">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010.Acquisition of legal residence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20"/>
                <w:lang w:val="en-GB"/>
              </w:rPr>
            </w:pPr>
            <w:r w:rsidRPr="00701ADE">
              <w:rPr>
                <w:color w:val="000000"/>
                <w:sz w:val="20"/>
                <w:lang w:val="en-GB"/>
              </w:rPr>
              <w:t>26,000,000.00</w:t>
            </w:r>
          </w:p>
        </w:tc>
      </w:tr>
      <w:tr w:rsidR="004B75EC" w:rsidRPr="00701ADE">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011.Vulnerable persons, including unaccompanied minors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20"/>
                <w:lang w:val="en-GB"/>
              </w:rPr>
            </w:pPr>
            <w:r w:rsidRPr="00701ADE">
              <w:rPr>
                <w:color w:val="000000"/>
                <w:sz w:val="20"/>
                <w:lang w:val="en-GB"/>
              </w:rPr>
              <w:t>3,112,000.00</w:t>
            </w:r>
          </w:p>
        </w:tc>
      </w:tr>
      <w:tr w:rsidR="004B75EC" w:rsidRPr="00701ADE">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012.Operating support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20"/>
                <w:lang w:val="en-GB"/>
              </w:rPr>
            </w:pPr>
            <w:r w:rsidRPr="00701ADE">
              <w:rPr>
                <w:color w:val="000000"/>
                <w:sz w:val="20"/>
                <w:lang w:val="en-GB"/>
              </w:rPr>
              <w:t>6,600,000.00</w:t>
            </w:r>
          </w:p>
        </w:tc>
      </w:tr>
    </w:tbl>
    <w:p w:rsidR="00A77B3E" w:rsidRPr="00701ADE" w:rsidRDefault="00A77B3E">
      <w:pPr>
        <w:spacing w:before="100"/>
        <w:rPr>
          <w:color w:val="000000"/>
          <w:sz w:val="20"/>
          <w:lang w:val="en-GB"/>
        </w:rPr>
        <w:sectPr w:rsidR="00A77B3E" w:rsidRPr="00701ADE">
          <w:pgSz w:w="16838" w:h="11906" w:orient="landscape"/>
          <w:pgMar w:top="720" w:right="720" w:bottom="864" w:left="936" w:header="288" w:footer="72" w:gutter="0"/>
          <w:cols w:space="720"/>
          <w:noEndnote/>
          <w:docGrid w:linePitch="360"/>
        </w:sectPr>
      </w:pPr>
    </w:p>
    <w:p w:rsidR="00A77B3E" w:rsidRPr="00701ADE" w:rsidRDefault="00BB4ED7">
      <w:pPr>
        <w:pStyle w:val="Nagwek2"/>
        <w:spacing w:before="100" w:after="0"/>
        <w:rPr>
          <w:rFonts w:ascii="Times New Roman" w:hAnsi="Times New Roman" w:cs="Times New Roman"/>
          <w:b w:val="0"/>
          <w:i w:val="0"/>
          <w:color w:val="000000"/>
          <w:sz w:val="24"/>
          <w:lang w:val="en-GB"/>
        </w:rPr>
      </w:pPr>
      <w:bookmarkStart w:id="17" w:name="_Toc126925393"/>
      <w:r w:rsidRPr="00701ADE">
        <w:rPr>
          <w:rFonts w:ascii="Times New Roman" w:hAnsi="Times New Roman" w:cs="Times New Roman"/>
          <w:b w:val="0"/>
          <w:i w:val="0"/>
          <w:color w:val="000000"/>
          <w:sz w:val="24"/>
          <w:lang w:val="en-GB"/>
        </w:rPr>
        <w:t>2.1. Specific objective: 3. Return</w:t>
      </w:r>
      <w:bookmarkEnd w:id="17"/>
    </w:p>
    <w:p w:rsidR="00A77B3E" w:rsidRPr="00701ADE" w:rsidRDefault="00A77B3E">
      <w:pPr>
        <w:spacing w:before="100"/>
        <w:rPr>
          <w:color w:val="000000"/>
          <w:sz w:val="0"/>
          <w:lang w:val="en-GB"/>
        </w:rPr>
      </w:pPr>
    </w:p>
    <w:p w:rsidR="00A77B3E" w:rsidRPr="00701ADE" w:rsidRDefault="00BB4ED7">
      <w:pPr>
        <w:pStyle w:val="Nagwek3"/>
        <w:spacing w:before="100" w:after="0"/>
        <w:rPr>
          <w:rFonts w:ascii="Times New Roman" w:hAnsi="Times New Roman" w:cs="Times New Roman"/>
          <w:b w:val="0"/>
          <w:color w:val="000000"/>
          <w:sz w:val="24"/>
          <w:lang w:val="en-GB"/>
        </w:rPr>
      </w:pPr>
      <w:bookmarkStart w:id="18" w:name="_Toc126925394"/>
      <w:r w:rsidRPr="00701ADE">
        <w:rPr>
          <w:rFonts w:ascii="Times New Roman" w:hAnsi="Times New Roman" w:cs="Times New Roman"/>
          <w:b w:val="0"/>
          <w:color w:val="000000"/>
          <w:sz w:val="24"/>
          <w:lang w:val="en-GB"/>
        </w:rPr>
        <w:t>2.1.1. Description of the specific objective</w:t>
      </w:r>
      <w:bookmarkEnd w:id="18"/>
    </w:p>
    <w:p w:rsidR="00A77B3E" w:rsidRPr="00701ADE" w:rsidRDefault="00A77B3E">
      <w:pPr>
        <w:spacing w:before="100"/>
        <w:rPr>
          <w:color w:val="000000"/>
          <w:sz w:val="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4B75EC" w:rsidRPr="00701ADE">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A77B3E">
            <w:pPr>
              <w:spacing w:before="100"/>
              <w:rPr>
                <w:color w:val="000000"/>
                <w:sz w:val="0"/>
                <w:lang w:val="en-GB"/>
              </w:rPr>
            </w:pPr>
          </w:p>
          <w:p w:rsidR="00A77B3E" w:rsidRPr="00701ADE" w:rsidRDefault="00BB4ED7">
            <w:pPr>
              <w:spacing w:before="100"/>
              <w:rPr>
                <w:color w:val="000000"/>
                <w:lang w:val="en-GB"/>
              </w:rPr>
            </w:pPr>
            <w:r w:rsidRPr="00701ADE">
              <w:rPr>
                <w:color w:val="000000"/>
                <w:lang w:val="en-GB"/>
              </w:rPr>
              <w:t>Pursuant to the Foreigners Act, the Border Guard is responsible for financing of assistance in voluntary returns and for organising forced returns</w:t>
            </w:r>
          </w:p>
          <w:p w:rsidR="00A77B3E" w:rsidRPr="00701ADE" w:rsidRDefault="00BB4ED7">
            <w:pPr>
              <w:spacing w:before="100"/>
              <w:rPr>
                <w:color w:val="000000"/>
                <w:lang w:val="en-GB"/>
              </w:rPr>
            </w:pPr>
            <w:r w:rsidRPr="00701ADE">
              <w:rPr>
                <w:color w:val="000000"/>
                <w:lang w:val="en-GB"/>
              </w:rPr>
              <w:t xml:space="preserve">In 2019, the BG issued nearly 30,000 return decisions. </w:t>
            </w:r>
            <w:r w:rsidRPr="00701ADE">
              <w:rPr>
                <w:b/>
                <w:bCs/>
                <w:color w:val="000000"/>
                <w:lang w:val="en-GB"/>
              </w:rPr>
              <w:t xml:space="preserve">The number of return decisions has been rising since 2016 </w:t>
            </w:r>
            <w:r w:rsidRPr="00701ADE">
              <w:rPr>
                <w:color w:val="000000"/>
                <w:lang w:val="en-GB"/>
              </w:rPr>
              <w:t xml:space="preserve">(with a drop observed in 2020 due to the COVID-19), and the compliance rate is high and amount to more than 75% on average. Decisions with a voluntary departure date account for ca. 90%. The high rate of compliance on the part of TCNs indicates that </w:t>
            </w:r>
            <w:r w:rsidRPr="00701ADE">
              <w:rPr>
                <w:b/>
                <w:bCs/>
                <w:color w:val="000000"/>
                <w:lang w:val="en-GB"/>
              </w:rPr>
              <w:t>voluntary compliance is the primary form of returns</w:t>
            </w:r>
            <w:r w:rsidRPr="00701ADE">
              <w:rPr>
                <w:color w:val="000000"/>
                <w:lang w:val="en-GB"/>
              </w:rPr>
              <w:t xml:space="preserve">. Assistance in voluntary return, organised by the International Organization for Migration (IOM) and financed by the BG, was used by 412 TCNs in 2019 and by 180 TCNs in 2020. Returns </w:t>
            </w:r>
            <w:r w:rsidRPr="008011B1">
              <w:rPr>
                <w:color w:val="000000"/>
                <w:lang w:val="en-GB"/>
              </w:rPr>
              <w:t>effected u</w:t>
            </w:r>
            <w:r w:rsidRPr="00701ADE">
              <w:rPr>
                <w:color w:val="000000"/>
                <w:lang w:val="en-GB"/>
              </w:rPr>
              <w:t>nder the voluntary return assistance programme account for ca. 2% of all returns. Decisions without a voluntary departure date were issued to 1,020 TCNs in 2019 and 1,022 TCNs in 2020. An increase in the rate of compliance with those decisions, which are enforceable, has been recorded and amounts to more than 80% on average. 160 individuals were transferred to third countries in the simplified procedure under readmission agreements in 2019 (138 individuals in 2020).</w:t>
            </w:r>
          </w:p>
          <w:p w:rsidR="00A77B3E" w:rsidRPr="00701ADE" w:rsidRDefault="00BB4ED7">
            <w:pPr>
              <w:spacing w:before="100"/>
              <w:rPr>
                <w:color w:val="000000"/>
                <w:lang w:val="en-GB"/>
              </w:rPr>
            </w:pPr>
            <w:r w:rsidRPr="00701ADE">
              <w:rPr>
                <w:color w:val="000000"/>
                <w:lang w:val="en-GB"/>
              </w:rPr>
              <w:t xml:space="preserve">In accordance with the Foreigners Act, the BG takes also other return measures and issues decisions on the application of alternatives to placing a TCN in a guarded TCN centre. They include actions related to decisions requiring a TCN to return, organisation of forced returns to countries of origin; strengthening of the existing infrastructure used for accommodation, reception or detention of foreigners; active cooperation with </w:t>
            </w:r>
            <w:r w:rsidRPr="002C5B76">
              <w:rPr>
                <w:color w:val="000000"/>
                <w:lang w:val="en-GB"/>
              </w:rPr>
              <w:t>Third Countries</w:t>
            </w:r>
            <w:r w:rsidRPr="00701ADE">
              <w:rPr>
                <w:color w:val="000000"/>
                <w:lang w:val="en-GB"/>
              </w:rPr>
              <w:t>; development of professional competencies and qualifications of the personnel of the BG and other entities involved in countering illegal migration (e.g. the National Labour Inspectorate).</w:t>
            </w:r>
          </w:p>
          <w:p w:rsidR="00A77B3E" w:rsidRPr="00701ADE" w:rsidRDefault="00BB4ED7">
            <w:pPr>
              <w:spacing w:before="100"/>
              <w:rPr>
                <w:color w:val="000000"/>
                <w:lang w:val="en-GB"/>
              </w:rPr>
            </w:pPr>
            <w:r w:rsidRPr="00701ADE">
              <w:rPr>
                <w:color w:val="000000"/>
                <w:lang w:val="en-GB"/>
              </w:rPr>
              <w:t xml:space="preserve">Main challenges identified in this area include problems with </w:t>
            </w:r>
            <w:r w:rsidRPr="00701ADE">
              <w:rPr>
                <w:b/>
                <w:bCs/>
                <w:color w:val="000000"/>
                <w:lang w:val="en-GB"/>
              </w:rPr>
              <w:t xml:space="preserve">inadequate quality of the infrastructure for TCNs, necessity to ensure appropriate conditions for TCNs' stay at BG premises, securing essential needs, </w:t>
            </w:r>
            <w:r w:rsidRPr="00701ADE">
              <w:rPr>
                <w:color w:val="000000"/>
                <w:lang w:val="en-GB"/>
              </w:rPr>
              <w:t>i.e. medical examinations, material support,</w:t>
            </w:r>
            <w:r w:rsidRPr="00701ADE">
              <w:rPr>
                <w:b/>
                <w:bCs/>
                <w:color w:val="000000"/>
                <w:lang w:val="en-GB"/>
              </w:rPr>
              <w:t xml:space="preserve"> continuous upskilling of the BG personnel in the area of managing TCNs, </w:t>
            </w:r>
            <w:r w:rsidRPr="00701ADE">
              <w:rPr>
                <w:color w:val="000000"/>
                <w:lang w:val="en-GB"/>
              </w:rPr>
              <w:t>particularly TCNs from vulnerble groups,</w:t>
            </w:r>
            <w:r w:rsidRPr="00701ADE">
              <w:rPr>
                <w:b/>
                <w:bCs/>
                <w:color w:val="000000"/>
                <w:lang w:val="en-GB"/>
              </w:rPr>
              <w:t xml:space="preserve"> streamlining administrative procedures leading to organisation of returns, developing </w:t>
            </w:r>
            <w:r w:rsidRPr="008011B1">
              <w:rPr>
                <w:b/>
                <w:bCs/>
                <w:color w:val="000000"/>
                <w:lang w:val="en-GB"/>
              </w:rPr>
              <w:t>and furthering cooperation as well as exchange of operating information between the Border Guard and Third Country migration services and diplomatic missions</w:t>
            </w:r>
            <w:r w:rsidRPr="008011B1">
              <w:rPr>
                <w:color w:val="000000"/>
                <w:lang w:val="en-GB"/>
              </w:rPr>
              <w:t>.</w:t>
            </w:r>
          </w:p>
          <w:p w:rsidR="00A77B3E" w:rsidRPr="00701ADE" w:rsidRDefault="00BB4ED7">
            <w:pPr>
              <w:spacing w:before="100"/>
              <w:rPr>
                <w:color w:val="000000"/>
                <w:lang w:val="en-GB"/>
              </w:rPr>
            </w:pPr>
            <w:r w:rsidRPr="00701ADE">
              <w:rPr>
                <w:color w:val="000000"/>
                <w:lang w:val="en-GB"/>
              </w:rPr>
              <w:t xml:space="preserve">As regards voluntary returns, it is essential to ensure </w:t>
            </w:r>
            <w:r w:rsidRPr="00701ADE">
              <w:rPr>
                <w:b/>
                <w:bCs/>
                <w:color w:val="000000"/>
                <w:lang w:val="en-GB"/>
              </w:rPr>
              <w:t xml:space="preserve">reintegration guidance and assistance </w:t>
            </w:r>
            <w:r w:rsidRPr="00701ADE">
              <w:rPr>
                <w:color w:val="000000"/>
                <w:lang w:val="en-GB"/>
              </w:rPr>
              <w:t>for TCNs. The BG can organise voluntary returns in cooperation with an entity whose statutory duties include the organisation of voluntary returns. An agreement on cooperation in the area of voluntary returns was signed in 2005 between the Ministry of the Interior and Administration and the IOM. It is now the basis for effecting voluntary returns in Poland.</w:t>
            </w:r>
          </w:p>
          <w:p w:rsidR="00A77B3E" w:rsidRPr="00701ADE" w:rsidRDefault="00A77B3E">
            <w:pPr>
              <w:spacing w:before="100"/>
              <w:rPr>
                <w:color w:val="000000"/>
                <w:lang w:val="en-GB"/>
              </w:rPr>
            </w:pPr>
          </w:p>
          <w:p w:rsidR="00A77B3E" w:rsidRPr="00701ADE" w:rsidRDefault="00BB4ED7">
            <w:pPr>
              <w:spacing w:before="100"/>
              <w:rPr>
                <w:color w:val="000000"/>
                <w:lang w:val="en-GB"/>
              </w:rPr>
            </w:pPr>
            <w:r w:rsidRPr="00701ADE">
              <w:rPr>
                <w:color w:val="000000"/>
                <w:lang w:val="en-GB"/>
              </w:rPr>
              <w:t xml:space="preserve">In relation to the increased effectiveness of readmission agreements and bilateral arrangements in the context of the work on the pact on migration and asylum with AMIF funding, Poland plans to support this objective, particularly through furthering </w:t>
            </w:r>
            <w:r w:rsidRPr="00701ADE">
              <w:rPr>
                <w:b/>
                <w:bCs/>
                <w:color w:val="000000"/>
                <w:lang w:val="en-GB"/>
              </w:rPr>
              <w:t xml:space="preserve">cooperation with third countries </w:t>
            </w:r>
            <w:r w:rsidRPr="00701ADE">
              <w:rPr>
                <w:color w:val="000000"/>
                <w:lang w:val="en-GB"/>
              </w:rPr>
              <w:t>in preventing irregular migration and enabling sustainable returns, including through building their capacities regarding readmission of their own citizens. The new pact on migration and asylum puts a stronger emphasis on furthering cooperation between Member States in implementing returns, including as part of solidarity measures, which could be developed with the AMIF support. To achieve this objective, Poland intends to cover 4,081 persons with the return procedure (R.3.7). Furthermore, the border return procedure proposed in the pact now under negotiations will require ensuring adequate infrastructure for the purpose of detaining or using alternatives to detention with respect to TCNs who were refused international protection on the border and who were required to return. To this end, 30 places will be created at detention centres (O.3.4) and 384 places will be renovated (O.3.5).</w:t>
            </w:r>
          </w:p>
          <w:p w:rsidR="00A77B3E" w:rsidRPr="00701ADE" w:rsidRDefault="00BB4ED7">
            <w:pPr>
              <w:spacing w:before="100"/>
              <w:rPr>
                <w:color w:val="000000"/>
                <w:lang w:val="en-GB"/>
              </w:rPr>
            </w:pPr>
            <w:r w:rsidRPr="00701ADE">
              <w:rPr>
                <w:color w:val="000000"/>
                <w:lang w:val="en-GB"/>
              </w:rPr>
              <w:t>In response to the challenges identified in the area of returns, a number of actions will be taken to ensure provision of a wide range of assistance services adequate to the status of TCNs, such as providing returnees with free-of-charge legal assistance; strengthening the return monitoring system by independent NGOs; upgrading skills and qualifications of the personnel of migration services (6,000 persons will participate in training (O.3.1)); strengthening the return and reintegration system with a priority given to voluntary returns (1,325 persons will receive reintegration assistance – O.3.3, R.3.6); developing appropriate method of identification of vulnerable groups and providing the necessary support to them; conducting studies, analyses and providing expert opinions within the area covered by the fund's support; strengthening cooperation and mutual support between Member States in the area of effective returns and readmission, including as part of solidarity measures; developing support of returns from third countries; strengthening cooperation with third countries in prevention of irregular migration.</w:t>
            </w:r>
          </w:p>
          <w:p w:rsidR="00A77B3E" w:rsidRPr="00701ADE" w:rsidRDefault="00BB4ED7">
            <w:pPr>
              <w:spacing w:before="100"/>
              <w:rPr>
                <w:color w:val="000000"/>
                <w:lang w:val="en-GB"/>
              </w:rPr>
            </w:pPr>
            <w:r w:rsidRPr="00701ADE">
              <w:rPr>
                <w:color w:val="000000"/>
                <w:lang w:val="en-GB"/>
              </w:rPr>
              <w:t xml:space="preserve">The scale and detectability of illegal migration and illegal employment are rising due to the growing influx of TCNs. In response to this phenomenon, the BG plans to create a network of </w:t>
            </w:r>
            <w:r w:rsidRPr="00701ADE">
              <w:rPr>
                <w:b/>
                <w:bCs/>
                <w:color w:val="000000"/>
                <w:lang w:val="en-GB"/>
              </w:rPr>
              <w:t xml:space="preserve">posts in urban areas </w:t>
            </w:r>
            <w:r w:rsidRPr="00701ADE">
              <w:rPr>
                <w:color w:val="000000"/>
                <w:lang w:val="en-GB"/>
              </w:rPr>
              <w:t xml:space="preserve">(mainly large cities) which will conduct </w:t>
            </w:r>
            <w:r w:rsidRPr="00701ADE">
              <w:rPr>
                <w:b/>
                <w:bCs/>
                <w:color w:val="000000"/>
                <w:lang w:val="en-GB"/>
              </w:rPr>
              <w:t xml:space="preserve">tasks relating solely to identifying, preventing and fighting illegal migration within the country's borders, excluding tasks involving border traffic control. </w:t>
            </w:r>
            <w:r w:rsidRPr="00701ADE">
              <w:rPr>
                <w:color w:val="000000"/>
                <w:lang w:val="en-GB"/>
              </w:rPr>
              <w:t xml:space="preserve">Actions taken in this area will be aimed at </w:t>
            </w:r>
            <w:r w:rsidRPr="00701ADE">
              <w:rPr>
                <w:b/>
                <w:bCs/>
                <w:color w:val="000000"/>
                <w:lang w:val="en-GB"/>
              </w:rPr>
              <w:t>identification and prevention of incentives for illegal migration and illegal employment of TCNs</w:t>
            </w:r>
            <w:r w:rsidRPr="00701ADE">
              <w:rPr>
                <w:color w:val="000000"/>
                <w:lang w:val="en-GB"/>
              </w:rPr>
              <w:t>.</w:t>
            </w:r>
          </w:p>
          <w:p w:rsidR="00A77B3E" w:rsidRPr="00701ADE" w:rsidRDefault="00A77B3E">
            <w:pPr>
              <w:spacing w:before="100"/>
              <w:rPr>
                <w:color w:val="000000"/>
                <w:lang w:val="en-GB"/>
              </w:rPr>
            </w:pPr>
          </w:p>
          <w:p w:rsidR="00A77B3E" w:rsidRPr="00701ADE" w:rsidRDefault="00BB4ED7">
            <w:pPr>
              <w:spacing w:before="100"/>
              <w:rPr>
                <w:color w:val="000000"/>
                <w:lang w:val="en-GB"/>
              </w:rPr>
            </w:pPr>
            <w:r w:rsidRPr="00701ADE">
              <w:rPr>
                <w:color w:val="000000"/>
                <w:lang w:val="en-GB"/>
              </w:rPr>
              <w:t>Furthermore, the BG performs tasks relating to identification and prevention of incentives for illegal migration and illegal employment of TCNs.</w:t>
            </w:r>
          </w:p>
          <w:p w:rsidR="00A77B3E" w:rsidRPr="00701ADE" w:rsidRDefault="00A77B3E">
            <w:pPr>
              <w:spacing w:before="100"/>
              <w:rPr>
                <w:color w:val="000000"/>
                <w:lang w:val="en-GB"/>
              </w:rPr>
            </w:pPr>
          </w:p>
          <w:p w:rsidR="00A77B3E" w:rsidRPr="00701ADE" w:rsidRDefault="00BB4ED7">
            <w:pPr>
              <w:spacing w:before="100"/>
              <w:rPr>
                <w:color w:val="000000"/>
                <w:lang w:val="en-GB"/>
              </w:rPr>
            </w:pPr>
            <w:r w:rsidRPr="00701ADE">
              <w:rPr>
                <w:b/>
                <w:bCs/>
                <w:color w:val="000000"/>
                <w:lang w:val="en-GB"/>
              </w:rPr>
              <w:t>Contribution to the prevention of irregular migration as well as promotion and contribution to effective initial reintegration in third countries under the AMIF have been planned as a series of actions taking into account implement</w:t>
            </w:r>
            <w:r w:rsidR="006A3529">
              <w:rPr>
                <w:b/>
                <w:bCs/>
                <w:color w:val="000000"/>
                <w:lang w:val="en-GB"/>
              </w:rPr>
              <w:t>ation</w:t>
            </w:r>
            <w:r w:rsidRPr="00701ADE">
              <w:rPr>
                <w:b/>
                <w:bCs/>
                <w:color w:val="000000"/>
                <w:lang w:val="en-GB"/>
              </w:rPr>
              <w:t xml:space="preserve"> measures a), b), c) and d).</w:t>
            </w:r>
          </w:p>
          <w:p w:rsidR="00A77B3E" w:rsidRPr="00701ADE" w:rsidRDefault="00A77B3E">
            <w:pPr>
              <w:spacing w:before="100"/>
              <w:rPr>
                <w:color w:val="000000"/>
                <w:lang w:val="en-GB"/>
              </w:rPr>
            </w:pPr>
          </w:p>
          <w:p w:rsidR="00A77B3E" w:rsidRPr="00701ADE" w:rsidRDefault="00BB4ED7">
            <w:pPr>
              <w:spacing w:before="100"/>
              <w:rPr>
                <w:color w:val="000000"/>
                <w:lang w:val="en-GB"/>
              </w:rPr>
            </w:pPr>
            <w:r w:rsidRPr="00701ADE">
              <w:rPr>
                <w:b/>
                <w:bCs/>
                <w:color w:val="000000"/>
                <w:u w:val="single"/>
                <w:lang w:val="en-GB"/>
              </w:rPr>
              <w:t>To avoid overlapping and aim at identifying synergies, cooperation with Frontex will be ensured.</w:t>
            </w:r>
          </w:p>
          <w:p w:rsidR="00A77B3E" w:rsidRPr="00701ADE" w:rsidRDefault="00A77B3E">
            <w:pPr>
              <w:spacing w:before="100"/>
              <w:rPr>
                <w:color w:val="000000"/>
                <w:lang w:val="en-GB"/>
              </w:rPr>
            </w:pPr>
          </w:p>
          <w:p w:rsidR="00A77B3E" w:rsidRPr="00701ADE" w:rsidRDefault="00BB4ED7">
            <w:pPr>
              <w:spacing w:before="100"/>
              <w:rPr>
                <w:color w:val="000000"/>
                <w:lang w:val="en-GB"/>
              </w:rPr>
            </w:pPr>
            <w:r w:rsidRPr="00701ADE">
              <w:rPr>
                <w:color w:val="000000"/>
                <w:lang w:val="en-GB"/>
              </w:rPr>
              <w:t xml:space="preserve">The following has been planned as part of </w:t>
            </w:r>
            <w:r w:rsidRPr="00701ADE">
              <w:rPr>
                <w:b/>
                <w:bCs/>
                <w:color w:val="000000"/>
                <w:u w:val="single"/>
                <w:lang w:val="en-GB"/>
              </w:rPr>
              <w:t>implement</w:t>
            </w:r>
            <w:r w:rsidR="006A3529">
              <w:rPr>
                <w:b/>
                <w:bCs/>
                <w:color w:val="000000"/>
                <w:u w:val="single"/>
                <w:lang w:val="en-GB"/>
              </w:rPr>
              <w:t>ation</w:t>
            </w:r>
            <w:r w:rsidRPr="00701ADE">
              <w:rPr>
                <w:b/>
                <w:bCs/>
                <w:color w:val="000000"/>
                <w:u w:val="single"/>
                <w:lang w:val="en-GB"/>
              </w:rPr>
              <w:t xml:space="preserve"> measure a):</w:t>
            </w:r>
          </w:p>
          <w:p w:rsidR="00A77B3E" w:rsidRPr="00701ADE" w:rsidRDefault="00BB4ED7">
            <w:pPr>
              <w:numPr>
                <w:ilvl w:val="0"/>
                <w:numId w:val="12"/>
              </w:numPr>
              <w:spacing w:before="100"/>
              <w:rPr>
                <w:color w:val="000000"/>
                <w:lang w:val="en-GB"/>
              </w:rPr>
            </w:pPr>
            <w:r w:rsidRPr="00701ADE">
              <w:rPr>
                <w:b/>
                <w:bCs/>
                <w:color w:val="000000"/>
                <w:lang w:val="en-GB"/>
              </w:rPr>
              <w:t>renovation and construction works</w:t>
            </w:r>
            <w:r w:rsidRPr="00701ADE">
              <w:rPr>
                <w:color w:val="000000"/>
                <w:lang w:val="en-GB"/>
              </w:rPr>
              <w:t>, i.e. expanding and upgrading the existing infrastructure used for accommodating TCNs at BG centres, as well as services and conditions of accommodation, reception or detention of third-country nationals; (scope of support – Annex III, point 4(a)), indicator O.3.2</w:t>
            </w:r>
          </w:p>
          <w:p w:rsidR="00A77B3E" w:rsidRPr="00701ADE" w:rsidRDefault="00BB4ED7">
            <w:pPr>
              <w:numPr>
                <w:ilvl w:val="0"/>
                <w:numId w:val="12"/>
              </w:numPr>
              <w:spacing w:before="100"/>
              <w:rPr>
                <w:color w:val="000000"/>
                <w:lang w:val="en-GB"/>
              </w:rPr>
            </w:pPr>
            <w:r w:rsidRPr="00701ADE">
              <w:rPr>
                <w:b/>
                <w:bCs/>
                <w:color w:val="000000"/>
                <w:lang w:val="en-GB"/>
              </w:rPr>
              <w:t xml:space="preserve">improvement of conditions </w:t>
            </w:r>
            <w:r w:rsidRPr="00701ADE">
              <w:rPr>
                <w:color w:val="000000"/>
                <w:lang w:val="en-GB"/>
              </w:rPr>
              <w:t>through maintenance, retrofitting and upgrading the standard of the existing infrastructure used for accommodation, reception or detention in accordance with the recommendations of the European Committee for the Prevention of Torture and Inhuman or Degrading Treatment and Punishment - depending on the availability of means and resources (scope of support – Annex III, point 4(a)), indicators O.3.4 and O.3.5</w:t>
            </w:r>
          </w:p>
          <w:p w:rsidR="00A77B3E" w:rsidRPr="00701ADE" w:rsidRDefault="00BB4ED7">
            <w:pPr>
              <w:numPr>
                <w:ilvl w:val="0"/>
                <w:numId w:val="12"/>
              </w:numPr>
              <w:spacing w:before="100"/>
              <w:rPr>
                <w:color w:val="000000"/>
                <w:lang w:val="en-GB"/>
              </w:rPr>
            </w:pPr>
            <w:r w:rsidRPr="00701ADE">
              <w:rPr>
                <w:b/>
                <w:bCs/>
                <w:color w:val="000000"/>
                <w:lang w:val="en-GB"/>
              </w:rPr>
              <w:t xml:space="preserve">providing TCNs with procedural assistance, guidance regarding returns as well as information and guidance during completion of administrative formalities, particularly to vulnerable persons; </w:t>
            </w:r>
            <w:r w:rsidRPr="00701ADE">
              <w:rPr>
                <w:color w:val="000000"/>
                <w:lang w:val="en-GB"/>
              </w:rPr>
              <w:t>(scope of support – Annex III, point 4(e))</w:t>
            </w:r>
          </w:p>
          <w:p w:rsidR="00A77B3E" w:rsidRPr="00701ADE" w:rsidRDefault="00BB4ED7">
            <w:pPr>
              <w:numPr>
                <w:ilvl w:val="0"/>
                <w:numId w:val="12"/>
              </w:numPr>
              <w:spacing w:before="100"/>
              <w:rPr>
                <w:color w:val="000000"/>
                <w:lang w:val="en-GB"/>
              </w:rPr>
            </w:pPr>
            <w:r w:rsidRPr="00701ADE">
              <w:rPr>
                <w:b/>
                <w:bCs/>
                <w:color w:val="000000"/>
                <w:lang w:val="en-GB"/>
              </w:rPr>
              <w:t xml:space="preserve">providing TCNs with medical, psychological, </w:t>
            </w:r>
            <w:r w:rsidRPr="008011B1">
              <w:rPr>
                <w:b/>
                <w:bCs/>
                <w:color w:val="000000"/>
                <w:lang w:val="en-GB"/>
              </w:rPr>
              <w:t>legal and linguistic care</w:t>
            </w:r>
            <w:r w:rsidRPr="00701ADE">
              <w:rPr>
                <w:b/>
                <w:bCs/>
                <w:color w:val="000000"/>
                <w:lang w:val="en-GB"/>
              </w:rPr>
              <w:t xml:space="preserve">, necessary material support and social assistance, particularly to vulnerable persons, </w:t>
            </w:r>
            <w:r w:rsidRPr="00701ADE">
              <w:rPr>
                <w:color w:val="000000"/>
                <w:lang w:val="en-GB"/>
              </w:rPr>
              <w:t>in accordance with the requirements laid down in the Return Directive; (scope of support – Annex III, point 4(e))</w:t>
            </w:r>
          </w:p>
          <w:p w:rsidR="00A77B3E" w:rsidRPr="00701ADE" w:rsidRDefault="00BB4ED7">
            <w:pPr>
              <w:numPr>
                <w:ilvl w:val="0"/>
                <w:numId w:val="12"/>
              </w:numPr>
              <w:spacing w:before="100"/>
              <w:rPr>
                <w:color w:val="000000"/>
                <w:lang w:val="en-GB"/>
              </w:rPr>
            </w:pPr>
            <w:r w:rsidRPr="00701ADE">
              <w:rPr>
                <w:b/>
                <w:bCs/>
                <w:color w:val="000000"/>
                <w:lang w:val="en-GB"/>
              </w:rPr>
              <w:t xml:space="preserve">identification of vulnerable groups, </w:t>
            </w:r>
            <w:r w:rsidRPr="00701ADE">
              <w:rPr>
                <w:color w:val="000000"/>
                <w:lang w:val="en-GB"/>
              </w:rPr>
              <w:t xml:space="preserve">development and provision of </w:t>
            </w:r>
            <w:r w:rsidRPr="00701ADE">
              <w:rPr>
                <w:b/>
                <w:bCs/>
                <w:color w:val="000000"/>
                <w:lang w:val="en-GB"/>
              </w:rPr>
              <w:t>adequate assistance</w:t>
            </w:r>
            <w:r w:rsidRPr="00701ADE">
              <w:rPr>
                <w:color w:val="000000"/>
                <w:lang w:val="en-GB"/>
              </w:rPr>
              <w:t>; (scope of support – Annex III, point 4(e), (f))</w:t>
            </w:r>
          </w:p>
          <w:p w:rsidR="00A77B3E" w:rsidRPr="00701ADE" w:rsidRDefault="00BB4ED7">
            <w:pPr>
              <w:numPr>
                <w:ilvl w:val="0"/>
                <w:numId w:val="12"/>
              </w:numPr>
              <w:spacing w:before="100"/>
              <w:rPr>
                <w:color w:val="000000"/>
                <w:lang w:val="en-GB"/>
              </w:rPr>
            </w:pPr>
            <w:r w:rsidRPr="00701ADE">
              <w:rPr>
                <w:b/>
                <w:bCs/>
                <w:color w:val="000000"/>
                <w:lang w:val="en-GB"/>
              </w:rPr>
              <w:t>conduct of return operations</w:t>
            </w:r>
            <w:r w:rsidRPr="00701ADE">
              <w:rPr>
                <w:color w:val="000000"/>
                <w:lang w:val="en-GB"/>
              </w:rPr>
              <w:t>, voluntary and forced, including readmissions, by air and by land; (scope of support – Annex III, point 4(h)), indicators O.3.3, R.3.6 and R.3.7</w:t>
            </w:r>
          </w:p>
          <w:p w:rsidR="00A77B3E" w:rsidRPr="00701ADE" w:rsidRDefault="00BB4ED7">
            <w:pPr>
              <w:numPr>
                <w:ilvl w:val="0"/>
                <w:numId w:val="12"/>
              </w:numPr>
              <w:spacing w:before="100"/>
              <w:rPr>
                <w:color w:val="000000"/>
                <w:lang w:val="en-GB"/>
              </w:rPr>
            </w:pPr>
            <w:r w:rsidRPr="00701ADE">
              <w:rPr>
                <w:b/>
                <w:bCs/>
                <w:color w:val="000000"/>
                <w:lang w:val="en-GB"/>
              </w:rPr>
              <w:t xml:space="preserve">monitoring </w:t>
            </w:r>
            <w:r w:rsidRPr="00701ADE">
              <w:rPr>
                <w:color w:val="000000"/>
                <w:lang w:val="en-GB"/>
              </w:rPr>
              <w:t>of forced returns by independent non-governmental organisations whose statutes include tasks oriented to respect human rights; (scope of support – Annex III, point 4(c))</w:t>
            </w:r>
          </w:p>
          <w:p w:rsidR="00A77B3E" w:rsidRPr="00701ADE" w:rsidRDefault="00BB4ED7">
            <w:pPr>
              <w:numPr>
                <w:ilvl w:val="0"/>
                <w:numId w:val="12"/>
              </w:numPr>
              <w:spacing w:before="100"/>
              <w:rPr>
                <w:color w:val="000000"/>
                <w:lang w:val="en-GB"/>
              </w:rPr>
            </w:pPr>
            <w:r w:rsidRPr="00701ADE">
              <w:rPr>
                <w:b/>
                <w:bCs/>
                <w:color w:val="000000"/>
                <w:lang w:val="en-GB"/>
              </w:rPr>
              <w:t>implementation of the Schengen</w:t>
            </w:r>
            <w:r w:rsidRPr="00701ADE">
              <w:rPr>
                <w:color w:val="000000"/>
                <w:lang w:val="en-GB"/>
              </w:rPr>
              <w:t xml:space="preserve"> </w:t>
            </w:r>
            <w:r w:rsidRPr="00701ADE">
              <w:rPr>
                <w:b/>
                <w:bCs/>
                <w:color w:val="000000"/>
                <w:lang w:val="en-GB"/>
              </w:rPr>
              <w:t xml:space="preserve">evaluation recommendation </w:t>
            </w:r>
            <w:r w:rsidRPr="00701ADE">
              <w:rPr>
                <w:color w:val="000000"/>
                <w:lang w:val="en-GB"/>
              </w:rPr>
              <w:t>(an any future Schengen evaluation recommendations regarding returns) (scope of support – Annex III, point 4(a)-(m))</w:t>
            </w:r>
          </w:p>
          <w:p w:rsidR="00A77B3E" w:rsidRPr="00701ADE" w:rsidRDefault="00A77B3E">
            <w:pPr>
              <w:spacing w:before="100"/>
              <w:rPr>
                <w:color w:val="000000"/>
                <w:lang w:val="en-GB"/>
              </w:rPr>
            </w:pPr>
          </w:p>
          <w:p w:rsidR="00A77B3E" w:rsidRPr="00701ADE" w:rsidRDefault="00BB4ED7">
            <w:pPr>
              <w:spacing w:before="100"/>
              <w:rPr>
                <w:color w:val="000000"/>
                <w:lang w:val="en-GB"/>
              </w:rPr>
            </w:pPr>
            <w:r w:rsidRPr="00701ADE">
              <w:rPr>
                <w:color w:val="000000"/>
                <w:lang w:val="en-GB"/>
              </w:rPr>
              <w:t xml:space="preserve">The following has been planned as part of </w:t>
            </w:r>
            <w:r w:rsidRPr="00701ADE">
              <w:rPr>
                <w:b/>
                <w:bCs/>
                <w:color w:val="000000"/>
                <w:u w:val="single"/>
                <w:lang w:val="en-GB"/>
              </w:rPr>
              <w:t>implement</w:t>
            </w:r>
            <w:r w:rsidR="006A3529">
              <w:rPr>
                <w:b/>
                <w:bCs/>
                <w:color w:val="000000"/>
                <w:u w:val="single"/>
                <w:lang w:val="en-GB"/>
              </w:rPr>
              <w:t>ation</w:t>
            </w:r>
            <w:r w:rsidRPr="00701ADE">
              <w:rPr>
                <w:b/>
                <w:bCs/>
                <w:color w:val="000000"/>
                <w:u w:val="single"/>
                <w:lang w:val="en-GB"/>
              </w:rPr>
              <w:t xml:space="preserve"> measure b):</w:t>
            </w:r>
          </w:p>
          <w:p w:rsidR="00A77B3E" w:rsidRPr="00701ADE" w:rsidRDefault="00BB4ED7">
            <w:pPr>
              <w:numPr>
                <w:ilvl w:val="0"/>
                <w:numId w:val="13"/>
              </w:numPr>
              <w:spacing w:before="100"/>
              <w:rPr>
                <w:color w:val="000000"/>
                <w:lang w:val="en-GB"/>
              </w:rPr>
            </w:pPr>
            <w:r w:rsidRPr="00701ADE">
              <w:rPr>
                <w:b/>
                <w:bCs/>
                <w:color w:val="000000"/>
                <w:lang w:val="en-GB"/>
              </w:rPr>
              <w:t xml:space="preserve">training of the personnel </w:t>
            </w:r>
            <w:r w:rsidRPr="00701ADE">
              <w:rPr>
                <w:color w:val="000000"/>
                <w:lang w:val="en-GB"/>
              </w:rPr>
              <w:t>in efficient and effective return operations, management and implementation of the procedures (</w:t>
            </w:r>
            <w:r w:rsidRPr="00701ADE">
              <w:rPr>
                <w:i/>
                <w:iCs/>
                <w:color w:val="000000"/>
                <w:lang w:val="en-GB"/>
              </w:rPr>
              <w:t xml:space="preserve">inter alia </w:t>
            </w:r>
            <w:r w:rsidRPr="00701ADE">
              <w:rPr>
                <w:color w:val="000000"/>
                <w:lang w:val="en-GB"/>
              </w:rPr>
              <w:t>language and specialist training, including thematic training: intercultural communication, anti-discrimination, sensitivity to the needs of vulnerable groups), as well as training in verification and controlling actions taken in the course of inspections of the legality of stay and employment of TCNs in Poland; (scope of support – Annex III, point 4(a), (d)), indicator O.3.1</w:t>
            </w:r>
          </w:p>
          <w:p w:rsidR="00A77B3E" w:rsidRPr="00701ADE" w:rsidRDefault="00BB4ED7">
            <w:pPr>
              <w:numPr>
                <w:ilvl w:val="0"/>
                <w:numId w:val="13"/>
              </w:numPr>
              <w:spacing w:before="100"/>
              <w:rPr>
                <w:color w:val="000000"/>
                <w:lang w:val="en-GB"/>
              </w:rPr>
            </w:pPr>
            <w:r w:rsidRPr="00701ADE">
              <w:rPr>
                <w:b/>
                <w:bCs/>
                <w:color w:val="000000"/>
                <w:lang w:val="en-GB"/>
              </w:rPr>
              <w:t xml:space="preserve">building the capacities of the BG in key urban agglomerations </w:t>
            </w:r>
            <w:r w:rsidRPr="00701ADE">
              <w:rPr>
                <w:color w:val="000000"/>
                <w:lang w:val="en-GB"/>
              </w:rPr>
              <w:t>through establishing (modernising/adapting) and equipping agglomeration facilities. Offering more anonymity, urban agglomerations create incentives for TCNs to stay illegally and to commit other abuses relating to illegal stay and employment. Constructing agglomeration facilities will provide for more effective addressing of the pull factor for illegal migration created by the possibility of obtaining work in the EU and for organisation of forced returns remaining within the BG remit (scope of support – Annex III, point 4(d), (l)). This action is compliant with Directive 2009/52/EC.</w:t>
            </w:r>
          </w:p>
          <w:p w:rsidR="00A77B3E" w:rsidRPr="00701ADE" w:rsidRDefault="00BB4ED7">
            <w:pPr>
              <w:numPr>
                <w:ilvl w:val="0"/>
                <w:numId w:val="13"/>
              </w:numPr>
              <w:spacing w:before="100"/>
              <w:rPr>
                <w:color w:val="000000"/>
                <w:lang w:val="en-GB"/>
              </w:rPr>
            </w:pPr>
            <w:r w:rsidRPr="00701ADE">
              <w:rPr>
                <w:b/>
                <w:bCs/>
                <w:color w:val="000000"/>
                <w:lang w:val="en-GB"/>
              </w:rPr>
              <w:t xml:space="preserve">expanding and upgrading the BG's training facilities </w:t>
            </w:r>
            <w:r w:rsidRPr="00701ADE">
              <w:rPr>
                <w:color w:val="000000"/>
                <w:lang w:val="en-GB"/>
              </w:rPr>
              <w:t>designed to develop professional competencies and qualifications of BG officers and representatives of other services from Members States and Third Countries; (scope of support – Annex III, point 4(a), (k)</w:t>
            </w:r>
          </w:p>
          <w:p w:rsidR="00A77B3E" w:rsidRPr="00701ADE" w:rsidRDefault="00BB4ED7">
            <w:pPr>
              <w:numPr>
                <w:ilvl w:val="0"/>
                <w:numId w:val="13"/>
              </w:numPr>
              <w:spacing w:before="100"/>
              <w:rPr>
                <w:color w:val="000000"/>
                <w:lang w:val="en-GB"/>
              </w:rPr>
            </w:pPr>
            <w:r w:rsidRPr="00701ADE">
              <w:rPr>
                <w:b/>
                <w:bCs/>
                <w:color w:val="000000"/>
                <w:lang w:val="en-GB"/>
              </w:rPr>
              <w:t xml:space="preserve">building the analytical capacities of the State authorities </w:t>
            </w:r>
            <w:r w:rsidRPr="00701ADE">
              <w:rPr>
                <w:color w:val="000000"/>
                <w:lang w:val="en-GB"/>
              </w:rPr>
              <w:t>to ensure better diagnosis and forecasting of irregular migration by building information systems and developing the personnel's competencies; (scope of support – Annex III, point 4(a))</w:t>
            </w:r>
          </w:p>
          <w:p w:rsidR="00A77B3E" w:rsidRPr="00701ADE" w:rsidRDefault="00BB4ED7">
            <w:pPr>
              <w:numPr>
                <w:ilvl w:val="0"/>
                <w:numId w:val="13"/>
              </w:numPr>
              <w:spacing w:before="100"/>
              <w:rPr>
                <w:color w:val="000000"/>
                <w:lang w:val="en-GB"/>
              </w:rPr>
            </w:pPr>
            <w:r w:rsidRPr="00701ADE">
              <w:rPr>
                <w:color w:val="000000"/>
                <w:lang w:val="en-GB"/>
              </w:rPr>
              <w:t xml:space="preserve">deploying new solutions and improving the existing ones aimed at </w:t>
            </w:r>
            <w:r w:rsidRPr="00701ADE">
              <w:rPr>
                <w:b/>
                <w:bCs/>
                <w:color w:val="000000"/>
                <w:lang w:val="en-GB"/>
              </w:rPr>
              <w:t xml:space="preserve">effective monitoring of forced returns </w:t>
            </w:r>
            <w:r w:rsidRPr="00701ADE">
              <w:rPr>
                <w:color w:val="000000"/>
                <w:lang w:val="en-GB"/>
              </w:rPr>
              <w:t>(remaining within the BG's remit; if the Act is amended, the monitoring may cover also voluntary returns), including the purchase of hardware to create and develop information systems and structures; (scope of support – Annex III, point 4(c)), indicator O.3.2</w:t>
            </w:r>
          </w:p>
          <w:p w:rsidR="00A77B3E" w:rsidRPr="00701ADE" w:rsidRDefault="00BB4ED7">
            <w:pPr>
              <w:numPr>
                <w:ilvl w:val="0"/>
                <w:numId w:val="13"/>
              </w:numPr>
              <w:spacing w:before="100"/>
              <w:rPr>
                <w:color w:val="000000"/>
                <w:lang w:val="en-GB"/>
              </w:rPr>
            </w:pPr>
            <w:r w:rsidRPr="00701ADE">
              <w:rPr>
                <w:b/>
                <w:bCs/>
                <w:color w:val="000000"/>
                <w:lang w:val="en-GB"/>
              </w:rPr>
              <w:t>preparatory actions regarding returns</w:t>
            </w:r>
            <w:r w:rsidRPr="00701ADE">
              <w:rPr>
                <w:color w:val="000000"/>
                <w:lang w:val="en-GB"/>
              </w:rPr>
              <w:t>, including identification of third-country nationals, issuance of travel documents, family tracing, medical examinations, medical assistance, travel arrangements, pre-return counselling, pre and post-return support, including financial support and assistance in terms of accommodation and food; (scope of support – Annex III, point 4(e), (f), (g)), indicators R.3.6, R.3.7</w:t>
            </w:r>
          </w:p>
          <w:p w:rsidR="00A77B3E" w:rsidRPr="00701ADE" w:rsidRDefault="00BB4ED7">
            <w:pPr>
              <w:numPr>
                <w:ilvl w:val="0"/>
                <w:numId w:val="13"/>
              </w:numPr>
              <w:spacing w:before="100"/>
              <w:rPr>
                <w:color w:val="000000"/>
                <w:lang w:val="en-GB"/>
              </w:rPr>
            </w:pPr>
            <w:r w:rsidRPr="00701ADE">
              <w:rPr>
                <w:b/>
                <w:bCs/>
                <w:color w:val="000000"/>
                <w:lang w:val="en-GB"/>
              </w:rPr>
              <w:t xml:space="preserve">increasing expulsion standards </w:t>
            </w:r>
            <w:r w:rsidRPr="00701ADE">
              <w:rPr>
                <w:color w:val="000000"/>
                <w:lang w:val="en-GB"/>
              </w:rPr>
              <w:t>through the purchase of vehicles for transporting third-country nationals, as well as equipment and services necessary for expulsions, intended for TCNs and BG officers; (scope of support – Annex III, point 4(e)), indicator O.3.2</w:t>
            </w:r>
          </w:p>
          <w:p w:rsidR="00A77B3E" w:rsidRPr="00701ADE" w:rsidRDefault="00BB4ED7">
            <w:pPr>
              <w:numPr>
                <w:ilvl w:val="0"/>
                <w:numId w:val="13"/>
              </w:numPr>
              <w:spacing w:before="100"/>
              <w:rPr>
                <w:color w:val="000000"/>
                <w:lang w:val="en-GB"/>
              </w:rPr>
            </w:pPr>
            <w:r w:rsidRPr="00701ADE">
              <w:rPr>
                <w:b/>
                <w:bCs/>
                <w:color w:val="000000"/>
                <w:lang w:val="en-GB"/>
              </w:rPr>
              <w:t xml:space="preserve">measures implementing the EU Action Plan on returns </w:t>
            </w:r>
            <w:r w:rsidRPr="00701ADE">
              <w:rPr>
                <w:color w:val="000000"/>
                <w:lang w:val="en-GB"/>
              </w:rPr>
              <w:t>and possible follow-up actions aimed at enhancing the effectiveness of the EU system for returning illegal migrants, developed and implemented as part of innovative cooperation with other Member States; (scope of support – Annex III, point 4(l))</w:t>
            </w:r>
          </w:p>
          <w:p w:rsidR="00A77B3E" w:rsidRPr="00701ADE" w:rsidRDefault="00BB4ED7">
            <w:pPr>
              <w:numPr>
                <w:ilvl w:val="0"/>
                <w:numId w:val="13"/>
              </w:numPr>
              <w:spacing w:before="100"/>
              <w:rPr>
                <w:color w:val="000000"/>
                <w:lang w:val="en-GB"/>
              </w:rPr>
            </w:pPr>
            <w:r w:rsidRPr="00701ADE">
              <w:rPr>
                <w:color w:val="000000"/>
                <w:lang w:val="en-GB"/>
              </w:rPr>
              <w:t xml:space="preserve">actions aimed at promoting, developing and </w:t>
            </w:r>
            <w:r w:rsidRPr="00701ADE">
              <w:rPr>
                <w:b/>
                <w:bCs/>
                <w:color w:val="000000"/>
                <w:lang w:val="en-GB"/>
              </w:rPr>
              <w:t>furthering cooperation between Member State entities dealing with returns</w:t>
            </w:r>
            <w:r w:rsidRPr="00701ADE">
              <w:rPr>
                <w:color w:val="000000"/>
                <w:lang w:val="en-GB"/>
              </w:rPr>
              <w:t>, in particular organisation of and participation in meetings with representatives of Member States; (scope of support – Annex III, point 4(l))</w:t>
            </w:r>
          </w:p>
          <w:p w:rsidR="00A77B3E" w:rsidRPr="00701ADE" w:rsidRDefault="00BB4ED7">
            <w:pPr>
              <w:numPr>
                <w:ilvl w:val="0"/>
                <w:numId w:val="13"/>
              </w:numPr>
              <w:spacing w:before="100"/>
              <w:rPr>
                <w:color w:val="000000"/>
                <w:lang w:val="en-GB"/>
              </w:rPr>
            </w:pPr>
            <w:r w:rsidRPr="00701ADE">
              <w:rPr>
                <w:b/>
                <w:bCs/>
                <w:color w:val="000000"/>
                <w:lang w:val="en-GB"/>
              </w:rPr>
              <w:t xml:space="preserve">joint actions </w:t>
            </w:r>
            <w:r w:rsidRPr="00701ADE">
              <w:rPr>
                <w:color w:val="000000"/>
                <w:lang w:val="en-GB"/>
              </w:rPr>
              <w:t xml:space="preserve">conducted by Member State entities, and support for other Member States </w:t>
            </w:r>
            <w:r w:rsidRPr="00701ADE">
              <w:rPr>
                <w:b/>
                <w:bCs/>
                <w:color w:val="000000"/>
                <w:lang w:val="en-GB"/>
              </w:rPr>
              <w:t>in effective implementation of returns</w:t>
            </w:r>
            <w:r w:rsidRPr="00701ADE">
              <w:rPr>
                <w:color w:val="000000"/>
                <w:lang w:val="en-GB"/>
              </w:rPr>
              <w:t>, including as part of solidarity measures; (scope of support – Annex III, point 4(l))</w:t>
            </w:r>
          </w:p>
          <w:p w:rsidR="00A77B3E" w:rsidRPr="00701ADE" w:rsidRDefault="00BB4ED7">
            <w:pPr>
              <w:numPr>
                <w:ilvl w:val="0"/>
                <w:numId w:val="13"/>
              </w:numPr>
              <w:spacing w:before="100"/>
              <w:rPr>
                <w:color w:val="000000"/>
                <w:lang w:val="en-GB"/>
              </w:rPr>
            </w:pPr>
            <w:r w:rsidRPr="00701ADE">
              <w:rPr>
                <w:color w:val="000000"/>
                <w:lang w:val="en-GB"/>
              </w:rPr>
              <w:t xml:space="preserve">actions designed to strengthen </w:t>
            </w:r>
            <w:r w:rsidRPr="00701ADE">
              <w:rPr>
                <w:b/>
                <w:bCs/>
                <w:color w:val="000000"/>
                <w:lang w:val="en-GB"/>
              </w:rPr>
              <w:t>the capacity to develop effective and sustainable return policies</w:t>
            </w:r>
            <w:r w:rsidRPr="00701ADE">
              <w:rPr>
                <w:color w:val="000000"/>
                <w:lang w:val="en-GB"/>
              </w:rPr>
              <w:t>, in particular ones that contribute to the exchange of information, best practices and experience, as well as the pooling of Member State resources, and engaging the stakeholders; (scope of support – Annex III, point 4(l))</w:t>
            </w:r>
          </w:p>
          <w:p w:rsidR="00A77B3E" w:rsidRPr="00701ADE" w:rsidRDefault="00BB4ED7">
            <w:pPr>
              <w:numPr>
                <w:ilvl w:val="0"/>
                <w:numId w:val="13"/>
              </w:numPr>
              <w:spacing w:before="100"/>
              <w:rPr>
                <w:color w:val="000000"/>
                <w:lang w:val="en-GB"/>
              </w:rPr>
            </w:pPr>
            <w:r w:rsidRPr="00701ADE">
              <w:rPr>
                <w:color w:val="000000"/>
                <w:lang w:val="en-GB"/>
              </w:rPr>
              <w:t xml:space="preserve">actions designed to </w:t>
            </w:r>
            <w:r w:rsidRPr="00701ADE">
              <w:rPr>
                <w:b/>
                <w:bCs/>
                <w:color w:val="000000"/>
                <w:lang w:val="en-GB"/>
              </w:rPr>
              <w:t xml:space="preserve">improve the capacity to collect, analyse and disseminate data and information on procedures and measures with respect to returns, reception and detention capabilities, forced and voluntary returns, monitoring and reintegration; </w:t>
            </w:r>
            <w:r w:rsidRPr="00701ADE">
              <w:rPr>
                <w:color w:val="000000"/>
                <w:lang w:val="en-GB"/>
              </w:rPr>
              <w:t xml:space="preserve"> (scope of support – Annex III, point 4(l))</w:t>
            </w:r>
          </w:p>
          <w:p w:rsidR="00A77B3E" w:rsidRPr="00701ADE" w:rsidRDefault="00BB4ED7">
            <w:pPr>
              <w:numPr>
                <w:ilvl w:val="0"/>
                <w:numId w:val="13"/>
              </w:numPr>
              <w:spacing w:before="100"/>
              <w:rPr>
                <w:color w:val="000000"/>
                <w:lang w:val="en-GB"/>
              </w:rPr>
            </w:pPr>
            <w:r w:rsidRPr="00701ADE">
              <w:rPr>
                <w:color w:val="000000"/>
                <w:lang w:val="en-GB"/>
              </w:rPr>
              <w:t xml:space="preserve">actions aimed at </w:t>
            </w:r>
            <w:r w:rsidRPr="00701ADE">
              <w:rPr>
                <w:b/>
                <w:bCs/>
                <w:color w:val="000000"/>
                <w:lang w:val="en-GB"/>
              </w:rPr>
              <w:t>evaluating return policies</w:t>
            </w:r>
            <w:r w:rsidRPr="00701ADE">
              <w:rPr>
                <w:color w:val="000000"/>
                <w:lang w:val="en-GB"/>
              </w:rPr>
              <w:t>, with particular emphasis on developing data, indicators, benchmarking, research and evaluation of consequences; (scope of support – Annex III, point 4(l))</w:t>
            </w:r>
          </w:p>
          <w:p w:rsidR="00A77B3E" w:rsidRPr="00701ADE" w:rsidRDefault="00A77B3E">
            <w:pPr>
              <w:spacing w:before="100"/>
              <w:rPr>
                <w:color w:val="000000"/>
                <w:lang w:val="en-GB"/>
              </w:rPr>
            </w:pPr>
          </w:p>
          <w:p w:rsidR="00A77B3E" w:rsidRPr="00701ADE" w:rsidRDefault="00BB4ED7">
            <w:pPr>
              <w:spacing w:before="100"/>
              <w:rPr>
                <w:color w:val="000000"/>
                <w:lang w:val="en-GB"/>
              </w:rPr>
            </w:pPr>
            <w:r w:rsidRPr="00701ADE">
              <w:rPr>
                <w:color w:val="000000"/>
                <w:lang w:val="en-GB"/>
              </w:rPr>
              <w:t xml:space="preserve">Poland has for many years been actively implementing both voluntary and forced returns, thus counteracting illegal migration and enhancing the effectiveness of readmission agreements and sustainability of returns. Since implementing return operations with respect for human dignity and human rights is the main objective in this area, the preferences for voluntary returns over forced ones will be maintained. </w:t>
            </w:r>
          </w:p>
          <w:p w:rsidR="00A77B3E" w:rsidRPr="00701ADE" w:rsidRDefault="00A77B3E">
            <w:pPr>
              <w:spacing w:before="100"/>
              <w:rPr>
                <w:color w:val="000000"/>
                <w:lang w:val="en-GB"/>
              </w:rPr>
            </w:pPr>
          </w:p>
          <w:p w:rsidR="00A77B3E" w:rsidRPr="00701ADE" w:rsidRDefault="00BB4ED7">
            <w:pPr>
              <w:spacing w:before="100"/>
              <w:rPr>
                <w:color w:val="000000"/>
                <w:lang w:val="en-GB"/>
              </w:rPr>
            </w:pPr>
            <w:r w:rsidRPr="00701ADE">
              <w:rPr>
                <w:color w:val="000000"/>
                <w:lang w:val="en-GB"/>
              </w:rPr>
              <w:t xml:space="preserve">The following has been planned as part of </w:t>
            </w:r>
            <w:r w:rsidRPr="00701ADE">
              <w:rPr>
                <w:b/>
                <w:bCs/>
                <w:color w:val="000000"/>
                <w:u w:val="single"/>
                <w:lang w:val="en-GB"/>
              </w:rPr>
              <w:t>implement</w:t>
            </w:r>
            <w:r w:rsidR="006A3529">
              <w:rPr>
                <w:b/>
                <w:bCs/>
                <w:color w:val="000000"/>
                <w:u w:val="single"/>
                <w:lang w:val="en-GB"/>
              </w:rPr>
              <w:t>ation</w:t>
            </w:r>
            <w:r w:rsidRPr="00701ADE">
              <w:rPr>
                <w:b/>
                <w:bCs/>
                <w:color w:val="000000"/>
                <w:u w:val="single"/>
                <w:lang w:val="en-GB"/>
              </w:rPr>
              <w:t xml:space="preserve"> measure c):</w:t>
            </w:r>
          </w:p>
          <w:p w:rsidR="00A77B3E" w:rsidRPr="00701ADE" w:rsidRDefault="00BB4ED7">
            <w:pPr>
              <w:numPr>
                <w:ilvl w:val="0"/>
                <w:numId w:val="14"/>
              </w:numPr>
              <w:spacing w:before="100"/>
              <w:rPr>
                <w:color w:val="000000"/>
                <w:lang w:val="en-GB"/>
              </w:rPr>
            </w:pPr>
            <w:r w:rsidRPr="00701ADE">
              <w:rPr>
                <w:b/>
                <w:bCs/>
                <w:color w:val="000000"/>
                <w:lang w:val="en-GB"/>
              </w:rPr>
              <w:t>actions regarding assisted voluntary returns, family tracing and reintegration</w:t>
            </w:r>
            <w:r w:rsidRPr="00701ADE">
              <w:rPr>
                <w:color w:val="000000"/>
                <w:lang w:val="en-GB"/>
              </w:rPr>
              <w:t>, while respecting the best interests of the child. They may include: information and promotion actions, return guidance, assistance in voluntary returns and reintegration, enhancing the system of support for vulnerable persons and providing the with access to the necessary assistance; (scope of support – Annex III, point 4(g)), indicators O.3.3. and R.3.6</w:t>
            </w:r>
          </w:p>
          <w:p w:rsidR="00A77B3E" w:rsidRPr="00701ADE" w:rsidRDefault="00BB4ED7">
            <w:pPr>
              <w:numPr>
                <w:ilvl w:val="0"/>
                <w:numId w:val="14"/>
              </w:numPr>
              <w:spacing w:before="100"/>
              <w:rPr>
                <w:color w:val="000000"/>
                <w:lang w:val="en-GB"/>
              </w:rPr>
            </w:pPr>
            <w:r w:rsidRPr="00701ADE">
              <w:rPr>
                <w:color w:val="000000"/>
                <w:lang w:val="en-GB"/>
              </w:rPr>
              <w:t>reintegration guidance and assistance for TCNs, including financial incentives, training, placements, employment assistance, start-up support for economic activities, medical and psychological assistance; (scope of support – Annex III, point 4(g), (m), (i)), indicators O.3.3. and R.3.6</w:t>
            </w:r>
          </w:p>
          <w:p w:rsidR="00A77B3E" w:rsidRPr="00701ADE" w:rsidRDefault="00A77B3E">
            <w:pPr>
              <w:spacing w:before="100"/>
              <w:rPr>
                <w:color w:val="000000"/>
                <w:lang w:val="en-GB"/>
              </w:rPr>
            </w:pPr>
          </w:p>
          <w:p w:rsidR="00A77B3E" w:rsidRPr="00701ADE" w:rsidRDefault="00BB4ED7">
            <w:pPr>
              <w:spacing w:before="100"/>
              <w:rPr>
                <w:color w:val="000000"/>
                <w:lang w:val="en-GB"/>
              </w:rPr>
            </w:pPr>
            <w:r w:rsidRPr="00701ADE">
              <w:rPr>
                <w:color w:val="000000"/>
                <w:lang w:val="en-GB"/>
              </w:rPr>
              <w:t xml:space="preserve">The following has been planned as part of </w:t>
            </w:r>
            <w:r w:rsidRPr="00701ADE">
              <w:rPr>
                <w:b/>
                <w:bCs/>
                <w:color w:val="000000"/>
                <w:u w:val="single"/>
                <w:lang w:val="en-GB"/>
              </w:rPr>
              <w:t>implement</w:t>
            </w:r>
            <w:r w:rsidR="006A3529">
              <w:rPr>
                <w:b/>
                <w:bCs/>
                <w:color w:val="000000"/>
                <w:u w:val="single"/>
                <w:lang w:val="en-GB"/>
              </w:rPr>
              <w:t>ation</w:t>
            </w:r>
            <w:r w:rsidRPr="00701ADE">
              <w:rPr>
                <w:b/>
                <w:bCs/>
                <w:color w:val="000000"/>
                <w:u w:val="single"/>
                <w:lang w:val="en-GB"/>
              </w:rPr>
              <w:t xml:space="preserve"> measure d)</w:t>
            </w:r>
            <w:r w:rsidRPr="00701ADE">
              <w:rPr>
                <w:color w:val="000000"/>
                <w:lang w:val="en-GB"/>
              </w:rPr>
              <w:t>:</w:t>
            </w:r>
          </w:p>
          <w:p w:rsidR="00A77B3E" w:rsidRPr="00701ADE" w:rsidRDefault="00BB4ED7">
            <w:pPr>
              <w:numPr>
                <w:ilvl w:val="0"/>
                <w:numId w:val="15"/>
              </w:numPr>
              <w:spacing w:before="100"/>
              <w:rPr>
                <w:color w:val="000000"/>
                <w:lang w:val="en-GB"/>
              </w:rPr>
            </w:pPr>
            <w:r w:rsidRPr="00701ADE">
              <w:rPr>
                <w:b/>
                <w:bCs/>
                <w:color w:val="000000"/>
                <w:lang w:val="en-GB"/>
              </w:rPr>
              <w:t>cooperation with third-country authorities and institutions</w:t>
            </w:r>
            <w:r w:rsidRPr="00701ADE">
              <w:rPr>
                <w:color w:val="000000"/>
                <w:lang w:val="en-GB"/>
              </w:rPr>
              <w:t xml:space="preserve"> regarding returns, both voluntary and forced, including readmissions; (scope of support – Annex III, point 4(k))</w:t>
            </w:r>
          </w:p>
          <w:p w:rsidR="00A77B3E" w:rsidRPr="00701ADE" w:rsidRDefault="00BB4ED7">
            <w:pPr>
              <w:numPr>
                <w:ilvl w:val="0"/>
                <w:numId w:val="15"/>
              </w:numPr>
              <w:spacing w:before="100"/>
              <w:rPr>
                <w:color w:val="000000"/>
                <w:lang w:val="en-GB"/>
              </w:rPr>
            </w:pPr>
            <w:r w:rsidRPr="00701ADE">
              <w:rPr>
                <w:color w:val="000000"/>
                <w:lang w:val="en-GB"/>
              </w:rPr>
              <w:t xml:space="preserve">actions taken in third countries to </w:t>
            </w:r>
            <w:r w:rsidRPr="00701ADE">
              <w:rPr>
                <w:b/>
                <w:bCs/>
                <w:color w:val="000000"/>
                <w:lang w:val="en-GB"/>
              </w:rPr>
              <w:t>ensure appropriate assistance to TCNs</w:t>
            </w:r>
            <w:r w:rsidRPr="00701ADE">
              <w:rPr>
                <w:color w:val="000000"/>
                <w:lang w:val="en-GB"/>
              </w:rPr>
              <w:t>; (scope of support – Annex III, point 4(i), (j)). Before the final approval, implementation of projects with or in third countries will be consulted with the Commission (in accordance with Article 16(11) of the AMIF Regulation).</w:t>
            </w:r>
          </w:p>
          <w:p w:rsidR="00A77B3E" w:rsidRPr="00701ADE" w:rsidRDefault="00BB4ED7">
            <w:pPr>
              <w:numPr>
                <w:ilvl w:val="0"/>
                <w:numId w:val="15"/>
              </w:numPr>
              <w:spacing w:before="100"/>
              <w:rPr>
                <w:color w:val="000000"/>
                <w:lang w:val="en-GB"/>
              </w:rPr>
            </w:pPr>
            <w:r w:rsidRPr="00701ADE">
              <w:rPr>
                <w:b/>
                <w:bCs/>
                <w:color w:val="000000"/>
                <w:lang w:val="en-GB"/>
              </w:rPr>
              <w:t xml:space="preserve">building partnership capacities in third countries </w:t>
            </w:r>
            <w:r w:rsidRPr="00701ADE">
              <w:rPr>
                <w:color w:val="000000"/>
                <w:lang w:val="en-GB"/>
              </w:rPr>
              <w:t>in the area of organisation of returns, readmission and reintegration of their own citizens, as well as detention and alternatives to detention meeting international standards, including through supporting cooperation between competent third country institutions and Member State Services and supporting the development of the return monitoring system; (scope of support – Annex III, point 4(k))</w:t>
            </w:r>
          </w:p>
          <w:p w:rsidR="00A77B3E" w:rsidRPr="00701ADE" w:rsidRDefault="00BB4ED7">
            <w:pPr>
              <w:numPr>
                <w:ilvl w:val="0"/>
                <w:numId w:val="15"/>
              </w:numPr>
              <w:spacing w:before="100"/>
              <w:rPr>
                <w:color w:val="000000"/>
                <w:lang w:val="en-GB"/>
              </w:rPr>
            </w:pPr>
            <w:r w:rsidRPr="00701ADE">
              <w:rPr>
                <w:b/>
                <w:bCs/>
                <w:color w:val="000000"/>
                <w:lang w:val="en-GB"/>
              </w:rPr>
              <w:t>information and promotion actions in third countries</w:t>
            </w:r>
            <w:r w:rsidRPr="00701ADE">
              <w:rPr>
                <w:color w:val="000000"/>
                <w:lang w:val="en-GB"/>
              </w:rPr>
              <w:t xml:space="preserve"> aimed at raising awareness of legal migration channels and the risks of illegal migration; (scope of support – Annex III, point. 4(k), (m))</w:t>
            </w:r>
          </w:p>
          <w:p w:rsidR="00A77B3E" w:rsidRPr="00701ADE" w:rsidRDefault="00BB4ED7">
            <w:pPr>
              <w:numPr>
                <w:ilvl w:val="0"/>
                <w:numId w:val="15"/>
              </w:numPr>
              <w:spacing w:before="100"/>
              <w:rPr>
                <w:color w:val="000000"/>
                <w:lang w:val="en-GB"/>
              </w:rPr>
            </w:pPr>
            <w:r w:rsidRPr="00701ADE">
              <w:rPr>
                <w:b/>
                <w:bCs/>
                <w:color w:val="000000"/>
                <w:lang w:val="en-GB"/>
              </w:rPr>
              <w:t xml:space="preserve">providing support for building professional staff resources in partner third countries </w:t>
            </w:r>
            <w:r w:rsidRPr="00701ADE">
              <w:rPr>
                <w:color w:val="000000"/>
                <w:lang w:val="en-GB"/>
              </w:rPr>
              <w:t>in the area of prevention of irregular migration (summer schools; internships; study visits, exchange of experiences, training for junior personnel, analysts, students of units that educate personnel for migration services, technical and equipment support ), with particular focus on border management, preventing and combating human trafficking, preventing and combating travel document fraud, with a possible use of regional groups of importance for PL: V4, Council of the Baltic Sea States etc. (scope of support – Annex III, point. 4(k), (m))</w:t>
            </w:r>
          </w:p>
          <w:p w:rsidR="00A77B3E" w:rsidRPr="008011B1" w:rsidRDefault="00BB4ED7">
            <w:pPr>
              <w:numPr>
                <w:ilvl w:val="0"/>
                <w:numId w:val="15"/>
              </w:numPr>
              <w:spacing w:before="100"/>
              <w:rPr>
                <w:color w:val="000000"/>
                <w:lang w:val="en-GB"/>
              </w:rPr>
            </w:pPr>
            <w:r w:rsidRPr="00701ADE">
              <w:rPr>
                <w:b/>
                <w:bCs/>
                <w:color w:val="000000"/>
                <w:lang w:val="en-GB"/>
              </w:rPr>
              <w:t xml:space="preserve">conducting information campaigns </w:t>
            </w:r>
            <w:r w:rsidRPr="00701ADE">
              <w:rPr>
                <w:color w:val="000000"/>
                <w:lang w:val="en-GB"/>
              </w:rPr>
              <w:t xml:space="preserve">to provide reliable, specific and balanced information on threats relating to irregular migration and smuggling of migrants in third countries, appropriate legal alternatives to migration and economic opportunities in the country or region of origin, and opportunities offered by programmes of voluntary returns and reintegration </w:t>
            </w:r>
            <w:r w:rsidRPr="008011B1">
              <w:rPr>
                <w:color w:val="000000"/>
                <w:lang w:val="en-GB"/>
              </w:rPr>
              <w:t>from transit countries. (scope of support – Annex III, point 4(k))</w:t>
            </w:r>
          </w:p>
          <w:p w:rsidR="00A77B3E" w:rsidRPr="00701ADE" w:rsidRDefault="00A77B3E">
            <w:pPr>
              <w:spacing w:before="100"/>
              <w:rPr>
                <w:color w:val="000000"/>
                <w:lang w:val="en-GB"/>
              </w:rPr>
            </w:pPr>
          </w:p>
          <w:p w:rsidR="00A77B3E" w:rsidRPr="00701ADE" w:rsidRDefault="00BB4ED7">
            <w:pPr>
              <w:spacing w:before="100"/>
              <w:rPr>
                <w:color w:val="000000"/>
                <w:lang w:val="en-GB"/>
              </w:rPr>
            </w:pPr>
            <w:r w:rsidRPr="00701ADE">
              <w:rPr>
                <w:b/>
                <w:bCs/>
                <w:color w:val="000000"/>
                <w:u w:val="single"/>
                <w:lang w:val="en-GB"/>
              </w:rPr>
              <w:t>Operating support</w:t>
            </w:r>
          </w:p>
          <w:p w:rsidR="00A77B3E" w:rsidRPr="00701ADE" w:rsidRDefault="00BB4ED7">
            <w:pPr>
              <w:spacing w:before="100"/>
              <w:rPr>
                <w:color w:val="000000"/>
                <w:lang w:val="en-GB"/>
              </w:rPr>
            </w:pPr>
            <w:r w:rsidRPr="00701ADE">
              <w:rPr>
                <w:color w:val="000000"/>
                <w:lang w:val="en-GB"/>
              </w:rPr>
              <w:t>The beneficiaries of operating support in this area will include migration services, mainly the BG, whose statutory remit includes the responsibility for assisting in voluntary returns and organising forced returns.</w:t>
            </w:r>
          </w:p>
          <w:p w:rsidR="00A77B3E" w:rsidRPr="00701ADE" w:rsidRDefault="00BB4ED7">
            <w:pPr>
              <w:spacing w:before="100"/>
              <w:rPr>
                <w:color w:val="000000"/>
                <w:lang w:val="en-GB"/>
              </w:rPr>
            </w:pPr>
            <w:r w:rsidRPr="00701ADE">
              <w:rPr>
                <w:color w:val="000000"/>
                <w:lang w:val="en-GB"/>
              </w:rPr>
              <w:t>Operating support will cover the expenditure on:</w:t>
            </w:r>
          </w:p>
          <w:p w:rsidR="00A77B3E" w:rsidRPr="00701ADE" w:rsidRDefault="00BB4ED7">
            <w:pPr>
              <w:numPr>
                <w:ilvl w:val="0"/>
                <w:numId w:val="16"/>
              </w:numPr>
              <w:spacing w:before="100"/>
              <w:rPr>
                <w:color w:val="000000"/>
                <w:lang w:val="en-GB"/>
              </w:rPr>
            </w:pPr>
            <w:r w:rsidRPr="00701ADE">
              <w:rPr>
                <w:b/>
                <w:bCs/>
                <w:color w:val="000000"/>
                <w:lang w:val="en-GB"/>
              </w:rPr>
              <w:t>costs of personnel</w:t>
            </w:r>
            <w:r w:rsidRPr="00701ADE">
              <w:rPr>
                <w:color w:val="000000"/>
                <w:lang w:val="en-GB"/>
              </w:rPr>
              <w:t xml:space="preserve">: IT Project Analysts and Software Testers - BG officers </w:t>
            </w:r>
            <w:r w:rsidRPr="00D27B60">
              <w:rPr>
                <w:color w:val="000000"/>
                <w:lang w:val="en-GB"/>
              </w:rPr>
              <w:t>appointed deployed</w:t>
            </w:r>
            <w:r w:rsidRPr="00701ADE">
              <w:rPr>
                <w:color w:val="000000"/>
                <w:lang w:val="en-GB"/>
              </w:rPr>
              <w:t xml:space="preserve"> to respective subunits established under decisions of the BG Commander-in-Chief to carry out actions involving </w:t>
            </w:r>
            <w:r w:rsidRPr="00701ADE">
              <w:rPr>
                <w:i/>
                <w:iCs/>
                <w:color w:val="000000"/>
                <w:lang w:val="en-GB"/>
              </w:rPr>
              <w:t xml:space="preserve">inter alia </w:t>
            </w:r>
            <w:r w:rsidRPr="00701ADE">
              <w:rPr>
                <w:color w:val="000000"/>
                <w:lang w:val="en-GB"/>
              </w:rPr>
              <w:t>preparation of analytical documentation for ICT systems under development, definition of relations between business objects, the lifetime of respective objects, the structure of data in the database and preparation of test scenarios, and execution of test cases for the developed software based on the test scenarios;</w:t>
            </w:r>
          </w:p>
          <w:p w:rsidR="00A77B3E" w:rsidRPr="00701ADE" w:rsidRDefault="00BB4ED7">
            <w:pPr>
              <w:numPr>
                <w:ilvl w:val="0"/>
                <w:numId w:val="16"/>
              </w:numPr>
              <w:spacing w:before="100"/>
              <w:rPr>
                <w:color w:val="000000"/>
                <w:lang w:val="en-GB"/>
              </w:rPr>
            </w:pPr>
            <w:r w:rsidRPr="00701ADE">
              <w:rPr>
                <w:b/>
                <w:bCs/>
                <w:color w:val="000000"/>
                <w:lang w:val="en-GB"/>
              </w:rPr>
              <w:t>costs of replacement of hardware or information systems</w:t>
            </w:r>
            <w:r w:rsidRPr="00701ADE">
              <w:rPr>
                <w:color w:val="000000"/>
                <w:lang w:val="en-GB"/>
              </w:rPr>
              <w:t xml:space="preserve">. The hardware in service at present was purchased in 2013 – 2015 and the technology used in it no longer provides for effective office and administrative activities due to the incompatibility of the newly created databases with the hardware's operating systems and unavailability of consummables; </w:t>
            </w:r>
          </w:p>
          <w:p w:rsidR="00A77B3E" w:rsidRPr="00701ADE" w:rsidRDefault="00BB4ED7">
            <w:pPr>
              <w:numPr>
                <w:ilvl w:val="0"/>
                <w:numId w:val="16"/>
              </w:numPr>
              <w:spacing w:before="100"/>
              <w:rPr>
                <w:color w:val="000000"/>
                <w:lang w:val="en-GB"/>
              </w:rPr>
            </w:pPr>
            <w:r w:rsidRPr="00701ADE">
              <w:rPr>
                <w:b/>
                <w:bCs/>
                <w:color w:val="000000"/>
                <w:lang w:val="en-GB"/>
              </w:rPr>
              <w:t>costs of services</w:t>
            </w:r>
            <w:r w:rsidRPr="00701ADE">
              <w:rPr>
                <w:color w:val="000000"/>
                <w:lang w:val="en-GB"/>
              </w:rPr>
              <w:t xml:space="preserve"> such as maintenance of hardware or information systems.</w:t>
            </w:r>
          </w:p>
          <w:p w:rsidR="00A77B3E" w:rsidRPr="00701ADE" w:rsidRDefault="00BB4ED7">
            <w:pPr>
              <w:spacing w:before="100"/>
              <w:rPr>
                <w:color w:val="000000"/>
                <w:lang w:val="en-GB"/>
              </w:rPr>
            </w:pPr>
            <w:r w:rsidRPr="00701ADE">
              <w:rPr>
                <w:color w:val="000000"/>
                <w:lang w:val="en-GB"/>
              </w:rPr>
              <w:t>Operating support related to the costs of BG personnel and maintenance/replacement of hardware and information systems will help ensure integrated and coordinated approach as part of actions aimed at achieving the AMIF objectives through strengthening of operating and technical capacities as well as competencies and qualifications of Polish migration services engaged in actions in the area of returns.</w:t>
            </w:r>
          </w:p>
          <w:p w:rsidR="00A77B3E" w:rsidRPr="00701ADE" w:rsidRDefault="00A77B3E">
            <w:pPr>
              <w:spacing w:before="100"/>
              <w:rPr>
                <w:color w:val="000000"/>
                <w:lang w:val="en-GB"/>
              </w:rPr>
            </w:pPr>
          </w:p>
        </w:tc>
      </w:tr>
    </w:tbl>
    <w:p w:rsidR="00A77B3E" w:rsidRPr="00701ADE" w:rsidRDefault="00A77B3E">
      <w:pPr>
        <w:spacing w:before="100"/>
        <w:rPr>
          <w:color w:val="000000"/>
          <w:lang w:val="en-GB"/>
        </w:rPr>
        <w:sectPr w:rsidR="00A77B3E" w:rsidRPr="00701ADE">
          <w:headerReference w:type="even" r:id="rId39"/>
          <w:headerReference w:type="default" r:id="rId40"/>
          <w:footerReference w:type="even" r:id="rId41"/>
          <w:footerReference w:type="default" r:id="rId42"/>
          <w:headerReference w:type="first" r:id="rId43"/>
          <w:footerReference w:type="first" r:id="rId44"/>
          <w:pgSz w:w="11906" w:h="16838"/>
          <w:pgMar w:top="720" w:right="936" w:bottom="864" w:left="720" w:header="0" w:footer="72" w:gutter="0"/>
          <w:cols w:space="720"/>
          <w:noEndnote/>
          <w:docGrid w:linePitch="360"/>
        </w:sectPr>
      </w:pPr>
    </w:p>
    <w:p w:rsidR="00A77B3E" w:rsidRPr="00701ADE" w:rsidRDefault="00BB4ED7">
      <w:pPr>
        <w:spacing w:before="100"/>
        <w:rPr>
          <w:color w:val="000000"/>
          <w:lang w:val="en-GB"/>
        </w:rPr>
      </w:pPr>
      <w:r w:rsidRPr="00701ADE">
        <w:rPr>
          <w:color w:val="000000"/>
          <w:lang w:val="en-GB"/>
        </w:rPr>
        <w:t>2.1. Specific objective 3. Return</w:t>
      </w:r>
    </w:p>
    <w:p w:rsidR="00A77B3E" w:rsidRPr="00701ADE" w:rsidRDefault="00BB4ED7">
      <w:pPr>
        <w:pStyle w:val="Nagwek3"/>
        <w:spacing w:before="100" w:after="0"/>
        <w:rPr>
          <w:rFonts w:ascii="Times New Roman" w:hAnsi="Times New Roman" w:cs="Times New Roman"/>
          <w:b w:val="0"/>
          <w:color w:val="000000"/>
          <w:sz w:val="24"/>
          <w:lang w:val="en-GB"/>
        </w:rPr>
      </w:pPr>
      <w:bookmarkStart w:id="19" w:name="_Toc126925395"/>
      <w:r w:rsidRPr="00701ADE">
        <w:rPr>
          <w:rFonts w:ascii="Times New Roman" w:hAnsi="Times New Roman" w:cs="Times New Roman"/>
          <w:b w:val="0"/>
          <w:color w:val="000000"/>
          <w:sz w:val="24"/>
          <w:lang w:val="en-GB"/>
        </w:rPr>
        <w:t>2.1.2. Indicators</w:t>
      </w:r>
      <w:bookmarkEnd w:id="19"/>
    </w:p>
    <w:p w:rsidR="00A77B3E" w:rsidRPr="00701ADE" w:rsidRDefault="00BB4ED7">
      <w:pPr>
        <w:spacing w:before="100"/>
        <w:rPr>
          <w:color w:val="000000"/>
          <w:sz w:val="12"/>
          <w:lang w:val="en-GB"/>
        </w:rPr>
      </w:pPr>
      <w:r w:rsidRPr="00701ADE">
        <w:rPr>
          <w:color w:val="000000"/>
          <w:lang w:val="en-GB"/>
        </w:rPr>
        <w:t>Reference: Article 22(4)(e) of the Common Provisions Regulation</w:t>
      </w:r>
    </w:p>
    <w:p w:rsidR="00A77B3E" w:rsidRPr="00701ADE" w:rsidRDefault="00BB4ED7">
      <w:pPr>
        <w:pStyle w:val="Nagwek4"/>
        <w:spacing w:before="100" w:after="0"/>
        <w:rPr>
          <w:b w:val="0"/>
          <w:color w:val="000000"/>
          <w:sz w:val="24"/>
          <w:lang w:val="en-GB"/>
        </w:rPr>
      </w:pPr>
      <w:bookmarkStart w:id="20" w:name="_Toc126925396"/>
      <w:r w:rsidRPr="00701ADE">
        <w:rPr>
          <w:b w:val="0"/>
          <w:color w:val="000000"/>
          <w:sz w:val="24"/>
          <w:lang w:val="en-GB"/>
        </w:rPr>
        <w:t>Table 1: Output indicators</w:t>
      </w:r>
      <w:bookmarkEnd w:id="20"/>
    </w:p>
    <w:p w:rsidR="00A77B3E" w:rsidRPr="00701ADE" w:rsidRDefault="00A77B3E">
      <w:pPr>
        <w:spacing w:before="100"/>
        <w:rPr>
          <w:color w:val="000000"/>
          <w:sz w:val="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9433"/>
        <w:gridCol w:w="1852"/>
        <w:gridCol w:w="1774"/>
        <w:gridCol w:w="1446"/>
      </w:tblGrid>
      <w:tr w:rsidR="004B75EC" w:rsidRPr="00701ADE">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sz w:val="20"/>
                <w:lang w:val="en-GB"/>
              </w:rPr>
            </w:pPr>
            <w:r w:rsidRPr="00701ADE">
              <w:rPr>
                <w:color w:val="000000"/>
                <w:sz w:val="20"/>
                <w:lang w:val="en-GB"/>
              </w:rPr>
              <w:t>ID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sz w:val="20"/>
                <w:lang w:val="en-GB"/>
              </w:rPr>
            </w:pPr>
            <w:r w:rsidRPr="00701ADE">
              <w:rPr>
                <w:color w:val="000000"/>
                <w:sz w:val="20"/>
                <w:lang w:val="en-GB"/>
              </w:rPr>
              <w:t>Indicator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sz w:val="20"/>
                <w:lang w:val="en-GB"/>
              </w:rPr>
            </w:pPr>
            <w:r w:rsidRPr="00701ADE">
              <w:rPr>
                <w:color w:val="000000"/>
                <w:sz w:val="20"/>
                <w:lang w:val="en-GB"/>
              </w:rPr>
              <w:t>Measurement unit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sz w:val="20"/>
                <w:lang w:val="en-GB"/>
              </w:rPr>
            </w:pPr>
            <w:r w:rsidRPr="00701ADE">
              <w:rPr>
                <w:color w:val="000000"/>
                <w:sz w:val="20"/>
                <w:lang w:val="en-GB"/>
              </w:rPr>
              <w:t>Milestone (2024)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sz w:val="20"/>
                <w:lang w:val="en-GB"/>
              </w:rPr>
            </w:pPr>
            <w:r w:rsidRPr="00701ADE">
              <w:rPr>
                <w:color w:val="000000"/>
                <w:sz w:val="20"/>
                <w:lang w:val="en-GB"/>
              </w:rPr>
              <w:t>Target (2029)</w:t>
            </w:r>
          </w:p>
        </w:tc>
      </w:tr>
      <w:tr w:rsidR="004B75EC" w:rsidRPr="00701ADE">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rPr>
                <w:color w:val="000000"/>
                <w:sz w:val="20"/>
                <w:lang w:val="en-GB"/>
              </w:rPr>
            </w:pPr>
            <w:r w:rsidRPr="00701ADE">
              <w:rPr>
                <w:color w:val="000000"/>
                <w:sz w:val="20"/>
                <w:lang w:val="en-GB"/>
              </w:rPr>
              <w:t>O.3.1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rPr>
                <w:color w:val="000000"/>
                <w:sz w:val="20"/>
                <w:lang w:val="en-GB"/>
              </w:rPr>
            </w:pPr>
            <w:r w:rsidRPr="00701ADE">
              <w:rPr>
                <w:color w:val="000000"/>
                <w:sz w:val="20"/>
                <w:lang w:val="en-GB"/>
              </w:rPr>
              <w:t xml:space="preserve">Number of participants in training activities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rPr>
                <w:color w:val="000000"/>
                <w:sz w:val="20"/>
                <w:lang w:val="en-GB"/>
              </w:rPr>
            </w:pPr>
            <w:r w:rsidRPr="00701ADE">
              <w:rPr>
                <w:color w:val="000000"/>
                <w:sz w:val="20"/>
                <w:lang w:val="en-GB"/>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right"/>
              <w:rPr>
                <w:color w:val="000000"/>
                <w:sz w:val="20"/>
                <w:lang w:val="en-GB"/>
              </w:rPr>
            </w:pPr>
            <w:r w:rsidRPr="00701ADE">
              <w:rPr>
                <w:color w:val="000000"/>
                <w:sz w:val="20"/>
                <w:lang w:val="en-GB"/>
              </w:rPr>
              <w:t>900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right"/>
              <w:rPr>
                <w:color w:val="000000"/>
                <w:sz w:val="20"/>
                <w:lang w:val="en-GB"/>
              </w:rPr>
            </w:pPr>
            <w:r w:rsidRPr="00701ADE">
              <w:rPr>
                <w:color w:val="000000"/>
                <w:sz w:val="20"/>
                <w:lang w:val="en-GB"/>
              </w:rPr>
              <w:t>6,000</w:t>
            </w:r>
          </w:p>
        </w:tc>
      </w:tr>
      <w:tr w:rsidR="004B75EC" w:rsidRPr="00701ADE">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rPr>
                <w:color w:val="000000"/>
                <w:sz w:val="20"/>
                <w:lang w:val="en-GB"/>
              </w:rPr>
            </w:pPr>
            <w:r w:rsidRPr="00701ADE">
              <w:rPr>
                <w:color w:val="000000"/>
                <w:sz w:val="20"/>
                <w:lang w:val="en-GB"/>
              </w:rPr>
              <w:t>O.3.2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rPr>
                <w:color w:val="000000"/>
                <w:sz w:val="20"/>
                <w:lang w:val="en-GB"/>
              </w:rPr>
            </w:pPr>
            <w:r w:rsidRPr="00701ADE">
              <w:rPr>
                <w:color w:val="000000"/>
                <w:sz w:val="20"/>
                <w:lang w:val="en-GB"/>
              </w:rPr>
              <w:t>Number of items of equipment purchased, including number of ICT systems purchased or updated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rPr>
                <w:color w:val="000000"/>
                <w:sz w:val="20"/>
                <w:lang w:val="en-GB"/>
              </w:rPr>
            </w:pPr>
            <w:r w:rsidRPr="00701ADE">
              <w:rPr>
                <w:color w:val="000000"/>
                <w:sz w:val="20"/>
                <w:lang w:val="en-GB"/>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right"/>
              <w:rPr>
                <w:color w:val="000000"/>
                <w:sz w:val="20"/>
                <w:lang w:val="en-GB"/>
              </w:rPr>
            </w:pPr>
            <w:r w:rsidRPr="00701ADE">
              <w:rPr>
                <w:color w:val="000000"/>
                <w:sz w:val="20"/>
                <w:lang w:val="en-GB"/>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right"/>
              <w:rPr>
                <w:color w:val="000000"/>
                <w:sz w:val="20"/>
                <w:lang w:val="en-GB"/>
              </w:rPr>
            </w:pPr>
            <w:r w:rsidRPr="00701ADE">
              <w:rPr>
                <w:color w:val="000000"/>
                <w:sz w:val="20"/>
                <w:lang w:val="en-GB"/>
              </w:rPr>
              <w:t>243</w:t>
            </w:r>
          </w:p>
        </w:tc>
      </w:tr>
      <w:tr w:rsidR="004B75EC" w:rsidRPr="00701ADE">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rPr>
                <w:color w:val="000000"/>
                <w:sz w:val="20"/>
                <w:lang w:val="en-GB"/>
              </w:rPr>
            </w:pPr>
            <w:r w:rsidRPr="00701ADE">
              <w:rPr>
                <w:color w:val="000000"/>
                <w:sz w:val="20"/>
                <w:lang w:val="en-GB"/>
              </w:rPr>
              <w:t>O.3.3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rPr>
                <w:color w:val="000000"/>
                <w:sz w:val="20"/>
                <w:lang w:val="en-GB"/>
              </w:rPr>
            </w:pPr>
            <w:r w:rsidRPr="00701ADE">
              <w:rPr>
                <w:color w:val="000000"/>
                <w:sz w:val="20"/>
                <w:lang w:val="en-GB"/>
              </w:rPr>
              <w:t>Number of returnees who received reintegration assistance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rPr>
                <w:color w:val="000000"/>
                <w:sz w:val="20"/>
                <w:lang w:val="en-GB"/>
              </w:rPr>
            </w:pPr>
            <w:r w:rsidRPr="00701ADE">
              <w:rPr>
                <w:color w:val="000000"/>
                <w:sz w:val="20"/>
                <w:lang w:val="en-GB"/>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right"/>
              <w:rPr>
                <w:color w:val="000000"/>
                <w:sz w:val="20"/>
                <w:lang w:val="en-GB"/>
              </w:rPr>
            </w:pPr>
            <w:r w:rsidRPr="00701ADE">
              <w:rPr>
                <w:color w:val="000000"/>
                <w:sz w:val="20"/>
                <w:lang w:val="en-GB"/>
              </w:rPr>
              <w:t>199</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right"/>
              <w:rPr>
                <w:color w:val="000000"/>
                <w:sz w:val="20"/>
                <w:lang w:val="en-GB"/>
              </w:rPr>
            </w:pPr>
            <w:r w:rsidRPr="00701ADE">
              <w:rPr>
                <w:color w:val="000000"/>
                <w:sz w:val="20"/>
                <w:lang w:val="en-GB"/>
              </w:rPr>
              <w:t>1,325</w:t>
            </w:r>
          </w:p>
        </w:tc>
      </w:tr>
      <w:tr w:rsidR="004B75EC" w:rsidRPr="00701ADE">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rPr>
                <w:color w:val="000000"/>
                <w:sz w:val="20"/>
                <w:lang w:val="en-GB"/>
              </w:rPr>
            </w:pPr>
            <w:r w:rsidRPr="00701ADE">
              <w:rPr>
                <w:color w:val="000000"/>
                <w:sz w:val="20"/>
                <w:lang w:val="en-GB"/>
              </w:rPr>
              <w:t>O.3.4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234C4A" w:rsidRDefault="00BB4ED7">
            <w:pPr>
              <w:spacing w:before="100"/>
              <w:rPr>
                <w:color w:val="000000"/>
                <w:sz w:val="20"/>
                <w:highlight w:val="yellow"/>
                <w:lang w:val="en-GB"/>
              </w:rPr>
            </w:pPr>
            <w:r w:rsidRPr="00D27B60">
              <w:rPr>
                <w:color w:val="000000"/>
                <w:sz w:val="20"/>
                <w:lang w:val="en-GB"/>
              </w:rPr>
              <w:t>Number of places in detention centres created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rPr>
                <w:color w:val="000000"/>
                <w:sz w:val="20"/>
                <w:lang w:val="en-GB"/>
              </w:rPr>
            </w:pPr>
            <w:r w:rsidRPr="00701ADE">
              <w:rPr>
                <w:color w:val="000000"/>
                <w:sz w:val="20"/>
                <w:lang w:val="en-GB"/>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right"/>
              <w:rPr>
                <w:color w:val="000000"/>
                <w:sz w:val="20"/>
                <w:lang w:val="en-GB"/>
              </w:rPr>
            </w:pPr>
            <w:r w:rsidRPr="00701ADE">
              <w:rPr>
                <w:color w:val="000000"/>
                <w:sz w:val="20"/>
                <w:lang w:val="en-GB"/>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right"/>
              <w:rPr>
                <w:color w:val="000000"/>
                <w:sz w:val="20"/>
                <w:lang w:val="en-GB"/>
              </w:rPr>
            </w:pPr>
            <w:r w:rsidRPr="00701ADE">
              <w:rPr>
                <w:color w:val="000000"/>
                <w:sz w:val="20"/>
                <w:lang w:val="en-GB"/>
              </w:rPr>
              <w:t>30</w:t>
            </w:r>
          </w:p>
        </w:tc>
      </w:tr>
      <w:tr w:rsidR="004B75EC" w:rsidRPr="00701ADE">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rPr>
                <w:color w:val="000000"/>
                <w:sz w:val="20"/>
                <w:lang w:val="en-GB"/>
              </w:rPr>
            </w:pPr>
            <w:r w:rsidRPr="00701ADE">
              <w:rPr>
                <w:color w:val="000000"/>
                <w:sz w:val="20"/>
                <w:lang w:val="en-GB"/>
              </w:rPr>
              <w:t>O.3.5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rPr>
                <w:color w:val="000000"/>
                <w:sz w:val="20"/>
                <w:lang w:val="en-GB"/>
              </w:rPr>
            </w:pPr>
            <w:r w:rsidRPr="00701ADE">
              <w:rPr>
                <w:color w:val="000000"/>
                <w:sz w:val="20"/>
                <w:lang w:val="en-GB"/>
              </w:rPr>
              <w:t>Number of places in detention centres refurbished or renovated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rPr>
                <w:color w:val="000000"/>
                <w:sz w:val="20"/>
                <w:lang w:val="en-GB"/>
              </w:rPr>
            </w:pPr>
            <w:r w:rsidRPr="00701ADE">
              <w:rPr>
                <w:color w:val="000000"/>
                <w:sz w:val="20"/>
                <w:lang w:val="en-GB"/>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right"/>
              <w:rPr>
                <w:color w:val="000000"/>
                <w:sz w:val="20"/>
                <w:lang w:val="en-GB"/>
              </w:rPr>
            </w:pPr>
            <w:r w:rsidRPr="00701ADE">
              <w:rPr>
                <w:color w:val="000000"/>
                <w:sz w:val="20"/>
                <w:lang w:val="en-GB"/>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right"/>
              <w:rPr>
                <w:color w:val="000000"/>
                <w:sz w:val="20"/>
                <w:lang w:val="en-GB"/>
              </w:rPr>
            </w:pPr>
            <w:r w:rsidRPr="00701ADE">
              <w:rPr>
                <w:color w:val="000000"/>
                <w:sz w:val="20"/>
                <w:lang w:val="en-GB"/>
              </w:rPr>
              <w:t>384</w:t>
            </w:r>
          </w:p>
        </w:tc>
      </w:tr>
    </w:tbl>
    <w:p w:rsidR="00A77B3E" w:rsidRPr="00701ADE" w:rsidRDefault="00BB4ED7">
      <w:pPr>
        <w:spacing w:before="100"/>
        <w:rPr>
          <w:color w:val="000000"/>
          <w:lang w:val="en-GB"/>
        </w:rPr>
      </w:pPr>
      <w:r w:rsidRPr="00701ADE">
        <w:rPr>
          <w:color w:val="000000"/>
          <w:sz w:val="20"/>
          <w:lang w:val="en-GB"/>
        </w:rPr>
        <w:br w:type="page"/>
      </w:r>
      <w:r w:rsidRPr="00701ADE">
        <w:rPr>
          <w:color w:val="000000"/>
          <w:lang w:val="en-GB"/>
        </w:rPr>
        <w:t>2.1. Specific objective 3. Return</w:t>
      </w:r>
    </w:p>
    <w:p w:rsidR="00A77B3E" w:rsidRPr="00701ADE" w:rsidRDefault="00BB4ED7">
      <w:pPr>
        <w:spacing w:before="100"/>
        <w:rPr>
          <w:color w:val="000000"/>
          <w:sz w:val="0"/>
          <w:lang w:val="en-GB"/>
        </w:rPr>
      </w:pPr>
      <w:r w:rsidRPr="00701ADE">
        <w:rPr>
          <w:color w:val="000000"/>
          <w:lang w:val="en-GB"/>
        </w:rPr>
        <w:t>2.1.2. Indicators</w:t>
      </w:r>
    </w:p>
    <w:p w:rsidR="00A77B3E" w:rsidRPr="00701ADE" w:rsidRDefault="00BB4ED7">
      <w:pPr>
        <w:spacing w:before="100"/>
        <w:rPr>
          <w:color w:val="000000"/>
          <w:sz w:val="12"/>
          <w:lang w:val="en-GB"/>
        </w:rPr>
      </w:pPr>
      <w:r w:rsidRPr="00701ADE">
        <w:rPr>
          <w:color w:val="000000"/>
          <w:lang w:val="en-GB"/>
        </w:rPr>
        <w:t>Reference: Article 22(4)(e) of the Common Provisions Regulation</w:t>
      </w:r>
    </w:p>
    <w:p w:rsidR="00A77B3E" w:rsidRPr="00701ADE" w:rsidRDefault="00BB4ED7">
      <w:pPr>
        <w:pStyle w:val="Nagwek4"/>
        <w:spacing w:before="100" w:after="0"/>
        <w:rPr>
          <w:b w:val="0"/>
          <w:color w:val="000000"/>
          <w:sz w:val="24"/>
          <w:lang w:val="en-GB"/>
        </w:rPr>
      </w:pPr>
      <w:bookmarkStart w:id="21" w:name="_Toc126925397"/>
      <w:r w:rsidRPr="00701ADE">
        <w:rPr>
          <w:b w:val="0"/>
          <w:color w:val="000000"/>
          <w:sz w:val="24"/>
          <w:lang w:val="en-GB"/>
        </w:rPr>
        <w:t>Table 2: Result indicators</w:t>
      </w:r>
      <w:bookmarkEnd w:id="21"/>
    </w:p>
    <w:p w:rsidR="00A77B3E" w:rsidRPr="00701ADE" w:rsidRDefault="00A77B3E">
      <w:pPr>
        <w:spacing w:before="100"/>
        <w:rPr>
          <w:color w:val="000000"/>
          <w:sz w:val="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2276"/>
        <w:gridCol w:w="1517"/>
        <w:gridCol w:w="1517"/>
        <w:gridCol w:w="1517"/>
        <w:gridCol w:w="1517"/>
        <w:gridCol w:w="1517"/>
        <w:gridCol w:w="1517"/>
        <w:gridCol w:w="1517"/>
        <w:gridCol w:w="1517"/>
      </w:tblGrid>
      <w:tr w:rsidR="004B75EC" w:rsidRPr="00701ADE">
        <w:trPr>
          <w:tblHeader/>
        </w:trPr>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sz w:val="20"/>
                <w:lang w:val="en-GB"/>
              </w:rPr>
            </w:pPr>
            <w:r w:rsidRPr="00701ADE">
              <w:rPr>
                <w:color w:val="000000"/>
                <w:sz w:val="20"/>
                <w:lang w:val="en-GB"/>
              </w:rPr>
              <w:t>ID</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sz w:val="20"/>
                <w:lang w:val="en-GB"/>
              </w:rPr>
            </w:pPr>
            <w:r w:rsidRPr="00701ADE">
              <w:rPr>
                <w:color w:val="000000"/>
                <w:sz w:val="20"/>
                <w:lang w:val="en-GB"/>
              </w:rPr>
              <w:t>Indicator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sz w:val="20"/>
                <w:lang w:val="en-GB"/>
              </w:rPr>
            </w:pPr>
            <w:r w:rsidRPr="00701ADE">
              <w:rPr>
                <w:color w:val="000000"/>
                <w:sz w:val="20"/>
                <w:lang w:val="en-GB"/>
              </w:rPr>
              <w:t>Measurement unit</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sz w:val="20"/>
                <w:lang w:val="en-GB"/>
              </w:rPr>
            </w:pPr>
            <w:r w:rsidRPr="00701ADE">
              <w:rPr>
                <w:color w:val="000000"/>
                <w:sz w:val="20"/>
                <w:lang w:val="en-GB"/>
              </w:rPr>
              <w:t>Baseline value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sz w:val="20"/>
                <w:lang w:val="en-GB"/>
              </w:rPr>
            </w:pPr>
            <w:r w:rsidRPr="00701ADE">
              <w:rPr>
                <w:color w:val="000000"/>
                <w:sz w:val="20"/>
                <w:lang w:val="en-GB"/>
              </w:rPr>
              <w:t>Baseline value measurement unit</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sz w:val="20"/>
                <w:lang w:val="en-GB"/>
              </w:rPr>
            </w:pPr>
            <w:r w:rsidRPr="00701ADE">
              <w:rPr>
                <w:color w:val="000000"/>
                <w:sz w:val="20"/>
                <w:lang w:val="en-GB"/>
              </w:rPr>
              <w:t>Reference year/years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sz w:val="20"/>
                <w:lang w:val="en-GB"/>
              </w:rPr>
            </w:pPr>
            <w:r w:rsidRPr="00701ADE">
              <w:rPr>
                <w:color w:val="000000"/>
                <w:sz w:val="20"/>
                <w:lang w:val="en-GB"/>
              </w:rPr>
              <w:t>Target (2029)</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sz w:val="20"/>
                <w:lang w:val="en-GB"/>
              </w:rPr>
            </w:pPr>
            <w:r w:rsidRPr="00701ADE">
              <w:rPr>
                <w:color w:val="000000"/>
                <w:sz w:val="20"/>
                <w:lang w:val="en-GB"/>
              </w:rPr>
              <w:t>Target measurement unit</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sz w:val="20"/>
                <w:lang w:val="en-GB"/>
              </w:rPr>
            </w:pPr>
            <w:r w:rsidRPr="00701ADE">
              <w:rPr>
                <w:color w:val="000000"/>
                <w:sz w:val="20"/>
                <w:lang w:val="en-GB"/>
              </w:rPr>
              <w:t>Source of data</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rPr>
                <w:color w:val="000000"/>
                <w:sz w:val="20"/>
                <w:lang w:val="en-GB"/>
              </w:rPr>
            </w:pPr>
            <w:r w:rsidRPr="00701ADE">
              <w:rPr>
                <w:color w:val="000000"/>
                <w:sz w:val="20"/>
                <w:lang w:val="en-GB"/>
              </w:rPr>
              <w:t>Comments</w:t>
            </w:r>
          </w:p>
        </w:tc>
      </w:tr>
      <w:tr w:rsidR="004B75EC" w:rsidRPr="00701ADE">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R.3.6</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Number of returnees voluntarily returned</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center"/>
              <w:rPr>
                <w:color w:val="000000"/>
                <w:sz w:val="20"/>
                <w:lang w:val="en-GB"/>
              </w:rPr>
            </w:pPr>
            <w:r w:rsidRPr="00701ADE">
              <w:rPr>
                <w:color w:val="000000"/>
                <w:sz w:val="20"/>
                <w:lang w:val="en-GB"/>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center"/>
              <w:rPr>
                <w:color w:val="000000"/>
                <w:sz w:val="20"/>
                <w:lang w:val="en-GB"/>
              </w:rPr>
            </w:pPr>
            <w:r w:rsidRPr="00701ADE">
              <w:rPr>
                <w:color w:val="000000"/>
                <w:sz w:val="20"/>
                <w:lang w:val="en-GB"/>
              </w:rPr>
              <w:t>1,325</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measurement reported by beneficiaries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The end goal is returnees with AMIF support</w:t>
            </w:r>
          </w:p>
        </w:tc>
      </w:tr>
      <w:tr w:rsidR="004B75EC" w:rsidRPr="00701ADE">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R.3.7</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 xml:space="preserve">Number of returnees who </w:t>
            </w:r>
            <w:r w:rsidRPr="00D27B60">
              <w:rPr>
                <w:color w:val="000000"/>
                <w:sz w:val="20"/>
                <w:lang w:val="en-GB"/>
              </w:rPr>
              <w:t>were removed</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center"/>
              <w:rPr>
                <w:color w:val="000000"/>
                <w:sz w:val="20"/>
                <w:lang w:val="en-GB"/>
              </w:rPr>
            </w:pPr>
            <w:r w:rsidRPr="00701ADE">
              <w:rPr>
                <w:color w:val="000000"/>
                <w:sz w:val="20"/>
                <w:lang w:val="en-GB"/>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center"/>
              <w:rPr>
                <w:color w:val="000000"/>
                <w:sz w:val="20"/>
                <w:lang w:val="en-GB"/>
              </w:rPr>
            </w:pPr>
            <w:r w:rsidRPr="00701ADE">
              <w:rPr>
                <w:color w:val="000000"/>
                <w:sz w:val="20"/>
                <w:lang w:val="en-GB"/>
              </w:rPr>
              <w:t>4,081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measurement reported by beneficiaries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The end goal is people expelled with AMIF support</w:t>
            </w:r>
          </w:p>
        </w:tc>
      </w:tr>
      <w:tr w:rsidR="004B75EC" w:rsidRPr="00701ADE">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R.3.8</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Number of returnees subject to alternatives to detention</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center"/>
              <w:rPr>
                <w:color w:val="000000"/>
                <w:sz w:val="20"/>
                <w:lang w:val="en-GB"/>
              </w:rPr>
            </w:pPr>
            <w:r w:rsidRPr="00701ADE">
              <w:rPr>
                <w:color w:val="000000"/>
                <w:sz w:val="20"/>
                <w:lang w:val="en-GB"/>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center"/>
              <w:rPr>
                <w:color w:val="000000"/>
                <w:sz w:val="20"/>
                <w:lang w:val="en-GB"/>
              </w:rPr>
            </w:pPr>
            <w:r w:rsidRPr="00701ADE">
              <w:rPr>
                <w:color w:val="000000"/>
                <w:sz w:val="20"/>
                <w:lang w:val="en-GB"/>
              </w:rPr>
              <w:t>22</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measurement reported by beneficiaries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The end goal is people transferred with AMIF support</w:t>
            </w:r>
          </w:p>
        </w:tc>
      </w:tr>
    </w:tbl>
    <w:p w:rsidR="00A77B3E" w:rsidRPr="00701ADE" w:rsidRDefault="00A77B3E">
      <w:pPr>
        <w:spacing w:before="100"/>
        <w:rPr>
          <w:color w:val="000000"/>
          <w:sz w:val="20"/>
          <w:lang w:val="en-GB"/>
        </w:rPr>
        <w:sectPr w:rsidR="00A77B3E" w:rsidRPr="00701ADE">
          <w:headerReference w:type="even" r:id="rId45"/>
          <w:headerReference w:type="default" r:id="rId46"/>
          <w:footerReference w:type="even" r:id="rId47"/>
          <w:footerReference w:type="default" r:id="rId48"/>
          <w:headerReference w:type="first" r:id="rId49"/>
          <w:footerReference w:type="first" r:id="rId50"/>
          <w:pgSz w:w="16838" w:h="11906" w:orient="landscape"/>
          <w:pgMar w:top="720" w:right="720" w:bottom="864" w:left="936" w:header="288" w:footer="72" w:gutter="0"/>
          <w:cols w:space="720"/>
          <w:noEndnote/>
          <w:docGrid w:linePitch="360"/>
        </w:sectPr>
      </w:pPr>
    </w:p>
    <w:p w:rsidR="00A77B3E" w:rsidRPr="00701ADE" w:rsidRDefault="00BB4ED7">
      <w:pPr>
        <w:spacing w:before="100"/>
        <w:rPr>
          <w:color w:val="000000"/>
          <w:sz w:val="0"/>
          <w:lang w:val="en-GB"/>
        </w:rPr>
      </w:pPr>
      <w:r w:rsidRPr="00701ADE">
        <w:rPr>
          <w:color w:val="000000"/>
          <w:lang w:val="en-GB"/>
        </w:rPr>
        <w:t>2.1. Specific objective: 3. Return</w:t>
      </w:r>
    </w:p>
    <w:p w:rsidR="00A77B3E" w:rsidRPr="00701ADE" w:rsidRDefault="00BB4ED7">
      <w:pPr>
        <w:pStyle w:val="Nagwek3"/>
        <w:spacing w:before="100" w:after="0"/>
        <w:rPr>
          <w:rFonts w:ascii="Times New Roman" w:hAnsi="Times New Roman" w:cs="Times New Roman"/>
          <w:b w:val="0"/>
          <w:color w:val="000000"/>
          <w:sz w:val="24"/>
          <w:lang w:val="en-GB"/>
        </w:rPr>
      </w:pPr>
      <w:bookmarkStart w:id="22" w:name="_Toc126925398"/>
      <w:r w:rsidRPr="00701ADE">
        <w:rPr>
          <w:rFonts w:ascii="Times New Roman" w:hAnsi="Times New Roman" w:cs="Times New Roman"/>
          <w:b w:val="0"/>
          <w:color w:val="000000"/>
          <w:sz w:val="24"/>
          <w:lang w:val="en-GB"/>
        </w:rPr>
        <w:t>2.1.3. Indicative breakdown of programme resources (EU) by type of intervention</w:t>
      </w:r>
      <w:bookmarkEnd w:id="22"/>
    </w:p>
    <w:p w:rsidR="00A77B3E" w:rsidRPr="00701ADE" w:rsidRDefault="00BB4ED7">
      <w:pPr>
        <w:spacing w:before="100"/>
        <w:rPr>
          <w:color w:val="000000"/>
          <w:lang w:val="en-GB"/>
        </w:rPr>
      </w:pPr>
      <w:r w:rsidRPr="00701ADE">
        <w:rPr>
          <w:color w:val="000000"/>
          <w:lang w:val="en-GB"/>
        </w:rPr>
        <w:t>Reference: Article 22(5) of the Common Provisions Regulation and Article 16(12) of the AMIF Regulation, Article 13(12) of the ISF Regulation or Article 13(18) of the BMVI Regulation</w:t>
      </w:r>
    </w:p>
    <w:p w:rsidR="00A77B3E" w:rsidRPr="00701ADE" w:rsidRDefault="00BB4ED7">
      <w:pPr>
        <w:pStyle w:val="Nagwek4"/>
        <w:spacing w:before="100" w:after="0"/>
        <w:rPr>
          <w:b w:val="0"/>
          <w:color w:val="000000"/>
          <w:sz w:val="24"/>
          <w:lang w:val="en-GB"/>
        </w:rPr>
      </w:pPr>
      <w:bookmarkStart w:id="23" w:name="_Toc126925399"/>
      <w:r w:rsidRPr="00701ADE">
        <w:rPr>
          <w:b w:val="0"/>
          <w:color w:val="000000"/>
          <w:sz w:val="24"/>
          <w:lang w:val="en-GB"/>
        </w:rPr>
        <w:t>Table 3: Indicative breakdown</w:t>
      </w:r>
      <w:bookmarkEnd w:id="23"/>
    </w:p>
    <w:p w:rsidR="00A77B3E" w:rsidRPr="00701ADE" w:rsidRDefault="00A77B3E">
      <w:pPr>
        <w:spacing w:before="100"/>
        <w:rPr>
          <w:color w:val="000000"/>
          <w:sz w:val="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2"/>
        <w:gridCol w:w="8202"/>
        <w:gridCol w:w="3988"/>
      </w:tblGrid>
      <w:tr w:rsidR="004B75EC" w:rsidRPr="00701ADE">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Type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Code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20"/>
                <w:lang w:val="en-GB"/>
              </w:rPr>
            </w:pPr>
            <w:r w:rsidRPr="00701ADE">
              <w:rPr>
                <w:color w:val="000000"/>
                <w:sz w:val="20"/>
                <w:lang w:val="en-GB"/>
              </w:rPr>
              <w:t>Indicative amount (in EUR)</w:t>
            </w:r>
          </w:p>
        </w:tc>
      </w:tr>
      <w:tr w:rsidR="004B75EC" w:rsidRPr="00701ADE">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001.Alternatives to detention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20"/>
                <w:lang w:val="en-GB"/>
              </w:rPr>
            </w:pPr>
            <w:r w:rsidRPr="00701ADE">
              <w:rPr>
                <w:color w:val="000000"/>
                <w:sz w:val="20"/>
                <w:lang w:val="en-GB"/>
              </w:rPr>
              <w:t>0.00</w:t>
            </w:r>
          </w:p>
        </w:tc>
      </w:tr>
      <w:tr w:rsidR="004B75EC" w:rsidRPr="00701ADE">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002.Reception/detention conditions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20"/>
                <w:lang w:val="en-GB"/>
              </w:rPr>
            </w:pPr>
            <w:r w:rsidRPr="00701ADE">
              <w:rPr>
                <w:color w:val="000000"/>
                <w:sz w:val="20"/>
                <w:lang w:val="en-GB"/>
              </w:rPr>
              <w:t>13,000,000.00</w:t>
            </w:r>
          </w:p>
        </w:tc>
      </w:tr>
      <w:tr w:rsidR="004B75EC" w:rsidRPr="00701ADE">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 xml:space="preserve">003.Return procedures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20"/>
                <w:lang w:val="en-GB"/>
              </w:rPr>
            </w:pPr>
            <w:r w:rsidRPr="00701ADE">
              <w:rPr>
                <w:color w:val="000000"/>
                <w:sz w:val="20"/>
                <w:lang w:val="en-GB"/>
              </w:rPr>
              <w:t>8,000,000.00</w:t>
            </w:r>
          </w:p>
        </w:tc>
      </w:tr>
      <w:tr w:rsidR="004B75EC" w:rsidRPr="00701ADE">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 xml:space="preserve">004.Assisted voluntary return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20"/>
                <w:lang w:val="en-GB"/>
              </w:rPr>
            </w:pPr>
            <w:r w:rsidRPr="00701ADE">
              <w:rPr>
                <w:color w:val="000000"/>
                <w:sz w:val="20"/>
                <w:lang w:val="en-GB"/>
              </w:rPr>
              <w:t>4,000,000.00</w:t>
            </w:r>
          </w:p>
        </w:tc>
      </w:tr>
      <w:tr w:rsidR="004B75EC" w:rsidRPr="00701ADE">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005.Reintegration assistance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20"/>
                <w:lang w:val="en-GB"/>
              </w:rPr>
            </w:pPr>
            <w:r w:rsidRPr="00701ADE">
              <w:rPr>
                <w:color w:val="000000"/>
                <w:sz w:val="20"/>
                <w:lang w:val="en-GB"/>
              </w:rPr>
              <w:t>1,600,000.00</w:t>
            </w:r>
          </w:p>
        </w:tc>
      </w:tr>
      <w:tr w:rsidR="004B75EC" w:rsidRPr="00701ADE">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006.Removal/Return operations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20"/>
                <w:lang w:val="en-GB"/>
              </w:rPr>
            </w:pPr>
            <w:r w:rsidRPr="00701ADE">
              <w:rPr>
                <w:color w:val="000000"/>
                <w:sz w:val="20"/>
                <w:lang w:val="en-GB"/>
              </w:rPr>
              <w:t>8,122,422.00</w:t>
            </w:r>
          </w:p>
        </w:tc>
      </w:tr>
      <w:tr w:rsidR="004B75EC" w:rsidRPr="00701ADE">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007.Forced-return monitoring system</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20"/>
                <w:lang w:val="en-GB"/>
              </w:rPr>
            </w:pPr>
            <w:r w:rsidRPr="00701ADE">
              <w:rPr>
                <w:color w:val="000000"/>
                <w:sz w:val="20"/>
                <w:lang w:val="en-GB"/>
              </w:rPr>
              <w:t>300,000.00</w:t>
            </w:r>
          </w:p>
        </w:tc>
      </w:tr>
      <w:tr w:rsidR="004B75EC" w:rsidRPr="00701ADE">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008.Vulnerable persons/unaccompanied minors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20"/>
                <w:lang w:val="en-GB"/>
              </w:rPr>
            </w:pPr>
            <w:r w:rsidRPr="00701ADE">
              <w:rPr>
                <w:color w:val="000000"/>
                <w:sz w:val="20"/>
                <w:lang w:val="en-GB"/>
              </w:rPr>
              <w:t>3,000,000.00</w:t>
            </w:r>
          </w:p>
        </w:tc>
      </w:tr>
      <w:tr w:rsidR="004B75EC" w:rsidRPr="00701ADE">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009.Measures addressing incentives for irregular migration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20"/>
                <w:lang w:val="en-GB"/>
              </w:rPr>
            </w:pPr>
            <w:r w:rsidRPr="00701ADE">
              <w:rPr>
                <w:color w:val="000000"/>
                <w:sz w:val="20"/>
                <w:lang w:val="en-GB"/>
              </w:rPr>
              <w:t>8,000,000.00</w:t>
            </w:r>
          </w:p>
        </w:tc>
      </w:tr>
      <w:tr w:rsidR="004B75EC" w:rsidRPr="00701ADE">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010.Operating support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20"/>
                <w:lang w:val="en-GB"/>
              </w:rPr>
            </w:pPr>
            <w:r w:rsidRPr="00701ADE">
              <w:rPr>
                <w:color w:val="000000"/>
                <w:sz w:val="20"/>
                <w:lang w:val="en-GB"/>
              </w:rPr>
              <w:t>600,000.00</w:t>
            </w:r>
          </w:p>
        </w:tc>
      </w:tr>
    </w:tbl>
    <w:p w:rsidR="00A77B3E" w:rsidRPr="00701ADE" w:rsidRDefault="00A77B3E">
      <w:pPr>
        <w:spacing w:before="100"/>
        <w:rPr>
          <w:color w:val="000000"/>
          <w:sz w:val="20"/>
          <w:lang w:val="en-GB"/>
        </w:rPr>
        <w:sectPr w:rsidR="00A77B3E" w:rsidRPr="00701ADE">
          <w:pgSz w:w="16838" w:h="11906" w:orient="landscape"/>
          <w:pgMar w:top="720" w:right="720" w:bottom="864" w:left="936" w:header="288" w:footer="72" w:gutter="0"/>
          <w:cols w:space="720"/>
          <w:noEndnote/>
          <w:docGrid w:linePitch="360"/>
        </w:sectPr>
      </w:pPr>
    </w:p>
    <w:p w:rsidR="00A77B3E" w:rsidRPr="00701ADE" w:rsidRDefault="00BB4ED7">
      <w:pPr>
        <w:pStyle w:val="Nagwek2"/>
        <w:spacing w:before="100" w:after="0"/>
        <w:rPr>
          <w:rFonts w:ascii="Times New Roman" w:hAnsi="Times New Roman" w:cs="Times New Roman"/>
          <w:b w:val="0"/>
          <w:i w:val="0"/>
          <w:color w:val="000000"/>
          <w:sz w:val="24"/>
          <w:lang w:val="en-GB"/>
        </w:rPr>
      </w:pPr>
      <w:bookmarkStart w:id="24" w:name="_Toc126925400"/>
      <w:r w:rsidRPr="00701ADE">
        <w:rPr>
          <w:rFonts w:ascii="Times New Roman" w:hAnsi="Times New Roman" w:cs="Times New Roman"/>
          <w:b w:val="0"/>
          <w:i w:val="0"/>
          <w:color w:val="000000"/>
          <w:sz w:val="24"/>
          <w:lang w:val="en-GB"/>
        </w:rPr>
        <w:t>2.1. Specific objective: 4. Solidarity</w:t>
      </w:r>
      <w:bookmarkEnd w:id="24"/>
    </w:p>
    <w:p w:rsidR="00A77B3E" w:rsidRPr="00701ADE" w:rsidRDefault="00A77B3E">
      <w:pPr>
        <w:spacing w:before="100"/>
        <w:rPr>
          <w:color w:val="000000"/>
          <w:sz w:val="0"/>
          <w:lang w:val="en-GB"/>
        </w:rPr>
      </w:pPr>
    </w:p>
    <w:p w:rsidR="00A77B3E" w:rsidRPr="00701ADE" w:rsidRDefault="00BB4ED7">
      <w:pPr>
        <w:pStyle w:val="Nagwek3"/>
        <w:spacing w:before="100" w:after="0"/>
        <w:rPr>
          <w:rFonts w:ascii="Times New Roman" w:hAnsi="Times New Roman" w:cs="Times New Roman"/>
          <w:b w:val="0"/>
          <w:color w:val="000000"/>
          <w:sz w:val="24"/>
          <w:lang w:val="en-GB"/>
        </w:rPr>
      </w:pPr>
      <w:bookmarkStart w:id="25" w:name="_Toc126925401"/>
      <w:r w:rsidRPr="00701ADE">
        <w:rPr>
          <w:rFonts w:ascii="Times New Roman" w:hAnsi="Times New Roman" w:cs="Times New Roman"/>
          <w:b w:val="0"/>
          <w:color w:val="000000"/>
          <w:sz w:val="24"/>
          <w:lang w:val="en-GB"/>
        </w:rPr>
        <w:t>2.1.1. Description of the specific objective</w:t>
      </w:r>
      <w:bookmarkEnd w:id="25"/>
    </w:p>
    <w:p w:rsidR="00A77B3E" w:rsidRPr="00701ADE" w:rsidRDefault="00A77B3E">
      <w:pPr>
        <w:spacing w:before="100"/>
        <w:rPr>
          <w:color w:val="000000"/>
          <w:sz w:val="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4B75EC" w:rsidRPr="00701ADE">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A77B3E">
            <w:pPr>
              <w:spacing w:before="100"/>
              <w:rPr>
                <w:color w:val="000000"/>
                <w:sz w:val="0"/>
                <w:lang w:val="en-GB"/>
              </w:rPr>
            </w:pPr>
          </w:p>
          <w:p w:rsidR="00A77B3E" w:rsidRPr="00701ADE" w:rsidRDefault="00BB4ED7">
            <w:pPr>
              <w:spacing w:before="100"/>
              <w:rPr>
                <w:color w:val="000000"/>
                <w:lang w:val="en-GB"/>
              </w:rPr>
            </w:pPr>
            <w:r w:rsidRPr="00701ADE">
              <w:rPr>
                <w:color w:val="000000"/>
                <w:lang w:val="en-GB"/>
              </w:rPr>
              <w:t>Poland has not decided to participate in the resettlement and humanitarian admission scheme or humanitarian admission of vulnerable persons under Article 19 of the AMIF Regulation (2021/1147).</w:t>
            </w:r>
          </w:p>
          <w:p w:rsidR="00A77B3E" w:rsidRPr="00701ADE" w:rsidRDefault="00A77B3E">
            <w:pPr>
              <w:spacing w:before="100"/>
              <w:rPr>
                <w:color w:val="000000"/>
                <w:lang w:val="en-GB"/>
              </w:rPr>
            </w:pPr>
          </w:p>
          <w:p w:rsidR="00A77B3E" w:rsidRPr="00701ADE" w:rsidRDefault="00BB4ED7">
            <w:pPr>
              <w:spacing w:before="100"/>
              <w:rPr>
                <w:color w:val="000000"/>
                <w:lang w:val="en-GB"/>
              </w:rPr>
            </w:pPr>
            <w:r w:rsidRPr="00701ADE">
              <w:rPr>
                <w:color w:val="000000"/>
                <w:lang w:val="en-GB"/>
              </w:rPr>
              <w:t xml:space="preserve">Poland has not decided to participate in the scheme for transfer of applicants for international protection or of beneficiaries of international protection (transfer in/transfer out). </w:t>
            </w:r>
          </w:p>
          <w:p w:rsidR="00A77B3E" w:rsidRPr="00701ADE" w:rsidRDefault="00A77B3E">
            <w:pPr>
              <w:spacing w:before="100"/>
              <w:rPr>
                <w:color w:val="000000"/>
                <w:lang w:val="en-GB"/>
              </w:rPr>
            </w:pPr>
          </w:p>
        </w:tc>
      </w:tr>
    </w:tbl>
    <w:p w:rsidR="00A77B3E" w:rsidRPr="00701ADE" w:rsidRDefault="00A77B3E">
      <w:pPr>
        <w:spacing w:before="100"/>
        <w:rPr>
          <w:color w:val="000000"/>
          <w:lang w:val="en-GB"/>
        </w:rPr>
        <w:sectPr w:rsidR="00A77B3E" w:rsidRPr="00701ADE">
          <w:headerReference w:type="even" r:id="rId51"/>
          <w:headerReference w:type="default" r:id="rId52"/>
          <w:footerReference w:type="even" r:id="rId53"/>
          <w:footerReference w:type="default" r:id="rId54"/>
          <w:headerReference w:type="first" r:id="rId55"/>
          <w:footerReference w:type="first" r:id="rId56"/>
          <w:pgSz w:w="11906" w:h="16838"/>
          <w:pgMar w:top="720" w:right="936" w:bottom="864" w:left="720" w:header="0" w:footer="72" w:gutter="0"/>
          <w:cols w:space="720"/>
          <w:noEndnote/>
          <w:docGrid w:linePitch="360"/>
        </w:sectPr>
      </w:pPr>
    </w:p>
    <w:p w:rsidR="00A77B3E" w:rsidRPr="00701ADE" w:rsidRDefault="00BB4ED7">
      <w:pPr>
        <w:spacing w:before="100"/>
        <w:rPr>
          <w:color w:val="000000"/>
          <w:lang w:val="en-GB"/>
        </w:rPr>
      </w:pPr>
      <w:r w:rsidRPr="00701ADE">
        <w:rPr>
          <w:color w:val="000000"/>
          <w:lang w:val="en-GB"/>
        </w:rPr>
        <w:t>2.1. Specific objective: 4. Solidarity</w:t>
      </w:r>
    </w:p>
    <w:p w:rsidR="00A77B3E" w:rsidRPr="00701ADE" w:rsidRDefault="00BB4ED7">
      <w:pPr>
        <w:pStyle w:val="Nagwek3"/>
        <w:spacing w:before="100" w:after="0"/>
        <w:rPr>
          <w:rFonts w:ascii="Times New Roman" w:hAnsi="Times New Roman" w:cs="Times New Roman"/>
          <w:b w:val="0"/>
          <w:color w:val="000000"/>
          <w:sz w:val="24"/>
          <w:lang w:val="en-GB"/>
        </w:rPr>
      </w:pPr>
      <w:bookmarkStart w:id="26" w:name="_Toc126925402"/>
      <w:r w:rsidRPr="00701ADE">
        <w:rPr>
          <w:rFonts w:ascii="Times New Roman" w:hAnsi="Times New Roman" w:cs="Times New Roman"/>
          <w:b w:val="0"/>
          <w:color w:val="000000"/>
          <w:sz w:val="24"/>
          <w:lang w:val="en-GB"/>
        </w:rPr>
        <w:t>2.1.2. Indicators</w:t>
      </w:r>
      <w:bookmarkEnd w:id="26"/>
    </w:p>
    <w:p w:rsidR="00A77B3E" w:rsidRPr="00701ADE" w:rsidRDefault="00BB4ED7">
      <w:pPr>
        <w:spacing w:before="100"/>
        <w:rPr>
          <w:color w:val="000000"/>
          <w:sz w:val="12"/>
          <w:lang w:val="en-GB"/>
        </w:rPr>
      </w:pPr>
      <w:r w:rsidRPr="00701ADE">
        <w:rPr>
          <w:color w:val="000000"/>
          <w:lang w:val="en-GB"/>
        </w:rPr>
        <w:t>Reference: Article 22(4)(e) of the Common Provisions Regulation</w:t>
      </w:r>
    </w:p>
    <w:p w:rsidR="00A77B3E" w:rsidRPr="00701ADE" w:rsidRDefault="00BB4ED7">
      <w:pPr>
        <w:pStyle w:val="Nagwek4"/>
        <w:spacing w:before="100" w:after="0"/>
        <w:rPr>
          <w:b w:val="0"/>
          <w:color w:val="000000"/>
          <w:sz w:val="24"/>
          <w:lang w:val="en-GB"/>
        </w:rPr>
      </w:pPr>
      <w:bookmarkStart w:id="27" w:name="_Toc126925403"/>
      <w:r w:rsidRPr="00701ADE">
        <w:rPr>
          <w:b w:val="0"/>
          <w:color w:val="000000"/>
          <w:sz w:val="24"/>
          <w:lang w:val="en-GB"/>
        </w:rPr>
        <w:t>Table 1: Output indicators</w:t>
      </w:r>
      <w:bookmarkEnd w:id="27"/>
    </w:p>
    <w:p w:rsidR="00A77B3E" w:rsidRPr="00701ADE" w:rsidRDefault="00A77B3E">
      <w:pPr>
        <w:spacing w:before="100"/>
        <w:rPr>
          <w:color w:val="000000"/>
          <w:sz w:val="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7593"/>
        <w:gridCol w:w="2446"/>
        <w:gridCol w:w="2343"/>
        <w:gridCol w:w="1910"/>
      </w:tblGrid>
      <w:tr w:rsidR="004B75EC" w:rsidRPr="00701ADE">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sz w:val="20"/>
                <w:lang w:val="en-GB"/>
              </w:rPr>
            </w:pPr>
            <w:r w:rsidRPr="00701ADE">
              <w:rPr>
                <w:color w:val="000000"/>
                <w:sz w:val="20"/>
                <w:lang w:val="en-GB"/>
              </w:rPr>
              <w:t>ID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sz w:val="20"/>
                <w:lang w:val="en-GB"/>
              </w:rPr>
            </w:pPr>
            <w:r w:rsidRPr="00701ADE">
              <w:rPr>
                <w:color w:val="000000"/>
                <w:sz w:val="20"/>
                <w:lang w:val="en-GB"/>
              </w:rPr>
              <w:t>Indicator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sz w:val="20"/>
                <w:lang w:val="en-GB"/>
              </w:rPr>
            </w:pPr>
            <w:r w:rsidRPr="00701ADE">
              <w:rPr>
                <w:color w:val="000000"/>
                <w:sz w:val="20"/>
                <w:lang w:val="en-GB"/>
              </w:rPr>
              <w:t>Measurement unit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sz w:val="20"/>
                <w:lang w:val="en-GB"/>
              </w:rPr>
            </w:pPr>
            <w:r w:rsidRPr="00701ADE">
              <w:rPr>
                <w:color w:val="000000"/>
                <w:sz w:val="20"/>
                <w:lang w:val="en-GB"/>
              </w:rPr>
              <w:t>Milestone (2024)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sz w:val="20"/>
                <w:lang w:val="en-GB"/>
              </w:rPr>
            </w:pPr>
            <w:r w:rsidRPr="00701ADE">
              <w:rPr>
                <w:color w:val="000000"/>
                <w:sz w:val="20"/>
                <w:lang w:val="en-GB"/>
              </w:rPr>
              <w:t>Target (2029)</w:t>
            </w:r>
          </w:p>
        </w:tc>
      </w:tr>
      <w:tr w:rsidR="004B75EC" w:rsidRPr="00701ADE">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rPr>
                <w:color w:val="000000"/>
                <w:sz w:val="20"/>
                <w:lang w:val="en-GB"/>
              </w:rPr>
            </w:pPr>
            <w:r w:rsidRPr="00701ADE">
              <w:rPr>
                <w:color w:val="000000"/>
                <w:sz w:val="20"/>
                <w:lang w:val="en-GB"/>
              </w:rPr>
              <w:t>O.4.1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rPr>
                <w:color w:val="000000"/>
                <w:sz w:val="20"/>
                <w:lang w:val="en-GB"/>
              </w:rPr>
            </w:pPr>
            <w:r w:rsidRPr="00701ADE">
              <w:rPr>
                <w:color w:val="000000"/>
                <w:sz w:val="20"/>
                <w:lang w:val="en-GB"/>
              </w:rPr>
              <w:t>Number of staff trained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rPr>
                <w:color w:val="000000"/>
                <w:sz w:val="20"/>
                <w:lang w:val="en-GB"/>
              </w:rPr>
            </w:pPr>
            <w:r w:rsidRPr="00701ADE">
              <w:rPr>
                <w:color w:val="000000"/>
                <w:sz w:val="20"/>
                <w:lang w:val="en-GB"/>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right"/>
              <w:rPr>
                <w:color w:val="000000"/>
                <w:sz w:val="20"/>
                <w:lang w:val="en-GB"/>
              </w:rPr>
            </w:pPr>
            <w:r w:rsidRPr="00701ADE">
              <w:rPr>
                <w:color w:val="000000"/>
                <w:sz w:val="20"/>
                <w:lang w:val="en-GB"/>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right"/>
              <w:rPr>
                <w:color w:val="000000"/>
                <w:sz w:val="20"/>
                <w:lang w:val="en-GB"/>
              </w:rPr>
            </w:pPr>
            <w:r w:rsidRPr="00701ADE">
              <w:rPr>
                <w:color w:val="000000"/>
                <w:sz w:val="20"/>
                <w:lang w:val="en-GB"/>
              </w:rPr>
              <w:t>0</w:t>
            </w:r>
          </w:p>
        </w:tc>
      </w:tr>
      <w:tr w:rsidR="004B75EC" w:rsidRPr="00701ADE">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rPr>
                <w:color w:val="000000"/>
                <w:sz w:val="20"/>
                <w:lang w:val="en-GB"/>
              </w:rPr>
            </w:pPr>
            <w:r w:rsidRPr="00701ADE">
              <w:rPr>
                <w:color w:val="000000"/>
                <w:sz w:val="20"/>
                <w:lang w:val="en-GB"/>
              </w:rPr>
              <w:t>O.4.2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rPr>
                <w:color w:val="000000"/>
                <w:sz w:val="20"/>
                <w:lang w:val="en-GB"/>
              </w:rPr>
            </w:pPr>
            <w:r w:rsidRPr="00701ADE">
              <w:rPr>
                <w:color w:val="000000"/>
                <w:sz w:val="20"/>
                <w:lang w:val="en-GB"/>
              </w:rPr>
              <w:t>Number of participants who received pre-departure support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rPr>
                <w:color w:val="000000"/>
                <w:sz w:val="20"/>
                <w:lang w:val="en-GB"/>
              </w:rPr>
            </w:pPr>
            <w:r w:rsidRPr="00701ADE">
              <w:rPr>
                <w:color w:val="000000"/>
                <w:sz w:val="20"/>
                <w:lang w:val="en-GB"/>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right"/>
              <w:rPr>
                <w:color w:val="000000"/>
                <w:sz w:val="20"/>
                <w:lang w:val="en-GB"/>
              </w:rPr>
            </w:pPr>
            <w:r w:rsidRPr="00701ADE">
              <w:rPr>
                <w:color w:val="000000"/>
                <w:sz w:val="20"/>
                <w:lang w:val="en-GB"/>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right"/>
              <w:rPr>
                <w:color w:val="000000"/>
                <w:sz w:val="20"/>
                <w:lang w:val="en-GB"/>
              </w:rPr>
            </w:pPr>
            <w:r w:rsidRPr="00701ADE">
              <w:rPr>
                <w:color w:val="000000"/>
                <w:sz w:val="20"/>
                <w:lang w:val="en-GB"/>
              </w:rPr>
              <w:t>0</w:t>
            </w:r>
          </w:p>
        </w:tc>
      </w:tr>
    </w:tbl>
    <w:p w:rsidR="00A77B3E" w:rsidRPr="00701ADE" w:rsidRDefault="00BB4ED7">
      <w:pPr>
        <w:spacing w:before="100"/>
        <w:rPr>
          <w:color w:val="000000"/>
          <w:lang w:val="en-GB"/>
        </w:rPr>
      </w:pPr>
      <w:r w:rsidRPr="00701ADE">
        <w:rPr>
          <w:color w:val="000000"/>
          <w:sz w:val="20"/>
          <w:lang w:val="en-GB"/>
        </w:rPr>
        <w:br w:type="page"/>
      </w:r>
      <w:r w:rsidRPr="00701ADE">
        <w:rPr>
          <w:color w:val="000000"/>
          <w:lang w:val="en-GB"/>
        </w:rPr>
        <w:t>2.1. Specific objective: 4. Solidarity</w:t>
      </w:r>
    </w:p>
    <w:p w:rsidR="00A77B3E" w:rsidRPr="00701ADE" w:rsidRDefault="00BB4ED7">
      <w:pPr>
        <w:spacing w:before="100"/>
        <w:rPr>
          <w:color w:val="000000"/>
          <w:sz w:val="0"/>
          <w:lang w:val="en-GB"/>
        </w:rPr>
      </w:pPr>
      <w:r w:rsidRPr="00701ADE">
        <w:rPr>
          <w:color w:val="000000"/>
          <w:lang w:val="en-GB"/>
        </w:rPr>
        <w:t>2.1.2. Indicators</w:t>
      </w:r>
    </w:p>
    <w:p w:rsidR="00A77B3E" w:rsidRPr="00701ADE" w:rsidRDefault="00BB4ED7">
      <w:pPr>
        <w:spacing w:before="100"/>
        <w:rPr>
          <w:color w:val="000000"/>
          <w:sz w:val="12"/>
          <w:lang w:val="en-GB"/>
        </w:rPr>
      </w:pPr>
      <w:r w:rsidRPr="00701ADE">
        <w:rPr>
          <w:color w:val="000000"/>
          <w:lang w:val="en-GB"/>
        </w:rPr>
        <w:t>Reference: Article 22(4)(e) of the Common Provisions Regulation</w:t>
      </w:r>
    </w:p>
    <w:p w:rsidR="00A77B3E" w:rsidRPr="00701ADE" w:rsidRDefault="00BB4ED7">
      <w:pPr>
        <w:pStyle w:val="Nagwek4"/>
        <w:spacing w:before="100" w:after="0"/>
        <w:rPr>
          <w:b w:val="0"/>
          <w:color w:val="000000"/>
          <w:sz w:val="24"/>
          <w:lang w:val="en-GB"/>
        </w:rPr>
      </w:pPr>
      <w:bookmarkStart w:id="28" w:name="_Toc126925404"/>
      <w:r w:rsidRPr="00701ADE">
        <w:rPr>
          <w:b w:val="0"/>
          <w:color w:val="000000"/>
          <w:sz w:val="24"/>
          <w:lang w:val="en-GB"/>
        </w:rPr>
        <w:t>Table 2: Result indicators</w:t>
      </w:r>
      <w:bookmarkEnd w:id="28"/>
    </w:p>
    <w:p w:rsidR="00A77B3E" w:rsidRPr="00701ADE" w:rsidRDefault="00A77B3E">
      <w:pPr>
        <w:spacing w:before="100"/>
        <w:rPr>
          <w:color w:val="000000"/>
          <w:sz w:val="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2276"/>
        <w:gridCol w:w="1517"/>
        <w:gridCol w:w="1517"/>
        <w:gridCol w:w="1517"/>
        <w:gridCol w:w="1517"/>
        <w:gridCol w:w="1517"/>
        <w:gridCol w:w="1517"/>
        <w:gridCol w:w="1517"/>
        <w:gridCol w:w="1517"/>
      </w:tblGrid>
      <w:tr w:rsidR="004B75EC" w:rsidRPr="00701ADE">
        <w:trPr>
          <w:tblHeader/>
        </w:trPr>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sz w:val="20"/>
                <w:lang w:val="en-GB"/>
              </w:rPr>
            </w:pPr>
            <w:r w:rsidRPr="00701ADE">
              <w:rPr>
                <w:color w:val="000000"/>
                <w:sz w:val="20"/>
                <w:lang w:val="en-GB"/>
              </w:rPr>
              <w:t>ID</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sz w:val="20"/>
                <w:lang w:val="en-GB"/>
              </w:rPr>
            </w:pPr>
            <w:r w:rsidRPr="00701ADE">
              <w:rPr>
                <w:color w:val="000000"/>
                <w:sz w:val="20"/>
                <w:lang w:val="en-GB"/>
              </w:rPr>
              <w:t>Indicator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sz w:val="20"/>
                <w:lang w:val="en-GB"/>
              </w:rPr>
            </w:pPr>
            <w:r w:rsidRPr="00701ADE">
              <w:rPr>
                <w:color w:val="000000"/>
                <w:sz w:val="20"/>
                <w:lang w:val="en-GB"/>
              </w:rPr>
              <w:t>Measurement unit</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sz w:val="20"/>
                <w:lang w:val="en-GB"/>
              </w:rPr>
            </w:pPr>
            <w:r w:rsidRPr="00701ADE">
              <w:rPr>
                <w:color w:val="000000"/>
                <w:sz w:val="20"/>
                <w:lang w:val="en-GB"/>
              </w:rPr>
              <w:t>Baseline value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sz w:val="20"/>
                <w:lang w:val="en-GB"/>
              </w:rPr>
            </w:pPr>
            <w:r w:rsidRPr="00701ADE">
              <w:rPr>
                <w:color w:val="000000"/>
                <w:sz w:val="20"/>
                <w:lang w:val="en-GB"/>
              </w:rPr>
              <w:t>Baseline value measurement unit</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sz w:val="20"/>
                <w:lang w:val="en-GB"/>
              </w:rPr>
            </w:pPr>
            <w:r w:rsidRPr="00701ADE">
              <w:rPr>
                <w:color w:val="000000"/>
                <w:sz w:val="20"/>
                <w:lang w:val="en-GB"/>
              </w:rPr>
              <w:t>Reference year/years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sz w:val="20"/>
                <w:lang w:val="en-GB"/>
              </w:rPr>
            </w:pPr>
            <w:r w:rsidRPr="00701ADE">
              <w:rPr>
                <w:color w:val="000000"/>
                <w:sz w:val="20"/>
                <w:lang w:val="en-GB"/>
              </w:rPr>
              <w:t>Target (2029)</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sz w:val="20"/>
                <w:lang w:val="en-GB"/>
              </w:rPr>
            </w:pPr>
            <w:r w:rsidRPr="00701ADE">
              <w:rPr>
                <w:color w:val="000000"/>
                <w:sz w:val="20"/>
                <w:lang w:val="en-GB"/>
              </w:rPr>
              <w:t>Target measurement unit</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sz w:val="20"/>
                <w:lang w:val="en-GB"/>
              </w:rPr>
            </w:pPr>
            <w:r w:rsidRPr="00701ADE">
              <w:rPr>
                <w:color w:val="000000"/>
                <w:sz w:val="20"/>
                <w:lang w:val="en-GB"/>
              </w:rPr>
              <w:t>Source of data</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rPr>
                <w:color w:val="000000"/>
                <w:sz w:val="20"/>
                <w:lang w:val="en-GB"/>
              </w:rPr>
            </w:pPr>
            <w:r w:rsidRPr="00701ADE">
              <w:rPr>
                <w:color w:val="000000"/>
                <w:sz w:val="20"/>
                <w:lang w:val="en-GB"/>
              </w:rPr>
              <w:t>Comments</w:t>
            </w:r>
          </w:p>
        </w:tc>
      </w:tr>
      <w:tr w:rsidR="004B75EC" w:rsidRPr="00701ADE">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R.4.3</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Number of applicants for and beneficiaries of international protection transferred from one Member State to another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center"/>
              <w:rPr>
                <w:color w:val="000000"/>
                <w:sz w:val="20"/>
                <w:lang w:val="en-GB"/>
              </w:rPr>
            </w:pPr>
            <w:r w:rsidRPr="00701ADE">
              <w:rPr>
                <w:color w:val="000000"/>
                <w:sz w:val="20"/>
                <w:lang w:val="en-GB"/>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center"/>
              <w:rPr>
                <w:color w:val="000000"/>
                <w:sz w:val="20"/>
                <w:lang w:val="en-GB"/>
              </w:rPr>
            </w:pPr>
            <w:r w:rsidRPr="00701ADE">
              <w:rPr>
                <w:color w:val="000000"/>
                <w:sz w:val="20"/>
                <w:lang w:val="en-GB"/>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w:t>
            </w:r>
          </w:p>
        </w:tc>
      </w:tr>
      <w:tr w:rsidR="004B75EC" w:rsidRPr="00701ADE">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R.4.4</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Number of persons resettled</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center"/>
              <w:rPr>
                <w:color w:val="000000"/>
                <w:sz w:val="20"/>
                <w:lang w:val="en-GB"/>
              </w:rPr>
            </w:pPr>
            <w:r w:rsidRPr="00701ADE">
              <w:rPr>
                <w:color w:val="000000"/>
                <w:sz w:val="20"/>
                <w:lang w:val="en-GB"/>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center"/>
              <w:rPr>
                <w:color w:val="000000"/>
                <w:sz w:val="20"/>
                <w:lang w:val="en-GB"/>
              </w:rPr>
            </w:pPr>
            <w:r w:rsidRPr="00701ADE">
              <w:rPr>
                <w:color w:val="000000"/>
                <w:sz w:val="20"/>
                <w:lang w:val="en-GB"/>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w:t>
            </w:r>
          </w:p>
        </w:tc>
      </w:tr>
      <w:tr w:rsidR="004B75EC" w:rsidRPr="00701ADE">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R.4.5</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Number of persons admitted through humanitarian admission</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center"/>
              <w:rPr>
                <w:color w:val="000000"/>
                <w:sz w:val="20"/>
                <w:lang w:val="en-GB"/>
              </w:rPr>
            </w:pPr>
            <w:r w:rsidRPr="00701ADE">
              <w:rPr>
                <w:color w:val="000000"/>
                <w:sz w:val="20"/>
                <w:lang w:val="en-GB"/>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center"/>
              <w:rPr>
                <w:color w:val="000000"/>
                <w:sz w:val="20"/>
                <w:lang w:val="en-GB"/>
              </w:rPr>
            </w:pPr>
            <w:r w:rsidRPr="00701ADE">
              <w:rPr>
                <w:color w:val="000000"/>
                <w:sz w:val="20"/>
                <w:lang w:val="en-GB"/>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w:t>
            </w:r>
          </w:p>
        </w:tc>
      </w:tr>
    </w:tbl>
    <w:p w:rsidR="00A77B3E" w:rsidRPr="00701ADE" w:rsidRDefault="00A77B3E">
      <w:pPr>
        <w:spacing w:before="100"/>
        <w:rPr>
          <w:color w:val="000000"/>
          <w:sz w:val="20"/>
          <w:lang w:val="en-GB"/>
        </w:rPr>
        <w:sectPr w:rsidR="00A77B3E" w:rsidRPr="00701ADE">
          <w:headerReference w:type="even" r:id="rId57"/>
          <w:headerReference w:type="default" r:id="rId58"/>
          <w:footerReference w:type="even" r:id="rId59"/>
          <w:footerReference w:type="default" r:id="rId60"/>
          <w:headerReference w:type="first" r:id="rId61"/>
          <w:footerReference w:type="first" r:id="rId62"/>
          <w:pgSz w:w="16838" w:h="11906" w:orient="landscape"/>
          <w:pgMar w:top="720" w:right="720" w:bottom="864" w:left="936" w:header="288" w:footer="72" w:gutter="0"/>
          <w:cols w:space="720"/>
          <w:noEndnote/>
          <w:docGrid w:linePitch="360"/>
        </w:sectPr>
      </w:pPr>
    </w:p>
    <w:p w:rsidR="00A77B3E" w:rsidRPr="00701ADE" w:rsidRDefault="00BB4ED7">
      <w:pPr>
        <w:spacing w:before="100"/>
        <w:rPr>
          <w:color w:val="000000"/>
          <w:sz w:val="0"/>
          <w:lang w:val="en-GB"/>
        </w:rPr>
      </w:pPr>
      <w:r w:rsidRPr="00701ADE">
        <w:rPr>
          <w:color w:val="000000"/>
          <w:lang w:val="en-GB"/>
        </w:rPr>
        <w:t>2.1. Specific objective: 4. Solidarity</w:t>
      </w:r>
    </w:p>
    <w:p w:rsidR="00A77B3E" w:rsidRPr="00701ADE" w:rsidRDefault="00BB4ED7">
      <w:pPr>
        <w:pStyle w:val="Nagwek3"/>
        <w:spacing w:before="100" w:after="0"/>
        <w:rPr>
          <w:rFonts w:ascii="Times New Roman" w:hAnsi="Times New Roman" w:cs="Times New Roman"/>
          <w:b w:val="0"/>
          <w:color w:val="000000"/>
          <w:sz w:val="24"/>
          <w:lang w:val="en-GB"/>
        </w:rPr>
      </w:pPr>
      <w:bookmarkStart w:id="29" w:name="_Toc126925405"/>
      <w:r w:rsidRPr="00701ADE">
        <w:rPr>
          <w:rFonts w:ascii="Times New Roman" w:hAnsi="Times New Roman" w:cs="Times New Roman"/>
          <w:b w:val="0"/>
          <w:color w:val="000000"/>
          <w:sz w:val="24"/>
          <w:lang w:val="en-GB"/>
        </w:rPr>
        <w:t>2.1.3. Indicative breakdown of programme resources (EU) by type of intervention</w:t>
      </w:r>
      <w:bookmarkEnd w:id="29"/>
    </w:p>
    <w:p w:rsidR="00A77B3E" w:rsidRPr="00701ADE" w:rsidRDefault="00BB4ED7">
      <w:pPr>
        <w:spacing w:before="100"/>
        <w:rPr>
          <w:color w:val="000000"/>
          <w:lang w:val="en-GB"/>
        </w:rPr>
      </w:pPr>
      <w:r w:rsidRPr="00701ADE">
        <w:rPr>
          <w:color w:val="000000"/>
          <w:lang w:val="en-GB"/>
        </w:rPr>
        <w:t>Reference: Article 22(5) of the Common Provisions Regulation and Article 16(12) of the AMIF Regulation, Article 13(12) of the ISF Regulation or Article 13(18) of the BMVI Regulation</w:t>
      </w:r>
    </w:p>
    <w:p w:rsidR="00A77B3E" w:rsidRPr="00701ADE" w:rsidRDefault="00BB4ED7">
      <w:pPr>
        <w:pStyle w:val="Nagwek4"/>
        <w:spacing w:before="100" w:after="0"/>
        <w:rPr>
          <w:b w:val="0"/>
          <w:color w:val="000000"/>
          <w:sz w:val="24"/>
          <w:lang w:val="en-GB"/>
        </w:rPr>
      </w:pPr>
      <w:bookmarkStart w:id="30" w:name="_Toc126925406"/>
      <w:r w:rsidRPr="00701ADE">
        <w:rPr>
          <w:b w:val="0"/>
          <w:color w:val="000000"/>
          <w:sz w:val="24"/>
          <w:lang w:val="en-GB"/>
        </w:rPr>
        <w:t>Table 3: Indicative breakdown</w:t>
      </w:r>
      <w:bookmarkEnd w:id="30"/>
    </w:p>
    <w:p w:rsidR="00A77B3E" w:rsidRPr="00701ADE" w:rsidRDefault="00A77B3E">
      <w:pPr>
        <w:spacing w:before="100"/>
        <w:rPr>
          <w:color w:val="000000"/>
          <w:sz w:val="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5"/>
        <w:gridCol w:w="9902"/>
        <w:gridCol w:w="3015"/>
      </w:tblGrid>
      <w:tr w:rsidR="004B75EC" w:rsidRPr="00701ADE">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Type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Code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20"/>
                <w:lang w:val="en-GB"/>
              </w:rPr>
            </w:pPr>
            <w:r w:rsidRPr="00701ADE">
              <w:rPr>
                <w:color w:val="000000"/>
                <w:sz w:val="20"/>
                <w:lang w:val="en-GB"/>
              </w:rPr>
              <w:t>Indicative amount (in EUR)</w:t>
            </w:r>
          </w:p>
        </w:tc>
      </w:tr>
      <w:tr w:rsidR="004B75EC" w:rsidRPr="00701ADE">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001.Transfers to another Member State (relocation)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20"/>
                <w:lang w:val="en-GB"/>
              </w:rPr>
            </w:pPr>
            <w:r w:rsidRPr="00701ADE">
              <w:rPr>
                <w:color w:val="000000"/>
                <w:sz w:val="20"/>
                <w:lang w:val="en-GB"/>
              </w:rPr>
              <w:t>0.00</w:t>
            </w:r>
          </w:p>
        </w:tc>
      </w:tr>
      <w:tr w:rsidR="004B75EC" w:rsidRPr="00701ADE">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002.Support by a Member State to another Member State, including support provided to EASO</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20"/>
                <w:lang w:val="en-GB"/>
              </w:rPr>
            </w:pPr>
            <w:r w:rsidRPr="00701ADE">
              <w:rPr>
                <w:color w:val="000000"/>
                <w:sz w:val="20"/>
                <w:lang w:val="en-GB"/>
              </w:rPr>
              <w:t>0.00</w:t>
            </w:r>
          </w:p>
        </w:tc>
      </w:tr>
      <w:tr w:rsidR="004B75EC" w:rsidRPr="00701ADE">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003.Resettlement (Article 19)</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20"/>
                <w:lang w:val="en-GB"/>
              </w:rPr>
            </w:pPr>
            <w:r w:rsidRPr="00701ADE">
              <w:rPr>
                <w:color w:val="000000"/>
                <w:sz w:val="20"/>
                <w:lang w:val="en-GB"/>
              </w:rPr>
              <w:t>0.00</w:t>
            </w:r>
          </w:p>
        </w:tc>
      </w:tr>
      <w:tr w:rsidR="004B75EC" w:rsidRPr="00701ADE">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004.Humanitarian admission (Article 19)</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20"/>
                <w:lang w:val="en-GB"/>
              </w:rPr>
            </w:pPr>
            <w:r w:rsidRPr="00701ADE">
              <w:rPr>
                <w:color w:val="000000"/>
                <w:sz w:val="20"/>
                <w:lang w:val="en-GB"/>
              </w:rPr>
              <w:t>0.00</w:t>
            </w:r>
          </w:p>
        </w:tc>
      </w:tr>
      <w:tr w:rsidR="004B75EC" w:rsidRPr="00701ADE">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005.Support, in terms of reception infrastructure, to another Member State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20"/>
                <w:lang w:val="en-GB"/>
              </w:rPr>
            </w:pPr>
            <w:r w:rsidRPr="00701ADE">
              <w:rPr>
                <w:color w:val="000000"/>
                <w:sz w:val="20"/>
                <w:lang w:val="en-GB"/>
              </w:rPr>
              <w:t>0.00</w:t>
            </w:r>
          </w:p>
        </w:tc>
      </w:tr>
      <w:tr w:rsidR="004B75EC" w:rsidRPr="00701ADE">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006.Operating support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20"/>
                <w:lang w:val="en-GB"/>
              </w:rPr>
            </w:pPr>
            <w:r w:rsidRPr="00701ADE">
              <w:rPr>
                <w:color w:val="000000"/>
                <w:sz w:val="20"/>
                <w:lang w:val="en-GB"/>
              </w:rPr>
              <w:t>0.00</w:t>
            </w:r>
          </w:p>
        </w:tc>
      </w:tr>
    </w:tbl>
    <w:p w:rsidR="00A77B3E" w:rsidRPr="00701ADE" w:rsidRDefault="00A77B3E">
      <w:pPr>
        <w:spacing w:before="100"/>
        <w:rPr>
          <w:color w:val="000000"/>
          <w:sz w:val="20"/>
          <w:lang w:val="en-GB"/>
        </w:rPr>
        <w:sectPr w:rsidR="00A77B3E" w:rsidRPr="00701ADE">
          <w:pgSz w:w="16838" w:h="11906" w:orient="landscape"/>
          <w:pgMar w:top="720" w:right="720" w:bottom="864" w:left="936" w:header="288" w:footer="72" w:gutter="0"/>
          <w:cols w:space="720"/>
          <w:noEndnote/>
          <w:docGrid w:linePitch="360"/>
        </w:sectPr>
      </w:pPr>
    </w:p>
    <w:p w:rsidR="00A77B3E" w:rsidRPr="00701ADE" w:rsidRDefault="00BB4ED7">
      <w:pPr>
        <w:pStyle w:val="Nagwek2"/>
        <w:spacing w:before="100" w:after="0"/>
        <w:rPr>
          <w:rFonts w:ascii="Times New Roman" w:hAnsi="Times New Roman" w:cs="Times New Roman"/>
          <w:b w:val="0"/>
          <w:i w:val="0"/>
          <w:color w:val="000000"/>
          <w:sz w:val="24"/>
          <w:lang w:val="en-GB"/>
        </w:rPr>
      </w:pPr>
      <w:bookmarkStart w:id="31" w:name="_Toc126925407"/>
      <w:r w:rsidRPr="00701ADE">
        <w:rPr>
          <w:rFonts w:ascii="Times New Roman" w:hAnsi="Times New Roman" w:cs="Times New Roman"/>
          <w:b w:val="0"/>
          <w:i w:val="0"/>
          <w:color w:val="000000"/>
          <w:sz w:val="24"/>
          <w:lang w:val="en-GB"/>
        </w:rPr>
        <w:t>2.2. Technical assistance: TA.36(5). Technical assistance – flat rate (Article 36(5) of the Common Provisions Regulation)</w:t>
      </w:r>
      <w:bookmarkEnd w:id="31"/>
    </w:p>
    <w:p w:rsidR="00A77B3E" w:rsidRPr="00701ADE" w:rsidRDefault="00A77B3E">
      <w:pPr>
        <w:spacing w:before="100"/>
        <w:rPr>
          <w:color w:val="000000"/>
          <w:sz w:val="0"/>
          <w:lang w:val="en-GB"/>
        </w:rPr>
      </w:pPr>
    </w:p>
    <w:p w:rsidR="00A77B3E" w:rsidRPr="00701ADE" w:rsidRDefault="00BB4ED7">
      <w:pPr>
        <w:spacing w:before="100"/>
        <w:rPr>
          <w:color w:val="000000"/>
          <w:sz w:val="0"/>
          <w:lang w:val="en-GB"/>
        </w:rPr>
      </w:pPr>
      <w:r w:rsidRPr="00701ADE">
        <w:rPr>
          <w:color w:val="000000"/>
          <w:lang w:val="en-GB"/>
        </w:rPr>
        <w:t>Reference: Article 22(3)(f), Article 36(5), Article 37 and Article 95 of the Common Provisions Regulation</w:t>
      </w:r>
    </w:p>
    <w:p w:rsidR="00A77B3E" w:rsidRPr="00701ADE" w:rsidRDefault="00BB4ED7">
      <w:pPr>
        <w:pStyle w:val="Nagwek3"/>
        <w:spacing w:before="100" w:after="0"/>
        <w:rPr>
          <w:rFonts w:ascii="Times New Roman" w:hAnsi="Times New Roman" w:cs="Times New Roman"/>
          <w:b w:val="0"/>
          <w:color w:val="000000"/>
          <w:sz w:val="24"/>
          <w:lang w:val="en-GB"/>
        </w:rPr>
      </w:pPr>
      <w:bookmarkStart w:id="32" w:name="_Toc126925408"/>
      <w:r w:rsidRPr="00701ADE">
        <w:rPr>
          <w:rFonts w:ascii="Times New Roman" w:hAnsi="Times New Roman" w:cs="Times New Roman"/>
          <w:b w:val="0"/>
          <w:color w:val="000000"/>
          <w:sz w:val="24"/>
          <w:lang w:val="en-GB"/>
        </w:rPr>
        <w:t>2.2.1. Description</w:t>
      </w:r>
      <w:bookmarkEnd w:id="32"/>
    </w:p>
    <w:p w:rsidR="00A77B3E" w:rsidRPr="00701ADE" w:rsidRDefault="00A77B3E">
      <w:pPr>
        <w:spacing w:before="100"/>
        <w:rPr>
          <w:color w:val="000000"/>
          <w:sz w:val="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4B75EC" w:rsidRPr="00701ADE">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A77B3E">
            <w:pPr>
              <w:spacing w:before="100"/>
              <w:rPr>
                <w:color w:val="000000"/>
                <w:sz w:val="0"/>
                <w:lang w:val="en-GB"/>
              </w:rPr>
            </w:pPr>
          </w:p>
          <w:p w:rsidR="00A77B3E" w:rsidRPr="00701ADE" w:rsidRDefault="00BB4ED7">
            <w:pPr>
              <w:spacing w:before="100"/>
              <w:rPr>
                <w:color w:val="000000"/>
                <w:lang w:val="en-GB"/>
              </w:rPr>
            </w:pPr>
            <w:r w:rsidRPr="00701ADE">
              <w:rPr>
                <w:b/>
                <w:bCs/>
                <w:color w:val="000000"/>
                <w:lang w:val="en-GB"/>
              </w:rPr>
              <w:t xml:space="preserve">It is expected to use the entire allocation available under AMIF </w:t>
            </w:r>
            <w:r w:rsidRPr="00701ADE">
              <w:rPr>
                <w:color w:val="000000"/>
                <w:lang w:val="en-GB"/>
              </w:rPr>
              <w:t>for the work relating to the preparation, management, monitoring, assessment and control of the AMIF. The Technical Assistance funds will be spent in the following types of intervention:</w:t>
            </w:r>
          </w:p>
          <w:p w:rsidR="00A77B3E" w:rsidRPr="00701ADE" w:rsidRDefault="00BB4ED7">
            <w:pPr>
              <w:spacing w:before="100"/>
              <w:rPr>
                <w:color w:val="000000"/>
                <w:lang w:val="en-GB"/>
              </w:rPr>
            </w:pPr>
            <w:r w:rsidRPr="00701ADE">
              <w:rPr>
                <w:color w:val="000000"/>
                <w:lang w:val="en-GB"/>
              </w:rPr>
              <w:t>·</w:t>
            </w:r>
            <w:r w:rsidRPr="00701ADE">
              <w:rPr>
                <w:b/>
                <w:bCs/>
                <w:color w:val="000000"/>
                <w:lang w:val="en-GB"/>
              </w:rPr>
              <w:t>preparation, implementation, management, monitoring and control of the fund as well as financial flows and payments</w:t>
            </w:r>
            <w:r w:rsidRPr="00701ADE">
              <w:rPr>
                <w:color w:val="000000"/>
                <w:lang w:val="en-GB"/>
              </w:rPr>
              <w:t xml:space="preserve">, including financing of personnel salaries, administrative costs of units, costs of project monitoring and control, participation in foreign trips and meetings, organisation of training for the programme beneficiaries and partners; legal analyses, </w:t>
            </w:r>
          </w:p>
          <w:p w:rsidR="00A77B3E" w:rsidRPr="00701ADE" w:rsidRDefault="00BB4ED7">
            <w:pPr>
              <w:spacing w:before="100"/>
              <w:rPr>
                <w:color w:val="000000"/>
                <w:lang w:val="en-GB"/>
              </w:rPr>
            </w:pPr>
            <w:r w:rsidRPr="00701ADE">
              <w:rPr>
                <w:color w:val="000000"/>
                <w:lang w:val="en-GB"/>
              </w:rPr>
              <w:t>·</w:t>
            </w:r>
            <w:r w:rsidRPr="00701ADE">
              <w:rPr>
                <w:b/>
                <w:bCs/>
                <w:color w:val="000000"/>
                <w:lang w:val="en-GB"/>
              </w:rPr>
              <w:t>information and communication</w:t>
            </w:r>
            <w:r w:rsidRPr="00701ADE">
              <w:rPr>
                <w:color w:val="000000"/>
                <w:lang w:val="en-GB"/>
              </w:rPr>
              <w:t>, including financing of the production of information brochures and posters, promotion materials and maintenance of the website;</w:t>
            </w:r>
          </w:p>
          <w:p w:rsidR="00A77B3E" w:rsidRPr="00701ADE" w:rsidRDefault="00BB4ED7">
            <w:pPr>
              <w:spacing w:before="100"/>
              <w:rPr>
                <w:color w:val="000000"/>
                <w:lang w:val="en-GB"/>
              </w:rPr>
            </w:pPr>
            <w:r w:rsidRPr="00701ADE">
              <w:rPr>
                <w:color w:val="000000"/>
                <w:lang w:val="en-GB"/>
              </w:rPr>
              <w:t>·</w:t>
            </w:r>
            <w:r w:rsidRPr="00701ADE">
              <w:rPr>
                <w:b/>
                <w:bCs/>
                <w:color w:val="000000"/>
                <w:lang w:val="en-GB"/>
              </w:rPr>
              <w:t>evaluation and studies, data collection</w:t>
            </w:r>
            <w:r w:rsidRPr="00701ADE">
              <w:rPr>
                <w:color w:val="000000"/>
                <w:lang w:val="en-GB"/>
              </w:rPr>
              <w:t>, including evaluation of the programme, updates and development of the database;</w:t>
            </w:r>
          </w:p>
          <w:p w:rsidR="00A77B3E" w:rsidRPr="00701ADE" w:rsidRDefault="00BB4ED7">
            <w:pPr>
              <w:spacing w:before="100"/>
              <w:rPr>
                <w:color w:val="000000"/>
                <w:lang w:val="en-GB"/>
              </w:rPr>
            </w:pPr>
            <w:r w:rsidRPr="00701ADE">
              <w:rPr>
                <w:color w:val="000000"/>
                <w:lang w:val="en-GB"/>
              </w:rPr>
              <w:t>·</w:t>
            </w:r>
            <w:r w:rsidRPr="00701ADE">
              <w:rPr>
                <w:b/>
                <w:bCs/>
                <w:color w:val="000000"/>
                <w:lang w:val="en-GB"/>
              </w:rPr>
              <w:t xml:space="preserve">capacity building </w:t>
            </w:r>
            <w:r w:rsidRPr="00701ADE">
              <w:rPr>
                <w:color w:val="000000"/>
                <w:lang w:val="en-GB"/>
              </w:rPr>
              <w:t xml:space="preserve">through </w:t>
            </w:r>
            <w:r w:rsidRPr="00701ADE">
              <w:rPr>
                <w:i/>
                <w:iCs/>
                <w:color w:val="000000"/>
                <w:lang w:val="en-GB"/>
              </w:rPr>
              <w:t xml:space="preserve">inter alia </w:t>
            </w:r>
            <w:r w:rsidRPr="00701ADE">
              <w:rPr>
                <w:color w:val="000000"/>
                <w:lang w:val="en-GB"/>
              </w:rPr>
              <w:t>increasing professional qualifications of the personnel, participation in training and courses;</w:t>
            </w:r>
          </w:p>
          <w:p w:rsidR="00A77B3E" w:rsidRPr="00701ADE" w:rsidRDefault="00BB4ED7">
            <w:pPr>
              <w:spacing w:before="100"/>
              <w:rPr>
                <w:color w:val="000000"/>
                <w:lang w:val="en-GB"/>
              </w:rPr>
            </w:pPr>
            <w:r w:rsidRPr="00701ADE">
              <w:rPr>
                <w:color w:val="000000"/>
                <w:lang w:val="en-GB"/>
              </w:rPr>
              <w:t>·</w:t>
            </w:r>
            <w:r w:rsidRPr="00701ADE">
              <w:rPr>
                <w:b/>
                <w:bCs/>
                <w:color w:val="000000"/>
                <w:lang w:val="en-GB"/>
              </w:rPr>
              <w:t>organisation of training/meetings for Applicants/Beneficiaries</w:t>
            </w:r>
            <w:r w:rsidRPr="00701ADE">
              <w:rPr>
                <w:color w:val="000000"/>
                <w:lang w:val="en-GB"/>
              </w:rPr>
              <w:t>;</w:t>
            </w:r>
          </w:p>
          <w:p w:rsidR="00A77B3E" w:rsidRPr="00701ADE" w:rsidRDefault="00BB4ED7">
            <w:pPr>
              <w:spacing w:before="100"/>
              <w:rPr>
                <w:color w:val="000000"/>
                <w:lang w:val="en-GB"/>
              </w:rPr>
            </w:pPr>
            <w:r w:rsidRPr="00701ADE">
              <w:rPr>
                <w:color w:val="000000"/>
                <w:lang w:val="en-GB"/>
              </w:rPr>
              <w:t>·</w:t>
            </w:r>
            <w:r w:rsidRPr="00701ADE">
              <w:rPr>
                <w:b/>
                <w:bCs/>
                <w:color w:val="000000"/>
                <w:lang w:val="en-GB"/>
              </w:rPr>
              <w:t>material support</w:t>
            </w:r>
            <w:r w:rsidRPr="00701ADE">
              <w:rPr>
                <w:color w:val="000000"/>
                <w:lang w:val="en-GB"/>
              </w:rPr>
              <w:t>, including office appliances, office supplies and didactic aids.</w:t>
            </w:r>
          </w:p>
          <w:p w:rsidR="00A77B3E" w:rsidRPr="00701ADE" w:rsidRDefault="00A77B3E">
            <w:pPr>
              <w:spacing w:before="100"/>
              <w:rPr>
                <w:color w:val="000000"/>
                <w:lang w:val="en-GB"/>
              </w:rPr>
            </w:pPr>
          </w:p>
          <w:p w:rsidR="00A77B3E" w:rsidRPr="00701ADE" w:rsidRDefault="00BB4ED7">
            <w:pPr>
              <w:spacing w:before="100"/>
              <w:rPr>
                <w:color w:val="000000"/>
                <w:lang w:val="en-GB"/>
              </w:rPr>
            </w:pPr>
            <w:r w:rsidRPr="00701ADE">
              <w:rPr>
                <w:color w:val="000000"/>
                <w:lang w:val="en-GB"/>
              </w:rPr>
              <w:t>Text field [3 000] (Technical assistance under Article 37) of the Common Provisions Regulation - not applicable</w:t>
            </w:r>
          </w:p>
          <w:p w:rsidR="00A77B3E" w:rsidRPr="00701ADE" w:rsidRDefault="00A77B3E">
            <w:pPr>
              <w:spacing w:before="100"/>
              <w:rPr>
                <w:color w:val="000000"/>
                <w:lang w:val="en-GB"/>
              </w:rPr>
            </w:pPr>
          </w:p>
        </w:tc>
      </w:tr>
    </w:tbl>
    <w:p w:rsidR="00A77B3E" w:rsidRPr="00701ADE" w:rsidRDefault="00A77B3E">
      <w:pPr>
        <w:spacing w:before="100"/>
        <w:rPr>
          <w:color w:val="000000"/>
          <w:lang w:val="en-GB"/>
        </w:rPr>
        <w:sectPr w:rsidR="00A77B3E" w:rsidRPr="00701ADE">
          <w:headerReference w:type="even" r:id="rId63"/>
          <w:headerReference w:type="default" r:id="rId64"/>
          <w:footerReference w:type="even" r:id="rId65"/>
          <w:footerReference w:type="default" r:id="rId66"/>
          <w:headerReference w:type="first" r:id="rId67"/>
          <w:footerReference w:type="first" r:id="rId68"/>
          <w:pgSz w:w="11906" w:h="16838"/>
          <w:pgMar w:top="720" w:right="936" w:bottom="864" w:left="720" w:header="0" w:footer="72" w:gutter="0"/>
          <w:cols w:space="720"/>
          <w:noEndnote/>
          <w:docGrid w:linePitch="360"/>
        </w:sectPr>
      </w:pPr>
    </w:p>
    <w:p w:rsidR="00A77B3E" w:rsidRPr="00701ADE" w:rsidRDefault="00BB4ED7">
      <w:pPr>
        <w:spacing w:before="100"/>
        <w:rPr>
          <w:color w:val="000000"/>
          <w:sz w:val="0"/>
          <w:lang w:val="en-GB"/>
        </w:rPr>
      </w:pPr>
      <w:r w:rsidRPr="00701ADE">
        <w:rPr>
          <w:color w:val="000000"/>
          <w:lang w:val="en-GB"/>
        </w:rPr>
        <w:t>2.2. Technical assistance: TA.36(5). Technical assistance – flat rate (Article 36(5) of the Common Provisions Regulation)</w:t>
      </w:r>
    </w:p>
    <w:p w:rsidR="00A77B3E" w:rsidRPr="00701ADE" w:rsidRDefault="00BB4ED7">
      <w:pPr>
        <w:pStyle w:val="Nagwek3"/>
        <w:spacing w:before="100" w:after="0"/>
        <w:rPr>
          <w:rFonts w:ascii="Times New Roman" w:hAnsi="Times New Roman" w:cs="Times New Roman"/>
          <w:b w:val="0"/>
          <w:color w:val="000000"/>
          <w:sz w:val="24"/>
          <w:lang w:val="en-GB"/>
        </w:rPr>
      </w:pPr>
      <w:bookmarkStart w:id="33" w:name="_Toc126925409"/>
      <w:r w:rsidRPr="00701ADE">
        <w:rPr>
          <w:rFonts w:ascii="Times New Roman" w:hAnsi="Times New Roman" w:cs="Times New Roman"/>
          <w:b w:val="0"/>
          <w:color w:val="000000"/>
          <w:sz w:val="24"/>
          <w:lang w:val="en-GB"/>
        </w:rPr>
        <w:t>2.2.2. Indicative breakdown of technical assistance under Article 37 of the Common Provisions Regulation</w:t>
      </w:r>
      <w:bookmarkEnd w:id="33"/>
    </w:p>
    <w:p w:rsidR="00A77B3E" w:rsidRPr="00701ADE" w:rsidRDefault="00BB4ED7">
      <w:pPr>
        <w:pStyle w:val="Nagwek4"/>
        <w:spacing w:before="100" w:after="0"/>
        <w:rPr>
          <w:b w:val="0"/>
          <w:color w:val="000000"/>
          <w:sz w:val="24"/>
          <w:lang w:val="en-GB"/>
        </w:rPr>
      </w:pPr>
      <w:bookmarkStart w:id="34" w:name="_Toc126925410"/>
      <w:r w:rsidRPr="00701ADE">
        <w:rPr>
          <w:b w:val="0"/>
          <w:color w:val="000000"/>
          <w:sz w:val="24"/>
          <w:lang w:val="en-GB"/>
        </w:rPr>
        <w:t>Table 4: Indicative breakdown</w:t>
      </w:r>
      <w:bookmarkEnd w:id="34"/>
    </w:p>
    <w:p w:rsidR="00A77B3E" w:rsidRPr="00701ADE" w:rsidRDefault="00A77B3E">
      <w:pPr>
        <w:spacing w:before="100"/>
        <w:rPr>
          <w:color w:val="000000"/>
          <w:sz w:val="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0"/>
        <w:gridCol w:w="5450"/>
        <w:gridCol w:w="2740"/>
      </w:tblGrid>
      <w:tr w:rsidR="004B75EC" w:rsidRPr="00701ADE">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Type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Code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20"/>
                <w:lang w:val="en-GB"/>
              </w:rPr>
            </w:pPr>
            <w:r w:rsidRPr="00701ADE">
              <w:rPr>
                <w:color w:val="000000"/>
                <w:sz w:val="20"/>
                <w:lang w:val="en-GB"/>
              </w:rPr>
              <w:t>Indicative amount (in EUR)</w:t>
            </w:r>
          </w:p>
        </w:tc>
      </w:tr>
      <w:tr w:rsidR="004B75EC" w:rsidRPr="00701ADE">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001.Information and communication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20"/>
                <w:lang w:val="en-GB"/>
              </w:rPr>
            </w:pPr>
            <w:r w:rsidRPr="00701ADE">
              <w:rPr>
                <w:color w:val="000000"/>
                <w:sz w:val="20"/>
                <w:lang w:val="en-GB"/>
              </w:rPr>
              <w:t>900,000.00</w:t>
            </w:r>
          </w:p>
        </w:tc>
      </w:tr>
      <w:tr w:rsidR="004B75EC" w:rsidRPr="00701ADE">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002.Preparation, implementation, monitoring and control</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20"/>
                <w:lang w:val="en-GB"/>
              </w:rPr>
            </w:pPr>
            <w:r w:rsidRPr="00701ADE">
              <w:rPr>
                <w:color w:val="000000"/>
                <w:sz w:val="20"/>
                <w:lang w:val="en-GB"/>
              </w:rPr>
              <w:t>11,748,000.43</w:t>
            </w:r>
          </w:p>
        </w:tc>
      </w:tr>
      <w:tr w:rsidR="004B75EC" w:rsidRPr="00701ADE">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003.Evaluation and studies, data collection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20"/>
                <w:lang w:val="en-GB"/>
              </w:rPr>
            </w:pPr>
            <w:r w:rsidRPr="00701ADE">
              <w:rPr>
                <w:color w:val="000000"/>
                <w:sz w:val="20"/>
                <w:lang w:val="en-GB"/>
              </w:rPr>
              <w:t>379,865.50</w:t>
            </w:r>
          </w:p>
        </w:tc>
      </w:tr>
      <w:tr w:rsidR="004B75EC" w:rsidRPr="00701ADE">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004.Capacity building</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20"/>
                <w:lang w:val="en-GB"/>
              </w:rPr>
            </w:pPr>
            <w:r w:rsidRPr="00701ADE">
              <w:rPr>
                <w:color w:val="000000"/>
                <w:sz w:val="20"/>
                <w:lang w:val="en-GB"/>
              </w:rPr>
              <w:t>379,865.50</w:t>
            </w:r>
          </w:p>
        </w:tc>
      </w:tr>
    </w:tbl>
    <w:p w:rsidR="00A77B3E" w:rsidRPr="00701ADE" w:rsidRDefault="00A77B3E">
      <w:pPr>
        <w:spacing w:before="100"/>
        <w:rPr>
          <w:color w:val="000000"/>
          <w:sz w:val="20"/>
          <w:lang w:val="en-GB"/>
        </w:rPr>
        <w:sectPr w:rsidR="00A77B3E" w:rsidRPr="00701ADE">
          <w:pgSz w:w="11906" w:h="16838"/>
          <w:pgMar w:top="720" w:right="936" w:bottom="864" w:left="720" w:header="0" w:footer="72" w:gutter="0"/>
          <w:cols w:space="720"/>
          <w:noEndnote/>
          <w:docGrid w:linePitch="360"/>
        </w:sectPr>
      </w:pPr>
    </w:p>
    <w:p w:rsidR="00A77B3E" w:rsidRPr="00701ADE" w:rsidRDefault="00BB4ED7">
      <w:pPr>
        <w:pStyle w:val="Nagwek1"/>
        <w:spacing w:before="100" w:after="0"/>
        <w:rPr>
          <w:rFonts w:ascii="Times New Roman" w:hAnsi="Times New Roman" w:cs="Times New Roman"/>
          <w:b w:val="0"/>
          <w:color w:val="000000"/>
          <w:sz w:val="24"/>
          <w:lang w:val="en-GB"/>
        </w:rPr>
      </w:pPr>
      <w:bookmarkStart w:id="35" w:name="_Toc126925411"/>
      <w:r w:rsidRPr="00701ADE">
        <w:rPr>
          <w:rFonts w:ascii="Times New Roman" w:hAnsi="Times New Roman" w:cs="Times New Roman"/>
          <w:b w:val="0"/>
          <w:color w:val="000000"/>
          <w:sz w:val="24"/>
          <w:lang w:val="en-GB"/>
        </w:rPr>
        <w:t>3. Financing plan</w:t>
      </w:r>
      <w:bookmarkEnd w:id="35"/>
    </w:p>
    <w:p w:rsidR="00A77B3E" w:rsidRPr="00701ADE" w:rsidRDefault="00BB4ED7">
      <w:pPr>
        <w:spacing w:before="100"/>
        <w:rPr>
          <w:color w:val="000000"/>
          <w:sz w:val="12"/>
          <w:lang w:val="en-GB"/>
        </w:rPr>
      </w:pPr>
      <w:r w:rsidRPr="00701ADE">
        <w:rPr>
          <w:color w:val="000000"/>
          <w:lang w:val="en-GB"/>
        </w:rPr>
        <w:t>Reference: Article 22(3)(g) of the Common Provisions Regulation</w:t>
      </w:r>
    </w:p>
    <w:p w:rsidR="00A77B3E" w:rsidRPr="00701ADE" w:rsidRDefault="00BB4ED7">
      <w:pPr>
        <w:pStyle w:val="Nagwek2"/>
        <w:spacing w:before="100" w:after="0"/>
        <w:rPr>
          <w:rFonts w:ascii="Times New Roman" w:hAnsi="Times New Roman" w:cs="Times New Roman"/>
          <w:b w:val="0"/>
          <w:i w:val="0"/>
          <w:color w:val="000000"/>
          <w:sz w:val="24"/>
          <w:lang w:val="en-GB"/>
        </w:rPr>
      </w:pPr>
      <w:bookmarkStart w:id="36" w:name="_Toc126925412"/>
      <w:r w:rsidRPr="00701ADE">
        <w:rPr>
          <w:rFonts w:ascii="Times New Roman" w:hAnsi="Times New Roman" w:cs="Times New Roman"/>
          <w:b w:val="0"/>
          <w:i w:val="0"/>
          <w:color w:val="000000"/>
          <w:sz w:val="24"/>
          <w:lang w:val="en-GB"/>
        </w:rPr>
        <w:t>3.1. Financial allocations by year</w:t>
      </w:r>
      <w:bookmarkEnd w:id="36"/>
    </w:p>
    <w:p w:rsidR="00A77B3E" w:rsidRPr="00701ADE" w:rsidRDefault="00BB4ED7">
      <w:pPr>
        <w:pStyle w:val="Nagwek4"/>
        <w:spacing w:before="100" w:after="0"/>
        <w:rPr>
          <w:b w:val="0"/>
          <w:color w:val="000000"/>
          <w:sz w:val="24"/>
          <w:lang w:val="en-GB"/>
        </w:rPr>
      </w:pPr>
      <w:bookmarkStart w:id="37" w:name="_Toc126925413"/>
      <w:r w:rsidRPr="00701ADE">
        <w:rPr>
          <w:b w:val="0"/>
          <w:color w:val="000000"/>
          <w:sz w:val="24"/>
          <w:lang w:val="en-GB"/>
        </w:rPr>
        <w:t>Table 5: Financial allocations by year</w:t>
      </w:r>
      <w:bookmarkEnd w:id="37"/>
    </w:p>
    <w:p w:rsidR="00A77B3E" w:rsidRPr="00701ADE" w:rsidRDefault="00A77B3E">
      <w:pPr>
        <w:spacing w:before="100"/>
        <w:rPr>
          <w:color w:val="000000"/>
          <w:sz w:val="12"/>
          <w:lang w:val="en-GB"/>
        </w:rPr>
      </w:pPr>
    </w:p>
    <w:p w:rsidR="00A77B3E" w:rsidRPr="00701ADE" w:rsidRDefault="00A77B3E">
      <w:pPr>
        <w:spacing w:before="100"/>
        <w:rPr>
          <w:color w:val="00000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615"/>
        <w:gridCol w:w="1456"/>
        <w:gridCol w:w="1456"/>
        <w:gridCol w:w="1456"/>
        <w:gridCol w:w="1456"/>
        <w:gridCol w:w="1456"/>
        <w:gridCol w:w="1456"/>
        <w:gridCol w:w="1568"/>
      </w:tblGrid>
      <w:tr w:rsidR="004B75EC" w:rsidRPr="00701ADE">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sz w:val="16"/>
                <w:lang w:val="en-GB"/>
              </w:rPr>
            </w:pPr>
            <w:r w:rsidRPr="00701ADE">
              <w:rPr>
                <w:color w:val="000000"/>
                <w:sz w:val="16"/>
                <w:lang w:val="en-GB"/>
              </w:rPr>
              <w:t>Type of allocation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sz w:val="16"/>
                <w:lang w:val="en-GB"/>
              </w:rPr>
            </w:pPr>
            <w:r w:rsidRPr="00701ADE">
              <w:rPr>
                <w:color w:val="000000"/>
                <w:sz w:val="16"/>
                <w:lang w:val="en-GB"/>
              </w:rPr>
              <w:t>2021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sz w:val="16"/>
                <w:lang w:val="en-GB"/>
              </w:rPr>
            </w:pPr>
            <w:r w:rsidRPr="00701ADE">
              <w:rPr>
                <w:color w:val="000000"/>
                <w:sz w:val="16"/>
                <w:lang w:val="en-GB"/>
              </w:rPr>
              <w:t>2022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sz w:val="16"/>
                <w:lang w:val="en-GB"/>
              </w:rPr>
            </w:pPr>
            <w:r w:rsidRPr="00701ADE">
              <w:rPr>
                <w:color w:val="000000"/>
                <w:sz w:val="16"/>
                <w:lang w:val="en-GB"/>
              </w:rPr>
              <w:t>2023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sz w:val="16"/>
                <w:lang w:val="en-GB"/>
              </w:rPr>
            </w:pPr>
            <w:r w:rsidRPr="00701ADE">
              <w:rPr>
                <w:color w:val="000000"/>
                <w:sz w:val="16"/>
                <w:lang w:val="en-GB"/>
              </w:rPr>
              <w:t>2024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sz w:val="16"/>
                <w:lang w:val="en-GB"/>
              </w:rPr>
            </w:pPr>
            <w:r w:rsidRPr="00701ADE">
              <w:rPr>
                <w:color w:val="000000"/>
                <w:sz w:val="16"/>
                <w:lang w:val="en-GB"/>
              </w:rPr>
              <w:t>2025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sz w:val="16"/>
                <w:lang w:val="en-GB"/>
              </w:rPr>
            </w:pPr>
            <w:r w:rsidRPr="00701ADE">
              <w:rPr>
                <w:color w:val="000000"/>
                <w:sz w:val="16"/>
                <w:lang w:val="en-GB"/>
              </w:rPr>
              <w:t>2026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sz w:val="16"/>
                <w:lang w:val="en-GB"/>
              </w:rPr>
            </w:pPr>
            <w:r w:rsidRPr="00701ADE">
              <w:rPr>
                <w:color w:val="000000"/>
                <w:sz w:val="16"/>
                <w:lang w:val="en-GB"/>
              </w:rPr>
              <w:t>2027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sz w:val="16"/>
                <w:lang w:val="en-GB"/>
              </w:rPr>
            </w:pPr>
            <w:r w:rsidRPr="00701ADE">
              <w:rPr>
                <w:color w:val="000000"/>
                <w:sz w:val="16"/>
                <w:lang w:val="en-GB"/>
              </w:rPr>
              <w:t>Total</w:t>
            </w:r>
          </w:p>
        </w:tc>
      </w:tr>
      <w:tr w:rsidR="004B75EC" w:rsidRPr="00701ADE">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16"/>
                <w:lang w:val="en-GB"/>
              </w:rPr>
            </w:pPr>
            <w:r w:rsidRPr="00701ADE">
              <w:rPr>
                <w:color w:val="000000"/>
                <w:sz w:val="16"/>
                <w:lang w:val="en-GB"/>
              </w:rPr>
              <w:t>Initial allocation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16"/>
                <w:lang w:val="en-GB"/>
              </w:rPr>
            </w:pPr>
            <w:r w:rsidRPr="00701ADE">
              <w:rPr>
                <w:color w:val="000000"/>
                <w:sz w:val="16"/>
                <w:lang w:val="en-GB"/>
              </w:rPr>
              <w:t>31,180,525.00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16"/>
                <w:lang w:val="en-GB"/>
              </w:rPr>
            </w:pPr>
            <w:r w:rsidRPr="00701ADE">
              <w:rPr>
                <w:color w:val="000000"/>
                <w:sz w:val="16"/>
                <w:lang w:val="en-GB"/>
              </w:rPr>
              <w:t>43,929,567.00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16"/>
                <w:lang w:val="en-GB"/>
              </w:rPr>
            </w:pPr>
            <w:r w:rsidRPr="00701ADE">
              <w:rPr>
                <w:color w:val="000000"/>
                <w:sz w:val="16"/>
                <w:lang w:val="en-GB"/>
              </w:rPr>
              <w:t>43,983,696.00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16"/>
                <w:lang w:val="en-GB"/>
              </w:rPr>
            </w:pPr>
            <w:r w:rsidRPr="00701ADE">
              <w:rPr>
                <w:color w:val="000000"/>
                <w:sz w:val="16"/>
                <w:lang w:val="en-GB"/>
              </w:rPr>
              <w:t>44,189,965.00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16"/>
                <w:lang w:val="en-GB"/>
              </w:rPr>
            </w:pPr>
            <w:r w:rsidRPr="00701ADE">
              <w:rPr>
                <w:color w:val="000000"/>
                <w:sz w:val="16"/>
                <w:lang w:val="en-GB"/>
              </w:rPr>
              <w:t>40,440,491.00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16"/>
                <w:lang w:val="en-GB"/>
              </w:rPr>
            </w:pPr>
            <w:r w:rsidRPr="00701ADE">
              <w:rPr>
                <w:color w:val="000000"/>
                <w:sz w:val="16"/>
                <w:lang w:val="en-GB"/>
              </w:rPr>
              <w:t>33,145,678.00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16"/>
                <w:lang w:val="en-GB"/>
              </w:rPr>
            </w:pPr>
            <w:r w:rsidRPr="00701ADE">
              <w:rPr>
                <w:color w:val="000000"/>
                <w:sz w:val="16"/>
                <w:lang w:val="en-GB"/>
              </w:rPr>
              <w:t>236,869,922.00</w:t>
            </w:r>
          </w:p>
        </w:tc>
      </w:tr>
      <w:tr w:rsidR="004B75EC" w:rsidRPr="00701ADE">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16"/>
                <w:lang w:val="en-GB"/>
              </w:rPr>
            </w:pPr>
            <w:r w:rsidRPr="00701ADE">
              <w:rPr>
                <w:color w:val="000000"/>
                <w:sz w:val="16"/>
                <w:lang w:val="en-GB"/>
              </w:rPr>
              <w:t>Mid-term review</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A77B3E">
            <w:pPr>
              <w:spacing w:before="100"/>
              <w:jc w:val="right"/>
              <w:rPr>
                <w:color w:val="000000"/>
                <w:sz w:val="16"/>
                <w:lang w:val="en-GB"/>
              </w:rPr>
            </w:pPr>
          </w:p>
        </w:tc>
      </w:tr>
      <w:tr w:rsidR="004B75EC" w:rsidRPr="00701ADE">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16"/>
                <w:lang w:val="en-GB"/>
              </w:rPr>
            </w:pPr>
            <w:r w:rsidRPr="00701ADE">
              <w:rPr>
                <w:color w:val="000000"/>
                <w:sz w:val="16"/>
                <w:lang w:val="en-GB"/>
              </w:rPr>
              <w:t>Work programme under Thematic Facility 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A77B3E">
            <w:pPr>
              <w:spacing w:before="100"/>
              <w:jc w:val="right"/>
              <w:rPr>
                <w:color w:val="000000"/>
                <w:sz w:val="16"/>
                <w:lang w:val="en-GB"/>
              </w:rPr>
            </w:pPr>
          </w:p>
        </w:tc>
      </w:tr>
      <w:tr w:rsidR="004B75EC" w:rsidRPr="00701ADE">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16"/>
                <w:lang w:val="en-GB"/>
              </w:rPr>
            </w:pPr>
            <w:r w:rsidRPr="00701ADE">
              <w:rPr>
                <w:color w:val="000000"/>
                <w:sz w:val="16"/>
                <w:lang w:val="en-GB"/>
              </w:rPr>
              <w:t>Work programme under Thematic Facility II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A77B3E">
            <w:pPr>
              <w:spacing w:before="100"/>
              <w:jc w:val="right"/>
              <w:rPr>
                <w:color w:val="000000"/>
                <w:sz w:val="16"/>
                <w:lang w:val="en-GB"/>
              </w:rPr>
            </w:pPr>
          </w:p>
        </w:tc>
      </w:tr>
      <w:tr w:rsidR="004B75EC" w:rsidRPr="00701ADE">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16"/>
                <w:lang w:val="en-GB"/>
              </w:rPr>
            </w:pPr>
            <w:r w:rsidRPr="00701ADE">
              <w:rPr>
                <w:color w:val="000000"/>
                <w:sz w:val="16"/>
                <w:lang w:val="en-GB"/>
              </w:rPr>
              <w:t>Work programme under Thematic Facility III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A77B3E">
            <w:pPr>
              <w:spacing w:before="100"/>
              <w:jc w:val="right"/>
              <w:rPr>
                <w:color w:val="000000"/>
                <w:sz w:val="16"/>
                <w:lang w:val="en-GB"/>
              </w:rPr>
            </w:pPr>
          </w:p>
        </w:tc>
      </w:tr>
      <w:tr w:rsidR="004B75EC" w:rsidRPr="00701ADE">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16"/>
                <w:lang w:val="en-GB"/>
              </w:rPr>
            </w:pPr>
            <w:r w:rsidRPr="00701ADE">
              <w:rPr>
                <w:color w:val="000000"/>
                <w:sz w:val="16"/>
                <w:lang w:val="en-GB"/>
              </w:rPr>
              <w:t>Transfer (to a State)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A77B3E">
            <w:pPr>
              <w:spacing w:before="100"/>
              <w:jc w:val="right"/>
              <w:rPr>
                <w:color w:val="000000"/>
                <w:sz w:val="16"/>
                <w:lang w:val="en-GB"/>
              </w:rPr>
            </w:pPr>
          </w:p>
        </w:tc>
      </w:tr>
      <w:tr w:rsidR="004B75EC" w:rsidRPr="00701ADE">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16"/>
                <w:lang w:val="en-GB"/>
              </w:rPr>
            </w:pPr>
            <w:r w:rsidRPr="00701ADE">
              <w:rPr>
                <w:color w:val="000000"/>
                <w:sz w:val="16"/>
                <w:lang w:val="en-GB"/>
              </w:rPr>
              <w:t>Transfer (from a State)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A77B3E">
            <w:pPr>
              <w:spacing w:before="100"/>
              <w:jc w:val="right"/>
              <w:rPr>
                <w:color w:val="000000"/>
                <w:sz w:val="16"/>
                <w:lang w:val="en-GB"/>
              </w:rPr>
            </w:pPr>
          </w:p>
        </w:tc>
      </w:tr>
      <w:tr w:rsidR="004B75EC" w:rsidRPr="00701ADE">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16"/>
                <w:lang w:val="en-GB"/>
              </w:rPr>
            </w:pPr>
            <w:r w:rsidRPr="00701ADE">
              <w:rPr>
                <w:color w:val="000000"/>
                <w:sz w:val="16"/>
                <w:lang w:val="en-GB"/>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16"/>
                <w:lang w:val="en-GB"/>
              </w:rPr>
            </w:pPr>
            <w:r w:rsidRPr="00701ADE">
              <w:rPr>
                <w:color w:val="000000"/>
                <w:sz w:val="16"/>
                <w:lang w:val="en-GB"/>
              </w:rPr>
              <w:t>31,180,525.00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16"/>
                <w:lang w:val="en-GB"/>
              </w:rPr>
            </w:pPr>
            <w:r w:rsidRPr="00701ADE">
              <w:rPr>
                <w:color w:val="000000"/>
                <w:sz w:val="16"/>
                <w:lang w:val="en-GB"/>
              </w:rPr>
              <w:t>43,929,567.00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16"/>
                <w:lang w:val="en-GB"/>
              </w:rPr>
            </w:pPr>
            <w:r w:rsidRPr="00701ADE">
              <w:rPr>
                <w:color w:val="000000"/>
                <w:sz w:val="16"/>
                <w:lang w:val="en-GB"/>
              </w:rPr>
              <w:t>43,983,696.00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16"/>
                <w:lang w:val="en-GB"/>
              </w:rPr>
            </w:pPr>
            <w:r w:rsidRPr="00701ADE">
              <w:rPr>
                <w:color w:val="000000"/>
                <w:sz w:val="16"/>
                <w:lang w:val="en-GB"/>
              </w:rPr>
              <w:t>44,189,965.00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16"/>
                <w:lang w:val="en-GB"/>
              </w:rPr>
            </w:pPr>
            <w:r w:rsidRPr="00701ADE">
              <w:rPr>
                <w:color w:val="000000"/>
                <w:sz w:val="16"/>
                <w:lang w:val="en-GB"/>
              </w:rPr>
              <w:t>40,440,491.00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16"/>
                <w:lang w:val="en-GB"/>
              </w:rPr>
            </w:pPr>
            <w:r w:rsidRPr="00701ADE">
              <w:rPr>
                <w:color w:val="000000"/>
                <w:sz w:val="16"/>
                <w:lang w:val="en-GB"/>
              </w:rPr>
              <w:t>33,145,678.00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16"/>
                <w:lang w:val="en-GB"/>
              </w:rPr>
            </w:pPr>
            <w:r w:rsidRPr="00701ADE">
              <w:rPr>
                <w:color w:val="000000"/>
                <w:sz w:val="16"/>
                <w:lang w:val="en-GB"/>
              </w:rPr>
              <w:t>236,869,922.00</w:t>
            </w:r>
          </w:p>
        </w:tc>
      </w:tr>
    </w:tbl>
    <w:p w:rsidR="00A77B3E" w:rsidRPr="00701ADE" w:rsidRDefault="00BB4ED7">
      <w:pPr>
        <w:spacing w:before="100"/>
        <w:rPr>
          <w:color w:val="000000"/>
          <w:lang w:val="en-GB"/>
        </w:rPr>
      </w:pPr>
      <w:r w:rsidRPr="00701ADE">
        <w:rPr>
          <w:color w:val="000000"/>
          <w:sz w:val="16"/>
          <w:lang w:val="en-GB"/>
        </w:rPr>
        <w:br w:type="page"/>
      </w:r>
    </w:p>
    <w:p w:rsidR="00A77B3E" w:rsidRPr="00701ADE" w:rsidRDefault="00BB4ED7">
      <w:pPr>
        <w:pStyle w:val="Nagwek2"/>
        <w:spacing w:before="100" w:after="0"/>
        <w:rPr>
          <w:rFonts w:ascii="Times New Roman" w:hAnsi="Times New Roman" w:cs="Times New Roman"/>
          <w:b w:val="0"/>
          <w:i w:val="0"/>
          <w:color w:val="000000"/>
          <w:sz w:val="24"/>
          <w:lang w:val="en-GB"/>
        </w:rPr>
      </w:pPr>
      <w:bookmarkStart w:id="38" w:name="_Toc126925414"/>
      <w:r w:rsidRPr="00701ADE">
        <w:rPr>
          <w:rFonts w:ascii="Times New Roman" w:hAnsi="Times New Roman" w:cs="Times New Roman"/>
          <w:b w:val="0"/>
          <w:i w:val="0"/>
          <w:color w:val="000000"/>
          <w:sz w:val="24"/>
          <w:lang w:val="en-GB"/>
        </w:rPr>
        <w:t>3.2. Total financial allocations</w:t>
      </w:r>
      <w:bookmarkEnd w:id="38"/>
    </w:p>
    <w:p w:rsidR="00A77B3E" w:rsidRPr="00701ADE" w:rsidRDefault="00BB4ED7">
      <w:pPr>
        <w:pStyle w:val="Nagwek4"/>
        <w:spacing w:before="100" w:after="0"/>
        <w:rPr>
          <w:b w:val="0"/>
          <w:color w:val="000000"/>
          <w:sz w:val="24"/>
          <w:lang w:val="en-GB"/>
        </w:rPr>
      </w:pPr>
      <w:bookmarkStart w:id="39" w:name="_Toc126925415"/>
      <w:r w:rsidRPr="00701ADE">
        <w:rPr>
          <w:b w:val="0"/>
          <w:color w:val="000000"/>
          <w:sz w:val="24"/>
          <w:lang w:val="en-GB"/>
        </w:rPr>
        <w:t>Table 6: Total financial allocations by fund and national co-financing</w:t>
      </w:r>
      <w:bookmarkEnd w:id="39"/>
    </w:p>
    <w:p w:rsidR="00A77B3E" w:rsidRPr="00701ADE" w:rsidRDefault="00A77B3E">
      <w:pPr>
        <w:spacing w:before="100"/>
        <w:rPr>
          <w:color w:val="000000"/>
          <w:sz w:val="12"/>
          <w:lang w:val="en-GB"/>
        </w:rPr>
      </w:pPr>
    </w:p>
    <w:p w:rsidR="00A77B3E" w:rsidRPr="00701ADE" w:rsidRDefault="00A77B3E">
      <w:pPr>
        <w:spacing w:before="100"/>
        <w:rPr>
          <w:color w:val="00000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5"/>
        <w:gridCol w:w="1518"/>
        <w:gridCol w:w="1517"/>
        <w:gridCol w:w="1517"/>
        <w:gridCol w:w="1517"/>
        <w:gridCol w:w="1517"/>
        <w:gridCol w:w="1517"/>
        <w:gridCol w:w="1517"/>
        <w:gridCol w:w="1517"/>
      </w:tblGrid>
      <w:tr w:rsidR="004B75EC" w:rsidRPr="00701ADE">
        <w:trPr>
          <w:tblHeader/>
        </w:trPr>
        <w:tc>
          <w:tcPr>
            <w:tcW w:w="1000" w:type="pct"/>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sz w:val="16"/>
                <w:lang w:val="en-GB"/>
              </w:rPr>
            </w:pPr>
            <w:r w:rsidRPr="00701ADE">
              <w:rPr>
                <w:color w:val="000000"/>
                <w:sz w:val="16"/>
                <w:lang w:val="en-GB"/>
              </w:rPr>
              <w:t>Specific objective (SO)</w:t>
            </w:r>
          </w:p>
        </w:tc>
        <w:tc>
          <w:tcPr>
            <w:tcW w:w="500" w:type="pct"/>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sz w:val="16"/>
                <w:lang w:val="en-GB"/>
              </w:rPr>
            </w:pPr>
            <w:r w:rsidRPr="00701ADE">
              <w:rPr>
                <w:color w:val="000000"/>
                <w:sz w:val="16"/>
                <w:lang w:val="en-GB"/>
              </w:rPr>
              <w:t>Type of action</w:t>
            </w:r>
          </w:p>
        </w:tc>
        <w:tc>
          <w:tcPr>
            <w:tcW w:w="500" w:type="pct"/>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sz w:val="16"/>
                <w:lang w:val="en-GB"/>
              </w:rPr>
            </w:pPr>
            <w:r w:rsidRPr="00701ADE">
              <w:rPr>
                <w:color w:val="000000"/>
                <w:sz w:val="16"/>
                <w:lang w:val="en-GB"/>
              </w:rPr>
              <w:t>Basis for calculation Union support (total or public)</w:t>
            </w:r>
          </w:p>
        </w:tc>
        <w:tc>
          <w:tcPr>
            <w:tcW w:w="500" w:type="pct"/>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sz w:val="16"/>
                <w:lang w:val="en-GB"/>
              </w:rPr>
            </w:pPr>
            <w:r w:rsidRPr="00701ADE">
              <w:rPr>
                <w:color w:val="000000"/>
                <w:sz w:val="16"/>
                <w:lang w:val="en-GB"/>
              </w:rPr>
              <w:t>Union contribution (a)</w:t>
            </w:r>
          </w:p>
        </w:tc>
        <w:tc>
          <w:tcPr>
            <w:tcW w:w="500" w:type="pct"/>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sz w:val="16"/>
                <w:lang w:val="en-GB"/>
              </w:rPr>
            </w:pPr>
            <w:r w:rsidRPr="00701ADE">
              <w:rPr>
                <w:color w:val="000000"/>
                <w:sz w:val="16"/>
                <w:lang w:val="en-GB"/>
              </w:rPr>
              <w:t>National contribution (b)=(c)+(d)</w:t>
            </w:r>
          </w:p>
        </w:tc>
        <w:tc>
          <w:tcPr>
            <w:tcW w:w="500" w:type="pct"/>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sz w:val="16"/>
                <w:lang w:val="en-GB"/>
              </w:rPr>
            </w:pPr>
            <w:r w:rsidRPr="00701ADE">
              <w:rPr>
                <w:color w:val="000000"/>
                <w:sz w:val="16"/>
                <w:lang w:val="en-GB"/>
              </w:rPr>
              <w:t>Indicative breakdown of national contribution</w:t>
            </w:r>
          </w:p>
        </w:tc>
        <w:tc>
          <w:tcPr>
            <w:tcW w:w="500" w:type="pct"/>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sz w:val="16"/>
                <w:lang w:val="en-GB"/>
              </w:rPr>
            </w:pPr>
            <w:r w:rsidRPr="00701ADE">
              <w:rPr>
                <w:color w:val="000000"/>
                <w:sz w:val="16"/>
                <w:lang w:val="en-GB"/>
              </w:rPr>
              <w:t>Total (e)=(a)+(b)</w:t>
            </w:r>
          </w:p>
        </w:tc>
        <w:tc>
          <w:tcPr>
            <w:tcW w:w="500" w:type="pct"/>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sz w:val="16"/>
                <w:lang w:val="en-GB"/>
              </w:rPr>
            </w:pPr>
            <w:r w:rsidRPr="00701ADE">
              <w:rPr>
                <w:color w:val="000000"/>
                <w:sz w:val="16"/>
                <w:lang w:val="en-GB"/>
              </w:rPr>
              <w:t>Co-financing rate (f)=(a)/(e)</w:t>
            </w:r>
          </w:p>
        </w:tc>
      </w:tr>
      <w:tr w:rsidR="004B75EC" w:rsidRPr="00701ADE">
        <w:trPr>
          <w:tblHeader/>
        </w:trPr>
        <w:tc>
          <w:tcPr>
            <w:tcW w:w="500" w:type="pct"/>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A77B3E">
            <w:pPr>
              <w:spacing w:before="100"/>
              <w:jc w:val="center"/>
              <w:rPr>
                <w:color w:val="000000"/>
                <w:sz w:val="16"/>
                <w:lang w:val="en-GB"/>
              </w:rPr>
            </w:pPr>
          </w:p>
        </w:tc>
        <w:tc>
          <w:tcPr>
            <w:tcW w:w="500" w:type="pct"/>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A77B3E">
            <w:pPr>
              <w:spacing w:before="100"/>
              <w:jc w:val="center"/>
              <w:rPr>
                <w:color w:val="000000"/>
                <w:sz w:val="16"/>
                <w:lang w:val="en-GB"/>
              </w:rPr>
            </w:pPr>
          </w:p>
        </w:tc>
        <w:tc>
          <w:tcPr>
            <w:tcW w:w="500" w:type="pct"/>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A77B3E">
            <w:pPr>
              <w:spacing w:before="100"/>
              <w:jc w:val="center"/>
              <w:rPr>
                <w:color w:val="000000"/>
                <w:sz w:val="16"/>
                <w:lang w:val="en-GB"/>
              </w:rPr>
            </w:pPr>
          </w:p>
        </w:tc>
        <w:tc>
          <w:tcPr>
            <w:tcW w:w="500" w:type="pct"/>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A77B3E">
            <w:pPr>
              <w:spacing w:before="100"/>
              <w:jc w:val="center"/>
              <w:rPr>
                <w:color w:val="000000"/>
                <w:sz w:val="16"/>
                <w:lang w:val="en-GB"/>
              </w:rPr>
            </w:pPr>
          </w:p>
        </w:tc>
        <w:tc>
          <w:tcPr>
            <w:tcW w:w="500" w:type="pct"/>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A77B3E">
            <w:pPr>
              <w:spacing w:before="100"/>
              <w:jc w:val="center"/>
              <w:rPr>
                <w:color w:val="000000"/>
                <w:sz w:val="16"/>
                <w:lang w:val="en-GB"/>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sz w:val="16"/>
                <w:lang w:val="en-GB"/>
              </w:rPr>
            </w:pPr>
            <w:r w:rsidRPr="00701ADE">
              <w:rPr>
                <w:color w:val="000000"/>
                <w:sz w:val="16"/>
                <w:lang w:val="en-GB"/>
              </w:rPr>
              <w:t>Public (c)</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sz w:val="16"/>
                <w:lang w:val="en-GB"/>
              </w:rPr>
            </w:pPr>
            <w:r w:rsidRPr="00701ADE">
              <w:rPr>
                <w:color w:val="000000"/>
                <w:sz w:val="16"/>
                <w:lang w:val="en-GB"/>
              </w:rPr>
              <w:t>Private (d)</w:t>
            </w:r>
          </w:p>
        </w:tc>
        <w:tc>
          <w:tcPr>
            <w:tcW w:w="500" w:type="pct"/>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A77B3E">
            <w:pPr>
              <w:spacing w:before="100"/>
              <w:jc w:val="center"/>
              <w:rPr>
                <w:color w:val="000000"/>
                <w:sz w:val="16"/>
                <w:lang w:val="en-GB"/>
              </w:rPr>
            </w:pPr>
          </w:p>
        </w:tc>
        <w:tc>
          <w:tcPr>
            <w:tcW w:w="500" w:type="pct"/>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A77B3E">
            <w:pPr>
              <w:spacing w:before="100"/>
              <w:jc w:val="center"/>
              <w:rPr>
                <w:color w:val="000000"/>
                <w:sz w:val="16"/>
                <w:lang w:val="en-GB"/>
              </w:rPr>
            </w:pPr>
          </w:p>
        </w:tc>
      </w:tr>
      <w:tr w:rsidR="004B75EC" w:rsidRPr="00701ADE">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16"/>
                <w:lang w:val="en-GB"/>
              </w:rPr>
            </w:pPr>
            <w:r w:rsidRPr="00701ADE">
              <w:rPr>
                <w:color w:val="000000"/>
                <w:sz w:val="16"/>
                <w:lang w:val="en-GB"/>
              </w:rPr>
              <w:t>CEAS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16"/>
                <w:lang w:val="en-GB"/>
              </w:rPr>
            </w:pPr>
            <w:r w:rsidRPr="00701ADE">
              <w:rPr>
                <w:color w:val="000000"/>
                <w:sz w:val="16"/>
                <w:lang w:val="en-GB"/>
              </w:rPr>
              <w:t>Regular actions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16"/>
                <w:lang w:val="en-GB"/>
              </w:rPr>
            </w:pPr>
            <w:r w:rsidRPr="00701ADE">
              <w:rPr>
                <w:color w:val="000000"/>
                <w:sz w:val="16"/>
                <w:lang w:val="en-GB"/>
              </w:rPr>
              <w:t>Total</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16"/>
                <w:lang w:val="en-GB"/>
              </w:rPr>
            </w:pPr>
            <w:r w:rsidRPr="00701ADE">
              <w:rPr>
                <w:color w:val="000000"/>
                <w:sz w:val="16"/>
                <w:lang w:val="en-GB"/>
              </w:rPr>
              <w:t>32,835,500.00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16"/>
                <w:lang w:val="en-GB"/>
              </w:rPr>
            </w:pPr>
            <w:r w:rsidRPr="00701ADE">
              <w:rPr>
                <w:color w:val="000000"/>
                <w:sz w:val="16"/>
                <w:lang w:val="en-GB"/>
              </w:rPr>
              <w:t>10,945,166.67</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16"/>
                <w:lang w:val="en-GB"/>
              </w:rPr>
            </w:pPr>
            <w:r w:rsidRPr="00701ADE">
              <w:rPr>
                <w:color w:val="000000"/>
                <w:sz w:val="16"/>
                <w:lang w:val="en-GB"/>
              </w:rPr>
              <w:t>9,945,166.67</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16"/>
                <w:lang w:val="en-GB"/>
              </w:rPr>
            </w:pPr>
            <w:r w:rsidRPr="00701ADE">
              <w:rPr>
                <w:color w:val="000000"/>
                <w:sz w:val="16"/>
                <w:lang w:val="en-GB"/>
              </w:rPr>
              <w:t>1,000,000.00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16"/>
                <w:lang w:val="en-GB"/>
              </w:rPr>
            </w:pPr>
            <w:r w:rsidRPr="00701ADE">
              <w:rPr>
                <w:color w:val="000000"/>
                <w:sz w:val="16"/>
                <w:lang w:val="en-GB"/>
              </w:rPr>
              <w:t>43,780,666.67</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16"/>
                <w:lang w:val="en-GB"/>
              </w:rPr>
            </w:pPr>
            <w:r w:rsidRPr="00701ADE">
              <w:rPr>
                <w:color w:val="000000"/>
                <w:sz w:val="16"/>
                <w:lang w:val="en-GB"/>
              </w:rPr>
              <w:t>74.9999999943%</w:t>
            </w:r>
          </w:p>
        </w:tc>
      </w:tr>
      <w:tr w:rsidR="004B75EC" w:rsidRPr="00701ADE">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16"/>
                <w:lang w:val="en-GB"/>
              </w:rPr>
            </w:pPr>
            <w:r w:rsidRPr="00701ADE">
              <w:rPr>
                <w:color w:val="000000"/>
                <w:sz w:val="16"/>
                <w:lang w:val="en-GB"/>
              </w:rPr>
              <w:t>CEAS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16"/>
                <w:lang w:val="en-GB"/>
              </w:rPr>
            </w:pPr>
            <w:r w:rsidRPr="00701ADE">
              <w:rPr>
                <w:color w:val="000000"/>
                <w:sz w:val="16"/>
                <w:lang w:val="en-GB"/>
              </w:rPr>
              <w:t>Actions set out in Annex IV</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16"/>
                <w:lang w:val="en-GB"/>
              </w:rPr>
            </w:pPr>
            <w:r w:rsidRPr="00701ADE">
              <w:rPr>
                <w:color w:val="000000"/>
                <w:sz w:val="16"/>
                <w:lang w:val="en-GB"/>
              </w:rPr>
              <w:t>Total</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16"/>
                <w:lang w:val="en-GB"/>
              </w:rPr>
            </w:pPr>
            <w:r w:rsidRPr="00701ADE">
              <w:rPr>
                <w:color w:val="000000"/>
                <w:sz w:val="16"/>
                <w:lang w:val="en-GB"/>
              </w:rPr>
              <w:t>900,000.00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16"/>
                <w:lang w:val="en-GB"/>
              </w:rPr>
            </w:pPr>
            <w:r w:rsidRPr="00701ADE">
              <w:rPr>
                <w:color w:val="000000"/>
                <w:sz w:val="16"/>
                <w:lang w:val="en-GB"/>
              </w:rPr>
              <w:t>100,000.00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16"/>
                <w:lang w:val="en-GB"/>
              </w:rPr>
            </w:pPr>
            <w:r w:rsidRPr="00701ADE">
              <w:rPr>
                <w:color w:val="000000"/>
                <w:sz w:val="16"/>
                <w:lang w:val="en-GB"/>
              </w:rPr>
              <w:t>10,000.00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16"/>
                <w:lang w:val="en-GB"/>
              </w:rPr>
            </w:pPr>
            <w:r w:rsidRPr="00701ADE">
              <w:rPr>
                <w:color w:val="000000"/>
                <w:sz w:val="16"/>
                <w:lang w:val="en-GB"/>
              </w:rPr>
              <w:t>90,000.00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16"/>
                <w:lang w:val="en-GB"/>
              </w:rPr>
            </w:pPr>
            <w:r w:rsidRPr="00701ADE">
              <w:rPr>
                <w:color w:val="000000"/>
                <w:sz w:val="16"/>
                <w:lang w:val="en-GB"/>
              </w:rPr>
              <w:t>1,000,000.00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16"/>
                <w:lang w:val="en-GB"/>
              </w:rPr>
            </w:pPr>
            <w:r w:rsidRPr="00701ADE">
              <w:rPr>
                <w:color w:val="000000"/>
                <w:sz w:val="16"/>
                <w:lang w:val="en-GB"/>
              </w:rPr>
              <w:t>90.0000000000%</w:t>
            </w:r>
          </w:p>
        </w:tc>
      </w:tr>
      <w:tr w:rsidR="004B75EC" w:rsidRPr="00701ADE">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16"/>
                <w:lang w:val="en-GB"/>
              </w:rPr>
            </w:pPr>
            <w:r w:rsidRPr="00701ADE">
              <w:rPr>
                <w:color w:val="000000"/>
                <w:sz w:val="16"/>
                <w:lang w:val="en-GB"/>
              </w:rPr>
              <w:t>CEAS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16"/>
                <w:lang w:val="en-GB"/>
              </w:rPr>
            </w:pPr>
            <w:r w:rsidRPr="00701ADE">
              <w:rPr>
                <w:color w:val="000000"/>
                <w:sz w:val="16"/>
                <w:lang w:val="en-GB"/>
              </w:rPr>
              <w:t>Operating support</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16"/>
                <w:lang w:val="en-GB"/>
              </w:rPr>
            </w:pPr>
            <w:r w:rsidRPr="00701ADE">
              <w:rPr>
                <w:color w:val="000000"/>
                <w:sz w:val="16"/>
                <w:lang w:val="en-GB"/>
              </w:rPr>
              <w:t>Total</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16"/>
                <w:lang w:val="en-GB"/>
              </w:rPr>
            </w:pPr>
            <w:r w:rsidRPr="00701ADE">
              <w:rPr>
                <w:color w:val="000000"/>
                <w:sz w:val="16"/>
                <w:lang w:val="en-GB"/>
              </w:rPr>
              <w:t>1,800,000.00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16"/>
                <w:lang w:val="en-GB"/>
              </w:rPr>
            </w:pPr>
            <w:r w:rsidRPr="00701ADE">
              <w:rPr>
                <w:color w:val="000000"/>
                <w:sz w:val="16"/>
                <w:lang w:val="en-GB"/>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16"/>
                <w:lang w:val="en-GB"/>
              </w:rPr>
            </w:pPr>
            <w:r w:rsidRPr="00701ADE">
              <w:rPr>
                <w:color w:val="000000"/>
                <w:sz w:val="16"/>
                <w:lang w:val="en-GB"/>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16"/>
                <w:lang w:val="en-GB"/>
              </w:rPr>
            </w:pPr>
            <w:r w:rsidRPr="00701ADE">
              <w:rPr>
                <w:color w:val="000000"/>
                <w:sz w:val="16"/>
                <w:lang w:val="en-GB"/>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16"/>
                <w:lang w:val="en-GB"/>
              </w:rPr>
            </w:pPr>
            <w:r w:rsidRPr="00701ADE">
              <w:rPr>
                <w:color w:val="000000"/>
                <w:sz w:val="16"/>
                <w:lang w:val="en-GB"/>
              </w:rPr>
              <w:t>1,800,000.00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16"/>
                <w:lang w:val="en-GB"/>
              </w:rPr>
            </w:pPr>
            <w:r w:rsidRPr="00701ADE">
              <w:rPr>
                <w:color w:val="000000"/>
                <w:sz w:val="16"/>
                <w:lang w:val="en-GB"/>
              </w:rPr>
              <w:t>100.0000000000%</w:t>
            </w:r>
          </w:p>
        </w:tc>
      </w:tr>
      <w:tr w:rsidR="004B75EC" w:rsidRPr="00701ADE">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16"/>
                <w:lang w:val="en-GB"/>
              </w:rPr>
            </w:pPr>
            <w:r w:rsidRPr="00701ADE">
              <w:rPr>
                <w:color w:val="000000"/>
                <w:sz w:val="16"/>
                <w:lang w:val="en-GB"/>
              </w:rPr>
              <w:t>CEAS total</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A77B3E">
            <w:pPr>
              <w:spacing w:before="100"/>
              <w:rPr>
                <w:color w:val="000000"/>
                <w:sz w:val="16"/>
                <w:lang w:val="en-GB"/>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A77B3E">
            <w:pPr>
              <w:spacing w:before="100"/>
              <w:rPr>
                <w:color w:val="000000"/>
                <w:sz w:val="16"/>
                <w:lang w:val="en-GB"/>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16"/>
                <w:lang w:val="en-GB"/>
              </w:rPr>
            </w:pPr>
            <w:r w:rsidRPr="00701ADE">
              <w:rPr>
                <w:color w:val="000000"/>
                <w:sz w:val="16"/>
                <w:lang w:val="en-GB"/>
              </w:rPr>
              <w:t>35,535,500.00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16"/>
                <w:lang w:val="en-GB"/>
              </w:rPr>
            </w:pPr>
            <w:r w:rsidRPr="00701ADE">
              <w:rPr>
                <w:color w:val="000000"/>
                <w:sz w:val="16"/>
                <w:lang w:val="en-GB"/>
              </w:rPr>
              <w:t>11,045,166.67</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16"/>
                <w:lang w:val="en-GB"/>
              </w:rPr>
            </w:pPr>
            <w:r w:rsidRPr="00701ADE">
              <w:rPr>
                <w:color w:val="000000"/>
                <w:sz w:val="16"/>
                <w:lang w:val="en-GB"/>
              </w:rPr>
              <w:t>9,955,166.67</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16"/>
                <w:lang w:val="en-GB"/>
              </w:rPr>
            </w:pPr>
            <w:r w:rsidRPr="00701ADE">
              <w:rPr>
                <w:color w:val="000000"/>
                <w:sz w:val="16"/>
                <w:lang w:val="en-GB"/>
              </w:rPr>
              <w:t>1,090,000.00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16"/>
                <w:lang w:val="en-GB"/>
              </w:rPr>
            </w:pPr>
            <w:r w:rsidRPr="00701ADE">
              <w:rPr>
                <w:color w:val="000000"/>
                <w:sz w:val="16"/>
                <w:lang w:val="en-GB"/>
              </w:rPr>
              <w:t>46,580,666.67</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16"/>
                <w:lang w:val="en-GB"/>
              </w:rPr>
            </w:pPr>
            <w:r w:rsidRPr="00701ADE">
              <w:rPr>
                <w:color w:val="000000"/>
                <w:sz w:val="16"/>
                <w:lang w:val="en-GB"/>
              </w:rPr>
              <w:t>76.2880880425%</w:t>
            </w:r>
          </w:p>
        </w:tc>
      </w:tr>
      <w:tr w:rsidR="004B75EC" w:rsidRPr="00701ADE">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16"/>
                <w:lang w:val="en-GB"/>
              </w:rPr>
            </w:pPr>
            <w:r w:rsidRPr="00701ADE">
              <w:rPr>
                <w:color w:val="000000"/>
                <w:sz w:val="16"/>
                <w:lang w:val="en-GB"/>
              </w:rPr>
              <w:t>Legal migration and integration</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16"/>
                <w:lang w:val="en-GB"/>
              </w:rPr>
            </w:pPr>
            <w:r w:rsidRPr="00701ADE">
              <w:rPr>
                <w:color w:val="000000"/>
                <w:sz w:val="16"/>
                <w:lang w:val="en-GB"/>
              </w:rPr>
              <w:t>Regular actions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16"/>
                <w:lang w:val="en-GB"/>
              </w:rPr>
            </w:pPr>
            <w:r w:rsidRPr="00701ADE">
              <w:rPr>
                <w:color w:val="000000"/>
                <w:sz w:val="16"/>
                <w:lang w:val="en-GB"/>
              </w:rPr>
              <w:t>Total</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16"/>
                <w:lang w:val="en-GB"/>
              </w:rPr>
            </w:pPr>
            <w:r w:rsidRPr="00701ADE">
              <w:rPr>
                <w:color w:val="000000"/>
                <w:sz w:val="16"/>
                <w:lang w:val="en-GB"/>
              </w:rPr>
              <w:t>25,999,999.57</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16"/>
                <w:lang w:val="en-GB"/>
              </w:rPr>
            </w:pPr>
            <w:r w:rsidRPr="00701ADE">
              <w:rPr>
                <w:color w:val="000000"/>
                <w:sz w:val="16"/>
                <w:lang w:val="en-GB"/>
              </w:rPr>
              <w:t>8,666,667.00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16"/>
                <w:lang w:val="en-GB"/>
              </w:rPr>
            </w:pPr>
            <w:r w:rsidRPr="00701ADE">
              <w:rPr>
                <w:color w:val="000000"/>
                <w:sz w:val="16"/>
                <w:lang w:val="en-GB"/>
              </w:rPr>
              <w:t>7,166,667.00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16"/>
                <w:lang w:val="en-GB"/>
              </w:rPr>
            </w:pPr>
            <w:r w:rsidRPr="00701ADE">
              <w:rPr>
                <w:color w:val="000000"/>
                <w:sz w:val="16"/>
                <w:lang w:val="en-GB"/>
              </w:rPr>
              <w:t>1,500,000.00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16"/>
                <w:lang w:val="en-GB"/>
              </w:rPr>
            </w:pPr>
            <w:r w:rsidRPr="00701ADE">
              <w:rPr>
                <w:color w:val="000000"/>
                <w:sz w:val="16"/>
                <w:lang w:val="en-GB"/>
              </w:rPr>
              <w:t>34,666,666.57</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16"/>
                <w:lang w:val="en-GB"/>
              </w:rPr>
            </w:pPr>
            <w:r w:rsidRPr="00701ADE">
              <w:rPr>
                <w:color w:val="000000"/>
                <w:sz w:val="16"/>
                <w:lang w:val="en-GB"/>
              </w:rPr>
              <w:t>74.9999989687%</w:t>
            </w:r>
          </w:p>
        </w:tc>
      </w:tr>
      <w:tr w:rsidR="004B75EC" w:rsidRPr="00701ADE">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16"/>
                <w:lang w:val="en-GB"/>
              </w:rPr>
            </w:pPr>
            <w:r w:rsidRPr="00701ADE">
              <w:rPr>
                <w:color w:val="000000"/>
                <w:sz w:val="16"/>
                <w:lang w:val="en-GB"/>
              </w:rPr>
              <w:t>Legal migration and integration</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16"/>
                <w:lang w:val="en-GB"/>
              </w:rPr>
            </w:pPr>
            <w:r w:rsidRPr="00701ADE">
              <w:rPr>
                <w:color w:val="000000"/>
                <w:sz w:val="16"/>
                <w:lang w:val="en-GB"/>
              </w:rPr>
              <w:t>Actions set out in Annex IV</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16"/>
                <w:lang w:val="en-GB"/>
              </w:rPr>
            </w:pPr>
            <w:r w:rsidRPr="00701ADE">
              <w:rPr>
                <w:color w:val="000000"/>
                <w:sz w:val="16"/>
                <w:lang w:val="en-GB"/>
              </w:rPr>
              <w:t>Total</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16"/>
                <w:lang w:val="en-GB"/>
              </w:rPr>
            </w:pPr>
            <w:r w:rsidRPr="00701ADE">
              <w:rPr>
                <w:color w:val="000000"/>
                <w:sz w:val="16"/>
                <w:lang w:val="en-GB"/>
              </w:rPr>
              <w:t>108,704,269.00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16"/>
                <w:lang w:val="en-GB"/>
              </w:rPr>
            </w:pPr>
            <w:r w:rsidRPr="00701ADE">
              <w:rPr>
                <w:color w:val="000000"/>
                <w:sz w:val="16"/>
                <w:lang w:val="en-GB"/>
              </w:rPr>
              <w:t>12,078,253.00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16"/>
                <w:lang w:val="en-GB"/>
              </w:rPr>
            </w:pPr>
            <w:r w:rsidRPr="00701ADE">
              <w:rPr>
                <w:color w:val="000000"/>
                <w:sz w:val="16"/>
                <w:lang w:val="en-GB"/>
              </w:rPr>
              <w:t>10,000,000.00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16"/>
                <w:lang w:val="en-GB"/>
              </w:rPr>
            </w:pPr>
            <w:r w:rsidRPr="00701ADE">
              <w:rPr>
                <w:color w:val="000000"/>
                <w:sz w:val="16"/>
                <w:lang w:val="en-GB"/>
              </w:rPr>
              <w:t>2,078,253.00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16"/>
                <w:lang w:val="en-GB"/>
              </w:rPr>
            </w:pPr>
            <w:r w:rsidRPr="00701ADE">
              <w:rPr>
                <w:color w:val="000000"/>
                <w:sz w:val="16"/>
                <w:lang w:val="en-GB"/>
              </w:rPr>
              <w:t>120,782,522.00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16"/>
                <w:lang w:val="en-GB"/>
              </w:rPr>
            </w:pPr>
            <w:r w:rsidRPr="00701ADE">
              <w:rPr>
                <w:color w:val="000000"/>
                <w:sz w:val="16"/>
                <w:lang w:val="en-GB"/>
              </w:rPr>
              <w:t>89.9999993377%</w:t>
            </w:r>
          </w:p>
        </w:tc>
      </w:tr>
      <w:tr w:rsidR="004B75EC" w:rsidRPr="00701ADE">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16"/>
                <w:lang w:val="en-GB"/>
              </w:rPr>
            </w:pPr>
            <w:r w:rsidRPr="00701ADE">
              <w:rPr>
                <w:color w:val="000000"/>
                <w:sz w:val="16"/>
                <w:lang w:val="en-GB"/>
              </w:rPr>
              <w:t>Legal migration and integration</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16"/>
                <w:lang w:val="en-GB"/>
              </w:rPr>
            </w:pPr>
            <w:r w:rsidRPr="00701ADE">
              <w:rPr>
                <w:color w:val="000000"/>
                <w:sz w:val="16"/>
                <w:lang w:val="en-GB"/>
              </w:rPr>
              <w:t>Operating support</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16"/>
                <w:lang w:val="en-GB"/>
              </w:rPr>
            </w:pPr>
            <w:r w:rsidRPr="00701ADE">
              <w:rPr>
                <w:color w:val="000000"/>
                <w:sz w:val="16"/>
                <w:lang w:val="en-GB"/>
              </w:rPr>
              <w:t>Total</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16"/>
                <w:lang w:val="en-GB"/>
              </w:rPr>
            </w:pPr>
            <w:r w:rsidRPr="00701ADE">
              <w:rPr>
                <w:color w:val="000000"/>
                <w:sz w:val="16"/>
                <w:lang w:val="en-GB"/>
              </w:rPr>
              <w:t>6,600,000.00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16"/>
                <w:lang w:val="en-GB"/>
              </w:rPr>
            </w:pPr>
            <w:r w:rsidRPr="00701ADE">
              <w:rPr>
                <w:color w:val="000000"/>
                <w:sz w:val="16"/>
                <w:lang w:val="en-GB"/>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16"/>
                <w:lang w:val="en-GB"/>
              </w:rPr>
            </w:pPr>
            <w:r w:rsidRPr="00701ADE">
              <w:rPr>
                <w:color w:val="000000"/>
                <w:sz w:val="16"/>
                <w:lang w:val="en-GB"/>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16"/>
                <w:lang w:val="en-GB"/>
              </w:rPr>
            </w:pPr>
            <w:r w:rsidRPr="00701ADE">
              <w:rPr>
                <w:color w:val="000000"/>
                <w:sz w:val="16"/>
                <w:lang w:val="en-GB"/>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16"/>
                <w:lang w:val="en-GB"/>
              </w:rPr>
            </w:pPr>
            <w:r w:rsidRPr="00701ADE">
              <w:rPr>
                <w:color w:val="000000"/>
                <w:sz w:val="16"/>
                <w:lang w:val="en-GB"/>
              </w:rPr>
              <w:t>6,600,000.00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16"/>
                <w:lang w:val="en-GB"/>
              </w:rPr>
            </w:pPr>
            <w:r w:rsidRPr="00701ADE">
              <w:rPr>
                <w:color w:val="000000"/>
                <w:sz w:val="16"/>
                <w:lang w:val="en-GB"/>
              </w:rPr>
              <w:t>100.0000000000%</w:t>
            </w:r>
          </w:p>
        </w:tc>
      </w:tr>
      <w:tr w:rsidR="004B75EC" w:rsidRPr="00701ADE">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16"/>
                <w:lang w:val="en-GB"/>
              </w:rPr>
            </w:pPr>
            <w:r w:rsidRPr="00701ADE">
              <w:rPr>
                <w:color w:val="000000"/>
                <w:sz w:val="16"/>
                <w:lang w:val="en-GB"/>
              </w:rPr>
              <w:t>Legal migration and integration total</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A77B3E">
            <w:pPr>
              <w:spacing w:before="100"/>
              <w:rPr>
                <w:color w:val="000000"/>
                <w:sz w:val="16"/>
                <w:lang w:val="en-GB"/>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A77B3E">
            <w:pPr>
              <w:spacing w:before="100"/>
              <w:rPr>
                <w:color w:val="000000"/>
                <w:sz w:val="16"/>
                <w:lang w:val="en-GB"/>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16"/>
                <w:lang w:val="en-GB"/>
              </w:rPr>
            </w:pPr>
            <w:r w:rsidRPr="00701ADE">
              <w:rPr>
                <w:color w:val="000000"/>
                <w:sz w:val="16"/>
                <w:lang w:val="en-GB"/>
              </w:rPr>
              <w:t>141,304,268.57</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16"/>
                <w:lang w:val="en-GB"/>
              </w:rPr>
            </w:pPr>
            <w:r w:rsidRPr="00701ADE">
              <w:rPr>
                <w:color w:val="000000"/>
                <w:sz w:val="16"/>
                <w:lang w:val="en-GB"/>
              </w:rPr>
              <w:t>20,744,920.00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16"/>
                <w:lang w:val="en-GB"/>
              </w:rPr>
            </w:pPr>
            <w:r w:rsidRPr="00701ADE">
              <w:rPr>
                <w:color w:val="000000"/>
                <w:sz w:val="16"/>
                <w:lang w:val="en-GB"/>
              </w:rPr>
              <w:t>17,166,667.00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16"/>
                <w:lang w:val="en-GB"/>
              </w:rPr>
            </w:pPr>
            <w:r w:rsidRPr="00701ADE">
              <w:rPr>
                <w:color w:val="000000"/>
                <w:sz w:val="16"/>
                <w:lang w:val="en-GB"/>
              </w:rPr>
              <w:t>3,578,253.00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16"/>
                <w:lang w:val="en-GB"/>
              </w:rPr>
            </w:pPr>
            <w:r w:rsidRPr="00701ADE">
              <w:rPr>
                <w:color w:val="000000"/>
                <w:sz w:val="16"/>
                <w:lang w:val="en-GB"/>
              </w:rPr>
              <w:t>162,049,188.57</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16"/>
                <w:lang w:val="en-GB"/>
              </w:rPr>
            </w:pPr>
            <w:r w:rsidRPr="00701ADE">
              <w:rPr>
                <w:color w:val="000000"/>
                <w:sz w:val="16"/>
                <w:lang w:val="en-GB"/>
              </w:rPr>
              <w:t>87.1983808231%</w:t>
            </w:r>
          </w:p>
        </w:tc>
      </w:tr>
      <w:tr w:rsidR="004B75EC" w:rsidRPr="00701ADE">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16"/>
                <w:lang w:val="en-GB"/>
              </w:rPr>
            </w:pPr>
            <w:r w:rsidRPr="00701ADE">
              <w:rPr>
                <w:color w:val="000000"/>
                <w:sz w:val="16"/>
                <w:lang w:val="en-GB"/>
              </w:rPr>
              <w:t>Return</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16"/>
                <w:lang w:val="en-GB"/>
              </w:rPr>
            </w:pPr>
            <w:r w:rsidRPr="00701ADE">
              <w:rPr>
                <w:color w:val="000000"/>
                <w:sz w:val="16"/>
                <w:lang w:val="en-GB"/>
              </w:rPr>
              <w:t>Regular actions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16"/>
                <w:lang w:val="en-GB"/>
              </w:rPr>
            </w:pPr>
            <w:r w:rsidRPr="00701ADE">
              <w:rPr>
                <w:color w:val="000000"/>
                <w:sz w:val="16"/>
                <w:lang w:val="en-GB"/>
              </w:rPr>
              <w:t>Total</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16"/>
                <w:lang w:val="en-GB"/>
              </w:rPr>
            </w:pPr>
            <w:r w:rsidRPr="00701ADE">
              <w:rPr>
                <w:color w:val="000000"/>
                <w:sz w:val="16"/>
                <w:lang w:val="en-GB"/>
              </w:rPr>
              <w:t>40,422,422.00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16"/>
                <w:lang w:val="en-GB"/>
              </w:rPr>
            </w:pPr>
            <w:r w:rsidRPr="00701ADE">
              <w:rPr>
                <w:color w:val="000000"/>
                <w:sz w:val="16"/>
                <w:lang w:val="en-GB"/>
              </w:rPr>
              <w:t>13,474,140.67</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16"/>
                <w:lang w:val="en-GB"/>
              </w:rPr>
            </w:pPr>
            <w:r w:rsidRPr="00701ADE">
              <w:rPr>
                <w:color w:val="000000"/>
                <w:sz w:val="16"/>
                <w:lang w:val="en-GB"/>
              </w:rPr>
              <w:t>12,974,140.67</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16"/>
                <w:lang w:val="en-GB"/>
              </w:rPr>
            </w:pPr>
            <w:r w:rsidRPr="00701ADE">
              <w:rPr>
                <w:color w:val="000000"/>
                <w:sz w:val="16"/>
                <w:lang w:val="en-GB"/>
              </w:rPr>
              <w:t>500,000.00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16"/>
                <w:lang w:val="en-GB"/>
              </w:rPr>
            </w:pPr>
            <w:r w:rsidRPr="00701ADE">
              <w:rPr>
                <w:color w:val="000000"/>
                <w:sz w:val="16"/>
                <w:lang w:val="en-GB"/>
              </w:rPr>
              <w:t>53,896,562.67</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16"/>
                <w:lang w:val="en-GB"/>
              </w:rPr>
            </w:pPr>
            <w:r w:rsidRPr="00701ADE">
              <w:rPr>
                <w:color w:val="000000"/>
                <w:sz w:val="16"/>
                <w:lang w:val="en-GB"/>
              </w:rPr>
              <w:t>74.9999999954%</w:t>
            </w:r>
          </w:p>
        </w:tc>
      </w:tr>
      <w:tr w:rsidR="004B75EC" w:rsidRPr="00701ADE">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16"/>
                <w:lang w:val="en-GB"/>
              </w:rPr>
            </w:pPr>
            <w:r w:rsidRPr="00701ADE">
              <w:rPr>
                <w:color w:val="000000"/>
                <w:sz w:val="16"/>
                <w:lang w:val="en-GB"/>
              </w:rPr>
              <w:t>Return</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16"/>
                <w:lang w:val="en-GB"/>
              </w:rPr>
            </w:pPr>
            <w:r w:rsidRPr="00701ADE">
              <w:rPr>
                <w:color w:val="000000"/>
                <w:sz w:val="16"/>
                <w:lang w:val="en-GB"/>
              </w:rPr>
              <w:t>Actions set out in Annex IV</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16"/>
                <w:lang w:val="en-GB"/>
              </w:rPr>
            </w:pPr>
            <w:r w:rsidRPr="00701ADE">
              <w:rPr>
                <w:color w:val="000000"/>
                <w:sz w:val="16"/>
                <w:lang w:val="en-GB"/>
              </w:rPr>
              <w:t>Total</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16"/>
                <w:lang w:val="en-GB"/>
              </w:rPr>
            </w:pPr>
            <w:r w:rsidRPr="00701ADE">
              <w:rPr>
                <w:color w:val="000000"/>
                <w:sz w:val="16"/>
                <w:lang w:val="en-GB"/>
              </w:rPr>
              <w:t>5,600,000.00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16"/>
                <w:lang w:val="en-GB"/>
              </w:rPr>
            </w:pPr>
            <w:r w:rsidRPr="00701ADE">
              <w:rPr>
                <w:color w:val="000000"/>
                <w:sz w:val="16"/>
                <w:lang w:val="en-GB"/>
              </w:rPr>
              <w:t>622,223.00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16"/>
                <w:lang w:val="en-GB"/>
              </w:rPr>
            </w:pPr>
            <w:r w:rsidRPr="00701ADE">
              <w:rPr>
                <w:color w:val="000000"/>
                <w:sz w:val="16"/>
                <w:lang w:val="en-GB"/>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16"/>
                <w:lang w:val="en-GB"/>
              </w:rPr>
            </w:pPr>
            <w:r w:rsidRPr="00701ADE">
              <w:rPr>
                <w:color w:val="000000"/>
                <w:sz w:val="16"/>
                <w:lang w:val="en-GB"/>
              </w:rPr>
              <w:t>622,223.00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16"/>
                <w:lang w:val="en-GB"/>
              </w:rPr>
            </w:pPr>
            <w:r w:rsidRPr="00701ADE">
              <w:rPr>
                <w:color w:val="000000"/>
                <w:sz w:val="16"/>
                <w:lang w:val="en-GB"/>
              </w:rPr>
              <w:t>6,222,223.00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16"/>
                <w:lang w:val="en-GB"/>
              </w:rPr>
            </w:pPr>
            <w:r w:rsidRPr="00701ADE">
              <w:rPr>
                <w:color w:val="000000"/>
                <w:sz w:val="16"/>
                <w:lang w:val="en-GB"/>
              </w:rPr>
              <w:t>89.9999887500%</w:t>
            </w:r>
          </w:p>
        </w:tc>
      </w:tr>
      <w:tr w:rsidR="004B75EC" w:rsidRPr="00701ADE">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16"/>
                <w:lang w:val="en-GB"/>
              </w:rPr>
            </w:pPr>
            <w:r w:rsidRPr="00701ADE">
              <w:rPr>
                <w:color w:val="000000"/>
                <w:sz w:val="16"/>
                <w:lang w:val="en-GB"/>
              </w:rPr>
              <w:t>Return</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16"/>
                <w:lang w:val="en-GB"/>
              </w:rPr>
            </w:pPr>
            <w:r w:rsidRPr="00701ADE">
              <w:rPr>
                <w:color w:val="000000"/>
                <w:sz w:val="16"/>
                <w:lang w:val="en-GB"/>
              </w:rPr>
              <w:t>Operating support</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16"/>
                <w:lang w:val="en-GB"/>
              </w:rPr>
            </w:pPr>
            <w:r w:rsidRPr="00701ADE">
              <w:rPr>
                <w:color w:val="000000"/>
                <w:sz w:val="16"/>
                <w:lang w:val="en-GB"/>
              </w:rPr>
              <w:t>Total</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16"/>
                <w:lang w:val="en-GB"/>
              </w:rPr>
            </w:pPr>
            <w:r w:rsidRPr="00701ADE">
              <w:rPr>
                <w:color w:val="000000"/>
                <w:sz w:val="16"/>
                <w:lang w:val="en-GB"/>
              </w:rPr>
              <w:t>600,000.00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16"/>
                <w:lang w:val="en-GB"/>
              </w:rPr>
            </w:pPr>
            <w:r w:rsidRPr="00701ADE">
              <w:rPr>
                <w:color w:val="000000"/>
                <w:sz w:val="16"/>
                <w:lang w:val="en-GB"/>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16"/>
                <w:lang w:val="en-GB"/>
              </w:rPr>
            </w:pPr>
            <w:r w:rsidRPr="00701ADE">
              <w:rPr>
                <w:color w:val="000000"/>
                <w:sz w:val="16"/>
                <w:lang w:val="en-GB"/>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16"/>
                <w:lang w:val="en-GB"/>
              </w:rPr>
            </w:pPr>
            <w:r w:rsidRPr="00701ADE">
              <w:rPr>
                <w:color w:val="000000"/>
                <w:sz w:val="16"/>
                <w:lang w:val="en-GB"/>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16"/>
                <w:lang w:val="en-GB"/>
              </w:rPr>
            </w:pPr>
            <w:r w:rsidRPr="00701ADE">
              <w:rPr>
                <w:color w:val="000000"/>
                <w:sz w:val="16"/>
                <w:lang w:val="en-GB"/>
              </w:rPr>
              <w:t>600,000.00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16"/>
                <w:lang w:val="en-GB"/>
              </w:rPr>
            </w:pPr>
            <w:r w:rsidRPr="00701ADE">
              <w:rPr>
                <w:color w:val="000000"/>
                <w:sz w:val="16"/>
                <w:lang w:val="en-GB"/>
              </w:rPr>
              <w:t>100.0000000000%</w:t>
            </w:r>
          </w:p>
        </w:tc>
      </w:tr>
      <w:tr w:rsidR="004B75EC" w:rsidRPr="00701ADE">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16"/>
                <w:lang w:val="en-GB"/>
              </w:rPr>
            </w:pPr>
            <w:r w:rsidRPr="00701ADE">
              <w:rPr>
                <w:color w:val="000000"/>
                <w:sz w:val="16"/>
                <w:lang w:val="en-GB"/>
              </w:rPr>
              <w:t>Return total</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A77B3E">
            <w:pPr>
              <w:spacing w:before="100"/>
              <w:rPr>
                <w:color w:val="000000"/>
                <w:sz w:val="16"/>
                <w:lang w:val="en-GB"/>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A77B3E">
            <w:pPr>
              <w:spacing w:before="100"/>
              <w:rPr>
                <w:color w:val="000000"/>
                <w:sz w:val="16"/>
                <w:lang w:val="en-GB"/>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16"/>
                <w:lang w:val="en-GB"/>
              </w:rPr>
            </w:pPr>
            <w:r w:rsidRPr="00701ADE">
              <w:rPr>
                <w:color w:val="000000"/>
                <w:sz w:val="16"/>
                <w:lang w:val="en-GB"/>
              </w:rPr>
              <w:t>46,622,422.00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16"/>
                <w:lang w:val="en-GB"/>
              </w:rPr>
            </w:pPr>
            <w:r w:rsidRPr="00701ADE">
              <w:rPr>
                <w:color w:val="000000"/>
                <w:sz w:val="16"/>
                <w:lang w:val="en-GB"/>
              </w:rPr>
              <w:t>14,096,363.67</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16"/>
                <w:lang w:val="en-GB"/>
              </w:rPr>
            </w:pPr>
            <w:r w:rsidRPr="00701ADE">
              <w:rPr>
                <w:color w:val="000000"/>
                <w:sz w:val="16"/>
                <w:lang w:val="en-GB"/>
              </w:rPr>
              <w:t>12,974,140.67</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16"/>
                <w:lang w:val="en-GB"/>
              </w:rPr>
            </w:pPr>
            <w:r w:rsidRPr="00701ADE">
              <w:rPr>
                <w:color w:val="000000"/>
                <w:sz w:val="16"/>
                <w:lang w:val="en-GB"/>
              </w:rPr>
              <w:t>1,122,223.00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16"/>
                <w:lang w:val="en-GB"/>
              </w:rPr>
            </w:pPr>
            <w:r w:rsidRPr="00701ADE">
              <w:rPr>
                <w:color w:val="000000"/>
                <w:sz w:val="16"/>
                <w:lang w:val="en-GB"/>
              </w:rPr>
              <w:t>60,718,785.67</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16"/>
                <w:lang w:val="en-GB"/>
              </w:rPr>
            </w:pPr>
            <w:r w:rsidRPr="00701ADE">
              <w:rPr>
                <w:color w:val="000000"/>
                <w:sz w:val="16"/>
                <w:lang w:val="en-GB"/>
              </w:rPr>
              <w:t>76.7841805226%</w:t>
            </w:r>
          </w:p>
        </w:tc>
      </w:tr>
      <w:tr w:rsidR="004B75EC" w:rsidRPr="00701ADE">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16"/>
                <w:lang w:val="en-GB"/>
              </w:rPr>
            </w:pPr>
            <w:r w:rsidRPr="00701ADE">
              <w:rPr>
                <w:color w:val="000000"/>
                <w:sz w:val="16"/>
                <w:lang w:val="en-GB"/>
              </w:rPr>
              <w:t>Solidarity</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16"/>
                <w:lang w:val="en-GB"/>
              </w:rPr>
            </w:pPr>
            <w:r w:rsidRPr="00701ADE">
              <w:rPr>
                <w:color w:val="000000"/>
                <w:sz w:val="16"/>
                <w:lang w:val="en-GB"/>
              </w:rPr>
              <w:t>Regular actions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16"/>
                <w:lang w:val="en-GB"/>
              </w:rPr>
            </w:pPr>
            <w:r w:rsidRPr="00701ADE">
              <w:rPr>
                <w:color w:val="000000"/>
                <w:sz w:val="16"/>
                <w:lang w:val="en-GB"/>
              </w:rPr>
              <w:t>Total</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A77B3E">
            <w:pPr>
              <w:spacing w:before="100"/>
              <w:jc w:val="right"/>
              <w:rPr>
                <w:color w:val="000000"/>
                <w:sz w:val="16"/>
                <w:lang w:val="en-GB"/>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A77B3E">
            <w:pPr>
              <w:spacing w:before="100"/>
              <w:jc w:val="right"/>
              <w:rPr>
                <w:color w:val="000000"/>
                <w:sz w:val="16"/>
                <w:lang w:val="en-GB"/>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A77B3E">
            <w:pPr>
              <w:spacing w:before="100"/>
              <w:jc w:val="right"/>
              <w:rPr>
                <w:color w:val="000000"/>
                <w:sz w:val="16"/>
                <w:lang w:val="en-GB"/>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A77B3E">
            <w:pPr>
              <w:spacing w:before="100"/>
              <w:jc w:val="right"/>
              <w:rPr>
                <w:color w:val="000000"/>
                <w:sz w:val="16"/>
                <w:lang w:val="en-GB"/>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A77B3E">
            <w:pPr>
              <w:spacing w:before="100"/>
              <w:jc w:val="right"/>
              <w:rPr>
                <w:color w:val="000000"/>
                <w:sz w:val="16"/>
                <w:lang w:val="en-GB"/>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A77B3E">
            <w:pPr>
              <w:spacing w:before="100"/>
              <w:jc w:val="right"/>
              <w:rPr>
                <w:color w:val="000000"/>
                <w:sz w:val="16"/>
                <w:lang w:val="en-GB"/>
              </w:rPr>
            </w:pPr>
          </w:p>
        </w:tc>
      </w:tr>
      <w:tr w:rsidR="004B75EC" w:rsidRPr="00701ADE">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16"/>
                <w:lang w:val="en-GB"/>
              </w:rPr>
            </w:pPr>
            <w:r w:rsidRPr="00701ADE">
              <w:rPr>
                <w:color w:val="000000"/>
                <w:sz w:val="16"/>
                <w:lang w:val="en-GB"/>
              </w:rPr>
              <w:t>Solidarity</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16"/>
                <w:lang w:val="en-GB"/>
              </w:rPr>
            </w:pPr>
            <w:r w:rsidRPr="00701ADE">
              <w:rPr>
                <w:color w:val="000000"/>
                <w:sz w:val="16"/>
                <w:lang w:val="en-GB"/>
              </w:rPr>
              <w:t>Actions set out in Annex IV</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16"/>
                <w:lang w:val="en-GB"/>
              </w:rPr>
            </w:pPr>
            <w:r w:rsidRPr="00701ADE">
              <w:rPr>
                <w:color w:val="000000"/>
                <w:sz w:val="16"/>
                <w:lang w:val="en-GB"/>
              </w:rPr>
              <w:t>Total</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A77B3E">
            <w:pPr>
              <w:spacing w:before="100"/>
              <w:jc w:val="right"/>
              <w:rPr>
                <w:color w:val="000000"/>
                <w:sz w:val="16"/>
                <w:lang w:val="en-GB"/>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A77B3E">
            <w:pPr>
              <w:spacing w:before="100"/>
              <w:jc w:val="right"/>
              <w:rPr>
                <w:color w:val="000000"/>
                <w:sz w:val="16"/>
                <w:lang w:val="en-GB"/>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A77B3E">
            <w:pPr>
              <w:spacing w:before="100"/>
              <w:jc w:val="right"/>
              <w:rPr>
                <w:color w:val="000000"/>
                <w:sz w:val="16"/>
                <w:lang w:val="en-GB"/>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A77B3E">
            <w:pPr>
              <w:spacing w:before="100"/>
              <w:jc w:val="right"/>
              <w:rPr>
                <w:color w:val="000000"/>
                <w:sz w:val="16"/>
                <w:lang w:val="en-GB"/>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A77B3E">
            <w:pPr>
              <w:spacing w:before="100"/>
              <w:jc w:val="right"/>
              <w:rPr>
                <w:color w:val="000000"/>
                <w:sz w:val="16"/>
                <w:lang w:val="en-GB"/>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A77B3E">
            <w:pPr>
              <w:spacing w:before="100"/>
              <w:jc w:val="right"/>
              <w:rPr>
                <w:color w:val="000000"/>
                <w:sz w:val="16"/>
                <w:lang w:val="en-GB"/>
              </w:rPr>
            </w:pPr>
          </w:p>
        </w:tc>
      </w:tr>
      <w:tr w:rsidR="004B75EC" w:rsidRPr="00701ADE">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16"/>
                <w:lang w:val="en-GB"/>
              </w:rPr>
            </w:pPr>
            <w:r w:rsidRPr="00701ADE">
              <w:rPr>
                <w:color w:val="000000"/>
                <w:sz w:val="16"/>
                <w:lang w:val="en-GB"/>
              </w:rPr>
              <w:t>Solidarity total</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A77B3E">
            <w:pPr>
              <w:spacing w:before="100"/>
              <w:rPr>
                <w:color w:val="000000"/>
                <w:sz w:val="16"/>
                <w:lang w:val="en-GB"/>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A77B3E">
            <w:pPr>
              <w:spacing w:before="100"/>
              <w:rPr>
                <w:color w:val="000000"/>
                <w:sz w:val="16"/>
                <w:lang w:val="en-GB"/>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A77B3E">
            <w:pPr>
              <w:spacing w:before="100"/>
              <w:jc w:val="right"/>
              <w:rPr>
                <w:color w:val="000000"/>
                <w:sz w:val="16"/>
                <w:lang w:val="en-GB"/>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A77B3E">
            <w:pPr>
              <w:spacing w:before="100"/>
              <w:jc w:val="right"/>
              <w:rPr>
                <w:color w:val="000000"/>
                <w:sz w:val="16"/>
                <w:lang w:val="en-GB"/>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A77B3E">
            <w:pPr>
              <w:spacing w:before="100"/>
              <w:jc w:val="right"/>
              <w:rPr>
                <w:color w:val="000000"/>
                <w:sz w:val="16"/>
                <w:lang w:val="en-GB"/>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A77B3E">
            <w:pPr>
              <w:spacing w:before="100"/>
              <w:jc w:val="right"/>
              <w:rPr>
                <w:color w:val="000000"/>
                <w:sz w:val="16"/>
                <w:lang w:val="en-GB"/>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A77B3E">
            <w:pPr>
              <w:spacing w:before="100"/>
              <w:jc w:val="right"/>
              <w:rPr>
                <w:color w:val="000000"/>
                <w:sz w:val="16"/>
                <w:lang w:val="en-GB"/>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A77B3E">
            <w:pPr>
              <w:spacing w:before="100"/>
              <w:jc w:val="right"/>
              <w:rPr>
                <w:color w:val="000000"/>
                <w:sz w:val="16"/>
                <w:lang w:val="en-GB"/>
              </w:rPr>
            </w:pPr>
          </w:p>
        </w:tc>
      </w:tr>
      <w:tr w:rsidR="004B75EC" w:rsidRPr="00701ADE">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16"/>
                <w:lang w:val="en-GB"/>
              </w:rPr>
            </w:pPr>
            <w:r w:rsidRPr="00701ADE">
              <w:rPr>
                <w:color w:val="000000"/>
                <w:sz w:val="16"/>
                <w:lang w:val="en-GB"/>
              </w:rPr>
              <w:t>Technical assistance – flat rate (Article 36(5) of the Common Provisions Regulation)</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A77B3E">
            <w:pPr>
              <w:spacing w:before="100"/>
              <w:rPr>
                <w:color w:val="000000"/>
                <w:sz w:val="16"/>
                <w:lang w:val="en-GB"/>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A77B3E">
            <w:pPr>
              <w:spacing w:before="100"/>
              <w:rPr>
                <w:color w:val="000000"/>
                <w:sz w:val="16"/>
                <w:lang w:val="en-GB"/>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16"/>
                <w:lang w:val="en-GB"/>
              </w:rPr>
            </w:pPr>
            <w:r w:rsidRPr="00701ADE">
              <w:rPr>
                <w:color w:val="000000"/>
                <w:sz w:val="16"/>
                <w:lang w:val="en-GB"/>
              </w:rPr>
              <w:t>13,407,731.43</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A77B3E">
            <w:pPr>
              <w:spacing w:before="100"/>
              <w:jc w:val="right"/>
              <w:rPr>
                <w:color w:val="000000"/>
                <w:sz w:val="16"/>
                <w:lang w:val="en-GB"/>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A77B3E">
            <w:pPr>
              <w:spacing w:before="100"/>
              <w:jc w:val="right"/>
              <w:rPr>
                <w:color w:val="000000"/>
                <w:sz w:val="16"/>
                <w:lang w:val="en-GB"/>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A77B3E">
            <w:pPr>
              <w:spacing w:before="100"/>
              <w:jc w:val="right"/>
              <w:rPr>
                <w:color w:val="000000"/>
                <w:sz w:val="16"/>
                <w:lang w:val="en-GB"/>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16"/>
                <w:lang w:val="en-GB"/>
              </w:rPr>
            </w:pPr>
            <w:r w:rsidRPr="00701ADE">
              <w:rPr>
                <w:color w:val="000000"/>
                <w:sz w:val="16"/>
                <w:lang w:val="en-GB"/>
              </w:rPr>
              <w:t>13,407,731.43</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16"/>
                <w:lang w:val="en-GB"/>
              </w:rPr>
            </w:pPr>
            <w:r w:rsidRPr="00701ADE">
              <w:rPr>
                <w:color w:val="000000"/>
                <w:sz w:val="16"/>
                <w:lang w:val="en-GB"/>
              </w:rPr>
              <w:t>100.0000000000%</w:t>
            </w:r>
          </w:p>
        </w:tc>
      </w:tr>
      <w:tr w:rsidR="004B75EC" w:rsidRPr="00701ADE">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16"/>
                <w:lang w:val="en-GB"/>
              </w:rPr>
            </w:pPr>
            <w:r w:rsidRPr="00701ADE">
              <w:rPr>
                <w:color w:val="000000"/>
                <w:sz w:val="16"/>
                <w:lang w:val="en-GB"/>
              </w:rPr>
              <w:t>Grand total</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A77B3E">
            <w:pPr>
              <w:spacing w:before="100"/>
              <w:rPr>
                <w:color w:val="000000"/>
                <w:sz w:val="16"/>
                <w:lang w:val="en-GB"/>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A77B3E">
            <w:pPr>
              <w:spacing w:before="100"/>
              <w:rPr>
                <w:color w:val="000000"/>
                <w:sz w:val="16"/>
                <w:lang w:val="en-GB"/>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16"/>
                <w:lang w:val="en-GB"/>
              </w:rPr>
            </w:pPr>
            <w:r w:rsidRPr="00701ADE">
              <w:rPr>
                <w:color w:val="000000"/>
                <w:sz w:val="16"/>
                <w:lang w:val="en-GB"/>
              </w:rPr>
              <w:t>236,869,922.00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16"/>
                <w:lang w:val="en-GB"/>
              </w:rPr>
            </w:pPr>
            <w:r w:rsidRPr="00701ADE">
              <w:rPr>
                <w:color w:val="000000"/>
                <w:sz w:val="16"/>
                <w:lang w:val="en-GB"/>
              </w:rPr>
              <w:t>45,886,450.34</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16"/>
                <w:lang w:val="en-GB"/>
              </w:rPr>
            </w:pPr>
            <w:r w:rsidRPr="00701ADE">
              <w:rPr>
                <w:color w:val="000000"/>
                <w:sz w:val="16"/>
                <w:lang w:val="en-GB"/>
              </w:rPr>
              <w:t>40,095,974.34</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16"/>
                <w:lang w:val="en-GB"/>
              </w:rPr>
            </w:pPr>
            <w:r w:rsidRPr="00701ADE">
              <w:rPr>
                <w:color w:val="000000"/>
                <w:sz w:val="16"/>
                <w:lang w:val="en-GB"/>
              </w:rPr>
              <w:t>5,790,476.00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16"/>
                <w:lang w:val="en-GB"/>
              </w:rPr>
            </w:pPr>
            <w:r w:rsidRPr="00701ADE">
              <w:rPr>
                <w:color w:val="000000"/>
                <w:sz w:val="16"/>
                <w:lang w:val="en-GB"/>
              </w:rPr>
              <w:t>282,756,372.34</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right"/>
              <w:rPr>
                <w:color w:val="000000"/>
                <w:sz w:val="16"/>
                <w:lang w:val="en-GB"/>
              </w:rPr>
            </w:pPr>
            <w:r w:rsidRPr="00701ADE">
              <w:rPr>
                <w:color w:val="000000"/>
                <w:sz w:val="16"/>
                <w:lang w:val="en-GB"/>
              </w:rPr>
              <w:t>83.7717360849%</w:t>
            </w:r>
          </w:p>
        </w:tc>
      </w:tr>
    </w:tbl>
    <w:p w:rsidR="00A77B3E" w:rsidRPr="00701ADE" w:rsidRDefault="00BB4ED7">
      <w:pPr>
        <w:spacing w:before="100"/>
        <w:rPr>
          <w:color w:val="000000"/>
          <w:lang w:val="en-GB"/>
        </w:rPr>
      </w:pPr>
      <w:r w:rsidRPr="00701ADE">
        <w:rPr>
          <w:color w:val="000000"/>
          <w:sz w:val="16"/>
          <w:lang w:val="en-GB"/>
        </w:rPr>
        <w:br w:type="page"/>
      </w:r>
    </w:p>
    <w:p w:rsidR="00A77B3E" w:rsidRPr="00701ADE" w:rsidRDefault="00BB4ED7">
      <w:pPr>
        <w:pStyle w:val="Nagwek2"/>
        <w:spacing w:before="100" w:after="0"/>
        <w:rPr>
          <w:rFonts w:ascii="Times New Roman" w:hAnsi="Times New Roman" w:cs="Times New Roman"/>
          <w:b w:val="0"/>
          <w:i w:val="0"/>
          <w:color w:val="000000"/>
          <w:sz w:val="24"/>
          <w:lang w:val="en-GB"/>
        </w:rPr>
      </w:pPr>
      <w:bookmarkStart w:id="40" w:name="_Toc126925416"/>
      <w:r w:rsidRPr="00701ADE">
        <w:rPr>
          <w:rFonts w:ascii="Times New Roman" w:hAnsi="Times New Roman" w:cs="Times New Roman"/>
          <w:b w:val="0"/>
          <w:i w:val="0"/>
          <w:color w:val="000000"/>
          <w:sz w:val="24"/>
          <w:lang w:val="en-GB"/>
        </w:rPr>
        <w:t>3.3. Transfers</w:t>
      </w:r>
      <w:bookmarkEnd w:id="40"/>
    </w:p>
    <w:p w:rsidR="00A77B3E" w:rsidRPr="00701ADE" w:rsidRDefault="00BB4ED7">
      <w:pPr>
        <w:pStyle w:val="Nagwek3"/>
        <w:spacing w:before="100" w:after="0"/>
        <w:rPr>
          <w:rFonts w:ascii="Times New Roman" w:hAnsi="Times New Roman" w:cs="Times New Roman"/>
          <w:b w:val="0"/>
          <w:color w:val="000000"/>
          <w:sz w:val="0"/>
          <w:lang w:val="en-GB"/>
        </w:rPr>
      </w:pPr>
      <w:bookmarkStart w:id="41" w:name="_Toc126925417"/>
      <w:r w:rsidRPr="00701ADE">
        <w:rPr>
          <w:rFonts w:ascii="Times New Roman" w:hAnsi="Times New Roman" w:cs="Times New Roman"/>
          <w:b w:val="0"/>
          <w:color w:val="000000"/>
          <w:sz w:val="24"/>
          <w:lang w:val="en-GB"/>
        </w:rPr>
        <w:t>Table 7: Transfers between shared management funds</w:t>
      </w:r>
      <w:r w:rsidRPr="00701ADE">
        <w:rPr>
          <w:rFonts w:ascii="Times New Roman" w:hAnsi="Times New Roman" w:cs="Times New Roman"/>
          <w:b w:val="0"/>
          <w:color w:val="000000"/>
          <w:sz w:val="24"/>
          <w:vertAlign w:val="superscript"/>
          <w:lang w:val="en-GB"/>
        </w:rPr>
        <w:t>1</w:t>
      </w:r>
      <w:bookmarkEnd w:id="41"/>
    </w:p>
    <w:p w:rsidR="00A77B3E" w:rsidRPr="00701ADE" w:rsidRDefault="00A77B3E">
      <w:pPr>
        <w:spacing w:before="100"/>
        <w:rPr>
          <w:color w:val="000000"/>
          <w:sz w:val="1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0"/>
        <w:gridCol w:w="936"/>
        <w:gridCol w:w="1498"/>
        <w:gridCol w:w="1472"/>
        <w:gridCol w:w="1342"/>
        <w:gridCol w:w="3170"/>
        <w:gridCol w:w="1847"/>
        <w:gridCol w:w="1257"/>
      </w:tblGrid>
      <w:tr w:rsidR="004B75EC" w:rsidRPr="00701ADE">
        <w:trPr>
          <w:trHeight w:val="160"/>
          <w:tblHead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lang w:val="en-GB"/>
              </w:rPr>
            </w:pPr>
            <w:r w:rsidRPr="00701ADE">
              <w:rPr>
                <w:color w:val="000000"/>
                <w:lang w:val="en-GB"/>
              </w:rPr>
              <w:t>Transferring fund</w:t>
            </w:r>
          </w:p>
        </w:tc>
        <w:tc>
          <w:tcPr>
            <w:tcW w:w="0" w:type="auto"/>
            <w:gridSpan w:val="7"/>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lang w:val="en-GB"/>
              </w:rPr>
            </w:pPr>
            <w:r w:rsidRPr="00701ADE">
              <w:rPr>
                <w:color w:val="000000"/>
                <w:lang w:val="en-GB"/>
              </w:rPr>
              <w:t>Receiving fund</w:t>
            </w:r>
          </w:p>
        </w:tc>
      </w:tr>
      <w:tr w:rsidR="004B75EC" w:rsidRPr="00701ADE">
        <w:trPr>
          <w:trHeight w:val="160"/>
          <w:tblHeader/>
        </w:trPr>
        <w:tc>
          <w:tcPr>
            <w:tcW w:w="0" w:type="auto"/>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A77B3E">
            <w:pPr>
              <w:spacing w:before="100"/>
              <w:jc w:val="center"/>
              <w:rPr>
                <w:color w:val="000000"/>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lang w:val="en-GB"/>
              </w:rPr>
            </w:pPr>
            <w:r w:rsidRPr="00701ADE">
              <w:rPr>
                <w:color w:val="000000"/>
                <w:lang w:val="en-GB"/>
              </w:rPr>
              <w:t>ISF</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lang w:val="en-GB"/>
              </w:rPr>
            </w:pPr>
            <w:r w:rsidRPr="00701ADE">
              <w:rPr>
                <w:color w:val="000000"/>
                <w:lang w:val="en-GB"/>
              </w:rPr>
              <w:t>BMVI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lang w:val="en-GB"/>
              </w:rPr>
            </w:pPr>
            <w:r w:rsidRPr="00701ADE">
              <w:rPr>
                <w:color w:val="000000"/>
                <w:lang w:val="en-GB"/>
              </w:rPr>
              <w:t>ERDF</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lang w:val="en-GB"/>
              </w:rPr>
            </w:pPr>
            <w:r w:rsidRPr="00701ADE">
              <w:rPr>
                <w:color w:val="000000"/>
                <w:lang w:val="en-GB"/>
              </w:rPr>
              <w:t>ESF+</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lang w:val="en-GB"/>
              </w:rPr>
            </w:pPr>
            <w:r w:rsidRPr="00701ADE">
              <w:rPr>
                <w:color w:val="000000"/>
                <w:lang w:val="en-GB"/>
              </w:rPr>
              <w:t>Cohesion Fund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lang w:val="en-GB"/>
              </w:rPr>
            </w:pPr>
            <w:r w:rsidRPr="00701ADE">
              <w:rPr>
                <w:color w:val="000000"/>
                <w:lang w:val="en-GB"/>
              </w:rPr>
              <w:t>EMFAF</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lang w:val="en-GB"/>
              </w:rPr>
            </w:pPr>
            <w:r w:rsidRPr="00701ADE">
              <w:rPr>
                <w:color w:val="000000"/>
                <w:lang w:val="en-GB"/>
              </w:rPr>
              <w:t>Total</w:t>
            </w:r>
          </w:p>
        </w:tc>
      </w:tr>
      <w:tr w:rsidR="004B75EC" w:rsidRPr="00701ADE">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lang w:val="en-GB"/>
              </w:rPr>
            </w:pPr>
            <w:r w:rsidRPr="00701ADE">
              <w:rPr>
                <w:color w:val="000000"/>
                <w:lang w:val="en-GB"/>
              </w:rPr>
              <w:t>AMIF</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A77B3E">
            <w:pPr>
              <w:spacing w:before="100"/>
              <w:jc w:val="right"/>
              <w:rPr>
                <w:color w:val="000000"/>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A77B3E">
            <w:pPr>
              <w:spacing w:before="100"/>
              <w:jc w:val="right"/>
              <w:rPr>
                <w:color w:val="000000"/>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A77B3E">
            <w:pPr>
              <w:spacing w:before="100"/>
              <w:jc w:val="right"/>
              <w:rPr>
                <w:color w:val="000000"/>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A77B3E">
            <w:pPr>
              <w:spacing w:before="100"/>
              <w:jc w:val="right"/>
              <w:rPr>
                <w:color w:val="000000"/>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A77B3E">
            <w:pPr>
              <w:spacing w:before="100"/>
              <w:jc w:val="right"/>
              <w:rPr>
                <w:color w:val="000000"/>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A77B3E">
            <w:pPr>
              <w:spacing w:before="100"/>
              <w:jc w:val="right"/>
              <w:rPr>
                <w:color w:val="000000"/>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A77B3E">
            <w:pPr>
              <w:spacing w:before="100"/>
              <w:jc w:val="right"/>
              <w:rPr>
                <w:color w:val="000000"/>
                <w:lang w:val="en-GB"/>
              </w:rPr>
            </w:pPr>
          </w:p>
        </w:tc>
      </w:tr>
    </w:tbl>
    <w:p w:rsidR="00A77B3E" w:rsidRPr="00701ADE" w:rsidRDefault="00BB4ED7">
      <w:pPr>
        <w:spacing w:before="100"/>
        <w:rPr>
          <w:color w:val="000000"/>
          <w:lang w:val="en-GB"/>
        </w:rPr>
      </w:pPr>
      <w:r w:rsidRPr="00701ADE">
        <w:rPr>
          <w:color w:val="000000"/>
          <w:vertAlign w:val="superscript"/>
          <w:lang w:val="en-GB"/>
        </w:rPr>
        <w:t>1</w:t>
      </w:r>
      <w:r w:rsidRPr="00701ADE">
        <w:rPr>
          <w:color w:val="000000"/>
          <w:lang w:val="en-GB"/>
        </w:rPr>
        <w:t>Cumulative amounts for all transfers during programming period.</w:t>
      </w:r>
    </w:p>
    <w:p w:rsidR="00A77B3E" w:rsidRPr="00701ADE" w:rsidRDefault="00BB4ED7">
      <w:pPr>
        <w:pStyle w:val="Nagwek3"/>
        <w:spacing w:before="100" w:after="0"/>
        <w:rPr>
          <w:rFonts w:ascii="Times New Roman" w:hAnsi="Times New Roman" w:cs="Times New Roman"/>
          <w:b w:val="0"/>
          <w:color w:val="000000"/>
          <w:sz w:val="0"/>
          <w:lang w:val="en-GB"/>
        </w:rPr>
      </w:pPr>
      <w:r w:rsidRPr="00701ADE">
        <w:rPr>
          <w:rFonts w:ascii="Times New Roman" w:hAnsi="Times New Roman" w:cs="Times New Roman"/>
          <w:b w:val="0"/>
          <w:color w:val="000000"/>
          <w:sz w:val="24"/>
          <w:lang w:val="en-GB"/>
        </w:rPr>
        <w:br w:type="page"/>
      </w:r>
      <w:bookmarkStart w:id="42" w:name="_Toc126925418"/>
      <w:r w:rsidRPr="00701ADE">
        <w:rPr>
          <w:rFonts w:ascii="Times New Roman" w:hAnsi="Times New Roman" w:cs="Times New Roman"/>
          <w:b w:val="0"/>
          <w:color w:val="000000"/>
          <w:sz w:val="24"/>
          <w:lang w:val="en-GB"/>
        </w:rPr>
        <w:t>Table 8: Transfers to instruments under direct or indirect management</w:t>
      </w:r>
      <w:r w:rsidRPr="00701ADE">
        <w:rPr>
          <w:rFonts w:ascii="Times New Roman" w:hAnsi="Times New Roman" w:cs="Times New Roman"/>
          <w:b w:val="0"/>
          <w:color w:val="000000"/>
          <w:sz w:val="24"/>
          <w:vertAlign w:val="superscript"/>
          <w:lang w:val="en-GB"/>
        </w:rPr>
        <w:t>1</w:t>
      </w:r>
      <w:bookmarkEnd w:id="42"/>
    </w:p>
    <w:p w:rsidR="00A77B3E" w:rsidRPr="00701ADE" w:rsidRDefault="00A77B3E">
      <w:pPr>
        <w:spacing w:before="100"/>
        <w:rPr>
          <w:color w:val="000000"/>
          <w:sz w:val="1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6"/>
        <w:gridCol w:w="9046"/>
      </w:tblGrid>
      <w:tr w:rsidR="004B75EC" w:rsidRPr="00701ADE">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lang w:val="en-GB"/>
              </w:rPr>
            </w:pPr>
            <w:r w:rsidRPr="00701ADE">
              <w:rPr>
                <w:color w:val="000000"/>
                <w:lang w:val="en-GB"/>
              </w:rPr>
              <w:t>Instrument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lang w:val="en-GB"/>
              </w:rPr>
            </w:pPr>
            <w:r w:rsidRPr="00701ADE">
              <w:rPr>
                <w:color w:val="000000"/>
                <w:lang w:val="en-GB"/>
              </w:rPr>
              <w:t>Transfer amount</w:t>
            </w:r>
          </w:p>
        </w:tc>
      </w:tr>
    </w:tbl>
    <w:p w:rsidR="00A77B3E" w:rsidRPr="00701ADE" w:rsidRDefault="00BB4ED7">
      <w:pPr>
        <w:spacing w:before="100"/>
        <w:rPr>
          <w:color w:val="000000"/>
          <w:lang w:val="en-GB"/>
        </w:rPr>
        <w:sectPr w:rsidR="00A77B3E" w:rsidRPr="00701ADE">
          <w:headerReference w:type="even" r:id="rId69"/>
          <w:headerReference w:type="default" r:id="rId70"/>
          <w:footerReference w:type="even" r:id="rId71"/>
          <w:footerReference w:type="default" r:id="rId72"/>
          <w:headerReference w:type="first" r:id="rId73"/>
          <w:footerReference w:type="first" r:id="rId74"/>
          <w:pgSz w:w="16838" w:h="11906" w:orient="landscape"/>
          <w:pgMar w:top="720" w:right="720" w:bottom="864" w:left="936" w:header="288" w:footer="72" w:gutter="0"/>
          <w:cols w:space="720"/>
          <w:noEndnote/>
          <w:docGrid w:linePitch="360"/>
        </w:sectPr>
      </w:pPr>
      <w:r w:rsidRPr="00701ADE">
        <w:rPr>
          <w:color w:val="000000"/>
          <w:vertAlign w:val="superscript"/>
          <w:lang w:val="en-GB"/>
        </w:rPr>
        <w:t>1</w:t>
      </w:r>
      <w:r w:rsidRPr="00701ADE">
        <w:rPr>
          <w:color w:val="000000"/>
          <w:lang w:val="en-GB"/>
        </w:rPr>
        <w:t>Cumulative amounts for all transfers during programming period.</w:t>
      </w:r>
    </w:p>
    <w:p w:rsidR="00A77B3E" w:rsidRPr="00701ADE" w:rsidRDefault="00BB4ED7">
      <w:pPr>
        <w:pStyle w:val="Nagwek1"/>
        <w:spacing w:before="100" w:after="0"/>
        <w:rPr>
          <w:rFonts w:ascii="Times New Roman" w:hAnsi="Times New Roman" w:cs="Times New Roman"/>
          <w:b w:val="0"/>
          <w:color w:val="000000"/>
          <w:sz w:val="24"/>
          <w:lang w:val="en-GB"/>
        </w:rPr>
      </w:pPr>
      <w:bookmarkStart w:id="43" w:name="_Toc126925419"/>
      <w:r w:rsidRPr="00701ADE">
        <w:rPr>
          <w:rFonts w:ascii="Times New Roman" w:hAnsi="Times New Roman" w:cs="Times New Roman"/>
          <w:b w:val="0"/>
          <w:color w:val="000000"/>
          <w:sz w:val="24"/>
          <w:lang w:val="en-GB"/>
        </w:rPr>
        <w:t>4. Enabling conditions</w:t>
      </w:r>
      <w:bookmarkEnd w:id="43"/>
    </w:p>
    <w:p w:rsidR="00A77B3E" w:rsidRPr="00701ADE" w:rsidRDefault="00BB4ED7">
      <w:pPr>
        <w:spacing w:before="100"/>
        <w:rPr>
          <w:color w:val="000000"/>
          <w:lang w:val="en-GB"/>
        </w:rPr>
      </w:pPr>
      <w:r w:rsidRPr="00701ADE">
        <w:rPr>
          <w:color w:val="000000"/>
          <w:lang w:val="en-GB"/>
        </w:rPr>
        <w:t>Reference: Article 22(3)(i) of the Common Provisions Regulation</w:t>
      </w:r>
    </w:p>
    <w:p w:rsidR="00A77B3E" w:rsidRPr="00701ADE" w:rsidRDefault="00BB4ED7">
      <w:pPr>
        <w:pStyle w:val="Nagwek2"/>
        <w:spacing w:before="100" w:after="0"/>
        <w:rPr>
          <w:rFonts w:ascii="Times New Roman" w:hAnsi="Times New Roman" w:cs="Times New Roman"/>
          <w:b w:val="0"/>
          <w:i w:val="0"/>
          <w:color w:val="000000"/>
          <w:sz w:val="24"/>
          <w:lang w:val="en-GB"/>
        </w:rPr>
      </w:pPr>
      <w:bookmarkStart w:id="44" w:name="_Toc126925420"/>
      <w:r w:rsidRPr="00701ADE">
        <w:rPr>
          <w:rFonts w:ascii="Times New Roman" w:hAnsi="Times New Roman" w:cs="Times New Roman"/>
          <w:b w:val="0"/>
          <w:i w:val="0"/>
          <w:color w:val="000000"/>
          <w:sz w:val="24"/>
          <w:lang w:val="en-GB"/>
        </w:rPr>
        <w:t>Table 9: Horizontal enabling conditions</w:t>
      </w:r>
      <w:bookmarkEnd w:id="44"/>
    </w:p>
    <w:p w:rsidR="00A77B3E" w:rsidRPr="00701ADE" w:rsidRDefault="00A77B3E">
      <w:pPr>
        <w:spacing w:before="100"/>
        <w:rPr>
          <w:color w:val="000000"/>
          <w:sz w:val="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0"/>
        <w:gridCol w:w="1600"/>
        <w:gridCol w:w="3600"/>
        <w:gridCol w:w="1600"/>
        <w:gridCol w:w="3600"/>
        <w:gridCol w:w="3600"/>
      </w:tblGrid>
      <w:tr w:rsidR="004B75EC" w:rsidRPr="00701ADE">
        <w:trPr>
          <w:tblHeader/>
        </w:trPr>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sz w:val="20"/>
                <w:lang w:val="en-GB"/>
              </w:rPr>
            </w:pPr>
            <w:r w:rsidRPr="00701ADE">
              <w:rPr>
                <w:color w:val="000000"/>
                <w:sz w:val="20"/>
                <w:lang w:val="en-GB"/>
              </w:rPr>
              <w:t>Enabling condition</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sz w:val="20"/>
                <w:lang w:val="en-GB"/>
              </w:rPr>
            </w:pPr>
            <w:r w:rsidRPr="00701ADE">
              <w:rPr>
                <w:color w:val="000000"/>
                <w:sz w:val="20"/>
                <w:lang w:val="en-GB"/>
              </w:rPr>
              <w:t>Fulfilment of enabling condition</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sz w:val="20"/>
                <w:lang w:val="en-GB"/>
              </w:rPr>
            </w:pPr>
            <w:r w:rsidRPr="00701ADE">
              <w:rPr>
                <w:color w:val="000000"/>
                <w:sz w:val="20"/>
                <w:lang w:val="en-GB"/>
              </w:rPr>
              <w:t>Criteria</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sz w:val="20"/>
                <w:lang w:val="en-GB"/>
              </w:rPr>
            </w:pPr>
            <w:r w:rsidRPr="00701ADE">
              <w:rPr>
                <w:color w:val="000000"/>
                <w:sz w:val="20"/>
                <w:lang w:val="en-GB"/>
              </w:rPr>
              <w:t>Fulfilment of criteria</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sz w:val="20"/>
                <w:lang w:val="en-GB"/>
              </w:rPr>
            </w:pPr>
            <w:r w:rsidRPr="00701ADE">
              <w:rPr>
                <w:color w:val="000000"/>
                <w:sz w:val="20"/>
                <w:lang w:val="en-GB"/>
              </w:rPr>
              <w:t>Reference to relevant documents</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sz w:val="20"/>
                <w:lang w:val="en-GB"/>
              </w:rPr>
            </w:pPr>
            <w:r w:rsidRPr="00701ADE">
              <w:rPr>
                <w:color w:val="000000"/>
                <w:sz w:val="20"/>
                <w:lang w:val="en-GB"/>
              </w:rPr>
              <w:t>Justification</w:t>
            </w:r>
          </w:p>
        </w:tc>
      </w:tr>
      <w:tr w:rsidR="004B75EC" w:rsidRPr="00701ADE">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1. Effective monitoring mechanisms of the public procurement market</w:t>
            </w:r>
          </w:p>
        </w:tc>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center"/>
              <w:rPr>
                <w:color w:val="000000"/>
                <w:sz w:val="20"/>
                <w:lang w:val="en-GB"/>
              </w:rPr>
            </w:pPr>
            <w:r w:rsidRPr="00701ADE">
              <w:rPr>
                <w:color w:val="000000"/>
                <w:sz w:val="20"/>
                <w:lang w:val="en-GB"/>
              </w:rPr>
              <w:t>Yes</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Monitoring mechanisms are in place that cover all public contracts and their procurement under the Funds in line with Union procurement legislation. That requirement includes:</w:t>
            </w:r>
          </w:p>
          <w:p w:rsidR="00A77B3E" w:rsidRPr="00701ADE" w:rsidRDefault="00BB4ED7">
            <w:pPr>
              <w:spacing w:before="100"/>
              <w:rPr>
                <w:color w:val="000000"/>
                <w:sz w:val="20"/>
                <w:lang w:val="en-GB"/>
              </w:rPr>
            </w:pPr>
            <w:r w:rsidRPr="00701ADE">
              <w:rPr>
                <w:color w:val="000000"/>
                <w:sz w:val="20"/>
                <w:lang w:val="en-GB"/>
              </w:rPr>
              <w:t>1. Arrangements to ensure compilation of effective and reliable data on public procurement procedures above the Union thresholds in accordance with reporting obligations under Articles 83 and 84 of Directive 2014/24/EU and Articles 99 and 100 of Directive 2014/25/EU;</w:t>
            </w:r>
          </w:p>
          <w:p w:rsidR="00A77B3E" w:rsidRPr="00701ADE" w:rsidRDefault="00A77B3E">
            <w:pPr>
              <w:spacing w:before="100"/>
              <w:rPr>
                <w:color w:val="000000"/>
                <w:sz w:val="20"/>
                <w:lang w:val="en-GB"/>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center"/>
              <w:rPr>
                <w:color w:val="000000"/>
                <w:sz w:val="20"/>
                <w:lang w:val="en-GB"/>
              </w:rPr>
            </w:pPr>
            <w:r w:rsidRPr="00701ADE">
              <w:rPr>
                <w:color w:val="000000"/>
                <w:sz w:val="20"/>
                <w:lang w:val="en-GB"/>
              </w:rPr>
              <w:t>Yes</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Link to the Act:</w:t>
            </w:r>
          </w:p>
          <w:p w:rsidR="00A77B3E" w:rsidRPr="00701ADE" w:rsidRDefault="00BB4ED7">
            <w:pPr>
              <w:spacing w:before="100"/>
              <w:rPr>
                <w:color w:val="000000"/>
                <w:sz w:val="20"/>
                <w:lang w:val="en-GB"/>
              </w:rPr>
            </w:pPr>
            <w:r w:rsidRPr="00701ADE">
              <w:rPr>
                <w:color w:val="000000"/>
                <w:sz w:val="20"/>
                <w:lang w:val="en-GB"/>
              </w:rPr>
              <w:t xml:space="preserve">http://isap.sejm.gov.pl/isap.nsf/download.xsp/WDU20190002019/U/D20192019Lj.pdf </w:t>
            </w:r>
          </w:p>
          <w:p w:rsidR="00A77B3E" w:rsidRPr="00701ADE" w:rsidRDefault="00A77B3E">
            <w:pPr>
              <w:spacing w:before="100"/>
              <w:rPr>
                <w:color w:val="000000"/>
                <w:sz w:val="20"/>
                <w:lang w:val="en-GB"/>
              </w:rPr>
            </w:pPr>
          </w:p>
          <w:p w:rsidR="00A77B3E" w:rsidRPr="00701ADE" w:rsidRDefault="00BB4ED7">
            <w:pPr>
              <w:spacing w:before="100"/>
              <w:rPr>
                <w:color w:val="000000"/>
                <w:sz w:val="20"/>
                <w:lang w:val="en-GB"/>
              </w:rPr>
            </w:pPr>
            <w:r w:rsidRPr="00701ADE">
              <w:rPr>
                <w:color w:val="000000"/>
                <w:sz w:val="20"/>
                <w:lang w:val="en-GB"/>
              </w:rPr>
              <w:t>Link to annual reports on the functioning of the public procurement system:</w:t>
            </w:r>
          </w:p>
          <w:p w:rsidR="00A77B3E" w:rsidRPr="00701ADE" w:rsidRDefault="00BB4ED7">
            <w:pPr>
              <w:spacing w:before="100"/>
              <w:rPr>
                <w:color w:val="000000"/>
                <w:sz w:val="20"/>
                <w:lang w:val="en-GB"/>
              </w:rPr>
            </w:pPr>
            <w:r w:rsidRPr="00701ADE">
              <w:rPr>
                <w:color w:val="000000"/>
                <w:sz w:val="20"/>
                <w:lang w:val="en-GB"/>
              </w:rPr>
              <w:t>https://www.uzp.gov.pl/baza-wiedzy/analizy-systemowe/sprawozdania-o-funkcjonowaniu-systemu-zamowien-publicznych</w:t>
            </w:r>
          </w:p>
          <w:p w:rsidR="00A77B3E" w:rsidRPr="00701ADE" w:rsidRDefault="00A77B3E">
            <w:pPr>
              <w:spacing w:before="100"/>
              <w:rPr>
                <w:color w:val="000000"/>
                <w:sz w:val="20"/>
                <w:lang w:val="en-GB"/>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In accordance with the obligations under applicable directives, the PPO prepares, every three years, reports on monitoring of the public procurement system based on data provided by contracting entities in their annual reports on public contracts awarded, data from the e-Zamówienia Platform, data from the TED and information on findings of inspections conducted by the PPO President.</w:t>
            </w:r>
          </w:p>
        </w:tc>
      </w:tr>
      <w:tr w:rsidR="004B75EC" w:rsidRPr="00701ADE">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A77B3E">
            <w:pPr>
              <w:spacing w:before="100"/>
              <w:rPr>
                <w:color w:val="000000"/>
                <w:sz w:val="20"/>
                <w:lang w:val="en-GB"/>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A77B3E">
            <w:pPr>
              <w:spacing w:before="100"/>
              <w:rPr>
                <w:color w:val="000000"/>
                <w:sz w:val="20"/>
                <w:lang w:val="en-GB"/>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 xml:space="preserve">2. Arrangements to ensure the data cover at least the following elements: </w:t>
            </w:r>
          </w:p>
          <w:p w:rsidR="00A77B3E" w:rsidRPr="00701ADE" w:rsidRDefault="00BB4ED7">
            <w:pPr>
              <w:spacing w:before="100"/>
              <w:rPr>
                <w:color w:val="000000"/>
                <w:sz w:val="20"/>
                <w:lang w:val="en-GB"/>
              </w:rPr>
            </w:pPr>
            <w:r w:rsidRPr="00701ADE">
              <w:rPr>
                <w:color w:val="000000"/>
                <w:sz w:val="20"/>
                <w:lang w:val="en-GB"/>
              </w:rPr>
              <w:t xml:space="preserve">a) quality and intensity of competition: names of winning bidder, number of initial bidders and contractual value; </w:t>
            </w:r>
          </w:p>
          <w:p w:rsidR="00A77B3E" w:rsidRPr="00701ADE" w:rsidRDefault="00BB4ED7">
            <w:pPr>
              <w:spacing w:before="100"/>
              <w:rPr>
                <w:color w:val="000000"/>
                <w:sz w:val="20"/>
                <w:lang w:val="en-GB"/>
              </w:rPr>
            </w:pPr>
            <w:r w:rsidRPr="00701ADE">
              <w:rPr>
                <w:color w:val="000000"/>
                <w:sz w:val="20"/>
                <w:lang w:val="en-GB"/>
              </w:rPr>
              <w:t>b) information on final price after completion and on participation of SMEs as direct bidders, where national systems provide such information;</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center"/>
              <w:rPr>
                <w:color w:val="000000"/>
                <w:sz w:val="20"/>
                <w:lang w:val="en-GB"/>
              </w:rPr>
            </w:pPr>
            <w:r w:rsidRPr="00701ADE">
              <w:rPr>
                <w:color w:val="000000"/>
                <w:sz w:val="20"/>
                <w:lang w:val="en-GB"/>
              </w:rPr>
              <w:t>Yes</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 xml:space="preserve">Link to the Act: </w:t>
            </w:r>
          </w:p>
          <w:p w:rsidR="00A77B3E" w:rsidRPr="00701ADE" w:rsidRDefault="00BB4ED7">
            <w:pPr>
              <w:spacing w:before="100"/>
              <w:rPr>
                <w:color w:val="000000"/>
                <w:sz w:val="20"/>
                <w:lang w:val="en-GB"/>
              </w:rPr>
            </w:pPr>
            <w:r w:rsidRPr="00701ADE">
              <w:rPr>
                <w:color w:val="000000"/>
                <w:sz w:val="20"/>
                <w:lang w:val="en-GB"/>
              </w:rPr>
              <w:t xml:space="preserve">http://isap.sejm.gov.pl/isap.nsf/download.xsp/WDU20190002019/U/D20192019Lj.pdf </w:t>
            </w:r>
          </w:p>
          <w:p w:rsidR="00A77B3E" w:rsidRPr="00701ADE" w:rsidRDefault="00A77B3E">
            <w:pPr>
              <w:spacing w:before="100"/>
              <w:rPr>
                <w:color w:val="000000"/>
                <w:sz w:val="20"/>
                <w:lang w:val="en-GB"/>
              </w:rPr>
            </w:pPr>
          </w:p>
          <w:p w:rsidR="00A77B3E" w:rsidRPr="00701ADE" w:rsidRDefault="00BB4ED7">
            <w:pPr>
              <w:spacing w:before="100"/>
              <w:rPr>
                <w:color w:val="000000"/>
                <w:sz w:val="20"/>
                <w:lang w:val="en-GB"/>
              </w:rPr>
            </w:pPr>
            <w:r w:rsidRPr="00701ADE">
              <w:rPr>
                <w:color w:val="000000"/>
                <w:sz w:val="20"/>
                <w:lang w:val="en-GB"/>
              </w:rPr>
              <w:t>Link to annual reports on the functioning of the public procurement system:</w:t>
            </w:r>
          </w:p>
          <w:p w:rsidR="00A77B3E" w:rsidRPr="00701ADE" w:rsidRDefault="00BB4ED7">
            <w:pPr>
              <w:spacing w:before="100"/>
              <w:rPr>
                <w:color w:val="000000"/>
                <w:sz w:val="20"/>
                <w:lang w:val="en-GB"/>
              </w:rPr>
            </w:pPr>
            <w:r w:rsidRPr="00701ADE">
              <w:rPr>
                <w:color w:val="000000"/>
                <w:sz w:val="20"/>
                <w:lang w:val="en-GB"/>
              </w:rPr>
              <w:t>https://www.uzp.gov.pl/baza-wiedzy/analizy-systemowe/sprawozdania-o-funkcjonowaniu-systemu-zamowien-publicznych</w:t>
            </w:r>
          </w:p>
          <w:p w:rsidR="00A77B3E" w:rsidRPr="00701ADE" w:rsidRDefault="00A77B3E">
            <w:pPr>
              <w:spacing w:before="100"/>
              <w:rPr>
                <w:color w:val="000000"/>
                <w:sz w:val="20"/>
                <w:lang w:val="en-GB"/>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The PPO has access to all data required within the framework of the basic conditionality (the data comes from the EC's TED database, from annual reports submitted to the PPO President by contracting entities, and from the Public Procurement Bulletin database).</w:t>
            </w:r>
          </w:p>
        </w:tc>
      </w:tr>
      <w:tr w:rsidR="004B75EC" w:rsidRPr="00701ADE">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A77B3E">
            <w:pPr>
              <w:spacing w:before="100"/>
              <w:rPr>
                <w:color w:val="000000"/>
                <w:sz w:val="20"/>
                <w:lang w:val="en-GB"/>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A77B3E">
            <w:pPr>
              <w:spacing w:before="100"/>
              <w:rPr>
                <w:color w:val="000000"/>
                <w:sz w:val="20"/>
                <w:lang w:val="en-GB"/>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3. Arrangements to ensure monitoring and analysis of the data by the competent national authorities in accordance with Article 83(2) of Directive 2014/24/EU and Article 99(2) of Directive 2014/25/EU;</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center"/>
              <w:rPr>
                <w:color w:val="000000"/>
                <w:sz w:val="20"/>
                <w:lang w:val="en-GB"/>
              </w:rPr>
            </w:pPr>
            <w:r w:rsidRPr="00701ADE">
              <w:rPr>
                <w:color w:val="000000"/>
                <w:sz w:val="20"/>
                <w:lang w:val="en-GB"/>
              </w:rPr>
              <w:t>Yes</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 xml:space="preserve">Link to the Act: </w:t>
            </w:r>
          </w:p>
          <w:p w:rsidR="00A77B3E" w:rsidRPr="00701ADE" w:rsidRDefault="00BB4ED7">
            <w:pPr>
              <w:spacing w:before="100"/>
              <w:rPr>
                <w:color w:val="000000"/>
                <w:sz w:val="20"/>
                <w:lang w:val="en-GB"/>
              </w:rPr>
            </w:pPr>
            <w:r w:rsidRPr="00701ADE">
              <w:rPr>
                <w:color w:val="000000"/>
                <w:sz w:val="20"/>
                <w:lang w:val="en-GB"/>
              </w:rPr>
              <w:t xml:space="preserve">http://isap.sejm.gov.pl/isap.nsf/download.xsp/WDU20190002019/U/D20192019Lj.pdf </w:t>
            </w:r>
          </w:p>
          <w:p w:rsidR="00A77B3E" w:rsidRPr="00701ADE" w:rsidRDefault="00A77B3E">
            <w:pPr>
              <w:spacing w:before="100"/>
              <w:rPr>
                <w:color w:val="000000"/>
                <w:sz w:val="20"/>
                <w:lang w:val="en-GB"/>
              </w:rPr>
            </w:pPr>
          </w:p>
          <w:p w:rsidR="00A77B3E" w:rsidRPr="00701ADE" w:rsidRDefault="00BB4ED7">
            <w:pPr>
              <w:spacing w:before="100"/>
              <w:rPr>
                <w:color w:val="000000"/>
                <w:sz w:val="20"/>
                <w:lang w:val="en-GB"/>
              </w:rPr>
            </w:pPr>
            <w:r w:rsidRPr="00701ADE">
              <w:rPr>
                <w:color w:val="000000"/>
                <w:sz w:val="20"/>
                <w:lang w:val="en-GB"/>
              </w:rPr>
              <w:t>Link to annual reports on the functioning of the public procurement system:</w:t>
            </w:r>
          </w:p>
          <w:p w:rsidR="00A77B3E" w:rsidRPr="00701ADE" w:rsidRDefault="00BB4ED7">
            <w:pPr>
              <w:spacing w:before="100"/>
              <w:rPr>
                <w:color w:val="000000"/>
                <w:sz w:val="20"/>
                <w:lang w:val="en-GB"/>
              </w:rPr>
            </w:pPr>
            <w:r w:rsidRPr="00701ADE">
              <w:rPr>
                <w:color w:val="000000"/>
                <w:sz w:val="20"/>
                <w:lang w:val="en-GB"/>
              </w:rPr>
              <w:t>https://www.uzp.gov.pl/baza-wiedzy/analizy-systemowe/sprawozdania-o-funkcjonowaniu-systemu-zamowien-publicznych</w:t>
            </w:r>
          </w:p>
          <w:p w:rsidR="00A77B3E" w:rsidRPr="00701ADE" w:rsidRDefault="00A77B3E">
            <w:pPr>
              <w:spacing w:before="100"/>
              <w:rPr>
                <w:color w:val="000000"/>
                <w:sz w:val="20"/>
                <w:lang w:val="en-GB"/>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In accordance with the obligations under applicable directives, the PPO prepares, every three years, reports on monitoring of the public procurement system based on data provided by contracting entities in their annual reports on public contracts awarded, data from the TED and information on findings of inspections conducted by the PPO President.</w:t>
            </w:r>
          </w:p>
        </w:tc>
      </w:tr>
      <w:tr w:rsidR="004B75EC" w:rsidRPr="00701ADE">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A77B3E">
            <w:pPr>
              <w:spacing w:before="100"/>
              <w:rPr>
                <w:color w:val="000000"/>
                <w:sz w:val="20"/>
                <w:lang w:val="en-GB"/>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A77B3E">
            <w:pPr>
              <w:spacing w:before="100"/>
              <w:rPr>
                <w:color w:val="000000"/>
                <w:sz w:val="20"/>
                <w:lang w:val="en-GB"/>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4. Arrangements to make the results of the analysis available to the public in accordance with Article 83(3) of Directive 2014/24/EU and Article 99(3) Directive 2014/25/EU;</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center"/>
              <w:rPr>
                <w:color w:val="000000"/>
                <w:sz w:val="20"/>
                <w:lang w:val="en-GB"/>
              </w:rPr>
            </w:pPr>
            <w:r w:rsidRPr="00701ADE">
              <w:rPr>
                <w:color w:val="000000"/>
                <w:sz w:val="20"/>
                <w:lang w:val="en-GB"/>
              </w:rPr>
              <w:t>Yes</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 xml:space="preserve">Link to the Act: </w:t>
            </w:r>
          </w:p>
          <w:p w:rsidR="00A77B3E" w:rsidRPr="00701ADE" w:rsidRDefault="00BB4ED7">
            <w:pPr>
              <w:spacing w:before="100"/>
              <w:rPr>
                <w:color w:val="000000"/>
                <w:sz w:val="20"/>
                <w:lang w:val="en-GB"/>
              </w:rPr>
            </w:pPr>
            <w:r w:rsidRPr="00701ADE">
              <w:rPr>
                <w:color w:val="000000"/>
                <w:sz w:val="20"/>
                <w:lang w:val="en-GB"/>
              </w:rPr>
              <w:t xml:space="preserve">http://isap.sejm.gov.pl/isap.nsf/download.xsp/WDU20190002019/U/D20192019Lj.pdf </w:t>
            </w:r>
          </w:p>
          <w:p w:rsidR="00A77B3E" w:rsidRPr="00701ADE" w:rsidRDefault="00A77B3E">
            <w:pPr>
              <w:spacing w:before="100"/>
              <w:rPr>
                <w:color w:val="000000"/>
                <w:sz w:val="20"/>
                <w:lang w:val="en-GB"/>
              </w:rPr>
            </w:pPr>
          </w:p>
          <w:p w:rsidR="00A77B3E" w:rsidRPr="00701ADE" w:rsidRDefault="00BB4ED7">
            <w:pPr>
              <w:spacing w:before="100"/>
              <w:rPr>
                <w:color w:val="000000"/>
                <w:sz w:val="20"/>
                <w:lang w:val="en-GB"/>
              </w:rPr>
            </w:pPr>
            <w:r w:rsidRPr="00701ADE">
              <w:rPr>
                <w:color w:val="000000"/>
                <w:sz w:val="20"/>
                <w:lang w:val="en-GB"/>
              </w:rPr>
              <w:t>Link to annual reports on the functioning of the public procurement system:</w:t>
            </w:r>
          </w:p>
          <w:p w:rsidR="00A77B3E" w:rsidRPr="00701ADE" w:rsidRDefault="00BB4ED7">
            <w:pPr>
              <w:spacing w:before="100"/>
              <w:rPr>
                <w:color w:val="000000"/>
                <w:sz w:val="20"/>
                <w:lang w:val="en-GB"/>
              </w:rPr>
            </w:pPr>
            <w:r w:rsidRPr="00701ADE">
              <w:rPr>
                <w:color w:val="000000"/>
                <w:sz w:val="20"/>
                <w:lang w:val="en-GB"/>
              </w:rPr>
              <w:t>https://www.uzp.gov.pl/baza-wiedzy/analizy-systemowe/sprawozdania-o-funkcjonowaniu-systemu-zamowien-publicznych</w:t>
            </w:r>
          </w:p>
          <w:p w:rsidR="00A77B3E" w:rsidRPr="00701ADE" w:rsidRDefault="00A77B3E">
            <w:pPr>
              <w:spacing w:before="100"/>
              <w:rPr>
                <w:color w:val="000000"/>
                <w:sz w:val="20"/>
                <w:lang w:val="en-GB"/>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On its website, the PPO publishes annual reports on the functioning of the public procurement system and periodic Information Bulletins.</w:t>
            </w:r>
          </w:p>
        </w:tc>
      </w:tr>
      <w:tr w:rsidR="004B75EC" w:rsidRPr="00701ADE">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A77B3E">
            <w:pPr>
              <w:spacing w:before="100"/>
              <w:rPr>
                <w:color w:val="000000"/>
                <w:sz w:val="20"/>
                <w:lang w:val="en-GB"/>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A77B3E">
            <w:pPr>
              <w:spacing w:before="100"/>
              <w:rPr>
                <w:color w:val="000000"/>
                <w:sz w:val="20"/>
                <w:lang w:val="en-GB"/>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5. Arrangements to ensure that all information pointing to suspected bid-rigging situations is communicated to the competent national bodies in accordance with Article 83(2) of Directive 2014/24/EU and Article 99(2) of Directive 2014/25/EU.</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center"/>
              <w:rPr>
                <w:color w:val="000000"/>
                <w:sz w:val="20"/>
                <w:lang w:val="en-GB"/>
              </w:rPr>
            </w:pPr>
            <w:r w:rsidRPr="00701ADE">
              <w:rPr>
                <w:color w:val="000000"/>
                <w:sz w:val="20"/>
                <w:lang w:val="en-GB"/>
              </w:rPr>
              <w:t>Yes</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 xml:space="preserve">Link to the Act: </w:t>
            </w:r>
          </w:p>
          <w:p w:rsidR="00A77B3E" w:rsidRPr="00701ADE" w:rsidRDefault="00BB4ED7">
            <w:pPr>
              <w:spacing w:before="100"/>
              <w:rPr>
                <w:color w:val="000000"/>
                <w:sz w:val="20"/>
                <w:lang w:val="en-GB"/>
              </w:rPr>
            </w:pPr>
            <w:r w:rsidRPr="00701ADE">
              <w:rPr>
                <w:color w:val="000000"/>
                <w:sz w:val="20"/>
                <w:lang w:val="en-GB"/>
              </w:rPr>
              <w:t xml:space="preserve">http://isap.sejm.gov.pl/isap.nsf/download.xsp/WDU20190002019/U/D20192019Lj.pdf </w:t>
            </w:r>
          </w:p>
          <w:p w:rsidR="00A77B3E" w:rsidRPr="00701ADE" w:rsidRDefault="00BB4ED7">
            <w:pPr>
              <w:spacing w:before="100"/>
              <w:rPr>
                <w:color w:val="000000"/>
                <w:sz w:val="20"/>
                <w:lang w:val="en-GB"/>
              </w:rPr>
            </w:pPr>
            <w:r w:rsidRPr="00701ADE">
              <w:rPr>
                <w:color w:val="000000"/>
                <w:sz w:val="20"/>
                <w:lang w:val="en-GB"/>
              </w:rPr>
              <w:t>Link to annual reports on the functioning of the public procurement system:</w:t>
            </w:r>
          </w:p>
          <w:p w:rsidR="00A77B3E" w:rsidRPr="00701ADE" w:rsidRDefault="00BB4ED7">
            <w:pPr>
              <w:spacing w:before="100"/>
              <w:rPr>
                <w:color w:val="000000"/>
                <w:sz w:val="20"/>
                <w:lang w:val="en-GB"/>
              </w:rPr>
            </w:pPr>
            <w:r w:rsidRPr="00701ADE">
              <w:rPr>
                <w:color w:val="000000"/>
                <w:sz w:val="20"/>
                <w:lang w:val="en-GB"/>
              </w:rPr>
              <w:t>https://www.uzp.gov.pl/baza-wiedzy/analizy-systemowe/sprawozdania-o-funkcjonowaniu-systemu-zamowien-publicznych</w:t>
            </w:r>
          </w:p>
          <w:p w:rsidR="00A77B3E" w:rsidRPr="00701ADE" w:rsidRDefault="00A77B3E">
            <w:pPr>
              <w:spacing w:before="100"/>
              <w:rPr>
                <w:color w:val="000000"/>
                <w:sz w:val="20"/>
                <w:lang w:val="en-GB"/>
              </w:rPr>
            </w:pPr>
          </w:p>
          <w:p w:rsidR="00A77B3E" w:rsidRPr="00701ADE" w:rsidRDefault="00A77B3E">
            <w:pPr>
              <w:spacing w:before="100"/>
              <w:rPr>
                <w:color w:val="000000"/>
                <w:sz w:val="20"/>
                <w:lang w:val="en-GB"/>
              </w:rPr>
            </w:pPr>
          </w:p>
          <w:p w:rsidR="00A77B3E" w:rsidRPr="00701ADE" w:rsidRDefault="00A77B3E">
            <w:pPr>
              <w:spacing w:before="100"/>
              <w:rPr>
                <w:color w:val="000000"/>
                <w:sz w:val="20"/>
                <w:lang w:val="en-GB"/>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If an inspection by the PPO raises any suspicions that there the procurement procedure could involve bid rigging, the PPO sends relevant information to the Office of Competition and Consumer Protection (UOKiK). The PPO and UOKIK have also signed an agreement on cooperation between the two institutions and exchange of information and experiences. Notwithstanding the foregoing, institutions and contracting authorities may contact the UOKIK directly if they suspect big rigging.</w:t>
            </w:r>
          </w:p>
        </w:tc>
      </w:tr>
      <w:tr w:rsidR="004B75EC" w:rsidRPr="00701ADE">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3. Effective application and implementation of the Charter of Fundamental Rights</w:t>
            </w:r>
          </w:p>
        </w:tc>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center"/>
              <w:rPr>
                <w:color w:val="000000"/>
                <w:sz w:val="20"/>
                <w:lang w:val="en-GB"/>
              </w:rPr>
            </w:pPr>
            <w:r w:rsidRPr="00701ADE">
              <w:rPr>
                <w:color w:val="000000"/>
                <w:sz w:val="20"/>
                <w:lang w:val="en-GB"/>
              </w:rPr>
              <w:t>No</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 xml:space="preserve">Effective mechanisms are in place to ensure compliance with the Charter of Fundamental Rights of the European Union ("the Charter") which include: </w:t>
            </w:r>
          </w:p>
          <w:p w:rsidR="00A77B3E" w:rsidRPr="00701ADE" w:rsidRDefault="00BB4ED7">
            <w:pPr>
              <w:spacing w:before="100"/>
              <w:rPr>
                <w:color w:val="000000"/>
                <w:sz w:val="20"/>
                <w:lang w:val="en-GB"/>
              </w:rPr>
            </w:pPr>
            <w:r w:rsidRPr="00701ADE">
              <w:rPr>
                <w:color w:val="000000"/>
                <w:sz w:val="20"/>
                <w:lang w:val="en-GB"/>
              </w:rPr>
              <w:t>1. Arrangements to ensure compliance of the programmes supported by the Funds and their implementation with the relevant provisions of the Charter;</w:t>
            </w:r>
          </w:p>
          <w:p w:rsidR="00A77B3E" w:rsidRPr="00701ADE" w:rsidRDefault="00A77B3E">
            <w:pPr>
              <w:spacing w:before="100"/>
              <w:rPr>
                <w:color w:val="000000"/>
                <w:sz w:val="20"/>
                <w:lang w:val="en-GB"/>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center"/>
              <w:rPr>
                <w:color w:val="000000"/>
                <w:sz w:val="20"/>
                <w:lang w:val="en-GB"/>
              </w:rPr>
            </w:pPr>
            <w:r w:rsidRPr="00701ADE">
              <w:rPr>
                <w:color w:val="000000"/>
                <w:sz w:val="20"/>
                <w:lang w:val="en-GB"/>
              </w:rPr>
              <w:t>No</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none</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 xml:space="preserve">The common procedure applies to verification of compliance with the CFR both at the stage of submitting an application for co-financing and during project implementation. Suspicions regarding non-compliance and/or actions of the Beneficiary or IB/IA/MA with the CFR are reported to respectively IB/IA/MA/EU Funds Officer (in the case of programmes financed under EMFF, AMIF, BMVI and ISF there is a relevant equivalent). The competent institution analyses the matter, takes verifying actions and decides whether the report is substantiated. If it is confirmed that the CFR has been breached, depending on the character of the matter, the competent institution transmits the breach notification to relevant services, i.e. Commissioner for Human Right, National Labour Inspectorate, Patient's Rights Ombudsman and/or relevant law enforcement agencies. The programme's MA is responsible also for conducting information policy in the aforementioned area. </w:t>
            </w:r>
          </w:p>
          <w:p w:rsidR="00A77B3E" w:rsidRPr="00701ADE" w:rsidRDefault="00BB4ED7">
            <w:pPr>
              <w:spacing w:before="100"/>
              <w:rPr>
                <w:color w:val="000000"/>
                <w:sz w:val="20"/>
                <w:lang w:val="en-GB"/>
              </w:rPr>
            </w:pPr>
            <w:r w:rsidRPr="00701ADE">
              <w:rPr>
                <w:color w:val="000000"/>
                <w:sz w:val="20"/>
                <w:lang w:val="en-GB"/>
              </w:rPr>
              <w:t>The Polish side believes that the requirement is met in accordance with the position dated 7 July 2022, but in the absence of the EC response to that position, the status of the requirement has been marked as not met.</w:t>
            </w:r>
          </w:p>
          <w:p w:rsidR="00A77B3E" w:rsidRPr="00701ADE" w:rsidRDefault="00A77B3E">
            <w:pPr>
              <w:spacing w:before="100"/>
              <w:rPr>
                <w:color w:val="000000"/>
                <w:sz w:val="20"/>
                <w:lang w:val="en-GB"/>
              </w:rPr>
            </w:pPr>
          </w:p>
        </w:tc>
      </w:tr>
      <w:tr w:rsidR="004B75EC" w:rsidRPr="00701ADE">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A77B3E">
            <w:pPr>
              <w:spacing w:before="100"/>
              <w:rPr>
                <w:color w:val="000000"/>
                <w:sz w:val="20"/>
                <w:lang w:val="en-GB"/>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A77B3E">
            <w:pPr>
              <w:spacing w:before="100"/>
              <w:rPr>
                <w:color w:val="000000"/>
                <w:sz w:val="20"/>
                <w:lang w:val="en-GB"/>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2. Reporting arrangements to the monitoring committee regarding cases of non-compliance of operations supported by the Funds with the Charter and complaints regarding the Charter submitted in accordance with the arrangements made pursuant to Article 69(7).</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center"/>
              <w:rPr>
                <w:color w:val="000000"/>
                <w:sz w:val="20"/>
                <w:lang w:val="en-GB"/>
              </w:rPr>
            </w:pPr>
            <w:r w:rsidRPr="00701ADE">
              <w:rPr>
                <w:color w:val="000000"/>
                <w:sz w:val="20"/>
                <w:lang w:val="en-GB"/>
              </w:rPr>
              <w:t>No</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none</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 xml:space="preserve">The procedure involves the Programme MA's obligation to prepare annual summary information on all reports of project non-compliance with the CFR and complaints for consideration by the Programme MC. The MC decides whether any further relevant preventive actions need to be taken with respect to teh cases reported. </w:t>
            </w:r>
          </w:p>
          <w:p w:rsidR="00A77B3E" w:rsidRPr="00701ADE" w:rsidRDefault="00BB4ED7">
            <w:pPr>
              <w:spacing w:before="100"/>
              <w:rPr>
                <w:color w:val="000000"/>
                <w:sz w:val="20"/>
                <w:lang w:val="en-GB"/>
              </w:rPr>
            </w:pPr>
            <w:r w:rsidRPr="00701ADE">
              <w:rPr>
                <w:color w:val="000000"/>
                <w:sz w:val="20"/>
                <w:lang w:val="en-GB"/>
              </w:rPr>
              <w:t>The Polish side believes that the requirement is met in accordance with the position dated 7 July 2022, but in the absence of the EC response to that position, the status of the requirement has been marked as not met.</w:t>
            </w:r>
          </w:p>
          <w:p w:rsidR="00A77B3E" w:rsidRPr="00701ADE" w:rsidRDefault="00A77B3E">
            <w:pPr>
              <w:spacing w:before="100"/>
              <w:rPr>
                <w:color w:val="000000"/>
                <w:sz w:val="20"/>
                <w:lang w:val="en-GB"/>
              </w:rPr>
            </w:pPr>
          </w:p>
        </w:tc>
      </w:tr>
      <w:tr w:rsidR="004B75EC" w:rsidRPr="00701ADE">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4. Implementation and application of the United Nations Convention on the rights of persons with disabilities (UNCRPD) in accordance with Council Decision 2010/48/EC</w:t>
            </w:r>
          </w:p>
        </w:tc>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center"/>
              <w:rPr>
                <w:color w:val="000000"/>
                <w:sz w:val="20"/>
                <w:lang w:val="en-GB"/>
              </w:rPr>
            </w:pPr>
            <w:r w:rsidRPr="00701ADE">
              <w:rPr>
                <w:color w:val="000000"/>
                <w:sz w:val="20"/>
                <w:lang w:val="en-GB"/>
              </w:rPr>
              <w:t>Yes</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 xml:space="preserve">A national framework to ensure implementation of the UNCRPD is in place that includes: </w:t>
            </w:r>
          </w:p>
          <w:p w:rsidR="00A77B3E" w:rsidRPr="00701ADE" w:rsidRDefault="00BB4ED7">
            <w:pPr>
              <w:spacing w:before="100"/>
              <w:rPr>
                <w:color w:val="000000"/>
                <w:sz w:val="20"/>
                <w:lang w:val="en-GB"/>
              </w:rPr>
            </w:pPr>
            <w:r w:rsidRPr="00701ADE">
              <w:rPr>
                <w:color w:val="000000"/>
                <w:sz w:val="20"/>
                <w:lang w:val="en-GB"/>
              </w:rPr>
              <w:t>1. Objectives with measurable goals, data collection and monitoring mechanisms;</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center"/>
              <w:rPr>
                <w:color w:val="000000"/>
                <w:sz w:val="20"/>
                <w:lang w:val="en-GB"/>
              </w:rPr>
            </w:pPr>
            <w:r w:rsidRPr="00701ADE">
              <w:rPr>
                <w:color w:val="000000"/>
                <w:sz w:val="20"/>
                <w:lang w:val="en-GB"/>
              </w:rPr>
              <w:t>Yes</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Link to the document:</w:t>
            </w:r>
          </w:p>
          <w:p w:rsidR="00A77B3E" w:rsidRPr="00701ADE" w:rsidRDefault="00BB4ED7">
            <w:pPr>
              <w:spacing w:before="100"/>
              <w:rPr>
                <w:color w:val="000000"/>
                <w:sz w:val="20"/>
                <w:lang w:val="en-GB"/>
              </w:rPr>
            </w:pPr>
            <w:r w:rsidRPr="00701ADE">
              <w:rPr>
                <w:color w:val="000000"/>
                <w:sz w:val="20"/>
                <w:lang w:val="en-GB"/>
              </w:rPr>
              <w:t xml:space="preserve">https://dziennikustaw.gov.pl/MP/rok/2021/pozycja/218 </w:t>
            </w:r>
          </w:p>
          <w:p w:rsidR="00A77B3E" w:rsidRPr="00701ADE" w:rsidRDefault="00BB4ED7">
            <w:pPr>
              <w:spacing w:before="100"/>
              <w:rPr>
                <w:color w:val="000000"/>
                <w:sz w:val="20"/>
                <w:lang w:val="en-GB"/>
              </w:rPr>
            </w:pPr>
            <w:r w:rsidRPr="00701ADE">
              <w:rPr>
                <w:color w:val="000000"/>
                <w:sz w:val="20"/>
                <w:lang w:val="en-GB"/>
              </w:rPr>
              <w:t>https://isap.sejm.gov.pl/isap.nsf/download.xsp/WMP20220000767/O/M20220767.pdf</w:t>
            </w:r>
          </w:p>
          <w:p w:rsidR="00A77B3E" w:rsidRPr="00701ADE" w:rsidRDefault="00A77B3E">
            <w:pPr>
              <w:spacing w:before="100"/>
              <w:rPr>
                <w:color w:val="000000"/>
                <w:sz w:val="20"/>
                <w:lang w:val="en-GB"/>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 xml:space="preserve">The framework of the national policy for ensuring implementation of the UNCRPD is formed by the Strategy on the rights of persons with disabilities 2021-2030 adopted by the Council of Ministers on 16 February 2021, which lays down the objectives and actions to be achieved within a specific period with indicators and entities responsible, as well as mechanisms for monitoring of the objectives and actions and data collection in this respect. Furthermore, as regards implementation of the process of de-institutionalisation of social services, including for persons with disabilities (PwDs), the relevant strategic document is also the Strategy for the development of social services, public policy by 2030 (with the perspective by 2035) adopted by the Council of Ministers on 7 June 2022 (SRUS). </w:t>
            </w:r>
          </w:p>
          <w:p w:rsidR="00A77B3E" w:rsidRPr="00701ADE" w:rsidRDefault="00BB4ED7">
            <w:pPr>
              <w:spacing w:before="100"/>
              <w:rPr>
                <w:color w:val="000000"/>
                <w:sz w:val="20"/>
                <w:lang w:val="en-GB"/>
              </w:rPr>
            </w:pPr>
            <w:r w:rsidRPr="00701ADE">
              <w:rPr>
                <w:color w:val="000000"/>
                <w:sz w:val="20"/>
                <w:lang w:val="en-GB"/>
              </w:rPr>
              <w:t>Therefore, adoption and implementation of the SRUS allows implementation of the objectives in the area of de-institutionalisation specified in the Strategy on the rights of persons with disabilities 2021-2030 and ensures monitoring of the implementation of the indicators regarding this area for PwDs.</w:t>
            </w:r>
          </w:p>
          <w:p w:rsidR="00A77B3E" w:rsidRPr="00701ADE" w:rsidRDefault="00A77B3E">
            <w:pPr>
              <w:spacing w:before="100"/>
              <w:rPr>
                <w:color w:val="000000"/>
                <w:sz w:val="20"/>
                <w:lang w:val="en-GB"/>
              </w:rPr>
            </w:pPr>
          </w:p>
        </w:tc>
      </w:tr>
      <w:tr w:rsidR="004B75EC" w:rsidRPr="00701ADE">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A77B3E">
            <w:pPr>
              <w:spacing w:before="100"/>
              <w:rPr>
                <w:color w:val="000000"/>
                <w:sz w:val="20"/>
                <w:lang w:val="en-GB"/>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A77B3E">
            <w:pPr>
              <w:spacing w:before="100"/>
              <w:rPr>
                <w:color w:val="000000"/>
                <w:sz w:val="20"/>
                <w:lang w:val="en-GB"/>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2. Arrangements to ensure that the accessibility policy, legislation and standards are properly reflected in the preparation and implementation of the programmes;</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center"/>
              <w:rPr>
                <w:color w:val="000000"/>
                <w:sz w:val="20"/>
                <w:lang w:val="en-GB"/>
              </w:rPr>
            </w:pPr>
            <w:r w:rsidRPr="00701ADE">
              <w:rPr>
                <w:color w:val="000000"/>
                <w:sz w:val="20"/>
                <w:lang w:val="en-GB"/>
              </w:rPr>
              <w:t>Yes</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Link to the document:</w:t>
            </w:r>
          </w:p>
          <w:p w:rsidR="00A77B3E" w:rsidRPr="00701ADE" w:rsidRDefault="00BB4ED7">
            <w:pPr>
              <w:spacing w:before="100"/>
              <w:rPr>
                <w:color w:val="000000"/>
                <w:sz w:val="20"/>
                <w:lang w:val="en-GB"/>
              </w:rPr>
            </w:pPr>
            <w:r w:rsidRPr="00701ADE">
              <w:rPr>
                <w:color w:val="000000"/>
                <w:sz w:val="20"/>
                <w:lang w:val="en-GB"/>
              </w:rPr>
              <w:t xml:space="preserve">https://dziennikustaw.gov.pl/MP/rok/2021/pozycja/218 </w:t>
            </w:r>
          </w:p>
          <w:p w:rsidR="00A77B3E" w:rsidRPr="00701ADE" w:rsidRDefault="00BB4ED7">
            <w:pPr>
              <w:spacing w:before="100"/>
              <w:rPr>
                <w:color w:val="000000"/>
                <w:sz w:val="20"/>
                <w:lang w:val="en-GB"/>
              </w:rPr>
            </w:pPr>
            <w:r w:rsidRPr="00701ADE">
              <w:rPr>
                <w:color w:val="000000"/>
                <w:sz w:val="20"/>
                <w:lang w:val="en-GB"/>
              </w:rPr>
              <w:t>https://isap.sejm.gov.pl/isap.nsf/download.xsp/WMP20220000767/O/M20220767.pdf</w:t>
            </w:r>
          </w:p>
          <w:p w:rsidR="00A77B3E" w:rsidRPr="00701ADE" w:rsidRDefault="00A77B3E">
            <w:pPr>
              <w:spacing w:before="100"/>
              <w:rPr>
                <w:color w:val="000000"/>
                <w:sz w:val="20"/>
                <w:lang w:val="en-GB"/>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 xml:space="preserve">The criterion will be met by way of requiring the MA to take the following actions: </w:t>
            </w:r>
          </w:p>
          <w:p w:rsidR="00A77B3E" w:rsidRPr="00701ADE" w:rsidRDefault="00BB4ED7">
            <w:pPr>
              <w:spacing w:before="100"/>
              <w:rPr>
                <w:color w:val="000000"/>
                <w:sz w:val="20"/>
                <w:lang w:val="en-GB"/>
              </w:rPr>
            </w:pPr>
            <w:r w:rsidRPr="00701ADE">
              <w:rPr>
                <w:color w:val="000000"/>
                <w:sz w:val="20"/>
                <w:lang w:val="en-GB"/>
              </w:rPr>
              <w:t>(1) indicate specific UNCRPD articles relating to the scope of support planned for teh programme,</w:t>
            </w:r>
          </w:p>
          <w:p w:rsidR="00A77B3E" w:rsidRPr="00701ADE" w:rsidRDefault="00BB4ED7">
            <w:pPr>
              <w:spacing w:before="100"/>
              <w:rPr>
                <w:color w:val="000000"/>
                <w:sz w:val="20"/>
                <w:lang w:val="en-GB"/>
              </w:rPr>
            </w:pPr>
            <w:r w:rsidRPr="00701ADE">
              <w:rPr>
                <w:color w:val="000000"/>
                <w:sz w:val="20"/>
                <w:lang w:val="en-GB"/>
              </w:rPr>
              <w:t xml:space="preserve">(2) ensure UNCRPD compliance of all processes and procedures at every stage of the programme implementation, i.e. programming, selection and implementation of projects, as well as project control, monitoring and evaluation, which will be reflected in </w:t>
            </w:r>
            <w:r w:rsidRPr="00701ADE">
              <w:rPr>
                <w:i/>
                <w:iCs/>
                <w:color w:val="000000"/>
                <w:sz w:val="20"/>
                <w:lang w:val="en-GB"/>
              </w:rPr>
              <w:t xml:space="preserve">inter alia </w:t>
            </w:r>
            <w:r w:rsidRPr="00701ADE">
              <w:rPr>
                <w:color w:val="000000"/>
                <w:sz w:val="20"/>
                <w:lang w:val="en-GB"/>
              </w:rPr>
              <w:t>the content of the procedures/guidelines/rules defining the manner of execution of individual processes relating to implementation of the programme,</w:t>
            </w:r>
          </w:p>
          <w:p w:rsidR="00A77B3E" w:rsidRPr="00701ADE" w:rsidRDefault="00BB4ED7">
            <w:pPr>
              <w:spacing w:before="100"/>
              <w:rPr>
                <w:color w:val="000000"/>
                <w:sz w:val="20"/>
                <w:lang w:val="en-GB"/>
              </w:rPr>
            </w:pPr>
            <w:r w:rsidRPr="00701ADE">
              <w:rPr>
                <w:color w:val="000000"/>
                <w:sz w:val="20"/>
                <w:lang w:val="en-GB"/>
              </w:rPr>
              <w:t>(3) evaluate projects in terms of the UNCRPD compliance criterion,</w:t>
            </w:r>
          </w:p>
          <w:p w:rsidR="00A77B3E" w:rsidRPr="00701ADE" w:rsidRDefault="00BB4ED7">
            <w:pPr>
              <w:spacing w:before="100"/>
              <w:rPr>
                <w:color w:val="000000"/>
                <w:sz w:val="20"/>
                <w:lang w:val="en-GB"/>
              </w:rPr>
            </w:pPr>
            <w:r w:rsidRPr="00701ADE">
              <w:rPr>
                <w:color w:val="000000"/>
                <w:sz w:val="20"/>
                <w:lang w:val="en-GB"/>
              </w:rPr>
              <w:t>(4) ensure application of accessibility standards by way of Guidelines setting forth accessibility standards for investments financed under the cohesion policy,</w:t>
            </w:r>
          </w:p>
          <w:p w:rsidR="00A77B3E" w:rsidRPr="00701ADE" w:rsidRDefault="00BB4ED7">
            <w:pPr>
              <w:spacing w:before="100"/>
              <w:rPr>
                <w:color w:val="000000"/>
                <w:sz w:val="20"/>
                <w:lang w:val="en-GB"/>
              </w:rPr>
            </w:pPr>
            <w:r w:rsidRPr="00701ADE">
              <w:rPr>
                <w:color w:val="000000"/>
                <w:sz w:val="20"/>
                <w:lang w:val="en-GB"/>
              </w:rPr>
              <w:t>(5) carry out information/awareness building actions relating to UNCRPD compliance,</w:t>
            </w:r>
          </w:p>
          <w:p w:rsidR="00A77B3E" w:rsidRPr="00701ADE" w:rsidRDefault="00BB4ED7">
            <w:pPr>
              <w:spacing w:before="100"/>
              <w:rPr>
                <w:color w:val="000000"/>
                <w:sz w:val="20"/>
                <w:lang w:val="en-GB"/>
              </w:rPr>
            </w:pPr>
            <w:r w:rsidRPr="00701ADE">
              <w:rPr>
                <w:color w:val="000000"/>
                <w:sz w:val="20"/>
                <w:lang w:val="en-GB"/>
              </w:rPr>
              <w:t>(6) introduce into the programme implementation system a procedure for reporting suspicions and complaints regarding non-compliance of interventions/actions with the UNCRPD.</w:t>
            </w:r>
          </w:p>
          <w:p w:rsidR="00A77B3E" w:rsidRPr="00701ADE" w:rsidRDefault="00A77B3E">
            <w:pPr>
              <w:spacing w:before="100"/>
              <w:rPr>
                <w:color w:val="000000"/>
                <w:sz w:val="20"/>
                <w:lang w:val="en-GB"/>
              </w:rPr>
            </w:pPr>
          </w:p>
        </w:tc>
      </w:tr>
      <w:tr w:rsidR="004B75EC" w:rsidRPr="00701ADE">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A77B3E">
            <w:pPr>
              <w:spacing w:before="100"/>
              <w:rPr>
                <w:color w:val="000000"/>
                <w:sz w:val="20"/>
                <w:lang w:val="en-GB"/>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A77B3E">
            <w:pPr>
              <w:spacing w:before="100"/>
              <w:rPr>
                <w:color w:val="000000"/>
                <w:sz w:val="20"/>
                <w:lang w:val="en-GB"/>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3. Reporting arrangements to the monitoring committee regarding cases of non-compliance of operations supported by the Funds with the UNCRPD and complaints regarding the UNCRPD submitted in accordance with the arrangements made pursuant to Article 69(7).</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jc w:val="center"/>
              <w:rPr>
                <w:color w:val="000000"/>
                <w:sz w:val="20"/>
                <w:lang w:val="en-GB"/>
              </w:rPr>
            </w:pPr>
            <w:r w:rsidRPr="00701ADE">
              <w:rPr>
                <w:color w:val="000000"/>
                <w:sz w:val="20"/>
                <w:lang w:val="en-GB"/>
              </w:rPr>
              <w:t>Yes</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Link to the document:</w:t>
            </w:r>
          </w:p>
          <w:p w:rsidR="00A77B3E" w:rsidRPr="00701ADE" w:rsidRDefault="00BB4ED7">
            <w:pPr>
              <w:spacing w:before="100"/>
              <w:rPr>
                <w:color w:val="000000"/>
                <w:sz w:val="20"/>
                <w:lang w:val="en-GB"/>
              </w:rPr>
            </w:pPr>
            <w:r w:rsidRPr="00701ADE">
              <w:rPr>
                <w:color w:val="000000"/>
                <w:sz w:val="20"/>
                <w:lang w:val="en-GB"/>
              </w:rPr>
              <w:t xml:space="preserve">https://dziennikustaw.gov.pl/MP/rok/2021/pozycja/218 </w:t>
            </w:r>
          </w:p>
          <w:p w:rsidR="00A77B3E" w:rsidRPr="00701ADE" w:rsidRDefault="00BB4ED7">
            <w:pPr>
              <w:spacing w:before="100"/>
              <w:rPr>
                <w:color w:val="000000"/>
                <w:sz w:val="20"/>
                <w:lang w:val="en-GB"/>
              </w:rPr>
            </w:pPr>
            <w:r w:rsidRPr="00701ADE">
              <w:rPr>
                <w:color w:val="000000"/>
                <w:sz w:val="20"/>
                <w:lang w:val="en-GB"/>
              </w:rPr>
              <w:t>https://isap.sejm.gov.pl/isap.nsf/download.xsp/WMP20220000767/O/M20220767.pdf</w:t>
            </w:r>
          </w:p>
          <w:p w:rsidR="00A77B3E" w:rsidRPr="00701ADE" w:rsidRDefault="00A77B3E">
            <w:pPr>
              <w:spacing w:before="100"/>
              <w:rPr>
                <w:color w:val="000000"/>
                <w:sz w:val="20"/>
                <w:lang w:val="en-GB"/>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The criterion will be met by way of obligatory annual reporting of cases of non-compliance of interventions/actions with the UNCRPD and complaints regarding non-compliance with the UNCRPD to the Monitoring Committee.</w:t>
            </w:r>
          </w:p>
          <w:p w:rsidR="00A77B3E" w:rsidRPr="00701ADE" w:rsidRDefault="00BB4ED7">
            <w:pPr>
              <w:spacing w:before="100"/>
              <w:rPr>
                <w:color w:val="000000"/>
                <w:sz w:val="20"/>
                <w:lang w:val="en-GB"/>
              </w:rPr>
            </w:pPr>
            <w:r w:rsidRPr="00701ADE">
              <w:rPr>
                <w:color w:val="000000"/>
                <w:sz w:val="20"/>
                <w:lang w:val="en-GB"/>
              </w:rPr>
              <w:t>The MC will be informed about the character and number of complaints and cases of non-compliance of interventions supported by the programme with the provisions of the UNCRPD and about related actions taken by the competent institutions. In the event of systemic or recurring breaches, following the submission of a report by the MA, the MC may take a number of actions to prevent those breaches in the future.</w:t>
            </w:r>
          </w:p>
          <w:p w:rsidR="00A77B3E" w:rsidRPr="00701ADE" w:rsidRDefault="00BB4ED7">
            <w:pPr>
              <w:spacing w:before="100"/>
              <w:rPr>
                <w:color w:val="000000"/>
                <w:sz w:val="20"/>
                <w:lang w:val="en-GB"/>
              </w:rPr>
            </w:pPr>
            <w:r w:rsidRPr="00701ADE">
              <w:rPr>
                <w:color w:val="000000"/>
                <w:sz w:val="20"/>
                <w:lang w:val="en-GB"/>
              </w:rPr>
              <w:t>The scope of the MC's prerogatives in this respect will be defined in the MC rules based on the minimum powers defined for the MC of all programmes, including (1) the possibility of appointing a working group to investigate a given matter/problem identified, (2) continuation of analyses in order to prepare detailed recommendations regarding the most recurring breaches, and (3) intensification of awareness and information actions.</w:t>
            </w:r>
          </w:p>
          <w:p w:rsidR="00A77B3E" w:rsidRPr="00701ADE" w:rsidRDefault="00A77B3E">
            <w:pPr>
              <w:spacing w:before="100"/>
              <w:rPr>
                <w:color w:val="000000"/>
                <w:sz w:val="20"/>
                <w:lang w:val="en-GB"/>
              </w:rPr>
            </w:pPr>
          </w:p>
        </w:tc>
      </w:tr>
    </w:tbl>
    <w:p w:rsidR="00A77B3E" w:rsidRPr="00701ADE" w:rsidRDefault="00BB4ED7">
      <w:pPr>
        <w:pStyle w:val="Nagwek1"/>
        <w:spacing w:before="100" w:after="0"/>
        <w:rPr>
          <w:rFonts w:ascii="Times New Roman" w:hAnsi="Times New Roman" w:cs="Times New Roman"/>
          <w:b w:val="0"/>
          <w:color w:val="000000"/>
          <w:sz w:val="24"/>
          <w:lang w:val="en-GB"/>
        </w:rPr>
      </w:pPr>
      <w:r w:rsidRPr="00701ADE">
        <w:rPr>
          <w:rFonts w:ascii="Times New Roman" w:hAnsi="Times New Roman" w:cs="Times New Roman"/>
          <w:b w:val="0"/>
          <w:color w:val="000000"/>
          <w:sz w:val="20"/>
          <w:lang w:val="en-GB"/>
        </w:rPr>
        <w:br w:type="page"/>
      </w:r>
      <w:bookmarkStart w:id="45" w:name="_Toc126925421"/>
      <w:r w:rsidRPr="00701ADE">
        <w:rPr>
          <w:rFonts w:ascii="Times New Roman" w:hAnsi="Times New Roman" w:cs="Times New Roman"/>
          <w:b w:val="0"/>
          <w:color w:val="000000"/>
          <w:sz w:val="24"/>
          <w:lang w:val="en-GB"/>
        </w:rPr>
        <w:t>5. Programme authorities</w:t>
      </w:r>
      <w:bookmarkEnd w:id="45"/>
    </w:p>
    <w:p w:rsidR="00A77B3E" w:rsidRPr="00701ADE" w:rsidRDefault="00BB4ED7">
      <w:pPr>
        <w:spacing w:before="100"/>
        <w:rPr>
          <w:color w:val="000000"/>
          <w:lang w:val="en-GB"/>
        </w:rPr>
      </w:pPr>
      <w:r w:rsidRPr="00701ADE">
        <w:rPr>
          <w:color w:val="000000"/>
          <w:lang w:val="en-GB"/>
        </w:rPr>
        <w:t>Reference: Article 22(3)(k) and Articles 71 and 84 of the Common Provisions Regulation</w:t>
      </w:r>
    </w:p>
    <w:p w:rsidR="00A77B3E" w:rsidRPr="00701ADE" w:rsidRDefault="00BB4ED7">
      <w:pPr>
        <w:pStyle w:val="Nagwek2"/>
        <w:spacing w:before="100" w:after="0"/>
        <w:rPr>
          <w:rFonts w:ascii="Times New Roman" w:hAnsi="Times New Roman" w:cs="Times New Roman"/>
          <w:b w:val="0"/>
          <w:i w:val="0"/>
          <w:color w:val="000000"/>
          <w:sz w:val="24"/>
          <w:lang w:val="en-GB"/>
        </w:rPr>
      </w:pPr>
      <w:bookmarkStart w:id="46" w:name="_Toc126925422"/>
      <w:r w:rsidRPr="00701ADE">
        <w:rPr>
          <w:rFonts w:ascii="Times New Roman" w:hAnsi="Times New Roman" w:cs="Times New Roman"/>
          <w:b w:val="0"/>
          <w:i w:val="0"/>
          <w:color w:val="000000"/>
          <w:sz w:val="24"/>
          <w:lang w:val="en-GB"/>
        </w:rPr>
        <w:t>Table 10: Programme authorities</w:t>
      </w:r>
      <w:bookmarkEnd w:id="46"/>
    </w:p>
    <w:p w:rsidR="00A77B3E" w:rsidRPr="00701ADE" w:rsidRDefault="00A77B3E">
      <w:pPr>
        <w:spacing w:before="100"/>
        <w:rPr>
          <w:color w:val="000000"/>
          <w:sz w:val="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3"/>
        <w:gridCol w:w="3556"/>
        <w:gridCol w:w="1466"/>
        <w:gridCol w:w="4693"/>
        <w:gridCol w:w="2754"/>
      </w:tblGrid>
      <w:tr w:rsidR="004B75EC" w:rsidRPr="00701ADE">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sz w:val="20"/>
                <w:lang w:val="en-GB"/>
              </w:rPr>
            </w:pPr>
            <w:r w:rsidRPr="00701ADE">
              <w:rPr>
                <w:color w:val="000000"/>
                <w:sz w:val="20"/>
                <w:lang w:val="en-GB"/>
              </w:rPr>
              <w:t>Programme authority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sz w:val="20"/>
                <w:lang w:val="en-GB"/>
              </w:rPr>
            </w:pPr>
            <w:r w:rsidRPr="00701ADE">
              <w:rPr>
                <w:color w:val="000000"/>
                <w:sz w:val="20"/>
                <w:lang w:val="en-GB"/>
              </w:rPr>
              <w:t>Name of the institution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sz w:val="20"/>
                <w:lang w:val="en-GB"/>
              </w:rPr>
            </w:pPr>
            <w:r w:rsidRPr="00701ADE">
              <w:rPr>
                <w:color w:val="000000"/>
                <w:sz w:val="20"/>
                <w:lang w:val="en-GB"/>
              </w:rPr>
              <w:t>Contact name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sz w:val="20"/>
                <w:lang w:val="en-GB"/>
              </w:rPr>
            </w:pPr>
            <w:r w:rsidRPr="00701ADE">
              <w:rPr>
                <w:color w:val="000000"/>
                <w:sz w:val="20"/>
                <w:lang w:val="en-GB"/>
              </w:rPr>
              <w:t>Position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sz w:val="20"/>
                <w:lang w:val="en-GB"/>
              </w:rPr>
            </w:pPr>
            <w:r w:rsidRPr="00701ADE">
              <w:rPr>
                <w:color w:val="000000"/>
                <w:sz w:val="20"/>
                <w:lang w:val="en-GB"/>
              </w:rPr>
              <w:t>E-mail</w:t>
            </w:r>
          </w:p>
        </w:tc>
      </w:tr>
      <w:tr w:rsidR="004B75EC" w:rsidRPr="00701ADE">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Managing authority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European Funds Department, Ministry of the Interior and Administration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 xml:space="preserve">Maciej Kaczorowski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Director of the European Funds Department, Ministry of the Interior and Administration</w:t>
            </w:r>
            <w:r w:rsidR="00187245">
              <w:rPr>
                <w:color w:val="000000"/>
                <w:sz w:val="20"/>
                <w:lang w:val="en-GB"/>
              </w:rPr>
              <w:t xml:space="preserve"> (MIA)</w:t>
            </w:r>
            <w:r w:rsidR="00A10BE0">
              <w:rPr>
                <w:color w:val="000000"/>
                <w:sz w:val="20"/>
                <w:lang w:val="en-GB"/>
              </w:rPr>
              <w:t xml:space="preserve"> (MIA)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fundusze.kontakt@mswia.gov.pl</w:t>
            </w:r>
          </w:p>
        </w:tc>
      </w:tr>
      <w:tr w:rsidR="004B75EC" w:rsidRPr="00701ADE">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Audit authority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Head of the National Revenue Administration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Dominik Zalewski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Director of the Department for Audit of Public Funds, Ministry of Finance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sekretariat.DAS@mf.gov.pl</w:t>
            </w:r>
          </w:p>
        </w:tc>
      </w:tr>
      <w:tr w:rsidR="004B75EC" w:rsidRPr="00701ADE">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Body which receives payments from the Commission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1377C3">
            <w:pPr>
              <w:spacing w:before="100"/>
              <w:rPr>
                <w:color w:val="000000"/>
                <w:sz w:val="20"/>
                <w:lang w:val="en-GB"/>
              </w:rPr>
            </w:pPr>
            <w:r w:rsidRPr="00221DC2">
              <w:rPr>
                <w:color w:val="000000"/>
                <w:sz w:val="20"/>
                <w:lang w:val="en-GB"/>
              </w:rPr>
              <w:t>Minister competent for public finance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Dorota Jaworska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Director of the Paying Authority Department, Ministry of Finance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sekretariatIP@mf.gov.pl</w:t>
            </w:r>
          </w:p>
        </w:tc>
      </w:tr>
    </w:tbl>
    <w:p w:rsidR="00A77B3E" w:rsidRPr="00701ADE" w:rsidRDefault="00A77B3E">
      <w:pPr>
        <w:spacing w:before="100"/>
        <w:jc w:val="center"/>
        <w:rPr>
          <w:color w:val="000000"/>
          <w:sz w:val="20"/>
          <w:lang w:val="en-GB"/>
        </w:rPr>
        <w:sectPr w:rsidR="00A77B3E" w:rsidRPr="00701ADE">
          <w:headerReference w:type="even" r:id="rId75"/>
          <w:headerReference w:type="default" r:id="rId76"/>
          <w:footerReference w:type="even" r:id="rId77"/>
          <w:footerReference w:type="default" r:id="rId78"/>
          <w:headerReference w:type="first" r:id="rId79"/>
          <w:footerReference w:type="first" r:id="rId80"/>
          <w:pgSz w:w="16838" w:h="11906" w:orient="landscape"/>
          <w:pgMar w:top="720" w:right="720" w:bottom="864" w:left="936" w:header="288" w:footer="72" w:gutter="0"/>
          <w:cols w:space="720"/>
          <w:noEndnote/>
          <w:docGrid w:linePitch="360"/>
        </w:sectPr>
      </w:pPr>
    </w:p>
    <w:p w:rsidR="00A77B3E" w:rsidRPr="00701ADE" w:rsidRDefault="00BB4ED7">
      <w:pPr>
        <w:pStyle w:val="Nagwek1"/>
        <w:spacing w:before="100" w:after="0"/>
        <w:rPr>
          <w:rFonts w:ascii="Times New Roman" w:hAnsi="Times New Roman" w:cs="Times New Roman"/>
          <w:b w:val="0"/>
          <w:color w:val="000000"/>
          <w:sz w:val="24"/>
          <w:lang w:val="en-GB"/>
        </w:rPr>
      </w:pPr>
      <w:bookmarkStart w:id="47" w:name="_Toc126925423"/>
      <w:r w:rsidRPr="00701ADE">
        <w:rPr>
          <w:rFonts w:ascii="Times New Roman" w:hAnsi="Times New Roman" w:cs="Times New Roman"/>
          <w:b w:val="0"/>
          <w:color w:val="000000"/>
          <w:sz w:val="24"/>
          <w:lang w:val="en-GB"/>
        </w:rPr>
        <w:t>6. Partnership</w:t>
      </w:r>
      <w:bookmarkEnd w:id="47"/>
    </w:p>
    <w:p w:rsidR="00A77B3E" w:rsidRPr="00701ADE" w:rsidRDefault="00BB4ED7">
      <w:pPr>
        <w:spacing w:before="100"/>
        <w:rPr>
          <w:color w:val="000000"/>
          <w:sz w:val="16"/>
          <w:lang w:val="en-GB"/>
        </w:rPr>
      </w:pPr>
      <w:r w:rsidRPr="00701ADE">
        <w:rPr>
          <w:color w:val="000000"/>
          <w:lang w:val="en-GB"/>
        </w:rPr>
        <w:t>Reference: Article 22(3)(h) of the Common Provisions Regulation</w:t>
      </w:r>
    </w:p>
    <w:p w:rsidR="00A77B3E" w:rsidRPr="00701ADE" w:rsidRDefault="00A77B3E">
      <w:pPr>
        <w:spacing w:before="100"/>
        <w:rPr>
          <w:color w:val="000000"/>
          <w:sz w:val="1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4B75EC" w:rsidRPr="00701ADE">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A77B3E">
            <w:pPr>
              <w:spacing w:before="100"/>
              <w:rPr>
                <w:color w:val="000000"/>
                <w:sz w:val="0"/>
                <w:lang w:val="en-GB"/>
              </w:rPr>
            </w:pPr>
          </w:p>
          <w:p w:rsidR="00A77B3E" w:rsidRPr="00701ADE" w:rsidRDefault="00BB4ED7">
            <w:pPr>
              <w:spacing w:before="100"/>
              <w:rPr>
                <w:color w:val="000000"/>
                <w:lang w:val="en-GB"/>
              </w:rPr>
            </w:pPr>
            <w:r w:rsidRPr="00701ADE">
              <w:rPr>
                <w:color w:val="000000"/>
                <w:lang w:val="en-GB"/>
              </w:rPr>
              <w:t xml:space="preserve">In the course of early preparatory work on the AMIF Programme, consultations were held with a wide group of entities responsible for migration-related issues, including specifically competent public services and institutions at central and voivodeship levels. During further work, also no-governmental, intergovernmental and international organisations were requested to submit action proposals and comments. Furthermore, the following groups were invited to take part in the consultations: </w:t>
            </w:r>
          </w:p>
          <w:p w:rsidR="00A77B3E" w:rsidRPr="00701ADE" w:rsidRDefault="00BB4ED7">
            <w:pPr>
              <w:spacing w:before="100"/>
              <w:rPr>
                <w:color w:val="000000"/>
                <w:lang w:val="en-GB"/>
              </w:rPr>
            </w:pPr>
            <w:r w:rsidRPr="00701ADE">
              <w:rPr>
                <w:color w:val="000000"/>
                <w:lang w:val="en-GB"/>
              </w:rPr>
              <w:t>·regional, local and city authorities, including Municipality of Kępno, "Obszar Metropolitalny Gdańsk-Gdynia-Sopot" Association, Lublin City Family Support Centre, Wrocławsk Integration Centre;</w:t>
            </w:r>
          </w:p>
          <w:p w:rsidR="00A77B3E" w:rsidRPr="00701ADE" w:rsidRDefault="00BB4ED7">
            <w:pPr>
              <w:numPr>
                <w:ilvl w:val="0"/>
                <w:numId w:val="17"/>
              </w:numPr>
              <w:spacing w:before="100"/>
              <w:rPr>
                <w:color w:val="000000"/>
                <w:lang w:val="en-GB"/>
              </w:rPr>
            </w:pPr>
            <w:r w:rsidRPr="00701ADE">
              <w:rPr>
                <w:color w:val="000000"/>
                <w:lang w:val="en-GB"/>
              </w:rPr>
              <w:t>economic and social partners, including Socio-Economic Association Absolwent, European Foundation for the Development of Medicine and Education Euromed, Association for Education "POMOST", Foreign Language Foundation "Linguae Mundi", Caritas Polska, Education and Entrepreneurship Foundation, Countrywide Job Office Convention – OKAP;</w:t>
            </w:r>
          </w:p>
          <w:p w:rsidR="00A77B3E" w:rsidRPr="00701ADE" w:rsidRDefault="00BB4ED7">
            <w:pPr>
              <w:numPr>
                <w:ilvl w:val="0"/>
                <w:numId w:val="17"/>
              </w:numPr>
              <w:spacing w:before="100"/>
              <w:rPr>
                <w:color w:val="000000"/>
                <w:lang w:val="en-GB"/>
              </w:rPr>
            </w:pPr>
            <w:r w:rsidRPr="00701ADE">
              <w:rPr>
                <w:color w:val="000000"/>
                <w:lang w:val="en-GB"/>
              </w:rPr>
              <w:t xml:space="preserve"> bodies representing civil society, including environmental partners, non-governmental organisations, and bodies responsible for promoting social inclusion, fundamental rights, rights of disabled persons, gender equality and non-discrimination, including Ukrainian Information Centre Foundation, Foundation for Multicultural Centre, Other Space Foundation, Foundation for Development Beyond Borders, Voluntary Centre Association, Multiocalenie Foundation, Foundation for Somalia, Polish Migration Forum Foundation, Foundation for Social Variety, International Foundation for Migration, Ocalenie Foundation, West Pomeranian Foundation for Environmental Integration, Socio-Cultural Association Ethnos, 17-tka Association, Immigrant SUpport Centre, Ukraine Foundation, Polish-Ukrainian Cooperation Foundation "U-WORK", Europe-East Integration Association, Amnesty International, Nomada Association for Multicultural Society Integration, NOMADA Association, Institute of Public Affairs Foundation, Empowering Children Foundation, Legal Intervention Association;</w:t>
            </w:r>
          </w:p>
          <w:p w:rsidR="00A77B3E" w:rsidRPr="00701ADE" w:rsidRDefault="00BB4ED7">
            <w:pPr>
              <w:numPr>
                <w:ilvl w:val="0"/>
                <w:numId w:val="17"/>
              </w:numPr>
              <w:spacing w:before="100"/>
              <w:rPr>
                <w:color w:val="000000"/>
                <w:lang w:val="en-GB"/>
              </w:rPr>
            </w:pPr>
            <w:r w:rsidRPr="00701ADE">
              <w:rPr>
                <w:color w:val="000000"/>
                <w:lang w:val="en-GB"/>
              </w:rPr>
              <w:t xml:space="preserve">research organisation and higher education establishments, including Academy of Management and Administration in Opole, Central Institute for Political and Legal Analyses, Collegium Humanum – Warsaw Management University, Innovation Institute Foundation, Innovation Incubator Foundation, Institute of Labour and Education, Ignatianum Academy, Rule of Law Institute Foundation, Alcide De Gasperi University of Euroregional Economy in Józefów, John Paul II Catholic University of Lublin (KUL). </w:t>
            </w:r>
          </w:p>
          <w:p w:rsidR="00A77B3E" w:rsidRPr="00701ADE" w:rsidRDefault="00BB4ED7">
            <w:pPr>
              <w:spacing w:before="100"/>
              <w:rPr>
                <w:color w:val="000000"/>
                <w:lang w:val="en-GB"/>
              </w:rPr>
            </w:pPr>
            <w:r w:rsidRPr="00701ADE">
              <w:rPr>
                <w:color w:val="000000"/>
                <w:lang w:val="en-GB"/>
              </w:rPr>
              <w:t xml:space="preserve">The AMIF Programme was drafted on the basis of information obtained from key institutions, also ones which had already been invilved in the implementation of actions under the AMIF in the financial perspective 2014-2020, including </w:t>
            </w:r>
            <w:r w:rsidRPr="00701ADE">
              <w:rPr>
                <w:i/>
                <w:iCs/>
                <w:color w:val="000000"/>
                <w:lang w:val="en-GB"/>
              </w:rPr>
              <w:t xml:space="preserve">inter alia </w:t>
            </w:r>
            <w:r w:rsidRPr="00701ADE">
              <w:rPr>
                <w:color w:val="000000"/>
                <w:lang w:val="en-GB"/>
              </w:rPr>
              <w:t xml:space="preserve">Office for Foreigners, Border Guard, Ministry of Finance, Ministry of Justice, Voivodes, </w:t>
            </w:r>
            <w:r w:rsidRPr="00701ADE">
              <w:rPr>
                <w:b/>
                <w:bCs/>
                <w:color w:val="000000"/>
                <w:lang w:val="en-GB"/>
              </w:rPr>
              <w:t xml:space="preserve">non-governmental, intergovernmental, international and other organisations. </w:t>
            </w:r>
            <w:r w:rsidRPr="00701ADE">
              <w:rPr>
                <w:color w:val="000000"/>
                <w:lang w:val="en-GB"/>
              </w:rPr>
              <w:t xml:space="preserve">The PP AMIF was sent for public consultations by virtue of publication on the Ministry's European funds website together with a request for comments. This was meant to allow organisations which were potentially interested in conducting AMIF activities to provide additional/missing information/actions and comments. Subsequently, the document was transmitted for intraministerial and interministerial consultation. As a result of the consultation process, the MA received a number of substantive and editorial comments. With the comments analysed, partners' recommendations included and relevant editorial changes made, the updated AMIF Programme was transmitted for approval to the </w:t>
            </w:r>
            <w:r w:rsidRPr="00701ADE">
              <w:rPr>
                <w:b/>
                <w:bCs/>
                <w:color w:val="000000"/>
                <w:lang w:val="en-GB"/>
              </w:rPr>
              <w:t>Inter-Ministerial Team for the European Home Affairs Funds (IMT),</w:t>
            </w:r>
            <w:r w:rsidRPr="00701ADE">
              <w:rPr>
                <w:color w:val="000000"/>
                <w:lang w:val="en-GB"/>
              </w:rPr>
              <w:t xml:space="preserve"> similarly to the funds implemented in the financial perspective 2014-2020. On obtaining opinions from members of the Team, the document was transmitted to the European Commission.  </w:t>
            </w:r>
            <w:r w:rsidRPr="00701ADE">
              <w:rPr>
                <w:b/>
                <w:bCs/>
                <w:color w:val="000000"/>
                <w:lang w:val="en-GB"/>
              </w:rPr>
              <w:t>The good consultation and cooperation practice will be continued during the Programme implementation with the bodies indicated in Regulation (EU) 2021/1060 (CPR).</w:t>
            </w:r>
          </w:p>
          <w:p w:rsidR="00A77B3E" w:rsidRPr="00701ADE" w:rsidRDefault="00BB4ED7">
            <w:pPr>
              <w:spacing w:before="100"/>
              <w:rPr>
                <w:color w:val="000000"/>
                <w:lang w:val="en-GB"/>
              </w:rPr>
            </w:pPr>
            <w:r w:rsidRPr="00701ADE">
              <w:rPr>
                <w:color w:val="000000"/>
                <w:lang w:val="en-GB"/>
              </w:rPr>
              <w:t xml:space="preserve">The 2014-2020 Monitoring Committee, which was responsible for two funds: AMIF and ISF 2014-2020, included representatives of institutions of key importance for its operations, including the Ministries of: Finance, Justice, Foreign Affairs, Family and Social Policy (with the responsibility for integration and legal migration in Poland), Development Funds and Regional Policy, Border Guard Headquarters and National Police Headquarters, State Fire Service Headquarters, Internal Security Agency  and Office for Foreigners. </w:t>
            </w:r>
          </w:p>
          <w:p w:rsidR="00A77B3E" w:rsidRPr="00701ADE" w:rsidRDefault="00BB4ED7">
            <w:pPr>
              <w:spacing w:before="100"/>
              <w:rPr>
                <w:color w:val="000000"/>
                <w:lang w:val="en-GB"/>
              </w:rPr>
            </w:pPr>
            <w:r w:rsidRPr="00701ADE">
              <w:rPr>
                <w:color w:val="000000"/>
                <w:lang w:val="en-GB"/>
              </w:rPr>
              <w:t>The participation of different institutions in the Monitoring Committee 2021-2027, responsible for three funds: AMIF, BMVI and ISF 2021-2027, will ensure complementarity with other financial mechanisms in accordance with Regulation (EU) 2021/1060. Furthermore, representatives of the third sector organisations concerned will be invited to take part in the Monitoring Committee as part of partnership in the implementation and subsequent evaluation of the AMIF Programme.</w:t>
            </w:r>
          </w:p>
          <w:p w:rsidR="00A77B3E" w:rsidRPr="00701ADE" w:rsidRDefault="00BB4ED7">
            <w:pPr>
              <w:spacing w:before="100"/>
              <w:rPr>
                <w:color w:val="000000"/>
                <w:lang w:val="en-GB"/>
              </w:rPr>
            </w:pPr>
            <w:r w:rsidRPr="00701ADE">
              <w:rPr>
                <w:color w:val="000000"/>
                <w:lang w:val="en-GB"/>
              </w:rPr>
              <w:t xml:space="preserve">Moreover, in order to ensure that the partnership principle is implemented more effectively, the Managing Authority plans to engage partners which are most representative for a given environment - adequately to the subject scope of a given programme. In accordance with Article 8 of Regulation (EU) 2021/1060 (CPR), invitations were sent to the following bodies/organisations: </w:t>
            </w:r>
          </w:p>
          <w:p w:rsidR="00A77B3E" w:rsidRPr="00701ADE" w:rsidRDefault="00BB4ED7">
            <w:pPr>
              <w:spacing w:before="100"/>
              <w:rPr>
                <w:color w:val="000000"/>
                <w:lang w:val="en-GB"/>
              </w:rPr>
            </w:pPr>
            <w:r w:rsidRPr="00701ADE">
              <w:rPr>
                <w:color w:val="000000"/>
                <w:lang w:val="en-GB"/>
              </w:rPr>
              <w:t xml:space="preserve">- Joint Government and Local Government Commission </w:t>
            </w:r>
          </w:p>
          <w:p w:rsidR="00A77B3E" w:rsidRPr="00701ADE" w:rsidRDefault="00BB4ED7">
            <w:pPr>
              <w:spacing w:before="100"/>
              <w:rPr>
                <w:color w:val="000000"/>
                <w:lang w:val="en-GB"/>
              </w:rPr>
            </w:pPr>
            <w:r w:rsidRPr="00701ADE">
              <w:rPr>
                <w:color w:val="000000"/>
                <w:lang w:val="en-GB"/>
              </w:rPr>
              <w:t xml:space="preserve">- Social Dialogue Council </w:t>
            </w:r>
          </w:p>
          <w:p w:rsidR="00A77B3E" w:rsidRPr="00701ADE" w:rsidRDefault="00BB4ED7">
            <w:pPr>
              <w:spacing w:before="100"/>
              <w:rPr>
                <w:color w:val="000000"/>
                <w:lang w:val="en-GB"/>
              </w:rPr>
            </w:pPr>
            <w:r w:rsidRPr="00701ADE">
              <w:rPr>
                <w:color w:val="000000"/>
                <w:lang w:val="en-GB"/>
              </w:rPr>
              <w:t xml:space="preserve">- Public Benefit Works Council </w:t>
            </w:r>
          </w:p>
          <w:p w:rsidR="00A77B3E" w:rsidRPr="00701ADE" w:rsidRDefault="00BB4ED7">
            <w:pPr>
              <w:spacing w:before="100"/>
              <w:rPr>
                <w:color w:val="000000"/>
                <w:lang w:val="en-GB"/>
              </w:rPr>
            </w:pPr>
            <w:r w:rsidRPr="00701ADE">
              <w:rPr>
                <w:color w:val="000000"/>
                <w:lang w:val="en-GB"/>
              </w:rPr>
              <w:t xml:space="preserve">- International organisations – IOM Poland, UNHCR – Representation in Poland </w:t>
            </w:r>
          </w:p>
          <w:p w:rsidR="00A77B3E" w:rsidRPr="00701ADE" w:rsidRDefault="00BB4ED7">
            <w:pPr>
              <w:spacing w:before="100"/>
              <w:rPr>
                <w:color w:val="000000"/>
                <w:lang w:val="en-GB"/>
              </w:rPr>
            </w:pPr>
            <w:r w:rsidRPr="00701ADE">
              <w:rPr>
                <w:color w:val="000000"/>
                <w:lang w:val="en-GB"/>
              </w:rPr>
              <w:t>- Government Plenipotentiary for Disabled Persons</w:t>
            </w:r>
          </w:p>
          <w:p w:rsidR="00A77B3E" w:rsidRPr="00701ADE" w:rsidRDefault="00BB4ED7">
            <w:pPr>
              <w:spacing w:before="100"/>
              <w:rPr>
                <w:color w:val="000000"/>
                <w:lang w:val="en-GB"/>
              </w:rPr>
            </w:pPr>
            <w:r w:rsidRPr="00701ADE">
              <w:rPr>
                <w:color w:val="000000"/>
                <w:lang w:val="en-GB"/>
              </w:rPr>
              <w:t>- Government Plenipotentiary for Equal Treatment</w:t>
            </w:r>
          </w:p>
          <w:p w:rsidR="00A77B3E" w:rsidRPr="00701ADE" w:rsidRDefault="00BB4ED7">
            <w:pPr>
              <w:spacing w:before="100"/>
              <w:rPr>
                <w:color w:val="000000"/>
                <w:lang w:val="en-GB"/>
              </w:rPr>
            </w:pPr>
            <w:r w:rsidRPr="00701ADE">
              <w:rPr>
                <w:color w:val="000000"/>
                <w:lang w:val="en-GB"/>
              </w:rPr>
              <w:t>- Conference of Rectors of Academic Schools in Poland</w:t>
            </w:r>
          </w:p>
          <w:p w:rsidR="00A77B3E" w:rsidRPr="00701ADE" w:rsidRDefault="00BB4ED7">
            <w:pPr>
              <w:spacing w:before="100"/>
              <w:rPr>
                <w:color w:val="000000"/>
                <w:lang w:val="en-GB"/>
              </w:rPr>
            </w:pPr>
            <w:r w:rsidRPr="00701ADE">
              <w:rPr>
                <w:color w:val="000000"/>
                <w:lang w:val="en-GB"/>
              </w:rPr>
              <w:t xml:space="preserve">- Main Board of Research Institutes </w:t>
            </w:r>
          </w:p>
          <w:p w:rsidR="00A77B3E" w:rsidRPr="00701ADE" w:rsidRDefault="00BB4ED7">
            <w:pPr>
              <w:spacing w:before="100"/>
              <w:rPr>
                <w:color w:val="000000"/>
                <w:lang w:val="en-GB"/>
              </w:rPr>
            </w:pPr>
            <w:r w:rsidRPr="00701ADE">
              <w:rPr>
                <w:color w:val="000000"/>
                <w:lang w:val="en-GB"/>
              </w:rPr>
              <w:t xml:space="preserve">The aforementioned bodies were asked to name at least one representative to be officially nominated as members of the Monitoring Committee. The Joint Government and Local Government Commission names a representative of regional/local public authorities. The Social Dialogue Council names a representative of the social/economic partners. The Public Benefit Works Council names a representative of the civil society to ensure representation in accordance with Article 8 of Regulation (EU) 2021/1060 (CPR) and Article 4 of Regulation of the European Parliament and of the Council (EU) 2021/1147 establishing the Asylum, Migration and Integration Fund. The Conference of Rectors of Academic Schools in Poland names a representative of academic schools. The Main Board of Research Institutes names a representative of research institutes. Depending on the subject range of the work of the Monitoring Committee, the representatives named can consult competent members of their organisations to provide relevant answers to issues raised. </w:t>
            </w:r>
          </w:p>
          <w:p w:rsidR="00A77B3E" w:rsidRPr="00701ADE" w:rsidRDefault="00BB4ED7">
            <w:pPr>
              <w:spacing w:before="100"/>
              <w:rPr>
                <w:color w:val="000000"/>
                <w:lang w:val="en-GB"/>
              </w:rPr>
            </w:pPr>
            <w:r w:rsidRPr="00701ADE">
              <w:rPr>
                <w:color w:val="000000"/>
                <w:lang w:val="en-GB"/>
              </w:rPr>
              <w:t>The rules and scope of cooperation with the partners will be laid down in the Rules of the Monitoring Committee. The Rules will be consulted with the Committee members and will also provide for the manner of involvement of the partners in the decision-making process.</w:t>
            </w:r>
          </w:p>
          <w:p w:rsidR="00A77B3E" w:rsidRPr="00701ADE" w:rsidRDefault="00BB4ED7">
            <w:pPr>
              <w:spacing w:before="100"/>
              <w:rPr>
                <w:color w:val="000000"/>
                <w:lang w:val="en-GB"/>
              </w:rPr>
            </w:pPr>
            <w:r w:rsidRPr="00701ADE">
              <w:rPr>
                <w:color w:val="000000"/>
                <w:lang w:val="en-GB"/>
              </w:rPr>
              <w:t>Participation of the partners under the partnership principle will be taken into account at all stages of implementation of the programmes. The participation involves also support for the Managing Authority at the stage of programming, implementation, monitoring and evaluation of the programmes for the years 2021 - 2027, in particular through:</w:t>
            </w:r>
          </w:p>
          <w:p w:rsidR="00A77B3E" w:rsidRPr="00701ADE" w:rsidRDefault="00BB4ED7">
            <w:pPr>
              <w:spacing w:before="100"/>
              <w:rPr>
                <w:color w:val="000000"/>
                <w:lang w:val="en-GB"/>
              </w:rPr>
            </w:pPr>
            <w:r w:rsidRPr="00701ADE">
              <w:rPr>
                <w:color w:val="000000"/>
                <w:lang w:val="en-GB"/>
              </w:rPr>
              <w:t>- participation in the work of the Monitoring Committee</w:t>
            </w:r>
          </w:p>
          <w:p w:rsidR="00A77B3E" w:rsidRPr="00701ADE" w:rsidRDefault="00BB4ED7">
            <w:pPr>
              <w:spacing w:before="100"/>
              <w:rPr>
                <w:color w:val="000000"/>
                <w:lang w:val="en-GB"/>
              </w:rPr>
            </w:pPr>
            <w:r w:rsidRPr="00701ADE">
              <w:rPr>
                <w:color w:val="000000"/>
                <w:lang w:val="en-GB"/>
              </w:rPr>
              <w:t>- providing opinions on AMIF, BMVI and ISF programmes and on amendments to the programmes</w:t>
            </w:r>
          </w:p>
          <w:p w:rsidR="00A77B3E" w:rsidRPr="00701ADE" w:rsidRDefault="00BB4ED7">
            <w:pPr>
              <w:spacing w:before="100"/>
              <w:rPr>
                <w:color w:val="000000"/>
                <w:lang w:val="en-GB"/>
              </w:rPr>
            </w:pPr>
            <w:r w:rsidRPr="00701ADE">
              <w:rPr>
                <w:color w:val="000000"/>
                <w:lang w:val="en-GB"/>
              </w:rPr>
              <w:t>- analysing the progress in implementing the programmes and achieving their objectives</w:t>
            </w:r>
          </w:p>
          <w:p w:rsidR="00A77B3E" w:rsidRPr="00701ADE" w:rsidRDefault="00BB4ED7">
            <w:pPr>
              <w:spacing w:before="100"/>
              <w:rPr>
                <w:color w:val="000000"/>
                <w:lang w:val="en-GB"/>
              </w:rPr>
            </w:pPr>
            <w:r w:rsidRPr="00701ADE">
              <w:rPr>
                <w:color w:val="000000"/>
                <w:lang w:val="en-GB"/>
              </w:rPr>
              <w:t>- providing opinions and approvals regarding project selection criteria</w:t>
            </w:r>
          </w:p>
          <w:p w:rsidR="00A77B3E" w:rsidRPr="00701ADE" w:rsidRDefault="00BB4ED7">
            <w:pPr>
              <w:spacing w:before="100"/>
              <w:rPr>
                <w:color w:val="000000"/>
                <w:lang w:val="en-GB"/>
              </w:rPr>
            </w:pPr>
            <w:r w:rsidRPr="00701ADE">
              <w:rPr>
                <w:color w:val="000000"/>
                <w:lang w:val="en-GB"/>
              </w:rPr>
              <w:t>- participating in the process of evaluation of the programme implementation</w:t>
            </w:r>
          </w:p>
          <w:p w:rsidR="00A77B3E" w:rsidRPr="00701ADE" w:rsidRDefault="00BB4ED7">
            <w:pPr>
              <w:spacing w:before="100"/>
              <w:rPr>
                <w:color w:val="000000"/>
                <w:lang w:val="en-GB"/>
              </w:rPr>
            </w:pPr>
            <w:r w:rsidRPr="00701ADE">
              <w:rPr>
                <w:color w:val="000000"/>
                <w:lang w:val="en-GB"/>
              </w:rPr>
              <w:t>- analysing actions in the area of communication and visibility.</w:t>
            </w:r>
          </w:p>
          <w:p w:rsidR="00A77B3E" w:rsidRPr="00701ADE" w:rsidRDefault="00A77B3E">
            <w:pPr>
              <w:spacing w:before="100"/>
              <w:rPr>
                <w:color w:val="000000"/>
                <w:lang w:val="en-GB"/>
              </w:rPr>
            </w:pPr>
          </w:p>
        </w:tc>
      </w:tr>
    </w:tbl>
    <w:p w:rsidR="00A77B3E" w:rsidRPr="00701ADE" w:rsidRDefault="00BB4ED7">
      <w:pPr>
        <w:pStyle w:val="Nagwek1"/>
        <w:spacing w:before="100" w:after="0"/>
        <w:rPr>
          <w:rFonts w:ascii="Times New Roman" w:hAnsi="Times New Roman" w:cs="Times New Roman"/>
          <w:b w:val="0"/>
          <w:color w:val="000000"/>
          <w:sz w:val="24"/>
          <w:lang w:val="en-GB"/>
        </w:rPr>
      </w:pPr>
      <w:r w:rsidRPr="00701ADE">
        <w:rPr>
          <w:rFonts w:ascii="Times New Roman" w:hAnsi="Times New Roman" w:cs="Times New Roman"/>
          <w:b w:val="0"/>
          <w:color w:val="000000"/>
          <w:sz w:val="24"/>
          <w:lang w:val="en-GB"/>
        </w:rPr>
        <w:br w:type="page"/>
      </w:r>
      <w:bookmarkStart w:id="48" w:name="_Toc126925424"/>
      <w:r w:rsidRPr="00701ADE">
        <w:rPr>
          <w:rFonts w:ascii="Times New Roman" w:hAnsi="Times New Roman" w:cs="Times New Roman"/>
          <w:b w:val="0"/>
          <w:color w:val="000000"/>
          <w:sz w:val="24"/>
          <w:lang w:val="en-GB"/>
        </w:rPr>
        <w:t>7. Communication and visibility</w:t>
      </w:r>
      <w:bookmarkEnd w:id="48"/>
    </w:p>
    <w:p w:rsidR="00A77B3E" w:rsidRPr="00701ADE" w:rsidRDefault="00BB4ED7">
      <w:pPr>
        <w:spacing w:before="100"/>
        <w:rPr>
          <w:color w:val="000000"/>
          <w:sz w:val="16"/>
          <w:lang w:val="en-GB"/>
        </w:rPr>
      </w:pPr>
      <w:r w:rsidRPr="00701ADE">
        <w:rPr>
          <w:color w:val="000000"/>
          <w:lang w:val="en-GB"/>
        </w:rPr>
        <w:t>Reference: Article 22(3)(j) of the Common Provisions Regulation</w:t>
      </w:r>
    </w:p>
    <w:p w:rsidR="00A77B3E" w:rsidRPr="00701ADE" w:rsidRDefault="00A77B3E">
      <w:pPr>
        <w:spacing w:before="100"/>
        <w:rPr>
          <w:color w:val="000000"/>
          <w:sz w:val="1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4B75EC" w:rsidRPr="00701ADE">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A77B3E">
            <w:pPr>
              <w:spacing w:before="100"/>
              <w:rPr>
                <w:color w:val="000000"/>
                <w:sz w:val="0"/>
                <w:lang w:val="en-GB"/>
              </w:rPr>
            </w:pPr>
          </w:p>
          <w:p w:rsidR="00A77B3E" w:rsidRPr="00701ADE" w:rsidRDefault="00BB4ED7">
            <w:pPr>
              <w:spacing w:before="100"/>
              <w:rPr>
                <w:color w:val="000000"/>
                <w:lang w:val="en-GB"/>
              </w:rPr>
            </w:pPr>
            <w:r w:rsidRPr="00701ADE">
              <w:rPr>
                <w:color w:val="000000"/>
                <w:lang w:val="en-GB"/>
              </w:rPr>
              <w:t>The AMIF 2021-2027 Communication Strategy comes as a part of the Communication Strategy For European Migration, Borders and Security Funds (hereinafter "the Strategy") and concerns the manner of communication with target groups for the purpose of supporting the Programme's visibility.</w:t>
            </w:r>
          </w:p>
          <w:p w:rsidR="00A77B3E" w:rsidRPr="00701ADE" w:rsidRDefault="00BB4ED7">
            <w:pPr>
              <w:spacing w:before="100"/>
              <w:rPr>
                <w:color w:val="000000"/>
                <w:lang w:val="en-GB"/>
              </w:rPr>
            </w:pPr>
            <w:r w:rsidRPr="00701ADE">
              <w:rPr>
                <w:color w:val="000000"/>
                <w:lang w:val="en-GB"/>
              </w:rPr>
              <w:t>The Strategy is in line with the national Strategy for Communication of European Funds 2021-2027 managed by the Ministry of Development Funds and Regional Policy (</w:t>
            </w:r>
            <w:r w:rsidR="00B70AEE">
              <w:rPr>
                <w:color w:val="000000"/>
                <w:lang w:val="en-GB"/>
              </w:rPr>
              <w:t>MDFRP</w:t>
            </w:r>
            <w:r w:rsidRPr="00701ADE">
              <w:rPr>
                <w:color w:val="000000"/>
                <w:lang w:val="en-GB"/>
              </w:rPr>
              <w:t xml:space="preserve">), and it will be implemented in cooperation with the </w:t>
            </w:r>
            <w:r w:rsidR="00B70AEE">
              <w:rPr>
                <w:color w:val="000000"/>
                <w:lang w:val="en-GB"/>
              </w:rPr>
              <w:t>MDFRP</w:t>
            </w:r>
            <w:r w:rsidRPr="00701ADE">
              <w:rPr>
                <w:color w:val="000000"/>
                <w:lang w:val="en-GB"/>
              </w:rPr>
              <w:t>.</w:t>
            </w:r>
          </w:p>
          <w:p w:rsidR="00A77B3E" w:rsidRDefault="00BB4ED7">
            <w:pPr>
              <w:spacing w:before="100"/>
              <w:rPr>
                <w:color w:val="000000"/>
                <w:lang w:val="en-GB"/>
              </w:rPr>
            </w:pPr>
            <w:r w:rsidRPr="00701ADE">
              <w:rPr>
                <w:color w:val="000000"/>
                <w:lang w:val="en-GB"/>
              </w:rPr>
              <w:t>Communication about the AMIF Programme involves communicating its objectives, results and impacts regarding:</w:t>
            </w:r>
          </w:p>
          <w:p w:rsidR="00A77B3E" w:rsidRDefault="00BB4ED7" w:rsidP="00112D87">
            <w:pPr>
              <w:pStyle w:val="Akapitzlist"/>
              <w:numPr>
                <w:ilvl w:val="0"/>
                <w:numId w:val="22"/>
              </w:numPr>
              <w:spacing w:before="100"/>
              <w:rPr>
                <w:color w:val="000000"/>
                <w:lang w:val="en-GB"/>
              </w:rPr>
            </w:pPr>
            <w:r w:rsidRPr="00112D87">
              <w:rPr>
                <w:color w:val="000000"/>
                <w:lang w:val="en-GB"/>
              </w:rPr>
              <w:t>the system of providing protection to foreigners in Poland in accordance with the principles of the Common European Asylum System;</w:t>
            </w:r>
          </w:p>
          <w:p w:rsidR="00A77B3E" w:rsidRDefault="00BB4ED7" w:rsidP="00112D87">
            <w:pPr>
              <w:pStyle w:val="Akapitzlist"/>
              <w:numPr>
                <w:ilvl w:val="0"/>
                <w:numId w:val="22"/>
              </w:numPr>
              <w:spacing w:before="100"/>
              <w:rPr>
                <w:color w:val="000000"/>
                <w:lang w:val="en-GB"/>
              </w:rPr>
            </w:pPr>
            <w:r w:rsidRPr="00112D87">
              <w:rPr>
                <w:color w:val="000000"/>
                <w:lang w:val="en-GB"/>
              </w:rPr>
              <w:t>support of legal migration to Poland and effective integration and social inclusion of third-country nationals;</w:t>
            </w:r>
          </w:p>
          <w:p w:rsidR="00A77B3E" w:rsidRPr="00112D87" w:rsidRDefault="00BB4ED7" w:rsidP="00112D87">
            <w:pPr>
              <w:pStyle w:val="Akapitzlist"/>
              <w:numPr>
                <w:ilvl w:val="0"/>
                <w:numId w:val="22"/>
              </w:numPr>
              <w:spacing w:before="100"/>
              <w:rPr>
                <w:color w:val="000000"/>
                <w:lang w:val="en-GB"/>
              </w:rPr>
            </w:pPr>
            <w:r w:rsidRPr="00112D87">
              <w:rPr>
                <w:color w:val="000000"/>
                <w:lang w:val="en-GB"/>
              </w:rPr>
              <w:t>prevention of illegal migration.</w:t>
            </w:r>
          </w:p>
          <w:p w:rsidR="00A77B3E" w:rsidRDefault="00BB4ED7">
            <w:pPr>
              <w:spacing w:before="100"/>
              <w:rPr>
                <w:color w:val="000000"/>
                <w:lang w:val="en-GB"/>
              </w:rPr>
            </w:pPr>
            <w:r w:rsidRPr="00701ADE">
              <w:rPr>
                <w:color w:val="000000"/>
                <w:lang w:val="en-GB"/>
              </w:rPr>
              <w:t>The Strategy is provided in Annex to the MA Procedures Manual. Communication actions are carried out by the MA, IB and beneficiaries.</w:t>
            </w:r>
          </w:p>
          <w:p w:rsidR="00187245" w:rsidRDefault="00187245">
            <w:pPr>
              <w:spacing w:before="100"/>
              <w:rPr>
                <w:color w:val="000000"/>
                <w:lang w:val="en-GB"/>
              </w:rPr>
            </w:pPr>
          </w:p>
          <w:p w:rsidR="00A10BE0" w:rsidRPr="00701ADE" w:rsidRDefault="00A10BE0">
            <w:pPr>
              <w:spacing w:before="100"/>
              <w:rPr>
                <w:color w:val="000000"/>
                <w:lang w:val="en-GB"/>
              </w:rPr>
            </w:pPr>
          </w:p>
          <w:p w:rsidR="00D667EC" w:rsidRPr="00221DC2" w:rsidRDefault="00D667EC" w:rsidP="00D667EC">
            <w:pPr>
              <w:spacing w:before="100"/>
              <w:rPr>
                <w:color w:val="000000"/>
                <w:lang w:val="en-GB"/>
              </w:rPr>
            </w:pPr>
            <w:r w:rsidRPr="00221DC2">
              <w:rPr>
                <w:b/>
                <w:bCs/>
                <w:color w:val="000000"/>
                <w:lang w:val="en-GB"/>
              </w:rPr>
              <w:t>Communication Officer</w:t>
            </w:r>
          </w:p>
          <w:p w:rsidR="00A77B3E" w:rsidRPr="00701ADE" w:rsidRDefault="00BB4ED7">
            <w:pPr>
              <w:spacing w:before="100"/>
              <w:rPr>
                <w:color w:val="000000"/>
                <w:lang w:val="en-GB"/>
              </w:rPr>
            </w:pPr>
            <w:r w:rsidRPr="00701ADE">
              <w:rPr>
                <w:color w:val="000000"/>
                <w:lang w:val="en-GB"/>
              </w:rPr>
              <w:t xml:space="preserve">The MA has appointed the officer for Communication of European Migration, Borders and Security Funds who, in cooperation with the National Coordinator in the </w:t>
            </w:r>
            <w:r w:rsidR="00B70AEE">
              <w:rPr>
                <w:color w:val="000000"/>
                <w:lang w:val="en-GB"/>
              </w:rPr>
              <w:t>MDFRP</w:t>
            </w:r>
            <w:r w:rsidRPr="00701ADE">
              <w:rPr>
                <w:color w:val="000000"/>
                <w:lang w:val="en-GB"/>
              </w:rPr>
              <w:t>, conducts actions to support the visibility and promotion of the funds. Within the INFORM EU networ, the Officer is responsible for cooperation with the EC, attends meetings and training, and is responsible for the website content.</w:t>
            </w:r>
          </w:p>
          <w:p w:rsidR="00A77B3E" w:rsidRPr="00701ADE" w:rsidRDefault="00A77B3E">
            <w:pPr>
              <w:spacing w:before="100"/>
              <w:rPr>
                <w:color w:val="000000"/>
                <w:lang w:val="en-GB"/>
              </w:rPr>
            </w:pPr>
          </w:p>
          <w:p w:rsidR="00D667EC" w:rsidRPr="00221DC2" w:rsidRDefault="00D667EC" w:rsidP="00D667EC">
            <w:pPr>
              <w:spacing w:before="100"/>
              <w:rPr>
                <w:color w:val="000000"/>
                <w:lang w:val="en-GB"/>
              </w:rPr>
            </w:pPr>
            <w:r w:rsidRPr="00221DC2">
              <w:rPr>
                <w:b/>
                <w:bCs/>
                <w:color w:val="000000"/>
                <w:lang w:val="en-GB"/>
              </w:rPr>
              <w:t>Objectives of communication actions</w:t>
            </w:r>
          </w:p>
          <w:p w:rsidR="00A77B3E" w:rsidRDefault="00BB4ED7">
            <w:pPr>
              <w:spacing w:before="100"/>
              <w:rPr>
                <w:color w:val="000000"/>
                <w:lang w:val="en-GB"/>
              </w:rPr>
            </w:pPr>
            <w:r w:rsidRPr="00701ADE">
              <w:rPr>
                <w:color w:val="000000"/>
                <w:lang w:val="en-GB"/>
              </w:rPr>
              <w:t>The communication actions are aimed at:</w:t>
            </w:r>
          </w:p>
          <w:p w:rsidR="00A77B3E" w:rsidRDefault="00BB4ED7" w:rsidP="003F2271">
            <w:pPr>
              <w:pStyle w:val="Akapitzlist"/>
              <w:numPr>
                <w:ilvl w:val="0"/>
                <w:numId w:val="23"/>
              </w:numPr>
              <w:spacing w:before="100"/>
              <w:rPr>
                <w:color w:val="000000"/>
                <w:lang w:val="en-GB"/>
              </w:rPr>
            </w:pPr>
            <w:r w:rsidRPr="003F2271">
              <w:rPr>
                <w:color w:val="000000"/>
                <w:lang w:val="en-GB"/>
              </w:rPr>
              <w:t>informing about and encouraging to use the funds available under the Programme;</w:t>
            </w:r>
          </w:p>
          <w:p w:rsidR="00A77B3E" w:rsidRDefault="00BB4ED7" w:rsidP="003F2271">
            <w:pPr>
              <w:pStyle w:val="Akapitzlist"/>
              <w:numPr>
                <w:ilvl w:val="0"/>
                <w:numId w:val="23"/>
              </w:numPr>
              <w:spacing w:before="100"/>
              <w:rPr>
                <w:color w:val="000000"/>
                <w:lang w:val="en-GB"/>
              </w:rPr>
            </w:pPr>
            <w:r w:rsidRPr="003F2271">
              <w:rPr>
                <w:color w:val="000000"/>
                <w:lang w:val="en-GB"/>
              </w:rPr>
              <w:t>increasing the awareness of the importance of the European Funds;</w:t>
            </w:r>
          </w:p>
          <w:p w:rsidR="00A77B3E" w:rsidRDefault="00BB4ED7" w:rsidP="003F2271">
            <w:pPr>
              <w:pStyle w:val="Akapitzlist"/>
              <w:numPr>
                <w:ilvl w:val="0"/>
                <w:numId w:val="23"/>
              </w:numPr>
              <w:spacing w:before="100"/>
              <w:rPr>
                <w:color w:val="000000"/>
                <w:lang w:val="en-GB"/>
              </w:rPr>
            </w:pPr>
            <w:r w:rsidRPr="003F2271">
              <w:rPr>
                <w:color w:val="000000"/>
                <w:lang w:val="en-GB"/>
              </w:rPr>
              <w:t>informing the general public about actions and results of the Programme, including the positive impact of EU support in the AMIF area;</w:t>
            </w:r>
          </w:p>
          <w:p w:rsidR="003F2271" w:rsidRDefault="003F2271" w:rsidP="003F2271">
            <w:pPr>
              <w:pStyle w:val="Akapitzlist"/>
              <w:numPr>
                <w:ilvl w:val="0"/>
                <w:numId w:val="23"/>
              </w:numPr>
              <w:spacing w:before="100"/>
              <w:rPr>
                <w:color w:val="000000"/>
                <w:lang w:val="en-GB"/>
              </w:rPr>
            </w:pPr>
            <w:r w:rsidRPr="003F2271">
              <w:rPr>
                <w:color w:val="000000"/>
                <w:lang w:val="en-GB"/>
              </w:rPr>
              <w:t>supporting the beneficiaries in implementing their projects</w:t>
            </w:r>
            <w:r>
              <w:rPr>
                <w:color w:val="000000"/>
                <w:lang w:val="en-GB"/>
              </w:rPr>
              <w:t>.</w:t>
            </w:r>
          </w:p>
          <w:p w:rsidR="00A10BE0" w:rsidRPr="00701ADE" w:rsidRDefault="00A10BE0" w:rsidP="003F2271">
            <w:pPr>
              <w:rPr>
                <w:lang w:val="en-GB"/>
              </w:rPr>
            </w:pPr>
          </w:p>
          <w:p w:rsidR="003F2271" w:rsidRDefault="003F2271" w:rsidP="003F2271">
            <w:pPr>
              <w:spacing w:before="100"/>
              <w:rPr>
                <w:b/>
                <w:bCs/>
                <w:color w:val="000000"/>
                <w:lang w:val="en-GB"/>
              </w:rPr>
            </w:pPr>
            <w:r w:rsidRPr="00221DC2">
              <w:rPr>
                <w:b/>
                <w:bCs/>
                <w:color w:val="000000"/>
                <w:lang w:val="en-GB"/>
              </w:rPr>
              <w:t>Target groups</w:t>
            </w:r>
          </w:p>
          <w:p w:rsidR="00A77B3E" w:rsidRDefault="00BB4ED7" w:rsidP="003F2271">
            <w:pPr>
              <w:pStyle w:val="Akapitzlist"/>
              <w:numPr>
                <w:ilvl w:val="0"/>
                <w:numId w:val="24"/>
              </w:numPr>
              <w:spacing w:before="100"/>
              <w:rPr>
                <w:color w:val="000000"/>
                <w:lang w:val="en-GB"/>
              </w:rPr>
            </w:pPr>
            <w:r w:rsidRPr="003F2271">
              <w:rPr>
                <w:color w:val="000000"/>
                <w:lang w:val="en-GB"/>
              </w:rPr>
              <w:t>Beneficiaries: institutions with the monopoly on migration management (Border Guard, Office for Foreigners, Voivodeship Offices, Ministry of Family, Labour and Social Policy);</w:t>
            </w:r>
          </w:p>
          <w:p w:rsidR="00A77B3E" w:rsidRDefault="00BB4ED7" w:rsidP="003F2271">
            <w:pPr>
              <w:pStyle w:val="Akapitzlist"/>
              <w:numPr>
                <w:ilvl w:val="0"/>
                <w:numId w:val="24"/>
              </w:numPr>
              <w:spacing w:before="100"/>
              <w:rPr>
                <w:color w:val="000000"/>
                <w:lang w:val="en-GB"/>
              </w:rPr>
            </w:pPr>
            <w:r w:rsidRPr="003F2271">
              <w:rPr>
                <w:color w:val="000000"/>
                <w:lang w:val="en-GB"/>
              </w:rPr>
              <w:t>Potential beneficiaries: bodies that use AMIF support and implement projects: other public finance sector units, international organisations, non-governmental organisations, recipients of direct support under projects implemented;</w:t>
            </w:r>
          </w:p>
          <w:p w:rsidR="00A77B3E" w:rsidRPr="003F2271" w:rsidRDefault="00BB4ED7" w:rsidP="003F2271">
            <w:pPr>
              <w:pStyle w:val="Akapitzlist"/>
              <w:numPr>
                <w:ilvl w:val="0"/>
                <w:numId w:val="24"/>
              </w:numPr>
              <w:spacing w:before="100"/>
              <w:rPr>
                <w:color w:val="000000"/>
                <w:lang w:val="en-GB"/>
              </w:rPr>
            </w:pPr>
            <w:r w:rsidRPr="003F2271">
              <w:rPr>
                <w:color w:val="000000"/>
                <w:lang w:val="en-GB"/>
              </w:rPr>
              <w:t>General public: persons and entities that benefit from the effects of the projects implemented, whether consciously or not.</w:t>
            </w:r>
          </w:p>
          <w:p w:rsidR="00A77B3E" w:rsidRPr="00701ADE" w:rsidRDefault="00A77B3E">
            <w:pPr>
              <w:spacing w:before="100"/>
              <w:rPr>
                <w:color w:val="000000"/>
                <w:lang w:val="en-GB"/>
              </w:rPr>
            </w:pPr>
          </w:p>
          <w:p w:rsidR="00C87316" w:rsidRDefault="00C87316" w:rsidP="00F718C5">
            <w:pPr>
              <w:spacing w:before="100"/>
              <w:rPr>
                <w:b/>
                <w:bCs/>
                <w:color w:val="000000"/>
                <w:lang w:val="en-GB"/>
              </w:rPr>
            </w:pPr>
          </w:p>
          <w:p w:rsidR="00C87316" w:rsidRDefault="00C87316" w:rsidP="00F718C5">
            <w:pPr>
              <w:spacing w:before="100"/>
              <w:rPr>
                <w:b/>
                <w:bCs/>
                <w:color w:val="000000"/>
                <w:lang w:val="en-GB"/>
              </w:rPr>
            </w:pPr>
          </w:p>
          <w:p w:rsidR="00C87316" w:rsidRDefault="00C87316" w:rsidP="00F718C5">
            <w:pPr>
              <w:spacing w:before="100"/>
              <w:rPr>
                <w:b/>
                <w:bCs/>
                <w:color w:val="000000"/>
                <w:lang w:val="en-GB"/>
              </w:rPr>
            </w:pPr>
          </w:p>
          <w:p w:rsidR="00C87316" w:rsidRDefault="00C87316" w:rsidP="00F718C5">
            <w:pPr>
              <w:spacing w:before="100"/>
              <w:rPr>
                <w:b/>
                <w:bCs/>
                <w:color w:val="000000"/>
                <w:lang w:val="en-GB"/>
              </w:rPr>
            </w:pPr>
          </w:p>
          <w:p w:rsidR="00F718C5" w:rsidRPr="00221DC2" w:rsidRDefault="00F718C5" w:rsidP="00F718C5">
            <w:pPr>
              <w:spacing w:before="100"/>
              <w:rPr>
                <w:color w:val="000000"/>
                <w:lang w:val="en-GB"/>
              </w:rPr>
            </w:pPr>
            <w:r w:rsidRPr="00221DC2">
              <w:rPr>
                <w:b/>
                <w:bCs/>
                <w:color w:val="000000"/>
                <w:lang w:val="en-GB"/>
              </w:rPr>
              <w:t>Communication channels</w:t>
            </w:r>
          </w:p>
          <w:p w:rsidR="00C87316" w:rsidRPr="00C87316" w:rsidRDefault="00BB4ED7" w:rsidP="007A6DBA">
            <w:pPr>
              <w:pStyle w:val="Akapitzlist"/>
              <w:numPr>
                <w:ilvl w:val="0"/>
                <w:numId w:val="21"/>
              </w:numPr>
              <w:rPr>
                <w:lang w:val="en-GB"/>
              </w:rPr>
            </w:pPr>
            <w:r w:rsidRPr="00701ADE">
              <w:rPr>
                <w:color w:val="000000"/>
                <w:lang w:val="en-GB"/>
              </w:rPr>
              <w:t>Communication channels will be selected on the basis of their effectiveness and specific objectives. Examples of channels:</w:t>
            </w:r>
          </w:p>
          <w:p w:rsidR="00A77B3E" w:rsidRDefault="00BB4ED7" w:rsidP="00C87316">
            <w:pPr>
              <w:pStyle w:val="Akapitzlist"/>
              <w:numPr>
                <w:ilvl w:val="0"/>
                <w:numId w:val="21"/>
              </w:numPr>
              <w:rPr>
                <w:lang w:val="en-GB"/>
              </w:rPr>
            </w:pPr>
            <w:r w:rsidRPr="007A6DBA">
              <w:rPr>
                <w:color w:val="000000"/>
                <w:lang w:val="en-GB"/>
              </w:rPr>
              <w:t>bilingual (Polish and English) websites dedicated to home affairs funds: www.fundusze.mswia.gov.pl and</w:t>
            </w:r>
            <w:r w:rsidR="007A6DBA" w:rsidRPr="00221DC2">
              <w:rPr>
                <w:color w:val="000000"/>
                <w:lang w:val="en-GB"/>
              </w:rPr>
              <w:t xml:space="preserve"> www.gov.pl/web/DFE-MSWiA</w:t>
            </w:r>
            <w:r w:rsidRPr="007A6DBA">
              <w:rPr>
                <w:color w:val="000000"/>
                <w:lang w:val="en-GB"/>
              </w:rPr>
              <w:t>;</w:t>
            </w:r>
          </w:p>
          <w:p w:rsidR="00A77B3E" w:rsidRPr="000269C0" w:rsidRDefault="00BB4ED7" w:rsidP="00C87316">
            <w:pPr>
              <w:pStyle w:val="Akapitzlist"/>
              <w:numPr>
                <w:ilvl w:val="0"/>
                <w:numId w:val="21"/>
              </w:numPr>
              <w:rPr>
                <w:lang w:val="en-GB"/>
              </w:rPr>
            </w:pPr>
            <w:r w:rsidRPr="00C87316">
              <w:rPr>
                <w:color w:val="000000"/>
                <w:lang w:val="en-GB"/>
              </w:rPr>
              <w:t>information and promotion events;</w:t>
            </w:r>
          </w:p>
          <w:p w:rsidR="00A77B3E" w:rsidRPr="000269C0" w:rsidRDefault="00BB4ED7" w:rsidP="000269C0">
            <w:pPr>
              <w:pStyle w:val="Akapitzlist"/>
              <w:numPr>
                <w:ilvl w:val="0"/>
                <w:numId w:val="21"/>
              </w:numPr>
              <w:rPr>
                <w:lang w:val="en-GB"/>
              </w:rPr>
            </w:pPr>
            <w:r w:rsidRPr="000269C0">
              <w:rPr>
                <w:color w:val="000000"/>
                <w:lang w:val="en-GB"/>
              </w:rPr>
              <w:t>European Funds portal (</w:t>
            </w:r>
            <w:r w:rsidR="00B70AEE" w:rsidRPr="000269C0">
              <w:rPr>
                <w:color w:val="000000"/>
                <w:lang w:val="en-GB"/>
              </w:rPr>
              <w:t>MDFRP</w:t>
            </w:r>
            <w:r w:rsidRPr="000269C0">
              <w:rPr>
                <w:color w:val="000000"/>
                <w:lang w:val="en-GB"/>
              </w:rPr>
              <w:t>);</w:t>
            </w:r>
          </w:p>
          <w:p w:rsidR="00A77B3E" w:rsidRPr="000269C0" w:rsidRDefault="00BB4ED7" w:rsidP="000269C0">
            <w:pPr>
              <w:pStyle w:val="Akapitzlist"/>
              <w:numPr>
                <w:ilvl w:val="0"/>
                <w:numId w:val="21"/>
              </w:numPr>
              <w:rPr>
                <w:lang w:val="en-GB"/>
              </w:rPr>
            </w:pPr>
            <w:r w:rsidRPr="000269C0">
              <w:rPr>
                <w:color w:val="000000"/>
                <w:lang w:val="en-GB"/>
              </w:rPr>
              <w:t>network of European Funds Information Points (</w:t>
            </w:r>
            <w:r w:rsidR="00B70AEE" w:rsidRPr="000269C0">
              <w:rPr>
                <w:color w:val="000000"/>
                <w:lang w:val="en-GB"/>
              </w:rPr>
              <w:t>MDFRP</w:t>
            </w:r>
            <w:r w:rsidRPr="000269C0">
              <w:rPr>
                <w:color w:val="000000"/>
                <w:lang w:val="en-GB"/>
              </w:rPr>
              <w:t>);</w:t>
            </w:r>
          </w:p>
          <w:p w:rsidR="00A77B3E" w:rsidRPr="000269C0" w:rsidRDefault="00BB4ED7" w:rsidP="000269C0">
            <w:pPr>
              <w:pStyle w:val="Akapitzlist"/>
              <w:numPr>
                <w:ilvl w:val="0"/>
                <w:numId w:val="21"/>
              </w:numPr>
              <w:rPr>
                <w:lang w:val="en-GB"/>
              </w:rPr>
            </w:pPr>
            <w:r w:rsidRPr="000269C0">
              <w:rPr>
                <w:color w:val="000000"/>
                <w:lang w:val="en-GB"/>
              </w:rPr>
              <w:t xml:space="preserve">social media: </w:t>
            </w:r>
            <w:r w:rsidR="00B70AEE" w:rsidRPr="000269C0">
              <w:rPr>
                <w:color w:val="000000"/>
                <w:lang w:val="en-GB"/>
              </w:rPr>
              <w:t xml:space="preserve">MIA </w:t>
            </w:r>
            <w:r w:rsidRPr="000269C0">
              <w:rPr>
                <w:color w:val="000000"/>
                <w:lang w:val="en-GB"/>
              </w:rPr>
              <w:t xml:space="preserve">and </w:t>
            </w:r>
            <w:r w:rsidR="00B70AEE" w:rsidRPr="000269C0">
              <w:rPr>
                <w:color w:val="000000"/>
                <w:lang w:val="en-GB"/>
              </w:rPr>
              <w:t>MDFRP</w:t>
            </w:r>
            <w:r w:rsidRPr="000269C0">
              <w:rPr>
                <w:color w:val="000000"/>
                <w:lang w:val="en-GB"/>
              </w:rPr>
              <w:t>.</w:t>
            </w:r>
          </w:p>
          <w:p w:rsidR="00A77B3E" w:rsidRDefault="00BB4ED7">
            <w:pPr>
              <w:spacing w:before="100"/>
              <w:rPr>
                <w:color w:val="000000"/>
                <w:lang w:val="en-GB"/>
              </w:rPr>
            </w:pPr>
            <w:r w:rsidRPr="00701ADE">
              <w:rPr>
                <w:color w:val="000000"/>
                <w:lang w:val="en-GB"/>
              </w:rPr>
              <w:t>It will be important for communication to use the beneficiaries' communication capacities. Among materials prepared to support the beneficiaries in promoting the projects are a downloadable guide and graphic templates.</w:t>
            </w:r>
          </w:p>
          <w:p w:rsidR="008D48AA" w:rsidRPr="00701ADE" w:rsidRDefault="008D48AA">
            <w:pPr>
              <w:spacing w:before="100"/>
              <w:rPr>
                <w:color w:val="000000"/>
                <w:lang w:val="en-GB"/>
              </w:rPr>
            </w:pPr>
          </w:p>
          <w:p w:rsidR="00A77B3E" w:rsidRDefault="00BB4ED7">
            <w:pPr>
              <w:spacing w:before="100"/>
              <w:rPr>
                <w:color w:val="000000"/>
                <w:lang w:val="en-GB"/>
              </w:rPr>
            </w:pPr>
            <w:r w:rsidRPr="00701ADE">
              <w:rPr>
                <w:color w:val="000000"/>
                <w:lang w:val="en-GB"/>
              </w:rPr>
              <w:t>Tools used in communication and individual target groups:</w:t>
            </w:r>
          </w:p>
          <w:p w:rsidR="00A77B3E" w:rsidRDefault="00BB4ED7" w:rsidP="008D48AA">
            <w:pPr>
              <w:pStyle w:val="Akapitzlist"/>
              <w:numPr>
                <w:ilvl w:val="0"/>
                <w:numId w:val="29"/>
              </w:numPr>
              <w:spacing w:before="100"/>
              <w:rPr>
                <w:color w:val="000000"/>
                <w:lang w:val="en-GB"/>
              </w:rPr>
            </w:pPr>
            <w:r w:rsidRPr="008D48AA">
              <w:rPr>
                <w:color w:val="000000"/>
                <w:lang w:val="en-GB"/>
              </w:rPr>
              <w:t>Beneficiaries: the MA's website, project supervisor, social media, the European funds portal, information and promotion events</w:t>
            </w:r>
          </w:p>
          <w:p w:rsidR="00A77B3E" w:rsidRDefault="00BB4ED7" w:rsidP="008D48AA">
            <w:pPr>
              <w:pStyle w:val="Akapitzlist"/>
              <w:numPr>
                <w:ilvl w:val="0"/>
                <w:numId w:val="29"/>
              </w:numPr>
              <w:spacing w:before="100"/>
              <w:rPr>
                <w:color w:val="000000"/>
                <w:lang w:val="en-GB"/>
              </w:rPr>
            </w:pPr>
            <w:r w:rsidRPr="008D48AA">
              <w:rPr>
                <w:color w:val="000000"/>
                <w:lang w:val="en-GB"/>
              </w:rPr>
              <w:t>Potential beneficiaries: the MA's website, social media, the European Funds portal, EFIPs</w:t>
            </w:r>
          </w:p>
          <w:p w:rsidR="00A77B3E" w:rsidRPr="008D48AA" w:rsidRDefault="00BB4ED7" w:rsidP="008D48AA">
            <w:pPr>
              <w:pStyle w:val="Akapitzlist"/>
              <w:numPr>
                <w:ilvl w:val="0"/>
                <w:numId w:val="29"/>
              </w:numPr>
              <w:spacing w:before="100"/>
              <w:rPr>
                <w:color w:val="000000"/>
                <w:lang w:val="en-GB"/>
              </w:rPr>
            </w:pPr>
            <w:r w:rsidRPr="008D48AA">
              <w:rPr>
                <w:color w:val="000000"/>
                <w:lang w:val="en-GB"/>
              </w:rPr>
              <w:t>General public: social media, the MA's website, the European Funds protal</w:t>
            </w:r>
          </w:p>
          <w:p w:rsidR="00A77B3E" w:rsidRPr="00701ADE" w:rsidRDefault="00A77B3E">
            <w:pPr>
              <w:spacing w:before="100"/>
              <w:rPr>
                <w:color w:val="000000"/>
                <w:lang w:val="en-GB"/>
              </w:rPr>
            </w:pPr>
          </w:p>
          <w:p w:rsidR="00A77B3E" w:rsidRPr="00D954EE" w:rsidRDefault="00BB4ED7">
            <w:pPr>
              <w:spacing w:before="100"/>
              <w:rPr>
                <w:b/>
                <w:color w:val="000000"/>
                <w:lang w:val="en-GB"/>
              </w:rPr>
            </w:pPr>
            <w:r w:rsidRPr="00D954EE">
              <w:rPr>
                <w:b/>
                <w:color w:val="000000"/>
                <w:lang w:val="en-GB"/>
              </w:rPr>
              <w:t>Monitoring and assessment</w:t>
            </w:r>
          </w:p>
          <w:p w:rsidR="00A77B3E" w:rsidRPr="00701ADE" w:rsidRDefault="00BB4ED7">
            <w:pPr>
              <w:spacing w:before="100"/>
              <w:rPr>
                <w:color w:val="000000"/>
                <w:lang w:val="en-GB"/>
              </w:rPr>
            </w:pPr>
            <w:r w:rsidRPr="00701ADE">
              <w:rPr>
                <w:color w:val="000000"/>
                <w:lang w:val="en-GB"/>
              </w:rPr>
              <w:t>The communication actions are subject to evaluation and monitoring in terms of their quality, relevance and effectiveness. Provisions governing the obligation to ensure visibility of EU financing will be included in agreements signed with beneficiaries and will be monitored.</w:t>
            </w:r>
          </w:p>
          <w:p w:rsidR="00A77B3E" w:rsidRPr="00701ADE" w:rsidRDefault="00A77B3E">
            <w:pPr>
              <w:spacing w:before="100"/>
              <w:rPr>
                <w:color w:val="000000"/>
                <w:lang w:val="en-GB"/>
              </w:rPr>
            </w:pPr>
          </w:p>
          <w:p w:rsidR="00A77B3E" w:rsidRPr="00701ADE" w:rsidRDefault="00BB4ED7">
            <w:pPr>
              <w:spacing w:before="100"/>
              <w:rPr>
                <w:color w:val="000000"/>
                <w:lang w:val="en-GB"/>
              </w:rPr>
            </w:pPr>
            <w:r w:rsidRPr="00701ADE">
              <w:rPr>
                <w:color w:val="000000"/>
                <w:lang w:val="en-GB"/>
              </w:rPr>
              <w:t>Monitoring and assessment indicators:</w:t>
            </w:r>
          </w:p>
          <w:p w:rsidR="00A77B3E" w:rsidRPr="00701ADE" w:rsidRDefault="00BB4ED7">
            <w:pPr>
              <w:spacing w:before="100"/>
              <w:rPr>
                <w:color w:val="000000"/>
                <w:lang w:val="en-GB"/>
              </w:rPr>
            </w:pPr>
            <w:r w:rsidRPr="00701ADE">
              <w:rPr>
                <w:color w:val="000000"/>
                <w:lang w:val="en-GB"/>
              </w:rPr>
              <w:t>Number of meetings for beneficiaries and applicants (unit: number)</w:t>
            </w:r>
          </w:p>
          <w:p w:rsidR="00A77B3E" w:rsidRPr="00701ADE" w:rsidRDefault="00BB4ED7">
            <w:pPr>
              <w:numPr>
                <w:ilvl w:val="0"/>
                <w:numId w:val="18"/>
              </w:numPr>
              <w:spacing w:before="100"/>
              <w:rPr>
                <w:color w:val="000000"/>
                <w:lang w:val="en-GB"/>
              </w:rPr>
            </w:pPr>
            <w:r w:rsidRPr="00701ADE">
              <w:rPr>
                <w:color w:val="000000"/>
                <w:lang w:val="en-GB"/>
              </w:rPr>
              <w:t>Baseline value - 0</w:t>
            </w:r>
          </w:p>
          <w:p w:rsidR="00A77B3E" w:rsidRPr="00701ADE" w:rsidRDefault="00BB4ED7">
            <w:pPr>
              <w:numPr>
                <w:ilvl w:val="0"/>
                <w:numId w:val="18"/>
              </w:numPr>
              <w:spacing w:before="100"/>
              <w:rPr>
                <w:color w:val="000000"/>
                <w:lang w:val="en-GB"/>
              </w:rPr>
            </w:pPr>
            <w:r w:rsidRPr="00701ADE">
              <w:rPr>
                <w:color w:val="000000"/>
                <w:lang w:val="en-GB"/>
              </w:rPr>
              <w:t>Milestone value (2024) - 14 (including one joint meeting for the ISF, the AMIF and the BMVI)</w:t>
            </w:r>
          </w:p>
          <w:p w:rsidR="00A77B3E" w:rsidRPr="00701ADE" w:rsidRDefault="00BB4ED7">
            <w:pPr>
              <w:numPr>
                <w:ilvl w:val="0"/>
                <w:numId w:val="18"/>
              </w:numPr>
              <w:spacing w:before="100"/>
              <w:rPr>
                <w:color w:val="000000"/>
                <w:lang w:val="en-GB"/>
              </w:rPr>
            </w:pPr>
            <w:r w:rsidRPr="00701ADE">
              <w:rPr>
                <w:color w:val="000000"/>
                <w:lang w:val="en-GB"/>
              </w:rPr>
              <w:t>Target value (2029) - 43 (including three joint meetings for the ISF, the AMIF and the BMVI)</w:t>
            </w:r>
          </w:p>
          <w:p w:rsidR="00A77B3E" w:rsidRPr="00701ADE" w:rsidRDefault="00BB4ED7">
            <w:pPr>
              <w:spacing w:before="100"/>
              <w:rPr>
                <w:color w:val="000000"/>
                <w:lang w:val="en-GB"/>
              </w:rPr>
            </w:pPr>
            <w:r w:rsidRPr="00701ADE">
              <w:rPr>
                <w:color w:val="000000"/>
                <w:lang w:val="en-GB"/>
              </w:rPr>
              <w:t xml:space="preserve">Number of visits to the MA's website covering the ISF, the AMIF and the </w:t>
            </w:r>
            <w:r w:rsidR="006A3529">
              <w:rPr>
                <w:color w:val="000000"/>
                <w:lang w:val="en-GB"/>
              </w:rPr>
              <w:t>BMVI</w:t>
            </w:r>
            <w:r w:rsidRPr="00701ADE">
              <w:rPr>
                <w:color w:val="000000"/>
                <w:lang w:val="en-GB"/>
              </w:rPr>
              <w:t xml:space="preserve"> (unit: number)</w:t>
            </w:r>
          </w:p>
          <w:p w:rsidR="00A77B3E" w:rsidRPr="00701ADE" w:rsidRDefault="00BB4ED7">
            <w:pPr>
              <w:numPr>
                <w:ilvl w:val="0"/>
                <w:numId w:val="19"/>
              </w:numPr>
              <w:spacing w:before="100"/>
              <w:rPr>
                <w:color w:val="000000"/>
                <w:lang w:val="en-GB"/>
              </w:rPr>
            </w:pPr>
            <w:r w:rsidRPr="00701ADE">
              <w:rPr>
                <w:color w:val="000000"/>
                <w:lang w:val="en-GB"/>
              </w:rPr>
              <w:t>Baseline value - 0</w:t>
            </w:r>
          </w:p>
          <w:p w:rsidR="00A77B3E" w:rsidRPr="00701ADE" w:rsidRDefault="00BB4ED7">
            <w:pPr>
              <w:numPr>
                <w:ilvl w:val="0"/>
                <w:numId w:val="19"/>
              </w:numPr>
              <w:spacing w:before="100"/>
              <w:rPr>
                <w:color w:val="000000"/>
                <w:lang w:val="en-GB"/>
              </w:rPr>
            </w:pPr>
            <w:r w:rsidRPr="00701ADE">
              <w:rPr>
                <w:color w:val="000000"/>
                <w:lang w:val="en-GB"/>
              </w:rPr>
              <w:t>Milestone value (2024) - 115,200</w:t>
            </w:r>
          </w:p>
          <w:p w:rsidR="00A77B3E" w:rsidRPr="00701ADE" w:rsidRDefault="00BB4ED7">
            <w:pPr>
              <w:numPr>
                <w:ilvl w:val="0"/>
                <w:numId w:val="19"/>
              </w:numPr>
              <w:spacing w:before="100"/>
              <w:rPr>
                <w:color w:val="000000"/>
                <w:lang w:val="en-GB"/>
              </w:rPr>
            </w:pPr>
            <w:r w:rsidRPr="00701ADE">
              <w:rPr>
                <w:color w:val="000000"/>
                <w:lang w:val="en-GB"/>
              </w:rPr>
              <w:t>Target value (2029) - 241,200</w:t>
            </w:r>
          </w:p>
          <w:p w:rsidR="00A77B3E" w:rsidRPr="00701ADE" w:rsidRDefault="00BB4ED7">
            <w:pPr>
              <w:spacing w:before="100"/>
              <w:rPr>
                <w:color w:val="000000"/>
                <w:lang w:val="en-GB"/>
              </w:rPr>
            </w:pPr>
            <w:r w:rsidRPr="00701ADE">
              <w:rPr>
                <w:color w:val="000000"/>
                <w:lang w:val="en-GB"/>
              </w:rPr>
              <w:t>Number of responses to inquiries about financing possibilities (unit: number)</w:t>
            </w:r>
          </w:p>
          <w:p w:rsidR="00A77B3E" w:rsidRPr="00701ADE" w:rsidRDefault="00BB4ED7">
            <w:pPr>
              <w:numPr>
                <w:ilvl w:val="0"/>
                <w:numId w:val="20"/>
              </w:numPr>
              <w:spacing w:before="100"/>
              <w:rPr>
                <w:color w:val="000000"/>
                <w:lang w:val="en-GB"/>
              </w:rPr>
            </w:pPr>
            <w:r w:rsidRPr="00701ADE">
              <w:rPr>
                <w:color w:val="000000"/>
                <w:lang w:val="en-GB"/>
              </w:rPr>
              <w:t>Baseline value - 0</w:t>
            </w:r>
          </w:p>
          <w:p w:rsidR="00A77B3E" w:rsidRPr="00701ADE" w:rsidRDefault="00BB4ED7">
            <w:pPr>
              <w:numPr>
                <w:ilvl w:val="0"/>
                <w:numId w:val="20"/>
              </w:numPr>
              <w:spacing w:before="100"/>
              <w:rPr>
                <w:color w:val="000000"/>
                <w:lang w:val="en-GB"/>
              </w:rPr>
            </w:pPr>
            <w:r w:rsidRPr="00701ADE">
              <w:rPr>
                <w:color w:val="000000"/>
                <w:lang w:val="en-GB"/>
              </w:rPr>
              <w:t>Milestone value (2024) - 30</w:t>
            </w:r>
          </w:p>
          <w:p w:rsidR="00A77B3E" w:rsidRPr="00701ADE" w:rsidRDefault="00BB4ED7">
            <w:pPr>
              <w:numPr>
                <w:ilvl w:val="0"/>
                <w:numId w:val="20"/>
              </w:numPr>
              <w:spacing w:before="100"/>
              <w:rPr>
                <w:color w:val="000000"/>
                <w:lang w:val="en-GB"/>
              </w:rPr>
            </w:pPr>
            <w:r w:rsidRPr="00701ADE">
              <w:rPr>
                <w:color w:val="000000"/>
                <w:lang w:val="en-GB"/>
              </w:rPr>
              <w:t>Target value (2029) - 70</w:t>
            </w:r>
          </w:p>
          <w:p w:rsidR="00A77B3E" w:rsidRPr="00701ADE" w:rsidRDefault="00A77B3E">
            <w:pPr>
              <w:spacing w:before="100"/>
              <w:rPr>
                <w:color w:val="000000"/>
                <w:lang w:val="en-GB"/>
              </w:rPr>
            </w:pPr>
          </w:p>
          <w:p w:rsidR="00A77B3E" w:rsidRPr="007B332E" w:rsidRDefault="00BB4ED7">
            <w:pPr>
              <w:spacing w:before="100"/>
              <w:rPr>
                <w:b/>
                <w:color w:val="000000"/>
                <w:lang w:val="en-GB"/>
              </w:rPr>
            </w:pPr>
            <w:r w:rsidRPr="007B332E">
              <w:rPr>
                <w:b/>
                <w:color w:val="000000"/>
                <w:lang w:val="en-GB"/>
              </w:rPr>
              <w:t>Budget</w:t>
            </w:r>
          </w:p>
          <w:p w:rsidR="007B332E" w:rsidRPr="00701ADE" w:rsidRDefault="00BB4ED7">
            <w:pPr>
              <w:spacing w:before="100"/>
              <w:rPr>
                <w:color w:val="000000"/>
                <w:lang w:val="en-GB"/>
              </w:rPr>
            </w:pPr>
            <w:r w:rsidRPr="00701ADE">
              <w:rPr>
                <w:color w:val="000000"/>
                <w:lang w:val="en-GB"/>
              </w:rPr>
              <w:t>Communication actions of the MA and the IB will be financed from Technical Assistance. The estimated AMIF communication and visibility budget is EUR 1,000,000, including for the following purposes:</w:t>
            </w:r>
          </w:p>
          <w:p w:rsidR="00A77B3E" w:rsidRPr="00701ADE" w:rsidRDefault="00BB4ED7">
            <w:pPr>
              <w:spacing w:before="100"/>
              <w:rPr>
                <w:color w:val="000000"/>
                <w:lang w:val="en-GB"/>
              </w:rPr>
            </w:pPr>
            <w:r w:rsidRPr="00701ADE">
              <w:rPr>
                <w:color w:val="000000"/>
                <w:lang w:val="en-GB"/>
              </w:rPr>
              <w:t>1.</w:t>
            </w:r>
            <w:r w:rsidR="007B332E">
              <w:rPr>
                <w:color w:val="000000"/>
                <w:lang w:val="en-GB"/>
              </w:rPr>
              <w:t xml:space="preserve"> </w:t>
            </w:r>
            <w:r w:rsidRPr="00701ADE">
              <w:rPr>
                <w:color w:val="000000"/>
                <w:lang w:val="en-GB"/>
              </w:rPr>
              <w:t>Information and training meetings – 81%</w:t>
            </w:r>
          </w:p>
          <w:p w:rsidR="00A77B3E" w:rsidRPr="00701ADE" w:rsidRDefault="00BB4ED7">
            <w:pPr>
              <w:spacing w:before="100"/>
              <w:rPr>
                <w:color w:val="000000"/>
                <w:lang w:val="en-GB"/>
              </w:rPr>
            </w:pPr>
            <w:r w:rsidRPr="00701ADE">
              <w:rPr>
                <w:color w:val="000000"/>
                <w:lang w:val="en-GB"/>
              </w:rPr>
              <w:t>2.</w:t>
            </w:r>
            <w:r w:rsidR="007B332E">
              <w:rPr>
                <w:color w:val="000000"/>
                <w:lang w:val="en-GB"/>
              </w:rPr>
              <w:t xml:space="preserve"> </w:t>
            </w:r>
            <w:r w:rsidRPr="00701ADE">
              <w:rPr>
                <w:color w:val="000000"/>
                <w:lang w:val="en-GB"/>
              </w:rPr>
              <w:t>Meetings and conferences regarding the AMIF, the BMVI and the ISF – 6%</w:t>
            </w:r>
          </w:p>
          <w:p w:rsidR="00A77B3E" w:rsidRPr="00701ADE" w:rsidRDefault="00BB4ED7">
            <w:pPr>
              <w:spacing w:before="100"/>
              <w:rPr>
                <w:color w:val="000000"/>
                <w:lang w:val="en-GB"/>
              </w:rPr>
            </w:pPr>
            <w:r w:rsidRPr="00701ADE">
              <w:rPr>
                <w:color w:val="000000"/>
                <w:lang w:val="en-GB"/>
              </w:rPr>
              <w:t>3.</w:t>
            </w:r>
            <w:r w:rsidR="007B332E">
              <w:rPr>
                <w:color w:val="000000"/>
                <w:lang w:val="en-GB"/>
              </w:rPr>
              <w:t xml:space="preserve"> </w:t>
            </w:r>
            <w:r w:rsidRPr="00701ADE">
              <w:rPr>
                <w:color w:val="000000"/>
                <w:lang w:val="en-GB"/>
              </w:rPr>
              <w:t>Production of information materials - 13%</w:t>
            </w:r>
          </w:p>
          <w:p w:rsidR="00A77B3E" w:rsidRPr="00701ADE" w:rsidRDefault="00BB4ED7">
            <w:pPr>
              <w:spacing w:before="100"/>
              <w:rPr>
                <w:color w:val="000000"/>
                <w:lang w:val="en-GB"/>
              </w:rPr>
            </w:pPr>
            <w:r w:rsidRPr="00701ADE">
              <w:rPr>
                <w:color w:val="000000"/>
                <w:lang w:val="en-GB"/>
              </w:rPr>
              <w:t xml:space="preserve">The budget will be updated depending on the results achieved. </w:t>
            </w:r>
          </w:p>
          <w:p w:rsidR="00A77B3E" w:rsidRPr="00701ADE" w:rsidRDefault="00A77B3E">
            <w:pPr>
              <w:spacing w:before="100"/>
              <w:rPr>
                <w:color w:val="000000"/>
                <w:lang w:val="en-GB"/>
              </w:rPr>
            </w:pPr>
          </w:p>
        </w:tc>
      </w:tr>
    </w:tbl>
    <w:p w:rsidR="00A77B3E" w:rsidRPr="00701ADE" w:rsidRDefault="00BB4ED7">
      <w:pPr>
        <w:pStyle w:val="Nagwek1"/>
        <w:spacing w:before="100" w:after="0"/>
        <w:rPr>
          <w:rFonts w:ascii="Times New Roman" w:hAnsi="Times New Roman" w:cs="Times New Roman"/>
          <w:b w:val="0"/>
          <w:color w:val="000000"/>
          <w:sz w:val="24"/>
          <w:lang w:val="en-GB"/>
        </w:rPr>
      </w:pPr>
      <w:r w:rsidRPr="00701ADE">
        <w:rPr>
          <w:rFonts w:ascii="Times New Roman" w:hAnsi="Times New Roman" w:cs="Times New Roman"/>
          <w:b w:val="0"/>
          <w:color w:val="000000"/>
          <w:sz w:val="24"/>
          <w:lang w:val="en-GB"/>
        </w:rPr>
        <w:br w:type="page"/>
      </w:r>
      <w:bookmarkStart w:id="49" w:name="_Toc126925425"/>
      <w:r w:rsidRPr="00701ADE">
        <w:rPr>
          <w:rFonts w:ascii="Times New Roman" w:hAnsi="Times New Roman" w:cs="Times New Roman"/>
          <w:b w:val="0"/>
          <w:color w:val="000000"/>
          <w:sz w:val="24"/>
          <w:lang w:val="en-GB"/>
        </w:rPr>
        <w:t>8. Use of unit costs, lump sums, flat rates and financing not linked to costs</w:t>
      </w:r>
      <w:bookmarkEnd w:id="49"/>
    </w:p>
    <w:p w:rsidR="00A77B3E" w:rsidRPr="00701ADE" w:rsidRDefault="00BB4ED7">
      <w:pPr>
        <w:spacing w:before="100"/>
        <w:rPr>
          <w:color w:val="000000"/>
          <w:sz w:val="16"/>
          <w:lang w:val="en-GB"/>
        </w:rPr>
      </w:pPr>
      <w:r w:rsidRPr="00701ADE">
        <w:rPr>
          <w:color w:val="000000"/>
          <w:lang w:val="en-GB"/>
        </w:rPr>
        <w:t>Reference: Articles 94 and 95 of the Common Provisions Regulation</w:t>
      </w:r>
    </w:p>
    <w:p w:rsidR="00A77B3E" w:rsidRPr="00701ADE" w:rsidRDefault="00A77B3E">
      <w:pPr>
        <w:spacing w:before="100"/>
        <w:rPr>
          <w:color w:val="000000"/>
          <w:sz w:val="1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3"/>
        <w:gridCol w:w="432"/>
        <w:gridCol w:w="365"/>
      </w:tblGrid>
      <w:tr w:rsidR="004B75EC" w:rsidRPr="00701ADE">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sz w:val="20"/>
                <w:lang w:val="en-GB"/>
              </w:rPr>
            </w:pPr>
            <w:r w:rsidRPr="00701ADE">
              <w:rPr>
                <w:color w:val="000000"/>
                <w:sz w:val="20"/>
                <w:lang w:val="en-GB"/>
              </w:rPr>
              <w:t>Intended use of Articles 94 and 95 of the Common Provisions Regulation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sz w:val="20"/>
                <w:lang w:val="en-GB"/>
              </w:rPr>
            </w:pPr>
            <w:r w:rsidRPr="00701ADE">
              <w:rPr>
                <w:color w:val="000000"/>
                <w:sz w:val="20"/>
                <w:lang w:val="en-GB"/>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sz w:val="20"/>
                <w:lang w:val="en-GB"/>
              </w:rPr>
            </w:pPr>
            <w:r w:rsidRPr="00701ADE">
              <w:rPr>
                <w:color w:val="000000"/>
                <w:sz w:val="20"/>
                <w:lang w:val="en-GB"/>
              </w:rPr>
              <w:t>No</w:t>
            </w:r>
          </w:p>
        </w:tc>
      </w:tr>
      <w:tr w:rsidR="004B75EC" w:rsidRPr="00701ADE">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From the moment of adoption onwards, the programme will use reimbursements of Union contribution based on unit costs, lump sums and flat rates in accordance with Article 94 of the Common Provisions Regulation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DC51E9">
            <w:pPr>
              <w:spacing w:before="100"/>
              <w:rPr>
                <w:color w:val="000000"/>
                <w:sz w:val="20"/>
                <w:lang w:val="en-GB"/>
              </w:rPr>
            </w:pPr>
            <w:r w:rsidRPr="00701ADE">
              <w:rPr>
                <w:color w:val="000000"/>
                <w:sz w:val="20"/>
                <w:lang w:val="en-GB"/>
              </w:rPr>
              <w:fldChar w:fldCharType="begin">
                <w:ffData>
                  <w:name w:val=""/>
                  <w:enabled/>
                  <w:calcOnExit w:val="0"/>
                  <w:checkBox>
                    <w:size w:val="20"/>
                    <w:default w:val="0"/>
                    <w:checked w:val="0"/>
                  </w:checkBox>
                </w:ffData>
              </w:fldChar>
            </w:r>
            <w:r w:rsidR="00BB4ED7" w:rsidRPr="00701ADE">
              <w:rPr>
                <w:color w:val="000000"/>
                <w:sz w:val="20"/>
                <w:lang w:val="en-GB"/>
              </w:rPr>
              <w:instrText xml:space="preserve"> FORMCHECKBOX </w:instrText>
            </w:r>
            <w:r w:rsidR="002A06CB">
              <w:rPr>
                <w:color w:val="000000"/>
                <w:sz w:val="20"/>
                <w:lang w:val="en-GB"/>
              </w:rPr>
            </w:r>
            <w:r w:rsidR="002A06CB">
              <w:rPr>
                <w:color w:val="000000"/>
                <w:sz w:val="20"/>
                <w:lang w:val="en-GB"/>
              </w:rPr>
              <w:fldChar w:fldCharType="separate"/>
            </w:r>
            <w:r w:rsidRPr="00701ADE">
              <w:rPr>
                <w:color w:val="000000"/>
                <w:sz w:val="20"/>
                <w:lang w:val="en-GB"/>
              </w:rPr>
              <w:fldChar w:fldCharType="end"/>
            </w:r>
            <w:r w:rsidR="00BB4ED7" w:rsidRPr="00701ADE">
              <w:rPr>
                <w:color w:val="000000"/>
                <w:sz w:val="20"/>
                <w:lang w:val="en-GB"/>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DC51E9">
            <w:pPr>
              <w:spacing w:before="100"/>
              <w:rPr>
                <w:color w:val="000000"/>
                <w:sz w:val="20"/>
                <w:lang w:val="en-GB"/>
              </w:rPr>
            </w:pPr>
            <w:r w:rsidRPr="00701ADE">
              <w:rPr>
                <w:color w:val="000000"/>
                <w:sz w:val="20"/>
                <w:lang w:val="en-GB"/>
              </w:rPr>
              <w:fldChar w:fldCharType="begin">
                <w:ffData>
                  <w:name w:val=""/>
                  <w:enabled/>
                  <w:calcOnExit w:val="0"/>
                  <w:checkBox>
                    <w:size w:val="20"/>
                    <w:default w:val="1"/>
                    <w:checked/>
                  </w:checkBox>
                </w:ffData>
              </w:fldChar>
            </w:r>
            <w:r w:rsidR="00BB4ED7" w:rsidRPr="00701ADE">
              <w:rPr>
                <w:color w:val="000000"/>
                <w:sz w:val="20"/>
                <w:lang w:val="en-GB"/>
              </w:rPr>
              <w:instrText xml:space="preserve"> FORMCHECKBOX </w:instrText>
            </w:r>
            <w:r w:rsidR="002A06CB">
              <w:rPr>
                <w:color w:val="000000"/>
                <w:sz w:val="20"/>
                <w:lang w:val="en-GB"/>
              </w:rPr>
            </w:r>
            <w:r w:rsidR="002A06CB">
              <w:rPr>
                <w:color w:val="000000"/>
                <w:sz w:val="20"/>
                <w:lang w:val="en-GB"/>
              </w:rPr>
              <w:fldChar w:fldCharType="separate"/>
            </w:r>
            <w:r w:rsidRPr="00701ADE">
              <w:rPr>
                <w:color w:val="000000"/>
                <w:sz w:val="20"/>
                <w:lang w:val="en-GB"/>
              </w:rPr>
              <w:fldChar w:fldCharType="end"/>
            </w:r>
            <w:r w:rsidR="00BB4ED7" w:rsidRPr="00701ADE">
              <w:rPr>
                <w:color w:val="000000"/>
                <w:sz w:val="20"/>
                <w:lang w:val="en-GB"/>
              </w:rPr>
              <w:t xml:space="preserve"> </w:t>
            </w:r>
          </w:p>
        </w:tc>
      </w:tr>
      <w:tr w:rsidR="004B75EC" w:rsidRPr="00701ADE">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BB4ED7">
            <w:pPr>
              <w:spacing w:before="100"/>
              <w:rPr>
                <w:color w:val="000000"/>
                <w:sz w:val="20"/>
                <w:lang w:val="en-GB"/>
              </w:rPr>
            </w:pPr>
            <w:r w:rsidRPr="00701ADE">
              <w:rPr>
                <w:color w:val="000000"/>
                <w:sz w:val="20"/>
                <w:lang w:val="en-GB"/>
              </w:rPr>
              <w:t>From the moment of adoption onwards, the programme will use reimbursement of Union contribution  based on financing not linked to costs in accordance with Article 95 of the Common Provisions Regulation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DC51E9">
            <w:pPr>
              <w:spacing w:before="100"/>
              <w:rPr>
                <w:color w:val="000000"/>
                <w:sz w:val="20"/>
                <w:lang w:val="en-GB"/>
              </w:rPr>
            </w:pPr>
            <w:r w:rsidRPr="00701ADE">
              <w:rPr>
                <w:color w:val="000000"/>
                <w:sz w:val="20"/>
                <w:lang w:val="en-GB"/>
              </w:rPr>
              <w:fldChar w:fldCharType="begin">
                <w:ffData>
                  <w:name w:val=""/>
                  <w:enabled/>
                  <w:calcOnExit w:val="0"/>
                  <w:checkBox>
                    <w:size w:val="20"/>
                    <w:default w:val="0"/>
                    <w:checked w:val="0"/>
                  </w:checkBox>
                </w:ffData>
              </w:fldChar>
            </w:r>
            <w:r w:rsidR="00BB4ED7" w:rsidRPr="00701ADE">
              <w:rPr>
                <w:color w:val="000000"/>
                <w:sz w:val="20"/>
                <w:lang w:val="en-GB"/>
              </w:rPr>
              <w:instrText xml:space="preserve"> FORMCHECKBOX </w:instrText>
            </w:r>
            <w:r w:rsidR="002A06CB">
              <w:rPr>
                <w:color w:val="000000"/>
                <w:sz w:val="20"/>
                <w:lang w:val="en-GB"/>
              </w:rPr>
            </w:r>
            <w:r w:rsidR="002A06CB">
              <w:rPr>
                <w:color w:val="000000"/>
                <w:sz w:val="20"/>
                <w:lang w:val="en-GB"/>
              </w:rPr>
              <w:fldChar w:fldCharType="separate"/>
            </w:r>
            <w:r w:rsidRPr="00701ADE">
              <w:rPr>
                <w:color w:val="000000"/>
                <w:sz w:val="20"/>
                <w:lang w:val="en-GB"/>
              </w:rPr>
              <w:fldChar w:fldCharType="end"/>
            </w:r>
            <w:r w:rsidR="00BB4ED7" w:rsidRPr="00701ADE">
              <w:rPr>
                <w:color w:val="000000"/>
                <w:sz w:val="20"/>
                <w:lang w:val="en-GB"/>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1ADE" w:rsidRDefault="00DC51E9">
            <w:pPr>
              <w:spacing w:before="100"/>
              <w:rPr>
                <w:color w:val="000000"/>
                <w:sz w:val="20"/>
                <w:lang w:val="en-GB"/>
              </w:rPr>
            </w:pPr>
            <w:r w:rsidRPr="00701ADE">
              <w:rPr>
                <w:color w:val="000000"/>
                <w:sz w:val="20"/>
                <w:lang w:val="en-GB"/>
              </w:rPr>
              <w:fldChar w:fldCharType="begin">
                <w:ffData>
                  <w:name w:val=""/>
                  <w:enabled/>
                  <w:calcOnExit w:val="0"/>
                  <w:checkBox>
                    <w:size w:val="20"/>
                    <w:default w:val="1"/>
                    <w:checked/>
                  </w:checkBox>
                </w:ffData>
              </w:fldChar>
            </w:r>
            <w:r w:rsidR="00BB4ED7" w:rsidRPr="00701ADE">
              <w:rPr>
                <w:color w:val="000000"/>
                <w:sz w:val="20"/>
                <w:lang w:val="en-GB"/>
              </w:rPr>
              <w:instrText xml:space="preserve"> FORMCHECKBOX </w:instrText>
            </w:r>
            <w:r w:rsidR="002A06CB">
              <w:rPr>
                <w:color w:val="000000"/>
                <w:sz w:val="20"/>
                <w:lang w:val="en-GB"/>
              </w:rPr>
            </w:r>
            <w:r w:rsidR="002A06CB">
              <w:rPr>
                <w:color w:val="000000"/>
                <w:sz w:val="20"/>
                <w:lang w:val="en-GB"/>
              </w:rPr>
              <w:fldChar w:fldCharType="separate"/>
            </w:r>
            <w:r w:rsidRPr="00701ADE">
              <w:rPr>
                <w:color w:val="000000"/>
                <w:sz w:val="20"/>
                <w:lang w:val="en-GB"/>
              </w:rPr>
              <w:fldChar w:fldCharType="end"/>
            </w:r>
            <w:r w:rsidR="00BB4ED7" w:rsidRPr="00701ADE">
              <w:rPr>
                <w:color w:val="000000"/>
                <w:sz w:val="20"/>
                <w:lang w:val="en-GB"/>
              </w:rPr>
              <w:t xml:space="preserve"> </w:t>
            </w:r>
          </w:p>
        </w:tc>
      </w:tr>
    </w:tbl>
    <w:p w:rsidR="00A77B3E" w:rsidRPr="00701ADE" w:rsidRDefault="00A77B3E">
      <w:pPr>
        <w:spacing w:before="100"/>
        <w:jc w:val="center"/>
        <w:rPr>
          <w:color w:val="000000"/>
          <w:sz w:val="20"/>
          <w:lang w:val="en-GB"/>
        </w:rPr>
        <w:sectPr w:rsidR="00A77B3E" w:rsidRPr="00701ADE">
          <w:headerReference w:type="even" r:id="rId81"/>
          <w:headerReference w:type="default" r:id="rId82"/>
          <w:footerReference w:type="even" r:id="rId83"/>
          <w:footerReference w:type="default" r:id="rId84"/>
          <w:headerReference w:type="first" r:id="rId85"/>
          <w:footerReference w:type="first" r:id="rId86"/>
          <w:pgSz w:w="11906" w:h="16838"/>
          <w:pgMar w:top="720" w:right="936" w:bottom="864" w:left="720" w:header="0" w:footer="72" w:gutter="0"/>
          <w:cols w:space="720"/>
          <w:noEndnote/>
          <w:docGrid w:linePitch="360"/>
        </w:sectPr>
      </w:pPr>
    </w:p>
    <w:p w:rsidR="00A77B3E" w:rsidRPr="00701ADE" w:rsidRDefault="00BB4ED7">
      <w:pPr>
        <w:pStyle w:val="Nagwek1"/>
        <w:spacing w:before="100" w:after="0"/>
        <w:rPr>
          <w:rFonts w:ascii="Times New Roman" w:hAnsi="Times New Roman" w:cs="Times New Roman"/>
          <w:b w:val="0"/>
          <w:color w:val="000000"/>
          <w:sz w:val="24"/>
          <w:lang w:val="en-GB"/>
        </w:rPr>
      </w:pPr>
      <w:bookmarkStart w:id="50" w:name="_Toc126925426"/>
      <w:r w:rsidRPr="00701ADE">
        <w:rPr>
          <w:rFonts w:ascii="Times New Roman" w:hAnsi="Times New Roman" w:cs="Times New Roman"/>
          <w:b w:val="0"/>
          <w:color w:val="000000"/>
          <w:sz w:val="24"/>
          <w:lang w:val="en-GB"/>
        </w:rPr>
        <w:t>Appendix 1: Union contribution based on unit costs, lump sums and flat rates</w:t>
      </w:r>
      <w:bookmarkEnd w:id="50"/>
    </w:p>
    <w:p w:rsidR="00A77B3E" w:rsidRPr="00701ADE" w:rsidRDefault="00BB4ED7">
      <w:pPr>
        <w:pStyle w:val="Nagwek2"/>
        <w:spacing w:before="100" w:after="0"/>
        <w:rPr>
          <w:rFonts w:ascii="Times New Roman" w:hAnsi="Times New Roman" w:cs="Times New Roman"/>
          <w:b w:val="0"/>
          <w:i w:val="0"/>
          <w:color w:val="000000"/>
          <w:sz w:val="24"/>
          <w:lang w:val="en-GB"/>
        </w:rPr>
      </w:pPr>
      <w:bookmarkStart w:id="51" w:name="_Toc126925427"/>
      <w:r w:rsidRPr="00701ADE">
        <w:rPr>
          <w:rFonts w:ascii="Times New Roman" w:hAnsi="Times New Roman" w:cs="Times New Roman"/>
          <w:b w:val="0"/>
          <w:i w:val="0"/>
          <w:color w:val="000000"/>
          <w:sz w:val="24"/>
          <w:lang w:val="en-GB"/>
        </w:rPr>
        <w:t>A. Summary of the main elements</w:t>
      </w:r>
      <w:bookmarkEnd w:id="51"/>
    </w:p>
    <w:p w:rsidR="00A77B3E" w:rsidRPr="00701ADE" w:rsidRDefault="00A77B3E">
      <w:pPr>
        <w:spacing w:before="100"/>
        <w:rPr>
          <w:color w:val="000000"/>
          <w:sz w:val="1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4"/>
        <w:gridCol w:w="1497"/>
        <w:gridCol w:w="1298"/>
        <w:gridCol w:w="1996"/>
        <w:gridCol w:w="1298"/>
        <w:gridCol w:w="1996"/>
        <w:gridCol w:w="1498"/>
        <w:gridCol w:w="1198"/>
        <w:gridCol w:w="1497"/>
      </w:tblGrid>
      <w:tr w:rsidR="004B75EC" w:rsidRPr="00701ADE">
        <w:trPr>
          <w:tblHeader/>
        </w:trPr>
        <w:tc>
          <w:tcPr>
            <w:tcW w:w="29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sz w:val="12"/>
                <w:lang w:val="en-GB"/>
              </w:rPr>
            </w:pPr>
            <w:r w:rsidRPr="00701ADE">
              <w:rPr>
                <w:color w:val="000000"/>
                <w:sz w:val="12"/>
                <w:lang w:val="en-GB"/>
              </w:rPr>
              <w:t>Specific objective</w:t>
            </w:r>
          </w:p>
        </w:tc>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sz w:val="12"/>
                <w:lang w:val="en-GB"/>
              </w:rPr>
            </w:pPr>
            <w:r w:rsidRPr="00701ADE">
              <w:rPr>
                <w:color w:val="000000"/>
                <w:sz w:val="12"/>
                <w:lang w:val="en-GB"/>
              </w:rPr>
              <w:t>Estimated proportion of the total financial allocation within the priority to which the SCO will be applied in %</w:t>
            </w:r>
          </w:p>
        </w:tc>
        <w:tc>
          <w:tcPr>
            <w:tcW w:w="330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sz w:val="12"/>
                <w:lang w:val="en-GB"/>
              </w:rPr>
            </w:pPr>
            <w:r w:rsidRPr="00701ADE">
              <w:rPr>
                <w:color w:val="000000"/>
                <w:sz w:val="12"/>
                <w:lang w:val="en-GB"/>
              </w:rPr>
              <w:t>Type(s) of operation covered</w:t>
            </w:r>
          </w:p>
        </w:tc>
        <w:tc>
          <w:tcPr>
            <w:tcW w:w="330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sz w:val="12"/>
                <w:lang w:val="en-GB"/>
              </w:rPr>
            </w:pPr>
            <w:r w:rsidRPr="00701ADE">
              <w:rPr>
                <w:color w:val="000000"/>
                <w:sz w:val="12"/>
                <w:lang w:val="en-GB"/>
              </w:rPr>
              <w:t>Indicator triggering reimbursement (2)</w:t>
            </w:r>
          </w:p>
        </w:tc>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sz w:val="12"/>
                <w:lang w:val="en-GB"/>
              </w:rPr>
            </w:pPr>
            <w:r w:rsidRPr="00701ADE">
              <w:rPr>
                <w:color w:val="000000"/>
                <w:sz w:val="12"/>
                <w:lang w:val="en-GB"/>
              </w:rPr>
              <w:t>Unit of measurement for the indicator triggering reimbursement</w:t>
            </w:r>
          </w:p>
        </w:tc>
        <w:tc>
          <w:tcPr>
            <w:tcW w:w="12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sz w:val="12"/>
                <w:lang w:val="en-GB"/>
              </w:rPr>
            </w:pPr>
            <w:r w:rsidRPr="00701ADE">
              <w:rPr>
                <w:color w:val="000000"/>
                <w:sz w:val="12"/>
                <w:lang w:val="en-GB"/>
              </w:rPr>
              <w:t>Type of SCO (standard scale of unit costs, lump sums or flat rates)</w:t>
            </w:r>
          </w:p>
        </w:tc>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sz w:val="12"/>
                <w:lang w:val="en-GB"/>
              </w:rPr>
            </w:pPr>
            <w:r w:rsidRPr="00701ADE">
              <w:rPr>
                <w:color w:val="000000"/>
                <w:sz w:val="12"/>
                <w:lang w:val="en-GB"/>
              </w:rPr>
              <w:t>Amount (in EUR) or percentage (in case of flat rates) of the SCO</w:t>
            </w:r>
          </w:p>
        </w:tc>
      </w:tr>
      <w:tr w:rsidR="004B75EC" w:rsidRPr="00701ADE">
        <w:trPr>
          <w:tblHeader/>
        </w:trPr>
        <w:tc>
          <w:tcPr>
            <w:tcW w:w="29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A77B3E">
            <w:pPr>
              <w:spacing w:before="100"/>
              <w:jc w:val="center"/>
              <w:rPr>
                <w:color w:val="000000"/>
                <w:sz w:val="12"/>
                <w:lang w:val="en-GB"/>
              </w:rPr>
            </w:pPr>
          </w:p>
        </w:tc>
        <w:tc>
          <w:tcPr>
            <w:tcW w:w="15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A77B3E">
            <w:pPr>
              <w:spacing w:before="100"/>
              <w:jc w:val="center"/>
              <w:rPr>
                <w:color w:val="000000"/>
                <w:sz w:val="12"/>
                <w:lang w:val="en-GB"/>
              </w:rPr>
            </w:pPr>
          </w:p>
        </w:tc>
        <w:tc>
          <w:tcPr>
            <w:tcW w:w="13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sz w:val="12"/>
                <w:lang w:val="en-GB"/>
              </w:rPr>
            </w:pPr>
            <w:r w:rsidRPr="00701ADE">
              <w:rPr>
                <w:color w:val="000000"/>
                <w:sz w:val="12"/>
                <w:lang w:val="en-GB"/>
              </w:rPr>
              <w:t>Code(1)</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sz w:val="12"/>
                <w:lang w:val="en-GB"/>
              </w:rPr>
            </w:pPr>
            <w:r w:rsidRPr="00701ADE">
              <w:rPr>
                <w:color w:val="000000"/>
                <w:sz w:val="12"/>
                <w:lang w:val="en-GB"/>
              </w:rPr>
              <w:t>Description</w:t>
            </w:r>
          </w:p>
        </w:tc>
        <w:tc>
          <w:tcPr>
            <w:tcW w:w="13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sz w:val="12"/>
                <w:lang w:val="en-GB"/>
              </w:rPr>
            </w:pPr>
            <w:r w:rsidRPr="00701ADE">
              <w:rPr>
                <w:color w:val="000000"/>
                <w:sz w:val="12"/>
                <w:lang w:val="en-GB"/>
              </w:rPr>
              <w:t>Code(2)</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sz w:val="12"/>
                <w:lang w:val="en-GB"/>
              </w:rPr>
            </w:pPr>
            <w:r w:rsidRPr="00701ADE">
              <w:rPr>
                <w:color w:val="000000"/>
                <w:sz w:val="12"/>
                <w:lang w:val="en-GB"/>
              </w:rPr>
              <w:t>Description</w:t>
            </w:r>
          </w:p>
        </w:tc>
        <w:tc>
          <w:tcPr>
            <w:tcW w:w="15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A77B3E">
            <w:pPr>
              <w:spacing w:before="100"/>
              <w:jc w:val="center"/>
              <w:rPr>
                <w:color w:val="000000"/>
                <w:sz w:val="12"/>
                <w:lang w:val="en-GB"/>
              </w:rPr>
            </w:pPr>
          </w:p>
        </w:tc>
        <w:tc>
          <w:tcPr>
            <w:tcW w:w="12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A77B3E">
            <w:pPr>
              <w:spacing w:before="100"/>
              <w:jc w:val="center"/>
              <w:rPr>
                <w:color w:val="000000"/>
                <w:sz w:val="12"/>
                <w:lang w:val="en-GB"/>
              </w:rPr>
            </w:pPr>
          </w:p>
        </w:tc>
        <w:tc>
          <w:tcPr>
            <w:tcW w:w="15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A77B3E">
            <w:pPr>
              <w:spacing w:before="100"/>
              <w:jc w:val="center"/>
              <w:rPr>
                <w:color w:val="000000"/>
                <w:sz w:val="12"/>
                <w:lang w:val="en-GB"/>
              </w:rPr>
            </w:pPr>
          </w:p>
        </w:tc>
      </w:tr>
    </w:tbl>
    <w:p w:rsidR="00A77B3E" w:rsidRPr="00701ADE" w:rsidRDefault="00BB4ED7">
      <w:pPr>
        <w:spacing w:before="100"/>
        <w:rPr>
          <w:color w:val="000000"/>
          <w:sz w:val="12"/>
          <w:lang w:val="en-GB"/>
        </w:rPr>
      </w:pPr>
      <w:r w:rsidRPr="00701ADE">
        <w:rPr>
          <w:color w:val="000000"/>
          <w:sz w:val="12"/>
          <w:lang w:val="en-GB"/>
        </w:rPr>
        <w:t>(1) This refers to the code in Annex VI of the AMIF, BMVI and ISF Regulations.</w:t>
      </w:r>
    </w:p>
    <w:p w:rsidR="00A77B3E" w:rsidRPr="00701ADE" w:rsidRDefault="00BB4ED7">
      <w:pPr>
        <w:spacing w:before="100"/>
        <w:rPr>
          <w:color w:val="000000"/>
          <w:sz w:val="12"/>
          <w:lang w:val="en-GB"/>
        </w:rPr>
      </w:pPr>
      <w:r w:rsidRPr="00701ADE">
        <w:rPr>
          <w:color w:val="000000"/>
          <w:sz w:val="12"/>
          <w:lang w:val="en-GB"/>
        </w:rPr>
        <w:t>(2) This refers to the code of a common indicator, if applicable.</w:t>
      </w:r>
    </w:p>
    <w:p w:rsidR="00A77B3E" w:rsidRPr="00701ADE" w:rsidRDefault="00A77B3E">
      <w:pPr>
        <w:spacing w:before="100"/>
        <w:rPr>
          <w:color w:val="000000"/>
          <w:lang w:val="en-GB"/>
        </w:rPr>
        <w:sectPr w:rsidR="00A77B3E" w:rsidRPr="00701ADE">
          <w:headerReference w:type="even" r:id="rId87"/>
          <w:headerReference w:type="default" r:id="rId88"/>
          <w:footerReference w:type="even" r:id="rId89"/>
          <w:footerReference w:type="default" r:id="rId90"/>
          <w:headerReference w:type="first" r:id="rId91"/>
          <w:footerReference w:type="first" r:id="rId92"/>
          <w:pgSz w:w="16838" w:h="11906" w:orient="landscape"/>
          <w:pgMar w:top="720" w:right="720" w:bottom="864" w:left="936" w:header="288" w:footer="72" w:gutter="0"/>
          <w:cols w:space="720"/>
          <w:noEndnote/>
          <w:docGrid w:linePitch="360"/>
        </w:sectPr>
      </w:pPr>
    </w:p>
    <w:p w:rsidR="00A77B3E" w:rsidRPr="00701ADE" w:rsidRDefault="00BB4ED7">
      <w:pPr>
        <w:spacing w:before="100"/>
        <w:rPr>
          <w:color w:val="000000"/>
          <w:lang w:val="en-GB"/>
        </w:rPr>
      </w:pPr>
      <w:r w:rsidRPr="00701ADE">
        <w:rPr>
          <w:color w:val="000000"/>
          <w:lang w:val="en-GB"/>
        </w:rPr>
        <w:t>Appendix 1: Union contribution based on unit costs, lump sums and flat rates</w:t>
      </w:r>
    </w:p>
    <w:p w:rsidR="00A77B3E" w:rsidRPr="00701ADE" w:rsidRDefault="00BB4ED7">
      <w:pPr>
        <w:pStyle w:val="Nagwek2"/>
        <w:spacing w:before="100" w:after="0"/>
        <w:rPr>
          <w:rFonts w:ascii="Times New Roman" w:hAnsi="Times New Roman" w:cs="Times New Roman"/>
          <w:b w:val="0"/>
          <w:i w:val="0"/>
          <w:color w:val="000000"/>
          <w:sz w:val="24"/>
          <w:lang w:val="en-GB"/>
        </w:rPr>
      </w:pPr>
      <w:bookmarkStart w:id="52" w:name="_Toc126925428"/>
      <w:r w:rsidRPr="00701ADE">
        <w:rPr>
          <w:rFonts w:ascii="Times New Roman" w:hAnsi="Times New Roman" w:cs="Times New Roman"/>
          <w:b w:val="0"/>
          <w:i w:val="0"/>
          <w:color w:val="000000"/>
          <w:sz w:val="24"/>
          <w:lang w:val="en-GB"/>
        </w:rPr>
        <w:t>B. Detailed information by type of operation</w:t>
      </w:r>
      <w:bookmarkEnd w:id="52"/>
    </w:p>
    <w:p w:rsidR="00A77B3E" w:rsidRPr="00701ADE" w:rsidRDefault="00A77B3E">
      <w:pPr>
        <w:spacing w:before="100"/>
        <w:rPr>
          <w:color w:val="000000"/>
          <w:lang w:val="en-GB"/>
        </w:rPr>
        <w:sectPr w:rsidR="00A77B3E" w:rsidRPr="00701ADE">
          <w:pgSz w:w="16838" w:h="11906" w:orient="landscape"/>
          <w:pgMar w:top="720" w:right="720" w:bottom="864" w:left="936" w:header="288" w:footer="72" w:gutter="0"/>
          <w:cols w:space="720"/>
          <w:noEndnote/>
          <w:docGrid w:linePitch="360"/>
        </w:sectPr>
      </w:pPr>
    </w:p>
    <w:p w:rsidR="00A77B3E" w:rsidRPr="00701ADE" w:rsidRDefault="00BB4ED7">
      <w:pPr>
        <w:pStyle w:val="Nagwek2"/>
        <w:spacing w:before="100" w:after="0"/>
        <w:rPr>
          <w:rFonts w:ascii="Times New Roman" w:hAnsi="Times New Roman" w:cs="Times New Roman"/>
          <w:b w:val="0"/>
          <w:i w:val="0"/>
          <w:color w:val="000000"/>
          <w:sz w:val="24"/>
          <w:lang w:val="en-GB"/>
        </w:rPr>
      </w:pPr>
      <w:bookmarkStart w:id="53" w:name="_Toc126925429"/>
      <w:r w:rsidRPr="00701ADE">
        <w:rPr>
          <w:rFonts w:ascii="Times New Roman" w:hAnsi="Times New Roman" w:cs="Times New Roman"/>
          <w:b w:val="0"/>
          <w:i w:val="0"/>
          <w:color w:val="000000"/>
          <w:sz w:val="24"/>
          <w:lang w:val="en-GB"/>
        </w:rPr>
        <w:t>C. Calculation of the standard scale of unit costs, lump sums or flat rates</w:t>
      </w:r>
      <w:bookmarkEnd w:id="53"/>
    </w:p>
    <w:p w:rsidR="00A77B3E" w:rsidRPr="00701ADE" w:rsidRDefault="00BB4ED7">
      <w:pPr>
        <w:pStyle w:val="Nagwek4"/>
        <w:spacing w:before="100" w:after="0"/>
        <w:rPr>
          <w:b w:val="0"/>
          <w:color w:val="000000"/>
          <w:sz w:val="24"/>
          <w:lang w:val="en-GB"/>
        </w:rPr>
      </w:pPr>
      <w:bookmarkStart w:id="54" w:name="_Toc126925430"/>
      <w:r w:rsidRPr="00701ADE">
        <w:rPr>
          <w:b w:val="0"/>
          <w:color w:val="000000"/>
          <w:sz w:val="24"/>
          <w:lang w:val="en-GB"/>
        </w:rPr>
        <w:t>1. Source of data used to calculate the standard scale of unit costs, lump sums or flat rates (who produced, collected and recorded the data; where the data are stored; cut-off dates; validation, etc.):</w:t>
      </w:r>
      <w:bookmarkEnd w:id="54"/>
    </w:p>
    <w:p w:rsidR="00A77B3E" w:rsidRPr="00701ADE" w:rsidRDefault="00A77B3E">
      <w:pPr>
        <w:spacing w:before="100"/>
        <w:rPr>
          <w:color w:val="000000"/>
          <w:sz w:val="12"/>
          <w:lang w:val="en-GB"/>
        </w:rPr>
      </w:pPr>
    </w:p>
    <w:tbl>
      <w:tblPr>
        <w:tblW w:w="495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8"/>
      </w:tblGrid>
      <w:tr w:rsidR="004B75EC" w:rsidRPr="00701ADE">
        <w:tc>
          <w:tcPr>
            <w:tcW w:w="1667" w:type="pct"/>
            <w:tcBorders>
              <w:top w:val="single" w:sz="4" w:space="0" w:color="000000"/>
              <w:left w:val="single" w:sz="4" w:space="0" w:color="000000"/>
              <w:bottom w:val="single" w:sz="4" w:space="0" w:color="000000"/>
              <w:right w:val="single" w:sz="4" w:space="0" w:color="000000"/>
            </w:tcBorders>
            <w:tcMar>
              <w:top w:w="20" w:type="dxa"/>
              <w:left w:w="120" w:type="dxa"/>
              <w:bottom w:w="120" w:type="dxa"/>
              <w:right w:w="120" w:type="dxa"/>
            </w:tcMar>
            <w:vAlign w:val="bottom"/>
          </w:tcPr>
          <w:p w:rsidR="00A77B3E" w:rsidRPr="00701ADE" w:rsidRDefault="00A77B3E">
            <w:pPr>
              <w:spacing w:before="100"/>
              <w:rPr>
                <w:color w:val="000000"/>
                <w:lang w:val="en-GB"/>
              </w:rPr>
            </w:pPr>
          </w:p>
        </w:tc>
      </w:tr>
    </w:tbl>
    <w:p w:rsidR="00A77B3E" w:rsidRPr="00701ADE" w:rsidRDefault="00BB4ED7">
      <w:pPr>
        <w:pStyle w:val="Nagwek4"/>
        <w:spacing w:before="100" w:after="0"/>
        <w:rPr>
          <w:b w:val="0"/>
          <w:color w:val="000000"/>
          <w:sz w:val="24"/>
          <w:lang w:val="en-GB"/>
        </w:rPr>
      </w:pPr>
      <w:r w:rsidRPr="00701ADE">
        <w:rPr>
          <w:b w:val="0"/>
          <w:color w:val="000000"/>
          <w:sz w:val="24"/>
          <w:lang w:val="en-GB"/>
        </w:rPr>
        <w:br w:type="page"/>
      </w:r>
      <w:bookmarkStart w:id="55" w:name="_Toc126925431"/>
      <w:r w:rsidRPr="00701ADE">
        <w:rPr>
          <w:b w:val="0"/>
          <w:color w:val="000000"/>
          <w:sz w:val="24"/>
          <w:lang w:val="en-GB"/>
        </w:rPr>
        <w:t>2. Please specify why the proposed method and calculation based on Article 94(2) CPR is relevant to the type of operation.</w:t>
      </w:r>
      <w:bookmarkEnd w:id="55"/>
    </w:p>
    <w:p w:rsidR="00A77B3E" w:rsidRPr="00701ADE" w:rsidRDefault="00A77B3E">
      <w:pPr>
        <w:spacing w:before="100"/>
        <w:rPr>
          <w:color w:val="000000"/>
          <w:sz w:val="12"/>
          <w:lang w:val="en-GB"/>
        </w:rPr>
      </w:pPr>
    </w:p>
    <w:tbl>
      <w:tblPr>
        <w:tblW w:w="495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8"/>
      </w:tblGrid>
      <w:tr w:rsidR="004B75EC" w:rsidRPr="00701ADE">
        <w:tc>
          <w:tcPr>
            <w:tcW w:w="1667" w:type="pct"/>
            <w:tcBorders>
              <w:top w:val="single" w:sz="4" w:space="0" w:color="000000"/>
              <w:left w:val="single" w:sz="4" w:space="0" w:color="000000"/>
              <w:bottom w:val="single" w:sz="4" w:space="0" w:color="000000"/>
              <w:right w:val="single" w:sz="4" w:space="0" w:color="000000"/>
            </w:tcBorders>
            <w:tcMar>
              <w:top w:w="20" w:type="dxa"/>
              <w:left w:w="120" w:type="dxa"/>
              <w:bottom w:w="120" w:type="dxa"/>
              <w:right w:w="120" w:type="dxa"/>
            </w:tcMar>
            <w:vAlign w:val="bottom"/>
          </w:tcPr>
          <w:p w:rsidR="00A77B3E" w:rsidRPr="00701ADE" w:rsidRDefault="00A77B3E">
            <w:pPr>
              <w:spacing w:before="100"/>
              <w:rPr>
                <w:color w:val="000000"/>
                <w:lang w:val="en-GB"/>
              </w:rPr>
            </w:pPr>
          </w:p>
        </w:tc>
      </w:tr>
    </w:tbl>
    <w:p w:rsidR="00A77B3E" w:rsidRPr="00701ADE" w:rsidRDefault="00BB4ED7">
      <w:pPr>
        <w:pStyle w:val="Nagwek4"/>
        <w:spacing w:before="100" w:after="0"/>
        <w:rPr>
          <w:b w:val="0"/>
          <w:color w:val="000000"/>
          <w:sz w:val="24"/>
          <w:lang w:val="en-GB"/>
        </w:rPr>
      </w:pPr>
      <w:r w:rsidRPr="00701ADE">
        <w:rPr>
          <w:b w:val="0"/>
          <w:color w:val="000000"/>
          <w:sz w:val="24"/>
          <w:lang w:val="en-GB"/>
        </w:rPr>
        <w:br w:type="page"/>
      </w:r>
      <w:bookmarkStart w:id="56" w:name="_Toc126925432"/>
      <w:r w:rsidRPr="00701ADE">
        <w:rPr>
          <w:b w:val="0"/>
          <w:color w:val="000000"/>
          <w:sz w:val="24"/>
          <w:lang w:val="en-GB"/>
        </w:rPr>
        <w:t>3. Please specify how the calculations were made, in particular including any assumptions made in terms of quality or quantities. Where relevant, statistical evidence and benchmarks should be used and, if requested, provided in a format that is usable by the Commission.</w:t>
      </w:r>
      <w:bookmarkEnd w:id="56"/>
    </w:p>
    <w:p w:rsidR="00A77B3E" w:rsidRPr="00701ADE" w:rsidRDefault="00A77B3E">
      <w:pPr>
        <w:spacing w:before="100"/>
        <w:rPr>
          <w:color w:val="000000"/>
          <w:sz w:val="12"/>
          <w:lang w:val="en-GB"/>
        </w:rPr>
      </w:pPr>
    </w:p>
    <w:tbl>
      <w:tblPr>
        <w:tblW w:w="495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8"/>
      </w:tblGrid>
      <w:tr w:rsidR="004B75EC" w:rsidRPr="00701ADE">
        <w:tc>
          <w:tcPr>
            <w:tcW w:w="1667" w:type="pct"/>
            <w:tcBorders>
              <w:top w:val="single" w:sz="4" w:space="0" w:color="000000"/>
              <w:left w:val="single" w:sz="4" w:space="0" w:color="000000"/>
              <w:bottom w:val="single" w:sz="4" w:space="0" w:color="000000"/>
              <w:right w:val="single" w:sz="4" w:space="0" w:color="000000"/>
            </w:tcBorders>
            <w:tcMar>
              <w:top w:w="20" w:type="dxa"/>
              <w:left w:w="120" w:type="dxa"/>
              <w:bottom w:w="120" w:type="dxa"/>
              <w:right w:w="120" w:type="dxa"/>
            </w:tcMar>
            <w:vAlign w:val="bottom"/>
          </w:tcPr>
          <w:p w:rsidR="00A77B3E" w:rsidRPr="00701ADE" w:rsidRDefault="00A77B3E">
            <w:pPr>
              <w:spacing w:before="100"/>
              <w:rPr>
                <w:color w:val="000000"/>
                <w:lang w:val="en-GB"/>
              </w:rPr>
            </w:pPr>
          </w:p>
        </w:tc>
      </w:tr>
    </w:tbl>
    <w:p w:rsidR="00A77B3E" w:rsidRPr="00701ADE" w:rsidRDefault="00BB4ED7">
      <w:pPr>
        <w:pStyle w:val="Nagwek4"/>
        <w:spacing w:before="100" w:after="0"/>
        <w:rPr>
          <w:b w:val="0"/>
          <w:color w:val="000000"/>
          <w:sz w:val="24"/>
          <w:lang w:val="en-GB"/>
        </w:rPr>
      </w:pPr>
      <w:r w:rsidRPr="00701ADE">
        <w:rPr>
          <w:b w:val="0"/>
          <w:color w:val="000000"/>
          <w:sz w:val="24"/>
          <w:lang w:val="en-GB"/>
        </w:rPr>
        <w:br w:type="page"/>
      </w:r>
      <w:bookmarkStart w:id="57" w:name="_Toc126925433"/>
      <w:r w:rsidRPr="00701ADE">
        <w:rPr>
          <w:b w:val="0"/>
          <w:color w:val="000000"/>
          <w:sz w:val="24"/>
          <w:lang w:val="en-GB"/>
        </w:rPr>
        <w:t>4. Please explain how you have ensured that only eligible expenditure was included in the calculation of the standard scale of unit cost, lump sum or flat rate:</w:t>
      </w:r>
      <w:bookmarkEnd w:id="57"/>
    </w:p>
    <w:p w:rsidR="00A77B3E" w:rsidRPr="00701ADE" w:rsidRDefault="00A77B3E">
      <w:pPr>
        <w:spacing w:before="100"/>
        <w:rPr>
          <w:color w:val="000000"/>
          <w:sz w:val="12"/>
          <w:lang w:val="en-GB"/>
        </w:rPr>
      </w:pPr>
    </w:p>
    <w:tbl>
      <w:tblPr>
        <w:tblW w:w="495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8"/>
      </w:tblGrid>
      <w:tr w:rsidR="004B75EC" w:rsidRPr="00701ADE">
        <w:tc>
          <w:tcPr>
            <w:tcW w:w="1667" w:type="pct"/>
            <w:tcBorders>
              <w:top w:val="single" w:sz="4" w:space="0" w:color="000000"/>
              <w:left w:val="single" w:sz="4" w:space="0" w:color="000000"/>
              <w:bottom w:val="single" w:sz="4" w:space="0" w:color="000000"/>
              <w:right w:val="single" w:sz="4" w:space="0" w:color="000000"/>
            </w:tcBorders>
            <w:tcMar>
              <w:top w:w="20" w:type="dxa"/>
              <w:left w:w="120" w:type="dxa"/>
              <w:bottom w:w="120" w:type="dxa"/>
              <w:right w:w="120" w:type="dxa"/>
            </w:tcMar>
            <w:vAlign w:val="bottom"/>
          </w:tcPr>
          <w:p w:rsidR="00A77B3E" w:rsidRPr="00701ADE" w:rsidRDefault="00A77B3E">
            <w:pPr>
              <w:spacing w:before="100"/>
              <w:rPr>
                <w:color w:val="000000"/>
                <w:lang w:val="en-GB"/>
              </w:rPr>
            </w:pPr>
          </w:p>
        </w:tc>
      </w:tr>
    </w:tbl>
    <w:p w:rsidR="00A77B3E" w:rsidRPr="00701ADE" w:rsidRDefault="00BB4ED7">
      <w:pPr>
        <w:pStyle w:val="Nagwek4"/>
        <w:spacing w:before="100" w:after="0"/>
        <w:rPr>
          <w:b w:val="0"/>
          <w:color w:val="000000"/>
          <w:sz w:val="24"/>
          <w:lang w:val="en-GB"/>
        </w:rPr>
      </w:pPr>
      <w:r w:rsidRPr="00701ADE">
        <w:rPr>
          <w:b w:val="0"/>
          <w:color w:val="000000"/>
          <w:sz w:val="24"/>
          <w:lang w:val="en-GB"/>
        </w:rPr>
        <w:br w:type="page"/>
      </w:r>
      <w:bookmarkStart w:id="58" w:name="_Toc126925434"/>
      <w:r w:rsidRPr="00701ADE">
        <w:rPr>
          <w:b w:val="0"/>
          <w:color w:val="000000"/>
          <w:sz w:val="24"/>
          <w:lang w:val="en-GB"/>
        </w:rPr>
        <w:t>5. Assessment of the audit authority(ies) of the calculation methodology and amounts and the arrangements to ensure the verification, quality, collection and storage of data.</w:t>
      </w:r>
      <w:bookmarkEnd w:id="58"/>
    </w:p>
    <w:p w:rsidR="00A77B3E" w:rsidRPr="00701ADE" w:rsidRDefault="00A77B3E">
      <w:pPr>
        <w:spacing w:before="100"/>
        <w:rPr>
          <w:color w:val="000000"/>
          <w:sz w:val="12"/>
          <w:lang w:val="en-GB"/>
        </w:rPr>
      </w:pPr>
    </w:p>
    <w:tbl>
      <w:tblPr>
        <w:tblW w:w="495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8"/>
      </w:tblGrid>
      <w:tr w:rsidR="004B75EC" w:rsidRPr="00701ADE">
        <w:tc>
          <w:tcPr>
            <w:tcW w:w="1667" w:type="pct"/>
            <w:tcBorders>
              <w:top w:val="single" w:sz="4" w:space="0" w:color="000000"/>
              <w:left w:val="single" w:sz="4" w:space="0" w:color="000000"/>
              <w:bottom w:val="single" w:sz="4" w:space="0" w:color="000000"/>
              <w:right w:val="single" w:sz="4" w:space="0" w:color="000000"/>
            </w:tcBorders>
            <w:tcMar>
              <w:top w:w="20" w:type="dxa"/>
              <w:left w:w="120" w:type="dxa"/>
              <w:bottom w:w="120" w:type="dxa"/>
              <w:right w:w="120" w:type="dxa"/>
            </w:tcMar>
            <w:vAlign w:val="bottom"/>
          </w:tcPr>
          <w:p w:rsidR="00A77B3E" w:rsidRPr="00701ADE" w:rsidRDefault="00A77B3E">
            <w:pPr>
              <w:spacing w:before="100"/>
              <w:rPr>
                <w:color w:val="000000"/>
                <w:lang w:val="en-GB"/>
              </w:rPr>
            </w:pPr>
          </w:p>
        </w:tc>
      </w:tr>
    </w:tbl>
    <w:p w:rsidR="00A77B3E" w:rsidRPr="00701ADE" w:rsidRDefault="00A77B3E">
      <w:pPr>
        <w:spacing w:before="100"/>
        <w:rPr>
          <w:color w:val="000000"/>
          <w:lang w:val="en-GB"/>
        </w:rPr>
        <w:sectPr w:rsidR="00A77B3E" w:rsidRPr="00701ADE">
          <w:headerReference w:type="even" r:id="rId93"/>
          <w:headerReference w:type="default" r:id="rId94"/>
          <w:footerReference w:type="even" r:id="rId95"/>
          <w:footerReference w:type="default" r:id="rId96"/>
          <w:headerReference w:type="first" r:id="rId97"/>
          <w:footerReference w:type="first" r:id="rId98"/>
          <w:pgSz w:w="11906" w:h="16838"/>
          <w:pgMar w:top="720" w:right="936" w:bottom="864" w:left="720" w:header="0" w:footer="72" w:gutter="0"/>
          <w:cols w:space="720"/>
          <w:noEndnote/>
          <w:docGrid w:linePitch="360"/>
        </w:sectPr>
      </w:pPr>
    </w:p>
    <w:p w:rsidR="00A77B3E" w:rsidRPr="00701ADE" w:rsidRDefault="00BB4ED7">
      <w:pPr>
        <w:pStyle w:val="Nagwek1"/>
        <w:spacing w:before="100" w:after="0"/>
        <w:rPr>
          <w:rFonts w:ascii="Times New Roman" w:hAnsi="Times New Roman" w:cs="Times New Roman"/>
          <w:b w:val="0"/>
          <w:color w:val="000000"/>
          <w:sz w:val="24"/>
          <w:lang w:val="en-GB"/>
        </w:rPr>
      </w:pPr>
      <w:bookmarkStart w:id="59" w:name="_Toc126925435"/>
      <w:r w:rsidRPr="00701ADE">
        <w:rPr>
          <w:rFonts w:ascii="Times New Roman" w:hAnsi="Times New Roman" w:cs="Times New Roman"/>
          <w:b w:val="0"/>
          <w:color w:val="000000"/>
          <w:sz w:val="24"/>
          <w:lang w:val="en-GB"/>
        </w:rPr>
        <w:t>Appendix 2: Union contribution based on financing not linked to costs</w:t>
      </w:r>
      <w:bookmarkEnd w:id="59"/>
    </w:p>
    <w:p w:rsidR="00A77B3E" w:rsidRPr="00701ADE" w:rsidRDefault="00BB4ED7">
      <w:pPr>
        <w:pStyle w:val="Nagwek2"/>
        <w:spacing w:before="100" w:after="0"/>
        <w:rPr>
          <w:rFonts w:ascii="Times New Roman" w:hAnsi="Times New Roman" w:cs="Times New Roman"/>
          <w:b w:val="0"/>
          <w:i w:val="0"/>
          <w:color w:val="000000"/>
          <w:sz w:val="24"/>
          <w:lang w:val="en-GB"/>
        </w:rPr>
      </w:pPr>
      <w:bookmarkStart w:id="60" w:name="_Toc126925436"/>
      <w:r w:rsidRPr="00701ADE">
        <w:rPr>
          <w:rFonts w:ascii="Times New Roman" w:hAnsi="Times New Roman" w:cs="Times New Roman"/>
          <w:b w:val="0"/>
          <w:i w:val="0"/>
          <w:color w:val="000000"/>
          <w:sz w:val="24"/>
          <w:lang w:val="en-GB"/>
        </w:rPr>
        <w:t>A. Summary of the main elements</w:t>
      </w:r>
      <w:bookmarkEnd w:id="60"/>
    </w:p>
    <w:p w:rsidR="00A77B3E" w:rsidRPr="00701ADE" w:rsidRDefault="00A77B3E">
      <w:pPr>
        <w:spacing w:before="100"/>
        <w:rPr>
          <w:color w:val="000000"/>
          <w:sz w:val="1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
        <w:gridCol w:w="1569"/>
        <w:gridCol w:w="1255"/>
        <w:gridCol w:w="1570"/>
        <w:gridCol w:w="1883"/>
        <w:gridCol w:w="1570"/>
        <w:gridCol w:w="1570"/>
        <w:gridCol w:w="1570"/>
        <w:gridCol w:w="2093"/>
      </w:tblGrid>
      <w:tr w:rsidR="004B75EC" w:rsidRPr="00701ADE">
        <w:trPr>
          <w:tblHeader/>
        </w:trPr>
        <w:tc>
          <w:tcPr>
            <w:tcW w:w="20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sz w:val="12"/>
                <w:lang w:val="en-GB"/>
              </w:rPr>
            </w:pPr>
            <w:r w:rsidRPr="00701ADE">
              <w:rPr>
                <w:color w:val="000000"/>
                <w:sz w:val="12"/>
                <w:lang w:val="en-GB"/>
              </w:rPr>
              <w:t>Specific objective</w:t>
            </w:r>
          </w:p>
        </w:tc>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sz w:val="12"/>
                <w:lang w:val="en-GB"/>
              </w:rPr>
            </w:pPr>
            <w:r w:rsidRPr="00701ADE">
              <w:rPr>
                <w:color w:val="000000"/>
                <w:sz w:val="12"/>
                <w:lang w:val="en-GB"/>
              </w:rPr>
              <w:t>The amount covered by the financing not linked to costs</w:t>
            </w:r>
          </w:p>
        </w:tc>
        <w:tc>
          <w:tcPr>
            <w:tcW w:w="270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sz w:val="12"/>
                <w:lang w:val="en-GB"/>
              </w:rPr>
            </w:pPr>
            <w:r w:rsidRPr="00701ADE">
              <w:rPr>
                <w:color w:val="000000"/>
                <w:sz w:val="12"/>
                <w:lang w:val="en-GB"/>
              </w:rPr>
              <w:t>Type(s) of operation covered</w:t>
            </w:r>
          </w:p>
        </w:tc>
        <w:tc>
          <w:tcPr>
            <w:tcW w:w="18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sz w:val="12"/>
                <w:lang w:val="en-GB"/>
              </w:rPr>
            </w:pPr>
            <w:r w:rsidRPr="00701ADE">
              <w:rPr>
                <w:color w:val="000000"/>
                <w:sz w:val="12"/>
                <w:lang w:val="en-GB"/>
              </w:rPr>
              <w:t>Conditions to be fulfilled/results to be achieved triggering reimbursement by the Commission</w:t>
            </w:r>
          </w:p>
        </w:tc>
        <w:tc>
          <w:tcPr>
            <w:tcW w:w="300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sz w:val="12"/>
                <w:lang w:val="en-GB"/>
              </w:rPr>
            </w:pPr>
            <w:r w:rsidRPr="00701ADE">
              <w:rPr>
                <w:color w:val="000000"/>
                <w:sz w:val="12"/>
                <w:lang w:val="en-GB"/>
              </w:rPr>
              <w:t>Indicators</w:t>
            </w:r>
          </w:p>
        </w:tc>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sz w:val="12"/>
                <w:lang w:val="en-GB"/>
              </w:rPr>
            </w:pPr>
            <w:r w:rsidRPr="00701ADE">
              <w:rPr>
                <w:color w:val="000000"/>
                <w:sz w:val="12"/>
                <w:lang w:val="en-GB"/>
              </w:rPr>
              <w:t>Unit of measurement for the conditions to be fulfilled/results to be achieved triggering reimbursement by the Commission</w:t>
            </w:r>
          </w:p>
        </w:tc>
        <w:tc>
          <w:tcPr>
            <w:tcW w:w="20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sz w:val="12"/>
                <w:lang w:val="en-GB"/>
              </w:rPr>
            </w:pPr>
            <w:r w:rsidRPr="00701ADE">
              <w:rPr>
                <w:color w:val="000000"/>
                <w:sz w:val="12"/>
                <w:lang w:val="en-GB"/>
              </w:rPr>
              <w:t>Envisaged type of reimbursement method used to reimburse the beneficiary or beneficiaries</w:t>
            </w:r>
          </w:p>
        </w:tc>
      </w:tr>
      <w:tr w:rsidR="004B75EC" w:rsidRPr="00701ADE">
        <w:trPr>
          <w:tblHeader/>
        </w:trPr>
        <w:tc>
          <w:tcPr>
            <w:tcW w:w="2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A77B3E">
            <w:pPr>
              <w:spacing w:before="100"/>
              <w:jc w:val="center"/>
              <w:rPr>
                <w:color w:val="000000"/>
                <w:sz w:val="12"/>
                <w:lang w:val="en-GB"/>
              </w:rPr>
            </w:pPr>
          </w:p>
        </w:tc>
        <w:tc>
          <w:tcPr>
            <w:tcW w:w="15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A77B3E">
            <w:pPr>
              <w:spacing w:before="100"/>
              <w:jc w:val="center"/>
              <w:rPr>
                <w:color w:val="000000"/>
                <w:sz w:val="12"/>
                <w:lang w:val="en-GB"/>
              </w:rPr>
            </w:pP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sz w:val="12"/>
                <w:lang w:val="en-GB"/>
              </w:rPr>
            </w:pPr>
            <w:r w:rsidRPr="00701ADE">
              <w:rPr>
                <w:color w:val="000000"/>
                <w:sz w:val="12"/>
                <w:lang w:val="en-GB"/>
              </w:rPr>
              <w:t>Code(1)</w:t>
            </w:r>
          </w:p>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sz w:val="12"/>
                <w:lang w:val="en-GB"/>
              </w:rPr>
            </w:pPr>
            <w:r w:rsidRPr="00701ADE">
              <w:rPr>
                <w:color w:val="000000"/>
                <w:sz w:val="12"/>
                <w:lang w:val="en-GB"/>
              </w:rPr>
              <w:t>Description</w:t>
            </w:r>
          </w:p>
        </w:tc>
        <w:tc>
          <w:tcPr>
            <w:tcW w:w="1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A77B3E">
            <w:pPr>
              <w:spacing w:before="100"/>
              <w:jc w:val="center"/>
              <w:rPr>
                <w:color w:val="000000"/>
                <w:sz w:val="12"/>
                <w:lang w:val="en-GB"/>
              </w:rPr>
            </w:pPr>
          </w:p>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sz w:val="12"/>
                <w:lang w:val="en-GB"/>
              </w:rPr>
            </w:pPr>
            <w:r w:rsidRPr="00701ADE">
              <w:rPr>
                <w:color w:val="000000"/>
                <w:sz w:val="12"/>
                <w:lang w:val="en-GB"/>
              </w:rPr>
              <w:t>Code(2)</w:t>
            </w:r>
          </w:p>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BB4ED7">
            <w:pPr>
              <w:spacing w:before="100"/>
              <w:jc w:val="center"/>
              <w:rPr>
                <w:color w:val="000000"/>
                <w:sz w:val="12"/>
                <w:lang w:val="en-GB"/>
              </w:rPr>
            </w:pPr>
            <w:r w:rsidRPr="00701ADE">
              <w:rPr>
                <w:color w:val="000000"/>
                <w:sz w:val="12"/>
                <w:lang w:val="en-GB"/>
              </w:rPr>
              <w:t>Description</w:t>
            </w:r>
          </w:p>
        </w:tc>
        <w:tc>
          <w:tcPr>
            <w:tcW w:w="15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A77B3E">
            <w:pPr>
              <w:spacing w:before="100"/>
              <w:jc w:val="center"/>
              <w:rPr>
                <w:color w:val="000000"/>
                <w:sz w:val="12"/>
                <w:lang w:val="en-GB"/>
              </w:rPr>
            </w:pPr>
          </w:p>
        </w:tc>
        <w:tc>
          <w:tcPr>
            <w:tcW w:w="2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1ADE" w:rsidRDefault="00A77B3E">
            <w:pPr>
              <w:spacing w:before="100"/>
              <w:jc w:val="center"/>
              <w:rPr>
                <w:color w:val="000000"/>
                <w:sz w:val="12"/>
                <w:lang w:val="en-GB"/>
              </w:rPr>
            </w:pPr>
          </w:p>
        </w:tc>
      </w:tr>
    </w:tbl>
    <w:p w:rsidR="00A77B3E" w:rsidRPr="00701ADE" w:rsidRDefault="00BB4ED7">
      <w:pPr>
        <w:spacing w:before="100"/>
        <w:rPr>
          <w:color w:val="000000"/>
          <w:sz w:val="12"/>
          <w:lang w:val="en-GB"/>
        </w:rPr>
      </w:pPr>
      <w:r w:rsidRPr="00701ADE">
        <w:rPr>
          <w:color w:val="000000"/>
          <w:sz w:val="12"/>
          <w:lang w:val="en-GB"/>
        </w:rPr>
        <w:t>(1) This refers to the code in Annex VI of the AMIF, BMVI and ISF Regulations.</w:t>
      </w:r>
    </w:p>
    <w:p w:rsidR="00A77B3E" w:rsidRPr="00701ADE" w:rsidRDefault="00BB4ED7">
      <w:pPr>
        <w:spacing w:before="100"/>
        <w:rPr>
          <w:color w:val="000000"/>
          <w:sz w:val="12"/>
          <w:lang w:val="en-GB"/>
        </w:rPr>
      </w:pPr>
      <w:r w:rsidRPr="00701ADE">
        <w:rPr>
          <w:color w:val="000000"/>
          <w:sz w:val="12"/>
          <w:lang w:val="en-GB"/>
        </w:rPr>
        <w:t>(2) This refers to the code of a common indicator, if applicable.</w:t>
      </w:r>
    </w:p>
    <w:p w:rsidR="00A77B3E" w:rsidRPr="00701ADE" w:rsidRDefault="00A77B3E">
      <w:pPr>
        <w:spacing w:before="100"/>
        <w:rPr>
          <w:color w:val="000000"/>
          <w:sz w:val="12"/>
          <w:lang w:val="en-GB"/>
        </w:rPr>
        <w:sectPr w:rsidR="00A77B3E" w:rsidRPr="00701ADE">
          <w:headerReference w:type="even" r:id="rId99"/>
          <w:headerReference w:type="default" r:id="rId100"/>
          <w:footerReference w:type="even" r:id="rId101"/>
          <w:footerReference w:type="default" r:id="rId102"/>
          <w:headerReference w:type="first" r:id="rId103"/>
          <w:footerReference w:type="first" r:id="rId104"/>
          <w:pgSz w:w="16838" w:h="11906" w:orient="landscape"/>
          <w:pgMar w:top="720" w:right="720" w:bottom="864" w:left="936" w:header="288" w:footer="72" w:gutter="0"/>
          <w:cols w:space="720"/>
          <w:noEndnote/>
          <w:docGrid w:linePitch="360"/>
        </w:sectPr>
      </w:pPr>
    </w:p>
    <w:p w:rsidR="00A77B3E" w:rsidRPr="00701ADE" w:rsidRDefault="00BB4ED7">
      <w:pPr>
        <w:pStyle w:val="Nagwek2"/>
        <w:spacing w:before="100" w:after="0"/>
        <w:rPr>
          <w:rFonts w:ascii="Times New Roman" w:hAnsi="Times New Roman" w:cs="Times New Roman"/>
          <w:b w:val="0"/>
          <w:i w:val="0"/>
          <w:color w:val="000000"/>
          <w:sz w:val="24"/>
          <w:lang w:val="en-GB"/>
        </w:rPr>
      </w:pPr>
      <w:bookmarkStart w:id="61" w:name="_Toc126925437"/>
      <w:r w:rsidRPr="00701ADE">
        <w:rPr>
          <w:rFonts w:ascii="Times New Roman" w:hAnsi="Times New Roman" w:cs="Times New Roman"/>
          <w:b w:val="0"/>
          <w:i w:val="0"/>
          <w:color w:val="000000"/>
          <w:sz w:val="24"/>
          <w:lang w:val="en-GB"/>
        </w:rPr>
        <w:t>B. Detailed information by type of operation</w:t>
      </w:r>
      <w:bookmarkEnd w:id="61"/>
    </w:p>
    <w:p w:rsidR="00A77B3E" w:rsidRPr="00701ADE" w:rsidRDefault="00A77B3E">
      <w:pPr>
        <w:spacing w:before="100"/>
        <w:rPr>
          <w:color w:val="000000"/>
          <w:lang w:val="en-GB"/>
        </w:rPr>
        <w:sectPr w:rsidR="00A77B3E" w:rsidRPr="00701ADE">
          <w:headerReference w:type="even" r:id="rId105"/>
          <w:headerReference w:type="default" r:id="rId106"/>
          <w:footerReference w:type="even" r:id="rId107"/>
          <w:footerReference w:type="default" r:id="rId108"/>
          <w:headerReference w:type="first" r:id="rId109"/>
          <w:footerReference w:type="first" r:id="rId110"/>
          <w:pgSz w:w="11906" w:h="16838"/>
          <w:pgMar w:top="720" w:right="936" w:bottom="864" w:left="720" w:header="0" w:footer="72" w:gutter="0"/>
          <w:cols w:space="720"/>
          <w:noEndnote/>
          <w:docGrid w:linePitch="360"/>
        </w:sectPr>
      </w:pPr>
    </w:p>
    <w:p w:rsidR="00A77B3E" w:rsidRPr="00701ADE" w:rsidRDefault="00BB4ED7">
      <w:pPr>
        <w:pStyle w:val="Nagwek1"/>
        <w:spacing w:before="100" w:after="0"/>
        <w:rPr>
          <w:rFonts w:ascii="Times New Roman" w:hAnsi="Times New Roman" w:cs="Times New Roman"/>
          <w:b w:val="0"/>
          <w:color w:val="000000"/>
          <w:sz w:val="24"/>
          <w:lang w:val="en-GB"/>
        </w:rPr>
      </w:pPr>
      <w:bookmarkStart w:id="62" w:name="_Toc126925438"/>
      <w:r w:rsidRPr="00701ADE">
        <w:rPr>
          <w:rFonts w:ascii="Times New Roman" w:hAnsi="Times New Roman" w:cs="Times New Roman"/>
          <w:b w:val="0"/>
          <w:color w:val="000000"/>
          <w:sz w:val="24"/>
          <w:lang w:val="en-GB"/>
        </w:rPr>
        <w:t>DOCUMENTS</w:t>
      </w:r>
      <w:bookmarkEnd w:id="62"/>
    </w:p>
    <w:p w:rsidR="00A77B3E" w:rsidRPr="00701ADE" w:rsidRDefault="00A77B3E">
      <w:pPr>
        <w:spacing w:before="100"/>
        <w:rPr>
          <w:color w:val="000000"/>
          <w:sz w:val="1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1"/>
        <w:gridCol w:w="1771"/>
        <w:gridCol w:w="1107"/>
        <w:gridCol w:w="1770"/>
        <w:gridCol w:w="1770"/>
        <w:gridCol w:w="4107"/>
        <w:gridCol w:w="1106"/>
        <w:gridCol w:w="1770"/>
      </w:tblGrid>
      <w:tr w:rsidR="004B75EC" w:rsidRPr="00701ADE">
        <w:trPr>
          <w:trHeight w:val="240"/>
          <w:tblHeader/>
        </w:trPr>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rsidR="00A77B3E" w:rsidRPr="00701ADE" w:rsidRDefault="00BB4ED7">
            <w:pPr>
              <w:spacing w:before="100"/>
              <w:jc w:val="center"/>
              <w:rPr>
                <w:color w:val="000000"/>
                <w:sz w:val="16"/>
                <w:lang w:val="en-GB"/>
              </w:rPr>
            </w:pPr>
            <w:r w:rsidRPr="00701ADE">
              <w:rPr>
                <w:color w:val="000000"/>
                <w:sz w:val="16"/>
                <w:lang w:val="en-GB"/>
              </w:rPr>
              <w:t>Title of document</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rsidR="00A77B3E" w:rsidRPr="00701ADE" w:rsidRDefault="00BB4ED7">
            <w:pPr>
              <w:spacing w:before="100"/>
              <w:jc w:val="center"/>
              <w:rPr>
                <w:color w:val="000000"/>
                <w:sz w:val="16"/>
                <w:lang w:val="en-GB"/>
              </w:rPr>
            </w:pPr>
            <w:r w:rsidRPr="00701ADE">
              <w:rPr>
                <w:color w:val="000000"/>
                <w:sz w:val="16"/>
                <w:lang w:val="en-GB"/>
              </w:rPr>
              <w:t>Type of document</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rsidR="00A77B3E" w:rsidRPr="00701ADE" w:rsidRDefault="00BB4ED7">
            <w:pPr>
              <w:spacing w:before="100"/>
              <w:jc w:val="center"/>
              <w:rPr>
                <w:color w:val="000000"/>
                <w:sz w:val="16"/>
                <w:lang w:val="en-GB"/>
              </w:rPr>
            </w:pPr>
            <w:r w:rsidRPr="00701ADE">
              <w:rPr>
                <w:color w:val="000000"/>
                <w:sz w:val="16"/>
                <w:lang w:val="en-GB"/>
              </w:rPr>
              <w:t>Date of document</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rsidR="00A77B3E" w:rsidRPr="00701ADE" w:rsidRDefault="00BB4ED7">
            <w:pPr>
              <w:spacing w:before="100"/>
              <w:jc w:val="center"/>
              <w:rPr>
                <w:color w:val="000000"/>
                <w:sz w:val="16"/>
                <w:lang w:val="en-GB"/>
              </w:rPr>
            </w:pPr>
            <w:r w:rsidRPr="00701ADE">
              <w:rPr>
                <w:color w:val="000000"/>
                <w:sz w:val="16"/>
                <w:lang w:val="en-GB"/>
              </w:rPr>
              <w:t>Local reference number</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rsidR="00A77B3E" w:rsidRPr="00701ADE" w:rsidRDefault="00BB4ED7">
            <w:pPr>
              <w:spacing w:before="100"/>
              <w:jc w:val="center"/>
              <w:rPr>
                <w:color w:val="000000"/>
                <w:sz w:val="16"/>
                <w:lang w:val="en-GB"/>
              </w:rPr>
            </w:pPr>
            <w:r w:rsidRPr="00701ADE">
              <w:rPr>
                <w:color w:val="000000"/>
                <w:sz w:val="16"/>
                <w:lang w:val="en-GB"/>
              </w:rPr>
              <w:t>Commission reference number</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rsidR="00A77B3E" w:rsidRPr="00701ADE" w:rsidRDefault="00BB4ED7">
            <w:pPr>
              <w:spacing w:before="100"/>
              <w:jc w:val="center"/>
              <w:rPr>
                <w:color w:val="000000"/>
                <w:sz w:val="16"/>
                <w:lang w:val="en-GB"/>
              </w:rPr>
            </w:pPr>
            <w:r w:rsidRPr="00701ADE">
              <w:rPr>
                <w:color w:val="000000"/>
                <w:sz w:val="16"/>
                <w:lang w:val="en-GB"/>
              </w:rPr>
              <w:t>Files</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rsidR="00A77B3E" w:rsidRPr="00701ADE" w:rsidRDefault="00BB4ED7">
            <w:pPr>
              <w:spacing w:before="100"/>
              <w:jc w:val="center"/>
              <w:rPr>
                <w:color w:val="000000"/>
                <w:sz w:val="16"/>
                <w:lang w:val="en-GB"/>
              </w:rPr>
            </w:pPr>
            <w:r w:rsidRPr="00701ADE">
              <w:rPr>
                <w:color w:val="000000"/>
                <w:sz w:val="16"/>
                <w:lang w:val="en-GB"/>
              </w:rPr>
              <w:t>Date sent</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rsidR="00A77B3E" w:rsidRPr="00701ADE" w:rsidRDefault="00BB4ED7">
            <w:pPr>
              <w:spacing w:before="100"/>
              <w:jc w:val="center"/>
              <w:rPr>
                <w:color w:val="000000"/>
                <w:sz w:val="16"/>
                <w:lang w:val="en-GB"/>
              </w:rPr>
            </w:pPr>
            <w:r w:rsidRPr="00701ADE">
              <w:rPr>
                <w:color w:val="000000"/>
                <w:sz w:val="16"/>
                <w:lang w:val="en-GB"/>
              </w:rPr>
              <w:t>Sender</w:t>
            </w:r>
          </w:p>
        </w:tc>
      </w:tr>
      <w:tr w:rsidR="004B75EC" w:rsidRPr="00701ADE">
        <w:trPr>
          <w:trHeight w:val="240"/>
        </w:trPr>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rsidR="00A77B3E" w:rsidRPr="00701ADE" w:rsidRDefault="00BB4ED7">
            <w:pPr>
              <w:spacing w:before="100"/>
              <w:rPr>
                <w:color w:val="000000"/>
                <w:sz w:val="16"/>
                <w:lang w:val="en-GB"/>
              </w:rPr>
            </w:pPr>
            <w:r w:rsidRPr="00701ADE">
              <w:rPr>
                <w:color w:val="000000"/>
                <w:sz w:val="16"/>
                <w:lang w:val="en-GB"/>
              </w:rPr>
              <w:t>Detailed self-assessment of the fulfilment of Horizontal Condition 4 regarding implementation and application of the United Nations Convention on the rights of persons with disabilities (UNCRPD) in accordance with Council Decision 2010/48/EC</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rsidR="00A77B3E" w:rsidRPr="00701ADE" w:rsidRDefault="00BB4ED7">
            <w:pPr>
              <w:spacing w:before="100"/>
              <w:rPr>
                <w:color w:val="000000"/>
                <w:sz w:val="16"/>
                <w:lang w:val="en-GB"/>
              </w:rPr>
            </w:pPr>
            <w:r w:rsidRPr="00701ADE">
              <w:rPr>
                <w:color w:val="000000"/>
                <w:sz w:val="16"/>
                <w:lang w:val="en-GB"/>
              </w:rPr>
              <w:t>Additional information</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rsidR="00A77B3E" w:rsidRPr="00701ADE" w:rsidRDefault="00BB4ED7">
            <w:pPr>
              <w:spacing w:before="100"/>
              <w:rPr>
                <w:color w:val="000000"/>
                <w:sz w:val="16"/>
                <w:lang w:val="en-GB"/>
              </w:rPr>
            </w:pPr>
            <w:r w:rsidRPr="00701ADE">
              <w:rPr>
                <w:color w:val="000000"/>
                <w:sz w:val="16"/>
                <w:lang w:val="en-GB"/>
              </w:rPr>
              <w:t>10 Nov 2022</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rsidR="00A77B3E" w:rsidRPr="00701ADE" w:rsidRDefault="00A77B3E">
            <w:pPr>
              <w:spacing w:before="100"/>
              <w:rPr>
                <w:color w:val="000000"/>
                <w:sz w:val="16"/>
                <w:lang w:val="en-GB"/>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rsidR="00A77B3E" w:rsidRPr="00701ADE" w:rsidRDefault="00BB4ED7">
            <w:pPr>
              <w:spacing w:before="100"/>
              <w:rPr>
                <w:color w:val="000000"/>
                <w:sz w:val="16"/>
                <w:lang w:val="en-GB"/>
              </w:rPr>
            </w:pPr>
            <w:r w:rsidRPr="00701ADE">
              <w:rPr>
                <w:color w:val="000000"/>
                <w:sz w:val="16"/>
                <w:lang w:val="en-GB"/>
              </w:rPr>
              <w:t>Ares(2022)7850990</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rsidR="00A77B3E" w:rsidRPr="00701ADE" w:rsidRDefault="00BB4ED7">
            <w:pPr>
              <w:spacing w:before="100"/>
              <w:rPr>
                <w:color w:val="000000"/>
                <w:sz w:val="16"/>
                <w:lang w:val="en-GB"/>
              </w:rPr>
            </w:pPr>
            <w:r w:rsidRPr="00701ADE">
              <w:rPr>
                <w:color w:val="000000"/>
                <w:sz w:val="16"/>
                <w:lang w:val="en-GB"/>
              </w:rPr>
              <w:t>Detailed self-assessment of the fulfilment of Horizontal Condition 4</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rsidR="00A77B3E" w:rsidRPr="00701ADE" w:rsidRDefault="00BB4ED7">
            <w:pPr>
              <w:spacing w:before="100"/>
              <w:rPr>
                <w:color w:val="000000"/>
                <w:sz w:val="16"/>
                <w:lang w:val="en-GB"/>
              </w:rPr>
            </w:pPr>
            <w:r w:rsidRPr="00701ADE">
              <w:rPr>
                <w:color w:val="000000"/>
                <w:sz w:val="16"/>
                <w:lang w:val="en-GB"/>
              </w:rPr>
              <w:t>14 Nov 2022</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rsidR="00A77B3E" w:rsidRPr="00701ADE" w:rsidRDefault="00BB4ED7">
            <w:pPr>
              <w:spacing w:before="100"/>
              <w:rPr>
                <w:color w:val="000000"/>
                <w:sz w:val="16"/>
                <w:lang w:val="en-GB"/>
              </w:rPr>
            </w:pPr>
            <w:r w:rsidRPr="00701ADE">
              <w:rPr>
                <w:color w:val="000000"/>
                <w:sz w:val="16"/>
                <w:lang w:val="en-GB"/>
              </w:rPr>
              <w:t>Dargiel, Katarzyna</w:t>
            </w:r>
          </w:p>
        </w:tc>
      </w:tr>
      <w:tr w:rsidR="004B75EC" w:rsidRPr="00701ADE">
        <w:trPr>
          <w:trHeight w:val="240"/>
        </w:trPr>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rsidR="00A77B3E" w:rsidRPr="00701ADE" w:rsidRDefault="00BB4ED7">
            <w:pPr>
              <w:spacing w:before="100"/>
              <w:rPr>
                <w:color w:val="000000"/>
                <w:sz w:val="16"/>
                <w:lang w:val="en-GB"/>
              </w:rPr>
            </w:pPr>
            <w:r w:rsidRPr="00701ADE">
              <w:rPr>
                <w:color w:val="000000"/>
                <w:sz w:val="16"/>
                <w:lang w:val="en-GB"/>
              </w:rPr>
              <w:t>METHODOLOGY AMIF – output and result indicators (Annex VIII)</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rsidR="00A77B3E" w:rsidRPr="00701ADE" w:rsidRDefault="00BB4ED7">
            <w:pPr>
              <w:spacing w:before="100"/>
              <w:rPr>
                <w:color w:val="000000"/>
                <w:sz w:val="16"/>
                <w:lang w:val="en-GB"/>
              </w:rPr>
            </w:pPr>
            <w:r w:rsidRPr="00701ADE">
              <w:rPr>
                <w:color w:val="000000"/>
                <w:sz w:val="16"/>
                <w:lang w:val="en-GB"/>
              </w:rPr>
              <w:t>Additional information</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rsidR="00A77B3E" w:rsidRPr="00701ADE" w:rsidRDefault="00BB4ED7">
            <w:pPr>
              <w:spacing w:before="100"/>
              <w:rPr>
                <w:color w:val="000000"/>
                <w:sz w:val="16"/>
                <w:lang w:val="en-GB"/>
              </w:rPr>
            </w:pPr>
            <w:r w:rsidRPr="00701ADE">
              <w:rPr>
                <w:color w:val="000000"/>
                <w:sz w:val="16"/>
                <w:lang w:val="en-GB"/>
              </w:rPr>
              <w:t>10 Nov 2022</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rsidR="00A77B3E" w:rsidRPr="00701ADE" w:rsidRDefault="00A77B3E">
            <w:pPr>
              <w:spacing w:before="100"/>
              <w:rPr>
                <w:color w:val="000000"/>
                <w:sz w:val="16"/>
                <w:lang w:val="en-GB"/>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rsidR="00A77B3E" w:rsidRPr="00701ADE" w:rsidRDefault="00BB4ED7">
            <w:pPr>
              <w:spacing w:before="100"/>
              <w:rPr>
                <w:color w:val="000000"/>
                <w:sz w:val="16"/>
                <w:lang w:val="en-GB"/>
              </w:rPr>
            </w:pPr>
            <w:r w:rsidRPr="00701ADE">
              <w:rPr>
                <w:color w:val="000000"/>
                <w:sz w:val="16"/>
                <w:lang w:val="en-GB"/>
              </w:rPr>
              <w:t>Ares(2022)7850990</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rsidR="00A77B3E" w:rsidRPr="00701ADE" w:rsidRDefault="00BB4ED7">
            <w:pPr>
              <w:spacing w:before="100"/>
              <w:rPr>
                <w:color w:val="000000"/>
                <w:sz w:val="16"/>
                <w:lang w:val="en-GB"/>
              </w:rPr>
            </w:pPr>
            <w:r w:rsidRPr="00701ADE">
              <w:rPr>
                <w:color w:val="000000"/>
                <w:sz w:val="16"/>
                <w:lang w:val="en-GB"/>
              </w:rPr>
              <w:t>Methodology AMIF - output and result indicators</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rsidR="00A77B3E" w:rsidRPr="00701ADE" w:rsidRDefault="00BB4ED7">
            <w:pPr>
              <w:spacing w:before="100"/>
              <w:rPr>
                <w:color w:val="000000"/>
                <w:sz w:val="16"/>
                <w:lang w:val="en-GB"/>
              </w:rPr>
            </w:pPr>
            <w:r w:rsidRPr="00701ADE">
              <w:rPr>
                <w:color w:val="000000"/>
                <w:sz w:val="16"/>
                <w:lang w:val="en-GB"/>
              </w:rPr>
              <w:t>14 Nov 2022</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rsidR="00A77B3E" w:rsidRPr="00701ADE" w:rsidRDefault="00BB4ED7">
            <w:pPr>
              <w:spacing w:before="100"/>
              <w:rPr>
                <w:color w:val="000000"/>
                <w:sz w:val="16"/>
                <w:lang w:val="en-GB"/>
              </w:rPr>
            </w:pPr>
            <w:r w:rsidRPr="00701ADE">
              <w:rPr>
                <w:color w:val="000000"/>
                <w:sz w:val="16"/>
                <w:lang w:val="en-GB"/>
              </w:rPr>
              <w:t>Dargiel, Katarzyna</w:t>
            </w:r>
          </w:p>
        </w:tc>
      </w:tr>
      <w:tr w:rsidR="004B75EC" w:rsidRPr="00701ADE">
        <w:trPr>
          <w:trHeight w:val="240"/>
        </w:trPr>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rsidR="00A77B3E" w:rsidRPr="00701ADE" w:rsidRDefault="00BB4ED7">
            <w:pPr>
              <w:spacing w:before="100"/>
              <w:rPr>
                <w:color w:val="000000"/>
                <w:sz w:val="16"/>
                <w:lang w:val="en-GB"/>
              </w:rPr>
            </w:pPr>
            <w:r w:rsidRPr="00701ADE">
              <w:rPr>
                <w:color w:val="000000"/>
                <w:sz w:val="16"/>
                <w:lang w:val="en-GB"/>
              </w:rPr>
              <w:t>Programme snapshot 2021PL65AMPR001 1.2</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rsidR="00A77B3E" w:rsidRPr="00701ADE" w:rsidRDefault="00BB4ED7">
            <w:pPr>
              <w:spacing w:before="100"/>
              <w:rPr>
                <w:color w:val="000000"/>
                <w:sz w:val="16"/>
                <w:lang w:val="en-GB"/>
              </w:rPr>
            </w:pPr>
            <w:r w:rsidRPr="00701ADE">
              <w:rPr>
                <w:color w:val="000000"/>
                <w:sz w:val="16"/>
                <w:lang w:val="en-GB"/>
              </w:rPr>
              <w:t>Data preview before sending</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rsidR="00A77B3E" w:rsidRPr="00701ADE" w:rsidRDefault="00BB4ED7">
            <w:pPr>
              <w:spacing w:before="100"/>
              <w:rPr>
                <w:color w:val="000000"/>
                <w:sz w:val="16"/>
                <w:lang w:val="en-GB"/>
              </w:rPr>
            </w:pPr>
            <w:r w:rsidRPr="00701ADE">
              <w:rPr>
                <w:color w:val="000000"/>
                <w:sz w:val="16"/>
                <w:lang w:val="en-GB"/>
              </w:rPr>
              <w:t>14 Nov 2022</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rsidR="00A77B3E" w:rsidRPr="00701ADE" w:rsidRDefault="00A77B3E">
            <w:pPr>
              <w:spacing w:before="100"/>
              <w:rPr>
                <w:color w:val="000000"/>
                <w:sz w:val="16"/>
                <w:lang w:val="en-GB"/>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rsidR="00A77B3E" w:rsidRPr="00701ADE" w:rsidRDefault="00BB4ED7">
            <w:pPr>
              <w:spacing w:before="100"/>
              <w:rPr>
                <w:color w:val="000000"/>
                <w:sz w:val="16"/>
                <w:lang w:val="en-GB"/>
              </w:rPr>
            </w:pPr>
            <w:r w:rsidRPr="00701ADE">
              <w:rPr>
                <w:color w:val="000000"/>
                <w:sz w:val="16"/>
                <w:lang w:val="en-GB"/>
              </w:rPr>
              <w:t>Ares(2022)7850990</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rsidR="00A77B3E" w:rsidRPr="00701ADE" w:rsidRDefault="00BB4ED7">
            <w:pPr>
              <w:spacing w:before="100"/>
              <w:rPr>
                <w:color w:val="000000"/>
                <w:sz w:val="16"/>
                <w:lang w:val="en-GB"/>
              </w:rPr>
            </w:pPr>
            <w:r w:rsidRPr="00701ADE">
              <w:rPr>
                <w:color w:val="000000"/>
                <w:sz w:val="16"/>
                <w:lang w:val="en-GB"/>
              </w:rPr>
              <w:t>Programme_snapshot_2021PL65AMPR001_1.2_pl.pdf</w:t>
            </w:r>
            <w:r w:rsidRPr="00701ADE">
              <w:rPr>
                <w:color w:val="000000"/>
                <w:sz w:val="16"/>
                <w:lang w:val="en-GB"/>
              </w:rPr>
              <w:br/>
              <w:t>Programme_snapshot_2021PL65AMPR001_1.2_en.pdf</w:t>
            </w:r>
            <w:r w:rsidRPr="00701ADE">
              <w:rPr>
                <w:color w:val="000000"/>
                <w:sz w:val="16"/>
                <w:lang w:val="en-GB"/>
              </w:rPr>
              <w:br/>
              <w:t>Programme_snapshot_2021PL65AMPR001_1.2_pl.pdf - Machine Translated</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rsidR="00A77B3E" w:rsidRPr="00701ADE" w:rsidRDefault="00BB4ED7">
            <w:pPr>
              <w:spacing w:before="100"/>
              <w:rPr>
                <w:color w:val="000000"/>
                <w:sz w:val="16"/>
                <w:lang w:val="en-GB"/>
              </w:rPr>
            </w:pPr>
            <w:r w:rsidRPr="00701ADE">
              <w:rPr>
                <w:color w:val="000000"/>
                <w:sz w:val="16"/>
                <w:lang w:val="en-GB"/>
              </w:rPr>
              <w:t>14 Nov 2022</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rsidR="00A77B3E" w:rsidRPr="00701ADE" w:rsidRDefault="00BB4ED7">
            <w:pPr>
              <w:spacing w:before="100"/>
              <w:rPr>
                <w:color w:val="000000"/>
                <w:sz w:val="16"/>
                <w:lang w:val="en-GB"/>
              </w:rPr>
            </w:pPr>
            <w:r w:rsidRPr="00701ADE">
              <w:rPr>
                <w:color w:val="000000"/>
                <w:sz w:val="16"/>
                <w:lang w:val="en-GB"/>
              </w:rPr>
              <w:t>Dargiel, Katarzyna</w:t>
            </w:r>
          </w:p>
        </w:tc>
      </w:tr>
    </w:tbl>
    <w:p w:rsidR="00A77B3E" w:rsidRPr="00701ADE" w:rsidRDefault="00A77B3E">
      <w:pPr>
        <w:spacing w:before="100"/>
        <w:jc w:val="center"/>
        <w:rPr>
          <w:color w:val="000000"/>
          <w:sz w:val="16"/>
          <w:lang w:val="en-GB"/>
        </w:rPr>
      </w:pPr>
    </w:p>
    <w:sectPr w:rsidR="00A77B3E" w:rsidRPr="00701ADE" w:rsidSect="004B75EC">
      <w:headerReference w:type="even" r:id="rId111"/>
      <w:headerReference w:type="default" r:id="rId112"/>
      <w:footerReference w:type="even" r:id="rId113"/>
      <w:footerReference w:type="default" r:id="rId114"/>
      <w:headerReference w:type="first" r:id="rId115"/>
      <w:footerReference w:type="first" r:id="rId116"/>
      <w:pgSz w:w="16838" w:h="11906" w:orient="landscape"/>
      <w:pgMar w:top="720" w:right="720" w:bottom="864" w:left="936" w:header="288" w:footer="72"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2D60" w:rsidRDefault="00DF2D60" w:rsidP="004B75EC">
      <w:r>
        <w:separator/>
      </w:r>
    </w:p>
  </w:endnote>
  <w:endnote w:type="continuationSeparator" w:id="0">
    <w:p w:rsidR="00DF2D60" w:rsidRDefault="00DF2D60" w:rsidP="004B7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4A0" w:firstRow="1" w:lastRow="0" w:firstColumn="1" w:lastColumn="0" w:noHBand="0" w:noVBand="1"/>
    </w:tblPr>
    <w:tblGrid>
      <w:gridCol w:w="4107"/>
      <w:gridCol w:w="2037"/>
      <w:gridCol w:w="4106"/>
    </w:tblGrid>
    <w:tr w:rsidR="00A10BE0">
      <w:trPr>
        <w:trHeight w:val="240"/>
      </w:trPr>
      <w:tc>
        <w:tcPr>
          <w:tcW w:w="0" w:type="auto"/>
          <w:tcMar>
            <w:left w:w="100" w:type="dxa"/>
            <w:right w:w="100" w:type="dxa"/>
          </w:tcMar>
        </w:tcPr>
        <w:p w:rsidR="00A10BE0" w:rsidRDefault="00A10BE0">
          <w:pPr>
            <w:rPr>
              <w:b/>
              <w:color w:val="000000"/>
            </w:rPr>
          </w:pPr>
          <w:r>
            <w:rPr>
              <w:b/>
              <w:bCs/>
              <w:color w:val="000000"/>
              <w:sz w:val="32"/>
              <w:lang w:val="en-GB"/>
            </w:rPr>
            <w:t>EN</w:t>
          </w:r>
        </w:p>
      </w:tc>
      <w:tc>
        <w:tcPr>
          <w:tcW w:w="0" w:type="auto"/>
          <w:tcMar>
            <w:left w:w="100" w:type="dxa"/>
            <w:right w:w="100" w:type="dxa"/>
          </w:tcMar>
        </w:tcPr>
        <w:p w:rsidR="00A10BE0" w:rsidRDefault="00A10BE0">
          <w:pPr>
            <w:jc w:val="center"/>
            <w:rPr>
              <w:b/>
              <w:color w:val="000000"/>
              <w:sz w:val="32"/>
            </w:rPr>
          </w:pPr>
          <w:r>
            <w:rPr>
              <w:b/>
              <w:color w:val="000000"/>
            </w:rPr>
            <w:fldChar w:fldCharType="begin"/>
          </w:r>
          <w:r>
            <w:rPr>
              <w:b/>
              <w:color w:val="000000"/>
            </w:rPr>
            <w:instrText>PAGE</w:instrText>
          </w:r>
          <w:r>
            <w:rPr>
              <w:b/>
              <w:color w:val="000000"/>
            </w:rPr>
            <w:fldChar w:fldCharType="separate"/>
          </w:r>
          <w:r w:rsidR="002A06CB">
            <w:rPr>
              <w:b/>
              <w:color w:val="000000"/>
            </w:rPr>
            <w:t>2</w:t>
          </w:r>
          <w:r>
            <w:rPr>
              <w:b/>
              <w:color w:val="000000"/>
            </w:rPr>
            <w:fldChar w:fldCharType="end"/>
          </w:r>
        </w:p>
      </w:tc>
      <w:tc>
        <w:tcPr>
          <w:tcW w:w="0" w:type="auto"/>
          <w:tcMar>
            <w:left w:w="100" w:type="dxa"/>
            <w:right w:w="100" w:type="dxa"/>
          </w:tcMar>
        </w:tcPr>
        <w:p w:rsidR="00A10BE0" w:rsidRDefault="00A10BE0">
          <w:pPr>
            <w:jc w:val="right"/>
            <w:rPr>
              <w:b/>
              <w:color w:val="000000"/>
              <w:sz w:val="32"/>
            </w:rPr>
          </w:pPr>
          <w:r>
            <w:rPr>
              <w:b/>
              <w:bCs/>
              <w:color w:val="000000"/>
              <w:sz w:val="32"/>
              <w:lang w:val="en-GB"/>
            </w:rPr>
            <w:t>EN</w:t>
          </w:r>
        </w:p>
      </w:tc>
    </w:tr>
  </w:tbl>
  <w:p w:rsidR="00A10BE0" w:rsidRDefault="00A10BE0">
    <w:pPr>
      <w:rPr>
        <w:b/>
        <w:color w:val="000000"/>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BE0" w:rsidRDefault="00A10BE0"/>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BE0" w:rsidRDefault="00A10BE0"/>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4A0" w:firstRow="1" w:lastRow="0" w:firstColumn="1" w:lastColumn="0" w:noHBand="0" w:noVBand="1"/>
    </w:tblPr>
    <w:tblGrid>
      <w:gridCol w:w="3886"/>
      <w:gridCol w:w="2477"/>
      <w:gridCol w:w="3887"/>
    </w:tblGrid>
    <w:tr w:rsidR="00A10BE0">
      <w:tc>
        <w:tcPr>
          <w:tcW w:w="0" w:type="auto"/>
          <w:tcMar>
            <w:top w:w="0" w:type="dxa"/>
            <w:left w:w="60" w:type="dxa"/>
            <w:bottom w:w="80" w:type="dxa"/>
            <w:right w:w="60" w:type="dxa"/>
          </w:tcMar>
        </w:tcPr>
        <w:p w:rsidR="00A10BE0" w:rsidRDefault="00A10BE0">
          <w:pPr>
            <w:rPr>
              <w:b/>
              <w:color w:val="000000"/>
            </w:rPr>
          </w:pPr>
          <w:r>
            <w:rPr>
              <w:b/>
              <w:bCs/>
              <w:color w:val="000000"/>
              <w:sz w:val="32"/>
              <w:lang w:val="en-GB"/>
            </w:rPr>
            <w:t>EN</w:t>
          </w:r>
        </w:p>
      </w:tc>
      <w:tc>
        <w:tcPr>
          <w:tcW w:w="0" w:type="auto"/>
          <w:tcMar>
            <w:top w:w="0" w:type="dxa"/>
            <w:left w:w="60" w:type="dxa"/>
            <w:bottom w:w="80" w:type="dxa"/>
            <w:right w:w="60" w:type="dxa"/>
          </w:tcMar>
        </w:tcPr>
        <w:p w:rsidR="00A10BE0" w:rsidRDefault="00A10BE0">
          <w:pPr>
            <w:jc w:val="center"/>
            <w:rPr>
              <w:b/>
              <w:color w:val="000000"/>
              <w:sz w:val="32"/>
            </w:rPr>
          </w:pPr>
          <w:r>
            <w:rPr>
              <w:b/>
              <w:color w:val="000000"/>
            </w:rPr>
            <w:fldChar w:fldCharType="begin"/>
          </w:r>
          <w:r>
            <w:rPr>
              <w:b/>
              <w:color w:val="000000"/>
            </w:rPr>
            <w:instrText>PAGE</w:instrText>
          </w:r>
          <w:r>
            <w:rPr>
              <w:b/>
              <w:color w:val="000000"/>
            </w:rPr>
            <w:fldChar w:fldCharType="separate"/>
          </w:r>
          <w:r w:rsidR="007A6DBA">
            <w:rPr>
              <w:b/>
              <w:color w:val="000000"/>
            </w:rPr>
            <w:t>21</w:t>
          </w:r>
          <w:r>
            <w:rPr>
              <w:b/>
              <w:color w:val="000000"/>
            </w:rPr>
            <w:fldChar w:fldCharType="end"/>
          </w:r>
        </w:p>
      </w:tc>
      <w:tc>
        <w:tcPr>
          <w:tcW w:w="0" w:type="auto"/>
          <w:tcMar>
            <w:top w:w="0" w:type="dxa"/>
            <w:left w:w="60" w:type="dxa"/>
            <w:bottom w:w="80" w:type="dxa"/>
            <w:right w:w="60" w:type="dxa"/>
          </w:tcMar>
        </w:tcPr>
        <w:p w:rsidR="00A10BE0" w:rsidRDefault="00A10BE0">
          <w:pPr>
            <w:jc w:val="right"/>
            <w:rPr>
              <w:b/>
              <w:color w:val="000000"/>
              <w:sz w:val="32"/>
            </w:rPr>
          </w:pPr>
          <w:r>
            <w:rPr>
              <w:b/>
              <w:bCs/>
              <w:color w:val="000000"/>
              <w:sz w:val="32"/>
              <w:lang w:val="en-GB"/>
            </w:rPr>
            <w:t>EN</w:t>
          </w:r>
        </w:p>
      </w:tc>
    </w:tr>
  </w:tbl>
  <w:p w:rsidR="00A10BE0" w:rsidRDefault="00A10BE0">
    <w:pPr>
      <w:rPr>
        <w:b/>
        <w:color w:val="000000"/>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BE0" w:rsidRDefault="00A10BE0"/>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BE0" w:rsidRDefault="00A10BE0"/>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4A0" w:firstRow="1" w:lastRow="0" w:firstColumn="1" w:lastColumn="0" w:noHBand="0" w:noVBand="1"/>
    </w:tblPr>
    <w:tblGrid>
      <w:gridCol w:w="5757"/>
      <w:gridCol w:w="3668"/>
      <w:gridCol w:w="5757"/>
    </w:tblGrid>
    <w:tr w:rsidR="00A10BE0">
      <w:tc>
        <w:tcPr>
          <w:tcW w:w="0" w:type="auto"/>
          <w:tcMar>
            <w:top w:w="0" w:type="dxa"/>
            <w:left w:w="60" w:type="dxa"/>
            <w:bottom w:w="80" w:type="dxa"/>
            <w:right w:w="60" w:type="dxa"/>
          </w:tcMar>
        </w:tcPr>
        <w:p w:rsidR="00A10BE0" w:rsidRDefault="00A10BE0">
          <w:pPr>
            <w:rPr>
              <w:b/>
              <w:color w:val="000000"/>
            </w:rPr>
          </w:pPr>
          <w:r>
            <w:rPr>
              <w:b/>
              <w:bCs/>
              <w:color w:val="000000"/>
              <w:sz w:val="32"/>
              <w:lang w:val="en-GB"/>
            </w:rPr>
            <w:t>EN</w:t>
          </w:r>
        </w:p>
      </w:tc>
      <w:tc>
        <w:tcPr>
          <w:tcW w:w="0" w:type="auto"/>
          <w:tcMar>
            <w:top w:w="0" w:type="dxa"/>
            <w:left w:w="60" w:type="dxa"/>
            <w:bottom w:w="80" w:type="dxa"/>
            <w:right w:w="60" w:type="dxa"/>
          </w:tcMar>
        </w:tcPr>
        <w:p w:rsidR="00A10BE0" w:rsidRDefault="00A10BE0">
          <w:pPr>
            <w:jc w:val="center"/>
            <w:rPr>
              <w:b/>
              <w:color w:val="000000"/>
              <w:sz w:val="32"/>
            </w:rPr>
          </w:pPr>
          <w:r>
            <w:rPr>
              <w:b/>
              <w:color w:val="000000"/>
            </w:rPr>
            <w:fldChar w:fldCharType="begin"/>
          </w:r>
          <w:r>
            <w:rPr>
              <w:b/>
              <w:color w:val="000000"/>
            </w:rPr>
            <w:instrText>PAGE</w:instrText>
          </w:r>
          <w:r>
            <w:rPr>
              <w:b/>
              <w:color w:val="000000"/>
            </w:rPr>
            <w:fldChar w:fldCharType="separate"/>
          </w:r>
          <w:r w:rsidR="007A6DBA">
            <w:rPr>
              <w:b/>
              <w:color w:val="000000"/>
            </w:rPr>
            <w:t>24</w:t>
          </w:r>
          <w:r>
            <w:rPr>
              <w:b/>
              <w:color w:val="000000"/>
            </w:rPr>
            <w:fldChar w:fldCharType="end"/>
          </w:r>
        </w:p>
      </w:tc>
      <w:tc>
        <w:tcPr>
          <w:tcW w:w="0" w:type="auto"/>
          <w:tcMar>
            <w:top w:w="0" w:type="dxa"/>
            <w:left w:w="60" w:type="dxa"/>
            <w:bottom w:w="80" w:type="dxa"/>
            <w:right w:w="60" w:type="dxa"/>
          </w:tcMar>
        </w:tcPr>
        <w:p w:rsidR="00A10BE0" w:rsidRDefault="00A10BE0">
          <w:pPr>
            <w:jc w:val="right"/>
            <w:rPr>
              <w:b/>
              <w:color w:val="000000"/>
              <w:sz w:val="32"/>
            </w:rPr>
          </w:pPr>
          <w:r>
            <w:rPr>
              <w:b/>
              <w:bCs/>
              <w:color w:val="000000"/>
              <w:sz w:val="32"/>
              <w:lang w:val="en-GB"/>
            </w:rPr>
            <w:t>EN</w:t>
          </w:r>
        </w:p>
      </w:tc>
    </w:tr>
  </w:tbl>
  <w:p w:rsidR="00A10BE0" w:rsidRDefault="00A10BE0">
    <w:pPr>
      <w:rPr>
        <w:b/>
        <w:color w:val="000000"/>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BE0" w:rsidRDefault="00A10BE0"/>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BE0" w:rsidRDefault="00A10BE0"/>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4A0" w:firstRow="1" w:lastRow="0" w:firstColumn="1" w:lastColumn="0" w:noHBand="0" w:noVBand="1"/>
    </w:tblPr>
    <w:tblGrid>
      <w:gridCol w:w="3886"/>
      <w:gridCol w:w="2477"/>
      <w:gridCol w:w="3887"/>
    </w:tblGrid>
    <w:tr w:rsidR="00A10BE0">
      <w:tc>
        <w:tcPr>
          <w:tcW w:w="0" w:type="auto"/>
          <w:tcMar>
            <w:top w:w="0" w:type="dxa"/>
            <w:left w:w="60" w:type="dxa"/>
            <w:bottom w:w="80" w:type="dxa"/>
            <w:right w:w="60" w:type="dxa"/>
          </w:tcMar>
        </w:tcPr>
        <w:p w:rsidR="00A10BE0" w:rsidRDefault="00A10BE0">
          <w:pPr>
            <w:rPr>
              <w:b/>
              <w:color w:val="000000"/>
            </w:rPr>
          </w:pPr>
          <w:r>
            <w:rPr>
              <w:b/>
              <w:bCs/>
              <w:color w:val="000000"/>
              <w:sz w:val="32"/>
              <w:lang w:val="en-GB"/>
            </w:rPr>
            <w:t>EN</w:t>
          </w:r>
        </w:p>
      </w:tc>
      <w:tc>
        <w:tcPr>
          <w:tcW w:w="0" w:type="auto"/>
          <w:tcMar>
            <w:top w:w="0" w:type="dxa"/>
            <w:left w:w="60" w:type="dxa"/>
            <w:bottom w:w="80" w:type="dxa"/>
            <w:right w:w="60" w:type="dxa"/>
          </w:tcMar>
        </w:tcPr>
        <w:p w:rsidR="00A10BE0" w:rsidRDefault="00A10BE0">
          <w:pPr>
            <w:jc w:val="center"/>
            <w:rPr>
              <w:b/>
              <w:color w:val="000000"/>
              <w:sz w:val="32"/>
            </w:rPr>
          </w:pPr>
          <w:r>
            <w:rPr>
              <w:b/>
              <w:color w:val="000000"/>
            </w:rPr>
            <w:fldChar w:fldCharType="begin"/>
          </w:r>
          <w:r>
            <w:rPr>
              <w:b/>
              <w:color w:val="000000"/>
            </w:rPr>
            <w:instrText>PAGE</w:instrText>
          </w:r>
          <w:r>
            <w:rPr>
              <w:b/>
              <w:color w:val="000000"/>
            </w:rPr>
            <w:fldChar w:fldCharType="separate"/>
          </w:r>
          <w:r w:rsidR="007A6DBA">
            <w:rPr>
              <w:b/>
              <w:color w:val="000000"/>
            </w:rPr>
            <w:t>29</w:t>
          </w:r>
          <w:r>
            <w:rPr>
              <w:b/>
              <w:color w:val="000000"/>
            </w:rPr>
            <w:fldChar w:fldCharType="end"/>
          </w:r>
        </w:p>
      </w:tc>
      <w:tc>
        <w:tcPr>
          <w:tcW w:w="0" w:type="auto"/>
          <w:tcMar>
            <w:top w:w="0" w:type="dxa"/>
            <w:left w:w="60" w:type="dxa"/>
            <w:bottom w:w="80" w:type="dxa"/>
            <w:right w:w="60" w:type="dxa"/>
          </w:tcMar>
        </w:tcPr>
        <w:p w:rsidR="00A10BE0" w:rsidRDefault="00A10BE0">
          <w:pPr>
            <w:jc w:val="right"/>
            <w:rPr>
              <w:b/>
              <w:color w:val="000000"/>
              <w:sz w:val="32"/>
            </w:rPr>
          </w:pPr>
          <w:r>
            <w:rPr>
              <w:b/>
              <w:bCs/>
              <w:color w:val="000000"/>
              <w:sz w:val="32"/>
              <w:lang w:val="en-GB"/>
            </w:rPr>
            <w:t>EN</w:t>
          </w:r>
        </w:p>
      </w:tc>
    </w:tr>
  </w:tbl>
  <w:p w:rsidR="00A10BE0" w:rsidRDefault="00A10BE0">
    <w:pPr>
      <w:rPr>
        <w:b/>
        <w:color w:val="000000"/>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BE0" w:rsidRDefault="00A10BE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BE0" w:rsidRDefault="00A10BE0"/>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BE0" w:rsidRDefault="00A10BE0"/>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4A0" w:firstRow="1" w:lastRow="0" w:firstColumn="1" w:lastColumn="0" w:noHBand="0" w:noVBand="1"/>
    </w:tblPr>
    <w:tblGrid>
      <w:gridCol w:w="5757"/>
      <w:gridCol w:w="3668"/>
      <w:gridCol w:w="5757"/>
    </w:tblGrid>
    <w:tr w:rsidR="00A10BE0">
      <w:tc>
        <w:tcPr>
          <w:tcW w:w="0" w:type="auto"/>
          <w:tcMar>
            <w:top w:w="0" w:type="dxa"/>
            <w:left w:w="60" w:type="dxa"/>
            <w:bottom w:w="80" w:type="dxa"/>
            <w:right w:w="60" w:type="dxa"/>
          </w:tcMar>
        </w:tcPr>
        <w:p w:rsidR="00A10BE0" w:rsidRDefault="00A10BE0">
          <w:pPr>
            <w:rPr>
              <w:b/>
              <w:color w:val="000000"/>
            </w:rPr>
          </w:pPr>
          <w:r>
            <w:rPr>
              <w:b/>
              <w:bCs/>
              <w:color w:val="000000"/>
              <w:sz w:val="32"/>
              <w:lang w:val="en-GB"/>
            </w:rPr>
            <w:t>EN</w:t>
          </w:r>
        </w:p>
      </w:tc>
      <w:tc>
        <w:tcPr>
          <w:tcW w:w="0" w:type="auto"/>
          <w:tcMar>
            <w:top w:w="0" w:type="dxa"/>
            <w:left w:w="60" w:type="dxa"/>
            <w:bottom w:w="80" w:type="dxa"/>
            <w:right w:w="60" w:type="dxa"/>
          </w:tcMar>
        </w:tcPr>
        <w:p w:rsidR="00A10BE0" w:rsidRDefault="00A10BE0">
          <w:pPr>
            <w:jc w:val="center"/>
            <w:rPr>
              <w:b/>
              <w:color w:val="000000"/>
              <w:sz w:val="32"/>
            </w:rPr>
          </w:pPr>
          <w:r>
            <w:rPr>
              <w:b/>
              <w:color w:val="000000"/>
            </w:rPr>
            <w:fldChar w:fldCharType="begin"/>
          </w:r>
          <w:r>
            <w:rPr>
              <w:b/>
              <w:color w:val="000000"/>
            </w:rPr>
            <w:instrText>PAGE</w:instrText>
          </w:r>
          <w:r>
            <w:rPr>
              <w:b/>
              <w:color w:val="000000"/>
            </w:rPr>
            <w:fldChar w:fldCharType="separate"/>
          </w:r>
          <w:r w:rsidR="007A6DBA">
            <w:rPr>
              <w:b/>
              <w:color w:val="000000"/>
            </w:rPr>
            <w:t>32</w:t>
          </w:r>
          <w:r>
            <w:rPr>
              <w:b/>
              <w:color w:val="000000"/>
            </w:rPr>
            <w:fldChar w:fldCharType="end"/>
          </w:r>
        </w:p>
      </w:tc>
      <w:tc>
        <w:tcPr>
          <w:tcW w:w="0" w:type="auto"/>
          <w:tcMar>
            <w:top w:w="0" w:type="dxa"/>
            <w:left w:w="60" w:type="dxa"/>
            <w:bottom w:w="80" w:type="dxa"/>
            <w:right w:w="60" w:type="dxa"/>
          </w:tcMar>
        </w:tcPr>
        <w:p w:rsidR="00A10BE0" w:rsidRDefault="00A10BE0">
          <w:pPr>
            <w:jc w:val="right"/>
            <w:rPr>
              <w:b/>
              <w:color w:val="000000"/>
              <w:sz w:val="32"/>
            </w:rPr>
          </w:pPr>
          <w:r>
            <w:rPr>
              <w:b/>
              <w:bCs/>
              <w:color w:val="000000"/>
              <w:sz w:val="32"/>
              <w:lang w:val="en-GB"/>
            </w:rPr>
            <w:t>EN</w:t>
          </w:r>
        </w:p>
      </w:tc>
    </w:tr>
  </w:tbl>
  <w:p w:rsidR="00A10BE0" w:rsidRDefault="00A10BE0">
    <w:pPr>
      <w:rPr>
        <w:b/>
        <w:color w:val="000000"/>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BE0" w:rsidRDefault="00A10BE0"/>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BE0" w:rsidRDefault="00A10BE0"/>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4A0" w:firstRow="1" w:lastRow="0" w:firstColumn="1" w:lastColumn="0" w:noHBand="0" w:noVBand="1"/>
    </w:tblPr>
    <w:tblGrid>
      <w:gridCol w:w="3886"/>
      <w:gridCol w:w="2477"/>
      <w:gridCol w:w="3887"/>
    </w:tblGrid>
    <w:tr w:rsidR="00A10BE0">
      <w:tc>
        <w:tcPr>
          <w:tcW w:w="0" w:type="auto"/>
          <w:tcMar>
            <w:top w:w="0" w:type="dxa"/>
            <w:left w:w="60" w:type="dxa"/>
            <w:bottom w:w="80" w:type="dxa"/>
            <w:right w:w="60" w:type="dxa"/>
          </w:tcMar>
        </w:tcPr>
        <w:p w:rsidR="00A10BE0" w:rsidRDefault="00A10BE0">
          <w:pPr>
            <w:rPr>
              <w:b/>
              <w:color w:val="000000"/>
            </w:rPr>
          </w:pPr>
          <w:r>
            <w:rPr>
              <w:b/>
              <w:bCs/>
              <w:color w:val="000000"/>
              <w:sz w:val="32"/>
              <w:lang w:val="en-GB"/>
            </w:rPr>
            <w:t>EN</w:t>
          </w:r>
        </w:p>
      </w:tc>
      <w:tc>
        <w:tcPr>
          <w:tcW w:w="0" w:type="auto"/>
          <w:tcMar>
            <w:top w:w="0" w:type="dxa"/>
            <w:left w:w="60" w:type="dxa"/>
            <w:bottom w:w="80" w:type="dxa"/>
            <w:right w:w="60" w:type="dxa"/>
          </w:tcMar>
        </w:tcPr>
        <w:p w:rsidR="00A10BE0" w:rsidRDefault="00A10BE0">
          <w:pPr>
            <w:jc w:val="center"/>
            <w:rPr>
              <w:b/>
              <w:color w:val="000000"/>
              <w:sz w:val="32"/>
            </w:rPr>
          </w:pPr>
          <w:r>
            <w:rPr>
              <w:b/>
              <w:color w:val="000000"/>
            </w:rPr>
            <w:fldChar w:fldCharType="begin"/>
          </w:r>
          <w:r>
            <w:rPr>
              <w:b/>
              <w:color w:val="000000"/>
            </w:rPr>
            <w:instrText>PAGE</w:instrText>
          </w:r>
          <w:r>
            <w:rPr>
              <w:b/>
              <w:color w:val="000000"/>
            </w:rPr>
            <w:fldChar w:fldCharType="separate"/>
          </w:r>
          <w:r w:rsidR="007A6DBA">
            <w:rPr>
              <w:b/>
              <w:color w:val="000000"/>
            </w:rPr>
            <w:t>33</w:t>
          </w:r>
          <w:r>
            <w:rPr>
              <w:b/>
              <w:color w:val="000000"/>
            </w:rPr>
            <w:fldChar w:fldCharType="end"/>
          </w:r>
        </w:p>
      </w:tc>
      <w:tc>
        <w:tcPr>
          <w:tcW w:w="0" w:type="auto"/>
          <w:tcMar>
            <w:top w:w="0" w:type="dxa"/>
            <w:left w:w="60" w:type="dxa"/>
            <w:bottom w:w="80" w:type="dxa"/>
            <w:right w:w="60" w:type="dxa"/>
          </w:tcMar>
        </w:tcPr>
        <w:p w:rsidR="00A10BE0" w:rsidRDefault="00A10BE0">
          <w:pPr>
            <w:jc w:val="right"/>
            <w:rPr>
              <w:b/>
              <w:color w:val="000000"/>
              <w:sz w:val="32"/>
            </w:rPr>
          </w:pPr>
          <w:r>
            <w:rPr>
              <w:b/>
              <w:bCs/>
              <w:color w:val="000000"/>
              <w:sz w:val="32"/>
              <w:lang w:val="en-GB"/>
            </w:rPr>
            <w:t>EN</w:t>
          </w:r>
        </w:p>
      </w:tc>
    </w:tr>
  </w:tbl>
  <w:p w:rsidR="00A10BE0" w:rsidRDefault="00A10BE0">
    <w:pPr>
      <w:rPr>
        <w:b/>
        <w:color w:val="000000"/>
      </w:rP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BE0" w:rsidRDefault="00A10BE0"/>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BE0" w:rsidRDefault="00A10BE0"/>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4A0" w:firstRow="1" w:lastRow="0" w:firstColumn="1" w:lastColumn="0" w:noHBand="0" w:noVBand="1"/>
    </w:tblPr>
    <w:tblGrid>
      <w:gridCol w:w="5757"/>
      <w:gridCol w:w="3668"/>
      <w:gridCol w:w="5757"/>
    </w:tblGrid>
    <w:tr w:rsidR="00A10BE0">
      <w:tc>
        <w:tcPr>
          <w:tcW w:w="0" w:type="auto"/>
          <w:tcMar>
            <w:top w:w="0" w:type="dxa"/>
            <w:left w:w="60" w:type="dxa"/>
            <w:bottom w:w="80" w:type="dxa"/>
            <w:right w:w="60" w:type="dxa"/>
          </w:tcMar>
        </w:tcPr>
        <w:p w:rsidR="00A10BE0" w:rsidRDefault="00A10BE0">
          <w:pPr>
            <w:rPr>
              <w:b/>
              <w:color w:val="000000"/>
            </w:rPr>
          </w:pPr>
          <w:r>
            <w:rPr>
              <w:b/>
              <w:bCs/>
              <w:color w:val="000000"/>
              <w:sz w:val="32"/>
              <w:lang w:val="en-GB"/>
            </w:rPr>
            <w:t>EN</w:t>
          </w:r>
        </w:p>
      </w:tc>
      <w:tc>
        <w:tcPr>
          <w:tcW w:w="0" w:type="auto"/>
          <w:tcMar>
            <w:top w:w="0" w:type="dxa"/>
            <w:left w:w="60" w:type="dxa"/>
            <w:bottom w:w="80" w:type="dxa"/>
            <w:right w:w="60" w:type="dxa"/>
          </w:tcMar>
        </w:tcPr>
        <w:p w:rsidR="00A10BE0" w:rsidRDefault="00A10BE0">
          <w:pPr>
            <w:jc w:val="center"/>
            <w:rPr>
              <w:b/>
              <w:color w:val="000000"/>
              <w:sz w:val="32"/>
            </w:rPr>
          </w:pPr>
          <w:r>
            <w:rPr>
              <w:b/>
              <w:color w:val="000000"/>
            </w:rPr>
            <w:fldChar w:fldCharType="begin"/>
          </w:r>
          <w:r>
            <w:rPr>
              <w:b/>
              <w:color w:val="000000"/>
            </w:rPr>
            <w:instrText>PAGE</w:instrText>
          </w:r>
          <w:r>
            <w:rPr>
              <w:b/>
              <w:color w:val="000000"/>
            </w:rPr>
            <w:fldChar w:fldCharType="separate"/>
          </w:r>
          <w:r w:rsidR="007A6DBA">
            <w:rPr>
              <w:b/>
              <w:color w:val="000000"/>
            </w:rPr>
            <w:t>36</w:t>
          </w:r>
          <w:r>
            <w:rPr>
              <w:b/>
              <w:color w:val="000000"/>
            </w:rPr>
            <w:fldChar w:fldCharType="end"/>
          </w:r>
        </w:p>
      </w:tc>
      <w:tc>
        <w:tcPr>
          <w:tcW w:w="0" w:type="auto"/>
          <w:tcMar>
            <w:top w:w="0" w:type="dxa"/>
            <w:left w:w="60" w:type="dxa"/>
            <w:bottom w:w="80" w:type="dxa"/>
            <w:right w:w="60" w:type="dxa"/>
          </w:tcMar>
        </w:tcPr>
        <w:p w:rsidR="00A10BE0" w:rsidRDefault="00A10BE0">
          <w:pPr>
            <w:jc w:val="right"/>
            <w:rPr>
              <w:b/>
              <w:color w:val="000000"/>
              <w:sz w:val="32"/>
            </w:rPr>
          </w:pPr>
          <w:r>
            <w:rPr>
              <w:b/>
              <w:bCs/>
              <w:color w:val="000000"/>
              <w:sz w:val="32"/>
              <w:lang w:val="en-GB"/>
            </w:rPr>
            <w:t>EN</w:t>
          </w:r>
        </w:p>
      </w:tc>
    </w:tr>
  </w:tbl>
  <w:p w:rsidR="00A10BE0" w:rsidRDefault="00A10BE0">
    <w:pPr>
      <w:rPr>
        <w:b/>
        <w:color w:val="000000"/>
      </w:rP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BE0" w:rsidRDefault="00A10BE0"/>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BE0" w:rsidRDefault="00A10BE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4A0" w:firstRow="1" w:lastRow="0" w:firstColumn="1" w:lastColumn="0" w:noHBand="0" w:noVBand="1"/>
    </w:tblPr>
    <w:tblGrid>
      <w:gridCol w:w="4107"/>
      <w:gridCol w:w="2037"/>
      <w:gridCol w:w="4106"/>
    </w:tblGrid>
    <w:tr w:rsidR="00A10BE0">
      <w:trPr>
        <w:trHeight w:val="240"/>
      </w:trPr>
      <w:tc>
        <w:tcPr>
          <w:tcW w:w="0" w:type="auto"/>
          <w:tcMar>
            <w:left w:w="100" w:type="dxa"/>
            <w:right w:w="100" w:type="dxa"/>
          </w:tcMar>
        </w:tcPr>
        <w:p w:rsidR="00A10BE0" w:rsidRDefault="00A10BE0">
          <w:pPr>
            <w:rPr>
              <w:b/>
              <w:color w:val="000000"/>
            </w:rPr>
          </w:pPr>
          <w:r>
            <w:rPr>
              <w:b/>
              <w:bCs/>
              <w:color w:val="000000"/>
              <w:sz w:val="32"/>
              <w:lang w:val="en-GB"/>
            </w:rPr>
            <w:t>EN</w:t>
          </w:r>
        </w:p>
      </w:tc>
      <w:tc>
        <w:tcPr>
          <w:tcW w:w="0" w:type="auto"/>
          <w:tcMar>
            <w:left w:w="100" w:type="dxa"/>
            <w:right w:w="100" w:type="dxa"/>
          </w:tcMar>
        </w:tcPr>
        <w:p w:rsidR="00A10BE0" w:rsidRDefault="00A10BE0">
          <w:pPr>
            <w:jc w:val="center"/>
            <w:rPr>
              <w:b/>
              <w:color w:val="000000"/>
              <w:sz w:val="32"/>
            </w:rPr>
          </w:pPr>
          <w:r>
            <w:rPr>
              <w:b/>
              <w:color w:val="000000"/>
            </w:rPr>
            <w:fldChar w:fldCharType="begin"/>
          </w:r>
          <w:r>
            <w:rPr>
              <w:b/>
              <w:color w:val="000000"/>
            </w:rPr>
            <w:instrText>PAGE</w:instrText>
          </w:r>
          <w:r>
            <w:rPr>
              <w:b/>
              <w:color w:val="000000"/>
            </w:rPr>
            <w:fldChar w:fldCharType="separate"/>
          </w:r>
          <w:r w:rsidR="002A06CB">
            <w:rPr>
              <w:b/>
              <w:color w:val="000000"/>
            </w:rPr>
            <w:t>9</w:t>
          </w:r>
          <w:r>
            <w:rPr>
              <w:b/>
              <w:color w:val="000000"/>
            </w:rPr>
            <w:fldChar w:fldCharType="end"/>
          </w:r>
        </w:p>
      </w:tc>
      <w:tc>
        <w:tcPr>
          <w:tcW w:w="0" w:type="auto"/>
          <w:tcMar>
            <w:left w:w="100" w:type="dxa"/>
            <w:right w:w="100" w:type="dxa"/>
          </w:tcMar>
        </w:tcPr>
        <w:p w:rsidR="00A10BE0" w:rsidRDefault="00A10BE0">
          <w:pPr>
            <w:jc w:val="right"/>
            <w:rPr>
              <w:b/>
              <w:color w:val="000000"/>
              <w:sz w:val="32"/>
            </w:rPr>
          </w:pPr>
          <w:r>
            <w:rPr>
              <w:b/>
              <w:bCs/>
              <w:color w:val="000000"/>
              <w:sz w:val="32"/>
              <w:lang w:val="en-GB"/>
            </w:rPr>
            <w:t>EN</w:t>
          </w:r>
        </w:p>
      </w:tc>
    </w:tr>
  </w:tbl>
  <w:p w:rsidR="00A10BE0" w:rsidRDefault="00A10BE0">
    <w:pPr>
      <w:rPr>
        <w:b/>
        <w:color w:val="000000"/>
      </w:rP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4A0" w:firstRow="1" w:lastRow="0" w:firstColumn="1" w:lastColumn="0" w:noHBand="0" w:noVBand="1"/>
    </w:tblPr>
    <w:tblGrid>
      <w:gridCol w:w="3886"/>
      <w:gridCol w:w="2477"/>
      <w:gridCol w:w="3887"/>
    </w:tblGrid>
    <w:tr w:rsidR="00A10BE0">
      <w:tc>
        <w:tcPr>
          <w:tcW w:w="0" w:type="auto"/>
          <w:tcMar>
            <w:top w:w="0" w:type="dxa"/>
            <w:left w:w="60" w:type="dxa"/>
            <w:bottom w:w="80" w:type="dxa"/>
            <w:right w:w="60" w:type="dxa"/>
          </w:tcMar>
        </w:tcPr>
        <w:p w:rsidR="00A10BE0" w:rsidRDefault="00A10BE0">
          <w:pPr>
            <w:rPr>
              <w:b/>
              <w:color w:val="000000"/>
            </w:rPr>
          </w:pPr>
          <w:r>
            <w:rPr>
              <w:b/>
              <w:bCs/>
              <w:color w:val="000000"/>
              <w:sz w:val="32"/>
              <w:lang w:val="en-GB"/>
            </w:rPr>
            <w:t>EN</w:t>
          </w:r>
        </w:p>
      </w:tc>
      <w:tc>
        <w:tcPr>
          <w:tcW w:w="0" w:type="auto"/>
          <w:tcMar>
            <w:top w:w="0" w:type="dxa"/>
            <w:left w:w="60" w:type="dxa"/>
            <w:bottom w:w="80" w:type="dxa"/>
            <w:right w:w="60" w:type="dxa"/>
          </w:tcMar>
        </w:tcPr>
        <w:p w:rsidR="00A10BE0" w:rsidRDefault="00A10BE0">
          <w:pPr>
            <w:jc w:val="center"/>
            <w:rPr>
              <w:b/>
              <w:color w:val="000000"/>
              <w:sz w:val="32"/>
            </w:rPr>
          </w:pPr>
          <w:r>
            <w:rPr>
              <w:b/>
              <w:color w:val="000000"/>
            </w:rPr>
            <w:fldChar w:fldCharType="begin"/>
          </w:r>
          <w:r>
            <w:rPr>
              <w:b/>
              <w:color w:val="000000"/>
            </w:rPr>
            <w:instrText>PAGE</w:instrText>
          </w:r>
          <w:r>
            <w:rPr>
              <w:b/>
              <w:color w:val="000000"/>
            </w:rPr>
            <w:fldChar w:fldCharType="separate"/>
          </w:r>
          <w:r w:rsidR="007A6DBA">
            <w:rPr>
              <w:b/>
              <w:color w:val="000000"/>
            </w:rPr>
            <w:t>38</w:t>
          </w:r>
          <w:r>
            <w:rPr>
              <w:b/>
              <w:color w:val="000000"/>
            </w:rPr>
            <w:fldChar w:fldCharType="end"/>
          </w:r>
        </w:p>
      </w:tc>
      <w:tc>
        <w:tcPr>
          <w:tcW w:w="0" w:type="auto"/>
          <w:tcMar>
            <w:top w:w="0" w:type="dxa"/>
            <w:left w:w="60" w:type="dxa"/>
            <w:bottom w:w="80" w:type="dxa"/>
            <w:right w:w="60" w:type="dxa"/>
          </w:tcMar>
        </w:tcPr>
        <w:p w:rsidR="00A10BE0" w:rsidRDefault="00A10BE0">
          <w:pPr>
            <w:jc w:val="right"/>
            <w:rPr>
              <w:b/>
              <w:color w:val="000000"/>
              <w:sz w:val="32"/>
            </w:rPr>
          </w:pPr>
          <w:r>
            <w:rPr>
              <w:b/>
              <w:bCs/>
              <w:color w:val="000000"/>
              <w:sz w:val="32"/>
              <w:lang w:val="en-GB"/>
            </w:rPr>
            <w:t>EN</w:t>
          </w:r>
        </w:p>
      </w:tc>
    </w:tr>
  </w:tbl>
  <w:p w:rsidR="00A10BE0" w:rsidRDefault="00A10BE0">
    <w:pPr>
      <w:rPr>
        <w:b/>
        <w:color w:val="000000"/>
      </w:rP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BE0" w:rsidRDefault="00A10BE0"/>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BE0" w:rsidRDefault="00A10BE0"/>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4A0" w:firstRow="1" w:lastRow="0" w:firstColumn="1" w:lastColumn="0" w:noHBand="0" w:noVBand="1"/>
    </w:tblPr>
    <w:tblGrid>
      <w:gridCol w:w="5757"/>
      <w:gridCol w:w="3668"/>
      <w:gridCol w:w="5757"/>
    </w:tblGrid>
    <w:tr w:rsidR="00A10BE0">
      <w:tc>
        <w:tcPr>
          <w:tcW w:w="0" w:type="auto"/>
          <w:tcMar>
            <w:top w:w="0" w:type="dxa"/>
            <w:left w:w="60" w:type="dxa"/>
            <w:bottom w:w="80" w:type="dxa"/>
            <w:right w:w="60" w:type="dxa"/>
          </w:tcMar>
        </w:tcPr>
        <w:p w:rsidR="00A10BE0" w:rsidRDefault="00A10BE0">
          <w:pPr>
            <w:rPr>
              <w:b/>
              <w:color w:val="000000"/>
            </w:rPr>
          </w:pPr>
          <w:r>
            <w:rPr>
              <w:b/>
              <w:bCs/>
              <w:color w:val="000000"/>
              <w:sz w:val="32"/>
              <w:lang w:val="en-GB"/>
            </w:rPr>
            <w:t>EN</w:t>
          </w:r>
        </w:p>
      </w:tc>
      <w:tc>
        <w:tcPr>
          <w:tcW w:w="0" w:type="auto"/>
          <w:tcMar>
            <w:top w:w="0" w:type="dxa"/>
            <w:left w:w="60" w:type="dxa"/>
            <w:bottom w:w="80" w:type="dxa"/>
            <w:right w:w="60" w:type="dxa"/>
          </w:tcMar>
        </w:tcPr>
        <w:p w:rsidR="00A10BE0" w:rsidRDefault="00A10BE0">
          <w:pPr>
            <w:jc w:val="center"/>
            <w:rPr>
              <w:b/>
              <w:color w:val="000000"/>
              <w:sz w:val="32"/>
            </w:rPr>
          </w:pPr>
          <w:r>
            <w:rPr>
              <w:b/>
              <w:color w:val="000000"/>
            </w:rPr>
            <w:fldChar w:fldCharType="begin"/>
          </w:r>
          <w:r>
            <w:rPr>
              <w:b/>
              <w:color w:val="000000"/>
            </w:rPr>
            <w:instrText>PAGE</w:instrText>
          </w:r>
          <w:r>
            <w:rPr>
              <w:b/>
              <w:color w:val="000000"/>
            </w:rPr>
            <w:fldChar w:fldCharType="separate"/>
          </w:r>
          <w:r w:rsidR="007A6DBA">
            <w:rPr>
              <w:b/>
              <w:color w:val="000000"/>
            </w:rPr>
            <w:t>42</w:t>
          </w:r>
          <w:r>
            <w:rPr>
              <w:b/>
              <w:color w:val="000000"/>
            </w:rPr>
            <w:fldChar w:fldCharType="end"/>
          </w:r>
        </w:p>
      </w:tc>
      <w:tc>
        <w:tcPr>
          <w:tcW w:w="0" w:type="auto"/>
          <w:tcMar>
            <w:top w:w="0" w:type="dxa"/>
            <w:left w:w="60" w:type="dxa"/>
            <w:bottom w:w="80" w:type="dxa"/>
            <w:right w:w="60" w:type="dxa"/>
          </w:tcMar>
        </w:tcPr>
        <w:p w:rsidR="00A10BE0" w:rsidRDefault="00A10BE0">
          <w:pPr>
            <w:jc w:val="right"/>
            <w:rPr>
              <w:b/>
              <w:color w:val="000000"/>
              <w:sz w:val="32"/>
            </w:rPr>
          </w:pPr>
          <w:r>
            <w:rPr>
              <w:b/>
              <w:bCs/>
              <w:color w:val="000000"/>
              <w:sz w:val="32"/>
              <w:lang w:val="en-GB"/>
            </w:rPr>
            <w:t>EN</w:t>
          </w:r>
        </w:p>
      </w:tc>
    </w:tr>
  </w:tbl>
  <w:p w:rsidR="00A10BE0" w:rsidRDefault="00A10BE0">
    <w:pPr>
      <w:rPr>
        <w:b/>
        <w:color w:val="000000"/>
      </w:rPr>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BE0" w:rsidRDefault="00A10BE0"/>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BE0" w:rsidRDefault="00A10BE0"/>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4A0" w:firstRow="1" w:lastRow="0" w:firstColumn="1" w:lastColumn="0" w:noHBand="0" w:noVBand="1"/>
    </w:tblPr>
    <w:tblGrid>
      <w:gridCol w:w="5757"/>
      <w:gridCol w:w="3668"/>
      <w:gridCol w:w="5757"/>
    </w:tblGrid>
    <w:tr w:rsidR="00A10BE0">
      <w:tc>
        <w:tcPr>
          <w:tcW w:w="0" w:type="auto"/>
          <w:tcMar>
            <w:top w:w="0" w:type="dxa"/>
            <w:left w:w="60" w:type="dxa"/>
            <w:bottom w:w="80" w:type="dxa"/>
            <w:right w:w="60" w:type="dxa"/>
          </w:tcMar>
          <w:vAlign w:val="center"/>
        </w:tcPr>
        <w:p w:rsidR="00A10BE0" w:rsidRDefault="00A10BE0">
          <w:pPr>
            <w:rPr>
              <w:b/>
              <w:color w:val="000000"/>
            </w:rPr>
          </w:pPr>
          <w:r>
            <w:rPr>
              <w:b/>
              <w:bCs/>
              <w:color w:val="000000"/>
              <w:sz w:val="32"/>
              <w:lang w:val="en-GB"/>
            </w:rPr>
            <w:t>EN</w:t>
          </w:r>
        </w:p>
      </w:tc>
      <w:tc>
        <w:tcPr>
          <w:tcW w:w="0" w:type="auto"/>
          <w:tcMar>
            <w:top w:w="0" w:type="dxa"/>
            <w:left w:w="60" w:type="dxa"/>
            <w:bottom w:w="80" w:type="dxa"/>
            <w:right w:w="60" w:type="dxa"/>
          </w:tcMar>
          <w:vAlign w:val="center"/>
        </w:tcPr>
        <w:p w:rsidR="00A10BE0" w:rsidRDefault="00A10BE0">
          <w:pPr>
            <w:jc w:val="center"/>
            <w:rPr>
              <w:b/>
              <w:color w:val="000000"/>
              <w:sz w:val="32"/>
            </w:rPr>
          </w:pPr>
          <w:r>
            <w:rPr>
              <w:b/>
              <w:color w:val="000000"/>
            </w:rPr>
            <w:fldChar w:fldCharType="begin"/>
          </w:r>
          <w:r>
            <w:rPr>
              <w:b/>
              <w:color w:val="000000"/>
            </w:rPr>
            <w:instrText>PAGE</w:instrText>
          </w:r>
          <w:r>
            <w:rPr>
              <w:b/>
              <w:color w:val="000000"/>
            </w:rPr>
            <w:fldChar w:fldCharType="separate"/>
          </w:r>
          <w:r w:rsidR="007A6DBA">
            <w:rPr>
              <w:b/>
              <w:color w:val="000000"/>
            </w:rPr>
            <w:t>49</w:t>
          </w:r>
          <w:r>
            <w:rPr>
              <w:b/>
              <w:color w:val="000000"/>
            </w:rPr>
            <w:fldChar w:fldCharType="end"/>
          </w:r>
        </w:p>
      </w:tc>
      <w:tc>
        <w:tcPr>
          <w:tcW w:w="0" w:type="auto"/>
          <w:tcMar>
            <w:top w:w="0" w:type="dxa"/>
            <w:left w:w="60" w:type="dxa"/>
            <w:bottom w:w="80" w:type="dxa"/>
            <w:right w:w="60" w:type="dxa"/>
          </w:tcMar>
          <w:vAlign w:val="center"/>
        </w:tcPr>
        <w:p w:rsidR="00A10BE0" w:rsidRDefault="00A10BE0">
          <w:pPr>
            <w:jc w:val="right"/>
            <w:rPr>
              <w:b/>
              <w:color w:val="000000"/>
              <w:sz w:val="32"/>
            </w:rPr>
          </w:pPr>
          <w:r>
            <w:rPr>
              <w:b/>
              <w:bCs/>
              <w:color w:val="000000"/>
              <w:sz w:val="32"/>
              <w:lang w:val="en-GB"/>
            </w:rPr>
            <w:t>EN</w:t>
          </w:r>
        </w:p>
      </w:tc>
    </w:tr>
  </w:tbl>
  <w:p w:rsidR="00A10BE0" w:rsidRDefault="00A10BE0">
    <w:pPr>
      <w:rPr>
        <w:b/>
        <w:color w:val="000000"/>
      </w:rPr>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BE0" w:rsidRDefault="00A10BE0"/>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BE0" w:rsidRDefault="00A10BE0"/>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4A0" w:firstRow="1" w:lastRow="0" w:firstColumn="1" w:lastColumn="0" w:noHBand="0" w:noVBand="1"/>
    </w:tblPr>
    <w:tblGrid>
      <w:gridCol w:w="3886"/>
      <w:gridCol w:w="2477"/>
      <w:gridCol w:w="3887"/>
    </w:tblGrid>
    <w:tr w:rsidR="00A10BE0">
      <w:tc>
        <w:tcPr>
          <w:tcW w:w="0" w:type="auto"/>
          <w:tcMar>
            <w:top w:w="0" w:type="dxa"/>
            <w:left w:w="60" w:type="dxa"/>
            <w:bottom w:w="80" w:type="dxa"/>
            <w:right w:w="60" w:type="dxa"/>
          </w:tcMar>
        </w:tcPr>
        <w:p w:rsidR="00A10BE0" w:rsidRDefault="00A10BE0">
          <w:pPr>
            <w:rPr>
              <w:b/>
              <w:color w:val="000000"/>
            </w:rPr>
          </w:pPr>
          <w:r>
            <w:rPr>
              <w:b/>
              <w:bCs/>
              <w:color w:val="000000"/>
              <w:sz w:val="32"/>
              <w:lang w:val="en-GB"/>
            </w:rPr>
            <w:t>EN</w:t>
          </w:r>
        </w:p>
      </w:tc>
      <w:tc>
        <w:tcPr>
          <w:tcW w:w="0" w:type="auto"/>
          <w:tcMar>
            <w:top w:w="0" w:type="dxa"/>
            <w:left w:w="60" w:type="dxa"/>
            <w:bottom w:w="80" w:type="dxa"/>
            <w:right w:w="60" w:type="dxa"/>
          </w:tcMar>
        </w:tcPr>
        <w:p w:rsidR="00A10BE0" w:rsidRDefault="00A10BE0">
          <w:pPr>
            <w:jc w:val="center"/>
            <w:rPr>
              <w:b/>
              <w:color w:val="000000"/>
              <w:sz w:val="32"/>
            </w:rPr>
          </w:pPr>
          <w:r>
            <w:rPr>
              <w:b/>
              <w:color w:val="000000"/>
            </w:rPr>
            <w:fldChar w:fldCharType="begin"/>
          </w:r>
          <w:r>
            <w:rPr>
              <w:b/>
              <w:color w:val="000000"/>
            </w:rPr>
            <w:instrText>PAGE</w:instrText>
          </w:r>
          <w:r>
            <w:rPr>
              <w:b/>
              <w:color w:val="000000"/>
            </w:rPr>
            <w:fldChar w:fldCharType="separate"/>
          </w:r>
          <w:r w:rsidR="007A6DBA">
            <w:rPr>
              <w:b/>
              <w:color w:val="000000"/>
            </w:rPr>
            <w:t>55</w:t>
          </w:r>
          <w:r>
            <w:rPr>
              <w:b/>
              <w:color w:val="000000"/>
            </w:rPr>
            <w:fldChar w:fldCharType="end"/>
          </w:r>
        </w:p>
      </w:tc>
      <w:tc>
        <w:tcPr>
          <w:tcW w:w="0" w:type="auto"/>
          <w:tcMar>
            <w:top w:w="0" w:type="dxa"/>
            <w:left w:w="60" w:type="dxa"/>
            <w:bottom w:w="80" w:type="dxa"/>
            <w:right w:w="60" w:type="dxa"/>
          </w:tcMar>
        </w:tcPr>
        <w:p w:rsidR="00A10BE0" w:rsidRDefault="00A10BE0">
          <w:pPr>
            <w:jc w:val="right"/>
            <w:rPr>
              <w:b/>
              <w:color w:val="000000"/>
              <w:sz w:val="32"/>
            </w:rPr>
          </w:pPr>
          <w:r>
            <w:rPr>
              <w:b/>
              <w:bCs/>
              <w:color w:val="000000"/>
              <w:sz w:val="32"/>
              <w:lang w:val="en-GB"/>
            </w:rPr>
            <w:t>EN</w:t>
          </w:r>
        </w:p>
      </w:tc>
    </w:tr>
  </w:tbl>
  <w:p w:rsidR="00A10BE0" w:rsidRDefault="00A10BE0">
    <w:pPr>
      <w:rPr>
        <w:b/>
        <w:color w:val="00000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BE0" w:rsidRDefault="00A10BE0"/>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BE0" w:rsidRDefault="00A10BE0"/>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BE0" w:rsidRDefault="00A10BE0"/>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4A0" w:firstRow="1" w:lastRow="0" w:firstColumn="1" w:lastColumn="0" w:noHBand="0" w:noVBand="1"/>
    </w:tblPr>
    <w:tblGrid>
      <w:gridCol w:w="5757"/>
      <w:gridCol w:w="3668"/>
      <w:gridCol w:w="5757"/>
    </w:tblGrid>
    <w:tr w:rsidR="00A10BE0">
      <w:tc>
        <w:tcPr>
          <w:tcW w:w="0" w:type="auto"/>
          <w:tcMar>
            <w:top w:w="0" w:type="dxa"/>
            <w:left w:w="60" w:type="dxa"/>
            <w:bottom w:w="80" w:type="dxa"/>
            <w:right w:w="60" w:type="dxa"/>
          </w:tcMar>
        </w:tcPr>
        <w:p w:rsidR="00A10BE0" w:rsidRDefault="00A10BE0">
          <w:pPr>
            <w:rPr>
              <w:b/>
              <w:color w:val="000000"/>
            </w:rPr>
          </w:pPr>
          <w:r>
            <w:rPr>
              <w:b/>
              <w:bCs/>
              <w:color w:val="000000"/>
              <w:sz w:val="32"/>
              <w:lang w:val="en-GB"/>
            </w:rPr>
            <w:t>EN</w:t>
          </w:r>
        </w:p>
      </w:tc>
      <w:tc>
        <w:tcPr>
          <w:tcW w:w="0" w:type="auto"/>
          <w:tcMar>
            <w:top w:w="0" w:type="dxa"/>
            <w:left w:w="60" w:type="dxa"/>
            <w:bottom w:w="80" w:type="dxa"/>
            <w:right w:w="60" w:type="dxa"/>
          </w:tcMar>
        </w:tcPr>
        <w:p w:rsidR="00A10BE0" w:rsidRDefault="00A10BE0">
          <w:pPr>
            <w:jc w:val="center"/>
            <w:rPr>
              <w:b/>
              <w:color w:val="000000"/>
              <w:sz w:val="32"/>
            </w:rPr>
          </w:pPr>
          <w:r>
            <w:rPr>
              <w:b/>
              <w:color w:val="000000"/>
            </w:rPr>
            <w:fldChar w:fldCharType="begin"/>
          </w:r>
          <w:r>
            <w:rPr>
              <w:b/>
              <w:color w:val="000000"/>
            </w:rPr>
            <w:instrText>PAGE</w:instrText>
          </w:r>
          <w:r>
            <w:rPr>
              <w:b/>
              <w:color w:val="000000"/>
            </w:rPr>
            <w:fldChar w:fldCharType="separate"/>
          </w:r>
          <w:r w:rsidR="007A6DBA">
            <w:rPr>
              <w:b/>
              <w:color w:val="000000"/>
            </w:rPr>
            <w:t>57</w:t>
          </w:r>
          <w:r>
            <w:rPr>
              <w:b/>
              <w:color w:val="000000"/>
            </w:rPr>
            <w:fldChar w:fldCharType="end"/>
          </w:r>
        </w:p>
      </w:tc>
      <w:tc>
        <w:tcPr>
          <w:tcW w:w="0" w:type="auto"/>
          <w:tcMar>
            <w:top w:w="0" w:type="dxa"/>
            <w:left w:w="60" w:type="dxa"/>
            <w:bottom w:w="80" w:type="dxa"/>
            <w:right w:w="60" w:type="dxa"/>
          </w:tcMar>
        </w:tcPr>
        <w:p w:rsidR="00A10BE0" w:rsidRDefault="00A10BE0">
          <w:pPr>
            <w:jc w:val="right"/>
            <w:rPr>
              <w:b/>
              <w:color w:val="000000"/>
              <w:sz w:val="32"/>
            </w:rPr>
          </w:pPr>
          <w:r>
            <w:rPr>
              <w:b/>
              <w:bCs/>
              <w:color w:val="000000"/>
              <w:sz w:val="32"/>
              <w:lang w:val="en-GB"/>
            </w:rPr>
            <w:t>EN</w:t>
          </w:r>
        </w:p>
      </w:tc>
    </w:tr>
  </w:tbl>
  <w:p w:rsidR="00A10BE0" w:rsidRDefault="00A10BE0">
    <w:pPr>
      <w:rPr>
        <w:b/>
        <w:color w:val="000000"/>
      </w:rPr>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BE0" w:rsidRDefault="00A10BE0"/>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BE0" w:rsidRDefault="00A10BE0"/>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4A0" w:firstRow="1" w:lastRow="0" w:firstColumn="1" w:lastColumn="0" w:noHBand="0" w:noVBand="1"/>
    </w:tblPr>
    <w:tblGrid>
      <w:gridCol w:w="3886"/>
      <w:gridCol w:w="2477"/>
      <w:gridCol w:w="3887"/>
    </w:tblGrid>
    <w:tr w:rsidR="00A10BE0">
      <w:tc>
        <w:tcPr>
          <w:tcW w:w="0" w:type="auto"/>
          <w:tcMar>
            <w:top w:w="0" w:type="dxa"/>
            <w:left w:w="60" w:type="dxa"/>
            <w:bottom w:w="80" w:type="dxa"/>
            <w:right w:w="60" w:type="dxa"/>
          </w:tcMar>
          <w:vAlign w:val="center"/>
        </w:tcPr>
        <w:p w:rsidR="00A10BE0" w:rsidRDefault="00A10BE0">
          <w:pPr>
            <w:rPr>
              <w:b/>
              <w:color w:val="000000"/>
            </w:rPr>
          </w:pPr>
          <w:r>
            <w:rPr>
              <w:b/>
              <w:bCs/>
              <w:color w:val="000000"/>
              <w:sz w:val="32"/>
              <w:lang w:val="en-GB"/>
            </w:rPr>
            <w:t>EN</w:t>
          </w:r>
        </w:p>
      </w:tc>
      <w:tc>
        <w:tcPr>
          <w:tcW w:w="0" w:type="auto"/>
          <w:tcMar>
            <w:top w:w="0" w:type="dxa"/>
            <w:left w:w="60" w:type="dxa"/>
            <w:bottom w:w="80" w:type="dxa"/>
            <w:right w:w="60" w:type="dxa"/>
          </w:tcMar>
          <w:vAlign w:val="center"/>
        </w:tcPr>
        <w:p w:rsidR="00A10BE0" w:rsidRDefault="00A10BE0">
          <w:pPr>
            <w:jc w:val="center"/>
            <w:rPr>
              <w:b/>
              <w:color w:val="000000"/>
              <w:sz w:val="32"/>
            </w:rPr>
          </w:pPr>
          <w:r>
            <w:rPr>
              <w:b/>
              <w:color w:val="000000"/>
            </w:rPr>
            <w:fldChar w:fldCharType="begin"/>
          </w:r>
          <w:r>
            <w:rPr>
              <w:b/>
              <w:color w:val="000000"/>
            </w:rPr>
            <w:instrText>PAGE</w:instrText>
          </w:r>
          <w:r>
            <w:rPr>
              <w:b/>
              <w:color w:val="000000"/>
            </w:rPr>
            <w:fldChar w:fldCharType="separate"/>
          </w:r>
          <w:r w:rsidR="007A6DBA">
            <w:rPr>
              <w:b/>
              <w:color w:val="000000"/>
            </w:rPr>
            <w:t>61</w:t>
          </w:r>
          <w:r>
            <w:rPr>
              <w:b/>
              <w:color w:val="000000"/>
            </w:rPr>
            <w:fldChar w:fldCharType="end"/>
          </w:r>
        </w:p>
      </w:tc>
      <w:tc>
        <w:tcPr>
          <w:tcW w:w="0" w:type="auto"/>
          <w:tcMar>
            <w:top w:w="0" w:type="dxa"/>
            <w:left w:w="60" w:type="dxa"/>
            <w:bottom w:w="80" w:type="dxa"/>
            <w:right w:w="60" w:type="dxa"/>
          </w:tcMar>
          <w:vAlign w:val="center"/>
        </w:tcPr>
        <w:p w:rsidR="00A10BE0" w:rsidRDefault="00A10BE0">
          <w:pPr>
            <w:jc w:val="right"/>
            <w:rPr>
              <w:b/>
              <w:color w:val="000000"/>
              <w:sz w:val="32"/>
            </w:rPr>
          </w:pPr>
          <w:r>
            <w:rPr>
              <w:b/>
              <w:bCs/>
              <w:color w:val="000000"/>
              <w:sz w:val="32"/>
              <w:lang w:val="en-GB"/>
            </w:rPr>
            <w:t>EN</w:t>
          </w:r>
        </w:p>
      </w:tc>
    </w:tr>
  </w:tbl>
  <w:p w:rsidR="00A10BE0" w:rsidRDefault="00A10BE0">
    <w:pPr>
      <w:rPr>
        <w:b/>
        <w:color w:val="000000"/>
      </w:rPr>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BE0" w:rsidRDefault="00A10BE0"/>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BE0" w:rsidRDefault="00A10BE0"/>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4A0" w:firstRow="1" w:lastRow="0" w:firstColumn="1" w:lastColumn="0" w:noHBand="0" w:noVBand="1"/>
    </w:tblPr>
    <w:tblGrid>
      <w:gridCol w:w="5622"/>
      <w:gridCol w:w="3939"/>
      <w:gridCol w:w="5621"/>
    </w:tblGrid>
    <w:tr w:rsidR="00A10BE0">
      <w:tc>
        <w:tcPr>
          <w:tcW w:w="0" w:type="auto"/>
          <w:tcMar>
            <w:top w:w="20" w:type="dxa"/>
            <w:left w:w="120" w:type="dxa"/>
            <w:bottom w:w="120" w:type="dxa"/>
            <w:right w:w="120" w:type="dxa"/>
          </w:tcMar>
          <w:vAlign w:val="bottom"/>
        </w:tcPr>
        <w:p w:rsidR="00A10BE0" w:rsidRDefault="00A10BE0">
          <w:pPr>
            <w:rPr>
              <w:b/>
              <w:color w:val="000000"/>
            </w:rPr>
          </w:pPr>
          <w:r>
            <w:rPr>
              <w:b/>
              <w:bCs/>
              <w:color w:val="000000"/>
              <w:sz w:val="32"/>
              <w:lang w:val="en-GB"/>
            </w:rPr>
            <w:t>EN</w:t>
          </w:r>
        </w:p>
      </w:tc>
      <w:tc>
        <w:tcPr>
          <w:tcW w:w="0" w:type="auto"/>
          <w:tcMar>
            <w:top w:w="20" w:type="dxa"/>
            <w:left w:w="120" w:type="dxa"/>
            <w:bottom w:w="120" w:type="dxa"/>
            <w:right w:w="120" w:type="dxa"/>
          </w:tcMar>
          <w:vAlign w:val="bottom"/>
        </w:tcPr>
        <w:p w:rsidR="00A10BE0" w:rsidRDefault="00A10BE0">
          <w:pPr>
            <w:jc w:val="center"/>
            <w:rPr>
              <w:b/>
              <w:color w:val="000000"/>
              <w:sz w:val="32"/>
            </w:rPr>
          </w:pPr>
          <w:r>
            <w:rPr>
              <w:b/>
              <w:color w:val="000000"/>
            </w:rPr>
            <w:fldChar w:fldCharType="begin"/>
          </w:r>
          <w:r>
            <w:rPr>
              <w:b/>
              <w:color w:val="000000"/>
            </w:rPr>
            <w:instrText>PAGE</w:instrText>
          </w:r>
          <w:r>
            <w:rPr>
              <w:b/>
              <w:color w:val="000000"/>
            </w:rPr>
            <w:fldChar w:fldCharType="separate"/>
          </w:r>
          <w:r w:rsidR="007A6DBA">
            <w:rPr>
              <w:b/>
              <w:color w:val="000000"/>
            </w:rPr>
            <w:t>63</w:t>
          </w:r>
          <w:r>
            <w:rPr>
              <w:b/>
              <w:color w:val="000000"/>
            </w:rPr>
            <w:fldChar w:fldCharType="end"/>
          </w:r>
        </w:p>
      </w:tc>
      <w:tc>
        <w:tcPr>
          <w:tcW w:w="0" w:type="auto"/>
          <w:tcMar>
            <w:top w:w="20" w:type="dxa"/>
            <w:left w:w="120" w:type="dxa"/>
            <w:bottom w:w="120" w:type="dxa"/>
            <w:right w:w="120" w:type="dxa"/>
          </w:tcMar>
          <w:vAlign w:val="bottom"/>
        </w:tcPr>
        <w:p w:rsidR="00A10BE0" w:rsidRDefault="00A10BE0">
          <w:pPr>
            <w:jc w:val="right"/>
            <w:rPr>
              <w:b/>
              <w:color w:val="000000"/>
              <w:sz w:val="32"/>
            </w:rPr>
          </w:pPr>
          <w:r>
            <w:rPr>
              <w:b/>
              <w:bCs/>
              <w:color w:val="000000"/>
              <w:sz w:val="32"/>
              <w:lang w:val="en-GB"/>
            </w:rPr>
            <w:t>EN</w:t>
          </w:r>
        </w:p>
      </w:tc>
    </w:tr>
  </w:tbl>
  <w:p w:rsidR="00A10BE0" w:rsidRDefault="00A10BE0">
    <w:pPr>
      <w:rPr>
        <w:b/>
        <w:color w:val="000000"/>
      </w:rPr>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BE0" w:rsidRDefault="00A10BE0"/>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BE0" w:rsidRDefault="00A10BE0"/>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BE0" w:rsidRDefault="00A10BE0"/>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4A0" w:firstRow="1" w:lastRow="0" w:firstColumn="1" w:lastColumn="0" w:noHBand="0" w:noVBand="1"/>
    </w:tblPr>
    <w:tblGrid>
      <w:gridCol w:w="3886"/>
      <w:gridCol w:w="2477"/>
      <w:gridCol w:w="3887"/>
    </w:tblGrid>
    <w:tr w:rsidR="00A10BE0">
      <w:tc>
        <w:tcPr>
          <w:tcW w:w="0" w:type="auto"/>
          <w:tcMar>
            <w:top w:w="0" w:type="dxa"/>
            <w:left w:w="60" w:type="dxa"/>
            <w:bottom w:w="80" w:type="dxa"/>
            <w:right w:w="60" w:type="dxa"/>
          </w:tcMar>
          <w:vAlign w:val="center"/>
        </w:tcPr>
        <w:p w:rsidR="00A10BE0" w:rsidRDefault="00A10BE0">
          <w:pPr>
            <w:rPr>
              <w:b/>
              <w:color w:val="000000"/>
            </w:rPr>
          </w:pPr>
          <w:r>
            <w:rPr>
              <w:b/>
              <w:bCs/>
              <w:color w:val="000000"/>
              <w:sz w:val="32"/>
              <w:lang w:val="en-GB"/>
            </w:rPr>
            <w:t>EN</w:t>
          </w:r>
        </w:p>
      </w:tc>
      <w:tc>
        <w:tcPr>
          <w:tcW w:w="0" w:type="auto"/>
          <w:tcMar>
            <w:top w:w="0" w:type="dxa"/>
            <w:left w:w="60" w:type="dxa"/>
            <w:bottom w:w="80" w:type="dxa"/>
            <w:right w:w="60" w:type="dxa"/>
          </w:tcMar>
          <w:vAlign w:val="center"/>
        </w:tcPr>
        <w:p w:rsidR="00A10BE0" w:rsidRDefault="00A10BE0">
          <w:pPr>
            <w:jc w:val="center"/>
            <w:rPr>
              <w:b/>
              <w:color w:val="000000"/>
              <w:sz w:val="32"/>
            </w:rPr>
          </w:pPr>
          <w:r>
            <w:rPr>
              <w:b/>
              <w:color w:val="000000"/>
            </w:rPr>
            <w:fldChar w:fldCharType="begin"/>
          </w:r>
          <w:r>
            <w:rPr>
              <w:b/>
              <w:color w:val="000000"/>
            </w:rPr>
            <w:instrText>PAGE</w:instrText>
          </w:r>
          <w:r>
            <w:rPr>
              <w:b/>
              <w:color w:val="000000"/>
            </w:rPr>
            <w:fldChar w:fldCharType="separate"/>
          </w:r>
          <w:r w:rsidR="007A6DBA">
            <w:rPr>
              <w:b/>
              <w:color w:val="000000"/>
            </w:rPr>
            <w:t>64</w:t>
          </w:r>
          <w:r>
            <w:rPr>
              <w:b/>
              <w:color w:val="000000"/>
            </w:rPr>
            <w:fldChar w:fldCharType="end"/>
          </w:r>
        </w:p>
      </w:tc>
      <w:tc>
        <w:tcPr>
          <w:tcW w:w="0" w:type="auto"/>
          <w:tcMar>
            <w:top w:w="0" w:type="dxa"/>
            <w:left w:w="60" w:type="dxa"/>
            <w:bottom w:w="80" w:type="dxa"/>
            <w:right w:w="60" w:type="dxa"/>
          </w:tcMar>
          <w:vAlign w:val="center"/>
        </w:tcPr>
        <w:p w:rsidR="00A10BE0" w:rsidRDefault="00A10BE0">
          <w:pPr>
            <w:jc w:val="right"/>
            <w:rPr>
              <w:b/>
              <w:color w:val="000000"/>
              <w:sz w:val="32"/>
            </w:rPr>
          </w:pPr>
          <w:r>
            <w:rPr>
              <w:b/>
              <w:bCs/>
              <w:color w:val="000000"/>
              <w:sz w:val="32"/>
              <w:lang w:val="en-GB"/>
            </w:rPr>
            <w:t>EN</w:t>
          </w:r>
        </w:p>
      </w:tc>
    </w:tr>
  </w:tbl>
  <w:p w:rsidR="00A10BE0" w:rsidRDefault="00A10BE0">
    <w:pPr>
      <w:rPr>
        <w:b/>
        <w:color w:val="000000"/>
      </w:rPr>
    </w:pP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BE0" w:rsidRDefault="00A10BE0"/>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BE0" w:rsidRDefault="00A10BE0"/>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4A0" w:firstRow="1" w:lastRow="0" w:firstColumn="1" w:lastColumn="0" w:noHBand="0" w:noVBand="1"/>
    </w:tblPr>
    <w:tblGrid>
      <w:gridCol w:w="5757"/>
      <w:gridCol w:w="3668"/>
      <w:gridCol w:w="5757"/>
    </w:tblGrid>
    <w:tr w:rsidR="00A10BE0">
      <w:tc>
        <w:tcPr>
          <w:tcW w:w="0" w:type="auto"/>
          <w:tcMar>
            <w:top w:w="0" w:type="dxa"/>
            <w:left w:w="60" w:type="dxa"/>
            <w:bottom w:w="80" w:type="dxa"/>
            <w:right w:w="60" w:type="dxa"/>
          </w:tcMar>
          <w:vAlign w:val="center"/>
        </w:tcPr>
        <w:p w:rsidR="00A10BE0" w:rsidRDefault="00A10BE0">
          <w:pPr>
            <w:rPr>
              <w:b/>
              <w:color w:val="000000"/>
            </w:rPr>
          </w:pPr>
          <w:r>
            <w:rPr>
              <w:b/>
              <w:bCs/>
              <w:color w:val="000000"/>
              <w:sz w:val="32"/>
              <w:lang w:val="en-GB"/>
            </w:rPr>
            <w:t>EN</w:t>
          </w:r>
        </w:p>
      </w:tc>
      <w:tc>
        <w:tcPr>
          <w:tcW w:w="0" w:type="auto"/>
          <w:tcMar>
            <w:top w:w="0" w:type="dxa"/>
            <w:left w:w="60" w:type="dxa"/>
            <w:bottom w:w="80" w:type="dxa"/>
            <w:right w:w="60" w:type="dxa"/>
          </w:tcMar>
          <w:vAlign w:val="center"/>
        </w:tcPr>
        <w:p w:rsidR="00A10BE0" w:rsidRDefault="00A10BE0">
          <w:pPr>
            <w:jc w:val="center"/>
            <w:rPr>
              <w:b/>
              <w:color w:val="000000"/>
              <w:sz w:val="32"/>
            </w:rPr>
          </w:pPr>
          <w:r>
            <w:rPr>
              <w:b/>
              <w:color w:val="000000"/>
            </w:rPr>
            <w:fldChar w:fldCharType="begin"/>
          </w:r>
          <w:r>
            <w:rPr>
              <w:b/>
              <w:color w:val="000000"/>
            </w:rPr>
            <w:instrText>PAGE</w:instrText>
          </w:r>
          <w:r>
            <w:rPr>
              <w:b/>
              <w:color w:val="000000"/>
            </w:rPr>
            <w:fldChar w:fldCharType="separate"/>
          </w:r>
          <w:r w:rsidR="007A6DBA">
            <w:rPr>
              <w:b/>
              <w:color w:val="000000"/>
            </w:rPr>
            <w:t>65</w:t>
          </w:r>
          <w:r>
            <w:rPr>
              <w:b/>
              <w:color w:val="000000"/>
            </w:rPr>
            <w:fldChar w:fldCharType="end"/>
          </w:r>
        </w:p>
      </w:tc>
      <w:tc>
        <w:tcPr>
          <w:tcW w:w="0" w:type="auto"/>
          <w:tcMar>
            <w:top w:w="0" w:type="dxa"/>
            <w:left w:w="60" w:type="dxa"/>
            <w:bottom w:w="80" w:type="dxa"/>
            <w:right w:w="60" w:type="dxa"/>
          </w:tcMar>
          <w:vAlign w:val="center"/>
        </w:tcPr>
        <w:p w:rsidR="00A10BE0" w:rsidRDefault="00A10BE0">
          <w:pPr>
            <w:jc w:val="right"/>
            <w:rPr>
              <w:b/>
              <w:color w:val="000000"/>
              <w:sz w:val="32"/>
            </w:rPr>
          </w:pPr>
          <w:r>
            <w:rPr>
              <w:b/>
              <w:bCs/>
              <w:color w:val="000000"/>
              <w:sz w:val="32"/>
              <w:lang w:val="en-GB"/>
            </w:rPr>
            <w:t>EN</w:t>
          </w:r>
        </w:p>
      </w:tc>
    </w:tr>
  </w:tbl>
  <w:p w:rsidR="00A10BE0" w:rsidRDefault="00A10BE0">
    <w:pPr>
      <w:rPr>
        <w:b/>
        <w:color w:val="000000"/>
      </w:rPr>
    </w:pP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BE0" w:rsidRDefault="00A10BE0"/>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4A0" w:firstRow="1" w:lastRow="0" w:firstColumn="1" w:lastColumn="0" w:noHBand="0" w:noVBand="1"/>
    </w:tblPr>
    <w:tblGrid>
      <w:gridCol w:w="3886"/>
      <w:gridCol w:w="2477"/>
      <w:gridCol w:w="3887"/>
    </w:tblGrid>
    <w:tr w:rsidR="00A10BE0">
      <w:trPr>
        <w:trHeight w:val="160"/>
      </w:trPr>
      <w:tc>
        <w:tcPr>
          <w:tcW w:w="0" w:type="auto"/>
          <w:tcMar>
            <w:top w:w="0" w:type="dxa"/>
            <w:left w:w="60" w:type="dxa"/>
            <w:bottom w:w="80" w:type="dxa"/>
            <w:right w:w="60" w:type="dxa"/>
          </w:tcMar>
        </w:tcPr>
        <w:p w:rsidR="00A10BE0" w:rsidRDefault="00A10BE0">
          <w:pPr>
            <w:rPr>
              <w:b/>
              <w:color w:val="000000"/>
            </w:rPr>
          </w:pPr>
          <w:r>
            <w:rPr>
              <w:b/>
              <w:bCs/>
              <w:color w:val="000000"/>
              <w:sz w:val="32"/>
              <w:lang w:val="en-GB"/>
            </w:rPr>
            <w:t>EN</w:t>
          </w:r>
        </w:p>
      </w:tc>
      <w:tc>
        <w:tcPr>
          <w:tcW w:w="0" w:type="auto"/>
          <w:tcMar>
            <w:top w:w="0" w:type="dxa"/>
            <w:left w:w="60" w:type="dxa"/>
            <w:bottom w:w="80" w:type="dxa"/>
            <w:right w:w="60" w:type="dxa"/>
          </w:tcMar>
        </w:tcPr>
        <w:p w:rsidR="00A10BE0" w:rsidRDefault="00A10BE0">
          <w:pPr>
            <w:jc w:val="center"/>
            <w:rPr>
              <w:b/>
              <w:color w:val="000000"/>
              <w:sz w:val="32"/>
            </w:rPr>
          </w:pPr>
          <w:r>
            <w:rPr>
              <w:b/>
              <w:color w:val="000000"/>
            </w:rPr>
            <w:fldChar w:fldCharType="begin"/>
          </w:r>
          <w:r>
            <w:rPr>
              <w:b/>
              <w:color w:val="000000"/>
            </w:rPr>
            <w:instrText>PAGE</w:instrText>
          </w:r>
          <w:r>
            <w:rPr>
              <w:b/>
              <w:color w:val="000000"/>
            </w:rPr>
            <w:fldChar w:fldCharType="separate"/>
          </w:r>
          <w:r w:rsidR="002A06CB">
            <w:rPr>
              <w:b/>
              <w:color w:val="000000"/>
            </w:rPr>
            <w:t>13</w:t>
          </w:r>
          <w:r>
            <w:rPr>
              <w:b/>
              <w:color w:val="000000"/>
            </w:rPr>
            <w:fldChar w:fldCharType="end"/>
          </w:r>
        </w:p>
      </w:tc>
      <w:tc>
        <w:tcPr>
          <w:tcW w:w="0" w:type="auto"/>
          <w:tcMar>
            <w:top w:w="0" w:type="dxa"/>
            <w:left w:w="60" w:type="dxa"/>
            <w:bottom w:w="80" w:type="dxa"/>
            <w:right w:w="60" w:type="dxa"/>
          </w:tcMar>
        </w:tcPr>
        <w:p w:rsidR="00A10BE0" w:rsidRDefault="00A10BE0">
          <w:pPr>
            <w:jc w:val="right"/>
            <w:rPr>
              <w:b/>
              <w:color w:val="000000"/>
              <w:sz w:val="32"/>
            </w:rPr>
          </w:pPr>
          <w:r>
            <w:rPr>
              <w:b/>
              <w:bCs/>
              <w:color w:val="000000"/>
              <w:sz w:val="32"/>
              <w:lang w:val="en-GB"/>
            </w:rPr>
            <w:t>EN</w:t>
          </w:r>
        </w:p>
      </w:tc>
    </w:tr>
  </w:tbl>
  <w:p w:rsidR="00A10BE0" w:rsidRDefault="00A10BE0">
    <w:pPr>
      <w:rPr>
        <w:b/>
        <w:color w:val="00000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BE0" w:rsidRDefault="00A10BE0"/>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BE0" w:rsidRDefault="00A10BE0"/>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4A0" w:firstRow="1" w:lastRow="0" w:firstColumn="1" w:lastColumn="0" w:noHBand="0" w:noVBand="1"/>
    </w:tblPr>
    <w:tblGrid>
      <w:gridCol w:w="5757"/>
      <w:gridCol w:w="3668"/>
      <w:gridCol w:w="5757"/>
    </w:tblGrid>
    <w:tr w:rsidR="00A10BE0">
      <w:trPr>
        <w:trHeight w:val="160"/>
      </w:trPr>
      <w:tc>
        <w:tcPr>
          <w:tcW w:w="0" w:type="auto"/>
          <w:tcMar>
            <w:top w:w="0" w:type="dxa"/>
            <w:left w:w="60" w:type="dxa"/>
            <w:bottom w:w="80" w:type="dxa"/>
            <w:right w:w="60" w:type="dxa"/>
          </w:tcMar>
        </w:tcPr>
        <w:p w:rsidR="00A10BE0" w:rsidRDefault="00A10BE0">
          <w:pPr>
            <w:rPr>
              <w:b/>
              <w:color w:val="000000"/>
            </w:rPr>
          </w:pPr>
          <w:r>
            <w:rPr>
              <w:b/>
              <w:bCs/>
              <w:color w:val="000000"/>
              <w:sz w:val="32"/>
              <w:lang w:val="en-GB"/>
            </w:rPr>
            <w:t>EN</w:t>
          </w:r>
        </w:p>
      </w:tc>
      <w:tc>
        <w:tcPr>
          <w:tcW w:w="0" w:type="auto"/>
          <w:tcMar>
            <w:top w:w="0" w:type="dxa"/>
            <w:left w:w="60" w:type="dxa"/>
            <w:bottom w:w="80" w:type="dxa"/>
            <w:right w:w="60" w:type="dxa"/>
          </w:tcMar>
        </w:tcPr>
        <w:p w:rsidR="00A10BE0" w:rsidRDefault="00A10BE0">
          <w:pPr>
            <w:jc w:val="center"/>
            <w:rPr>
              <w:b/>
              <w:color w:val="000000"/>
              <w:sz w:val="32"/>
            </w:rPr>
          </w:pPr>
          <w:r>
            <w:rPr>
              <w:b/>
              <w:color w:val="000000"/>
            </w:rPr>
            <w:fldChar w:fldCharType="begin"/>
          </w:r>
          <w:r>
            <w:rPr>
              <w:b/>
              <w:color w:val="000000"/>
            </w:rPr>
            <w:instrText>PAGE</w:instrText>
          </w:r>
          <w:r>
            <w:rPr>
              <w:b/>
              <w:color w:val="000000"/>
            </w:rPr>
            <w:fldChar w:fldCharType="separate"/>
          </w:r>
          <w:r w:rsidR="002A06CB">
            <w:rPr>
              <w:b/>
              <w:color w:val="000000"/>
            </w:rPr>
            <w:t>15</w:t>
          </w:r>
          <w:r>
            <w:rPr>
              <w:b/>
              <w:color w:val="000000"/>
            </w:rPr>
            <w:fldChar w:fldCharType="end"/>
          </w:r>
        </w:p>
      </w:tc>
      <w:tc>
        <w:tcPr>
          <w:tcW w:w="0" w:type="auto"/>
          <w:tcMar>
            <w:top w:w="0" w:type="dxa"/>
            <w:left w:w="60" w:type="dxa"/>
            <w:bottom w:w="80" w:type="dxa"/>
            <w:right w:w="60" w:type="dxa"/>
          </w:tcMar>
        </w:tcPr>
        <w:p w:rsidR="00A10BE0" w:rsidRDefault="00A10BE0">
          <w:pPr>
            <w:jc w:val="right"/>
            <w:rPr>
              <w:b/>
              <w:color w:val="000000"/>
              <w:sz w:val="32"/>
            </w:rPr>
          </w:pPr>
          <w:r>
            <w:rPr>
              <w:b/>
              <w:bCs/>
              <w:color w:val="000000"/>
              <w:sz w:val="32"/>
              <w:lang w:val="en-GB"/>
            </w:rPr>
            <w:t>EN</w:t>
          </w:r>
        </w:p>
      </w:tc>
    </w:tr>
  </w:tbl>
  <w:p w:rsidR="00A10BE0" w:rsidRDefault="00A10BE0">
    <w:pPr>
      <w:rPr>
        <w:b/>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2D60" w:rsidRDefault="00DF2D60" w:rsidP="004B75EC">
      <w:r>
        <w:separator/>
      </w:r>
    </w:p>
  </w:footnote>
  <w:footnote w:type="continuationSeparator" w:id="0">
    <w:p w:rsidR="00DF2D60" w:rsidRDefault="00DF2D60" w:rsidP="004B75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BE0" w:rsidRDefault="00A10BE0"/>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BE0" w:rsidRDefault="00A10BE0"/>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BE0" w:rsidRDefault="00A10BE0"/>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BE0" w:rsidRDefault="00A10BE0"/>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BE0" w:rsidRDefault="00A10BE0"/>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BE0" w:rsidRDefault="00A10BE0"/>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BE0" w:rsidRDefault="00A10BE0"/>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BE0" w:rsidRDefault="00A10BE0"/>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BE0" w:rsidRDefault="00A10BE0"/>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BE0" w:rsidRDefault="00A10BE0"/>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BE0" w:rsidRDefault="00A10BE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BE0" w:rsidRDefault="00A10BE0"/>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BE0" w:rsidRDefault="00A10BE0"/>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BE0" w:rsidRDefault="00A10BE0"/>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BE0" w:rsidRDefault="00A10BE0"/>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BE0" w:rsidRDefault="00A10BE0"/>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BE0" w:rsidRDefault="00A10BE0"/>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BE0" w:rsidRDefault="00A10BE0"/>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BE0" w:rsidRDefault="00A10BE0"/>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BE0" w:rsidRDefault="00A10BE0"/>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BE0" w:rsidRDefault="00A10BE0"/>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BE0" w:rsidRDefault="00A10BE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BE0" w:rsidRDefault="00A10BE0"/>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BE0" w:rsidRDefault="00A10BE0"/>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BE0" w:rsidRDefault="00A10BE0"/>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BE0" w:rsidRDefault="00A10BE0"/>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BE0" w:rsidRDefault="00A10BE0"/>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BE0" w:rsidRDefault="00A10BE0"/>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BE0" w:rsidRDefault="00A10BE0"/>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BE0" w:rsidRDefault="00A10BE0"/>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BE0" w:rsidRDefault="00A10BE0"/>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BE0" w:rsidRDefault="00A10BE0"/>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BE0" w:rsidRDefault="00A10BE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BE0" w:rsidRDefault="00A10BE0"/>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BE0" w:rsidRDefault="00A10BE0"/>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BE0" w:rsidRDefault="00A10BE0"/>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BE0" w:rsidRDefault="00A10BE0"/>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BE0" w:rsidRDefault="00A10BE0"/>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BE0" w:rsidRDefault="00A10BE0"/>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BE0" w:rsidRDefault="00A10BE0"/>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BE0" w:rsidRDefault="00A10BE0"/>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BE0" w:rsidRDefault="00A10BE0"/>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BE0" w:rsidRDefault="00A10BE0"/>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BE0" w:rsidRDefault="00A10BE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BE0" w:rsidRDefault="00A10BE0"/>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BE0" w:rsidRDefault="00A10BE0"/>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BE0" w:rsidRDefault="00A10BE0"/>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BE0" w:rsidRDefault="00A10BE0"/>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BE0" w:rsidRDefault="00A10BE0"/>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BE0" w:rsidRDefault="00A10BE0"/>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BE0" w:rsidRDefault="00A10BE0"/>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BE0" w:rsidRDefault="00A10BE0"/>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BE0" w:rsidRDefault="00A10BE0"/>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BE0" w:rsidRDefault="00A10BE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3940CEF0">
      <w:start w:val="1"/>
      <w:numFmt w:val="bullet"/>
      <w:lvlText w:val=""/>
      <w:lvlJc w:val="left"/>
      <w:pPr>
        <w:ind w:left="720" w:hanging="360"/>
      </w:pPr>
      <w:rPr>
        <w:rFonts w:ascii="Symbol" w:hAnsi="Symbol"/>
      </w:rPr>
    </w:lvl>
    <w:lvl w:ilvl="1" w:tplc="6EEE10D0">
      <w:start w:val="1"/>
      <w:numFmt w:val="bullet"/>
      <w:lvlText w:val="o"/>
      <w:lvlJc w:val="left"/>
      <w:pPr>
        <w:tabs>
          <w:tab w:val="num" w:pos="1440"/>
        </w:tabs>
        <w:ind w:left="1440" w:hanging="360"/>
      </w:pPr>
      <w:rPr>
        <w:rFonts w:ascii="Courier New" w:hAnsi="Courier New"/>
      </w:rPr>
    </w:lvl>
    <w:lvl w:ilvl="2" w:tplc="649AD36C">
      <w:start w:val="1"/>
      <w:numFmt w:val="bullet"/>
      <w:lvlText w:val=""/>
      <w:lvlJc w:val="left"/>
      <w:pPr>
        <w:tabs>
          <w:tab w:val="num" w:pos="2160"/>
        </w:tabs>
        <w:ind w:left="2160" w:hanging="360"/>
      </w:pPr>
      <w:rPr>
        <w:rFonts w:ascii="Wingdings" w:hAnsi="Wingdings"/>
      </w:rPr>
    </w:lvl>
    <w:lvl w:ilvl="3" w:tplc="963C25CA">
      <w:start w:val="1"/>
      <w:numFmt w:val="bullet"/>
      <w:lvlText w:val=""/>
      <w:lvlJc w:val="left"/>
      <w:pPr>
        <w:tabs>
          <w:tab w:val="num" w:pos="2880"/>
        </w:tabs>
        <w:ind w:left="2880" w:hanging="360"/>
      </w:pPr>
      <w:rPr>
        <w:rFonts w:ascii="Symbol" w:hAnsi="Symbol"/>
      </w:rPr>
    </w:lvl>
    <w:lvl w:ilvl="4" w:tplc="3FE82F98">
      <w:start w:val="1"/>
      <w:numFmt w:val="bullet"/>
      <w:lvlText w:val="o"/>
      <w:lvlJc w:val="left"/>
      <w:pPr>
        <w:tabs>
          <w:tab w:val="num" w:pos="3600"/>
        </w:tabs>
        <w:ind w:left="3600" w:hanging="360"/>
      </w:pPr>
      <w:rPr>
        <w:rFonts w:ascii="Courier New" w:hAnsi="Courier New"/>
      </w:rPr>
    </w:lvl>
    <w:lvl w:ilvl="5" w:tplc="5A0025FC">
      <w:start w:val="1"/>
      <w:numFmt w:val="bullet"/>
      <w:lvlText w:val=""/>
      <w:lvlJc w:val="left"/>
      <w:pPr>
        <w:tabs>
          <w:tab w:val="num" w:pos="4320"/>
        </w:tabs>
        <w:ind w:left="4320" w:hanging="360"/>
      </w:pPr>
      <w:rPr>
        <w:rFonts w:ascii="Wingdings" w:hAnsi="Wingdings"/>
      </w:rPr>
    </w:lvl>
    <w:lvl w:ilvl="6" w:tplc="8FC4F526">
      <w:start w:val="1"/>
      <w:numFmt w:val="bullet"/>
      <w:lvlText w:val=""/>
      <w:lvlJc w:val="left"/>
      <w:pPr>
        <w:tabs>
          <w:tab w:val="num" w:pos="5040"/>
        </w:tabs>
        <w:ind w:left="5040" w:hanging="360"/>
      </w:pPr>
      <w:rPr>
        <w:rFonts w:ascii="Symbol" w:hAnsi="Symbol"/>
      </w:rPr>
    </w:lvl>
    <w:lvl w:ilvl="7" w:tplc="75B88D54">
      <w:start w:val="1"/>
      <w:numFmt w:val="bullet"/>
      <w:lvlText w:val="o"/>
      <w:lvlJc w:val="left"/>
      <w:pPr>
        <w:tabs>
          <w:tab w:val="num" w:pos="5760"/>
        </w:tabs>
        <w:ind w:left="5760" w:hanging="360"/>
      </w:pPr>
      <w:rPr>
        <w:rFonts w:ascii="Courier New" w:hAnsi="Courier New"/>
      </w:rPr>
    </w:lvl>
    <w:lvl w:ilvl="8" w:tplc="6FB61D34">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F25A12F6">
      <w:start w:val="1"/>
      <w:numFmt w:val="bullet"/>
      <w:lvlText w:val=""/>
      <w:lvlJc w:val="left"/>
      <w:pPr>
        <w:ind w:left="720" w:hanging="360"/>
      </w:pPr>
      <w:rPr>
        <w:rFonts w:ascii="Symbol" w:hAnsi="Symbol"/>
      </w:rPr>
    </w:lvl>
    <w:lvl w:ilvl="1" w:tplc="D4880A62">
      <w:start w:val="1"/>
      <w:numFmt w:val="bullet"/>
      <w:lvlText w:val="o"/>
      <w:lvlJc w:val="left"/>
      <w:pPr>
        <w:tabs>
          <w:tab w:val="num" w:pos="1440"/>
        </w:tabs>
        <w:ind w:left="1440" w:hanging="360"/>
      </w:pPr>
      <w:rPr>
        <w:rFonts w:ascii="Courier New" w:hAnsi="Courier New"/>
      </w:rPr>
    </w:lvl>
    <w:lvl w:ilvl="2" w:tplc="B22CD4AC">
      <w:start w:val="1"/>
      <w:numFmt w:val="bullet"/>
      <w:lvlText w:val=""/>
      <w:lvlJc w:val="left"/>
      <w:pPr>
        <w:tabs>
          <w:tab w:val="num" w:pos="2160"/>
        </w:tabs>
        <w:ind w:left="2160" w:hanging="360"/>
      </w:pPr>
      <w:rPr>
        <w:rFonts w:ascii="Wingdings" w:hAnsi="Wingdings"/>
      </w:rPr>
    </w:lvl>
    <w:lvl w:ilvl="3" w:tplc="4ECC5484">
      <w:start w:val="1"/>
      <w:numFmt w:val="bullet"/>
      <w:lvlText w:val=""/>
      <w:lvlJc w:val="left"/>
      <w:pPr>
        <w:tabs>
          <w:tab w:val="num" w:pos="2880"/>
        </w:tabs>
        <w:ind w:left="2880" w:hanging="360"/>
      </w:pPr>
      <w:rPr>
        <w:rFonts w:ascii="Symbol" w:hAnsi="Symbol"/>
      </w:rPr>
    </w:lvl>
    <w:lvl w:ilvl="4" w:tplc="DE44816A">
      <w:start w:val="1"/>
      <w:numFmt w:val="bullet"/>
      <w:lvlText w:val="o"/>
      <w:lvlJc w:val="left"/>
      <w:pPr>
        <w:tabs>
          <w:tab w:val="num" w:pos="3600"/>
        </w:tabs>
        <w:ind w:left="3600" w:hanging="360"/>
      </w:pPr>
      <w:rPr>
        <w:rFonts w:ascii="Courier New" w:hAnsi="Courier New"/>
      </w:rPr>
    </w:lvl>
    <w:lvl w:ilvl="5" w:tplc="211A430A">
      <w:start w:val="1"/>
      <w:numFmt w:val="bullet"/>
      <w:lvlText w:val=""/>
      <w:lvlJc w:val="left"/>
      <w:pPr>
        <w:tabs>
          <w:tab w:val="num" w:pos="4320"/>
        </w:tabs>
        <w:ind w:left="4320" w:hanging="360"/>
      </w:pPr>
      <w:rPr>
        <w:rFonts w:ascii="Wingdings" w:hAnsi="Wingdings"/>
      </w:rPr>
    </w:lvl>
    <w:lvl w:ilvl="6" w:tplc="5C98A312">
      <w:start w:val="1"/>
      <w:numFmt w:val="bullet"/>
      <w:lvlText w:val=""/>
      <w:lvlJc w:val="left"/>
      <w:pPr>
        <w:tabs>
          <w:tab w:val="num" w:pos="5040"/>
        </w:tabs>
        <w:ind w:left="5040" w:hanging="360"/>
      </w:pPr>
      <w:rPr>
        <w:rFonts w:ascii="Symbol" w:hAnsi="Symbol"/>
      </w:rPr>
    </w:lvl>
    <w:lvl w:ilvl="7" w:tplc="67B87202">
      <w:start w:val="1"/>
      <w:numFmt w:val="bullet"/>
      <w:lvlText w:val="o"/>
      <w:lvlJc w:val="left"/>
      <w:pPr>
        <w:tabs>
          <w:tab w:val="num" w:pos="5760"/>
        </w:tabs>
        <w:ind w:left="5760" w:hanging="360"/>
      </w:pPr>
      <w:rPr>
        <w:rFonts w:ascii="Courier New" w:hAnsi="Courier New"/>
      </w:rPr>
    </w:lvl>
    <w:lvl w:ilvl="8" w:tplc="214CA9F0">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34C8342C">
      <w:start w:val="1"/>
      <w:numFmt w:val="bullet"/>
      <w:lvlText w:val=""/>
      <w:lvlJc w:val="left"/>
      <w:pPr>
        <w:ind w:left="720" w:hanging="360"/>
      </w:pPr>
      <w:rPr>
        <w:rFonts w:ascii="Symbol" w:hAnsi="Symbol"/>
      </w:rPr>
    </w:lvl>
    <w:lvl w:ilvl="1" w:tplc="E8E41FAE">
      <w:start w:val="1"/>
      <w:numFmt w:val="bullet"/>
      <w:lvlText w:val="o"/>
      <w:lvlJc w:val="left"/>
      <w:pPr>
        <w:tabs>
          <w:tab w:val="num" w:pos="1440"/>
        </w:tabs>
        <w:ind w:left="1440" w:hanging="360"/>
      </w:pPr>
      <w:rPr>
        <w:rFonts w:ascii="Courier New" w:hAnsi="Courier New"/>
      </w:rPr>
    </w:lvl>
    <w:lvl w:ilvl="2" w:tplc="D5E69AF6">
      <w:start w:val="1"/>
      <w:numFmt w:val="bullet"/>
      <w:lvlText w:val=""/>
      <w:lvlJc w:val="left"/>
      <w:pPr>
        <w:tabs>
          <w:tab w:val="num" w:pos="2160"/>
        </w:tabs>
        <w:ind w:left="2160" w:hanging="360"/>
      </w:pPr>
      <w:rPr>
        <w:rFonts w:ascii="Wingdings" w:hAnsi="Wingdings"/>
      </w:rPr>
    </w:lvl>
    <w:lvl w:ilvl="3" w:tplc="435A6594">
      <w:start w:val="1"/>
      <w:numFmt w:val="bullet"/>
      <w:lvlText w:val=""/>
      <w:lvlJc w:val="left"/>
      <w:pPr>
        <w:tabs>
          <w:tab w:val="num" w:pos="2880"/>
        </w:tabs>
        <w:ind w:left="2880" w:hanging="360"/>
      </w:pPr>
      <w:rPr>
        <w:rFonts w:ascii="Symbol" w:hAnsi="Symbol"/>
      </w:rPr>
    </w:lvl>
    <w:lvl w:ilvl="4" w:tplc="5CEC2FB4">
      <w:start w:val="1"/>
      <w:numFmt w:val="bullet"/>
      <w:lvlText w:val="o"/>
      <w:lvlJc w:val="left"/>
      <w:pPr>
        <w:tabs>
          <w:tab w:val="num" w:pos="3600"/>
        </w:tabs>
        <w:ind w:left="3600" w:hanging="360"/>
      </w:pPr>
      <w:rPr>
        <w:rFonts w:ascii="Courier New" w:hAnsi="Courier New"/>
      </w:rPr>
    </w:lvl>
    <w:lvl w:ilvl="5" w:tplc="63926042">
      <w:start w:val="1"/>
      <w:numFmt w:val="bullet"/>
      <w:lvlText w:val=""/>
      <w:lvlJc w:val="left"/>
      <w:pPr>
        <w:tabs>
          <w:tab w:val="num" w:pos="4320"/>
        </w:tabs>
        <w:ind w:left="4320" w:hanging="360"/>
      </w:pPr>
      <w:rPr>
        <w:rFonts w:ascii="Wingdings" w:hAnsi="Wingdings"/>
      </w:rPr>
    </w:lvl>
    <w:lvl w:ilvl="6" w:tplc="18E087C8">
      <w:start w:val="1"/>
      <w:numFmt w:val="bullet"/>
      <w:lvlText w:val=""/>
      <w:lvlJc w:val="left"/>
      <w:pPr>
        <w:tabs>
          <w:tab w:val="num" w:pos="5040"/>
        </w:tabs>
        <w:ind w:left="5040" w:hanging="360"/>
      </w:pPr>
      <w:rPr>
        <w:rFonts w:ascii="Symbol" w:hAnsi="Symbol"/>
      </w:rPr>
    </w:lvl>
    <w:lvl w:ilvl="7" w:tplc="7750D744">
      <w:start w:val="1"/>
      <w:numFmt w:val="bullet"/>
      <w:lvlText w:val="o"/>
      <w:lvlJc w:val="left"/>
      <w:pPr>
        <w:tabs>
          <w:tab w:val="num" w:pos="5760"/>
        </w:tabs>
        <w:ind w:left="5760" w:hanging="360"/>
      </w:pPr>
      <w:rPr>
        <w:rFonts w:ascii="Courier New" w:hAnsi="Courier New"/>
      </w:rPr>
    </w:lvl>
    <w:lvl w:ilvl="8" w:tplc="D898E61E">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E8826B90">
      <w:start w:val="1"/>
      <w:numFmt w:val="bullet"/>
      <w:lvlText w:val=""/>
      <w:lvlJc w:val="left"/>
      <w:pPr>
        <w:ind w:left="720" w:hanging="360"/>
      </w:pPr>
      <w:rPr>
        <w:rFonts w:ascii="Symbol" w:hAnsi="Symbol"/>
      </w:rPr>
    </w:lvl>
    <w:lvl w:ilvl="1" w:tplc="CC160418">
      <w:start w:val="1"/>
      <w:numFmt w:val="bullet"/>
      <w:lvlText w:val="o"/>
      <w:lvlJc w:val="left"/>
      <w:pPr>
        <w:tabs>
          <w:tab w:val="num" w:pos="1440"/>
        </w:tabs>
        <w:ind w:left="1440" w:hanging="360"/>
      </w:pPr>
      <w:rPr>
        <w:rFonts w:ascii="Courier New" w:hAnsi="Courier New"/>
      </w:rPr>
    </w:lvl>
    <w:lvl w:ilvl="2" w:tplc="841C8FFE">
      <w:start w:val="1"/>
      <w:numFmt w:val="bullet"/>
      <w:lvlText w:val=""/>
      <w:lvlJc w:val="left"/>
      <w:pPr>
        <w:tabs>
          <w:tab w:val="num" w:pos="2160"/>
        </w:tabs>
        <w:ind w:left="2160" w:hanging="360"/>
      </w:pPr>
      <w:rPr>
        <w:rFonts w:ascii="Wingdings" w:hAnsi="Wingdings"/>
      </w:rPr>
    </w:lvl>
    <w:lvl w:ilvl="3" w:tplc="B0C85C54">
      <w:start w:val="1"/>
      <w:numFmt w:val="bullet"/>
      <w:lvlText w:val=""/>
      <w:lvlJc w:val="left"/>
      <w:pPr>
        <w:tabs>
          <w:tab w:val="num" w:pos="2880"/>
        </w:tabs>
        <w:ind w:left="2880" w:hanging="360"/>
      </w:pPr>
      <w:rPr>
        <w:rFonts w:ascii="Symbol" w:hAnsi="Symbol"/>
      </w:rPr>
    </w:lvl>
    <w:lvl w:ilvl="4" w:tplc="716A4D32">
      <w:start w:val="1"/>
      <w:numFmt w:val="bullet"/>
      <w:lvlText w:val="o"/>
      <w:lvlJc w:val="left"/>
      <w:pPr>
        <w:tabs>
          <w:tab w:val="num" w:pos="3600"/>
        </w:tabs>
        <w:ind w:left="3600" w:hanging="360"/>
      </w:pPr>
      <w:rPr>
        <w:rFonts w:ascii="Courier New" w:hAnsi="Courier New"/>
      </w:rPr>
    </w:lvl>
    <w:lvl w:ilvl="5" w:tplc="02863104">
      <w:start w:val="1"/>
      <w:numFmt w:val="bullet"/>
      <w:lvlText w:val=""/>
      <w:lvlJc w:val="left"/>
      <w:pPr>
        <w:tabs>
          <w:tab w:val="num" w:pos="4320"/>
        </w:tabs>
        <w:ind w:left="4320" w:hanging="360"/>
      </w:pPr>
      <w:rPr>
        <w:rFonts w:ascii="Wingdings" w:hAnsi="Wingdings"/>
      </w:rPr>
    </w:lvl>
    <w:lvl w:ilvl="6" w:tplc="E5E0755C">
      <w:start w:val="1"/>
      <w:numFmt w:val="bullet"/>
      <w:lvlText w:val=""/>
      <w:lvlJc w:val="left"/>
      <w:pPr>
        <w:tabs>
          <w:tab w:val="num" w:pos="5040"/>
        </w:tabs>
        <w:ind w:left="5040" w:hanging="360"/>
      </w:pPr>
      <w:rPr>
        <w:rFonts w:ascii="Symbol" w:hAnsi="Symbol"/>
      </w:rPr>
    </w:lvl>
    <w:lvl w:ilvl="7" w:tplc="E0FA90EE">
      <w:start w:val="1"/>
      <w:numFmt w:val="bullet"/>
      <w:lvlText w:val="o"/>
      <w:lvlJc w:val="left"/>
      <w:pPr>
        <w:tabs>
          <w:tab w:val="num" w:pos="5760"/>
        </w:tabs>
        <w:ind w:left="5760" w:hanging="360"/>
      </w:pPr>
      <w:rPr>
        <w:rFonts w:ascii="Courier New" w:hAnsi="Courier New"/>
      </w:rPr>
    </w:lvl>
    <w:lvl w:ilvl="8" w:tplc="A404D67E">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ECFE70A0">
      <w:start w:val="1"/>
      <w:numFmt w:val="bullet"/>
      <w:lvlText w:val=""/>
      <w:lvlJc w:val="left"/>
      <w:pPr>
        <w:ind w:left="720" w:hanging="360"/>
      </w:pPr>
      <w:rPr>
        <w:rFonts w:ascii="Symbol" w:hAnsi="Symbol"/>
      </w:rPr>
    </w:lvl>
    <w:lvl w:ilvl="1" w:tplc="30ACBDB6">
      <w:start w:val="1"/>
      <w:numFmt w:val="bullet"/>
      <w:lvlText w:val="o"/>
      <w:lvlJc w:val="left"/>
      <w:pPr>
        <w:tabs>
          <w:tab w:val="num" w:pos="1440"/>
        </w:tabs>
        <w:ind w:left="1440" w:hanging="360"/>
      </w:pPr>
      <w:rPr>
        <w:rFonts w:ascii="Courier New" w:hAnsi="Courier New"/>
      </w:rPr>
    </w:lvl>
    <w:lvl w:ilvl="2" w:tplc="825A58C2">
      <w:start w:val="1"/>
      <w:numFmt w:val="bullet"/>
      <w:lvlText w:val=""/>
      <w:lvlJc w:val="left"/>
      <w:pPr>
        <w:tabs>
          <w:tab w:val="num" w:pos="2160"/>
        </w:tabs>
        <w:ind w:left="2160" w:hanging="360"/>
      </w:pPr>
      <w:rPr>
        <w:rFonts w:ascii="Wingdings" w:hAnsi="Wingdings"/>
      </w:rPr>
    </w:lvl>
    <w:lvl w:ilvl="3" w:tplc="A7AE4BB4">
      <w:start w:val="1"/>
      <w:numFmt w:val="bullet"/>
      <w:lvlText w:val=""/>
      <w:lvlJc w:val="left"/>
      <w:pPr>
        <w:tabs>
          <w:tab w:val="num" w:pos="2880"/>
        </w:tabs>
        <w:ind w:left="2880" w:hanging="360"/>
      </w:pPr>
      <w:rPr>
        <w:rFonts w:ascii="Symbol" w:hAnsi="Symbol"/>
      </w:rPr>
    </w:lvl>
    <w:lvl w:ilvl="4" w:tplc="C986D2AE">
      <w:start w:val="1"/>
      <w:numFmt w:val="bullet"/>
      <w:lvlText w:val="o"/>
      <w:lvlJc w:val="left"/>
      <w:pPr>
        <w:tabs>
          <w:tab w:val="num" w:pos="3600"/>
        </w:tabs>
        <w:ind w:left="3600" w:hanging="360"/>
      </w:pPr>
      <w:rPr>
        <w:rFonts w:ascii="Courier New" w:hAnsi="Courier New"/>
      </w:rPr>
    </w:lvl>
    <w:lvl w:ilvl="5" w:tplc="0FA6BA72">
      <w:start w:val="1"/>
      <w:numFmt w:val="bullet"/>
      <w:lvlText w:val=""/>
      <w:lvlJc w:val="left"/>
      <w:pPr>
        <w:tabs>
          <w:tab w:val="num" w:pos="4320"/>
        </w:tabs>
        <w:ind w:left="4320" w:hanging="360"/>
      </w:pPr>
      <w:rPr>
        <w:rFonts w:ascii="Wingdings" w:hAnsi="Wingdings"/>
      </w:rPr>
    </w:lvl>
    <w:lvl w:ilvl="6" w:tplc="40CC4FB2">
      <w:start w:val="1"/>
      <w:numFmt w:val="bullet"/>
      <w:lvlText w:val=""/>
      <w:lvlJc w:val="left"/>
      <w:pPr>
        <w:tabs>
          <w:tab w:val="num" w:pos="5040"/>
        </w:tabs>
        <w:ind w:left="5040" w:hanging="360"/>
      </w:pPr>
      <w:rPr>
        <w:rFonts w:ascii="Symbol" w:hAnsi="Symbol"/>
      </w:rPr>
    </w:lvl>
    <w:lvl w:ilvl="7" w:tplc="D39CC336">
      <w:start w:val="1"/>
      <w:numFmt w:val="bullet"/>
      <w:lvlText w:val="o"/>
      <w:lvlJc w:val="left"/>
      <w:pPr>
        <w:tabs>
          <w:tab w:val="num" w:pos="5760"/>
        </w:tabs>
        <w:ind w:left="5760" w:hanging="360"/>
      </w:pPr>
      <w:rPr>
        <w:rFonts w:ascii="Courier New" w:hAnsi="Courier New"/>
      </w:rPr>
    </w:lvl>
    <w:lvl w:ilvl="8" w:tplc="7B92024A">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239EE490">
      <w:start w:val="1"/>
      <w:numFmt w:val="bullet"/>
      <w:lvlText w:val=""/>
      <w:lvlJc w:val="left"/>
      <w:pPr>
        <w:ind w:left="720" w:hanging="360"/>
      </w:pPr>
      <w:rPr>
        <w:rFonts w:ascii="Symbol" w:hAnsi="Symbol"/>
      </w:rPr>
    </w:lvl>
    <w:lvl w:ilvl="1" w:tplc="29A641FE">
      <w:start w:val="1"/>
      <w:numFmt w:val="bullet"/>
      <w:lvlText w:val="o"/>
      <w:lvlJc w:val="left"/>
      <w:pPr>
        <w:tabs>
          <w:tab w:val="num" w:pos="1440"/>
        </w:tabs>
        <w:ind w:left="1440" w:hanging="360"/>
      </w:pPr>
      <w:rPr>
        <w:rFonts w:ascii="Courier New" w:hAnsi="Courier New"/>
      </w:rPr>
    </w:lvl>
    <w:lvl w:ilvl="2" w:tplc="FD34434C">
      <w:start w:val="1"/>
      <w:numFmt w:val="bullet"/>
      <w:lvlText w:val=""/>
      <w:lvlJc w:val="left"/>
      <w:pPr>
        <w:tabs>
          <w:tab w:val="num" w:pos="2160"/>
        </w:tabs>
        <w:ind w:left="2160" w:hanging="360"/>
      </w:pPr>
      <w:rPr>
        <w:rFonts w:ascii="Wingdings" w:hAnsi="Wingdings"/>
      </w:rPr>
    </w:lvl>
    <w:lvl w:ilvl="3" w:tplc="1DD869EE">
      <w:start w:val="1"/>
      <w:numFmt w:val="bullet"/>
      <w:lvlText w:val=""/>
      <w:lvlJc w:val="left"/>
      <w:pPr>
        <w:tabs>
          <w:tab w:val="num" w:pos="2880"/>
        </w:tabs>
        <w:ind w:left="2880" w:hanging="360"/>
      </w:pPr>
      <w:rPr>
        <w:rFonts w:ascii="Symbol" w:hAnsi="Symbol"/>
      </w:rPr>
    </w:lvl>
    <w:lvl w:ilvl="4" w:tplc="314CBD12">
      <w:start w:val="1"/>
      <w:numFmt w:val="bullet"/>
      <w:lvlText w:val="o"/>
      <w:lvlJc w:val="left"/>
      <w:pPr>
        <w:tabs>
          <w:tab w:val="num" w:pos="3600"/>
        </w:tabs>
        <w:ind w:left="3600" w:hanging="360"/>
      </w:pPr>
      <w:rPr>
        <w:rFonts w:ascii="Courier New" w:hAnsi="Courier New"/>
      </w:rPr>
    </w:lvl>
    <w:lvl w:ilvl="5" w:tplc="E20EF17A">
      <w:start w:val="1"/>
      <w:numFmt w:val="bullet"/>
      <w:lvlText w:val=""/>
      <w:lvlJc w:val="left"/>
      <w:pPr>
        <w:tabs>
          <w:tab w:val="num" w:pos="4320"/>
        </w:tabs>
        <w:ind w:left="4320" w:hanging="360"/>
      </w:pPr>
      <w:rPr>
        <w:rFonts w:ascii="Wingdings" w:hAnsi="Wingdings"/>
      </w:rPr>
    </w:lvl>
    <w:lvl w:ilvl="6" w:tplc="61E4C874">
      <w:start w:val="1"/>
      <w:numFmt w:val="bullet"/>
      <w:lvlText w:val=""/>
      <w:lvlJc w:val="left"/>
      <w:pPr>
        <w:tabs>
          <w:tab w:val="num" w:pos="5040"/>
        </w:tabs>
        <w:ind w:left="5040" w:hanging="360"/>
      </w:pPr>
      <w:rPr>
        <w:rFonts w:ascii="Symbol" w:hAnsi="Symbol"/>
      </w:rPr>
    </w:lvl>
    <w:lvl w:ilvl="7" w:tplc="A710A388">
      <w:start w:val="1"/>
      <w:numFmt w:val="bullet"/>
      <w:lvlText w:val="o"/>
      <w:lvlJc w:val="left"/>
      <w:pPr>
        <w:tabs>
          <w:tab w:val="num" w:pos="5760"/>
        </w:tabs>
        <w:ind w:left="5760" w:hanging="360"/>
      </w:pPr>
      <w:rPr>
        <w:rFonts w:ascii="Courier New" w:hAnsi="Courier New"/>
      </w:rPr>
    </w:lvl>
    <w:lvl w:ilvl="8" w:tplc="0E2E6ACE">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1C786648">
      <w:start w:val="1"/>
      <w:numFmt w:val="bullet"/>
      <w:lvlText w:val=""/>
      <w:lvlJc w:val="left"/>
      <w:pPr>
        <w:ind w:left="720" w:hanging="360"/>
      </w:pPr>
      <w:rPr>
        <w:rFonts w:ascii="Symbol" w:hAnsi="Symbol"/>
      </w:rPr>
    </w:lvl>
    <w:lvl w:ilvl="1" w:tplc="6FCC8882">
      <w:start w:val="1"/>
      <w:numFmt w:val="bullet"/>
      <w:lvlText w:val="o"/>
      <w:lvlJc w:val="left"/>
      <w:pPr>
        <w:tabs>
          <w:tab w:val="num" w:pos="1440"/>
        </w:tabs>
        <w:ind w:left="1440" w:hanging="360"/>
      </w:pPr>
      <w:rPr>
        <w:rFonts w:ascii="Courier New" w:hAnsi="Courier New"/>
      </w:rPr>
    </w:lvl>
    <w:lvl w:ilvl="2" w:tplc="6DEA12C8">
      <w:start w:val="1"/>
      <w:numFmt w:val="bullet"/>
      <w:lvlText w:val=""/>
      <w:lvlJc w:val="left"/>
      <w:pPr>
        <w:tabs>
          <w:tab w:val="num" w:pos="2160"/>
        </w:tabs>
        <w:ind w:left="2160" w:hanging="360"/>
      </w:pPr>
      <w:rPr>
        <w:rFonts w:ascii="Wingdings" w:hAnsi="Wingdings"/>
      </w:rPr>
    </w:lvl>
    <w:lvl w:ilvl="3" w:tplc="FB9E933C">
      <w:start w:val="1"/>
      <w:numFmt w:val="bullet"/>
      <w:lvlText w:val=""/>
      <w:lvlJc w:val="left"/>
      <w:pPr>
        <w:tabs>
          <w:tab w:val="num" w:pos="2880"/>
        </w:tabs>
        <w:ind w:left="2880" w:hanging="360"/>
      </w:pPr>
      <w:rPr>
        <w:rFonts w:ascii="Symbol" w:hAnsi="Symbol"/>
      </w:rPr>
    </w:lvl>
    <w:lvl w:ilvl="4" w:tplc="F3083A7A">
      <w:start w:val="1"/>
      <w:numFmt w:val="bullet"/>
      <w:lvlText w:val="o"/>
      <w:lvlJc w:val="left"/>
      <w:pPr>
        <w:tabs>
          <w:tab w:val="num" w:pos="3600"/>
        </w:tabs>
        <w:ind w:left="3600" w:hanging="360"/>
      </w:pPr>
      <w:rPr>
        <w:rFonts w:ascii="Courier New" w:hAnsi="Courier New"/>
      </w:rPr>
    </w:lvl>
    <w:lvl w:ilvl="5" w:tplc="BA3619D2">
      <w:start w:val="1"/>
      <w:numFmt w:val="bullet"/>
      <w:lvlText w:val=""/>
      <w:lvlJc w:val="left"/>
      <w:pPr>
        <w:tabs>
          <w:tab w:val="num" w:pos="4320"/>
        </w:tabs>
        <w:ind w:left="4320" w:hanging="360"/>
      </w:pPr>
      <w:rPr>
        <w:rFonts w:ascii="Wingdings" w:hAnsi="Wingdings"/>
      </w:rPr>
    </w:lvl>
    <w:lvl w:ilvl="6" w:tplc="E66EC432">
      <w:start w:val="1"/>
      <w:numFmt w:val="bullet"/>
      <w:lvlText w:val=""/>
      <w:lvlJc w:val="left"/>
      <w:pPr>
        <w:tabs>
          <w:tab w:val="num" w:pos="5040"/>
        </w:tabs>
        <w:ind w:left="5040" w:hanging="360"/>
      </w:pPr>
      <w:rPr>
        <w:rFonts w:ascii="Symbol" w:hAnsi="Symbol"/>
      </w:rPr>
    </w:lvl>
    <w:lvl w:ilvl="7" w:tplc="25C08762">
      <w:start w:val="1"/>
      <w:numFmt w:val="bullet"/>
      <w:lvlText w:val="o"/>
      <w:lvlJc w:val="left"/>
      <w:pPr>
        <w:tabs>
          <w:tab w:val="num" w:pos="5760"/>
        </w:tabs>
        <w:ind w:left="5760" w:hanging="360"/>
      </w:pPr>
      <w:rPr>
        <w:rFonts w:ascii="Courier New" w:hAnsi="Courier New"/>
      </w:rPr>
    </w:lvl>
    <w:lvl w:ilvl="8" w:tplc="5E9E6C16">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CFF457A6">
      <w:start w:val="1"/>
      <w:numFmt w:val="bullet"/>
      <w:lvlText w:val=""/>
      <w:lvlJc w:val="left"/>
      <w:pPr>
        <w:ind w:left="720" w:hanging="360"/>
      </w:pPr>
      <w:rPr>
        <w:rFonts w:ascii="Symbol" w:hAnsi="Symbol"/>
      </w:rPr>
    </w:lvl>
    <w:lvl w:ilvl="1" w:tplc="FF446B6E">
      <w:start w:val="1"/>
      <w:numFmt w:val="bullet"/>
      <w:lvlText w:val="o"/>
      <w:lvlJc w:val="left"/>
      <w:pPr>
        <w:tabs>
          <w:tab w:val="num" w:pos="1440"/>
        </w:tabs>
        <w:ind w:left="1440" w:hanging="360"/>
      </w:pPr>
      <w:rPr>
        <w:rFonts w:ascii="Courier New" w:hAnsi="Courier New"/>
      </w:rPr>
    </w:lvl>
    <w:lvl w:ilvl="2" w:tplc="E9143808">
      <w:start w:val="1"/>
      <w:numFmt w:val="bullet"/>
      <w:lvlText w:val=""/>
      <w:lvlJc w:val="left"/>
      <w:pPr>
        <w:tabs>
          <w:tab w:val="num" w:pos="2160"/>
        </w:tabs>
        <w:ind w:left="2160" w:hanging="360"/>
      </w:pPr>
      <w:rPr>
        <w:rFonts w:ascii="Wingdings" w:hAnsi="Wingdings"/>
      </w:rPr>
    </w:lvl>
    <w:lvl w:ilvl="3" w:tplc="0952D0B0">
      <w:start w:val="1"/>
      <w:numFmt w:val="bullet"/>
      <w:lvlText w:val=""/>
      <w:lvlJc w:val="left"/>
      <w:pPr>
        <w:tabs>
          <w:tab w:val="num" w:pos="2880"/>
        </w:tabs>
        <w:ind w:left="2880" w:hanging="360"/>
      </w:pPr>
      <w:rPr>
        <w:rFonts w:ascii="Symbol" w:hAnsi="Symbol"/>
      </w:rPr>
    </w:lvl>
    <w:lvl w:ilvl="4" w:tplc="9BC6978C">
      <w:start w:val="1"/>
      <w:numFmt w:val="bullet"/>
      <w:lvlText w:val="o"/>
      <w:lvlJc w:val="left"/>
      <w:pPr>
        <w:tabs>
          <w:tab w:val="num" w:pos="3600"/>
        </w:tabs>
        <w:ind w:left="3600" w:hanging="360"/>
      </w:pPr>
      <w:rPr>
        <w:rFonts w:ascii="Courier New" w:hAnsi="Courier New"/>
      </w:rPr>
    </w:lvl>
    <w:lvl w:ilvl="5" w:tplc="703E8E52">
      <w:start w:val="1"/>
      <w:numFmt w:val="bullet"/>
      <w:lvlText w:val=""/>
      <w:lvlJc w:val="left"/>
      <w:pPr>
        <w:tabs>
          <w:tab w:val="num" w:pos="4320"/>
        </w:tabs>
        <w:ind w:left="4320" w:hanging="360"/>
      </w:pPr>
      <w:rPr>
        <w:rFonts w:ascii="Wingdings" w:hAnsi="Wingdings"/>
      </w:rPr>
    </w:lvl>
    <w:lvl w:ilvl="6" w:tplc="6C848130">
      <w:start w:val="1"/>
      <w:numFmt w:val="bullet"/>
      <w:lvlText w:val=""/>
      <w:lvlJc w:val="left"/>
      <w:pPr>
        <w:tabs>
          <w:tab w:val="num" w:pos="5040"/>
        </w:tabs>
        <w:ind w:left="5040" w:hanging="360"/>
      </w:pPr>
      <w:rPr>
        <w:rFonts w:ascii="Symbol" w:hAnsi="Symbol"/>
      </w:rPr>
    </w:lvl>
    <w:lvl w:ilvl="7" w:tplc="B1FA3A42">
      <w:start w:val="1"/>
      <w:numFmt w:val="bullet"/>
      <w:lvlText w:val="o"/>
      <w:lvlJc w:val="left"/>
      <w:pPr>
        <w:tabs>
          <w:tab w:val="num" w:pos="5760"/>
        </w:tabs>
        <w:ind w:left="5760" w:hanging="360"/>
      </w:pPr>
      <w:rPr>
        <w:rFonts w:ascii="Courier New" w:hAnsi="Courier New"/>
      </w:rPr>
    </w:lvl>
    <w:lvl w:ilvl="8" w:tplc="4C8AC80C">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D1425BFE">
      <w:start w:val="1"/>
      <w:numFmt w:val="bullet"/>
      <w:lvlText w:val=""/>
      <w:lvlJc w:val="left"/>
      <w:pPr>
        <w:ind w:left="720" w:hanging="360"/>
      </w:pPr>
      <w:rPr>
        <w:rFonts w:ascii="Symbol" w:hAnsi="Symbol"/>
      </w:rPr>
    </w:lvl>
    <w:lvl w:ilvl="1" w:tplc="A57616A6">
      <w:start w:val="1"/>
      <w:numFmt w:val="bullet"/>
      <w:lvlText w:val="o"/>
      <w:lvlJc w:val="left"/>
      <w:pPr>
        <w:tabs>
          <w:tab w:val="num" w:pos="1440"/>
        </w:tabs>
        <w:ind w:left="1440" w:hanging="360"/>
      </w:pPr>
      <w:rPr>
        <w:rFonts w:ascii="Courier New" w:hAnsi="Courier New"/>
      </w:rPr>
    </w:lvl>
    <w:lvl w:ilvl="2" w:tplc="5F92E948">
      <w:start w:val="1"/>
      <w:numFmt w:val="bullet"/>
      <w:lvlText w:val=""/>
      <w:lvlJc w:val="left"/>
      <w:pPr>
        <w:tabs>
          <w:tab w:val="num" w:pos="2160"/>
        </w:tabs>
        <w:ind w:left="2160" w:hanging="360"/>
      </w:pPr>
      <w:rPr>
        <w:rFonts w:ascii="Wingdings" w:hAnsi="Wingdings"/>
      </w:rPr>
    </w:lvl>
    <w:lvl w:ilvl="3" w:tplc="2DEE661E">
      <w:start w:val="1"/>
      <w:numFmt w:val="bullet"/>
      <w:lvlText w:val=""/>
      <w:lvlJc w:val="left"/>
      <w:pPr>
        <w:tabs>
          <w:tab w:val="num" w:pos="2880"/>
        </w:tabs>
        <w:ind w:left="2880" w:hanging="360"/>
      </w:pPr>
      <w:rPr>
        <w:rFonts w:ascii="Symbol" w:hAnsi="Symbol"/>
      </w:rPr>
    </w:lvl>
    <w:lvl w:ilvl="4" w:tplc="ED184CAC">
      <w:start w:val="1"/>
      <w:numFmt w:val="bullet"/>
      <w:lvlText w:val="o"/>
      <w:lvlJc w:val="left"/>
      <w:pPr>
        <w:tabs>
          <w:tab w:val="num" w:pos="3600"/>
        </w:tabs>
        <w:ind w:left="3600" w:hanging="360"/>
      </w:pPr>
      <w:rPr>
        <w:rFonts w:ascii="Courier New" w:hAnsi="Courier New"/>
      </w:rPr>
    </w:lvl>
    <w:lvl w:ilvl="5" w:tplc="B016BBCE">
      <w:start w:val="1"/>
      <w:numFmt w:val="bullet"/>
      <w:lvlText w:val=""/>
      <w:lvlJc w:val="left"/>
      <w:pPr>
        <w:tabs>
          <w:tab w:val="num" w:pos="4320"/>
        </w:tabs>
        <w:ind w:left="4320" w:hanging="360"/>
      </w:pPr>
      <w:rPr>
        <w:rFonts w:ascii="Wingdings" w:hAnsi="Wingdings"/>
      </w:rPr>
    </w:lvl>
    <w:lvl w:ilvl="6" w:tplc="70284768">
      <w:start w:val="1"/>
      <w:numFmt w:val="bullet"/>
      <w:lvlText w:val=""/>
      <w:lvlJc w:val="left"/>
      <w:pPr>
        <w:tabs>
          <w:tab w:val="num" w:pos="5040"/>
        </w:tabs>
        <w:ind w:left="5040" w:hanging="360"/>
      </w:pPr>
      <w:rPr>
        <w:rFonts w:ascii="Symbol" w:hAnsi="Symbol"/>
      </w:rPr>
    </w:lvl>
    <w:lvl w:ilvl="7" w:tplc="DC368040">
      <w:start w:val="1"/>
      <w:numFmt w:val="bullet"/>
      <w:lvlText w:val="o"/>
      <w:lvlJc w:val="left"/>
      <w:pPr>
        <w:tabs>
          <w:tab w:val="num" w:pos="5760"/>
        </w:tabs>
        <w:ind w:left="5760" w:hanging="360"/>
      </w:pPr>
      <w:rPr>
        <w:rFonts w:ascii="Courier New" w:hAnsi="Courier New"/>
      </w:rPr>
    </w:lvl>
    <w:lvl w:ilvl="8" w:tplc="B0985E0E">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65943F1E">
      <w:start w:val="1"/>
      <w:numFmt w:val="bullet"/>
      <w:lvlText w:val=""/>
      <w:lvlJc w:val="left"/>
      <w:pPr>
        <w:ind w:left="720" w:hanging="360"/>
      </w:pPr>
      <w:rPr>
        <w:rFonts w:ascii="Symbol" w:hAnsi="Symbol"/>
      </w:rPr>
    </w:lvl>
    <w:lvl w:ilvl="1" w:tplc="E6D6382A">
      <w:start w:val="1"/>
      <w:numFmt w:val="bullet"/>
      <w:lvlText w:val="o"/>
      <w:lvlJc w:val="left"/>
      <w:pPr>
        <w:tabs>
          <w:tab w:val="num" w:pos="1440"/>
        </w:tabs>
        <w:ind w:left="1440" w:hanging="360"/>
      </w:pPr>
      <w:rPr>
        <w:rFonts w:ascii="Courier New" w:hAnsi="Courier New"/>
      </w:rPr>
    </w:lvl>
    <w:lvl w:ilvl="2" w:tplc="303A7486">
      <w:start w:val="1"/>
      <w:numFmt w:val="bullet"/>
      <w:lvlText w:val=""/>
      <w:lvlJc w:val="left"/>
      <w:pPr>
        <w:tabs>
          <w:tab w:val="num" w:pos="2160"/>
        </w:tabs>
        <w:ind w:left="2160" w:hanging="360"/>
      </w:pPr>
      <w:rPr>
        <w:rFonts w:ascii="Wingdings" w:hAnsi="Wingdings"/>
      </w:rPr>
    </w:lvl>
    <w:lvl w:ilvl="3" w:tplc="C3FAE456">
      <w:start w:val="1"/>
      <w:numFmt w:val="bullet"/>
      <w:lvlText w:val=""/>
      <w:lvlJc w:val="left"/>
      <w:pPr>
        <w:tabs>
          <w:tab w:val="num" w:pos="2880"/>
        </w:tabs>
        <w:ind w:left="2880" w:hanging="360"/>
      </w:pPr>
      <w:rPr>
        <w:rFonts w:ascii="Symbol" w:hAnsi="Symbol"/>
      </w:rPr>
    </w:lvl>
    <w:lvl w:ilvl="4" w:tplc="70E8F8A2">
      <w:start w:val="1"/>
      <w:numFmt w:val="bullet"/>
      <w:lvlText w:val="o"/>
      <w:lvlJc w:val="left"/>
      <w:pPr>
        <w:tabs>
          <w:tab w:val="num" w:pos="3600"/>
        </w:tabs>
        <w:ind w:left="3600" w:hanging="360"/>
      </w:pPr>
      <w:rPr>
        <w:rFonts w:ascii="Courier New" w:hAnsi="Courier New"/>
      </w:rPr>
    </w:lvl>
    <w:lvl w:ilvl="5" w:tplc="E8B2AA1A">
      <w:start w:val="1"/>
      <w:numFmt w:val="bullet"/>
      <w:lvlText w:val=""/>
      <w:lvlJc w:val="left"/>
      <w:pPr>
        <w:tabs>
          <w:tab w:val="num" w:pos="4320"/>
        </w:tabs>
        <w:ind w:left="4320" w:hanging="360"/>
      </w:pPr>
      <w:rPr>
        <w:rFonts w:ascii="Wingdings" w:hAnsi="Wingdings"/>
      </w:rPr>
    </w:lvl>
    <w:lvl w:ilvl="6" w:tplc="24E60F2A">
      <w:start w:val="1"/>
      <w:numFmt w:val="bullet"/>
      <w:lvlText w:val=""/>
      <w:lvlJc w:val="left"/>
      <w:pPr>
        <w:tabs>
          <w:tab w:val="num" w:pos="5040"/>
        </w:tabs>
        <w:ind w:left="5040" w:hanging="360"/>
      </w:pPr>
      <w:rPr>
        <w:rFonts w:ascii="Symbol" w:hAnsi="Symbol"/>
      </w:rPr>
    </w:lvl>
    <w:lvl w:ilvl="7" w:tplc="35E03B74">
      <w:start w:val="1"/>
      <w:numFmt w:val="bullet"/>
      <w:lvlText w:val="o"/>
      <w:lvlJc w:val="left"/>
      <w:pPr>
        <w:tabs>
          <w:tab w:val="num" w:pos="5760"/>
        </w:tabs>
        <w:ind w:left="5760" w:hanging="360"/>
      </w:pPr>
      <w:rPr>
        <w:rFonts w:ascii="Courier New" w:hAnsi="Courier New"/>
      </w:rPr>
    </w:lvl>
    <w:lvl w:ilvl="8" w:tplc="2F16B94E">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3C4E03F4">
      <w:start w:val="1"/>
      <w:numFmt w:val="bullet"/>
      <w:lvlText w:val=""/>
      <w:lvlJc w:val="left"/>
      <w:pPr>
        <w:ind w:left="720" w:hanging="360"/>
      </w:pPr>
      <w:rPr>
        <w:rFonts w:ascii="Symbol" w:hAnsi="Symbol"/>
      </w:rPr>
    </w:lvl>
    <w:lvl w:ilvl="1" w:tplc="1744E126">
      <w:start w:val="1"/>
      <w:numFmt w:val="bullet"/>
      <w:lvlText w:val="o"/>
      <w:lvlJc w:val="left"/>
      <w:pPr>
        <w:tabs>
          <w:tab w:val="num" w:pos="1440"/>
        </w:tabs>
        <w:ind w:left="1440" w:hanging="360"/>
      </w:pPr>
      <w:rPr>
        <w:rFonts w:ascii="Courier New" w:hAnsi="Courier New"/>
      </w:rPr>
    </w:lvl>
    <w:lvl w:ilvl="2" w:tplc="23CE1AF0">
      <w:start w:val="1"/>
      <w:numFmt w:val="bullet"/>
      <w:lvlText w:val=""/>
      <w:lvlJc w:val="left"/>
      <w:pPr>
        <w:tabs>
          <w:tab w:val="num" w:pos="2160"/>
        </w:tabs>
        <w:ind w:left="2160" w:hanging="360"/>
      </w:pPr>
      <w:rPr>
        <w:rFonts w:ascii="Wingdings" w:hAnsi="Wingdings"/>
      </w:rPr>
    </w:lvl>
    <w:lvl w:ilvl="3" w:tplc="D994886A">
      <w:start w:val="1"/>
      <w:numFmt w:val="bullet"/>
      <w:lvlText w:val=""/>
      <w:lvlJc w:val="left"/>
      <w:pPr>
        <w:tabs>
          <w:tab w:val="num" w:pos="2880"/>
        </w:tabs>
        <w:ind w:left="2880" w:hanging="360"/>
      </w:pPr>
      <w:rPr>
        <w:rFonts w:ascii="Symbol" w:hAnsi="Symbol"/>
      </w:rPr>
    </w:lvl>
    <w:lvl w:ilvl="4" w:tplc="BDC6D04A">
      <w:start w:val="1"/>
      <w:numFmt w:val="bullet"/>
      <w:lvlText w:val="o"/>
      <w:lvlJc w:val="left"/>
      <w:pPr>
        <w:tabs>
          <w:tab w:val="num" w:pos="3600"/>
        </w:tabs>
        <w:ind w:left="3600" w:hanging="360"/>
      </w:pPr>
      <w:rPr>
        <w:rFonts w:ascii="Courier New" w:hAnsi="Courier New"/>
      </w:rPr>
    </w:lvl>
    <w:lvl w:ilvl="5" w:tplc="4F18CC6A">
      <w:start w:val="1"/>
      <w:numFmt w:val="bullet"/>
      <w:lvlText w:val=""/>
      <w:lvlJc w:val="left"/>
      <w:pPr>
        <w:tabs>
          <w:tab w:val="num" w:pos="4320"/>
        </w:tabs>
        <w:ind w:left="4320" w:hanging="360"/>
      </w:pPr>
      <w:rPr>
        <w:rFonts w:ascii="Wingdings" w:hAnsi="Wingdings"/>
      </w:rPr>
    </w:lvl>
    <w:lvl w:ilvl="6" w:tplc="84F29E24">
      <w:start w:val="1"/>
      <w:numFmt w:val="bullet"/>
      <w:lvlText w:val=""/>
      <w:lvlJc w:val="left"/>
      <w:pPr>
        <w:tabs>
          <w:tab w:val="num" w:pos="5040"/>
        </w:tabs>
        <w:ind w:left="5040" w:hanging="360"/>
      </w:pPr>
      <w:rPr>
        <w:rFonts w:ascii="Symbol" w:hAnsi="Symbol"/>
      </w:rPr>
    </w:lvl>
    <w:lvl w:ilvl="7" w:tplc="43F438F2">
      <w:start w:val="1"/>
      <w:numFmt w:val="bullet"/>
      <w:lvlText w:val="o"/>
      <w:lvlJc w:val="left"/>
      <w:pPr>
        <w:tabs>
          <w:tab w:val="num" w:pos="5760"/>
        </w:tabs>
        <w:ind w:left="5760" w:hanging="360"/>
      </w:pPr>
      <w:rPr>
        <w:rFonts w:ascii="Courier New" w:hAnsi="Courier New"/>
      </w:rPr>
    </w:lvl>
    <w:lvl w:ilvl="8" w:tplc="F226263C">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EBB66602">
      <w:start w:val="1"/>
      <w:numFmt w:val="bullet"/>
      <w:lvlText w:val=""/>
      <w:lvlJc w:val="left"/>
      <w:pPr>
        <w:ind w:left="720" w:hanging="360"/>
      </w:pPr>
      <w:rPr>
        <w:rFonts w:ascii="Symbol" w:hAnsi="Symbol"/>
      </w:rPr>
    </w:lvl>
    <w:lvl w:ilvl="1" w:tplc="ED4E7A3C">
      <w:start w:val="1"/>
      <w:numFmt w:val="bullet"/>
      <w:lvlText w:val="o"/>
      <w:lvlJc w:val="left"/>
      <w:pPr>
        <w:tabs>
          <w:tab w:val="num" w:pos="1440"/>
        </w:tabs>
        <w:ind w:left="1440" w:hanging="360"/>
      </w:pPr>
      <w:rPr>
        <w:rFonts w:ascii="Courier New" w:hAnsi="Courier New"/>
      </w:rPr>
    </w:lvl>
    <w:lvl w:ilvl="2" w:tplc="BEF67A28">
      <w:start w:val="1"/>
      <w:numFmt w:val="bullet"/>
      <w:lvlText w:val=""/>
      <w:lvlJc w:val="left"/>
      <w:pPr>
        <w:tabs>
          <w:tab w:val="num" w:pos="2160"/>
        </w:tabs>
        <w:ind w:left="2160" w:hanging="360"/>
      </w:pPr>
      <w:rPr>
        <w:rFonts w:ascii="Wingdings" w:hAnsi="Wingdings"/>
      </w:rPr>
    </w:lvl>
    <w:lvl w:ilvl="3" w:tplc="C18C9A40">
      <w:start w:val="1"/>
      <w:numFmt w:val="bullet"/>
      <w:lvlText w:val=""/>
      <w:lvlJc w:val="left"/>
      <w:pPr>
        <w:tabs>
          <w:tab w:val="num" w:pos="2880"/>
        </w:tabs>
        <w:ind w:left="2880" w:hanging="360"/>
      </w:pPr>
      <w:rPr>
        <w:rFonts w:ascii="Symbol" w:hAnsi="Symbol"/>
      </w:rPr>
    </w:lvl>
    <w:lvl w:ilvl="4" w:tplc="05A0060A">
      <w:start w:val="1"/>
      <w:numFmt w:val="bullet"/>
      <w:lvlText w:val="o"/>
      <w:lvlJc w:val="left"/>
      <w:pPr>
        <w:tabs>
          <w:tab w:val="num" w:pos="3600"/>
        </w:tabs>
        <w:ind w:left="3600" w:hanging="360"/>
      </w:pPr>
      <w:rPr>
        <w:rFonts w:ascii="Courier New" w:hAnsi="Courier New"/>
      </w:rPr>
    </w:lvl>
    <w:lvl w:ilvl="5" w:tplc="17A68CC8">
      <w:start w:val="1"/>
      <w:numFmt w:val="bullet"/>
      <w:lvlText w:val=""/>
      <w:lvlJc w:val="left"/>
      <w:pPr>
        <w:tabs>
          <w:tab w:val="num" w:pos="4320"/>
        </w:tabs>
        <w:ind w:left="4320" w:hanging="360"/>
      </w:pPr>
      <w:rPr>
        <w:rFonts w:ascii="Wingdings" w:hAnsi="Wingdings"/>
      </w:rPr>
    </w:lvl>
    <w:lvl w:ilvl="6" w:tplc="5EFC77EE">
      <w:start w:val="1"/>
      <w:numFmt w:val="bullet"/>
      <w:lvlText w:val=""/>
      <w:lvlJc w:val="left"/>
      <w:pPr>
        <w:tabs>
          <w:tab w:val="num" w:pos="5040"/>
        </w:tabs>
        <w:ind w:left="5040" w:hanging="360"/>
      </w:pPr>
      <w:rPr>
        <w:rFonts w:ascii="Symbol" w:hAnsi="Symbol"/>
      </w:rPr>
    </w:lvl>
    <w:lvl w:ilvl="7" w:tplc="7C9CE0BA">
      <w:start w:val="1"/>
      <w:numFmt w:val="bullet"/>
      <w:lvlText w:val="o"/>
      <w:lvlJc w:val="left"/>
      <w:pPr>
        <w:tabs>
          <w:tab w:val="num" w:pos="5760"/>
        </w:tabs>
        <w:ind w:left="5760" w:hanging="360"/>
      </w:pPr>
      <w:rPr>
        <w:rFonts w:ascii="Courier New" w:hAnsi="Courier New"/>
      </w:rPr>
    </w:lvl>
    <w:lvl w:ilvl="8" w:tplc="CE4CD75E">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66265404">
      <w:start w:val="1"/>
      <w:numFmt w:val="bullet"/>
      <w:lvlText w:val=""/>
      <w:lvlJc w:val="left"/>
      <w:pPr>
        <w:ind w:left="720" w:hanging="360"/>
      </w:pPr>
      <w:rPr>
        <w:rFonts w:ascii="Symbol" w:hAnsi="Symbol"/>
      </w:rPr>
    </w:lvl>
    <w:lvl w:ilvl="1" w:tplc="963E4384">
      <w:start w:val="1"/>
      <w:numFmt w:val="bullet"/>
      <w:lvlText w:val="o"/>
      <w:lvlJc w:val="left"/>
      <w:pPr>
        <w:tabs>
          <w:tab w:val="num" w:pos="1440"/>
        </w:tabs>
        <w:ind w:left="1440" w:hanging="360"/>
      </w:pPr>
      <w:rPr>
        <w:rFonts w:ascii="Courier New" w:hAnsi="Courier New"/>
      </w:rPr>
    </w:lvl>
    <w:lvl w:ilvl="2" w:tplc="B26A3A5C">
      <w:start w:val="1"/>
      <w:numFmt w:val="bullet"/>
      <w:lvlText w:val=""/>
      <w:lvlJc w:val="left"/>
      <w:pPr>
        <w:tabs>
          <w:tab w:val="num" w:pos="2160"/>
        </w:tabs>
        <w:ind w:left="2160" w:hanging="360"/>
      </w:pPr>
      <w:rPr>
        <w:rFonts w:ascii="Wingdings" w:hAnsi="Wingdings"/>
      </w:rPr>
    </w:lvl>
    <w:lvl w:ilvl="3" w:tplc="269EE7BE">
      <w:start w:val="1"/>
      <w:numFmt w:val="bullet"/>
      <w:lvlText w:val=""/>
      <w:lvlJc w:val="left"/>
      <w:pPr>
        <w:tabs>
          <w:tab w:val="num" w:pos="2880"/>
        </w:tabs>
        <w:ind w:left="2880" w:hanging="360"/>
      </w:pPr>
      <w:rPr>
        <w:rFonts w:ascii="Symbol" w:hAnsi="Symbol"/>
      </w:rPr>
    </w:lvl>
    <w:lvl w:ilvl="4" w:tplc="E3667CB6">
      <w:start w:val="1"/>
      <w:numFmt w:val="bullet"/>
      <w:lvlText w:val="o"/>
      <w:lvlJc w:val="left"/>
      <w:pPr>
        <w:tabs>
          <w:tab w:val="num" w:pos="3600"/>
        </w:tabs>
        <w:ind w:left="3600" w:hanging="360"/>
      </w:pPr>
      <w:rPr>
        <w:rFonts w:ascii="Courier New" w:hAnsi="Courier New"/>
      </w:rPr>
    </w:lvl>
    <w:lvl w:ilvl="5" w:tplc="D31A17CC">
      <w:start w:val="1"/>
      <w:numFmt w:val="bullet"/>
      <w:lvlText w:val=""/>
      <w:lvlJc w:val="left"/>
      <w:pPr>
        <w:tabs>
          <w:tab w:val="num" w:pos="4320"/>
        </w:tabs>
        <w:ind w:left="4320" w:hanging="360"/>
      </w:pPr>
      <w:rPr>
        <w:rFonts w:ascii="Wingdings" w:hAnsi="Wingdings"/>
      </w:rPr>
    </w:lvl>
    <w:lvl w:ilvl="6" w:tplc="4BDEF43A">
      <w:start w:val="1"/>
      <w:numFmt w:val="bullet"/>
      <w:lvlText w:val=""/>
      <w:lvlJc w:val="left"/>
      <w:pPr>
        <w:tabs>
          <w:tab w:val="num" w:pos="5040"/>
        </w:tabs>
        <w:ind w:left="5040" w:hanging="360"/>
      </w:pPr>
      <w:rPr>
        <w:rFonts w:ascii="Symbol" w:hAnsi="Symbol"/>
      </w:rPr>
    </w:lvl>
    <w:lvl w:ilvl="7" w:tplc="FBC207D2">
      <w:start w:val="1"/>
      <w:numFmt w:val="bullet"/>
      <w:lvlText w:val="o"/>
      <w:lvlJc w:val="left"/>
      <w:pPr>
        <w:tabs>
          <w:tab w:val="num" w:pos="5760"/>
        </w:tabs>
        <w:ind w:left="5760" w:hanging="360"/>
      </w:pPr>
      <w:rPr>
        <w:rFonts w:ascii="Courier New" w:hAnsi="Courier New"/>
      </w:rPr>
    </w:lvl>
    <w:lvl w:ilvl="8" w:tplc="3D36C190">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63344C62">
      <w:start w:val="1"/>
      <w:numFmt w:val="bullet"/>
      <w:lvlText w:val=""/>
      <w:lvlJc w:val="left"/>
      <w:pPr>
        <w:ind w:left="720" w:hanging="360"/>
      </w:pPr>
      <w:rPr>
        <w:rFonts w:ascii="Symbol" w:hAnsi="Symbol"/>
      </w:rPr>
    </w:lvl>
    <w:lvl w:ilvl="1" w:tplc="E38874FA">
      <w:start w:val="1"/>
      <w:numFmt w:val="bullet"/>
      <w:lvlText w:val="o"/>
      <w:lvlJc w:val="left"/>
      <w:pPr>
        <w:tabs>
          <w:tab w:val="num" w:pos="1440"/>
        </w:tabs>
        <w:ind w:left="1440" w:hanging="360"/>
      </w:pPr>
      <w:rPr>
        <w:rFonts w:ascii="Courier New" w:hAnsi="Courier New"/>
      </w:rPr>
    </w:lvl>
    <w:lvl w:ilvl="2" w:tplc="025CCA7C">
      <w:start w:val="1"/>
      <w:numFmt w:val="bullet"/>
      <w:lvlText w:val=""/>
      <w:lvlJc w:val="left"/>
      <w:pPr>
        <w:tabs>
          <w:tab w:val="num" w:pos="2160"/>
        </w:tabs>
        <w:ind w:left="2160" w:hanging="360"/>
      </w:pPr>
      <w:rPr>
        <w:rFonts w:ascii="Wingdings" w:hAnsi="Wingdings"/>
      </w:rPr>
    </w:lvl>
    <w:lvl w:ilvl="3" w:tplc="840E9B2C">
      <w:start w:val="1"/>
      <w:numFmt w:val="bullet"/>
      <w:lvlText w:val=""/>
      <w:lvlJc w:val="left"/>
      <w:pPr>
        <w:tabs>
          <w:tab w:val="num" w:pos="2880"/>
        </w:tabs>
        <w:ind w:left="2880" w:hanging="360"/>
      </w:pPr>
      <w:rPr>
        <w:rFonts w:ascii="Symbol" w:hAnsi="Symbol"/>
      </w:rPr>
    </w:lvl>
    <w:lvl w:ilvl="4" w:tplc="8CD098F8">
      <w:start w:val="1"/>
      <w:numFmt w:val="bullet"/>
      <w:lvlText w:val="o"/>
      <w:lvlJc w:val="left"/>
      <w:pPr>
        <w:tabs>
          <w:tab w:val="num" w:pos="3600"/>
        </w:tabs>
        <w:ind w:left="3600" w:hanging="360"/>
      </w:pPr>
      <w:rPr>
        <w:rFonts w:ascii="Courier New" w:hAnsi="Courier New"/>
      </w:rPr>
    </w:lvl>
    <w:lvl w:ilvl="5" w:tplc="E2FA24C4">
      <w:start w:val="1"/>
      <w:numFmt w:val="bullet"/>
      <w:lvlText w:val=""/>
      <w:lvlJc w:val="left"/>
      <w:pPr>
        <w:tabs>
          <w:tab w:val="num" w:pos="4320"/>
        </w:tabs>
        <w:ind w:left="4320" w:hanging="360"/>
      </w:pPr>
      <w:rPr>
        <w:rFonts w:ascii="Wingdings" w:hAnsi="Wingdings"/>
      </w:rPr>
    </w:lvl>
    <w:lvl w:ilvl="6" w:tplc="EE5001C6">
      <w:start w:val="1"/>
      <w:numFmt w:val="bullet"/>
      <w:lvlText w:val=""/>
      <w:lvlJc w:val="left"/>
      <w:pPr>
        <w:tabs>
          <w:tab w:val="num" w:pos="5040"/>
        </w:tabs>
        <w:ind w:left="5040" w:hanging="360"/>
      </w:pPr>
      <w:rPr>
        <w:rFonts w:ascii="Symbol" w:hAnsi="Symbol"/>
      </w:rPr>
    </w:lvl>
    <w:lvl w:ilvl="7" w:tplc="4AC27626">
      <w:start w:val="1"/>
      <w:numFmt w:val="bullet"/>
      <w:lvlText w:val="o"/>
      <w:lvlJc w:val="left"/>
      <w:pPr>
        <w:tabs>
          <w:tab w:val="num" w:pos="5760"/>
        </w:tabs>
        <w:ind w:left="5760" w:hanging="360"/>
      </w:pPr>
      <w:rPr>
        <w:rFonts w:ascii="Courier New" w:hAnsi="Courier New"/>
      </w:rPr>
    </w:lvl>
    <w:lvl w:ilvl="8" w:tplc="217E4842">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F996AE88">
      <w:start w:val="1"/>
      <w:numFmt w:val="bullet"/>
      <w:lvlText w:val=""/>
      <w:lvlJc w:val="left"/>
      <w:pPr>
        <w:ind w:left="720" w:hanging="360"/>
      </w:pPr>
      <w:rPr>
        <w:rFonts w:ascii="Symbol" w:hAnsi="Symbol"/>
      </w:rPr>
    </w:lvl>
    <w:lvl w:ilvl="1" w:tplc="3DB602A6">
      <w:start w:val="1"/>
      <w:numFmt w:val="bullet"/>
      <w:lvlText w:val="o"/>
      <w:lvlJc w:val="left"/>
      <w:pPr>
        <w:tabs>
          <w:tab w:val="num" w:pos="1440"/>
        </w:tabs>
        <w:ind w:left="1440" w:hanging="360"/>
      </w:pPr>
      <w:rPr>
        <w:rFonts w:ascii="Courier New" w:hAnsi="Courier New"/>
      </w:rPr>
    </w:lvl>
    <w:lvl w:ilvl="2" w:tplc="E4D67040">
      <w:start w:val="1"/>
      <w:numFmt w:val="bullet"/>
      <w:lvlText w:val=""/>
      <w:lvlJc w:val="left"/>
      <w:pPr>
        <w:tabs>
          <w:tab w:val="num" w:pos="2160"/>
        </w:tabs>
        <w:ind w:left="2160" w:hanging="360"/>
      </w:pPr>
      <w:rPr>
        <w:rFonts w:ascii="Wingdings" w:hAnsi="Wingdings"/>
      </w:rPr>
    </w:lvl>
    <w:lvl w:ilvl="3" w:tplc="A2A88CF0">
      <w:start w:val="1"/>
      <w:numFmt w:val="bullet"/>
      <w:lvlText w:val=""/>
      <w:lvlJc w:val="left"/>
      <w:pPr>
        <w:tabs>
          <w:tab w:val="num" w:pos="2880"/>
        </w:tabs>
        <w:ind w:left="2880" w:hanging="360"/>
      </w:pPr>
      <w:rPr>
        <w:rFonts w:ascii="Symbol" w:hAnsi="Symbol"/>
      </w:rPr>
    </w:lvl>
    <w:lvl w:ilvl="4" w:tplc="516604FA">
      <w:start w:val="1"/>
      <w:numFmt w:val="bullet"/>
      <w:lvlText w:val="o"/>
      <w:lvlJc w:val="left"/>
      <w:pPr>
        <w:tabs>
          <w:tab w:val="num" w:pos="3600"/>
        </w:tabs>
        <w:ind w:left="3600" w:hanging="360"/>
      </w:pPr>
      <w:rPr>
        <w:rFonts w:ascii="Courier New" w:hAnsi="Courier New"/>
      </w:rPr>
    </w:lvl>
    <w:lvl w:ilvl="5" w:tplc="504E5154">
      <w:start w:val="1"/>
      <w:numFmt w:val="bullet"/>
      <w:lvlText w:val=""/>
      <w:lvlJc w:val="left"/>
      <w:pPr>
        <w:tabs>
          <w:tab w:val="num" w:pos="4320"/>
        </w:tabs>
        <w:ind w:left="4320" w:hanging="360"/>
      </w:pPr>
      <w:rPr>
        <w:rFonts w:ascii="Wingdings" w:hAnsi="Wingdings"/>
      </w:rPr>
    </w:lvl>
    <w:lvl w:ilvl="6" w:tplc="6BFC35DE">
      <w:start w:val="1"/>
      <w:numFmt w:val="bullet"/>
      <w:lvlText w:val=""/>
      <w:lvlJc w:val="left"/>
      <w:pPr>
        <w:tabs>
          <w:tab w:val="num" w:pos="5040"/>
        </w:tabs>
        <w:ind w:left="5040" w:hanging="360"/>
      </w:pPr>
      <w:rPr>
        <w:rFonts w:ascii="Symbol" w:hAnsi="Symbol"/>
      </w:rPr>
    </w:lvl>
    <w:lvl w:ilvl="7" w:tplc="ED883060">
      <w:start w:val="1"/>
      <w:numFmt w:val="bullet"/>
      <w:lvlText w:val="o"/>
      <w:lvlJc w:val="left"/>
      <w:pPr>
        <w:tabs>
          <w:tab w:val="num" w:pos="5760"/>
        </w:tabs>
        <w:ind w:left="5760" w:hanging="360"/>
      </w:pPr>
      <w:rPr>
        <w:rFonts w:ascii="Courier New" w:hAnsi="Courier New"/>
      </w:rPr>
    </w:lvl>
    <w:lvl w:ilvl="8" w:tplc="5B008A58">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4F04ADAC">
      <w:start w:val="1"/>
      <w:numFmt w:val="bullet"/>
      <w:lvlText w:val=""/>
      <w:lvlJc w:val="left"/>
      <w:pPr>
        <w:ind w:left="720" w:hanging="360"/>
      </w:pPr>
      <w:rPr>
        <w:rFonts w:ascii="Symbol" w:hAnsi="Symbol"/>
      </w:rPr>
    </w:lvl>
    <w:lvl w:ilvl="1" w:tplc="0A0CE106">
      <w:start w:val="1"/>
      <w:numFmt w:val="bullet"/>
      <w:lvlText w:val="o"/>
      <w:lvlJc w:val="left"/>
      <w:pPr>
        <w:tabs>
          <w:tab w:val="num" w:pos="1440"/>
        </w:tabs>
        <w:ind w:left="1440" w:hanging="360"/>
      </w:pPr>
      <w:rPr>
        <w:rFonts w:ascii="Courier New" w:hAnsi="Courier New"/>
      </w:rPr>
    </w:lvl>
    <w:lvl w:ilvl="2" w:tplc="47E47F14">
      <w:start w:val="1"/>
      <w:numFmt w:val="bullet"/>
      <w:lvlText w:val=""/>
      <w:lvlJc w:val="left"/>
      <w:pPr>
        <w:tabs>
          <w:tab w:val="num" w:pos="2160"/>
        </w:tabs>
        <w:ind w:left="2160" w:hanging="360"/>
      </w:pPr>
      <w:rPr>
        <w:rFonts w:ascii="Wingdings" w:hAnsi="Wingdings"/>
      </w:rPr>
    </w:lvl>
    <w:lvl w:ilvl="3" w:tplc="ACD2993A">
      <w:start w:val="1"/>
      <w:numFmt w:val="bullet"/>
      <w:lvlText w:val=""/>
      <w:lvlJc w:val="left"/>
      <w:pPr>
        <w:tabs>
          <w:tab w:val="num" w:pos="2880"/>
        </w:tabs>
        <w:ind w:left="2880" w:hanging="360"/>
      </w:pPr>
      <w:rPr>
        <w:rFonts w:ascii="Symbol" w:hAnsi="Symbol"/>
      </w:rPr>
    </w:lvl>
    <w:lvl w:ilvl="4" w:tplc="DAEC154C">
      <w:start w:val="1"/>
      <w:numFmt w:val="bullet"/>
      <w:lvlText w:val="o"/>
      <w:lvlJc w:val="left"/>
      <w:pPr>
        <w:tabs>
          <w:tab w:val="num" w:pos="3600"/>
        </w:tabs>
        <w:ind w:left="3600" w:hanging="360"/>
      </w:pPr>
      <w:rPr>
        <w:rFonts w:ascii="Courier New" w:hAnsi="Courier New"/>
      </w:rPr>
    </w:lvl>
    <w:lvl w:ilvl="5" w:tplc="7A50D852">
      <w:start w:val="1"/>
      <w:numFmt w:val="bullet"/>
      <w:lvlText w:val=""/>
      <w:lvlJc w:val="left"/>
      <w:pPr>
        <w:tabs>
          <w:tab w:val="num" w:pos="4320"/>
        </w:tabs>
        <w:ind w:left="4320" w:hanging="360"/>
      </w:pPr>
      <w:rPr>
        <w:rFonts w:ascii="Wingdings" w:hAnsi="Wingdings"/>
      </w:rPr>
    </w:lvl>
    <w:lvl w:ilvl="6" w:tplc="3E082216">
      <w:start w:val="1"/>
      <w:numFmt w:val="bullet"/>
      <w:lvlText w:val=""/>
      <w:lvlJc w:val="left"/>
      <w:pPr>
        <w:tabs>
          <w:tab w:val="num" w:pos="5040"/>
        </w:tabs>
        <w:ind w:left="5040" w:hanging="360"/>
      </w:pPr>
      <w:rPr>
        <w:rFonts w:ascii="Symbol" w:hAnsi="Symbol"/>
      </w:rPr>
    </w:lvl>
    <w:lvl w:ilvl="7" w:tplc="13F4D7D8">
      <w:start w:val="1"/>
      <w:numFmt w:val="bullet"/>
      <w:lvlText w:val="o"/>
      <w:lvlJc w:val="left"/>
      <w:pPr>
        <w:tabs>
          <w:tab w:val="num" w:pos="5760"/>
        </w:tabs>
        <w:ind w:left="5760" w:hanging="360"/>
      </w:pPr>
      <w:rPr>
        <w:rFonts w:ascii="Courier New" w:hAnsi="Courier New"/>
      </w:rPr>
    </w:lvl>
    <w:lvl w:ilvl="8" w:tplc="09A690EE">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62525826">
      <w:start w:val="1"/>
      <w:numFmt w:val="bullet"/>
      <w:lvlText w:val=""/>
      <w:lvlJc w:val="left"/>
      <w:pPr>
        <w:ind w:left="720" w:hanging="360"/>
      </w:pPr>
      <w:rPr>
        <w:rFonts w:ascii="Symbol" w:hAnsi="Symbol"/>
      </w:rPr>
    </w:lvl>
    <w:lvl w:ilvl="1" w:tplc="42529BD2">
      <w:start w:val="1"/>
      <w:numFmt w:val="bullet"/>
      <w:lvlText w:val="o"/>
      <w:lvlJc w:val="left"/>
      <w:pPr>
        <w:tabs>
          <w:tab w:val="num" w:pos="1440"/>
        </w:tabs>
        <w:ind w:left="1440" w:hanging="360"/>
      </w:pPr>
      <w:rPr>
        <w:rFonts w:ascii="Courier New" w:hAnsi="Courier New"/>
      </w:rPr>
    </w:lvl>
    <w:lvl w:ilvl="2" w:tplc="2C4E2090">
      <w:start w:val="1"/>
      <w:numFmt w:val="bullet"/>
      <w:lvlText w:val=""/>
      <w:lvlJc w:val="left"/>
      <w:pPr>
        <w:tabs>
          <w:tab w:val="num" w:pos="2160"/>
        </w:tabs>
        <w:ind w:left="2160" w:hanging="360"/>
      </w:pPr>
      <w:rPr>
        <w:rFonts w:ascii="Wingdings" w:hAnsi="Wingdings"/>
      </w:rPr>
    </w:lvl>
    <w:lvl w:ilvl="3" w:tplc="8FE23978">
      <w:start w:val="1"/>
      <w:numFmt w:val="bullet"/>
      <w:lvlText w:val=""/>
      <w:lvlJc w:val="left"/>
      <w:pPr>
        <w:tabs>
          <w:tab w:val="num" w:pos="2880"/>
        </w:tabs>
        <w:ind w:left="2880" w:hanging="360"/>
      </w:pPr>
      <w:rPr>
        <w:rFonts w:ascii="Symbol" w:hAnsi="Symbol"/>
      </w:rPr>
    </w:lvl>
    <w:lvl w:ilvl="4" w:tplc="F89AF444">
      <w:start w:val="1"/>
      <w:numFmt w:val="bullet"/>
      <w:lvlText w:val="o"/>
      <w:lvlJc w:val="left"/>
      <w:pPr>
        <w:tabs>
          <w:tab w:val="num" w:pos="3600"/>
        </w:tabs>
        <w:ind w:left="3600" w:hanging="360"/>
      </w:pPr>
      <w:rPr>
        <w:rFonts w:ascii="Courier New" w:hAnsi="Courier New"/>
      </w:rPr>
    </w:lvl>
    <w:lvl w:ilvl="5" w:tplc="8E8AE744">
      <w:start w:val="1"/>
      <w:numFmt w:val="bullet"/>
      <w:lvlText w:val=""/>
      <w:lvlJc w:val="left"/>
      <w:pPr>
        <w:tabs>
          <w:tab w:val="num" w:pos="4320"/>
        </w:tabs>
        <w:ind w:left="4320" w:hanging="360"/>
      </w:pPr>
      <w:rPr>
        <w:rFonts w:ascii="Wingdings" w:hAnsi="Wingdings"/>
      </w:rPr>
    </w:lvl>
    <w:lvl w:ilvl="6" w:tplc="BF4C7BFC">
      <w:start w:val="1"/>
      <w:numFmt w:val="bullet"/>
      <w:lvlText w:val=""/>
      <w:lvlJc w:val="left"/>
      <w:pPr>
        <w:tabs>
          <w:tab w:val="num" w:pos="5040"/>
        </w:tabs>
        <w:ind w:left="5040" w:hanging="360"/>
      </w:pPr>
      <w:rPr>
        <w:rFonts w:ascii="Symbol" w:hAnsi="Symbol"/>
      </w:rPr>
    </w:lvl>
    <w:lvl w:ilvl="7" w:tplc="F9445748">
      <w:start w:val="1"/>
      <w:numFmt w:val="bullet"/>
      <w:lvlText w:val="o"/>
      <w:lvlJc w:val="left"/>
      <w:pPr>
        <w:tabs>
          <w:tab w:val="num" w:pos="5760"/>
        </w:tabs>
        <w:ind w:left="5760" w:hanging="360"/>
      </w:pPr>
      <w:rPr>
        <w:rFonts w:ascii="Courier New" w:hAnsi="Courier New"/>
      </w:rPr>
    </w:lvl>
    <w:lvl w:ilvl="8" w:tplc="E168F682">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266AF2EA">
      <w:start w:val="1"/>
      <w:numFmt w:val="bullet"/>
      <w:lvlText w:val=""/>
      <w:lvlJc w:val="left"/>
      <w:pPr>
        <w:ind w:left="720" w:hanging="360"/>
      </w:pPr>
      <w:rPr>
        <w:rFonts w:ascii="Symbol" w:hAnsi="Symbol"/>
      </w:rPr>
    </w:lvl>
    <w:lvl w:ilvl="1" w:tplc="B914D2D0">
      <w:start w:val="1"/>
      <w:numFmt w:val="bullet"/>
      <w:lvlText w:val="o"/>
      <w:lvlJc w:val="left"/>
      <w:pPr>
        <w:tabs>
          <w:tab w:val="num" w:pos="1440"/>
        </w:tabs>
        <w:ind w:left="1440" w:hanging="360"/>
      </w:pPr>
      <w:rPr>
        <w:rFonts w:ascii="Courier New" w:hAnsi="Courier New"/>
      </w:rPr>
    </w:lvl>
    <w:lvl w:ilvl="2" w:tplc="F1EA3040">
      <w:start w:val="1"/>
      <w:numFmt w:val="bullet"/>
      <w:lvlText w:val=""/>
      <w:lvlJc w:val="left"/>
      <w:pPr>
        <w:tabs>
          <w:tab w:val="num" w:pos="2160"/>
        </w:tabs>
        <w:ind w:left="2160" w:hanging="360"/>
      </w:pPr>
      <w:rPr>
        <w:rFonts w:ascii="Wingdings" w:hAnsi="Wingdings"/>
      </w:rPr>
    </w:lvl>
    <w:lvl w:ilvl="3" w:tplc="8B3AC3F4">
      <w:start w:val="1"/>
      <w:numFmt w:val="bullet"/>
      <w:lvlText w:val=""/>
      <w:lvlJc w:val="left"/>
      <w:pPr>
        <w:tabs>
          <w:tab w:val="num" w:pos="2880"/>
        </w:tabs>
        <w:ind w:left="2880" w:hanging="360"/>
      </w:pPr>
      <w:rPr>
        <w:rFonts w:ascii="Symbol" w:hAnsi="Symbol"/>
      </w:rPr>
    </w:lvl>
    <w:lvl w:ilvl="4" w:tplc="ECE4AB94">
      <w:start w:val="1"/>
      <w:numFmt w:val="bullet"/>
      <w:lvlText w:val="o"/>
      <w:lvlJc w:val="left"/>
      <w:pPr>
        <w:tabs>
          <w:tab w:val="num" w:pos="3600"/>
        </w:tabs>
        <w:ind w:left="3600" w:hanging="360"/>
      </w:pPr>
      <w:rPr>
        <w:rFonts w:ascii="Courier New" w:hAnsi="Courier New"/>
      </w:rPr>
    </w:lvl>
    <w:lvl w:ilvl="5" w:tplc="EA1234EC">
      <w:start w:val="1"/>
      <w:numFmt w:val="bullet"/>
      <w:lvlText w:val=""/>
      <w:lvlJc w:val="left"/>
      <w:pPr>
        <w:tabs>
          <w:tab w:val="num" w:pos="4320"/>
        </w:tabs>
        <w:ind w:left="4320" w:hanging="360"/>
      </w:pPr>
      <w:rPr>
        <w:rFonts w:ascii="Wingdings" w:hAnsi="Wingdings"/>
      </w:rPr>
    </w:lvl>
    <w:lvl w:ilvl="6" w:tplc="C7E652B6">
      <w:start w:val="1"/>
      <w:numFmt w:val="bullet"/>
      <w:lvlText w:val=""/>
      <w:lvlJc w:val="left"/>
      <w:pPr>
        <w:tabs>
          <w:tab w:val="num" w:pos="5040"/>
        </w:tabs>
        <w:ind w:left="5040" w:hanging="360"/>
      </w:pPr>
      <w:rPr>
        <w:rFonts w:ascii="Symbol" w:hAnsi="Symbol"/>
      </w:rPr>
    </w:lvl>
    <w:lvl w:ilvl="7" w:tplc="7340C844">
      <w:start w:val="1"/>
      <w:numFmt w:val="bullet"/>
      <w:lvlText w:val="o"/>
      <w:lvlJc w:val="left"/>
      <w:pPr>
        <w:tabs>
          <w:tab w:val="num" w:pos="5760"/>
        </w:tabs>
        <w:ind w:left="5760" w:hanging="360"/>
      </w:pPr>
      <w:rPr>
        <w:rFonts w:ascii="Courier New" w:hAnsi="Courier New"/>
      </w:rPr>
    </w:lvl>
    <w:lvl w:ilvl="8" w:tplc="86527F3C">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0AC0A57C">
      <w:start w:val="1"/>
      <w:numFmt w:val="bullet"/>
      <w:lvlText w:val=""/>
      <w:lvlJc w:val="left"/>
      <w:pPr>
        <w:ind w:left="720" w:hanging="360"/>
      </w:pPr>
      <w:rPr>
        <w:rFonts w:ascii="Symbol" w:hAnsi="Symbol"/>
      </w:rPr>
    </w:lvl>
    <w:lvl w:ilvl="1" w:tplc="1CB0FD00">
      <w:start w:val="1"/>
      <w:numFmt w:val="bullet"/>
      <w:lvlText w:val="o"/>
      <w:lvlJc w:val="left"/>
      <w:pPr>
        <w:tabs>
          <w:tab w:val="num" w:pos="1440"/>
        </w:tabs>
        <w:ind w:left="1440" w:hanging="360"/>
      </w:pPr>
      <w:rPr>
        <w:rFonts w:ascii="Courier New" w:hAnsi="Courier New"/>
      </w:rPr>
    </w:lvl>
    <w:lvl w:ilvl="2" w:tplc="B1CC900A">
      <w:start w:val="1"/>
      <w:numFmt w:val="bullet"/>
      <w:lvlText w:val=""/>
      <w:lvlJc w:val="left"/>
      <w:pPr>
        <w:tabs>
          <w:tab w:val="num" w:pos="2160"/>
        </w:tabs>
        <w:ind w:left="2160" w:hanging="360"/>
      </w:pPr>
      <w:rPr>
        <w:rFonts w:ascii="Wingdings" w:hAnsi="Wingdings"/>
      </w:rPr>
    </w:lvl>
    <w:lvl w:ilvl="3" w:tplc="6C383332">
      <w:start w:val="1"/>
      <w:numFmt w:val="bullet"/>
      <w:lvlText w:val=""/>
      <w:lvlJc w:val="left"/>
      <w:pPr>
        <w:tabs>
          <w:tab w:val="num" w:pos="2880"/>
        </w:tabs>
        <w:ind w:left="2880" w:hanging="360"/>
      </w:pPr>
      <w:rPr>
        <w:rFonts w:ascii="Symbol" w:hAnsi="Symbol"/>
      </w:rPr>
    </w:lvl>
    <w:lvl w:ilvl="4" w:tplc="65106C12">
      <w:start w:val="1"/>
      <w:numFmt w:val="bullet"/>
      <w:lvlText w:val="o"/>
      <w:lvlJc w:val="left"/>
      <w:pPr>
        <w:tabs>
          <w:tab w:val="num" w:pos="3600"/>
        </w:tabs>
        <w:ind w:left="3600" w:hanging="360"/>
      </w:pPr>
      <w:rPr>
        <w:rFonts w:ascii="Courier New" w:hAnsi="Courier New"/>
      </w:rPr>
    </w:lvl>
    <w:lvl w:ilvl="5" w:tplc="819EFA2E">
      <w:start w:val="1"/>
      <w:numFmt w:val="bullet"/>
      <w:lvlText w:val=""/>
      <w:lvlJc w:val="left"/>
      <w:pPr>
        <w:tabs>
          <w:tab w:val="num" w:pos="4320"/>
        </w:tabs>
        <w:ind w:left="4320" w:hanging="360"/>
      </w:pPr>
      <w:rPr>
        <w:rFonts w:ascii="Wingdings" w:hAnsi="Wingdings"/>
      </w:rPr>
    </w:lvl>
    <w:lvl w:ilvl="6" w:tplc="55EA4C8E">
      <w:start w:val="1"/>
      <w:numFmt w:val="bullet"/>
      <w:lvlText w:val=""/>
      <w:lvlJc w:val="left"/>
      <w:pPr>
        <w:tabs>
          <w:tab w:val="num" w:pos="5040"/>
        </w:tabs>
        <w:ind w:left="5040" w:hanging="360"/>
      </w:pPr>
      <w:rPr>
        <w:rFonts w:ascii="Symbol" w:hAnsi="Symbol"/>
      </w:rPr>
    </w:lvl>
    <w:lvl w:ilvl="7" w:tplc="5B202D50">
      <w:start w:val="1"/>
      <w:numFmt w:val="bullet"/>
      <w:lvlText w:val="o"/>
      <w:lvlJc w:val="left"/>
      <w:pPr>
        <w:tabs>
          <w:tab w:val="num" w:pos="5760"/>
        </w:tabs>
        <w:ind w:left="5760" w:hanging="360"/>
      </w:pPr>
      <w:rPr>
        <w:rFonts w:ascii="Courier New" w:hAnsi="Courier New"/>
      </w:rPr>
    </w:lvl>
    <w:lvl w:ilvl="8" w:tplc="BEA40DDA">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6B18DBA2">
      <w:start w:val="1"/>
      <w:numFmt w:val="bullet"/>
      <w:lvlText w:val=""/>
      <w:lvlJc w:val="left"/>
      <w:pPr>
        <w:ind w:left="720" w:hanging="360"/>
      </w:pPr>
      <w:rPr>
        <w:rFonts w:ascii="Symbol" w:hAnsi="Symbol"/>
      </w:rPr>
    </w:lvl>
    <w:lvl w:ilvl="1" w:tplc="8DA4498C">
      <w:start w:val="1"/>
      <w:numFmt w:val="bullet"/>
      <w:lvlText w:val="o"/>
      <w:lvlJc w:val="left"/>
      <w:pPr>
        <w:tabs>
          <w:tab w:val="num" w:pos="1440"/>
        </w:tabs>
        <w:ind w:left="1440" w:hanging="360"/>
      </w:pPr>
      <w:rPr>
        <w:rFonts w:ascii="Courier New" w:hAnsi="Courier New"/>
      </w:rPr>
    </w:lvl>
    <w:lvl w:ilvl="2" w:tplc="E5AC7D10">
      <w:start w:val="1"/>
      <w:numFmt w:val="bullet"/>
      <w:lvlText w:val=""/>
      <w:lvlJc w:val="left"/>
      <w:pPr>
        <w:tabs>
          <w:tab w:val="num" w:pos="2160"/>
        </w:tabs>
        <w:ind w:left="2160" w:hanging="360"/>
      </w:pPr>
      <w:rPr>
        <w:rFonts w:ascii="Wingdings" w:hAnsi="Wingdings"/>
      </w:rPr>
    </w:lvl>
    <w:lvl w:ilvl="3" w:tplc="420637E4">
      <w:start w:val="1"/>
      <w:numFmt w:val="bullet"/>
      <w:lvlText w:val=""/>
      <w:lvlJc w:val="left"/>
      <w:pPr>
        <w:tabs>
          <w:tab w:val="num" w:pos="2880"/>
        </w:tabs>
        <w:ind w:left="2880" w:hanging="360"/>
      </w:pPr>
      <w:rPr>
        <w:rFonts w:ascii="Symbol" w:hAnsi="Symbol"/>
      </w:rPr>
    </w:lvl>
    <w:lvl w:ilvl="4" w:tplc="786C2C84">
      <w:start w:val="1"/>
      <w:numFmt w:val="bullet"/>
      <w:lvlText w:val="o"/>
      <w:lvlJc w:val="left"/>
      <w:pPr>
        <w:tabs>
          <w:tab w:val="num" w:pos="3600"/>
        </w:tabs>
        <w:ind w:left="3600" w:hanging="360"/>
      </w:pPr>
      <w:rPr>
        <w:rFonts w:ascii="Courier New" w:hAnsi="Courier New"/>
      </w:rPr>
    </w:lvl>
    <w:lvl w:ilvl="5" w:tplc="3B00CAC6">
      <w:start w:val="1"/>
      <w:numFmt w:val="bullet"/>
      <w:lvlText w:val=""/>
      <w:lvlJc w:val="left"/>
      <w:pPr>
        <w:tabs>
          <w:tab w:val="num" w:pos="4320"/>
        </w:tabs>
        <w:ind w:left="4320" w:hanging="360"/>
      </w:pPr>
      <w:rPr>
        <w:rFonts w:ascii="Wingdings" w:hAnsi="Wingdings"/>
      </w:rPr>
    </w:lvl>
    <w:lvl w:ilvl="6" w:tplc="A9023200">
      <w:start w:val="1"/>
      <w:numFmt w:val="bullet"/>
      <w:lvlText w:val=""/>
      <w:lvlJc w:val="left"/>
      <w:pPr>
        <w:tabs>
          <w:tab w:val="num" w:pos="5040"/>
        </w:tabs>
        <w:ind w:left="5040" w:hanging="360"/>
      </w:pPr>
      <w:rPr>
        <w:rFonts w:ascii="Symbol" w:hAnsi="Symbol"/>
      </w:rPr>
    </w:lvl>
    <w:lvl w:ilvl="7" w:tplc="A9583D6C">
      <w:start w:val="1"/>
      <w:numFmt w:val="bullet"/>
      <w:lvlText w:val="o"/>
      <w:lvlJc w:val="left"/>
      <w:pPr>
        <w:tabs>
          <w:tab w:val="num" w:pos="5760"/>
        </w:tabs>
        <w:ind w:left="5760" w:hanging="360"/>
      </w:pPr>
      <w:rPr>
        <w:rFonts w:ascii="Courier New" w:hAnsi="Courier New"/>
      </w:rPr>
    </w:lvl>
    <w:lvl w:ilvl="8" w:tplc="E18418E4">
      <w:start w:val="1"/>
      <w:numFmt w:val="bullet"/>
      <w:lvlText w:val=""/>
      <w:lvlJc w:val="left"/>
      <w:pPr>
        <w:tabs>
          <w:tab w:val="num" w:pos="6480"/>
        </w:tabs>
        <w:ind w:left="6480" w:hanging="360"/>
      </w:pPr>
      <w:rPr>
        <w:rFonts w:ascii="Wingdings" w:hAnsi="Wingdings"/>
      </w:rPr>
    </w:lvl>
  </w:abstractNum>
  <w:abstractNum w:abstractNumId="20" w15:restartNumberingAfterBreak="0">
    <w:nsid w:val="01554D40"/>
    <w:multiLevelType w:val="hybridMultilevel"/>
    <w:tmpl w:val="9B50B3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07D3F06"/>
    <w:multiLevelType w:val="hybridMultilevel"/>
    <w:tmpl w:val="FD88E8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78948C3"/>
    <w:multiLevelType w:val="hybridMultilevel"/>
    <w:tmpl w:val="68667D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6D523F4"/>
    <w:multiLevelType w:val="hybridMultilevel"/>
    <w:tmpl w:val="E2E639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A117BA5"/>
    <w:multiLevelType w:val="hybridMultilevel"/>
    <w:tmpl w:val="78EA1E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DA31132"/>
    <w:multiLevelType w:val="hybridMultilevel"/>
    <w:tmpl w:val="E226521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69925F26"/>
    <w:multiLevelType w:val="hybridMultilevel"/>
    <w:tmpl w:val="F730B2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D552890"/>
    <w:multiLevelType w:val="hybridMultilevel"/>
    <w:tmpl w:val="A0A43A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05367CB"/>
    <w:multiLevelType w:val="hybridMultilevel"/>
    <w:tmpl w:val="55C02E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3"/>
  </w:num>
  <w:num w:numId="22">
    <w:abstractNumId w:val="21"/>
  </w:num>
  <w:num w:numId="23">
    <w:abstractNumId w:val="20"/>
  </w:num>
  <w:num w:numId="24">
    <w:abstractNumId w:val="22"/>
  </w:num>
  <w:num w:numId="25">
    <w:abstractNumId w:val="25"/>
  </w:num>
  <w:num w:numId="26">
    <w:abstractNumId w:val="28"/>
  </w:num>
  <w:num w:numId="27">
    <w:abstractNumId w:val="24"/>
  </w:num>
  <w:num w:numId="28">
    <w:abstractNumId w:val="27"/>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269C0"/>
    <w:rsid w:val="00031C9C"/>
    <w:rsid w:val="00061EC9"/>
    <w:rsid w:val="00112D87"/>
    <w:rsid w:val="001377C3"/>
    <w:rsid w:val="0014332B"/>
    <w:rsid w:val="00187245"/>
    <w:rsid w:val="0022163A"/>
    <w:rsid w:val="00221D39"/>
    <w:rsid w:val="00234C4A"/>
    <w:rsid w:val="002A06CB"/>
    <w:rsid w:val="002A3B08"/>
    <w:rsid w:val="002C5B76"/>
    <w:rsid w:val="003537EF"/>
    <w:rsid w:val="00362D61"/>
    <w:rsid w:val="003A5E1A"/>
    <w:rsid w:val="003E21E4"/>
    <w:rsid w:val="003E7A52"/>
    <w:rsid w:val="003F2271"/>
    <w:rsid w:val="00401002"/>
    <w:rsid w:val="004153F2"/>
    <w:rsid w:val="004420F7"/>
    <w:rsid w:val="004B75EC"/>
    <w:rsid w:val="00600890"/>
    <w:rsid w:val="006771E2"/>
    <w:rsid w:val="006A3529"/>
    <w:rsid w:val="006D3AB1"/>
    <w:rsid w:val="00701ADE"/>
    <w:rsid w:val="007164A2"/>
    <w:rsid w:val="00731B65"/>
    <w:rsid w:val="007466F3"/>
    <w:rsid w:val="00746F09"/>
    <w:rsid w:val="007A6DBA"/>
    <w:rsid w:val="007B332E"/>
    <w:rsid w:val="007D58FA"/>
    <w:rsid w:val="008011B1"/>
    <w:rsid w:val="008654B4"/>
    <w:rsid w:val="008D48AA"/>
    <w:rsid w:val="008E39AD"/>
    <w:rsid w:val="008F6B61"/>
    <w:rsid w:val="00A10BE0"/>
    <w:rsid w:val="00A777B1"/>
    <w:rsid w:val="00A77B3E"/>
    <w:rsid w:val="00B42228"/>
    <w:rsid w:val="00B70AEE"/>
    <w:rsid w:val="00B81864"/>
    <w:rsid w:val="00BA6AC7"/>
    <w:rsid w:val="00BB4ED7"/>
    <w:rsid w:val="00C37430"/>
    <w:rsid w:val="00C434C3"/>
    <w:rsid w:val="00C74730"/>
    <w:rsid w:val="00C87316"/>
    <w:rsid w:val="00CA2A55"/>
    <w:rsid w:val="00CA64EA"/>
    <w:rsid w:val="00CB5402"/>
    <w:rsid w:val="00CD3FAF"/>
    <w:rsid w:val="00D27B60"/>
    <w:rsid w:val="00D667EC"/>
    <w:rsid w:val="00D954EE"/>
    <w:rsid w:val="00DB300A"/>
    <w:rsid w:val="00DC51E9"/>
    <w:rsid w:val="00DF2D60"/>
    <w:rsid w:val="00E60C17"/>
    <w:rsid w:val="00F116DD"/>
    <w:rsid w:val="00F3372F"/>
    <w:rsid w:val="00F70096"/>
    <w:rsid w:val="00F718C5"/>
    <w:rsid w:val="00F95659"/>
    <w:rsid w:val="00FC7B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noProof/>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B75EC"/>
    <w:rPr>
      <w:sz w:val="24"/>
      <w:szCs w:val="24"/>
    </w:rPr>
  </w:style>
  <w:style w:type="paragraph" w:styleId="Nagwek1">
    <w:name w:val="heading 1"/>
    <w:basedOn w:val="Normalny"/>
    <w:next w:val="Normalny"/>
    <w:qFormat/>
    <w:rsid w:val="00EF7B96"/>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EF7B96"/>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EF7B96"/>
    <w:pPr>
      <w:keepNext/>
      <w:spacing w:before="240" w:after="60"/>
      <w:outlineLvl w:val="2"/>
    </w:pPr>
    <w:rPr>
      <w:rFonts w:ascii="Arial" w:hAnsi="Arial" w:cs="Arial"/>
      <w:b/>
      <w:bCs/>
      <w:sz w:val="26"/>
      <w:szCs w:val="26"/>
    </w:rPr>
  </w:style>
  <w:style w:type="paragraph" w:styleId="Nagwek4">
    <w:name w:val="heading 4"/>
    <w:basedOn w:val="Normalny"/>
    <w:next w:val="Normalny"/>
    <w:qFormat/>
    <w:rsid w:val="00EF7B96"/>
    <w:pPr>
      <w:keepNext/>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1">
    <w:name w:val="toc 1"/>
    <w:basedOn w:val="Normalny"/>
    <w:next w:val="Normalny"/>
    <w:autoRedefine/>
    <w:uiPriority w:val="39"/>
    <w:rsid w:val="00805BCE"/>
  </w:style>
  <w:style w:type="character" w:styleId="Hipercze">
    <w:name w:val="Hyperlink"/>
    <w:basedOn w:val="Domylnaczcionkaakapitu"/>
    <w:uiPriority w:val="99"/>
    <w:rsid w:val="00EF7B96"/>
    <w:rPr>
      <w:color w:val="0000FF"/>
      <w:u w:val="single"/>
    </w:rPr>
  </w:style>
  <w:style w:type="paragraph" w:styleId="Spistreci2">
    <w:name w:val="toc 2"/>
    <w:basedOn w:val="Normalny"/>
    <w:next w:val="Normalny"/>
    <w:autoRedefine/>
    <w:uiPriority w:val="39"/>
    <w:rsid w:val="00805BCE"/>
    <w:pPr>
      <w:ind w:left="240"/>
    </w:pPr>
  </w:style>
  <w:style w:type="paragraph" w:styleId="Spistreci3">
    <w:name w:val="toc 3"/>
    <w:basedOn w:val="Normalny"/>
    <w:next w:val="Normalny"/>
    <w:autoRedefine/>
    <w:uiPriority w:val="39"/>
    <w:rsid w:val="00805BCE"/>
    <w:pPr>
      <w:ind w:left="480"/>
    </w:pPr>
  </w:style>
  <w:style w:type="paragraph" w:styleId="Spistreci4">
    <w:name w:val="toc 4"/>
    <w:basedOn w:val="Normalny"/>
    <w:next w:val="Normalny"/>
    <w:autoRedefine/>
    <w:uiPriority w:val="39"/>
    <w:rsid w:val="00805BCE"/>
    <w:pPr>
      <w:ind w:left="720"/>
    </w:pPr>
  </w:style>
  <w:style w:type="paragraph" w:styleId="Nagwek">
    <w:name w:val="header"/>
    <w:basedOn w:val="Normalny"/>
    <w:link w:val="NagwekZnak"/>
    <w:unhideWhenUsed/>
    <w:rsid w:val="007D58FA"/>
    <w:pPr>
      <w:tabs>
        <w:tab w:val="center" w:pos="4536"/>
        <w:tab w:val="right" w:pos="9072"/>
      </w:tabs>
    </w:pPr>
  </w:style>
  <w:style w:type="character" w:customStyle="1" w:styleId="NagwekZnak">
    <w:name w:val="Nagłówek Znak"/>
    <w:basedOn w:val="Domylnaczcionkaakapitu"/>
    <w:link w:val="Nagwek"/>
    <w:rsid w:val="007D58FA"/>
    <w:rPr>
      <w:sz w:val="24"/>
      <w:szCs w:val="24"/>
    </w:rPr>
  </w:style>
  <w:style w:type="paragraph" w:styleId="Stopka">
    <w:name w:val="footer"/>
    <w:basedOn w:val="Normalny"/>
    <w:link w:val="StopkaZnak"/>
    <w:unhideWhenUsed/>
    <w:rsid w:val="007D58FA"/>
    <w:pPr>
      <w:tabs>
        <w:tab w:val="center" w:pos="4536"/>
        <w:tab w:val="right" w:pos="9072"/>
      </w:tabs>
    </w:pPr>
  </w:style>
  <w:style w:type="character" w:customStyle="1" w:styleId="StopkaZnak">
    <w:name w:val="Stopka Znak"/>
    <w:basedOn w:val="Domylnaczcionkaakapitu"/>
    <w:link w:val="Stopka"/>
    <w:rsid w:val="007D58FA"/>
    <w:rPr>
      <w:sz w:val="24"/>
      <w:szCs w:val="24"/>
    </w:rPr>
  </w:style>
  <w:style w:type="character" w:styleId="Odwoaniedokomentarza">
    <w:name w:val="annotation reference"/>
    <w:basedOn w:val="Domylnaczcionkaakapitu"/>
    <w:semiHidden/>
    <w:unhideWhenUsed/>
    <w:rsid w:val="007164A2"/>
    <w:rPr>
      <w:sz w:val="16"/>
      <w:szCs w:val="16"/>
    </w:rPr>
  </w:style>
  <w:style w:type="paragraph" w:styleId="Tekstkomentarza">
    <w:name w:val="annotation text"/>
    <w:basedOn w:val="Normalny"/>
    <w:link w:val="TekstkomentarzaZnak"/>
    <w:semiHidden/>
    <w:unhideWhenUsed/>
    <w:rsid w:val="007164A2"/>
    <w:rPr>
      <w:sz w:val="20"/>
      <w:szCs w:val="20"/>
    </w:rPr>
  </w:style>
  <w:style w:type="character" w:customStyle="1" w:styleId="TekstkomentarzaZnak">
    <w:name w:val="Tekst komentarza Znak"/>
    <w:basedOn w:val="Domylnaczcionkaakapitu"/>
    <w:link w:val="Tekstkomentarza"/>
    <w:semiHidden/>
    <w:rsid w:val="007164A2"/>
  </w:style>
  <w:style w:type="paragraph" w:styleId="Tematkomentarza">
    <w:name w:val="annotation subject"/>
    <w:basedOn w:val="Tekstkomentarza"/>
    <w:next w:val="Tekstkomentarza"/>
    <w:link w:val="TematkomentarzaZnak"/>
    <w:semiHidden/>
    <w:unhideWhenUsed/>
    <w:rsid w:val="007164A2"/>
    <w:rPr>
      <w:b/>
      <w:bCs/>
    </w:rPr>
  </w:style>
  <w:style w:type="character" w:customStyle="1" w:styleId="TematkomentarzaZnak">
    <w:name w:val="Temat komentarza Znak"/>
    <w:basedOn w:val="TekstkomentarzaZnak"/>
    <w:link w:val="Tematkomentarza"/>
    <w:semiHidden/>
    <w:rsid w:val="007164A2"/>
    <w:rPr>
      <w:b/>
      <w:bCs/>
    </w:rPr>
  </w:style>
  <w:style w:type="paragraph" w:styleId="Tekstdymka">
    <w:name w:val="Balloon Text"/>
    <w:basedOn w:val="Normalny"/>
    <w:link w:val="TekstdymkaZnak"/>
    <w:semiHidden/>
    <w:unhideWhenUsed/>
    <w:rsid w:val="007164A2"/>
    <w:rPr>
      <w:rFonts w:ascii="Segoe UI" w:hAnsi="Segoe UI" w:cs="Segoe UI"/>
      <w:sz w:val="18"/>
      <w:szCs w:val="18"/>
    </w:rPr>
  </w:style>
  <w:style w:type="character" w:customStyle="1" w:styleId="TekstdymkaZnak">
    <w:name w:val="Tekst dymka Znak"/>
    <w:basedOn w:val="Domylnaczcionkaakapitu"/>
    <w:link w:val="Tekstdymka"/>
    <w:semiHidden/>
    <w:rsid w:val="007164A2"/>
    <w:rPr>
      <w:rFonts w:ascii="Segoe UI" w:hAnsi="Segoe UI" w:cs="Segoe UI"/>
      <w:sz w:val="18"/>
      <w:szCs w:val="18"/>
    </w:rPr>
  </w:style>
  <w:style w:type="paragraph" w:styleId="Akapitzlist">
    <w:name w:val="List Paragraph"/>
    <w:basedOn w:val="Normalny"/>
    <w:uiPriority w:val="34"/>
    <w:qFormat/>
    <w:rsid w:val="00A10B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footer" Target="footer10.xml"/><Relationship Id="rId117" Type="http://schemas.openxmlformats.org/officeDocument/2006/relationships/fontTable" Target="fontTable.xml"/><Relationship Id="rId21" Type="http://schemas.openxmlformats.org/officeDocument/2006/relationships/header" Target="header7.xml"/><Relationship Id="rId42" Type="http://schemas.openxmlformats.org/officeDocument/2006/relationships/footer" Target="footer18.xml"/><Relationship Id="rId47" Type="http://schemas.openxmlformats.org/officeDocument/2006/relationships/footer" Target="footer20.xml"/><Relationship Id="rId63" Type="http://schemas.openxmlformats.org/officeDocument/2006/relationships/header" Target="header28.xml"/><Relationship Id="rId68" Type="http://schemas.openxmlformats.org/officeDocument/2006/relationships/footer" Target="footer31.xml"/><Relationship Id="rId84" Type="http://schemas.openxmlformats.org/officeDocument/2006/relationships/footer" Target="footer39.xml"/><Relationship Id="rId89" Type="http://schemas.openxmlformats.org/officeDocument/2006/relationships/footer" Target="footer41.xml"/><Relationship Id="rId112" Type="http://schemas.openxmlformats.org/officeDocument/2006/relationships/header" Target="header53.xml"/><Relationship Id="rId16" Type="http://schemas.openxmlformats.org/officeDocument/2006/relationships/header" Target="header5.xml"/><Relationship Id="rId107" Type="http://schemas.openxmlformats.org/officeDocument/2006/relationships/footer" Target="footer50.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5.xml"/><Relationship Id="rId40" Type="http://schemas.openxmlformats.org/officeDocument/2006/relationships/header" Target="header17.xml"/><Relationship Id="rId45" Type="http://schemas.openxmlformats.org/officeDocument/2006/relationships/header" Target="header19.xml"/><Relationship Id="rId53" Type="http://schemas.openxmlformats.org/officeDocument/2006/relationships/footer" Target="footer23.xml"/><Relationship Id="rId58" Type="http://schemas.openxmlformats.org/officeDocument/2006/relationships/header" Target="header26.xml"/><Relationship Id="rId66" Type="http://schemas.openxmlformats.org/officeDocument/2006/relationships/footer" Target="footer30.xml"/><Relationship Id="rId74" Type="http://schemas.openxmlformats.org/officeDocument/2006/relationships/footer" Target="footer34.xml"/><Relationship Id="rId79" Type="http://schemas.openxmlformats.org/officeDocument/2006/relationships/header" Target="header36.xml"/><Relationship Id="rId87" Type="http://schemas.openxmlformats.org/officeDocument/2006/relationships/header" Target="header40.xml"/><Relationship Id="rId102" Type="http://schemas.openxmlformats.org/officeDocument/2006/relationships/footer" Target="footer48.xml"/><Relationship Id="rId110" Type="http://schemas.openxmlformats.org/officeDocument/2006/relationships/footer" Target="footer52.xml"/><Relationship Id="rId115" Type="http://schemas.openxmlformats.org/officeDocument/2006/relationships/header" Target="header54.xml"/><Relationship Id="rId5" Type="http://schemas.openxmlformats.org/officeDocument/2006/relationships/webSettings" Target="webSettings.xml"/><Relationship Id="rId61" Type="http://schemas.openxmlformats.org/officeDocument/2006/relationships/header" Target="header27.xml"/><Relationship Id="rId82" Type="http://schemas.openxmlformats.org/officeDocument/2006/relationships/header" Target="header38.xml"/><Relationship Id="rId90" Type="http://schemas.openxmlformats.org/officeDocument/2006/relationships/footer" Target="footer42.xml"/><Relationship Id="rId95" Type="http://schemas.openxmlformats.org/officeDocument/2006/relationships/footer" Target="footer44.xml"/><Relationship Id="rId19" Type="http://schemas.openxmlformats.org/officeDocument/2006/relationships/header" Target="header6.xml"/><Relationship Id="rId14" Type="http://schemas.openxmlformats.org/officeDocument/2006/relationships/footer" Target="footer4.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2.xml"/><Relationship Id="rId35" Type="http://schemas.openxmlformats.org/officeDocument/2006/relationships/footer" Target="footer14.xml"/><Relationship Id="rId43" Type="http://schemas.openxmlformats.org/officeDocument/2006/relationships/header" Target="header18.xml"/><Relationship Id="rId48" Type="http://schemas.openxmlformats.org/officeDocument/2006/relationships/footer" Target="footer21.xml"/><Relationship Id="rId56" Type="http://schemas.openxmlformats.org/officeDocument/2006/relationships/footer" Target="footer25.xml"/><Relationship Id="rId64" Type="http://schemas.openxmlformats.org/officeDocument/2006/relationships/header" Target="header29.xml"/><Relationship Id="rId69" Type="http://schemas.openxmlformats.org/officeDocument/2006/relationships/header" Target="header31.xml"/><Relationship Id="rId77" Type="http://schemas.openxmlformats.org/officeDocument/2006/relationships/footer" Target="footer35.xml"/><Relationship Id="rId100" Type="http://schemas.openxmlformats.org/officeDocument/2006/relationships/header" Target="header47.xml"/><Relationship Id="rId105" Type="http://schemas.openxmlformats.org/officeDocument/2006/relationships/header" Target="header49.xml"/><Relationship Id="rId113" Type="http://schemas.openxmlformats.org/officeDocument/2006/relationships/footer" Target="footer53.xml"/><Relationship Id="rId118"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header" Target="header22.xml"/><Relationship Id="rId72" Type="http://schemas.openxmlformats.org/officeDocument/2006/relationships/footer" Target="footer33.xml"/><Relationship Id="rId80" Type="http://schemas.openxmlformats.org/officeDocument/2006/relationships/footer" Target="footer37.xml"/><Relationship Id="rId85" Type="http://schemas.openxmlformats.org/officeDocument/2006/relationships/header" Target="header39.xml"/><Relationship Id="rId93" Type="http://schemas.openxmlformats.org/officeDocument/2006/relationships/header" Target="header43.xml"/><Relationship Id="rId98" Type="http://schemas.openxmlformats.org/officeDocument/2006/relationships/footer" Target="footer46.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6.xml"/><Relationship Id="rId46" Type="http://schemas.openxmlformats.org/officeDocument/2006/relationships/header" Target="header20.xml"/><Relationship Id="rId59" Type="http://schemas.openxmlformats.org/officeDocument/2006/relationships/footer" Target="footer26.xml"/><Relationship Id="rId67" Type="http://schemas.openxmlformats.org/officeDocument/2006/relationships/header" Target="header30.xml"/><Relationship Id="rId103" Type="http://schemas.openxmlformats.org/officeDocument/2006/relationships/header" Target="header48.xml"/><Relationship Id="rId108" Type="http://schemas.openxmlformats.org/officeDocument/2006/relationships/footer" Target="footer51.xml"/><Relationship Id="rId116" Type="http://schemas.openxmlformats.org/officeDocument/2006/relationships/footer" Target="footer55.xml"/><Relationship Id="rId20" Type="http://schemas.openxmlformats.org/officeDocument/2006/relationships/footer" Target="footer7.xml"/><Relationship Id="rId41" Type="http://schemas.openxmlformats.org/officeDocument/2006/relationships/footer" Target="footer17.xml"/><Relationship Id="rId54" Type="http://schemas.openxmlformats.org/officeDocument/2006/relationships/footer" Target="footer24.xml"/><Relationship Id="rId62" Type="http://schemas.openxmlformats.org/officeDocument/2006/relationships/footer" Target="footer28.xml"/><Relationship Id="rId70" Type="http://schemas.openxmlformats.org/officeDocument/2006/relationships/header" Target="header32.xml"/><Relationship Id="rId75" Type="http://schemas.openxmlformats.org/officeDocument/2006/relationships/header" Target="header34.xml"/><Relationship Id="rId83" Type="http://schemas.openxmlformats.org/officeDocument/2006/relationships/footer" Target="footer38.xml"/><Relationship Id="rId88" Type="http://schemas.openxmlformats.org/officeDocument/2006/relationships/header" Target="header41.xml"/><Relationship Id="rId91" Type="http://schemas.openxmlformats.org/officeDocument/2006/relationships/header" Target="header42.xml"/><Relationship Id="rId96" Type="http://schemas.openxmlformats.org/officeDocument/2006/relationships/footer" Target="footer45.xml"/><Relationship Id="rId111" Type="http://schemas.openxmlformats.org/officeDocument/2006/relationships/header" Target="header5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footer" Target="footer15.xml"/><Relationship Id="rId49" Type="http://schemas.openxmlformats.org/officeDocument/2006/relationships/header" Target="header21.xml"/><Relationship Id="rId57" Type="http://schemas.openxmlformats.org/officeDocument/2006/relationships/header" Target="header25.xml"/><Relationship Id="rId106" Type="http://schemas.openxmlformats.org/officeDocument/2006/relationships/header" Target="header50.xml"/><Relationship Id="rId114" Type="http://schemas.openxmlformats.org/officeDocument/2006/relationships/footer" Target="footer54.xml"/><Relationship Id="rId10" Type="http://schemas.openxmlformats.org/officeDocument/2006/relationships/header" Target="header2.xml"/><Relationship Id="rId31" Type="http://schemas.openxmlformats.org/officeDocument/2006/relationships/header" Target="header12.xml"/><Relationship Id="rId44" Type="http://schemas.openxmlformats.org/officeDocument/2006/relationships/footer" Target="footer19.xml"/><Relationship Id="rId52" Type="http://schemas.openxmlformats.org/officeDocument/2006/relationships/header" Target="header23.xml"/><Relationship Id="rId60" Type="http://schemas.openxmlformats.org/officeDocument/2006/relationships/footer" Target="footer27.xml"/><Relationship Id="rId65" Type="http://schemas.openxmlformats.org/officeDocument/2006/relationships/footer" Target="footer29.xml"/><Relationship Id="rId73" Type="http://schemas.openxmlformats.org/officeDocument/2006/relationships/header" Target="header33.xml"/><Relationship Id="rId78" Type="http://schemas.openxmlformats.org/officeDocument/2006/relationships/footer" Target="footer36.xml"/><Relationship Id="rId81" Type="http://schemas.openxmlformats.org/officeDocument/2006/relationships/header" Target="header37.xml"/><Relationship Id="rId86" Type="http://schemas.openxmlformats.org/officeDocument/2006/relationships/footer" Target="footer40.xml"/><Relationship Id="rId94" Type="http://schemas.openxmlformats.org/officeDocument/2006/relationships/header" Target="header44.xml"/><Relationship Id="rId99" Type="http://schemas.openxmlformats.org/officeDocument/2006/relationships/header" Target="header46.xml"/><Relationship Id="rId101" Type="http://schemas.openxmlformats.org/officeDocument/2006/relationships/footer" Target="footer47.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9" Type="http://schemas.openxmlformats.org/officeDocument/2006/relationships/header" Target="header16.xml"/><Relationship Id="rId109" Type="http://schemas.openxmlformats.org/officeDocument/2006/relationships/header" Target="header51.xml"/><Relationship Id="rId34" Type="http://schemas.openxmlformats.org/officeDocument/2006/relationships/header" Target="header14.xml"/><Relationship Id="rId50" Type="http://schemas.openxmlformats.org/officeDocument/2006/relationships/footer" Target="footer22.xml"/><Relationship Id="rId55" Type="http://schemas.openxmlformats.org/officeDocument/2006/relationships/header" Target="header24.xml"/><Relationship Id="rId76" Type="http://schemas.openxmlformats.org/officeDocument/2006/relationships/header" Target="header35.xml"/><Relationship Id="rId97" Type="http://schemas.openxmlformats.org/officeDocument/2006/relationships/header" Target="header45.xml"/><Relationship Id="rId104" Type="http://schemas.openxmlformats.org/officeDocument/2006/relationships/footer" Target="footer49.xml"/><Relationship Id="rId7" Type="http://schemas.openxmlformats.org/officeDocument/2006/relationships/endnotes" Target="endnotes.xml"/><Relationship Id="rId71" Type="http://schemas.openxmlformats.org/officeDocument/2006/relationships/footer" Target="footer32.xml"/><Relationship Id="rId92" Type="http://schemas.openxmlformats.org/officeDocument/2006/relationships/footer" Target="footer43.xml"/><Relationship Id="rId2" Type="http://schemas.openxmlformats.org/officeDocument/2006/relationships/numbering" Target="numbering.xml"/><Relationship Id="rId29"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7092D3-73BF-4215-B215-678B775D2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18342</Words>
  <Characters>110057</Characters>
  <Application>Microsoft Office Word</Application>
  <DocSecurity>0</DocSecurity>
  <Lines>917</Lines>
  <Paragraphs>256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128143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2023-03-29T13:14:00Z</dcterms:created>
  <dcterms:modified xsi:type="dcterms:W3CDTF">2023-03-29T13:14:00Z</dcterms:modified>
</cp:coreProperties>
</file>