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9DE50" w14:textId="0DEC3990" w:rsidR="00FD5653" w:rsidRPr="00930477" w:rsidRDefault="005E1CFA" w:rsidP="00930477">
      <w:pPr>
        <w:spacing w:after="120" w:line="276" w:lineRule="auto"/>
        <w:rPr>
          <w:rFonts w:cstheme="minorHAnsi"/>
          <w:b/>
          <w:bCs/>
          <w:sz w:val="44"/>
          <w:szCs w:val="40"/>
        </w:rPr>
      </w:pPr>
      <w:r>
        <w:rPr>
          <w:noProof/>
        </w:rPr>
        <w:drawing>
          <wp:inline distT="0" distB="0" distL="0" distR="0" wp14:anchorId="1D0B60F7" wp14:editId="1B6524E9">
            <wp:extent cx="5760720" cy="51943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r w:rsidR="00762814" w:rsidRPr="00930477">
        <w:rPr>
          <w:sz w:val="24"/>
        </w:rPr>
        <w:t>Załącznik nr 2</w:t>
      </w:r>
      <w:r w:rsidR="00B952EE">
        <w:rPr>
          <w:sz w:val="24"/>
        </w:rPr>
        <w:t>a</w:t>
      </w:r>
      <w:r w:rsidR="00762814" w:rsidRPr="00930477">
        <w:rPr>
          <w:sz w:val="24"/>
        </w:rPr>
        <w:t xml:space="preserve"> do RWP</w:t>
      </w:r>
    </w:p>
    <w:p w14:paraId="34318A01" w14:textId="3A68FE10" w:rsidR="00A23B26" w:rsidRPr="00762814" w:rsidRDefault="00A23B26" w:rsidP="00762814">
      <w:pPr>
        <w:pStyle w:val="Nagwek1"/>
        <w:spacing w:after="6040" w:line="276" w:lineRule="auto"/>
        <w:jc w:val="center"/>
        <w:rPr>
          <w:rFonts w:asciiTheme="minorHAnsi" w:hAnsiTheme="minorHAnsi" w:cstheme="minorHAnsi"/>
          <w:b/>
          <w:color w:val="auto"/>
          <w:sz w:val="44"/>
        </w:rPr>
      </w:pPr>
      <w:r w:rsidRPr="00762814">
        <w:rPr>
          <w:rFonts w:asciiTheme="minorHAnsi" w:hAnsiTheme="minorHAnsi" w:cstheme="minorHAnsi"/>
          <w:b/>
          <w:color w:val="auto"/>
          <w:sz w:val="44"/>
        </w:rPr>
        <w:t>P</w:t>
      </w:r>
      <w:r w:rsidR="00762814" w:rsidRPr="00762814">
        <w:rPr>
          <w:rFonts w:asciiTheme="minorHAnsi" w:hAnsiTheme="minorHAnsi" w:cstheme="minorHAnsi"/>
          <w:b/>
          <w:color w:val="auto"/>
          <w:sz w:val="44"/>
        </w:rPr>
        <w:t xml:space="preserve">rzewodnik kwalifikowalności wydatków </w:t>
      </w:r>
      <w:r w:rsidR="00B952EE">
        <w:rPr>
          <w:rFonts w:asciiTheme="minorHAnsi" w:hAnsiTheme="minorHAnsi" w:cstheme="minorHAnsi"/>
          <w:b/>
          <w:color w:val="auto"/>
          <w:sz w:val="44"/>
        </w:rPr>
        <w:br/>
      </w:r>
      <w:r w:rsidR="00762814" w:rsidRPr="00762814">
        <w:rPr>
          <w:rFonts w:asciiTheme="minorHAnsi" w:hAnsiTheme="minorHAnsi" w:cstheme="minorHAnsi"/>
          <w:b/>
          <w:color w:val="auto"/>
          <w:sz w:val="44"/>
        </w:rPr>
        <w:t>dla 1 priorytetu</w:t>
      </w:r>
      <w:r w:rsidR="00762814" w:rsidRPr="00762814">
        <w:rPr>
          <w:rFonts w:asciiTheme="minorHAnsi" w:hAnsiTheme="minorHAnsi" w:cstheme="minorHAnsi"/>
          <w:b/>
          <w:color w:val="auto"/>
          <w:sz w:val="44"/>
        </w:rPr>
        <w:br/>
        <w:t>program Fundusze Europejskie dla Nowoczesnej Gospodarki</w:t>
      </w:r>
    </w:p>
    <w:p w14:paraId="2E74A545" w14:textId="77777777" w:rsidR="0012780A" w:rsidRPr="00762814" w:rsidRDefault="0012780A" w:rsidP="00762814">
      <w:pPr>
        <w:spacing w:after="120" w:line="276" w:lineRule="auto"/>
        <w:jc w:val="center"/>
        <w:rPr>
          <w:rFonts w:cstheme="minorHAnsi"/>
          <w:b/>
          <w:bCs/>
        </w:rPr>
      </w:pPr>
    </w:p>
    <w:p w14:paraId="1374C4CB" w14:textId="594DAFEC" w:rsidR="00684E57" w:rsidRPr="00762814" w:rsidRDefault="00DE54E2" w:rsidP="00762814">
      <w:pPr>
        <w:spacing w:after="120" w:line="276" w:lineRule="auto"/>
        <w:jc w:val="center"/>
        <w:rPr>
          <w:rFonts w:cstheme="minorHAnsi"/>
        </w:rPr>
      </w:pPr>
      <w:r w:rsidRPr="00762814">
        <w:rPr>
          <w:rFonts w:cstheme="minorHAnsi"/>
          <w:b/>
          <w:bCs/>
        </w:rPr>
        <w:t xml:space="preserve">2023 </w:t>
      </w:r>
      <w:r w:rsidR="00A20A1B" w:rsidRPr="00762814">
        <w:rPr>
          <w:rFonts w:cstheme="minorHAnsi"/>
          <w:b/>
          <w:bCs/>
        </w:rPr>
        <w:t xml:space="preserve">r. </w:t>
      </w:r>
    </w:p>
    <w:p w14:paraId="700F7E74" w14:textId="77777777" w:rsidR="00762814" w:rsidRPr="00762814" w:rsidRDefault="00762814" w:rsidP="00762814">
      <w:pPr>
        <w:spacing w:line="276" w:lineRule="auto"/>
        <w:rPr>
          <w:rFonts w:cstheme="minorHAnsi"/>
          <w:lang w:eastAsia="pl-PL"/>
        </w:rPr>
      </w:pPr>
      <w:r w:rsidRPr="00762814">
        <w:rPr>
          <w:rFonts w:cstheme="minorHAnsi"/>
        </w:rPr>
        <w:br w:type="page"/>
      </w:r>
    </w:p>
    <w:sdt>
      <w:sdtPr>
        <w:rPr>
          <w:rFonts w:asciiTheme="minorHAnsi" w:eastAsiaTheme="minorHAnsi" w:hAnsiTheme="minorHAnsi" w:cstheme="minorHAnsi"/>
          <w:color w:val="auto"/>
          <w:sz w:val="22"/>
          <w:szCs w:val="22"/>
          <w:lang w:eastAsia="en-US"/>
        </w:rPr>
        <w:id w:val="-88776923"/>
        <w:docPartObj>
          <w:docPartGallery w:val="Table of Contents"/>
          <w:docPartUnique/>
        </w:docPartObj>
      </w:sdtPr>
      <w:sdtEndPr>
        <w:rPr>
          <w:b/>
          <w:bCs/>
          <w:sz w:val="24"/>
          <w:szCs w:val="24"/>
        </w:rPr>
      </w:sdtEndPr>
      <w:sdtContent>
        <w:p w14:paraId="37B757ED" w14:textId="726E853C" w:rsidR="00F1193F" w:rsidRPr="00762814" w:rsidRDefault="00F1193F" w:rsidP="00762814">
          <w:pPr>
            <w:pStyle w:val="Nagwekspisutreci"/>
            <w:spacing w:before="0" w:after="120" w:line="276" w:lineRule="auto"/>
            <w:rPr>
              <w:rFonts w:asciiTheme="minorHAnsi" w:hAnsiTheme="minorHAnsi" w:cstheme="minorHAnsi"/>
              <w:sz w:val="24"/>
              <w:szCs w:val="24"/>
            </w:rPr>
          </w:pPr>
          <w:r w:rsidRPr="00762814">
            <w:rPr>
              <w:rFonts w:asciiTheme="minorHAnsi" w:hAnsiTheme="minorHAnsi" w:cstheme="minorHAnsi"/>
              <w:sz w:val="24"/>
              <w:szCs w:val="24"/>
            </w:rPr>
            <w:t>Spis treści</w:t>
          </w:r>
        </w:p>
        <w:p w14:paraId="24EE6A40" w14:textId="3BF8F695" w:rsidR="00D72B3D" w:rsidRDefault="00240CE8">
          <w:pPr>
            <w:pStyle w:val="Spistreci2"/>
            <w:rPr>
              <w:rFonts w:eastAsiaTheme="minorEastAsia"/>
              <w:noProof/>
              <w:lang w:eastAsia="pl-PL"/>
            </w:rPr>
          </w:pPr>
          <w:r w:rsidRPr="00907EF1">
            <w:fldChar w:fldCharType="begin"/>
          </w:r>
          <w:r w:rsidRPr="00907EF1">
            <w:instrText xml:space="preserve"> TOC \o "2-4" \h \z </w:instrText>
          </w:r>
          <w:r w:rsidRPr="00907EF1">
            <w:fldChar w:fldCharType="separate"/>
          </w:r>
          <w:hyperlink w:anchor="_Toc148716361" w:history="1">
            <w:r w:rsidR="00D72B3D" w:rsidRPr="00A56585">
              <w:rPr>
                <w:rStyle w:val="Hipercze"/>
                <w:rFonts w:cstheme="minorHAnsi"/>
                <w:b/>
                <w:noProof/>
              </w:rPr>
              <w:t>1.</w:t>
            </w:r>
            <w:r w:rsidR="00D72B3D">
              <w:rPr>
                <w:rFonts w:eastAsiaTheme="minorEastAsia"/>
                <w:noProof/>
                <w:lang w:eastAsia="pl-PL"/>
              </w:rPr>
              <w:tab/>
            </w:r>
            <w:r w:rsidR="00D72B3D" w:rsidRPr="00A56585">
              <w:rPr>
                <w:rStyle w:val="Hipercze"/>
                <w:rFonts w:cstheme="minorHAnsi"/>
                <w:b/>
                <w:noProof/>
              </w:rPr>
              <w:t>Ogólne zasady kwalifikowalności wydatków w projekcie</w:t>
            </w:r>
            <w:r w:rsidR="00D72B3D">
              <w:rPr>
                <w:noProof/>
                <w:webHidden/>
              </w:rPr>
              <w:tab/>
            </w:r>
            <w:r w:rsidR="00D72B3D">
              <w:rPr>
                <w:noProof/>
                <w:webHidden/>
              </w:rPr>
              <w:fldChar w:fldCharType="begin"/>
            </w:r>
            <w:r w:rsidR="00D72B3D">
              <w:rPr>
                <w:noProof/>
                <w:webHidden/>
              </w:rPr>
              <w:instrText xml:space="preserve"> PAGEREF _Toc148716361 \h </w:instrText>
            </w:r>
            <w:r w:rsidR="00D72B3D">
              <w:rPr>
                <w:noProof/>
                <w:webHidden/>
              </w:rPr>
            </w:r>
            <w:r w:rsidR="00D72B3D">
              <w:rPr>
                <w:noProof/>
                <w:webHidden/>
              </w:rPr>
              <w:fldChar w:fldCharType="separate"/>
            </w:r>
            <w:r w:rsidR="00D72B3D">
              <w:rPr>
                <w:noProof/>
                <w:webHidden/>
              </w:rPr>
              <w:t>6</w:t>
            </w:r>
            <w:r w:rsidR="00D72B3D">
              <w:rPr>
                <w:noProof/>
                <w:webHidden/>
              </w:rPr>
              <w:fldChar w:fldCharType="end"/>
            </w:r>
          </w:hyperlink>
        </w:p>
        <w:p w14:paraId="696ED484" w14:textId="6DEE7CD1" w:rsidR="00D72B3D" w:rsidRDefault="00B952EE">
          <w:pPr>
            <w:pStyle w:val="Spistreci3"/>
            <w:rPr>
              <w:rFonts w:eastAsiaTheme="minorEastAsia" w:cstheme="minorBidi"/>
              <w:bCs w:val="0"/>
              <w:sz w:val="22"/>
              <w:szCs w:val="22"/>
              <w:lang w:eastAsia="pl-PL"/>
            </w:rPr>
          </w:pPr>
          <w:hyperlink w:anchor="_Toc148716362" w:history="1">
            <w:r w:rsidR="00D72B3D" w:rsidRPr="00A56585">
              <w:rPr>
                <w:rStyle w:val="Hipercze"/>
              </w:rPr>
              <w:t>1.1 Zasady kwalifikowalności wydatków w ramach pomocy publicznej oraz pomocy de minimis</w:t>
            </w:r>
            <w:r w:rsidR="00D72B3D">
              <w:rPr>
                <w:webHidden/>
              </w:rPr>
              <w:tab/>
            </w:r>
            <w:r w:rsidR="00D72B3D">
              <w:rPr>
                <w:webHidden/>
              </w:rPr>
              <w:fldChar w:fldCharType="begin"/>
            </w:r>
            <w:r w:rsidR="00D72B3D">
              <w:rPr>
                <w:webHidden/>
              </w:rPr>
              <w:instrText xml:space="preserve"> PAGEREF _Toc148716362 \h </w:instrText>
            </w:r>
            <w:r w:rsidR="00D72B3D">
              <w:rPr>
                <w:webHidden/>
              </w:rPr>
            </w:r>
            <w:r w:rsidR="00D72B3D">
              <w:rPr>
                <w:webHidden/>
              </w:rPr>
              <w:fldChar w:fldCharType="separate"/>
            </w:r>
            <w:r w:rsidR="00D72B3D">
              <w:rPr>
                <w:webHidden/>
              </w:rPr>
              <w:t>6</w:t>
            </w:r>
            <w:r w:rsidR="00D72B3D">
              <w:rPr>
                <w:webHidden/>
              </w:rPr>
              <w:fldChar w:fldCharType="end"/>
            </w:r>
          </w:hyperlink>
        </w:p>
        <w:p w14:paraId="5BDBBFCA" w14:textId="18381454" w:rsidR="00D72B3D" w:rsidRDefault="00B952EE">
          <w:pPr>
            <w:pStyle w:val="Spistreci3"/>
            <w:rPr>
              <w:rFonts w:eastAsiaTheme="minorEastAsia" w:cstheme="minorBidi"/>
              <w:bCs w:val="0"/>
              <w:sz w:val="22"/>
              <w:szCs w:val="22"/>
              <w:lang w:eastAsia="pl-PL"/>
            </w:rPr>
          </w:pPr>
          <w:hyperlink w:anchor="_Toc148716363" w:history="1">
            <w:r w:rsidR="00D72B3D" w:rsidRPr="00A56585">
              <w:rPr>
                <w:rStyle w:val="Hipercze"/>
              </w:rPr>
              <w:t>1.2 Zasady kwalifikowalności podatku VAT</w:t>
            </w:r>
            <w:r w:rsidR="00D72B3D">
              <w:rPr>
                <w:webHidden/>
              </w:rPr>
              <w:tab/>
            </w:r>
            <w:r w:rsidR="00D72B3D">
              <w:rPr>
                <w:webHidden/>
              </w:rPr>
              <w:fldChar w:fldCharType="begin"/>
            </w:r>
            <w:r w:rsidR="00D72B3D">
              <w:rPr>
                <w:webHidden/>
              </w:rPr>
              <w:instrText xml:space="preserve"> PAGEREF _Toc148716363 \h </w:instrText>
            </w:r>
            <w:r w:rsidR="00D72B3D">
              <w:rPr>
                <w:webHidden/>
              </w:rPr>
            </w:r>
            <w:r w:rsidR="00D72B3D">
              <w:rPr>
                <w:webHidden/>
              </w:rPr>
              <w:fldChar w:fldCharType="separate"/>
            </w:r>
            <w:r w:rsidR="00D72B3D">
              <w:rPr>
                <w:webHidden/>
              </w:rPr>
              <w:t>8</w:t>
            </w:r>
            <w:r w:rsidR="00D72B3D">
              <w:rPr>
                <w:webHidden/>
              </w:rPr>
              <w:fldChar w:fldCharType="end"/>
            </w:r>
          </w:hyperlink>
        </w:p>
        <w:p w14:paraId="1859A18B" w14:textId="62AF5C9D" w:rsidR="00D72B3D" w:rsidRDefault="00B952EE">
          <w:pPr>
            <w:pStyle w:val="Spistreci2"/>
            <w:rPr>
              <w:rFonts w:eastAsiaTheme="minorEastAsia"/>
              <w:noProof/>
              <w:lang w:eastAsia="pl-PL"/>
            </w:rPr>
          </w:pPr>
          <w:hyperlink w:anchor="_Toc148716364" w:history="1">
            <w:r w:rsidR="00D72B3D" w:rsidRPr="00A56585">
              <w:rPr>
                <w:rStyle w:val="Hipercze"/>
                <w:rFonts w:cstheme="minorHAnsi"/>
                <w:b/>
                <w:noProof/>
              </w:rPr>
              <w:t>2.</w:t>
            </w:r>
            <w:r w:rsidR="00D72B3D">
              <w:rPr>
                <w:rFonts w:eastAsiaTheme="minorEastAsia"/>
                <w:noProof/>
                <w:lang w:eastAsia="pl-PL"/>
              </w:rPr>
              <w:tab/>
            </w:r>
            <w:r w:rsidR="00D72B3D" w:rsidRPr="00A56585">
              <w:rPr>
                <w:rStyle w:val="Hipercze"/>
                <w:rFonts w:cstheme="minorHAnsi"/>
                <w:b/>
                <w:noProof/>
              </w:rPr>
              <w:t>Wkład własny</w:t>
            </w:r>
            <w:r w:rsidR="00D72B3D">
              <w:rPr>
                <w:noProof/>
                <w:webHidden/>
              </w:rPr>
              <w:tab/>
            </w:r>
            <w:r w:rsidR="00D72B3D">
              <w:rPr>
                <w:noProof/>
                <w:webHidden/>
              </w:rPr>
              <w:fldChar w:fldCharType="begin"/>
            </w:r>
            <w:r w:rsidR="00D72B3D">
              <w:rPr>
                <w:noProof/>
                <w:webHidden/>
              </w:rPr>
              <w:instrText xml:space="preserve"> PAGEREF _Toc148716364 \h </w:instrText>
            </w:r>
            <w:r w:rsidR="00D72B3D">
              <w:rPr>
                <w:noProof/>
                <w:webHidden/>
              </w:rPr>
            </w:r>
            <w:r w:rsidR="00D72B3D">
              <w:rPr>
                <w:noProof/>
                <w:webHidden/>
              </w:rPr>
              <w:fldChar w:fldCharType="separate"/>
            </w:r>
            <w:r w:rsidR="00D72B3D">
              <w:rPr>
                <w:noProof/>
                <w:webHidden/>
              </w:rPr>
              <w:t>10</w:t>
            </w:r>
            <w:r w:rsidR="00D72B3D">
              <w:rPr>
                <w:noProof/>
                <w:webHidden/>
              </w:rPr>
              <w:fldChar w:fldCharType="end"/>
            </w:r>
          </w:hyperlink>
        </w:p>
        <w:p w14:paraId="41972052" w14:textId="1F27D3B1" w:rsidR="00D72B3D" w:rsidRDefault="00B952EE">
          <w:pPr>
            <w:pStyle w:val="Spistreci2"/>
            <w:rPr>
              <w:rFonts w:eastAsiaTheme="minorEastAsia"/>
              <w:noProof/>
              <w:lang w:eastAsia="pl-PL"/>
            </w:rPr>
          </w:pPr>
          <w:hyperlink w:anchor="_Toc148716365" w:history="1">
            <w:r w:rsidR="00D72B3D" w:rsidRPr="00A56585">
              <w:rPr>
                <w:rStyle w:val="Hipercze"/>
                <w:rFonts w:cstheme="minorHAnsi"/>
                <w:b/>
                <w:noProof/>
              </w:rPr>
              <w:t>3.</w:t>
            </w:r>
            <w:r w:rsidR="00D72B3D">
              <w:rPr>
                <w:rFonts w:eastAsiaTheme="minorEastAsia"/>
                <w:noProof/>
                <w:lang w:eastAsia="pl-PL"/>
              </w:rPr>
              <w:tab/>
            </w:r>
            <w:r w:rsidR="00D72B3D" w:rsidRPr="00A56585">
              <w:rPr>
                <w:rStyle w:val="Hipercze"/>
                <w:rFonts w:cstheme="minorHAnsi"/>
                <w:b/>
                <w:noProof/>
              </w:rPr>
              <w:t>Wydatki kwalifikowalne modułu B+R</w:t>
            </w:r>
            <w:r w:rsidR="00D72B3D">
              <w:rPr>
                <w:noProof/>
                <w:webHidden/>
              </w:rPr>
              <w:tab/>
            </w:r>
            <w:r w:rsidR="00D72B3D">
              <w:rPr>
                <w:noProof/>
                <w:webHidden/>
              </w:rPr>
              <w:fldChar w:fldCharType="begin"/>
            </w:r>
            <w:r w:rsidR="00D72B3D">
              <w:rPr>
                <w:noProof/>
                <w:webHidden/>
              </w:rPr>
              <w:instrText xml:space="preserve"> PAGEREF _Toc148716365 \h </w:instrText>
            </w:r>
            <w:r w:rsidR="00D72B3D">
              <w:rPr>
                <w:noProof/>
                <w:webHidden/>
              </w:rPr>
            </w:r>
            <w:r w:rsidR="00D72B3D">
              <w:rPr>
                <w:noProof/>
                <w:webHidden/>
              </w:rPr>
              <w:fldChar w:fldCharType="separate"/>
            </w:r>
            <w:r w:rsidR="00D72B3D">
              <w:rPr>
                <w:noProof/>
                <w:webHidden/>
              </w:rPr>
              <w:t>11</w:t>
            </w:r>
            <w:r w:rsidR="00D72B3D">
              <w:rPr>
                <w:noProof/>
                <w:webHidden/>
              </w:rPr>
              <w:fldChar w:fldCharType="end"/>
            </w:r>
          </w:hyperlink>
        </w:p>
        <w:p w14:paraId="5DBFC6EC" w14:textId="7EA4DF67" w:rsidR="00D72B3D" w:rsidRDefault="00B952EE">
          <w:pPr>
            <w:pStyle w:val="Spistreci3"/>
            <w:rPr>
              <w:rFonts w:eastAsiaTheme="minorEastAsia" w:cstheme="minorBidi"/>
              <w:bCs w:val="0"/>
              <w:sz w:val="22"/>
              <w:szCs w:val="22"/>
              <w:lang w:eastAsia="pl-PL"/>
            </w:rPr>
          </w:pPr>
          <w:hyperlink w:anchor="_Toc148716366" w:history="1">
            <w:r w:rsidR="00D72B3D" w:rsidRPr="00A56585">
              <w:rPr>
                <w:rStyle w:val="Hipercze"/>
              </w:rPr>
              <w:t>3.1 Pomoc publiczna</w:t>
            </w:r>
            <w:r w:rsidR="00D72B3D">
              <w:rPr>
                <w:webHidden/>
              </w:rPr>
              <w:tab/>
            </w:r>
            <w:r w:rsidR="00D72B3D">
              <w:rPr>
                <w:webHidden/>
              </w:rPr>
              <w:fldChar w:fldCharType="begin"/>
            </w:r>
            <w:r w:rsidR="00D72B3D">
              <w:rPr>
                <w:webHidden/>
              </w:rPr>
              <w:instrText xml:space="preserve"> PAGEREF _Toc148716366 \h </w:instrText>
            </w:r>
            <w:r w:rsidR="00D72B3D">
              <w:rPr>
                <w:webHidden/>
              </w:rPr>
            </w:r>
            <w:r w:rsidR="00D72B3D">
              <w:rPr>
                <w:webHidden/>
              </w:rPr>
              <w:fldChar w:fldCharType="separate"/>
            </w:r>
            <w:r w:rsidR="00D72B3D">
              <w:rPr>
                <w:webHidden/>
              </w:rPr>
              <w:t>11</w:t>
            </w:r>
            <w:r w:rsidR="00D72B3D">
              <w:rPr>
                <w:webHidden/>
              </w:rPr>
              <w:fldChar w:fldCharType="end"/>
            </w:r>
          </w:hyperlink>
        </w:p>
        <w:p w14:paraId="213F4379" w14:textId="7FC404B4" w:rsidR="00D72B3D" w:rsidRDefault="00B952EE">
          <w:pPr>
            <w:pStyle w:val="Spistreci3"/>
            <w:rPr>
              <w:rFonts w:eastAsiaTheme="minorEastAsia" w:cstheme="minorBidi"/>
              <w:bCs w:val="0"/>
              <w:sz w:val="22"/>
              <w:szCs w:val="22"/>
              <w:lang w:eastAsia="pl-PL"/>
            </w:rPr>
          </w:pPr>
          <w:hyperlink w:anchor="_Toc148716367" w:history="1">
            <w:r w:rsidR="00D72B3D" w:rsidRPr="00A56585">
              <w:rPr>
                <w:rStyle w:val="Hipercze"/>
              </w:rPr>
              <w:t>3.2 Limity wydatków kwalifikowalnych w module oraz limity dofinansowania</w:t>
            </w:r>
            <w:r w:rsidR="00D72B3D">
              <w:rPr>
                <w:webHidden/>
              </w:rPr>
              <w:tab/>
            </w:r>
            <w:r w:rsidR="00D72B3D">
              <w:rPr>
                <w:webHidden/>
              </w:rPr>
              <w:fldChar w:fldCharType="begin"/>
            </w:r>
            <w:r w:rsidR="00D72B3D">
              <w:rPr>
                <w:webHidden/>
              </w:rPr>
              <w:instrText xml:space="preserve"> PAGEREF _Toc148716367 \h </w:instrText>
            </w:r>
            <w:r w:rsidR="00D72B3D">
              <w:rPr>
                <w:webHidden/>
              </w:rPr>
            </w:r>
            <w:r w:rsidR="00D72B3D">
              <w:rPr>
                <w:webHidden/>
              </w:rPr>
              <w:fldChar w:fldCharType="separate"/>
            </w:r>
            <w:r w:rsidR="00D72B3D">
              <w:rPr>
                <w:webHidden/>
              </w:rPr>
              <w:t>11</w:t>
            </w:r>
            <w:r w:rsidR="00D72B3D">
              <w:rPr>
                <w:webHidden/>
              </w:rPr>
              <w:fldChar w:fldCharType="end"/>
            </w:r>
          </w:hyperlink>
        </w:p>
        <w:p w14:paraId="130C367A" w14:textId="5B61CEA5" w:rsidR="00D72B3D" w:rsidRDefault="00B952EE">
          <w:pPr>
            <w:pStyle w:val="Spistreci3"/>
            <w:rPr>
              <w:rFonts w:eastAsiaTheme="minorEastAsia" w:cstheme="minorBidi"/>
              <w:bCs w:val="0"/>
              <w:sz w:val="22"/>
              <w:szCs w:val="22"/>
              <w:lang w:eastAsia="pl-PL"/>
            </w:rPr>
          </w:pPr>
          <w:hyperlink w:anchor="_Toc148716368" w:history="1">
            <w:r w:rsidR="00D72B3D" w:rsidRPr="00A56585">
              <w:rPr>
                <w:rStyle w:val="Hipercze"/>
              </w:rPr>
              <w:t>3.3</w:t>
            </w:r>
            <w:r w:rsidR="00D72B3D">
              <w:rPr>
                <w:rFonts w:eastAsiaTheme="minorEastAsia" w:cstheme="minorBidi"/>
                <w:bCs w:val="0"/>
                <w:sz w:val="22"/>
                <w:szCs w:val="22"/>
                <w:lang w:eastAsia="pl-PL"/>
              </w:rPr>
              <w:tab/>
            </w:r>
            <w:r w:rsidR="00D72B3D" w:rsidRPr="00A56585">
              <w:rPr>
                <w:rStyle w:val="Hipercze"/>
              </w:rPr>
              <w:t>Kategorie wydatków kwalifikowalnych w ramach modułu B+R</w:t>
            </w:r>
            <w:r w:rsidR="00D72B3D">
              <w:rPr>
                <w:webHidden/>
              </w:rPr>
              <w:tab/>
            </w:r>
            <w:r w:rsidR="00D72B3D">
              <w:rPr>
                <w:webHidden/>
              </w:rPr>
              <w:fldChar w:fldCharType="begin"/>
            </w:r>
            <w:r w:rsidR="00D72B3D">
              <w:rPr>
                <w:webHidden/>
              </w:rPr>
              <w:instrText xml:space="preserve"> PAGEREF _Toc148716368 \h </w:instrText>
            </w:r>
            <w:r w:rsidR="00D72B3D">
              <w:rPr>
                <w:webHidden/>
              </w:rPr>
            </w:r>
            <w:r w:rsidR="00D72B3D">
              <w:rPr>
                <w:webHidden/>
              </w:rPr>
              <w:fldChar w:fldCharType="separate"/>
            </w:r>
            <w:r w:rsidR="00D72B3D">
              <w:rPr>
                <w:webHidden/>
              </w:rPr>
              <w:t>12</w:t>
            </w:r>
            <w:r w:rsidR="00D72B3D">
              <w:rPr>
                <w:webHidden/>
              </w:rPr>
              <w:fldChar w:fldCharType="end"/>
            </w:r>
          </w:hyperlink>
        </w:p>
        <w:p w14:paraId="56929EAA" w14:textId="729BE666" w:rsidR="00D72B3D" w:rsidRDefault="00B952EE">
          <w:pPr>
            <w:pStyle w:val="Spistreci4"/>
            <w:tabs>
              <w:tab w:val="left" w:pos="1540"/>
              <w:tab w:val="right" w:leader="dot" w:pos="9062"/>
            </w:tabs>
            <w:rPr>
              <w:noProof/>
            </w:rPr>
          </w:pPr>
          <w:hyperlink w:anchor="_Toc148716369" w:history="1">
            <w:r w:rsidR="00D72B3D" w:rsidRPr="00A56585">
              <w:rPr>
                <w:rStyle w:val="Hipercze"/>
                <w:rFonts w:cstheme="minorHAnsi"/>
                <w:noProof/>
              </w:rPr>
              <w:t>3.3.1</w:t>
            </w:r>
            <w:r w:rsidR="00D72B3D">
              <w:rPr>
                <w:noProof/>
              </w:rPr>
              <w:tab/>
            </w:r>
            <w:r w:rsidR="00D72B3D" w:rsidRPr="00A56585">
              <w:rPr>
                <w:rStyle w:val="Hipercze"/>
                <w:rFonts w:cstheme="minorHAnsi"/>
                <w:noProof/>
              </w:rPr>
              <w:t>Personel projektu</w:t>
            </w:r>
            <w:r w:rsidR="00D72B3D">
              <w:rPr>
                <w:noProof/>
                <w:webHidden/>
              </w:rPr>
              <w:tab/>
            </w:r>
            <w:r w:rsidR="00D72B3D">
              <w:rPr>
                <w:noProof/>
                <w:webHidden/>
              </w:rPr>
              <w:fldChar w:fldCharType="begin"/>
            </w:r>
            <w:r w:rsidR="00D72B3D">
              <w:rPr>
                <w:noProof/>
                <w:webHidden/>
              </w:rPr>
              <w:instrText xml:space="preserve"> PAGEREF _Toc148716369 \h </w:instrText>
            </w:r>
            <w:r w:rsidR="00D72B3D">
              <w:rPr>
                <w:noProof/>
                <w:webHidden/>
              </w:rPr>
            </w:r>
            <w:r w:rsidR="00D72B3D">
              <w:rPr>
                <w:noProof/>
                <w:webHidden/>
              </w:rPr>
              <w:fldChar w:fldCharType="separate"/>
            </w:r>
            <w:r w:rsidR="00D72B3D">
              <w:rPr>
                <w:noProof/>
                <w:webHidden/>
              </w:rPr>
              <w:t>12</w:t>
            </w:r>
            <w:r w:rsidR="00D72B3D">
              <w:rPr>
                <w:noProof/>
                <w:webHidden/>
              </w:rPr>
              <w:fldChar w:fldCharType="end"/>
            </w:r>
          </w:hyperlink>
        </w:p>
        <w:p w14:paraId="51DDD060" w14:textId="117B0961" w:rsidR="00D72B3D" w:rsidRDefault="00B952EE">
          <w:pPr>
            <w:pStyle w:val="Spistreci4"/>
            <w:tabs>
              <w:tab w:val="left" w:pos="1540"/>
              <w:tab w:val="right" w:leader="dot" w:pos="9062"/>
            </w:tabs>
            <w:rPr>
              <w:noProof/>
            </w:rPr>
          </w:pPr>
          <w:hyperlink w:anchor="_Toc148716370" w:history="1">
            <w:r w:rsidR="00D72B3D" w:rsidRPr="00A56585">
              <w:rPr>
                <w:rStyle w:val="Hipercze"/>
                <w:rFonts w:cstheme="minorHAnsi"/>
                <w:noProof/>
              </w:rPr>
              <w:t>3.3.2</w:t>
            </w:r>
            <w:r w:rsidR="00D72B3D">
              <w:rPr>
                <w:noProof/>
              </w:rPr>
              <w:tab/>
            </w:r>
            <w:r w:rsidR="00D72B3D" w:rsidRPr="00A56585">
              <w:rPr>
                <w:rStyle w:val="Hipercze"/>
                <w:rFonts w:cstheme="minorHAnsi"/>
                <w:noProof/>
              </w:rPr>
              <w:t>Usługi zewnętrzne (podwykonawstwo)</w:t>
            </w:r>
            <w:r w:rsidR="00D72B3D">
              <w:rPr>
                <w:noProof/>
                <w:webHidden/>
              </w:rPr>
              <w:tab/>
            </w:r>
            <w:r w:rsidR="00D72B3D">
              <w:rPr>
                <w:noProof/>
                <w:webHidden/>
              </w:rPr>
              <w:fldChar w:fldCharType="begin"/>
            </w:r>
            <w:r w:rsidR="00D72B3D">
              <w:rPr>
                <w:noProof/>
                <w:webHidden/>
              </w:rPr>
              <w:instrText xml:space="preserve"> PAGEREF _Toc148716370 \h </w:instrText>
            </w:r>
            <w:r w:rsidR="00D72B3D">
              <w:rPr>
                <w:noProof/>
                <w:webHidden/>
              </w:rPr>
            </w:r>
            <w:r w:rsidR="00D72B3D">
              <w:rPr>
                <w:noProof/>
                <w:webHidden/>
              </w:rPr>
              <w:fldChar w:fldCharType="separate"/>
            </w:r>
            <w:r w:rsidR="00D72B3D">
              <w:rPr>
                <w:noProof/>
                <w:webHidden/>
              </w:rPr>
              <w:t>15</w:t>
            </w:r>
            <w:r w:rsidR="00D72B3D">
              <w:rPr>
                <w:noProof/>
                <w:webHidden/>
              </w:rPr>
              <w:fldChar w:fldCharType="end"/>
            </w:r>
          </w:hyperlink>
        </w:p>
        <w:p w14:paraId="458FCCF0" w14:textId="343C920A" w:rsidR="00D72B3D" w:rsidRDefault="00B952EE">
          <w:pPr>
            <w:pStyle w:val="Spistreci4"/>
            <w:tabs>
              <w:tab w:val="left" w:pos="1540"/>
              <w:tab w:val="right" w:leader="dot" w:pos="9062"/>
            </w:tabs>
            <w:rPr>
              <w:noProof/>
            </w:rPr>
          </w:pPr>
          <w:hyperlink w:anchor="_Toc148716371" w:history="1">
            <w:r w:rsidR="00D72B3D" w:rsidRPr="00A56585">
              <w:rPr>
                <w:rStyle w:val="Hipercze"/>
                <w:rFonts w:cstheme="minorHAnsi"/>
                <w:noProof/>
              </w:rPr>
              <w:t>3.3.3</w:t>
            </w:r>
            <w:r w:rsidR="00D72B3D">
              <w:rPr>
                <w:noProof/>
              </w:rPr>
              <w:tab/>
            </w:r>
            <w:r w:rsidR="00D72B3D" w:rsidRPr="00A56585">
              <w:rPr>
                <w:rStyle w:val="Hipercze"/>
                <w:rFonts w:cstheme="minorHAnsi"/>
                <w:noProof/>
              </w:rPr>
              <w:t>Amortyzacja (aparatura i sprzęt)</w:t>
            </w:r>
            <w:r w:rsidR="00D72B3D">
              <w:rPr>
                <w:noProof/>
                <w:webHidden/>
              </w:rPr>
              <w:tab/>
            </w:r>
            <w:r w:rsidR="00D72B3D">
              <w:rPr>
                <w:noProof/>
                <w:webHidden/>
              </w:rPr>
              <w:fldChar w:fldCharType="begin"/>
            </w:r>
            <w:r w:rsidR="00D72B3D">
              <w:rPr>
                <w:noProof/>
                <w:webHidden/>
              </w:rPr>
              <w:instrText xml:space="preserve"> PAGEREF _Toc148716371 \h </w:instrText>
            </w:r>
            <w:r w:rsidR="00D72B3D">
              <w:rPr>
                <w:noProof/>
                <w:webHidden/>
              </w:rPr>
            </w:r>
            <w:r w:rsidR="00D72B3D">
              <w:rPr>
                <w:noProof/>
                <w:webHidden/>
              </w:rPr>
              <w:fldChar w:fldCharType="separate"/>
            </w:r>
            <w:r w:rsidR="00D72B3D">
              <w:rPr>
                <w:noProof/>
                <w:webHidden/>
              </w:rPr>
              <w:t>15</w:t>
            </w:r>
            <w:r w:rsidR="00D72B3D">
              <w:rPr>
                <w:noProof/>
                <w:webHidden/>
              </w:rPr>
              <w:fldChar w:fldCharType="end"/>
            </w:r>
          </w:hyperlink>
        </w:p>
        <w:p w14:paraId="38B5F9C4" w14:textId="32D1FEA4" w:rsidR="00D72B3D" w:rsidRDefault="00B952EE">
          <w:pPr>
            <w:pStyle w:val="Spistreci4"/>
            <w:tabs>
              <w:tab w:val="left" w:pos="1540"/>
              <w:tab w:val="right" w:leader="dot" w:pos="9062"/>
            </w:tabs>
            <w:rPr>
              <w:noProof/>
            </w:rPr>
          </w:pPr>
          <w:hyperlink w:anchor="_Toc148716372" w:history="1">
            <w:r w:rsidR="00D72B3D" w:rsidRPr="00A56585">
              <w:rPr>
                <w:rStyle w:val="Hipercze"/>
                <w:rFonts w:cstheme="minorHAnsi"/>
                <w:noProof/>
              </w:rPr>
              <w:t>3.3.4</w:t>
            </w:r>
            <w:r w:rsidR="00D72B3D">
              <w:rPr>
                <w:noProof/>
              </w:rPr>
              <w:tab/>
            </w:r>
            <w:r w:rsidR="00D72B3D" w:rsidRPr="00A56585">
              <w:rPr>
                <w:rStyle w:val="Hipercze"/>
                <w:rFonts w:cstheme="minorHAnsi"/>
                <w:noProof/>
              </w:rPr>
              <w:t>Amortyzacja (budynki)</w:t>
            </w:r>
            <w:r w:rsidR="00D72B3D">
              <w:rPr>
                <w:noProof/>
                <w:webHidden/>
              </w:rPr>
              <w:tab/>
            </w:r>
            <w:r w:rsidR="00D72B3D">
              <w:rPr>
                <w:noProof/>
                <w:webHidden/>
              </w:rPr>
              <w:fldChar w:fldCharType="begin"/>
            </w:r>
            <w:r w:rsidR="00D72B3D">
              <w:rPr>
                <w:noProof/>
                <w:webHidden/>
              </w:rPr>
              <w:instrText xml:space="preserve"> PAGEREF _Toc148716372 \h </w:instrText>
            </w:r>
            <w:r w:rsidR="00D72B3D">
              <w:rPr>
                <w:noProof/>
                <w:webHidden/>
              </w:rPr>
            </w:r>
            <w:r w:rsidR="00D72B3D">
              <w:rPr>
                <w:noProof/>
                <w:webHidden/>
              </w:rPr>
              <w:fldChar w:fldCharType="separate"/>
            </w:r>
            <w:r w:rsidR="00D72B3D">
              <w:rPr>
                <w:noProof/>
                <w:webHidden/>
              </w:rPr>
              <w:t>16</w:t>
            </w:r>
            <w:r w:rsidR="00D72B3D">
              <w:rPr>
                <w:noProof/>
                <w:webHidden/>
              </w:rPr>
              <w:fldChar w:fldCharType="end"/>
            </w:r>
          </w:hyperlink>
        </w:p>
        <w:p w14:paraId="383BA13B" w14:textId="3558A041" w:rsidR="00D72B3D" w:rsidRDefault="00B952EE">
          <w:pPr>
            <w:pStyle w:val="Spistreci4"/>
            <w:tabs>
              <w:tab w:val="left" w:pos="1540"/>
              <w:tab w:val="right" w:leader="dot" w:pos="9062"/>
            </w:tabs>
            <w:rPr>
              <w:noProof/>
            </w:rPr>
          </w:pPr>
          <w:hyperlink w:anchor="_Toc148716373" w:history="1">
            <w:r w:rsidR="00D72B3D" w:rsidRPr="00A56585">
              <w:rPr>
                <w:rStyle w:val="Hipercze"/>
                <w:rFonts w:cstheme="minorHAnsi"/>
                <w:noProof/>
              </w:rPr>
              <w:t>3.3.5</w:t>
            </w:r>
            <w:r w:rsidR="00D72B3D">
              <w:rPr>
                <w:noProof/>
              </w:rPr>
              <w:tab/>
            </w:r>
            <w:r w:rsidR="00D72B3D" w:rsidRPr="00A56585">
              <w:rPr>
                <w:rStyle w:val="Hipercze"/>
                <w:rFonts w:cstheme="minorHAnsi"/>
                <w:noProof/>
              </w:rPr>
              <w:t>Nieruchomości</w:t>
            </w:r>
            <w:r w:rsidR="00D72B3D">
              <w:rPr>
                <w:noProof/>
                <w:webHidden/>
              </w:rPr>
              <w:tab/>
            </w:r>
            <w:r w:rsidR="00D72B3D">
              <w:rPr>
                <w:noProof/>
                <w:webHidden/>
              </w:rPr>
              <w:fldChar w:fldCharType="begin"/>
            </w:r>
            <w:r w:rsidR="00D72B3D">
              <w:rPr>
                <w:noProof/>
                <w:webHidden/>
              </w:rPr>
              <w:instrText xml:space="preserve"> PAGEREF _Toc148716373 \h </w:instrText>
            </w:r>
            <w:r w:rsidR="00D72B3D">
              <w:rPr>
                <w:noProof/>
                <w:webHidden/>
              </w:rPr>
            </w:r>
            <w:r w:rsidR="00D72B3D">
              <w:rPr>
                <w:noProof/>
                <w:webHidden/>
              </w:rPr>
              <w:fldChar w:fldCharType="separate"/>
            </w:r>
            <w:r w:rsidR="00D72B3D">
              <w:rPr>
                <w:noProof/>
                <w:webHidden/>
              </w:rPr>
              <w:t>16</w:t>
            </w:r>
            <w:r w:rsidR="00D72B3D">
              <w:rPr>
                <w:noProof/>
                <w:webHidden/>
              </w:rPr>
              <w:fldChar w:fldCharType="end"/>
            </w:r>
          </w:hyperlink>
        </w:p>
        <w:p w14:paraId="62A523C8" w14:textId="3F75BB88" w:rsidR="00D72B3D" w:rsidRDefault="00B952EE">
          <w:pPr>
            <w:pStyle w:val="Spistreci4"/>
            <w:tabs>
              <w:tab w:val="left" w:pos="1540"/>
              <w:tab w:val="right" w:leader="dot" w:pos="9062"/>
            </w:tabs>
            <w:rPr>
              <w:noProof/>
            </w:rPr>
          </w:pPr>
          <w:hyperlink w:anchor="_Toc148716374" w:history="1">
            <w:r w:rsidR="00D72B3D" w:rsidRPr="00A56585">
              <w:rPr>
                <w:rStyle w:val="Hipercze"/>
                <w:rFonts w:cstheme="minorHAnsi"/>
                <w:noProof/>
              </w:rPr>
              <w:t>3.3.6</w:t>
            </w:r>
            <w:r w:rsidR="00D72B3D">
              <w:rPr>
                <w:noProof/>
              </w:rPr>
              <w:tab/>
            </w:r>
            <w:r w:rsidR="00D72B3D" w:rsidRPr="00A56585">
              <w:rPr>
                <w:rStyle w:val="Hipercze"/>
                <w:rFonts w:cstheme="minorHAnsi"/>
                <w:noProof/>
              </w:rPr>
              <w:t>Wartości niematerialne i prawne</w:t>
            </w:r>
            <w:r w:rsidR="00D72B3D">
              <w:rPr>
                <w:noProof/>
                <w:webHidden/>
              </w:rPr>
              <w:tab/>
            </w:r>
            <w:r w:rsidR="00D72B3D">
              <w:rPr>
                <w:noProof/>
                <w:webHidden/>
              </w:rPr>
              <w:fldChar w:fldCharType="begin"/>
            </w:r>
            <w:r w:rsidR="00D72B3D">
              <w:rPr>
                <w:noProof/>
                <w:webHidden/>
              </w:rPr>
              <w:instrText xml:space="preserve"> PAGEREF _Toc148716374 \h </w:instrText>
            </w:r>
            <w:r w:rsidR="00D72B3D">
              <w:rPr>
                <w:noProof/>
                <w:webHidden/>
              </w:rPr>
            </w:r>
            <w:r w:rsidR="00D72B3D">
              <w:rPr>
                <w:noProof/>
                <w:webHidden/>
              </w:rPr>
              <w:fldChar w:fldCharType="separate"/>
            </w:r>
            <w:r w:rsidR="00D72B3D">
              <w:rPr>
                <w:noProof/>
                <w:webHidden/>
              </w:rPr>
              <w:t>17</w:t>
            </w:r>
            <w:r w:rsidR="00D72B3D">
              <w:rPr>
                <w:noProof/>
                <w:webHidden/>
              </w:rPr>
              <w:fldChar w:fldCharType="end"/>
            </w:r>
          </w:hyperlink>
        </w:p>
        <w:p w14:paraId="745A9734" w14:textId="694C9A5E" w:rsidR="00D72B3D" w:rsidRDefault="00B952EE">
          <w:pPr>
            <w:pStyle w:val="Spistreci4"/>
            <w:tabs>
              <w:tab w:val="left" w:pos="1540"/>
              <w:tab w:val="right" w:leader="dot" w:pos="9062"/>
            </w:tabs>
            <w:rPr>
              <w:noProof/>
            </w:rPr>
          </w:pPr>
          <w:hyperlink w:anchor="_Toc148716375" w:history="1">
            <w:r w:rsidR="00D72B3D" w:rsidRPr="00A56585">
              <w:rPr>
                <w:rStyle w:val="Hipercze"/>
                <w:rFonts w:cstheme="minorHAnsi"/>
                <w:noProof/>
              </w:rPr>
              <w:t>3.3.7</w:t>
            </w:r>
            <w:r w:rsidR="00D72B3D">
              <w:rPr>
                <w:noProof/>
              </w:rPr>
              <w:tab/>
            </w:r>
            <w:r w:rsidR="00D72B3D" w:rsidRPr="00A56585">
              <w:rPr>
                <w:rStyle w:val="Hipercze"/>
                <w:rFonts w:cstheme="minorHAnsi"/>
                <w:noProof/>
              </w:rPr>
              <w:t>Dostawy (inne niż środki trwałe)</w:t>
            </w:r>
            <w:r w:rsidR="00D72B3D">
              <w:rPr>
                <w:noProof/>
                <w:webHidden/>
              </w:rPr>
              <w:tab/>
            </w:r>
            <w:r w:rsidR="00D72B3D">
              <w:rPr>
                <w:noProof/>
                <w:webHidden/>
              </w:rPr>
              <w:fldChar w:fldCharType="begin"/>
            </w:r>
            <w:r w:rsidR="00D72B3D">
              <w:rPr>
                <w:noProof/>
                <w:webHidden/>
              </w:rPr>
              <w:instrText xml:space="preserve"> PAGEREF _Toc148716375 \h </w:instrText>
            </w:r>
            <w:r w:rsidR="00D72B3D">
              <w:rPr>
                <w:noProof/>
                <w:webHidden/>
              </w:rPr>
            </w:r>
            <w:r w:rsidR="00D72B3D">
              <w:rPr>
                <w:noProof/>
                <w:webHidden/>
              </w:rPr>
              <w:fldChar w:fldCharType="separate"/>
            </w:r>
            <w:r w:rsidR="00D72B3D">
              <w:rPr>
                <w:noProof/>
                <w:webHidden/>
              </w:rPr>
              <w:t>17</w:t>
            </w:r>
            <w:r w:rsidR="00D72B3D">
              <w:rPr>
                <w:noProof/>
                <w:webHidden/>
              </w:rPr>
              <w:fldChar w:fldCharType="end"/>
            </w:r>
          </w:hyperlink>
        </w:p>
        <w:p w14:paraId="5267A724" w14:textId="0DC34978" w:rsidR="00D72B3D" w:rsidRDefault="00B952EE">
          <w:pPr>
            <w:pStyle w:val="Spistreci4"/>
            <w:tabs>
              <w:tab w:val="left" w:pos="1540"/>
              <w:tab w:val="right" w:leader="dot" w:pos="9062"/>
            </w:tabs>
            <w:rPr>
              <w:noProof/>
            </w:rPr>
          </w:pPr>
          <w:hyperlink w:anchor="_Toc148716376" w:history="1">
            <w:r w:rsidR="00D72B3D" w:rsidRPr="00A56585">
              <w:rPr>
                <w:rStyle w:val="Hipercze"/>
                <w:rFonts w:cstheme="minorHAnsi"/>
                <w:noProof/>
              </w:rPr>
              <w:t>3.3.8</w:t>
            </w:r>
            <w:r w:rsidR="00D72B3D">
              <w:rPr>
                <w:noProof/>
              </w:rPr>
              <w:tab/>
            </w:r>
            <w:r w:rsidR="00D72B3D" w:rsidRPr="00A56585">
              <w:rPr>
                <w:rStyle w:val="Hipercze"/>
                <w:rFonts w:cstheme="minorHAnsi"/>
                <w:noProof/>
              </w:rPr>
              <w:t>Usługi zewnętrzne (koszty operacyjne)</w:t>
            </w:r>
            <w:r w:rsidR="00D72B3D">
              <w:rPr>
                <w:noProof/>
                <w:webHidden/>
              </w:rPr>
              <w:tab/>
            </w:r>
            <w:r w:rsidR="00D72B3D">
              <w:rPr>
                <w:noProof/>
                <w:webHidden/>
              </w:rPr>
              <w:fldChar w:fldCharType="begin"/>
            </w:r>
            <w:r w:rsidR="00D72B3D">
              <w:rPr>
                <w:noProof/>
                <w:webHidden/>
              </w:rPr>
              <w:instrText xml:space="preserve"> PAGEREF _Toc148716376 \h </w:instrText>
            </w:r>
            <w:r w:rsidR="00D72B3D">
              <w:rPr>
                <w:noProof/>
                <w:webHidden/>
              </w:rPr>
            </w:r>
            <w:r w:rsidR="00D72B3D">
              <w:rPr>
                <w:noProof/>
                <w:webHidden/>
              </w:rPr>
              <w:fldChar w:fldCharType="separate"/>
            </w:r>
            <w:r w:rsidR="00D72B3D">
              <w:rPr>
                <w:noProof/>
                <w:webHidden/>
              </w:rPr>
              <w:t>17</w:t>
            </w:r>
            <w:r w:rsidR="00D72B3D">
              <w:rPr>
                <w:noProof/>
                <w:webHidden/>
              </w:rPr>
              <w:fldChar w:fldCharType="end"/>
            </w:r>
          </w:hyperlink>
        </w:p>
        <w:p w14:paraId="6D83F6A7" w14:textId="5682F0ED" w:rsidR="00D72B3D" w:rsidRDefault="00B952EE">
          <w:pPr>
            <w:pStyle w:val="Spistreci4"/>
            <w:tabs>
              <w:tab w:val="left" w:pos="1540"/>
              <w:tab w:val="right" w:leader="dot" w:pos="9062"/>
            </w:tabs>
            <w:rPr>
              <w:noProof/>
            </w:rPr>
          </w:pPr>
          <w:hyperlink w:anchor="_Toc148716377" w:history="1">
            <w:r w:rsidR="00D72B3D" w:rsidRPr="00A56585">
              <w:rPr>
                <w:rStyle w:val="Hipercze"/>
                <w:rFonts w:cstheme="minorHAnsi"/>
                <w:noProof/>
              </w:rPr>
              <w:t>3.3.9</w:t>
            </w:r>
            <w:r w:rsidR="00D72B3D">
              <w:rPr>
                <w:noProof/>
              </w:rPr>
              <w:tab/>
            </w:r>
            <w:r w:rsidR="00D72B3D" w:rsidRPr="00A56585">
              <w:rPr>
                <w:rStyle w:val="Hipercze"/>
                <w:rFonts w:cstheme="minorHAnsi"/>
                <w:noProof/>
              </w:rPr>
              <w:t>Koszty pośrednie (ogólne)</w:t>
            </w:r>
            <w:r w:rsidR="00D72B3D">
              <w:rPr>
                <w:noProof/>
                <w:webHidden/>
              </w:rPr>
              <w:tab/>
            </w:r>
            <w:r w:rsidR="00D72B3D">
              <w:rPr>
                <w:noProof/>
                <w:webHidden/>
              </w:rPr>
              <w:fldChar w:fldCharType="begin"/>
            </w:r>
            <w:r w:rsidR="00D72B3D">
              <w:rPr>
                <w:noProof/>
                <w:webHidden/>
              </w:rPr>
              <w:instrText xml:space="preserve"> PAGEREF _Toc148716377 \h </w:instrText>
            </w:r>
            <w:r w:rsidR="00D72B3D">
              <w:rPr>
                <w:noProof/>
                <w:webHidden/>
              </w:rPr>
            </w:r>
            <w:r w:rsidR="00D72B3D">
              <w:rPr>
                <w:noProof/>
                <w:webHidden/>
              </w:rPr>
              <w:fldChar w:fldCharType="separate"/>
            </w:r>
            <w:r w:rsidR="00D72B3D">
              <w:rPr>
                <w:noProof/>
                <w:webHidden/>
              </w:rPr>
              <w:t>18</w:t>
            </w:r>
            <w:r w:rsidR="00D72B3D">
              <w:rPr>
                <w:noProof/>
                <w:webHidden/>
              </w:rPr>
              <w:fldChar w:fldCharType="end"/>
            </w:r>
          </w:hyperlink>
        </w:p>
        <w:p w14:paraId="7A9A580E" w14:textId="0F9E1608" w:rsidR="00D72B3D" w:rsidRDefault="00B952EE">
          <w:pPr>
            <w:pStyle w:val="Spistreci2"/>
            <w:rPr>
              <w:rFonts w:eastAsiaTheme="minorEastAsia"/>
              <w:noProof/>
              <w:lang w:eastAsia="pl-PL"/>
            </w:rPr>
          </w:pPr>
          <w:hyperlink w:anchor="_Toc148716378" w:history="1">
            <w:r w:rsidR="00D72B3D" w:rsidRPr="00A56585">
              <w:rPr>
                <w:rStyle w:val="Hipercze"/>
                <w:rFonts w:cstheme="minorHAnsi"/>
                <w:b/>
                <w:noProof/>
              </w:rPr>
              <w:t>4.</w:t>
            </w:r>
            <w:r w:rsidR="00D72B3D">
              <w:rPr>
                <w:rFonts w:eastAsiaTheme="minorEastAsia"/>
                <w:noProof/>
                <w:lang w:eastAsia="pl-PL"/>
              </w:rPr>
              <w:tab/>
            </w:r>
            <w:r w:rsidR="00D72B3D" w:rsidRPr="00A56585">
              <w:rPr>
                <w:rStyle w:val="Hipercze"/>
                <w:rFonts w:cstheme="minorHAnsi"/>
                <w:b/>
                <w:noProof/>
              </w:rPr>
              <w:t>Wydatki kwalifikowalne modułu wdrożenie innowacji</w:t>
            </w:r>
            <w:r w:rsidR="00D72B3D">
              <w:rPr>
                <w:noProof/>
                <w:webHidden/>
              </w:rPr>
              <w:tab/>
            </w:r>
            <w:r w:rsidR="00D72B3D">
              <w:rPr>
                <w:noProof/>
                <w:webHidden/>
              </w:rPr>
              <w:fldChar w:fldCharType="begin"/>
            </w:r>
            <w:r w:rsidR="00D72B3D">
              <w:rPr>
                <w:noProof/>
                <w:webHidden/>
              </w:rPr>
              <w:instrText xml:space="preserve"> PAGEREF _Toc148716378 \h </w:instrText>
            </w:r>
            <w:r w:rsidR="00D72B3D">
              <w:rPr>
                <w:noProof/>
                <w:webHidden/>
              </w:rPr>
            </w:r>
            <w:r w:rsidR="00D72B3D">
              <w:rPr>
                <w:noProof/>
                <w:webHidden/>
              </w:rPr>
              <w:fldChar w:fldCharType="separate"/>
            </w:r>
            <w:r w:rsidR="00D72B3D">
              <w:rPr>
                <w:noProof/>
                <w:webHidden/>
              </w:rPr>
              <w:t>20</w:t>
            </w:r>
            <w:r w:rsidR="00D72B3D">
              <w:rPr>
                <w:noProof/>
                <w:webHidden/>
              </w:rPr>
              <w:fldChar w:fldCharType="end"/>
            </w:r>
          </w:hyperlink>
        </w:p>
        <w:p w14:paraId="0E3106CD" w14:textId="3088B312" w:rsidR="00D72B3D" w:rsidRDefault="00B952EE">
          <w:pPr>
            <w:pStyle w:val="Spistreci3"/>
            <w:rPr>
              <w:rFonts w:eastAsiaTheme="minorEastAsia" w:cstheme="minorBidi"/>
              <w:bCs w:val="0"/>
              <w:sz w:val="22"/>
              <w:szCs w:val="22"/>
              <w:lang w:eastAsia="pl-PL"/>
            </w:rPr>
          </w:pPr>
          <w:hyperlink w:anchor="_Toc148716379" w:history="1">
            <w:r w:rsidR="00D72B3D" w:rsidRPr="00A56585">
              <w:rPr>
                <w:rStyle w:val="Hipercze"/>
              </w:rPr>
              <w:t>4.1 Pomoc publiczna</w:t>
            </w:r>
            <w:r w:rsidR="00D72B3D">
              <w:rPr>
                <w:webHidden/>
              </w:rPr>
              <w:tab/>
            </w:r>
            <w:r w:rsidR="00D72B3D">
              <w:rPr>
                <w:webHidden/>
              </w:rPr>
              <w:fldChar w:fldCharType="begin"/>
            </w:r>
            <w:r w:rsidR="00D72B3D">
              <w:rPr>
                <w:webHidden/>
              </w:rPr>
              <w:instrText xml:space="preserve"> PAGEREF _Toc148716379 \h </w:instrText>
            </w:r>
            <w:r w:rsidR="00D72B3D">
              <w:rPr>
                <w:webHidden/>
              </w:rPr>
            </w:r>
            <w:r w:rsidR="00D72B3D">
              <w:rPr>
                <w:webHidden/>
              </w:rPr>
              <w:fldChar w:fldCharType="separate"/>
            </w:r>
            <w:r w:rsidR="00D72B3D">
              <w:rPr>
                <w:webHidden/>
              </w:rPr>
              <w:t>20</w:t>
            </w:r>
            <w:r w:rsidR="00D72B3D">
              <w:rPr>
                <w:webHidden/>
              </w:rPr>
              <w:fldChar w:fldCharType="end"/>
            </w:r>
          </w:hyperlink>
        </w:p>
        <w:p w14:paraId="09DEA7BD" w14:textId="151BECF1" w:rsidR="00D72B3D" w:rsidRDefault="00B952EE">
          <w:pPr>
            <w:pStyle w:val="Spistreci3"/>
            <w:rPr>
              <w:rFonts w:eastAsiaTheme="minorEastAsia" w:cstheme="minorBidi"/>
              <w:bCs w:val="0"/>
              <w:sz w:val="22"/>
              <w:szCs w:val="22"/>
              <w:lang w:eastAsia="pl-PL"/>
            </w:rPr>
          </w:pPr>
          <w:hyperlink w:anchor="_Toc148716380" w:history="1">
            <w:r w:rsidR="00D72B3D" w:rsidRPr="00A56585">
              <w:rPr>
                <w:rStyle w:val="Hipercze"/>
              </w:rPr>
              <w:t>4.2 Limity wydatków kwalifikowalnych w module oraz limity dofinansowania</w:t>
            </w:r>
            <w:r w:rsidR="00D72B3D">
              <w:rPr>
                <w:webHidden/>
              </w:rPr>
              <w:tab/>
            </w:r>
            <w:r w:rsidR="00D72B3D">
              <w:rPr>
                <w:webHidden/>
              </w:rPr>
              <w:fldChar w:fldCharType="begin"/>
            </w:r>
            <w:r w:rsidR="00D72B3D">
              <w:rPr>
                <w:webHidden/>
              </w:rPr>
              <w:instrText xml:space="preserve"> PAGEREF _Toc148716380 \h </w:instrText>
            </w:r>
            <w:r w:rsidR="00D72B3D">
              <w:rPr>
                <w:webHidden/>
              </w:rPr>
            </w:r>
            <w:r w:rsidR="00D72B3D">
              <w:rPr>
                <w:webHidden/>
              </w:rPr>
              <w:fldChar w:fldCharType="separate"/>
            </w:r>
            <w:r w:rsidR="00D72B3D">
              <w:rPr>
                <w:webHidden/>
              </w:rPr>
              <w:t>20</w:t>
            </w:r>
            <w:r w:rsidR="00D72B3D">
              <w:rPr>
                <w:webHidden/>
              </w:rPr>
              <w:fldChar w:fldCharType="end"/>
            </w:r>
          </w:hyperlink>
        </w:p>
        <w:p w14:paraId="3DD5B927" w14:textId="4B5FC8FF" w:rsidR="00D72B3D" w:rsidRDefault="00B952EE">
          <w:pPr>
            <w:pStyle w:val="Spistreci3"/>
            <w:rPr>
              <w:rFonts w:eastAsiaTheme="minorEastAsia" w:cstheme="minorBidi"/>
              <w:bCs w:val="0"/>
              <w:sz w:val="22"/>
              <w:szCs w:val="22"/>
              <w:lang w:eastAsia="pl-PL"/>
            </w:rPr>
          </w:pPr>
          <w:hyperlink w:anchor="_Toc148716381" w:history="1">
            <w:r w:rsidR="00D72B3D" w:rsidRPr="00A56585">
              <w:rPr>
                <w:rStyle w:val="Hipercze"/>
              </w:rPr>
              <w:t>4.3 Kategorie wydatków kwalifikowalnych w ramach modułu Wdrożenie innowacji</w:t>
            </w:r>
            <w:r w:rsidR="00D72B3D">
              <w:rPr>
                <w:webHidden/>
              </w:rPr>
              <w:tab/>
            </w:r>
            <w:r w:rsidR="00D72B3D">
              <w:rPr>
                <w:webHidden/>
              </w:rPr>
              <w:fldChar w:fldCharType="begin"/>
            </w:r>
            <w:r w:rsidR="00D72B3D">
              <w:rPr>
                <w:webHidden/>
              </w:rPr>
              <w:instrText xml:space="preserve"> PAGEREF _Toc148716381 \h </w:instrText>
            </w:r>
            <w:r w:rsidR="00D72B3D">
              <w:rPr>
                <w:webHidden/>
              </w:rPr>
            </w:r>
            <w:r w:rsidR="00D72B3D">
              <w:rPr>
                <w:webHidden/>
              </w:rPr>
              <w:fldChar w:fldCharType="separate"/>
            </w:r>
            <w:r w:rsidR="00D72B3D">
              <w:rPr>
                <w:webHidden/>
              </w:rPr>
              <w:t>21</w:t>
            </w:r>
            <w:r w:rsidR="00D72B3D">
              <w:rPr>
                <w:webHidden/>
              </w:rPr>
              <w:fldChar w:fldCharType="end"/>
            </w:r>
          </w:hyperlink>
        </w:p>
        <w:p w14:paraId="4B2CEF8C" w14:textId="30E46A7C" w:rsidR="00D72B3D" w:rsidRDefault="00B952EE">
          <w:pPr>
            <w:pStyle w:val="Spistreci4"/>
            <w:tabs>
              <w:tab w:val="right" w:leader="dot" w:pos="9062"/>
            </w:tabs>
            <w:rPr>
              <w:noProof/>
            </w:rPr>
          </w:pPr>
          <w:hyperlink w:anchor="_Toc148716382" w:history="1">
            <w:r w:rsidR="00D72B3D" w:rsidRPr="00A56585">
              <w:rPr>
                <w:rStyle w:val="Hipercze"/>
                <w:rFonts w:cstheme="minorHAnsi"/>
                <w:noProof/>
              </w:rPr>
              <w:t>4.3.1 Grunty</w:t>
            </w:r>
            <w:r w:rsidR="00D72B3D">
              <w:rPr>
                <w:noProof/>
                <w:webHidden/>
              </w:rPr>
              <w:tab/>
            </w:r>
            <w:r w:rsidR="00D72B3D">
              <w:rPr>
                <w:noProof/>
                <w:webHidden/>
              </w:rPr>
              <w:fldChar w:fldCharType="begin"/>
            </w:r>
            <w:r w:rsidR="00D72B3D">
              <w:rPr>
                <w:noProof/>
                <w:webHidden/>
              </w:rPr>
              <w:instrText xml:space="preserve"> PAGEREF _Toc148716382 \h </w:instrText>
            </w:r>
            <w:r w:rsidR="00D72B3D">
              <w:rPr>
                <w:noProof/>
                <w:webHidden/>
              </w:rPr>
            </w:r>
            <w:r w:rsidR="00D72B3D">
              <w:rPr>
                <w:noProof/>
                <w:webHidden/>
              </w:rPr>
              <w:fldChar w:fldCharType="separate"/>
            </w:r>
            <w:r w:rsidR="00D72B3D">
              <w:rPr>
                <w:noProof/>
                <w:webHidden/>
              </w:rPr>
              <w:t>21</w:t>
            </w:r>
            <w:r w:rsidR="00D72B3D">
              <w:rPr>
                <w:noProof/>
                <w:webHidden/>
              </w:rPr>
              <w:fldChar w:fldCharType="end"/>
            </w:r>
          </w:hyperlink>
        </w:p>
        <w:p w14:paraId="15EEBAA8" w14:textId="247978E7" w:rsidR="00D72B3D" w:rsidRDefault="00B952EE">
          <w:pPr>
            <w:pStyle w:val="Spistreci4"/>
            <w:tabs>
              <w:tab w:val="right" w:leader="dot" w:pos="9062"/>
            </w:tabs>
            <w:rPr>
              <w:noProof/>
            </w:rPr>
          </w:pPr>
          <w:hyperlink w:anchor="_Toc148716383" w:history="1">
            <w:r w:rsidR="00D72B3D" w:rsidRPr="00A56585">
              <w:rPr>
                <w:rStyle w:val="Hipercze"/>
                <w:rFonts w:cstheme="minorHAnsi"/>
                <w:noProof/>
              </w:rPr>
              <w:t>4.3.2 Nieruchomości zabudowane</w:t>
            </w:r>
            <w:r w:rsidR="00D72B3D">
              <w:rPr>
                <w:noProof/>
                <w:webHidden/>
              </w:rPr>
              <w:tab/>
            </w:r>
            <w:r w:rsidR="00D72B3D">
              <w:rPr>
                <w:noProof/>
                <w:webHidden/>
              </w:rPr>
              <w:fldChar w:fldCharType="begin"/>
            </w:r>
            <w:r w:rsidR="00D72B3D">
              <w:rPr>
                <w:noProof/>
                <w:webHidden/>
              </w:rPr>
              <w:instrText xml:space="preserve"> PAGEREF _Toc148716383 \h </w:instrText>
            </w:r>
            <w:r w:rsidR="00D72B3D">
              <w:rPr>
                <w:noProof/>
                <w:webHidden/>
              </w:rPr>
            </w:r>
            <w:r w:rsidR="00D72B3D">
              <w:rPr>
                <w:noProof/>
                <w:webHidden/>
              </w:rPr>
              <w:fldChar w:fldCharType="separate"/>
            </w:r>
            <w:r w:rsidR="00D72B3D">
              <w:rPr>
                <w:noProof/>
                <w:webHidden/>
              </w:rPr>
              <w:t>21</w:t>
            </w:r>
            <w:r w:rsidR="00D72B3D">
              <w:rPr>
                <w:noProof/>
                <w:webHidden/>
              </w:rPr>
              <w:fldChar w:fldCharType="end"/>
            </w:r>
          </w:hyperlink>
        </w:p>
        <w:p w14:paraId="027B8EFC" w14:textId="172ACC28" w:rsidR="00D72B3D" w:rsidRDefault="00B952EE">
          <w:pPr>
            <w:pStyle w:val="Spistreci4"/>
            <w:tabs>
              <w:tab w:val="right" w:leader="dot" w:pos="9062"/>
            </w:tabs>
            <w:rPr>
              <w:noProof/>
            </w:rPr>
          </w:pPr>
          <w:hyperlink w:anchor="_Toc148716384" w:history="1">
            <w:r w:rsidR="00D72B3D" w:rsidRPr="00A56585">
              <w:rPr>
                <w:rStyle w:val="Hipercze"/>
                <w:rFonts w:cstheme="minorHAnsi"/>
                <w:noProof/>
              </w:rPr>
              <w:t>4.3.3 Środki trwałe/dostawy</w:t>
            </w:r>
            <w:r w:rsidR="00D72B3D">
              <w:rPr>
                <w:noProof/>
                <w:webHidden/>
              </w:rPr>
              <w:tab/>
            </w:r>
            <w:r w:rsidR="00D72B3D">
              <w:rPr>
                <w:noProof/>
                <w:webHidden/>
              </w:rPr>
              <w:fldChar w:fldCharType="begin"/>
            </w:r>
            <w:r w:rsidR="00D72B3D">
              <w:rPr>
                <w:noProof/>
                <w:webHidden/>
              </w:rPr>
              <w:instrText xml:space="preserve"> PAGEREF _Toc148716384 \h </w:instrText>
            </w:r>
            <w:r w:rsidR="00D72B3D">
              <w:rPr>
                <w:noProof/>
                <w:webHidden/>
              </w:rPr>
            </w:r>
            <w:r w:rsidR="00D72B3D">
              <w:rPr>
                <w:noProof/>
                <w:webHidden/>
              </w:rPr>
              <w:fldChar w:fldCharType="separate"/>
            </w:r>
            <w:r w:rsidR="00D72B3D">
              <w:rPr>
                <w:noProof/>
                <w:webHidden/>
              </w:rPr>
              <w:t>22</w:t>
            </w:r>
            <w:r w:rsidR="00D72B3D">
              <w:rPr>
                <w:noProof/>
                <w:webHidden/>
              </w:rPr>
              <w:fldChar w:fldCharType="end"/>
            </w:r>
          </w:hyperlink>
        </w:p>
        <w:p w14:paraId="592905C1" w14:textId="3E9A14CE" w:rsidR="00D72B3D" w:rsidRDefault="00B952EE">
          <w:pPr>
            <w:pStyle w:val="Spistreci4"/>
            <w:tabs>
              <w:tab w:val="right" w:leader="dot" w:pos="9062"/>
            </w:tabs>
            <w:rPr>
              <w:noProof/>
            </w:rPr>
          </w:pPr>
          <w:hyperlink w:anchor="_Toc148716385" w:history="1">
            <w:r w:rsidR="00D72B3D" w:rsidRPr="00A56585">
              <w:rPr>
                <w:rStyle w:val="Hipercze"/>
                <w:rFonts w:cstheme="minorHAnsi"/>
                <w:noProof/>
              </w:rPr>
              <w:t>4.3.4 Roboty budowlane</w:t>
            </w:r>
            <w:r w:rsidR="00D72B3D">
              <w:rPr>
                <w:noProof/>
                <w:webHidden/>
              </w:rPr>
              <w:tab/>
            </w:r>
            <w:r w:rsidR="00D72B3D">
              <w:rPr>
                <w:noProof/>
                <w:webHidden/>
              </w:rPr>
              <w:fldChar w:fldCharType="begin"/>
            </w:r>
            <w:r w:rsidR="00D72B3D">
              <w:rPr>
                <w:noProof/>
                <w:webHidden/>
              </w:rPr>
              <w:instrText xml:space="preserve"> PAGEREF _Toc148716385 \h </w:instrText>
            </w:r>
            <w:r w:rsidR="00D72B3D">
              <w:rPr>
                <w:noProof/>
                <w:webHidden/>
              </w:rPr>
            </w:r>
            <w:r w:rsidR="00D72B3D">
              <w:rPr>
                <w:noProof/>
                <w:webHidden/>
              </w:rPr>
              <w:fldChar w:fldCharType="separate"/>
            </w:r>
            <w:r w:rsidR="00D72B3D">
              <w:rPr>
                <w:noProof/>
                <w:webHidden/>
              </w:rPr>
              <w:t>22</w:t>
            </w:r>
            <w:r w:rsidR="00D72B3D">
              <w:rPr>
                <w:noProof/>
                <w:webHidden/>
              </w:rPr>
              <w:fldChar w:fldCharType="end"/>
            </w:r>
          </w:hyperlink>
        </w:p>
        <w:p w14:paraId="15CE9D67" w14:textId="379826F8" w:rsidR="00D72B3D" w:rsidRDefault="00B952EE">
          <w:pPr>
            <w:pStyle w:val="Spistreci4"/>
            <w:tabs>
              <w:tab w:val="right" w:leader="dot" w:pos="9062"/>
            </w:tabs>
            <w:rPr>
              <w:noProof/>
            </w:rPr>
          </w:pPr>
          <w:hyperlink w:anchor="_Toc148716386" w:history="1">
            <w:r w:rsidR="00D72B3D" w:rsidRPr="00A56585">
              <w:rPr>
                <w:rStyle w:val="Hipercze"/>
                <w:rFonts w:cstheme="minorHAnsi"/>
                <w:noProof/>
              </w:rPr>
              <w:t>4.3.5 Wartości niematerialne i prawne</w:t>
            </w:r>
            <w:r w:rsidR="00D72B3D">
              <w:rPr>
                <w:noProof/>
                <w:webHidden/>
              </w:rPr>
              <w:tab/>
            </w:r>
            <w:r w:rsidR="00D72B3D">
              <w:rPr>
                <w:noProof/>
                <w:webHidden/>
              </w:rPr>
              <w:fldChar w:fldCharType="begin"/>
            </w:r>
            <w:r w:rsidR="00D72B3D">
              <w:rPr>
                <w:noProof/>
                <w:webHidden/>
              </w:rPr>
              <w:instrText xml:space="preserve"> PAGEREF _Toc148716386 \h </w:instrText>
            </w:r>
            <w:r w:rsidR="00D72B3D">
              <w:rPr>
                <w:noProof/>
                <w:webHidden/>
              </w:rPr>
            </w:r>
            <w:r w:rsidR="00D72B3D">
              <w:rPr>
                <w:noProof/>
                <w:webHidden/>
              </w:rPr>
              <w:fldChar w:fldCharType="separate"/>
            </w:r>
            <w:r w:rsidR="00D72B3D">
              <w:rPr>
                <w:noProof/>
                <w:webHidden/>
              </w:rPr>
              <w:t>22</w:t>
            </w:r>
            <w:r w:rsidR="00D72B3D">
              <w:rPr>
                <w:noProof/>
                <w:webHidden/>
              </w:rPr>
              <w:fldChar w:fldCharType="end"/>
            </w:r>
          </w:hyperlink>
        </w:p>
        <w:p w14:paraId="32792C32" w14:textId="286BF440" w:rsidR="00D72B3D" w:rsidRDefault="00B952EE">
          <w:pPr>
            <w:pStyle w:val="Spistreci4"/>
            <w:tabs>
              <w:tab w:val="right" w:leader="dot" w:pos="9062"/>
            </w:tabs>
            <w:rPr>
              <w:noProof/>
            </w:rPr>
          </w:pPr>
          <w:hyperlink w:anchor="_Toc148716387" w:history="1">
            <w:r w:rsidR="00D72B3D" w:rsidRPr="00A56585">
              <w:rPr>
                <w:rStyle w:val="Hipercze"/>
                <w:rFonts w:cstheme="minorHAnsi"/>
                <w:noProof/>
              </w:rPr>
              <w:t>4.3.6 Usługi zewnętrzne (wsparcie innowacji)</w:t>
            </w:r>
            <w:r w:rsidR="00D72B3D">
              <w:rPr>
                <w:noProof/>
                <w:webHidden/>
              </w:rPr>
              <w:tab/>
            </w:r>
            <w:r w:rsidR="00D72B3D">
              <w:rPr>
                <w:noProof/>
                <w:webHidden/>
              </w:rPr>
              <w:fldChar w:fldCharType="begin"/>
            </w:r>
            <w:r w:rsidR="00D72B3D">
              <w:rPr>
                <w:noProof/>
                <w:webHidden/>
              </w:rPr>
              <w:instrText xml:space="preserve"> PAGEREF _Toc148716387 \h </w:instrText>
            </w:r>
            <w:r w:rsidR="00D72B3D">
              <w:rPr>
                <w:noProof/>
                <w:webHidden/>
              </w:rPr>
            </w:r>
            <w:r w:rsidR="00D72B3D">
              <w:rPr>
                <w:noProof/>
                <w:webHidden/>
              </w:rPr>
              <w:fldChar w:fldCharType="separate"/>
            </w:r>
            <w:r w:rsidR="00D72B3D">
              <w:rPr>
                <w:noProof/>
                <w:webHidden/>
              </w:rPr>
              <w:t>23</w:t>
            </w:r>
            <w:r w:rsidR="00D72B3D">
              <w:rPr>
                <w:noProof/>
                <w:webHidden/>
              </w:rPr>
              <w:fldChar w:fldCharType="end"/>
            </w:r>
          </w:hyperlink>
        </w:p>
        <w:p w14:paraId="6DA14158" w14:textId="752C5414" w:rsidR="00D72B3D" w:rsidRDefault="00B952EE">
          <w:pPr>
            <w:pStyle w:val="Spistreci4"/>
            <w:tabs>
              <w:tab w:val="right" w:leader="dot" w:pos="9062"/>
            </w:tabs>
            <w:rPr>
              <w:noProof/>
            </w:rPr>
          </w:pPr>
          <w:hyperlink w:anchor="_Toc148716388" w:history="1">
            <w:r w:rsidR="00D72B3D" w:rsidRPr="00A56585">
              <w:rPr>
                <w:rStyle w:val="Hipercze"/>
                <w:rFonts w:cstheme="minorHAnsi"/>
                <w:noProof/>
              </w:rPr>
              <w:t>4.3.7 Usługi zewnętrzne (doradztwo)</w:t>
            </w:r>
            <w:r w:rsidR="00D72B3D">
              <w:rPr>
                <w:noProof/>
                <w:webHidden/>
              </w:rPr>
              <w:tab/>
            </w:r>
            <w:r w:rsidR="00D72B3D">
              <w:rPr>
                <w:noProof/>
                <w:webHidden/>
              </w:rPr>
              <w:fldChar w:fldCharType="begin"/>
            </w:r>
            <w:r w:rsidR="00D72B3D">
              <w:rPr>
                <w:noProof/>
                <w:webHidden/>
              </w:rPr>
              <w:instrText xml:space="preserve"> PAGEREF _Toc148716388 \h </w:instrText>
            </w:r>
            <w:r w:rsidR="00D72B3D">
              <w:rPr>
                <w:noProof/>
                <w:webHidden/>
              </w:rPr>
            </w:r>
            <w:r w:rsidR="00D72B3D">
              <w:rPr>
                <w:noProof/>
                <w:webHidden/>
              </w:rPr>
              <w:fldChar w:fldCharType="separate"/>
            </w:r>
            <w:r w:rsidR="00D72B3D">
              <w:rPr>
                <w:noProof/>
                <w:webHidden/>
              </w:rPr>
              <w:t>23</w:t>
            </w:r>
            <w:r w:rsidR="00D72B3D">
              <w:rPr>
                <w:noProof/>
                <w:webHidden/>
              </w:rPr>
              <w:fldChar w:fldCharType="end"/>
            </w:r>
          </w:hyperlink>
        </w:p>
        <w:p w14:paraId="5E54BC3C" w14:textId="1E0CB8D8" w:rsidR="00D72B3D" w:rsidRDefault="00B952EE">
          <w:pPr>
            <w:pStyle w:val="Spistreci4"/>
            <w:tabs>
              <w:tab w:val="right" w:leader="dot" w:pos="9062"/>
            </w:tabs>
            <w:rPr>
              <w:noProof/>
            </w:rPr>
          </w:pPr>
          <w:hyperlink w:anchor="_Toc148716389" w:history="1">
            <w:r w:rsidR="00D72B3D" w:rsidRPr="00A56585">
              <w:rPr>
                <w:rStyle w:val="Hipercze"/>
                <w:rFonts w:cstheme="minorHAnsi"/>
                <w:noProof/>
              </w:rPr>
              <w:t>4.3.8 Podatki i opłaty</w:t>
            </w:r>
            <w:r w:rsidR="00D72B3D">
              <w:rPr>
                <w:noProof/>
                <w:webHidden/>
              </w:rPr>
              <w:tab/>
            </w:r>
            <w:r w:rsidR="00D72B3D">
              <w:rPr>
                <w:noProof/>
                <w:webHidden/>
              </w:rPr>
              <w:fldChar w:fldCharType="begin"/>
            </w:r>
            <w:r w:rsidR="00D72B3D">
              <w:rPr>
                <w:noProof/>
                <w:webHidden/>
              </w:rPr>
              <w:instrText xml:space="preserve"> PAGEREF _Toc148716389 \h </w:instrText>
            </w:r>
            <w:r w:rsidR="00D72B3D">
              <w:rPr>
                <w:noProof/>
                <w:webHidden/>
              </w:rPr>
            </w:r>
            <w:r w:rsidR="00D72B3D">
              <w:rPr>
                <w:noProof/>
                <w:webHidden/>
              </w:rPr>
              <w:fldChar w:fldCharType="separate"/>
            </w:r>
            <w:r w:rsidR="00D72B3D">
              <w:rPr>
                <w:noProof/>
                <w:webHidden/>
              </w:rPr>
              <w:t>23</w:t>
            </w:r>
            <w:r w:rsidR="00D72B3D">
              <w:rPr>
                <w:noProof/>
                <w:webHidden/>
              </w:rPr>
              <w:fldChar w:fldCharType="end"/>
            </w:r>
          </w:hyperlink>
        </w:p>
        <w:p w14:paraId="73C63FF5" w14:textId="39D5CBF4" w:rsidR="00D72B3D" w:rsidRDefault="00B952EE">
          <w:pPr>
            <w:pStyle w:val="Spistreci2"/>
            <w:rPr>
              <w:rFonts w:eastAsiaTheme="minorEastAsia"/>
              <w:noProof/>
              <w:lang w:eastAsia="pl-PL"/>
            </w:rPr>
          </w:pPr>
          <w:hyperlink w:anchor="_Toc148716390" w:history="1">
            <w:r w:rsidR="00D72B3D" w:rsidRPr="00A56585">
              <w:rPr>
                <w:rStyle w:val="Hipercze"/>
                <w:rFonts w:cstheme="minorHAnsi"/>
                <w:b/>
                <w:noProof/>
              </w:rPr>
              <w:t>5.</w:t>
            </w:r>
            <w:r w:rsidR="00D72B3D">
              <w:rPr>
                <w:rFonts w:eastAsiaTheme="minorEastAsia"/>
                <w:noProof/>
                <w:lang w:eastAsia="pl-PL"/>
              </w:rPr>
              <w:tab/>
            </w:r>
            <w:r w:rsidR="00D72B3D" w:rsidRPr="00A56585">
              <w:rPr>
                <w:rStyle w:val="Hipercze"/>
                <w:rFonts w:cstheme="minorHAnsi"/>
                <w:b/>
                <w:noProof/>
              </w:rPr>
              <w:t>Wydatki kwalifikowalne modułu infrastruktura B+R</w:t>
            </w:r>
            <w:r w:rsidR="00D72B3D">
              <w:rPr>
                <w:noProof/>
                <w:webHidden/>
              </w:rPr>
              <w:tab/>
            </w:r>
            <w:r w:rsidR="00D72B3D">
              <w:rPr>
                <w:noProof/>
                <w:webHidden/>
              </w:rPr>
              <w:fldChar w:fldCharType="begin"/>
            </w:r>
            <w:r w:rsidR="00D72B3D">
              <w:rPr>
                <w:noProof/>
                <w:webHidden/>
              </w:rPr>
              <w:instrText xml:space="preserve"> PAGEREF _Toc148716390 \h </w:instrText>
            </w:r>
            <w:r w:rsidR="00D72B3D">
              <w:rPr>
                <w:noProof/>
                <w:webHidden/>
              </w:rPr>
            </w:r>
            <w:r w:rsidR="00D72B3D">
              <w:rPr>
                <w:noProof/>
                <w:webHidden/>
              </w:rPr>
              <w:fldChar w:fldCharType="separate"/>
            </w:r>
            <w:r w:rsidR="00D72B3D">
              <w:rPr>
                <w:noProof/>
                <w:webHidden/>
              </w:rPr>
              <w:t>25</w:t>
            </w:r>
            <w:r w:rsidR="00D72B3D">
              <w:rPr>
                <w:noProof/>
                <w:webHidden/>
              </w:rPr>
              <w:fldChar w:fldCharType="end"/>
            </w:r>
          </w:hyperlink>
        </w:p>
        <w:p w14:paraId="17908501" w14:textId="2AFC7746" w:rsidR="00D72B3D" w:rsidRDefault="00B952EE">
          <w:pPr>
            <w:pStyle w:val="Spistreci3"/>
            <w:rPr>
              <w:rFonts w:eastAsiaTheme="minorEastAsia" w:cstheme="minorBidi"/>
              <w:bCs w:val="0"/>
              <w:sz w:val="22"/>
              <w:szCs w:val="22"/>
              <w:lang w:eastAsia="pl-PL"/>
            </w:rPr>
          </w:pPr>
          <w:hyperlink w:anchor="_Toc148716391" w:history="1">
            <w:r w:rsidR="00D72B3D" w:rsidRPr="00A56585">
              <w:rPr>
                <w:rStyle w:val="Hipercze"/>
              </w:rPr>
              <w:t>5.1 Pomoc publiczna</w:t>
            </w:r>
            <w:r w:rsidR="00D72B3D">
              <w:rPr>
                <w:webHidden/>
              </w:rPr>
              <w:tab/>
            </w:r>
            <w:r w:rsidR="00D72B3D">
              <w:rPr>
                <w:webHidden/>
              </w:rPr>
              <w:fldChar w:fldCharType="begin"/>
            </w:r>
            <w:r w:rsidR="00D72B3D">
              <w:rPr>
                <w:webHidden/>
              </w:rPr>
              <w:instrText xml:space="preserve"> PAGEREF _Toc148716391 \h </w:instrText>
            </w:r>
            <w:r w:rsidR="00D72B3D">
              <w:rPr>
                <w:webHidden/>
              </w:rPr>
            </w:r>
            <w:r w:rsidR="00D72B3D">
              <w:rPr>
                <w:webHidden/>
              </w:rPr>
              <w:fldChar w:fldCharType="separate"/>
            </w:r>
            <w:r w:rsidR="00D72B3D">
              <w:rPr>
                <w:webHidden/>
              </w:rPr>
              <w:t>25</w:t>
            </w:r>
            <w:r w:rsidR="00D72B3D">
              <w:rPr>
                <w:webHidden/>
              </w:rPr>
              <w:fldChar w:fldCharType="end"/>
            </w:r>
          </w:hyperlink>
        </w:p>
        <w:p w14:paraId="1E4B3987" w14:textId="266A2A86" w:rsidR="00D72B3D" w:rsidRDefault="00B952EE">
          <w:pPr>
            <w:pStyle w:val="Spistreci3"/>
            <w:rPr>
              <w:rFonts w:eastAsiaTheme="minorEastAsia" w:cstheme="minorBidi"/>
              <w:bCs w:val="0"/>
              <w:sz w:val="22"/>
              <w:szCs w:val="22"/>
              <w:lang w:eastAsia="pl-PL"/>
            </w:rPr>
          </w:pPr>
          <w:hyperlink w:anchor="_Toc148716392" w:history="1">
            <w:r w:rsidR="00D72B3D" w:rsidRPr="00A56585">
              <w:rPr>
                <w:rStyle w:val="Hipercze"/>
              </w:rPr>
              <w:t>5.2 Limity wydatków kwalifikowalnych w module oraz limity dofinansowania</w:t>
            </w:r>
            <w:r w:rsidR="00D72B3D">
              <w:rPr>
                <w:webHidden/>
              </w:rPr>
              <w:tab/>
            </w:r>
            <w:r w:rsidR="00D72B3D">
              <w:rPr>
                <w:webHidden/>
              </w:rPr>
              <w:fldChar w:fldCharType="begin"/>
            </w:r>
            <w:r w:rsidR="00D72B3D">
              <w:rPr>
                <w:webHidden/>
              </w:rPr>
              <w:instrText xml:space="preserve"> PAGEREF _Toc148716392 \h </w:instrText>
            </w:r>
            <w:r w:rsidR="00D72B3D">
              <w:rPr>
                <w:webHidden/>
              </w:rPr>
            </w:r>
            <w:r w:rsidR="00D72B3D">
              <w:rPr>
                <w:webHidden/>
              </w:rPr>
              <w:fldChar w:fldCharType="separate"/>
            </w:r>
            <w:r w:rsidR="00D72B3D">
              <w:rPr>
                <w:webHidden/>
              </w:rPr>
              <w:t>25</w:t>
            </w:r>
            <w:r w:rsidR="00D72B3D">
              <w:rPr>
                <w:webHidden/>
              </w:rPr>
              <w:fldChar w:fldCharType="end"/>
            </w:r>
          </w:hyperlink>
        </w:p>
        <w:p w14:paraId="46EAB26E" w14:textId="382DFF85" w:rsidR="00D72B3D" w:rsidRDefault="00B952EE">
          <w:pPr>
            <w:pStyle w:val="Spistreci3"/>
            <w:rPr>
              <w:rFonts w:eastAsiaTheme="minorEastAsia" w:cstheme="minorBidi"/>
              <w:bCs w:val="0"/>
              <w:sz w:val="22"/>
              <w:szCs w:val="22"/>
              <w:lang w:eastAsia="pl-PL"/>
            </w:rPr>
          </w:pPr>
          <w:hyperlink w:anchor="_Toc148716393" w:history="1">
            <w:r w:rsidR="00D72B3D" w:rsidRPr="00A56585">
              <w:rPr>
                <w:rStyle w:val="Hipercze"/>
              </w:rPr>
              <w:t>5.3 Kategorie wydatków kwalifikowalnych w ramach modułu Infrastruktura B+R</w:t>
            </w:r>
            <w:r w:rsidR="00D72B3D">
              <w:rPr>
                <w:webHidden/>
              </w:rPr>
              <w:tab/>
            </w:r>
            <w:r w:rsidR="00D72B3D">
              <w:rPr>
                <w:webHidden/>
              </w:rPr>
              <w:fldChar w:fldCharType="begin"/>
            </w:r>
            <w:r w:rsidR="00D72B3D">
              <w:rPr>
                <w:webHidden/>
              </w:rPr>
              <w:instrText xml:space="preserve"> PAGEREF _Toc148716393 \h </w:instrText>
            </w:r>
            <w:r w:rsidR="00D72B3D">
              <w:rPr>
                <w:webHidden/>
              </w:rPr>
            </w:r>
            <w:r w:rsidR="00D72B3D">
              <w:rPr>
                <w:webHidden/>
              </w:rPr>
              <w:fldChar w:fldCharType="separate"/>
            </w:r>
            <w:r w:rsidR="00D72B3D">
              <w:rPr>
                <w:webHidden/>
              </w:rPr>
              <w:t>25</w:t>
            </w:r>
            <w:r w:rsidR="00D72B3D">
              <w:rPr>
                <w:webHidden/>
              </w:rPr>
              <w:fldChar w:fldCharType="end"/>
            </w:r>
          </w:hyperlink>
        </w:p>
        <w:p w14:paraId="34CBFD41" w14:textId="66C41A07" w:rsidR="00D72B3D" w:rsidRDefault="00B952EE">
          <w:pPr>
            <w:pStyle w:val="Spistreci4"/>
            <w:tabs>
              <w:tab w:val="right" w:leader="dot" w:pos="9062"/>
            </w:tabs>
            <w:rPr>
              <w:noProof/>
            </w:rPr>
          </w:pPr>
          <w:hyperlink w:anchor="_Toc148716394" w:history="1">
            <w:r w:rsidR="00D72B3D" w:rsidRPr="00A56585">
              <w:rPr>
                <w:rStyle w:val="Hipercze"/>
                <w:rFonts w:cstheme="minorHAnsi"/>
                <w:noProof/>
              </w:rPr>
              <w:t>5.3.1Grunty</w:t>
            </w:r>
            <w:r w:rsidR="00D72B3D">
              <w:rPr>
                <w:noProof/>
                <w:webHidden/>
              </w:rPr>
              <w:tab/>
            </w:r>
            <w:r w:rsidR="00D72B3D">
              <w:rPr>
                <w:noProof/>
                <w:webHidden/>
              </w:rPr>
              <w:fldChar w:fldCharType="begin"/>
            </w:r>
            <w:r w:rsidR="00D72B3D">
              <w:rPr>
                <w:noProof/>
                <w:webHidden/>
              </w:rPr>
              <w:instrText xml:space="preserve"> PAGEREF _Toc148716394 \h </w:instrText>
            </w:r>
            <w:r w:rsidR="00D72B3D">
              <w:rPr>
                <w:noProof/>
                <w:webHidden/>
              </w:rPr>
            </w:r>
            <w:r w:rsidR="00D72B3D">
              <w:rPr>
                <w:noProof/>
                <w:webHidden/>
              </w:rPr>
              <w:fldChar w:fldCharType="separate"/>
            </w:r>
            <w:r w:rsidR="00D72B3D">
              <w:rPr>
                <w:noProof/>
                <w:webHidden/>
              </w:rPr>
              <w:t>25</w:t>
            </w:r>
            <w:r w:rsidR="00D72B3D">
              <w:rPr>
                <w:noProof/>
                <w:webHidden/>
              </w:rPr>
              <w:fldChar w:fldCharType="end"/>
            </w:r>
          </w:hyperlink>
        </w:p>
        <w:p w14:paraId="10BF718B" w14:textId="5286E1B4" w:rsidR="00D72B3D" w:rsidRDefault="00B952EE">
          <w:pPr>
            <w:pStyle w:val="Spistreci4"/>
            <w:tabs>
              <w:tab w:val="right" w:leader="dot" w:pos="9062"/>
            </w:tabs>
            <w:rPr>
              <w:noProof/>
            </w:rPr>
          </w:pPr>
          <w:hyperlink w:anchor="_Toc148716395" w:history="1">
            <w:r w:rsidR="00D72B3D" w:rsidRPr="00A56585">
              <w:rPr>
                <w:rStyle w:val="Hipercze"/>
                <w:rFonts w:cstheme="minorHAnsi"/>
                <w:noProof/>
              </w:rPr>
              <w:t>5.3.2 Nieruchomości zabudowane</w:t>
            </w:r>
            <w:r w:rsidR="00D72B3D">
              <w:rPr>
                <w:noProof/>
                <w:webHidden/>
              </w:rPr>
              <w:tab/>
            </w:r>
            <w:r w:rsidR="00D72B3D">
              <w:rPr>
                <w:noProof/>
                <w:webHidden/>
              </w:rPr>
              <w:fldChar w:fldCharType="begin"/>
            </w:r>
            <w:r w:rsidR="00D72B3D">
              <w:rPr>
                <w:noProof/>
                <w:webHidden/>
              </w:rPr>
              <w:instrText xml:space="preserve"> PAGEREF _Toc148716395 \h </w:instrText>
            </w:r>
            <w:r w:rsidR="00D72B3D">
              <w:rPr>
                <w:noProof/>
                <w:webHidden/>
              </w:rPr>
            </w:r>
            <w:r w:rsidR="00D72B3D">
              <w:rPr>
                <w:noProof/>
                <w:webHidden/>
              </w:rPr>
              <w:fldChar w:fldCharType="separate"/>
            </w:r>
            <w:r w:rsidR="00D72B3D">
              <w:rPr>
                <w:noProof/>
                <w:webHidden/>
              </w:rPr>
              <w:t>26</w:t>
            </w:r>
            <w:r w:rsidR="00D72B3D">
              <w:rPr>
                <w:noProof/>
                <w:webHidden/>
              </w:rPr>
              <w:fldChar w:fldCharType="end"/>
            </w:r>
          </w:hyperlink>
        </w:p>
        <w:p w14:paraId="1B73AD8D" w14:textId="5732215D" w:rsidR="00D72B3D" w:rsidRDefault="00B952EE">
          <w:pPr>
            <w:pStyle w:val="Spistreci4"/>
            <w:tabs>
              <w:tab w:val="right" w:leader="dot" w:pos="9062"/>
            </w:tabs>
            <w:rPr>
              <w:noProof/>
            </w:rPr>
          </w:pPr>
          <w:hyperlink w:anchor="_Toc148716396" w:history="1">
            <w:r w:rsidR="00D72B3D" w:rsidRPr="00A56585">
              <w:rPr>
                <w:rStyle w:val="Hipercze"/>
                <w:rFonts w:cstheme="minorHAnsi"/>
                <w:noProof/>
              </w:rPr>
              <w:t>5.3.3 Środki trwałe/dostawy</w:t>
            </w:r>
            <w:r w:rsidR="00D72B3D">
              <w:rPr>
                <w:noProof/>
                <w:webHidden/>
              </w:rPr>
              <w:tab/>
            </w:r>
            <w:r w:rsidR="00D72B3D">
              <w:rPr>
                <w:noProof/>
                <w:webHidden/>
              </w:rPr>
              <w:fldChar w:fldCharType="begin"/>
            </w:r>
            <w:r w:rsidR="00D72B3D">
              <w:rPr>
                <w:noProof/>
                <w:webHidden/>
              </w:rPr>
              <w:instrText xml:space="preserve"> PAGEREF _Toc148716396 \h </w:instrText>
            </w:r>
            <w:r w:rsidR="00D72B3D">
              <w:rPr>
                <w:noProof/>
                <w:webHidden/>
              </w:rPr>
            </w:r>
            <w:r w:rsidR="00D72B3D">
              <w:rPr>
                <w:noProof/>
                <w:webHidden/>
              </w:rPr>
              <w:fldChar w:fldCharType="separate"/>
            </w:r>
            <w:r w:rsidR="00D72B3D">
              <w:rPr>
                <w:noProof/>
                <w:webHidden/>
              </w:rPr>
              <w:t>26</w:t>
            </w:r>
            <w:r w:rsidR="00D72B3D">
              <w:rPr>
                <w:noProof/>
                <w:webHidden/>
              </w:rPr>
              <w:fldChar w:fldCharType="end"/>
            </w:r>
          </w:hyperlink>
        </w:p>
        <w:p w14:paraId="3FD5BBB6" w14:textId="13B95574" w:rsidR="00D72B3D" w:rsidRDefault="00B952EE">
          <w:pPr>
            <w:pStyle w:val="Spistreci4"/>
            <w:tabs>
              <w:tab w:val="right" w:leader="dot" w:pos="9062"/>
            </w:tabs>
            <w:rPr>
              <w:noProof/>
            </w:rPr>
          </w:pPr>
          <w:hyperlink w:anchor="_Toc148716397" w:history="1">
            <w:r w:rsidR="00D72B3D" w:rsidRPr="00A56585">
              <w:rPr>
                <w:rStyle w:val="Hipercze"/>
                <w:rFonts w:cstheme="minorHAnsi"/>
                <w:noProof/>
              </w:rPr>
              <w:t>5.3.4 Roboty budowlane</w:t>
            </w:r>
            <w:r w:rsidR="00D72B3D">
              <w:rPr>
                <w:noProof/>
                <w:webHidden/>
              </w:rPr>
              <w:tab/>
            </w:r>
            <w:r w:rsidR="00D72B3D">
              <w:rPr>
                <w:noProof/>
                <w:webHidden/>
              </w:rPr>
              <w:fldChar w:fldCharType="begin"/>
            </w:r>
            <w:r w:rsidR="00D72B3D">
              <w:rPr>
                <w:noProof/>
                <w:webHidden/>
              </w:rPr>
              <w:instrText xml:space="preserve"> PAGEREF _Toc148716397 \h </w:instrText>
            </w:r>
            <w:r w:rsidR="00D72B3D">
              <w:rPr>
                <w:noProof/>
                <w:webHidden/>
              </w:rPr>
            </w:r>
            <w:r w:rsidR="00D72B3D">
              <w:rPr>
                <w:noProof/>
                <w:webHidden/>
              </w:rPr>
              <w:fldChar w:fldCharType="separate"/>
            </w:r>
            <w:r w:rsidR="00D72B3D">
              <w:rPr>
                <w:noProof/>
                <w:webHidden/>
              </w:rPr>
              <w:t>27</w:t>
            </w:r>
            <w:r w:rsidR="00D72B3D">
              <w:rPr>
                <w:noProof/>
                <w:webHidden/>
              </w:rPr>
              <w:fldChar w:fldCharType="end"/>
            </w:r>
          </w:hyperlink>
        </w:p>
        <w:p w14:paraId="058F0585" w14:textId="02E0104C" w:rsidR="00D72B3D" w:rsidRDefault="00B952EE">
          <w:pPr>
            <w:pStyle w:val="Spistreci4"/>
            <w:tabs>
              <w:tab w:val="right" w:leader="dot" w:pos="9062"/>
            </w:tabs>
            <w:rPr>
              <w:noProof/>
            </w:rPr>
          </w:pPr>
          <w:hyperlink w:anchor="_Toc148716398" w:history="1">
            <w:r w:rsidR="00D72B3D" w:rsidRPr="00A56585">
              <w:rPr>
                <w:rStyle w:val="Hipercze"/>
                <w:rFonts w:cstheme="minorHAnsi"/>
                <w:noProof/>
              </w:rPr>
              <w:t>5.3.5 Wartości niematerialne i prawne</w:t>
            </w:r>
            <w:r w:rsidR="00D72B3D">
              <w:rPr>
                <w:noProof/>
                <w:webHidden/>
              </w:rPr>
              <w:tab/>
            </w:r>
            <w:r w:rsidR="00D72B3D">
              <w:rPr>
                <w:noProof/>
                <w:webHidden/>
              </w:rPr>
              <w:fldChar w:fldCharType="begin"/>
            </w:r>
            <w:r w:rsidR="00D72B3D">
              <w:rPr>
                <w:noProof/>
                <w:webHidden/>
              </w:rPr>
              <w:instrText xml:space="preserve"> PAGEREF _Toc148716398 \h </w:instrText>
            </w:r>
            <w:r w:rsidR="00D72B3D">
              <w:rPr>
                <w:noProof/>
                <w:webHidden/>
              </w:rPr>
            </w:r>
            <w:r w:rsidR="00D72B3D">
              <w:rPr>
                <w:noProof/>
                <w:webHidden/>
              </w:rPr>
              <w:fldChar w:fldCharType="separate"/>
            </w:r>
            <w:r w:rsidR="00D72B3D">
              <w:rPr>
                <w:noProof/>
                <w:webHidden/>
              </w:rPr>
              <w:t>27</w:t>
            </w:r>
            <w:r w:rsidR="00D72B3D">
              <w:rPr>
                <w:noProof/>
                <w:webHidden/>
              </w:rPr>
              <w:fldChar w:fldCharType="end"/>
            </w:r>
          </w:hyperlink>
        </w:p>
        <w:p w14:paraId="5AD36EF8" w14:textId="1E03C9DC" w:rsidR="00D72B3D" w:rsidRDefault="00B952EE">
          <w:pPr>
            <w:pStyle w:val="Spistreci2"/>
            <w:rPr>
              <w:rFonts w:eastAsiaTheme="minorEastAsia"/>
              <w:noProof/>
              <w:lang w:eastAsia="pl-PL"/>
            </w:rPr>
          </w:pPr>
          <w:hyperlink w:anchor="_Toc148716399" w:history="1">
            <w:r w:rsidR="00D72B3D" w:rsidRPr="00A56585">
              <w:rPr>
                <w:rStyle w:val="Hipercze"/>
                <w:rFonts w:cstheme="minorHAnsi"/>
                <w:b/>
                <w:noProof/>
              </w:rPr>
              <w:t>6.</w:t>
            </w:r>
            <w:r w:rsidR="00D72B3D">
              <w:rPr>
                <w:rFonts w:eastAsiaTheme="minorEastAsia"/>
                <w:noProof/>
                <w:lang w:eastAsia="pl-PL"/>
              </w:rPr>
              <w:tab/>
            </w:r>
            <w:r w:rsidR="00D72B3D" w:rsidRPr="00A56585">
              <w:rPr>
                <w:rStyle w:val="Hipercze"/>
                <w:rFonts w:cstheme="minorHAnsi"/>
                <w:b/>
                <w:noProof/>
              </w:rPr>
              <w:t>Wydatki kwalifikowalne modułu cyfryzacja</w:t>
            </w:r>
            <w:r w:rsidR="00D72B3D">
              <w:rPr>
                <w:noProof/>
                <w:webHidden/>
              </w:rPr>
              <w:tab/>
            </w:r>
            <w:r w:rsidR="00D72B3D">
              <w:rPr>
                <w:noProof/>
                <w:webHidden/>
              </w:rPr>
              <w:fldChar w:fldCharType="begin"/>
            </w:r>
            <w:r w:rsidR="00D72B3D">
              <w:rPr>
                <w:noProof/>
                <w:webHidden/>
              </w:rPr>
              <w:instrText xml:space="preserve"> PAGEREF _Toc148716399 \h </w:instrText>
            </w:r>
            <w:r w:rsidR="00D72B3D">
              <w:rPr>
                <w:noProof/>
                <w:webHidden/>
              </w:rPr>
            </w:r>
            <w:r w:rsidR="00D72B3D">
              <w:rPr>
                <w:noProof/>
                <w:webHidden/>
              </w:rPr>
              <w:fldChar w:fldCharType="separate"/>
            </w:r>
            <w:r w:rsidR="00D72B3D">
              <w:rPr>
                <w:noProof/>
                <w:webHidden/>
              </w:rPr>
              <w:t>28</w:t>
            </w:r>
            <w:r w:rsidR="00D72B3D">
              <w:rPr>
                <w:noProof/>
                <w:webHidden/>
              </w:rPr>
              <w:fldChar w:fldCharType="end"/>
            </w:r>
          </w:hyperlink>
        </w:p>
        <w:p w14:paraId="7C550E03" w14:textId="2224750B" w:rsidR="00D72B3D" w:rsidRDefault="00B952EE">
          <w:pPr>
            <w:pStyle w:val="Spistreci3"/>
            <w:rPr>
              <w:rFonts w:eastAsiaTheme="minorEastAsia" w:cstheme="minorBidi"/>
              <w:bCs w:val="0"/>
              <w:sz w:val="22"/>
              <w:szCs w:val="22"/>
              <w:lang w:eastAsia="pl-PL"/>
            </w:rPr>
          </w:pPr>
          <w:hyperlink w:anchor="_Toc148716400" w:history="1">
            <w:r w:rsidR="00D72B3D" w:rsidRPr="00A56585">
              <w:rPr>
                <w:rStyle w:val="Hipercze"/>
              </w:rPr>
              <w:t>6.1 Pomoc publiczna</w:t>
            </w:r>
            <w:r w:rsidR="00D72B3D">
              <w:rPr>
                <w:webHidden/>
              </w:rPr>
              <w:tab/>
            </w:r>
            <w:r w:rsidR="00D72B3D">
              <w:rPr>
                <w:webHidden/>
              </w:rPr>
              <w:fldChar w:fldCharType="begin"/>
            </w:r>
            <w:r w:rsidR="00D72B3D">
              <w:rPr>
                <w:webHidden/>
              </w:rPr>
              <w:instrText xml:space="preserve"> PAGEREF _Toc148716400 \h </w:instrText>
            </w:r>
            <w:r w:rsidR="00D72B3D">
              <w:rPr>
                <w:webHidden/>
              </w:rPr>
            </w:r>
            <w:r w:rsidR="00D72B3D">
              <w:rPr>
                <w:webHidden/>
              </w:rPr>
              <w:fldChar w:fldCharType="separate"/>
            </w:r>
            <w:r w:rsidR="00D72B3D">
              <w:rPr>
                <w:webHidden/>
              </w:rPr>
              <w:t>28</w:t>
            </w:r>
            <w:r w:rsidR="00D72B3D">
              <w:rPr>
                <w:webHidden/>
              </w:rPr>
              <w:fldChar w:fldCharType="end"/>
            </w:r>
          </w:hyperlink>
        </w:p>
        <w:p w14:paraId="660774D6" w14:textId="43F92FCA" w:rsidR="00D72B3D" w:rsidRDefault="00B952EE">
          <w:pPr>
            <w:pStyle w:val="Spistreci3"/>
            <w:rPr>
              <w:rFonts w:eastAsiaTheme="minorEastAsia" w:cstheme="minorBidi"/>
              <w:bCs w:val="0"/>
              <w:sz w:val="22"/>
              <w:szCs w:val="22"/>
              <w:lang w:eastAsia="pl-PL"/>
            </w:rPr>
          </w:pPr>
          <w:hyperlink w:anchor="_Toc148716401" w:history="1">
            <w:r w:rsidR="00D72B3D" w:rsidRPr="00A56585">
              <w:rPr>
                <w:rStyle w:val="Hipercze"/>
              </w:rPr>
              <w:t>6.2</w:t>
            </w:r>
            <w:r w:rsidR="00D72B3D">
              <w:rPr>
                <w:rFonts w:eastAsiaTheme="minorEastAsia" w:cstheme="minorBidi"/>
                <w:bCs w:val="0"/>
                <w:sz w:val="22"/>
                <w:szCs w:val="22"/>
                <w:lang w:eastAsia="pl-PL"/>
              </w:rPr>
              <w:tab/>
            </w:r>
            <w:r w:rsidR="00D72B3D" w:rsidRPr="00A56585">
              <w:rPr>
                <w:rStyle w:val="Hipercze"/>
              </w:rPr>
              <w:t>Limity wydatków kwalifikowalnych w module oraz limity dofinansowania</w:t>
            </w:r>
            <w:r w:rsidR="00D72B3D">
              <w:rPr>
                <w:webHidden/>
              </w:rPr>
              <w:tab/>
            </w:r>
            <w:r w:rsidR="00D72B3D">
              <w:rPr>
                <w:webHidden/>
              </w:rPr>
              <w:fldChar w:fldCharType="begin"/>
            </w:r>
            <w:r w:rsidR="00D72B3D">
              <w:rPr>
                <w:webHidden/>
              </w:rPr>
              <w:instrText xml:space="preserve"> PAGEREF _Toc148716401 \h </w:instrText>
            </w:r>
            <w:r w:rsidR="00D72B3D">
              <w:rPr>
                <w:webHidden/>
              </w:rPr>
            </w:r>
            <w:r w:rsidR="00D72B3D">
              <w:rPr>
                <w:webHidden/>
              </w:rPr>
              <w:fldChar w:fldCharType="separate"/>
            </w:r>
            <w:r w:rsidR="00D72B3D">
              <w:rPr>
                <w:webHidden/>
              </w:rPr>
              <w:t>28</w:t>
            </w:r>
            <w:r w:rsidR="00D72B3D">
              <w:rPr>
                <w:webHidden/>
              </w:rPr>
              <w:fldChar w:fldCharType="end"/>
            </w:r>
          </w:hyperlink>
        </w:p>
        <w:p w14:paraId="471A1760" w14:textId="5F1F9875" w:rsidR="00D72B3D" w:rsidRDefault="00B952EE">
          <w:pPr>
            <w:pStyle w:val="Spistreci3"/>
            <w:rPr>
              <w:rFonts w:eastAsiaTheme="minorEastAsia" w:cstheme="minorBidi"/>
              <w:bCs w:val="0"/>
              <w:sz w:val="22"/>
              <w:szCs w:val="22"/>
              <w:lang w:eastAsia="pl-PL"/>
            </w:rPr>
          </w:pPr>
          <w:hyperlink w:anchor="_Toc148716402" w:history="1">
            <w:r w:rsidR="00D72B3D" w:rsidRPr="00A56585">
              <w:rPr>
                <w:rStyle w:val="Hipercze"/>
              </w:rPr>
              <w:t>6.3 Kategorie wydatków kwalifikowalnych w ramach modułu Cyfryzacja</w:t>
            </w:r>
            <w:r w:rsidR="00D72B3D">
              <w:rPr>
                <w:webHidden/>
              </w:rPr>
              <w:tab/>
            </w:r>
            <w:r w:rsidR="00D72B3D">
              <w:rPr>
                <w:webHidden/>
              </w:rPr>
              <w:fldChar w:fldCharType="begin"/>
            </w:r>
            <w:r w:rsidR="00D72B3D">
              <w:rPr>
                <w:webHidden/>
              </w:rPr>
              <w:instrText xml:space="preserve"> PAGEREF _Toc148716402 \h </w:instrText>
            </w:r>
            <w:r w:rsidR="00D72B3D">
              <w:rPr>
                <w:webHidden/>
              </w:rPr>
            </w:r>
            <w:r w:rsidR="00D72B3D">
              <w:rPr>
                <w:webHidden/>
              </w:rPr>
              <w:fldChar w:fldCharType="separate"/>
            </w:r>
            <w:r w:rsidR="00D72B3D">
              <w:rPr>
                <w:webHidden/>
              </w:rPr>
              <w:t>28</w:t>
            </w:r>
            <w:r w:rsidR="00D72B3D">
              <w:rPr>
                <w:webHidden/>
              </w:rPr>
              <w:fldChar w:fldCharType="end"/>
            </w:r>
          </w:hyperlink>
        </w:p>
        <w:p w14:paraId="4EFF8B5A" w14:textId="02C0074D" w:rsidR="00D72B3D" w:rsidRDefault="00B952EE">
          <w:pPr>
            <w:pStyle w:val="Spistreci4"/>
            <w:tabs>
              <w:tab w:val="right" w:leader="dot" w:pos="9062"/>
            </w:tabs>
            <w:rPr>
              <w:noProof/>
            </w:rPr>
          </w:pPr>
          <w:hyperlink w:anchor="_Toc148716403" w:history="1">
            <w:r w:rsidR="00D72B3D" w:rsidRPr="00A56585">
              <w:rPr>
                <w:rStyle w:val="Hipercze"/>
                <w:rFonts w:cstheme="minorHAnsi"/>
                <w:noProof/>
              </w:rPr>
              <w:t>6.3.1 Grunty</w:t>
            </w:r>
            <w:r w:rsidR="00D72B3D">
              <w:rPr>
                <w:noProof/>
                <w:webHidden/>
              </w:rPr>
              <w:tab/>
            </w:r>
            <w:r w:rsidR="00D72B3D">
              <w:rPr>
                <w:noProof/>
                <w:webHidden/>
              </w:rPr>
              <w:fldChar w:fldCharType="begin"/>
            </w:r>
            <w:r w:rsidR="00D72B3D">
              <w:rPr>
                <w:noProof/>
                <w:webHidden/>
              </w:rPr>
              <w:instrText xml:space="preserve"> PAGEREF _Toc148716403 \h </w:instrText>
            </w:r>
            <w:r w:rsidR="00D72B3D">
              <w:rPr>
                <w:noProof/>
                <w:webHidden/>
              </w:rPr>
            </w:r>
            <w:r w:rsidR="00D72B3D">
              <w:rPr>
                <w:noProof/>
                <w:webHidden/>
              </w:rPr>
              <w:fldChar w:fldCharType="separate"/>
            </w:r>
            <w:r w:rsidR="00D72B3D">
              <w:rPr>
                <w:noProof/>
                <w:webHidden/>
              </w:rPr>
              <w:t>29</w:t>
            </w:r>
            <w:r w:rsidR="00D72B3D">
              <w:rPr>
                <w:noProof/>
                <w:webHidden/>
              </w:rPr>
              <w:fldChar w:fldCharType="end"/>
            </w:r>
          </w:hyperlink>
        </w:p>
        <w:p w14:paraId="3C91CE7E" w14:textId="5DF36DDD" w:rsidR="00D72B3D" w:rsidRDefault="00B952EE">
          <w:pPr>
            <w:pStyle w:val="Spistreci4"/>
            <w:tabs>
              <w:tab w:val="right" w:leader="dot" w:pos="9062"/>
            </w:tabs>
            <w:rPr>
              <w:noProof/>
            </w:rPr>
          </w:pPr>
          <w:hyperlink w:anchor="_Toc148716404" w:history="1">
            <w:r w:rsidR="00D72B3D" w:rsidRPr="00A56585">
              <w:rPr>
                <w:rStyle w:val="Hipercze"/>
                <w:rFonts w:cstheme="minorHAnsi"/>
                <w:noProof/>
              </w:rPr>
              <w:t>6.3.2 Nieruchomości zabudowane</w:t>
            </w:r>
            <w:r w:rsidR="00D72B3D">
              <w:rPr>
                <w:noProof/>
                <w:webHidden/>
              </w:rPr>
              <w:tab/>
            </w:r>
            <w:r w:rsidR="00D72B3D">
              <w:rPr>
                <w:noProof/>
                <w:webHidden/>
              </w:rPr>
              <w:fldChar w:fldCharType="begin"/>
            </w:r>
            <w:r w:rsidR="00D72B3D">
              <w:rPr>
                <w:noProof/>
                <w:webHidden/>
              </w:rPr>
              <w:instrText xml:space="preserve"> PAGEREF _Toc148716404 \h </w:instrText>
            </w:r>
            <w:r w:rsidR="00D72B3D">
              <w:rPr>
                <w:noProof/>
                <w:webHidden/>
              </w:rPr>
            </w:r>
            <w:r w:rsidR="00D72B3D">
              <w:rPr>
                <w:noProof/>
                <w:webHidden/>
              </w:rPr>
              <w:fldChar w:fldCharType="separate"/>
            </w:r>
            <w:r w:rsidR="00D72B3D">
              <w:rPr>
                <w:noProof/>
                <w:webHidden/>
              </w:rPr>
              <w:t>29</w:t>
            </w:r>
            <w:r w:rsidR="00D72B3D">
              <w:rPr>
                <w:noProof/>
                <w:webHidden/>
              </w:rPr>
              <w:fldChar w:fldCharType="end"/>
            </w:r>
          </w:hyperlink>
        </w:p>
        <w:p w14:paraId="40AB8699" w14:textId="737365C2" w:rsidR="00D72B3D" w:rsidRDefault="00B952EE">
          <w:pPr>
            <w:pStyle w:val="Spistreci4"/>
            <w:tabs>
              <w:tab w:val="right" w:leader="dot" w:pos="9062"/>
            </w:tabs>
            <w:rPr>
              <w:noProof/>
            </w:rPr>
          </w:pPr>
          <w:hyperlink w:anchor="_Toc148716405" w:history="1">
            <w:r w:rsidR="00D72B3D" w:rsidRPr="00A56585">
              <w:rPr>
                <w:rStyle w:val="Hipercze"/>
                <w:rFonts w:cstheme="minorHAnsi"/>
                <w:noProof/>
              </w:rPr>
              <w:t>6.3.3 Środki trwałe/dostawy</w:t>
            </w:r>
            <w:r w:rsidR="00D72B3D">
              <w:rPr>
                <w:noProof/>
                <w:webHidden/>
              </w:rPr>
              <w:tab/>
            </w:r>
            <w:r w:rsidR="00D72B3D">
              <w:rPr>
                <w:noProof/>
                <w:webHidden/>
              </w:rPr>
              <w:fldChar w:fldCharType="begin"/>
            </w:r>
            <w:r w:rsidR="00D72B3D">
              <w:rPr>
                <w:noProof/>
                <w:webHidden/>
              </w:rPr>
              <w:instrText xml:space="preserve"> PAGEREF _Toc148716405 \h </w:instrText>
            </w:r>
            <w:r w:rsidR="00D72B3D">
              <w:rPr>
                <w:noProof/>
                <w:webHidden/>
              </w:rPr>
            </w:r>
            <w:r w:rsidR="00D72B3D">
              <w:rPr>
                <w:noProof/>
                <w:webHidden/>
              </w:rPr>
              <w:fldChar w:fldCharType="separate"/>
            </w:r>
            <w:r w:rsidR="00D72B3D">
              <w:rPr>
                <w:noProof/>
                <w:webHidden/>
              </w:rPr>
              <w:t>30</w:t>
            </w:r>
            <w:r w:rsidR="00D72B3D">
              <w:rPr>
                <w:noProof/>
                <w:webHidden/>
              </w:rPr>
              <w:fldChar w:fldCharType="end"/>
            </w:r>
          </w:hyperlink>
        </w:p>
        <w:p w14:paraId="0F5778B9" w14:textId="63667D50" w:rsidR="00D72B3D" w:rsidRDefault="00B952EE">
          <w:pPr>
            <w:pStyle w:val="Spistreci4"/>
            <w:tabs>
              <w:tab w:val="right" w:leader="dot" w:pos="9062"/>
            </w:tabs>
            <w:rPr>
              <w:noProof/>
            </w:rPr>
          </w:pPr>
          <w:hyperlink w:anchor="_Toc148716406" w:history="1">
            <w:r w:rsidR="00D72B3D" w:rsidRPr="00A56585">
              <w:rPr>
                <w:rStyle w:val="Hipercze"/>
                <w:rFonts w:cstheme="minorHAnsi"/>
                <w:noProof/>
              </w:rPr>
              <w:t>6.3.4 Roboty budowlane</w:t>
            </w:r>
            <w:r w:rsidR="00D72B3D">
              <w:rPr>
                <w:noProof/>
                <w:webHidden/>
              </w:rPr>
              <w:tab/>
            </w:r>
            <w:r w:rsidR="00D72B3D">
              <w:rPr>
                <w:noProof/>
                <w:webHidden/>
              </w:rPr>
              <w:fldChar w:fldCharType="begin"/>
            </w:r>
            <w:r w:rsidR="00D72B3D">
              <w:rPr>
                <w:noProof/>
                <w:webHidden/>
              </w:rPr>
              <w:instrText xml:space="preserve"> PAGEREF _Toc148716406 \h </w:instrText>
            </w:r>
            <w:r w:rsidR="00D72B3D">
              <w:rPr>
                <w:noProof/>
                <w:webHidden/>
              </w:rPr>
            </w:r>
            <w:r w:rsidR="00D72B3D">
              <w:rPr>
                <w:noProof/>
                <w:webHidden/>
              </w:rPr>
              <w:fldChar w:fldCharType="separate"/>
            </w:r>
            <w:r w:rsidR="00D72B3D">
              <w:rPr>
                <w:noProof/>
                <w:webHidden/>
              </w:rPr>
              <w:t>30</w:t>
            </w:r>
            <w:r w:rsidR="00D72B3D">
              <w:rPr>
                <w:noProof/>
                <w:webHidden/>
              </w:rPr>
              <w:fldChar w:fldCharType="end"/>
            </w:r>
          </w:hyperlink>
        </w:p>
        <w:p w14:paraId="29BEFC38" w14:textId="2FE9D1A3" w:rsidR="00D72B3D" w:rsidRDefault="00B952EE">
          <w:pPr>
            <w:pStyle w:val="Spistreci4"/>
            <w:tabs>
              <w:tab w:val="right" w:leader="dot" w:pos="9062"/>
            </w:tabs>
            <w:rPr>
              <w:noProof/>
            </w:rPr>
          </w:pPr>
          <w:hyperlink w:anchor="_Toc148716407" w:history="1">
            <w:r w:rsidR="00D72B3D" w:rsidRPr="00A56585">
              <w:rPr>
                <w:rStyle w:val="Hipercze"/>
                <w:rFonts w:cstheme="minorHAnsi"/>
                <w:noProof/>
              </w:rPr>
              <w:t>6.3.5 Wartości niematerialne i prawne</w:t>
            </w:r>
            <w:r w:rsidR="00D72B3D">
              <w:rPr>
                <w:noProof/>
                <w:webHidden/>
              </w:rPr>
              <w:tab/>
            </w:r>
            <w:r w:rsidR="00D72B3D">
              <w:rPr>
                <w:noProof/>
                <w:webHidden/>
              </w:rPr>
              <w:fldChar w:fldCharType="begin"/>
            </w:r>
            <w:r w:rsidR="00D72B3D">
              <w:rPr>
                <w:noProof/>
                <w:webHidden/>
              </w:rPr>
              <w:instrText xml:space="preserve"> PAGEREF _Toc148716407 \h </w:instrText>
            </w:r>
            <w:r w:rsidR="00D72B3D">
              <w:rPr>
                <w:noProof/>
                <w:webHidden/>
              </w:rPr>
            </w:r>
            <w:r w:rsidR="00D72B3D">
              <w:rPr>
                <w:noProof/>
                <w:webHidden/>
              </w:rPr>
              <w:fldChar w:fldCharType="separate"/>
            </w:r>
            <w:r w:rsidR="00D72B3D">
              <w:rPr>
                <w:noProof/>
                <w:webHidden/>
              </w:rPr>
              <w:t>30</w:t>
            </w:r>
            <w:r w:rsidR="00D72B3D">
              <w:rPr>
                <w:noProof/>
                <w:webHidden/>
              </w:rPr>
              <w:fldChar w:fldCharType="end"/>
            </w:r>
          </w:hyperlink>
        </w:p>
        <w:p w14:paraId="1EDEADDD" w14:textId="72A68C8B" w:rsidR="00D72B3D" w:rsidRDefault="00B952EE">
          <w:pPr>
            <w:pStyle w:val="Spistreci4"/>
            <w:tabs>
              <w:tab w:val="right" w:leader="dot" w:pos="9062"/>
            </w:tabs>
            <w:rPr>
              <w:noProof/>
            </w:rPr>
          </w:pPr>
          <w:hyperlink w:anchor="_Toc148716408" w:history="1">
            <w:r w:rsidR="00D72B3D" w:rsidRPr="00A56585">
              <w:rPr>
                <w:rStyle w:val="Hipercze"/>
                <w:rFonts w:cstheme="minorHAnsi"/>
                <w:noProof/>
              </w:rPr>
              <w:t>6.3.6 Usługi zewnętrzne (wsparcie innowacji)</w:t>
            </w:r>
            <w:r w:rsidR="00D72B3D">
              <w:rPr>
                <w:noProof/>
                <w:webHidden/>
              </w:rPr>
              <w:tab/>
            </w:r>
            <w:r w:rsidR="00D72B3D">
              <w:rPr>
                <w:noProof/>
                <w:webHidden/>
              </w:rPr>
              <w:fldChar w:fldCharType="begin"/>
            </w:r>
            <w:r w:rsidR="00D72B3D">
              <w:rPr>
                <w:noProof/>
                <w:webHidden/>
              </w:rPr>
              <w:instrText xml:space="preserve"> PAGEREF _Toc148716408 \h </w:instrText>
            </w:r>
            <w:r w:rsidR="00D72B3D">
              <w:rPr>
                <w:noProof/>
                <w:webHidden/>
              </w:rPr>
            </w:r>
            <w:r w:rsidR="00D72B3D">
              <w:rPr>
                <w:noProof/>
                <w:webHidden/>
              </w:rPr>
              <w:fldChar w:fldCharType="separate"/>
            </w:r>
            <w:r w:rsidR="00D72B3D">
              <w:rPr>
                <w:noProof/>
                <w:webHidden/>
              </w:rPr>
              <w:t>31</w:t>
            </w:r>
            <w:r w:rsidR="00D72B3D">
              <w:rPr>
                <w:noProof/>
                <w:webHidden/>
              </w:rPr>
              <w:fldChar w:fldCharType="end"/>
            </w:r>
          </w:hyperlink>
        </w:p>
        <w:p w14:paraId="5FC0AFA1" w14:textId="2E763247" w:rsidR="00D72B3D" w:rsidRDefault="00B952EE">
          <w:pPr>
            <w:pStyle w:val="Spistreci4"/>
            <w:tabs>
              <w:tab w:val="right" w:leader="dot" w:pos="9062"/>
            </w:tabs>
            <w:rPr>
              <w:noProof/>
            </w:rPr>
          </w:pPr>
          <w:hyperlink w:anchor="_Toc148716409" w:history="1">
            <w:r w:rsidR="00D72B3D" w:rsidRPr="00A56585">
              <w:rPr>
                <w:rStyle w:val="Hipercze"/>
                <w:rFonts w:cstheme="minorHAnsi"/>
                <w:noProof/>
              </w:rPr>
              <w:t>6.3.7 Usługi zewnętrzne (doradztwo krajowe)</w:t>
            </w:r>
            <w:r w:rsidR="00D72B3D">
              <w:rPr>
                <w:noProof/>
                <w:webHidden/>
              </w:rPr>
              <w:tab/>
            </w:r>
            <w:r w:rsidR="00D72B3D">
              <w:rPr>
                <w:noProof/>
                <w:webHidden/>
              </w:rPr>
              <w:fldChar w:fldCharType="begin"/>
            </w:r>
            <w:r w:rsidR="00D72B3D">
              <w:rPr>
                <w:noProof/>
                <w:webHidden/>
              </w:rPr>
              <w:instrText xml:space="preserve"> PAGEREF _Toc148716409 \h </w:instrText>
            </w:r>
            <w:r w:rsidR="00D72B3D">
              <w:rPr>
                <w:noProof/>
                <w:webHidden/>
              </w:rPr>
            </w:r>
            <w:r w:rsidR="00D72B3D">
              <w:rPr>
                <w:noProof/>
                <w:webHidden/>
              </w:rPr>
              <w:fldChar w:fldCharType="separate"/>
            </w:r>
            <w:r w:rsidR="00D72B3D">
              <w:rPr>
                <w:noProof/>
                <w:webHidden/>
              </w:rPr>
              <w:t>31</w:t>
            </w:r>
            <w:r w:rsidR="00D72B3D">
              <w:rPr>
                <w:noProof/>
                <w:webHidden/>
              </w:rPr>
              <w:fldChar w:fldCharType="end"/>
            </w:r>
          </w:hyperlink>
        </w:p>
        <w:p w14:paraId="7E1EA41A" w14:textId="0512341E" w:rsidR="00D72B3D" w:rsidRDefault="00B952EE">
          <w:pPr>
            <w:pStyle w:val="Spistreci4"/>
            <w:tabs>
              <w:tab w:val="right" w:leader="dot" w:pos="9062"/>
            </w:tabs>
            <w:rPr>
              <w:noProof/>
            </w:rPr>
          </w:pPr>
          <w:hyperlink w:anchor="_Toc148716410" w:history="1">
            <w:r w:rsidR="00D72B3D" w:rsidRPr="00A56585">
              <w:rPr>
                <w:rStyle w:val="Hipercze"/>
                <w:rFonts w:cstheme="minorHAnsi"/>
                <w:noProof/>
              </w:rPr>
              <w:t>6.3.8 Usługi zewnętrzne (doradztwo zagraniczne)</w:t>
            </w:r>
            <w:r w:rsidR="00D72B3D">
              <w:rPr>
                <w:noProof/>
                <w:webHidden/>
              </w:rPr>
              <w:tab/>
            </w:r>
            <w:r w:rsidR="00D72B3D">
              <w:rPr>
                <w:noProof/>
                <w:webHidden/>
              </w:rPr>
              <w:fldChar w:fldCharType="begin"/>
            </w:r>
            <w:r w:rsidR="00D72B3D">
              <w:rPr>
                <w:noProof/>
                <w:webHidden/>
              </w:rPr>
              <w:instrText xml:space="preserve"> PAGEREF _Toc148716410 \h </w:instrText>
            </w:r>
            <w:r w:rsidR="00D72B3D">
              <w:rPr>
                <w:noProof/>
                <w:webHidden/>
              </w:rPr>
            </w:r>
            <w:r w:rsidR="00D72B3D">
              <w:rPr>
                <w:noProof/>
                <w:webHidden/>
              </w:rPr>
              <w:fldChar w:fldCharType="separate"/>
            </w:r>
            <w:r w:rsidR="00D72B3D">
              <w:rPr>
                <w:noProof/>
                <w:webHidden/>
              </w:rPr>
              <w:t>31</w:t>
            </w:r>
            <w:r w:rsidR="00D72B3D">
              <w:rPr>
                <w:noProof/>
                <w:webHidden/>
              </w:rPr>
              <w:fldChar w:fldCharType="end"/>
            </w:r>
          </w:hyperlink>
        </w:p>
        <w:p w14:paraId="788A79DF" w14:textId="29A12928" w:rsidR="00D72B3D" w:rsidRDefault="00B952EE">
          <w:pPr>
            <w:pStyle w:val="Spistreci2"/>
            <w:rPr>
              <w:rFonts w:eastAsiaTheme="minorEastAsia"/>
              <w:noProof/>
              <w:lang w:eastAsia="pl-PL"/>
            </w:rPr>
          </w:pPr>
          <w:hyperlink w:anchor="_Toc148716411" w:history="1">
            <w:r w:rsidR="00D72B3D" w:rsidRPr="00A56585">
              <w:rPr>
                <w:rStyle w:val="Hipercze"/>
                <w:rFonts w:cstheme="minorHAnsi"/>
                <w:b/>
                <w:noProof/>
              </w:rPr>
              <w:t>7.</w:t>
            </w:r>
            <w:r w:rsidR="00D72B3D">
              <w:rPr>
                <w:rFonts w:eastAsiaTheme="minorEastAsia"/>
                <w:noProof/>
                <w:lang w:eastAsia="pl-PL"/>
              </w:rPr>
              <w:tab/>
            </w:r>
            <w:r w:rsidR="00D72B3D" w:rsidRPr="00A56585">
              <w:rPr>
                <w:rStyle w:val="Hipercze"/>
                <w:rFonts w:cstheme="minorHAnsi"/>
                <w:b/>
                <w:noProof/>
              </w:rPr>
              <w:t>Wydatki kwalifikowalne modułu zazielenienie przedsiębiorstw</w:t>
            </w:r>
            <w:r w:rsidR="00D72B3D">
              <w:rPr>
                <w:noProof/>
                <w:webHidden/>
              </w:rPr>
              <w:tab/>
            </w:r>
            <w:r w:rsidR="00D72B3D">
              <w:rPr>
                <w:noProof/>
                <w:webHidden/>
              </w:rPr>
              <w:fldChar w:fldCharType="begin"/>
            </w:r>
            <w:r w:rsidR="00D72B3D">
              <w:rPr>
                <w:noProof/>
                <w:webHidden/>
              </w:rPr>
              <w:instrText xml:space="preserve"> PAGEREF _Toc148716411 \h </w:instrText>
            </w:r>
            <w:r w:rsidR="00D72B3D">
              <w:rPr>
                <w:noProof/>
                <w:webHidden/>
              </w:rPr>
            </w:r>
            <w:r w:rsidR="00D72B3D">
              <w:rPr>
                <w:noProof/>
                <w:webHidden/>
              </w:rPr>
              <w:fldChar w:fldCharType="separate"/>
            </w:r>
            <w:r w:rsidR="00D72B3D">
              <w:rPr>
                <w:noProof/>
                <w:webHidden/>
              </w:rPr>
              <w:t>33</w:t>
            </w:r>
            <w:r w:rsidR="00D72B3D">
              <w:rPr>
                <w:noProof/>
                <w:webHidden/>
              </w:rPr>
              <w:fldChar w:fldCharType="end"/>
            </w:r>
          </w:hyperlink>
        </w:p>
        <w:p w14:paraId="737246BC" w14:textId="1F5DA325" w:rsidR="00D72B3D" w:rsidRDefault="00B952EE">
          <w:pPr>
            <w:pStyle w:val="Spistreci3"/>
            <w:rPr>
              <w:rFonts w:eastAsiaTheme="minorEastAsia" w:cstheme="minorBidi"/>
              <w:bCs w:val="0"/>
              <w:sz w:val="22"/>
              <w:szCs w:val="22"/>
              <w:lang w:eastAsia="pl-PL"/>
            </w:rPr>
          </w:pPr>
          <w:hyperlink w:anchor="_Toc148716412" w:history="1">
            <w:r w:rsidR="00D72B3D" w:rsidRPr="00A56585">
              <w:rPr>
                <w:rStyle w:val="Hipercze"/>
              </w:rPr>
              <w:t>7.1 Pomoc publiczna</w:t>
            </w:r>
            <w:r w:rsidR="00D72B3D">
              <w:rPr>
                <w:webHidden/>
              </w:rPr>
              <w:tab/>
            </w:r>
            <w:r w:rsidR="00D72B3D">
              <w:rPr>
                <w:webHidden/>
              </w:rPr>
              <w:fldChar w:fldCharType="begin"/>
            </w:r>
            <w:r w:rsidR="00D72B3D">
              <w:rPr>
                <w:webHidden/>
              </w:rPr>
              <w:instrText xml:space="preserve"> PAGEREF _Toc148716412 \h </w:instrText>
            </w:r>
            <w:r w:rsidR="00D72B3D">
              <w:rPr>
                <w:webHidden/>
              </w:rPr>
            </w:r>
            <w:r w:rsidR="00D72B3D">
              <w:rPr>
                <w:webHidden/>
              </w:rPr>
              <w:fldChar w:fldCharType="separate"/>
            </w:r>
            <w:r w:rsidR="00D72B3D">
              <w:rPr>
                <w:webHidden/>
              </w:rPr>
              <w:t>33</w:t>
            </w:r>
            <w:r w:rsidR="00D72B3D">
              <w:rPr>
                <w:webHidden/>
              </w:rPr>
              <w:fldChar w:fldCharType="end"/>
            </w:r>
          </w:hyperlink>
        </w:p>
        <w:p w14:paraId="02109BB4" w14:textId="2B932CC5" w:rsidR="00D72B3D" w:rsidRDefault="00B952EE">
          <w:pPr>
            <w:pStyle w:val="Spistreci3"/>
            <w:rPr>
              <w:rFonts w:eastAsiaTheme="minorEastAsia" w:cstheme="minorBidi"/>
              <w:bCs w:val="0"/>
              <w:sz w:val="22"/>
              <w:szCs w:val="22"/>
              <w:lang w:eastAsia="pl-PL"/>
            </w:rPr>
          </w:pPr>
          <w:hyperlink w:anchor="_Toc148716413" w:history="1">
            <w:r w:rsidR="00D72B3D" w:rsidRPr="00A56585">
              <w:rPr>
                <w:rStyle w:val="Hipercze"/>
              </w:rPr>
              <w:t>7.2 Limity wydatków kwalifikowalnych w module oraz limity dofinansowania</w:t>
            </w:r>
            <w:r w:rsidR="00D72B3D">
              <w:rPr>
                <w:webHidden/>
              </w:rPr>
              <w:tab/>
            </w:r>
            <w:r w:rsidR="00D72B3D">
              <w:rPr>
                <w:webHidden/>
              </w:rPr>
              <w:fldChar w:fldCharType="begin"/>
            </w:r>
            <w:r w:rsidR="00D72B3D">
              <w:rPr>
                <w:webHidden/>
              </w:rPr>
              <w:instrText xml:space="preserve"> PAGEREF _Toc148716413 \h </w:instrText>
            </w:r>
            <w:r w:rsidR="00D72B3D">
              <w:rPr>
                <w:webHidden/>
              </w:rPr>
            </w:r>
            <w:r w:rsidR="00D72B3D">
              <w:rPr>
                <w:webHidden/>
              </w:rPr>
              <w:fldChar w:fldCharType="separate"/>
            </w:r>
            <w:r w:rsidR="00D72B3D">
              <w:rPr>
                <w:webHidden/>
              </w:rPr>
              <w:t>33</w:t>
            </w:r>
            <w:r w:rsidR="00D72B3D">
              <w:rPr>
                <w:webHidden/>
              </w:rPr>
              <w:fldChar w:fldCharType="end"/>
            </w:r>
          </w:hyperlink>
        </w:p>
        <w:p w14:paraId="5231F02D" w14:textId="5108FB17" w:rsidR="00D72B3D" w:rsidRDefault="00B952EE">
          <w:pPr>
            <w:pStyle w:val="Spistreci3"/>
            <w:rPr>
              <w:rFonts w:eastAsiaTheme="minorEastAsia" w:cstheme="minorBidi"/>
              <w:bCs w:val="0"/>
              <w:sz w:val="22"/>
              <w:szCs w:val="22"/>
              <w:lang w:eastAsia="pl-PL"/>
            </w:rPr>
          </w:pPr>
          <w:hyperlink w:anchor="_Toc148716414" w:history="1">
            <w:r w:rsidR="00D72B3D" w:rsidRPr="00A56585">
              <w:rPr>
                <w:rStyle w:val="Hipercze"/>
              </w:rPr>
              <w:t>7.3 Kategorie wydatków kwalifikowalnych w ramach modułu zazielenienie</w:t>
            </w:r>
            <w:r w:rsidR="00D72B3D">
              <w:rPr>
                <w:webHidden/>
              </w:rPr>
              <w:tab/>
            </w:r>
            <w:r w:rsidR="00D72B3D">
              <w:rPr>
                <w:webHidden/>
              </w:rPr>
              <w:fldChar w:fldCharType="begin"/>
            </w:r>
            <w:r w:rsidR="00D72B3D">
              <w:rPr>
                <w:webHidden/>
              </w:rPr>
              <w:instrText xml:space="preserve"> PAGEREF _Toc148716414 \h </w:instrText>
            </w:r>
            <w:r w:rsidR="00D72B3D">
              <w:rPr>
                <w:webHidden/>
              </w:rPr>
            </w:r>
            <w:r w:rsidR="00D72B3D">
              <w:rPr>
                <w:webHidden/>
              </w:rPr>
              <w:fldChar w:fldCharType="separate"/>
            </w:r>
            <w:r w:rsidR="00D72B3D">
              <w:rPr>
                <w:webHidden/>
              </w:rPr>
              <w:t>36</w:t>
            </w:r>
            <w:r w:rsidR="00D72B3D">
              <w:rPr>
                <w:webHidden/>
              </w:rPr>
              <w:fldChar w:fldCharType="end"/>
            </w:r>
          </w:hyperlink>
        </w:p>
        <w:p w14:paraId="60D7D97F" w14:textId="7F867EE4" w:rsidR="00D72B3D" w:rsidRDefault="00B952EE">
          <w:pPr>
            <w:pStyle w:val="Spistreci4"/>
            <w:tabs>
              <w:tab w:val="right" w:leader="dot" w:pos="9062"/>
            </w:tabs>
            <w:rPr>
              <w:noProof/>
            </w:rPr>
          </w:pPr>
          <w:hyperlink w:anchor="_Toc148716415" w:history="1">
            <w:r w:rsidR="00D72B3D" w:rsidRPr="00A56585">
              <w:rPr>
                <w:rStyle w:val="Hipercze"/>
                <w:rFonts w:cstheme="minorHAnsi"/>
                <w:noProof/>
              </w:rPr>
              <w:t>7.3.1 Grunty</w:t>
            </w:r>
            <w:r w:rsidR="00D72B3D">
              <w:rPr>
                <w:noProof/>
                <w:webHidden/>
              </w:rPr>
              <w:tab/>
            </w:r>
            <w:r w:rsidR="00D72B3D">
              <w:rPr>
                <w:noProof/>
                <w:webHidden/>
              </w:rPr>
              <w:fldChar w:fldCharType="begin"/>
            </w:r>
            <w:r w:rsidR="00D72B3D">
              <w:rPr>
                <w:noProof/>
                <w:webHidden/>
              </w:rPr>
              <w:instrText xml:space="preserve"> PAGEREF _Toc148716415 \h </w:instrText>
            </w:r>
            <w:r w:rsidR="00D72B3D">
              <w:rPr>
                <w:noProof/>
                <w:webHidden/>
              </w:rPr>
            </w:r>
            <w:r w:rsidR="00D72B3D">
              <w:rPr>
                <w:noProof/>
                <w:webHidden/>
              </w:rPr>
              <w:fldChar w:fldCharType="separate"/>
            </w:r>
            <w:r w:rsidR="00D72B3D">
              <w:rPr>
                <w:noProof/>
                <w:webHidden/>
              </w:rPr>
              <w:t>36</w:t>
            </w:r>
            <w:r w:rsidR="00D72B3D">
              <w:rPr>
                <w:noProof/>
                <w:webHidden/>
              </w:rPr>
              <w:fldChar w:fldCharType="end"/>
            </w:r>
          </w:hyperlink>
        </w:p>
        <w:p w14:paraId="53BFC43D" w14:textId="02CADDF1" w:rsidR="00D72B3D" w:rsidRDefault="00B952EE">
          <w:pPr>
            <w:pStyle w:val="Spistreci4"/>
            <w:tabs>
              <w:tab w:val="right" w:leader="dot" w:pos="9062"/>
            </w:tabs>
            <w:rPr>
              <w:noProof/>
            </w:rPr>
          </w:pPr>
          <w:hyperlink w:anchor="_Toc148716416" w:history="1">
            <w:r w:rsidR="00D72B3D" w:rsidRPr="00A56585">
              <w:rPr>
                <w:rStyle w:val="Hipercze"/>
                <w:rFonts w:cstheme="minorHAnsi"/>
                <w:noProof/>
              </w:rPr>
              <w:t>7.3.2. Nieruchomości zabudowane</w:t>
            </w:r>
            <w:r w:rsidR="00D72B3D">
              <w:rPr>
                <w:noProof/>
                <w:webHidden/>
              </w:rPr>
              <w:tab/>
            </w:r>
            <w:r w:rsidR="00D72B3D">
              <w:rPr>
                <w:noProof/>
                <w:webHidden/>
              </w:rPr>
              <w:fldChar w:fldCharType="begin"/>
            </w:r>
            <w:r w:rsidR="00D72B3D">
              <w:rPr>
                <w:noProof/>
                <w:webHidden/>
              </w:rPr>
              <w:instrText xml:space="preserve"> PAGEREF _Toc148716416 \h </w:instrText>
            </w:r>
            <w:r w:rsidR="00D72B3D">
              <w:rPr>
                <w:noProof/>
                <w:webHidden/>
              </w:rPr>
            </w:r>
            <w:r w:rsidR="00D72B3D">
              <w:rPr>
                <w:noProof/>
                <w:webHidden/>
              </w:rPr>
              <w:fldChar w:fldCharType="separate"/>
            </w:r>
            <w:r w:rsidR="00D72B3D">
              <w:rPr>
                <w:noProof/>
                <w:webHidden/>
              </w:rPr>
              <w:t>37</w:t>
            </w:r>
            <w:r w:rsidR="00D72B3D">
              <w:rPr>
                <w:noProof/>
                <w:webHidden/>
              </w:rPr>
              <w:fldChar w:fldCharType="end"/>
            </w:r>
          </w:hyperlink>
        </w:p>
        <w:p w14:paraId="7ED82F99" w14:textId="3CB5DAB7" w:rsidR="00D72B3D" w:rsidRDefault="00B952EE">
          <w:pPr>
            <w:pStyle w:val="Spistreci4"/>
            <w:tabs>
              <w:tab w:val="right" w:leader="dot" w:pos="9062"/>
            </w:tabs>
            <w:rPr>
              <w:noProof/>
            </w:rPr>
          </w:pPr>
          <w:hyperlink w:anchor="_Toc148716417" w:history="1">
            <w:r w:rsidR="00D72B3D" w:rsidRPr="00A56585">
              <w:rPr>
                <w:rStyle w:val="Hipercze"/>
                <w:rFonts w:cstheme="minorHAnsi"/>
                <w:noProof/>
              </w:rPr>
              <w:t>7.3.3 Środki trwałe/dostawy</w:t>
            </w:r>
            <w:r w:rsidR="00D72B3D">
              <w:rPr>
                <w:noProof/>
                <w:webHidden/>
              </w:rPr>
              <w:tab/>
            </w:r>
            <w:r w:rsidR="00D72B3D">
              <w:rPr>
                <w:noProof/>
                <w:webHidden/>
              </w:rPr>
              <w:fldChar w:fldCharType="begin"/>
            </w:r>
            <w:r w:rsidR="00D72B3D">
              <w:rPr>
                <w:noProof/>
                <w:webHidden/>
              </w:rPr>
              <w:instrText xml:space="preserve"> PAGEREF _Toc148716417 \h </w:instrText>
            </w:r>
            <w:r w:rsidR="00D72B3D">
              <w:rPr>
                <w:noProof/>
                <w:webHidden/>
              </w:rPr>
            </w:r>
            <w:r w:rsidR="00D72B3D">
              <w:rPr>
                <w:noProof/>
                <w:webHidden/>
              </w:rPr>
              <w:fldChar w:fldCharType="separate"/>
            </w:r>
            <w:r w:rsidR="00D72B3D">
              <w:rPr>
                <w:noProof/>
                <w:webHidden/>
              </w:rPr>
              <w:t>38</w:t>
            </w:r>
            <w:r w:rsidR="00D72B3D">
              <w:rPr>
                <w:noProof/>
                <w:webHidden/>
              </w:rPr>
              <w:fldChar w:fldCharType="end"/>
            </w:r>
          </w:hyperlink>
        </w:p>
        <w:p w14:paraId="46A6FFCF" w14:textId="68DF46D4" w:rsidR="00D72B3D" w:rsidRDefault="00B952EE">
          <w:pPr>
            <w:pStyle w:val="Spistreci4"/>
            <w:tabs>
              <w:tab w:val="right" w:leader="dot" w:pos="9062"/>
            </w:tabs>
            <w:rPr>
              <w:noProof/>
            </w:rPr>
          </w:pPr>
          <w:hyperlink w:anchor="_Toc148716418" w:history="1">
            <w:r w:rsidR="00D72B3D" w:rsidRPr="00A56585">
              <w:rPr>
                <w:rStyle w:val="Hipercze"/>
                <w:rFonts w:cstheme="minorHAnsi"/>
                <w:noProof/>
              </w:rPr>
              <w:t>7.3.4 Roboty budowlane</w:t>
            </w:r>
            <w:r w:rsidR="00D72B3D">
              <w:rPr>
                <w:noProof/>
                <w:webHidden/>
              </w:rPr>
              <w:tab/>
            </w:r>
            <w:r w:rsidR="00D72B3D">
              <w:rPr>
                <w:noProof/>
                <w:webHidden/>
              </w:rPr>
              <w:fldChar w:fldCharType="begin"/>
            </w:r>
            <w:r w:rsidR="00D72B3D">
              <w:rPr>
                <w:noProof/>
                <w:webHidden/>
              </w:rPr>
              <w:instrText xml:space="preserve"> PAGEREF _Toc148716418 \h </w:instrText>
            </w:r>
            <w:r w:rsidR="00D72B3D">
              <w:rPr>
                <w:noProof/>
                <w:webHidden/>
              </w:rPr>
            </w:r>
            <w:r w:rsidR="00D72B3D">
              <w:rPr>
                <w:noProof/>
                <w:webHidden/>
              </w:rPr>
              <w:fldChar w:fldCharType="separate"/>
            </w:r>
            <w:r w:rsidR="00D72B3D">
              <w:rPr>
                <w:noProof/>
                <w:webHidden/>
              </w:rPr>
              <w:t>38</w:t>
            </w:r>
            <w:r w:rsidR="00D72B3D">
              <w:rPr>
                <w:noProof/>
                <w:webHidden/>
              </w:rPr>
              <w:fldChar w:fldCharType="end"/>
            </w:r>
          </w:hyperlink>
        </w:p>
        <w:p w14:paraId="0FB09287" w14:textId="1CB94D83" w:rsidR="00D72B3D" w:rsidRDefault="00B952EE">
          <w:pPr>
            <w:pStyle w:val="Spistreci4"/>
            <w:tabs>
              <w:tab w:val="right" w:leader="dot" w:pos="9062"/>
            </w:tabs>
            <w:rPr>
              <w:noProof/>
            </w:rPr>
          </w:pPr>
          <w:hyperlink w:anchor="_Toc148716419" w:history="1">
            <w:r w:rsidR="00D72B3D" w:rsidRPr="00A56585">
              <w:rPr>
                <w:rStyle w:val="Hipercze"/>
                <w:rFonts w:cstheme="minorHAnsi"/>
                <w:noProof/>
              </w:rPr>
              <w:t>7.3.5 Wartości niematerialne i prawne</w:t>
            </w:r>
            <w:r w:rsidR="00D72B3D">
              <w:rPr>
                <w:noProof/>
                <w:webHidden/>
              </w:rPr>
              <w:tab/>
            </w:r>
            <w:r w:rsidR="00D72B3D">
              <w:rPr>
                <w:noProof/>
                <w:webHidden/>
              </w:rPr>
              <w:fldChar w:fldCharType="begin"/>
            </w:r>
            <w:r w:rsidR="00D72B3D">
              <w:rPr>
                <w:noProof/>
                <w:webHidden/>
              </w:rPr>
              <w:instrText xml:space="preserve"> PAGEREF _Toc148716419 \h </w:instrText>
            </w:r>
            <w:r w:rsidR="00D72B3D">
              <w:rPr>
                <w:noProof/>
                <w:webHidden/>
              </w:rPr>
            </w:r>
            <w:r w:rsidR="00D72B3D">
              <w:rPr>
                <w:noProof/>
                <w:webHidden/>
              </w:rPr>
              <w:fldChar w:fldCharType="separate"/>
            </w:r>
            <w:r w:rsidR="00D72B3D">
              <w:rPr>
                <w:noProof/>
                <w:webHidden/>
              </w:rPr>
              <w:t>38</w:t>
            </w:r>
            <w:r w:rsidR="00D72B3D">
              <w:rPr>
                <w:noProof/>
                <w:webHidden/>
              </w:rPr>
              <w:fldChar w:fldCharType="end"/>
            </w:r>
          </w:hyperlink>
        </w:p>
        <w:p w14:paraId="03F1EEDB" w14:textId="4FF9D72A" w:rsidR="00D72B3D" w:rsidRDefault="00B952EE">
          <w:pPr>
            <w:pStyle w:val="Spistreci4"/>
            <w:tabs>
              <w:tab w:val="right" w:leader="dot" w:pos="9062"/>
            </w:tabs>
            <w:rPr>
              <w:noProof/>
            </w:rPr>
          </w:pPr>
          <w:hyperlink w:anchor="_Toc148716420" w:history="1">
            <w:r w:rsidR="00D72B3D" w:rsidRPr="00A56585">
              <w:rPr>
                <w:rStyle w:val="Hipercze"/>
                <w:rFonts w:cstheme="minorHAnsi"/>
                <w:noProof/>
              </w:rPr>
              <w:t>7.3.6 Usługi zewnętrzne (doradztwo)</w:t>
            </w:r>
            <w:r w:rsidR="00D72B3D">
              <w:rPr>
                <w:noProof/>
                <w:webHidden/>
              </w:rPr>
              <w:tab/>
            </w:r>
            <w:r w:rsidR="00D72B3D">
              <w:rPr>
                <w:noProof/>
                <w:webHidden/>
              </w:rPr>
              <w:fldChar w:fldCharType="begin"/>
            </w:r>
            <w:r w:rsidR="00D72B3D">
              <w:rPr>
                <w:noProof/>
                <w:webHidden/>
              </w:rPr>
              <w:instrText xml:space="preserve"> PAGEREF _Toc148716420 \h </w:instrText>
            </w:r>
            <w:r w:rsidR="00D72B3D">
              <w:rPr>
                <w:noProof/>
                <w:webHidden/>
              </w:rPr>
            </w:r>
            <w:r w:rsidR="00D72B3D">
              <w:rPr>
                <w:noProof/>
                <w:webHidden/>
              </w:rPr>
              <w:fldChar w:fldCharType="separate"/>
            </w:r>
            <w:r w:rsidR="00D72B3D">
              <w:rPr>
                <w:noProof/>
                <w:webHidden/>
              </w:rPr>
              <w:t>38</w:t>
            </w:r>
            <w:r w:rsidR="00D72B3D">
              <w:rPr>
                <w:noProof/>
                <w:webHidden/>
              </w:rPr>
              <w:fldChar w:fldCharType="end"/>
            </w:r>
          </w:hyperlink>
        </w:p>
        <w:p w14:paraId="736508AB" w14:textId="77DF40AF" w:rsidR="00D72B3D" w:rsidRDefault="00B952EE">
          <w:pPr>
            <w:pStyle w:val="Spistreci4"/>
            <w:tabs>
              <w:tab w:val="right" w:leader="dot" w:pos="9062"/>
            </w:tabs>
            <w:rPr>
              <w:noProof/>
            </w:rPr>
          </w:pPr>
          <w:hyperlink w:anchor="_Toc148716421" w:history="1">
            <w:r w:rsidR="00D72B3D" w:rsidRPr="00A56585">
              <w:rPr>
                <w:rStyle w:val="Hipercze"/>
                <w:rFonts w:cstheme="minorHAnsi"/>
                <w:noProof/>
              </w:rPr>
              <w:t>7.3.7 Usługi zewnętrzne (wsparcie innowacji)</w:t>
            </w:r>
            <w:r w:rsidR="00D72B3D">
              <w:rPr>
                <w:noProof/>
                <w:webHidden/>
              </w:rPr>
              <w:tab/>
            </w:r>
            <w:r w:rsidR="00D72B3D">
              <w:rPr>
                <w:noProof/>
                <w:webHidden/>
              </w:rPr>
              <w:fldChar w:fldCharType="begin"/>
            </w:r>
            <w:r w:rsidR="00D72B3D">
              <w:rPr>
                <w:noProof/>
                <w:webHidden/>
              </w:rPr>
              <w:instrText xml:space="preserve"> PAGEREF _Toc148716421 \h </w:instrText>
            </w:r>
            <w:r w:rsidR="00D72B3D">
              <w:rPr>
                <w:noProof/>
                <w:webHidden/>
              </w:rPr>
            </w:r>
            <w:r w:rsidR="00D72B3D">
              <w:rPr>
                <w:noProof/>
                <w:webHidden/>
              </w:rPr>
              <w:fldChar w:fldCharType="separate"/>
            </w:r>
            <w:r w:rsidR="00D72B3D">
              <w:rPr>
                <w:noProof/>
                <w:webHidden/>
              </w:rPr>
              <w:t>39</w:t>
            </w:r>
            <w:r w:rsidR="00D72B3D">
              <w:rPr>
                <w:noProof/>
                <w:webHidden/>
              </w:rPr>
              <w:fldChar w:fldCharType="end"/>
            </w:r>
          </w:hyperlink>
        </w:p>
        <w:p w14:paraId="060A8268" w14:textId="2C94E6E7" w:rsidR="00D72B3D" w:rsidRDefault="00B952EE">
          <w:pPr>
            <w:pStyle w:val="Spistreci4"/>
            <w:tabs>
              <w:tab w:val="right" w:leader="dot" w:pos="9062"/>
            </w:tabs>
            <w:rPr>
              <w:noProof/>
            </w:rPr>
          </w:pPr>
          <w:hyperlink w:anchor="_Toc148716422" w:history="1">
            <w:r w:rsidR="00D72B3D" w:rsidRPr="00A56585">
              <w:rPr>
                <w:rStyle w:val="Hipercze"/>
                <w:rFonts w:cstheme="minorHAnsi"/>
                <w:noProof/>
              </w:rPr>
              <w:t>7.3.8 Ochrona środowiska, w tym obniżenie emisyjności - dodatkowe komponenty w istniejącym zakładzie.</w:t>
            </w:r>
            <w:r w:rsidR="00D72B3D">
              <w:rPr>
                <w:noProof/>
                <w:webHidden/>
              </w:rPr>
              <w:tab/>
            </w:r>
            <w:r w:rsidR="00D72B3D">
              <w:rPr>
                <w:noProof/>
                <w:webHidden/>
              </w:rPr>
              <w:fldChar w:fldCharType="begin"/>
            </w:r>
            <w:r w:rsidR="00D72B3D">
              <w:rPr>
                <w:noProof/>
                <w:webHidden/>
              </w:rPr>
              <w:instrText xml:space="preserve"> PAGEREF _Toc148716422 \h </w:instrText>
            </w:r>
            <w:r w:rsidR="00D72B3D">
              <w:rPr>
                <w:noProof/>
                <w:webHidden/>
              </w:rPr>
            </w:r>
            <w:r w:rsidR="00D72B3D">
              <w:rPr>
                <w:noProof/>
                <w:webHidden/>
              </w:rPr>
              <w:fldChar w:fldCharType="separate"/>
            </w:r>
            <w:r w:rsidR="00D72B3D">
              <w:rPr>
                <w:noProof/>
                <w:webHidden/>
              </w:rPr>
              <w:t>39</w:t>
            </w:r>
            <w:r w:rsidR="00D72B3D">
              <w:rPr>
                <w:noProof/>
                <w:webHidden/>
              </w:rPr>
              <w:fldChar w:fldCharType="end"/>
            </w:r>
          </w:hyperlink>
        </w:p>
        <w:p w14:paraId="5C39940A" w14:textId="7696C2CE" w:rsidR="00D72B3D" w:rsidRDefault="00B952EE">
          <w:pPr>
            <w:pStyle w:val="Spistreci4"/>
            <w:tabs>
              <w:tab w:val="right" w:leader="dot" w:pos="9062"/>
            </w:tabs>
            <w:rPr>
              <w:noProof/>
            </w:rPr>
          </w:pPr>
          <w:hyperlink w:anchor="_Toc148716423" w:history="1">
            <w:r w:rsidR="00D72B3D" w:rsidRPr="00A56585">
              <w:rPr>
                <w:rStyle w:val="Hipercze"/>
                <w:rFonts w:cstheme="minorHAnsi"/>
                <w:noProof/>
              </w:rPr>
              <w:t>7.3.9 Ochrona środowiska, w tym obniżenie emisyjności – wychwytywanie CO2</w:t>
            </w:r>
            <w:r w:rsidR="00D72B3D">
              <w:rPr>
                <w:noProof/>
                <w:webHidden/>
              </w:rPr>
              <w:tab/>
            </w:r>
            <w:r w:rsidR="00D72B3D">
              <w:rPr>
                <w:noProof/>
                <w:webHidden/>
              </w:rPr>
              <w:fldChar w:fldCharType="begin"/>
            </w:r>
            <w:r w:rsidR="00D72B3D">
              <w:rPr>
                <w:noProof/>
                <w:webHidden/>
              </w:rPr>
              <w:instrText xml:space="preserve"> PAGEREF _Toc148716423 \h </w:instrText>
            </w:r>
            <w:r w:rsidR="00D72B3D">
              <w:rPr>
                <w:noProof/>
                <w:webHidden/>
              </w:rPr>
            </w:r>
            <w:r w:rsidR="00D72B3D">
              <w:rPr>
                <w:noProof/>
                <w:webHidden/>
              </w:rPr>
              <w:fldChar w:fldCharType="separate"/>
            </w:r>
            <w:r w:rsidR="00D72B3D">
              <w:rPr>
                <w:noProof/>
                <w:webHidden/>
              </w:rPr>
              <w:t>40</w:t>
            </w:r>
            <w:r w:rsidR="00D72B3D">
              <w:rPr>
                <w:noProof/>
                <w:webHidden/>
              </w:rPr>
              <w:fldChar w:fldCharType="end"/>
            </w:r>
          </w:hyperlink>
        </w:p>
        <w:p w14:paraId="27F12FAE" w14:textId="1D551087" w:rsidR="00D72B3D" w:rsidRDefault="00B952EE">
          <w:pPr>
            <w:pStyle w:val="Spistreci4"/>
            <w:tabs>
              <w:tab w:val="right" w:leader="dot" w:pos="9062"/>
            </w:tabs>
            <w:rPr>
              <w:noProof/>
            </w:rPr>
          </w:pPr>
          <w:hyperlink w:anchor="_Toc148716424" w:history="1">
            <w:r w:rsidR="00D72B3D" w:rsidRPr="00A56585">
              <w:rPr>
                <w:rStyle w:val="Hipercze"/>
                <w:rFonts w:cstheme="minorHAnsi"/>
                <w:noProof/>
              </w:rPr>
              <w:t>7.3.10 Ochrona środowiska, w tym obniżenie emisyjności - koszty budowy infrastruktury dedykowanej.</w:t>
            </w:r>
            <w:r w:rsidR="00D72B3D">
              <w:rPr>
                <w:noProof/>
                <w:webHidden/>
              </w:rPr>
              <w:tab/>
            </w:r>
            <w:r w:rsidR="00D72B3D">
              <w:rPr>
                <w:noProof/>
                <w:webHidden/>
              </w:rPr>
              <w:fldChar w:fldCharType="begin"/>
            </w:r>
            <w:r w:rsidR="00D72B3D">
              <w:rPr>
                <w:noProof/>
                <w:webHidden/>
              </w:rPr>
              <w:instrText xml:space="preserve"> PAGEREF _Toc148716424 \h </w:instrText>
            </w:r>
            <w:r w:rsidR="00D72B3D">
              <w:rPr>
                <w:noProof/>
                <w:webHidden/>
              </w:rPr>
            </w:r>
            <w:r w:rsidR="00D72B3D">
              <w:rPr>
                <w:noProof/>
                <w:webHidden/>
              </w:rPr>
              <w:fldChar w:fldCharType="separate"/>
            </w:r>
            <w:r w:rsidR="00D72B3D">
              <w:rPr>
                <w:noProof/>
                <w:webHidden/>
              </w:rPr>
              <w:t>40</w:t>
            </w:r>
            <w:r w:rsidR="00D72B3D">
              <w:rPr>
                <w:noProof/>
                <w:webHidden/>
              </w:rPr>
              <w:fldChar w:fldCharType="end"/>
            </w:r>
          </w:hyperlink>
        </w:p>
        <w:p w14:paraId="6ABEFD33" w14:textId="14EE6443" w:rsidR="00D72B3D" w:rsidRDefault="00B952EE">
          <w:pPr>
            <w:pStyle w:val="Spistreci4"/>
            <w:tabs>
              <w:tab w:val="right" w:leader="dot" w:pos="9062"/>
            </w:tabs>
            <w:rPr>
              <w:noProof/>
            </w:rPr>
          </w:pPr>
          <w:hyperlink w:anchor="_Toc148716425" w:history="1">
            <w:r w:rsidR="00D72B3D" w:rsidRPr="00A56585">
              <w:rPr>
                <w:rStyle w:val="Hipercze"/>
                <w:rFonts w:cstheme="minorHAnsi"/>
                <w:noProof/>
              </w:rPr>
              <w:t>7.3.11 Ochrona środowiska, w tym obniżenie emisyjności  - całkowite koszty inwestycji (obniżona intensywność pomocy)</w:t>
            </w:r>
            <w:r w:rsidR="00D72B3D">
              <w:rPr>
                <w:noProof/>
                <w:webHidden/>
              </w:rPr>
              <w:tab/>
            </w:r>
            <w:r w:rsidR="00D72B3D">
              <w:rPr>
                <w:noProof/>
                <w:webHidden/>
              </w:rPr>
              <w:fldChar w:fldCharType="begin"/>
            </w:r>
            <w:r w:rsidR="00D72B3D">
              <w:rPr>
                <w:noProof/>
                <w:webHidden/>
              </w:rPr>
              <w:instrText xml:space="preserve"> PAGEREF _Toc148716425 \h </w:instrText>
            </w:r>
            <w:r w:rsidR="00D72B3D">
              <w:rPr>
                <w:noProof/>
                <w:webHidden/>
              </w:rPr>
            </w:r>
            <w:r w:rsidR="00D72B3D">
              <w:rPr>
                <w:noProof/>
                <w:webHidden/>
              </w:rPr>
              <w:fldChar w:fldCharType="separate"/>
            </w:r>
            <w:r w:rsidR="00D72B3D">
              <w:rPr>
                <w:noProof/>
                <w:webHidden/>
              </w:rPr>
              <w:t>40</w:t>
            </w:r>
            <w:r w:rsidR="00D72B3D">
              <w:rPr>
                <w:noProof/>
                <w:webHidden/>
              </w:rPr>
              <w:fldChar w:fldCharType="end"/>
            </w:r>
          </w:hyperlink>
        </w:p>
        <w:p w14:paraId="3C04894F" w14:textId="2EBBF9A1" w:rsidR="00D72B3D" w:rsidRDefault="00B952EE">
          <w:pPr>
            <w:pStyle w:val="Spistreci4"/>
            <w:tabs>
              <w:tab w:val="right" w:leader="dot" w:pos="9062"/>
            </w:tabs>
            <w:rPr>
              <w:noProof/>
            </w:rPr>
          </w:pPr>
          <w:hyperlink w:anchor="_Toc148716426" w:history="1">
            <w:r w:rsidR="00D72B3D" w:rsidRPr="00A56585">
              <w:rPr>
                <w:rStyle w:val="Hipercze"/>
                <w:rFonts w:cstheme="minorHAnsi"/>
                <w:noProof/>
              </w:rPr>
              <w:t>7.3.12 Efektywność energetyczna - całkowite koszty inwestycji</w:t>
            </w:r>
            <w:r w:rsidR="00D72B3D">
              <w:rPr>
                <w:noProof/>
                <w:webHidden/>
              </w:rPr>
              <w:tab/>
            </w:r>
            <w:r w:rsidR="00D72B3D">
              <w:rPr>
                <w:noProof/>
                <w:webHidden/>
              </w:rPr>
              <w:fldChar w:fldCharType="begin"/>
            </w:r>
            <w:r w:rsidR="00D72B3D">
              <w:rPr>
                <w:noProof/>
                <w:webHidden/>
              </w:rPr>
              <w:instrText xml:space="preserve"> PAGEREF _Toc148716426 \h </w:instrText>
            </w:r>
            <w:r w:rsidR="00D72B3D">
              <w:rPr>
                <w:noProof/>
                <w:webHidden/>
              </w:rPr>
            </w:r>
            <w:r w:rsidR="00D72B3D">
              <w:rPr>
                <w:noProof/>
                <w:webHidden/>
              </w:rPr>
              <w:fldChar w:fldCharType="separate"/>
            </w:r>
            <w:r w:rsidR="00D72B3D">
              <w:rPr>
                <w:noProof/>
                <w:webHidden/>
              </w:rPr>
              <w:t>41</w:t>
            </w:r>
            <w:r w:rsidR="00D72B3D">
              <w:rPr>
                <w:noProof/>
                <w:webHidden/>
              </w:rPr>
              <w:fldChar w:fldCharType="end"/>
            </w:r>
          </w:hyperlink>
        </w:p>
        <w:p w14:paraId="1514783D" w14:textId="6C7EC468" w:rsidR="00D72B3D" w:rsidRDefault="00B952EE">
          <w:pPr>
            <w:pStyle w:val="Spistreci4"/>
            <w:tabs>
              <w:tab w:val="right" w:leader="dot" w:pos="9062"/>
            </w:tabs>
            <w:rPr>
              <w:noProof/>
            </w:rPr>
          </w:pPr>
          <w:hyperlink w:anchor="_Toc148716427" w:history="1">
            <w:r w:rsidR="00D72B3D" w:rsidRPr="00A56585">
              <w:rPr>
                <w:rStyle w:val="Hipercze"/>
                <w:rFonts w:cstheme="minorHAnsi"/>
                <w:noProof/>
              </w:rPr>
              <w:t>7.3.13 Efektywność energetyczna - całkowite koszty inwestycji (obniżona intensywność).</w:t>
            </w:r>
            <w:r w:rsidR="00D72B3D">
              <w:rPr>
                <w:noProof/>
                <w:webHidden/>
              </w:rPr>
              <w:tab/>
            </w:r>
            <w:r w:rsidR="00D72B3D">
              <w:rPr>
                <w:noProof/>
                <w:webHidden/>
              </w:rPr>
              <w:fldChar w:fldCharType="begin"/>
            </w:r>
            <w:r w:rsidR="00D72B3D">
              <w:rPr>
                <w:noProof/>
                <w:webHidden/>
              </w:rPr>
              <w:instrText xml:space="preserve"> PAGEREF _Toc148716427 \h </w:instrText>
            </w:r>
            <w:r w:rsidR="00D72B3D">
              <w:rPr>
                <w:noProof/>
                <w:webHidden/>
              </w:rPr>
            </w:r>
            <w:r w:rsidR="00D72B3D">
              <w:rPr>
                <w:noProof/>
                <w:webHidden/>
              </w:rPr>
              <w:fldChar w:fldCharType="separate"/>
            </w:r>
            <w:r w:rsidR="00D72B3D">
              <w:rPr>
                <w:noProof/>
                <w:webHidden/>
              </w:rPr>
              <w:t>41</w:t>
            </w:r>
            <w:r w:rsidR="00D72B3D">
              <w:rPr>
                <w:noProof/>
                <w:webHidden/>
              </w:rPr>
              <w:fldChar w:fldCharType="end"/>
            </w:r>
          </w:hyperlink>
        </w:p>
        <w:p w14:paraId="4D557C26" w14:textId="4DD5FD55" w:rsidR="00D72B3D" w:rsidRDefault="00B952EE">
          <w:pPr>
            <w:pStyle w:val="Spistreci4"/>
            <w:tabs>
              <w:tab w:val="right" w:leader="dot" w:pos="9062"/>
            </w:tabs>
            <w:rPr>
              <w:noProof/>
            </w:rPr>
          </w:pPr>
          <w:hyperlink w:anchor="_Toc148716428" w:history="1">
            <w:r w:rsidR="00D72B3D" w:rsidRPr="00A56585">
              <w:rPr>
                <w:rStyle w:val="Hipercze"/>
                <w:rFonts w:cstheme="minorHAnsi"/>
                <w:noProof/>
              </w:rPr>
              <w:t>7.3.14. Efektywność energetyczna w budynkach - Całkowite koszty inwestycji.</w:t>
            </w:r>
            <w:r w:rsidR="00D72B3D">
              <w:rPr>
                <w:noProof/>
                <w:webHidden/>
              </w:rPr>
              <w:tab/>
            </w:r>
            <w:r w:rsidR="00D72B3D">
              <w:rPr>
                <w:noProof/>
                <w:webHidden/>
              </w:rPr>
              <w:fldChar w:fldCharType="begin"/>
            </w:r>
            <w:r w:rsidR="00D72B3D">
              <w:rPr>
                <w:noProof/>
                <w:webHidden/>
              </w:rPr>
              <w:instrText xml:space="preserve"> PAGEREF _Toc148716428 \h </w:instrText>
            </w:r>
            <w:r w:rsidR="00D72B3D">
              <w:rPr>
                <w:noProof/>
                <w:webHidden/>
              </w:rPr>
            </w:r>
            <w:r w:rsidR="00D72B3D">
              <w:rPr>
                <w:noProof/>
                <w:webHidden/>
              </w:rPr>
              <w:fldChar w:fldCharType="separate"/>
            </w:r>
            <w:r w:rsidR="00D72B3D">
              <w:rPr>
                <w:noProof/>
                <w:webHidden/>
              </w:rPr>
              <w:t>41</w:t>
            </w:r>
            <w:r w:rsidR="00D72B3D">
              <w:rPr>
                <w:noProof/>
                <w:webHidden/>
              </w:rPr>
              <w:fldChar w:fldCharType="end"/>
            </w:r>
          </w:hyperlink>
        </w:p>
        <w:p w14:paraId="63889C4A" w14:textId="19B44769" w:rsidR="00D72B3D" w:rsidRDefault="00B952EE">
          <w:pPr>
            <w:pStyle w:val="Spistreci4"/>
            <w:tabs>
              <w:tab w:val="right" w:leader="dot" w:pos="9062"/>
            </w:tabs>
            <w:rPr>
              <w:noProof/>
            </w:rPr>
          </w:pPr>
          <w:hyperlink w:anchor="_Toc148716429" w:history="1">
            <w:r w:rsidR="00D72B3D" w:rsidRPr="00A56585">
              <w:rPr>
                <w:rStyle w:val="Hipercze"/>
                <w:rFonts w:cstheme="minorHAnsi"/>
                <w:noProof/>
              </w:rPr>
              <w:t>7.3.15. OZE, wodór i kogeneracja – całkowite koszty inwestycji</w:t>
            </w:r>
            <w:r w:rsidR="00D72B3D">
              <w:rPr>
                <w:noProof/>
                <w:webHidden/>
              </w:rPr>
              <w:tab/>
            </w:r>
            <w:r w:rsidR="00D72B3D">
              <w:rPr>
                <w:noProof/>
                <w:webHidden/>
              </w:rPr>
              <w:fldChar w:fldCharType="begin"/>
            </w:r>
            <w:r w:rsidR="00D72B3D">
              <w:rPr>
                <w:noProof/>
                <w:webHidden/>
              </w:rPr>
              <w:instrText xml:space="preserve"> PAGEREF _Toc148716429 \h </w:instrText>
            </w:r>
            <w:r w:rsidR="00D72B3D">
              <w:rPr>
                <w:noProof/>
                <w:webHidden/>
              </w:rPr>
            </w:r>
            <w:r w:rsidR="00D72B3D">
              <w:rPr>
                <w:noProof/>
                <w:webHidden/>
              </w:rPr>
              <w:fldChar w:fldCharType="separate"/>
            </w:r>
            <w:r w:rsidR="00D72B3D">
              <w:rPr>
                <w:noProof/>
                <w:webHidden/>
              </w:rPr>
              <w:t>42</w:t>
            </w:r>
            <w:r w:rsidR="00D72B3D">
              <w:rPr>
                <w:noProof/>
                <w:webHidden/>
              </w:rPr>
              <w:fldChar w:fldCharType="end"/>
            </w:r>
          </w:hyperlink>
        </w:p>
        <w:p w14:paraId="0AE09E99" w14:textId="45416D19" w:rsidR="00D72B3D" w:rsidRDefault="00B952EE">
          <w:pPr>
            <w:pStyle w:val="Spistreci4"/>
            <w:tabs>
              <w:tab w:val="right" w:leader="dot" w:pos="9062"/>
            </w:tabs>
            <w:rPr>
              <w:noProof/>
            </w:rPr>
          </w:pPr>
          <w:hyperlink w:anchor="_Toc148716430" w:history="1">
            <w:r w:rsidR="00D72B3D" w:rsidRPr="00A56585">
              <w:rPr>
                <w:rStyle w:val="Hipercze"/>
                <w:rFonts w:cstheme="minorHAnsi"/>
                <w:noProof/>
              </w:rPr>
              <w:t>7.3.16 Efektywny energetycznie system ciepłowniczy lub chłodniczy – całkowite koszty inwestycji.</w:t>
            </w:r>
            <w:r w:rsidR="00D72B3D">
              <w:rPr>
                <w:noProof/>
                <w:webHidden/>
              </w:rPr>
              <w:tab/>
            </w:r>
            <w:r w:rsidR="00D72B3D">
              <w:rPr>
                <w:noProof/>
                <w:webHidden/>
              </w:rPr>
              <w:fldChar w:fldCharType="begin"/>
            </w:r>
            <w:r w:rsidR="00D72B3D">
              <w:rPr>
                <w:noProof/>
                <w:webHidden/>
              </w:rPr>
              <w:instrText xml:space="preserve"> PAGEREF _Toc148716430 \h </w:instrText>
            </w:r>
            <w:r w:rsidR="00D72B3D">
              <w:rPr>
                <w:noProof/>
                <w:webHidden/>
              </w:rPr>
            </w:r>
            <w:r w:rsidR="00D72B3D">
              <w:rPr>
                <w:noProof/>
                <w:webHidden/>
              </w:rPr>
              <w:fldChar w:fldCharType="separate"/>
            </w:r>
            <w:r w:rsidR="00D72B3D">
              <w:rPr>
                <w:noProof/>
                <w:webHidden/>
              </w:rPr>
              <w:t>42</w:t>
            </w:r>
            <w:r w:rsidR="00D72B3D">
              <w:rPr>
                <w:noProof/>
                <w:webHidden/>
              </w:rPr>
              <w:fldChar w:fldCharType="end"/>
            </w:r>
          </w:hyperlink>
        </w:p>
        <w:p w14:paraId="663113A5" w14:textId="6F07C336" w:rsidR="00D72B3D" w:rsidRDefault="00B952EE">
          <w:pPr>
            <w:pStyle w:val="Spistreci4"/>
            <w:tabs>
              <w:tab w:val="right" w:leader="dot" w:pos="9062"/>
            </w:tabs>
            <w:rPr>
              <w:noProof/>
            </w:rPr>
          </w:pPr>
          <w:hyperlink w:anchor="_Toc148716431" w:history="1">
            <w:r w:rsidR="00D72B3D" w:rsidRPr="00A56585">
              <w:rPr>
                <w:rStyle w:val="Hipercze"/>
                <w:rFonts w:cstheme="minorHAnsi"/>
                <w:noProof/>
              </w:rPr>
              <w:t>7.3.17.</w:t>
            </w:r>
            <w:r w:rsidR="00D72B3D" w:rsidRPr="00A56585">
              <w:rPr>
                <w:rStyle w:val="Hipercze"/>
                <w:noProof/>
              </w:rPr>
              <w:t xml:space="preserve"> </w:t>
            </w:r>
            <w:r w:rsidR="00D72B3D" w:rsidRPr="00A56585">
              <w:rPr>
                <w:rStyle w:val="Hipercze"/>
                <w:rFonts w:cstheme="minorHAnsi"/>
                <w:noProof/>
              </w:rPr>
              <w:t xml:space="preserve">Gospodarowanie zasobami i </w:t>
            </w:r>
            <w:r w:rsidR="00D72B3D" w:rsidRPr="00A56585">
              <w:rPr>
                <w:rStyle w:val="Hipercze"/>
                <w:rFonts w:cstheme="minorHAnsi"/>
                <w:b/>
                <w:noProof/>
              </w:rPr>
              <w:t>GOZ</w:t>
            </w:r>
            <w:r w:rsidR="00D72B3D" w:rsidRPr="00A56585">
              <w:rPr>
                <w:rStyle w:val="Hipercze"/>
                <w:rFonts w:cstheme="minorHAnsi"/>
                <w:noProof/>
              </w:rPr>
              <w:t xml:space="preserve"> - Dodatkowe koszty (scenariusz alternatywny)</w:t>
            </w:r>
            <w:r w:rsidR="00D72B3D">
              <w:rPr>
                <w:noProof/>
                <w:webHidden/>
              </w:rPr>
              <w:tab/>
            </w:r>
            <w:r w:rsidR="00D72B3D">
              <w:rPr>
                <w:noProof/>
                <w:webHidden/>
              </w:rPr>
              <w:fldChar w:fldCharType="begin"/>
            </w:r>
            <w:r w:rsidR="00D72B3D">
              <w:rPr>
                <w:noProof/>
                <w:webHidden/>
              </w:rPr>
              <w:instrText xml:space="preserve"> PAGEREF _Toc148716431 \h </w:instrText>
            </w:r>
            <w:r w:rsidR="00D72B3D">
              <w:rPr>
                <w:noProof/>
                <w:webHidden/>
              </w:rPr>
            </w:r>
            <w:r w:rsidR="00D72B3D">
              <w:rPr>
                <w:noProof/>
                <w:webHidden/>
              </w:rPr>
              <w:fldChar w:fldCharType="separate"/>
            </w:r>
            <w:r w:rsidR="00D72B3D">
              <w:rPr>
                <w:noProof/>
                <w:webHidden/>
              </w:rPr>
              <w:t>43</w:t>
            </w:r>
            <w:r w:rsidR="00D72B3D">
              <w:rPr>
                <w:noProof/>
                <w:webHidden/>
              </w:rPr>
              <w:fldChar w:fldCharType="end"/>
            </w:r>
          </w:hyperlink>
        </w:p>
        <w:p w14:paraId="03CB8666" w14:textId="06AC26DC" w:rsidR="00D72B3D" w:rsidRDefault="00B952EE">
          <w:pPr>
            <w:pStyle w:val="Spistreci4"/>
            <w:tabs>
              <w:tab w:val="right" w:leader="dot" w:pos="9062"/>
            </w:tabs>
            <w:rPr>
              <w:noProof/>
            </w:rPr>
          </w:pPr>
          <w:hyperlink w:anchor="_Toc148716432" w:history="1">
            <w:r w:rsidR="00D72B3D" w:rsidRPr="00A56585">
              <w:rPr>
                <w:rStyle w:val="Hipercze"/>
                <w:rFonts w:cstheme="minorHAnsi"/>
                <w:noProof/>
              </w:rPr>
              <w:t>7.3.18. Gospodarowanie zasobami i GOZ  - Dodatkowe komponenty w istniejącym zakładzie</w:t>
            </w:r>
            <w:r w:rsidR="00D72B3D">
              <w:rPr>
                <w:noProof/>
                <w:webHidden/>
              </w:rPr>
              <w:tab/>
            </w:r>
            <w:r w:rsidR="00D72B3D">
              <w:rPr>
                <w:noProof/>
                <w:webHidden/>
              </w:rPr>
              <w:fldChar w:fldCharType="begin"/>
            </w:r>
            <w:r w:rsidR="00D72B3D">
              <w:rPr>
                <w:noProof/>
                <w:webHidden/>
              </w:rPr>
              <w:instrText xml:space="preserve"> PAGEREF _Toc148716432 \h </w:instrText>
            </w:r>
            <w:r w:rsidR="00D72B3D">
              <w:rPr>
                <w:noProof/>
                <w:webHidden/>
              </w:rPr>
            </w:r>
            <w:r w:rsidR="00D72B3D">
              <w:rPr>
                <w:noProof/>
                <w:webHidden/>
              </w:rPr>
              <w:fldChar w:fldCharType="separate"/>
            </w:r>
            <w:r w:rsidR="00D72B3D">
              <w:rPr>
                <w:noProof/>
                <w:webHidden/>
              </w:rPr>
              <w:t>44</w:t>
            </w:r>
            <w:r w:rsidR="00D72B3D">
              <w:rPr>
                <w:noProof/>
                <w:webHidden/>
              </w:rPr>
              <w:fldChar w:fldCharType="end"/>
            </w:r>
          </w:hyperlink>
        </w:p>
        <w:p w14:paraId="31EFA849" w14:textId="6400AA56" w:rsidR="00D72B3D" w:rsidRDefault="00B952EE">
          <w:pPr>
            <w:pStyle w:val="Spistreci4"/>
            <w:tabs>
              <w:tab w:val="right" w:leader="dot" w:pos="9062"/>
            </w:tabs>
            <w:rPr>
              <w:noProof/>
            </w:rPr>
          </w:pPr>
          <w:hyperlink w:anchor="_Toc148716433" w:history="1">
            <w:r w:rsidR="00D72B3D" w:rsidRPr="00A56585">
              <w:rPr>
                <w:rStyle w:val="Hipercze"/>
                <w:rFonts w:cstheme="minorHAnsi"/>
                <w:noProof/>
              </w:rPr>
              <w:t>7.3.19 Usługi zewnętrzne (de minimis)</w:t>
            </w:r>
            <w:r w:rsidR="00D72B3D">
              <w:rPr>
                <w:noProof/>
                <w:webHidden/>
              </w:rPr>
              <w:tab/>
            </w:r>
            <w:r w:rsidR="00D72B3D">
              <w:rPr>
                <w:noProof/>
                <w:webHidden/>
              </w:rPr>
              <w:fldChar w:fldCharType="begin"/>
            </w:r>
            <w:r w:rsidR="00D72B3D">
              <w:rPr>
                <w:noProof/>
                <w:webHidden/>
              </w:rPr>
              <w:instrText xml:space="preserve"> PAGEREF _Toc148716433 \h </w:instrText>
            </w:r>
            <w:r w:rsidR="00D72B3D">
              <w:rPr>
                <w:noProof/>
                <w:webHidden/>
              </w:rPr>
            </w:r>
            <w:r w:rsidR="00D72B3D">
              <w:rPr>
                <w:noProof/>
                <w:webHidden/>
              </w:rPr>
              <w:fldChar w:fldCharType="separate"/>
            </w:r>
            <w:r w:rsidR="00D72B3D">
              <w:rPr>
                <w:noProof/>
                <w:webHidden/>
              </w:rPr>
              <w:t>44</w:t>
            </w:r>
            <w:r w:rsidR="00D72B3D">
              <w:rPr>
                <w:noProof/>
                <w:webHidden/>
              </w:rPr>
              <w:fldChar w:fldCharType="end"/>
            </w:r>
          </w:hyperlink>
        </w:p>
        <w:p w14:paraId="5217B8F5" w14:textId="42E3779A" w:rsidR="00D72B3D" w:rsidRDefault="00B952EE">
          <w:pPr>
            <w:pStyle w:val="Spistreci2"/>
            <w:rPr>
              <w:rFonts w:eastAsiaTheme="minorEastAsia"/>
              <w:noProof/>
              <w:lang w:eastAsia="pl-PL"/>
            </w:rPr>
          </w:pPr>
          <w:hyperlink w:anchor="_Toc148716434" w:history="1">
            <w:r w:rsidR="00D72B3D" w:rsidRPr="00A56585">
              <w:rPr>
                <w:rStyle w:val="Hipercze"/>
                <w:rFonts w:cstheme="minorHAnsi"/>
                <w:b/>
                <w:noProof/>
              </w:rPr>
              <w:t>8.</w:t>
            </w:r>
            <w:r w:rsidR="00D72B3D">
              <w:rPr>
                <w:rFonts w:eastAsiaTheme="minorEastAsia"/>
                <w:noProof/>
                <w:lang w:eastAsia="pl-PL"/>
              </w:rPr>
              <w:tab/>
            </w:r>
            <w:r w:rsidR="00D72B3D" w:rsidRPr="00A56585">
              <w:rPr>
                <w:rStyle w:val="Hipercze"/>
                <w:rFonts w:cstheme="minorHAnsi"/>
                <w:b/>
                <w:noProof/>
              </w:rPr>
              <w:t>Wydatki kwalifikowalne modułu kompetencje</w:t>
            </w:r>
            <w:r w:rsidR="00D72B3D">
              <w:rPr>
                <w:noProof/>
                <w:webHidden/>
              </w:rPr>
              <w:tab/>
            </w:r>
            <w:r w:rsidR="00D72B3D">
              <w:rPr>
                <w:noProof/>
                <w:webHidden/>
              </w:rPr>
              <w:fldChar w:fldCharType="begin"/>
            </w:r>
            <w:r w:rsidR="00D72B3D">
              <w:rPr>
                <w:noProof/>
                <w:webHidden/>
              </w:rPr>
              <w:instrText xml:space="preserve"> PAGEREF _Toc148716434 \h </w:instrText>
            </w:r>
            <w:r w:rsidR="00D72B3D">
              <w:rPr>
                <w:noProof/>
                <w:webHidden/>
              </w:rPr>
            </w:r>
            <w:r w:rsidR="00D72B3D">
              <w:rPr>
                <w:noProof/>
                <w:webHidden/>
              </w:rPr>
              <w:fldChar w:fldCharType="separate"/>
            </w:r>
            <w:r w:rsidR="00D72B3D">
              <w:rPr>
                <w:noProof/>
                <w:webHidden/>
              </w:rPr>
              <w:t>45</w:t>
            </w:r>
            <w:r w:rsidR="00D72B3D">
              <w:rPr>
                <w:noProof/>
                <w:webHidden/>
              </w:rPr>
              <w:fldChar w:fldCharType="end"/>
            </w:r>
          </w:hyperlink>
        </w:p>
        <w:p w14:paraId="731F70EF" w14:textId="25D29EC3" w:rsidR="00D72B3D" w:rsidRDefault="00B952EE">
          <w:pPr>
            <w:pStyle w:val="Spistreci3"/>
            <w:rPr>
              <w:rFonts w:eastAsiaTheme="minorEastAsia" w:cstheme="minorBidi"/>
              <w:bCs w:val="0"/>
              <w:sz w:val="22"/>
              <w:szCs w:val="22"/>
              <w:lang w:eastAsia="pl-PL"/>
            </w:rPr>
          </w:pPr>
          <w:hyperlink w:anchor="_Toc148716435" w:history="1">
            <w:r w:rsidR="00D72B3D" w:rsidRPr="00A56585">
              <w:rPr>
                <w:rStyle w:val="Hipercze"/>
              </w:rPr>
              <w:t>8.1</w:t>
            </w:r>
            <w:r w:rsidR="00D72B3D">
              <w:rPr>
                <w:rFonts w:eastAsiaTheme="minorEastAsia" w:cstheme="minorBidi"/>
                <w:bCs w:val="0"/>
                <w:sz w:val="22"/>
                <w:szCs w:val="22"/>
                <w:lang w:eastAsia="pl-PL"/>
              </w:rPr>
              <w:tab/>
            </w:r>
            <w:r w:rsidR="00D72B3D" w:rsidRPr="00A56585">
              <w:rPr>
                <w:rStyle w:val="Hipercze"/>
              </w:rPr>
              <w:t>Pomoc publiczna</w:t>
            </w:r>
            <w:r w:rsidR="00D72B3D">
              <w:rPr>
                <w:webHidden/>
              </w:rPr>
              <w:tab/>
            </w:r>
            <w:r w:rsidR="00D72B3D">
              <w:rPr>
                <w:webHidden/>
              </w:rPr>
              <w:fldChar w:fldCharType="begin"/>
            </w:r>
            <w:r w:rsidR="00D72B3D">
              <w:rPr>
                <w:webHidden/>
              </w:rPr>
              <w:instrText xml:space="preserve"> PAGEREF _Toc148716435 \h </w:instrText>
            </w:r>
            <w:r w:rsidR="00D72B3D">
              <w:rPr>
                <w:webHidden/>
              </w:rPr>
            </w:r>
            <w:r w:rsidR="00D72B3D">
              <w:rPr>
                <w:webHidden/>
              </w:rPr>
              <w:fldChar w:fldCharType="separate"/>
            </w:r>
            <w:r w:rsidR="00D72B3D">
              <w:rPr>
                <w:webHidden/>
              </w:rPr>
              <w:t>45</w:t>
            </w:r>
            <w:r w:rsidR="00D72B3D">
              <w:rPr>
                <w:webHidden/>
              </w:rPr>
              <w:fldChar w:fldCharType="end"/>
            </w:r>
          </w:hyperlink>
        </w:p>
        <w:p w14:paraId="183C6A2D" w14:textId="356E8C3C" w:rsidR="00D72B3D" w:rsidRDefault="00B952EE">
          <w:pPr>
            <w:pStyle w:val="Spistreci3"/>
            <w:rPr>
              <w:rFonts w:eastAsiaTheme="minorEastAsia" w:cstheme="minorBidi"/>
              <w:bCs w:val="0"/>
              <w:sz w:val="22"/>
              <w:szCs w:val="22"/>
              <w:lang w:eastAsia="pl-PL"/>
            </w:rPr>
          </w:pPr>
          <w:hyperlink w:anchor="_Toc148716436" w:history="1">
            <w:r w:rsidR="00D72B3D" w:rsidRPr="00A56585">
              <w:rPr>
                <w:rStyle w:val="Hipercze"/>
              </w:rPr>
              <w:t>8.2</w:t>
            </w:r>
            <w:r w:rsidR="00D72B3D">
              <w:rPr>
                <w:rFonts w:eastAsiaTheme="minorEastAsia" w:cstheme="minorBidi"/>
                <w:bCs w:val="0"/>
                <w:sz w:val="22"/>
                <w:szCs w:val="22"/>
                <w:lang w:eastAsia="pl-PL"/>
              </w:rPr>
              <w:tab/>
            </w:r>
            <w:r w:rsidR="00D72B3D" w:rsidRPr="00A56585">
              <w:rPr>
                <w:rStyle w:val="Hipercze"/>
              </w:rPr>
              <w:t>Limity wydatków kwalifikowalnych w module oraz limity dofinansowania</w:t>
            </w:r>
            <w:r w:rsidR="00D72B3D">
              <w:rPr>
                <w:webHidden/>
              </w:rPr>
              <w:tab/>
            </w:r>
            <w:r w:rsidR="00D72B3D">
              <w:rPr>
                <w:webHidden/>
              </w:rPr>
              <w:fldChar w:fldCharType="begin"/>
            </w:r>
            <w:r w:rsidR="00D72B3D">
              <w:rPr>
                <w:webHidden/>
              </w:rPr>
              <w:instrText xml:space="preserve"> PAGEREF _Toc148716436 \h </w:instrText>
            </w:r>
            <w:r w:rsidR="00D72B3D">
              <w:rPr>
                <w:webHidden/>
              </w:rPr>
            </w:r>
            <w:r w:rsidR="00D72B3D">
              <w:rPr>
                <w:webHidden/>
              </w:rPr>
              <w:fldChar w:fldCharType="separate"/>
            </w:r>
            <w:r w:rsidR="00D72B3D">
              <w:rPr>
                <w:webHidden/>
              </w:rPr>
              <w:t>45</w:t>
            </w:r>
            <w:r w:rsidR="00D72B3D">
              <w:rPr>
                <w:webHidden/>
              </w:rPr>
              <w:fldChar w:fldCharType="end"/>
            </w:r>
          </w:hyperlink>
        </w:p>
        <w:p w14:paraId="60C202CF" w14:textId="6C470A8C" w:rsidR="00D72B3D" w:rsidRDefault="00B952EE">
          <w:pPr>
            <w:pStyle w:val="Spistreci3"/>
            <w:rPr>
              <w:rFonts w:eastAsiaTheme="minorEastAsia" w:cstheme="minorBidi"/>
              <w:bCs w:val="0"/>
              <w:sz w:val="22"/>
              <w:szCs w:val="22"/>
              <w:lang w:eastAsia="pl-PL"/>
            </w:rPr>
          </w:pPr>
          <w:hyperlink w:anchor="_Toc148716437" w:history="1">
            <w:r w:rsidR="00D72B3D" w:rsidRPr="00A56585">
              <w:rPr>
                <w:rStyle w:val="Hipercze"/>
              </w:rPr>
              <w:t>8.3</w:t>
            </w:r>
            <w:r w:rsidR="00D72B3D">
              <w:rPr>
                <w:rFonts w:eastAsiaTheme="minorEastAsia" w:cstheme="minorBidi"/>
                <w:bCs w:val="0"/>
                <w:sz w:val="22"/>
                <w:szCs w:val="22"/>
                <w:lang w:eastAsia="pl-PL"/>
              </w:rPr>
              <w:tab/>
            </w:r>
            <w:r w:rsidR="00D72B3D" w:rsidRPr="00A56585">
              <w:rPr>
                <w:rStyle w:val="Hipercze"/>
              </w:rPr>
              <w:t>Kategorie wydatków kwalifikowalnych w ramach modułu Kompetencje</w:t>
            </w:r>
            <w:r w:rsidR="00D72B3D">
              <w:rPr>
                <w:webHidden/>
              </w:rPr>
              <w:tab/>
            </w:r>
            <w:r w:rsidR="00D72B3D">
              <w:rPr>
                <w:webHidden/>
              </w:rPr>
              <w:fldChar w:fldCharType="begin"/>
            </w:r>
            <w:r w:rsidR="00D72B3D">
              <w:rPr>
                <w:webHidden/>
              </w:rPr>
              <w:instrText xml:space="preserve"> PAGEREF _Toc148716437 \h </w:instrText>
            </w:r>
            <w:r w:rsidR="00D72B3D">
              <w:rPr>
                <w:webHidden/>
              </w:rPr>
            </w:r>
            <w:r w:rsidR="00D72B3D">
              <w:rPr>
                <w:webHidden/>
              </w:rPr>
              <w:fldChar w:fldCharType="separate"/>
            </w:r>
            <w:r w:rsidR="00D72B3D">
              <w:rPr>
                <w:webHidden/>
              </w:rPr>
              <w:t>45</w:t>
            </w:r>
            <w:r w:rsidR="00D72B3D">
              <w:rPr>
                <w:webHidden/>
              </w:rPr>
              <w:fldChar w:fldCharType="end"/>
            </w:r>
          </w:hyperlink>
        </w:p>
        <w:p w14:paraId="0DF29D76" w14:textId="74C2B660" w:rsidR="00D72B3D" w:rsidRDefault="00B952EE">
          <w:pPr>
            <w:pStyle w:val="Spistreci4"/>
            <w:tabs>
              <w:tab w:val="left" w:pos="1540"/>
              <w:tab w:val="right" w:leader="dot" w:pos="9062"/>
            </w:tabs>
            <w:rPr>
              <w:noProof/>
            </w:rPr>
          </w:pPr>
          <w:hyperlink w:anchor="_Toc148716438" w:history="1">
            <w:r w:rsidR="00D72B3D" w:rsidRPr="00A56585">
              <w:rPr>
                <w:rStyle w:val="Hipercze"/>
                <w:rFonts w:cstheme="minorHAnsi"/>
                <w:noProof/>
              </w:rPr>
              <w:t>8.3.1</w:t>
            </w:r>
            <w:r w:rsidR="00D72B3D">
              <w:rPr>
                <w:noProof/>
              </w:rPr>
              <w:tab/>
            </w:r>
            <w:r w:rsidR="00D72B3D" w:rsidRPr="00A56585">
              <w:rPr>
                <w:rStyle w:val="Hipercze"/>
                <w:rFonts w:cstheme="minorHAnsi"/>
                <w:noProof/>
              </w:rPr>
              <w:t>Koszty wsparcia uczestników projektu (Koszty szkoleniowe uproszczone)</w:t>
            </w:r>
            <w:r w:rsidR="00D72B3D">
              <w:rPr>
                <w:noProof/>
                <w:webHidden/>
              </w:rPr>
              <w:tab/>
            </w:r>
            <w:r w:rsidR="00D72B3D">
              <w:rPr>
                <w:noProof/>
                <w:webHidden/>
              </w:rPr>
              <w:fldChar w:fldCharType="begin"/>
            </w:r>
            <w:r w:rsidR="00D72B3D">
              <w:rPr>
                <w:noProof/>
                <w:webHidden/>
              </w:rPr>
              <w:instrText xml:space="preserve"> PAGEREF _Toc148716438 \h </w:instrText>
            </w:r>
            <w:r w:rsidR="00D72B3D">
              <w:rPr>
                <w:noProof/>
                <w:webHidden/>
              </w:rPr>
            </w:r>
            <w:r w:rsidR="00D72B3D">
              <w:rPr>
                <w:noProof/>
                <w:webHidden/>
              </w:rPr>
              <w:fldChar w:fldCharType="separate"/>
            </w:r>
            <w:r w:rsidR="00D72B3D">
              <w:rPr>
                <w:noProof/>
                <w:webHidden/>
              </w:rPr>
              <w:t>45</w:t>
            </w:r>
            <w:r w:rsidR="00D72B3D">
              <w:rPr>
                <w:noProof/>
                <w:webHidden/>
              </w:rPr>
              <w:fldChar w:fldCharType="end"/>
            </w:r>
          </w:hyperlink>
        </w:p>
        <w:p w14:paraId="2F8F7EAD" w14:textId="1143AB37" w:rsidR="00D72B3D" w:rsidRDefault="00B952EE">
          <w:pPr>
            <w:pStyle w:val="Spistreci4"/>
            <w:tabs>
              <w:tab w:val="left" w:pos="1540"/>
              <w:tab w:val="right" w:leader="dot" w:pos="9062"/>
            </w:tabs>
            <w:rPr>
              <w:noProof/>
            </w:rPr>
          </w:pPr>
          <w:hyperlink w:anchor="_Toc148716439" w:history="1">
            <w:r w:rsidR="00D72B3D" w:rsidRPr="00A56585">
              <w:rPr>
                <w:rStyle w:val="Hipercze"/>
                <w:rFonts w:cstheme="minorHAnsi"/>
                <w:noProof/>
              </w:rPr>
              <w:t>8.3.2</w:t>
            </w:r>
            <w:r w:rsidR="00D72B3D">
              <w:rPr>
                <w:noProof/>
              </w:rPr>
              <w:tab/>
            </w:r>
            <w:r w:rsidR="00D72B3D" w:rsidRPr="00A56585">
              <w:rPr>
                <w:rStyle w:val="Hipercze"/>
                <w:rFonts w:cstheme="minorHAnsi"/>
                <w:noProof/>
              </w:rPr>
              <w:t>Koszty wsparcia uczestników projektu (Koszty szkoleniowe rzeczywiste)</w:t>
            </w:r>
            <w:r w:rsidR="00D72B3D">
              <w:rPr>
                <w:noProof/>
                <w:webHidden/>
              </w:rPr>
              <w:tab/>
            </w:r>
            <w:r w:rsidR="00D72B3D">
              <w:rPr>
                <w:noProof/>
                <w:webHidden/>
              </w:rPr>
              <w:fldChar w:fldCharType="begin"/>
            </w:r>
            <w:r w:rsidR="00D72B3D">
              <w:rPr>
                <w:noProof/>
                <w:webHidden/>
              </w:rPr>
              <w:instrText xml:space="preserve"> PAGEREF _Toc148716439 \h </w:instrText>
            </w:r>
            <w:r w:rsidR="00D72B3D">
              <w:rPr>
                <w:noProof/>
                <w:webHidden/>
              </w:rPr>
            </w:r>
            <w:r w:rsidR="00D72B3D">
              <w:rPr>
                <w:noProof/>
                <w:webHidden/>
              </w:rPr>
              <w:fldChar w:fldCharType="separate"/>
            </w:r>
            <w:r w:rsidR="00D72B3D">
              <w:rPr>
                <w:noProof/>
                <w:webHidden/>
              </w:rPr>
              <w:t>46</w:t>
            </w:r>
            <w:r w:rsidR="00D72B3D">
              <w:rPr>
                <w:noProof/>
                <w:webHidden/>
              </w:rPr>
              <w:fldChar w:fldCharType="end"/>
            </w:r>
          </w:hyperlink>
        </w:p>
        <w:p w14:paraId="2EFB7F47" w14:textId="50E18888" w:rsidR="00D72B3D" w:rsidRDefault="00B952EE">
          <w:pPr>
            <w:pStyle w:val="Spistreci4"/>
            <w:tabs>
              <w:tab w:val="left" w:pos="1540"/>
              <w:tab w:val="right" w:leader="dot" w:pos="9062"/>
            </w:tabs>
            <w:rPr>
              <w:noProof/>
            </w:rPr>
          </w:pPr>
          <w:hyperlink w:anchor="_Toc148716440" w:history="1">
            <w:r w:rsidR="00D72B3D" w:rsidRPr="00A56585">
              <w:rPr>
                <w:rStyle w:val="Hipercze"/>
                <w:rFonts w:cstheme="minorHAnsi"/>
                <w:noProof/>
              </w:rPr>
              <w:t>8.3.3</w:t>
            </w:r>
            <w:r w:rsidR="00D72B3D">
              <w:rPr>
                <w:noProof/>
              </w:rPr>
              <w:tab/>
            </w:r>
            <w:r w:rsidR="00D72B3D" w:rsidRPr="00A56585">
              <w:rPr>
                <w:rStyle w:val="Hipercze"/>
                <w:rFonts w:cstheme="minorHAnsi"/>
                <w:noProof/>
              </w:rPr>
              <w:t>Koszty wsparcia uczestników projektu (Koszty szkoleniowe zagraniczne)</w:t>
            </w:r>
            <w:r w:rsidR="00D72B3D">
              <w:rPr>
                <w:noProof/>
                <w:webHidden/>
              </w:rPr>
              <w:tab/>
            </w:r>
            <w:r w:rsidR="00D72B3D">
              <w:rPr>
                <w:noProof/>
                <w:webHidden/>
              </w:rPr>
              <w:fldChar w:fldCharType="begin"/>
            </w:r>
            <w:r w:rsidR="00D72B3D">
              <w:rPr>
                <w:noProof/>
                <w:webHidden/>
              </w:rPr>
              <w:instrText xml:space="preserve"> PAGEREF _Toc148716440 \h </w:instrText>
            </w:r>
            <w:r w:rsidR="00D72B3D">
              <w:rPr>
                <w:noProof/>
                <w:webHidden/>
              </w:rPr>
            </w:r>
            <w:r w:rsidR="00D72B3D">
              <w:rPr>
                <w:noProof/>
                <w:webHidden/>
              </w:rPr>
              <w:fldChar w:fldCharType="separate"/>
            </w:r>
            <w:r w:rsidR="00D72B3D">
              <w:rPr>
                <w:noProof/>
                <w:webHidden/>
              </w:rPr>
              <w:t>46</w:t>
            </w:r>
            <w:r w:rsidR="00D72B3D">
              <w:rPr>
                <w:noProof/>
                <w:webHidden/>
              </w:rPr>
              <w:fldChar w:fldCharType="end"/>
            </w:r>
          </w:hyperlink>
        </w:p>
        <w:p w14:paraId="014E84C3" w14:textId="5F4A0683" w:rsidR="00D72B3D" w:rsidRDefault="00B952EE">
          <w:pPr>
            <w:pStyle w:val="Spistreci2"/>
            <w:rPr>
              <w:rFonts w:eastAsiaTheme="minorEastAsia"/>
              <w:noProof/>
              <w:lang w:eastAsia="pl-PL"/>
            </w:rPr>
          </w:pPr>
          <w:hyperlink w:anchor="_Toc148716441" w:history="1">
            <w:r w:rsidR="00D72B3D" w:rsidRPr="00A56585">
              <w:rPr>
                <w:rStyle w:val="Hipercze"/>
                <w:rFonts w:cstheme="minorHAnsi"/>
                <w:b/>
                <w:noProof/>
              </w:rPr>
              <w:t>9.</w:t>
            </w:r>
            <w:r w:rsidR="00D72B3D">
              <w:rPr>
                <w:rFonts w:eastAsiaTheme="minorEastAsia"/>
                <w:noProof/>
                <w:lang w:eastAsia="pl-PL"/>
              </w:rPr>
              <w:tab/>
            </w:r>
            <w:r w:rsidR="00D72B3D" w:rsidRPr="00A56585">
              <w:rPr>
                <w:rStyle w:val="Hipercze"/>
                <w:rFonts w:cstheme="minorHAnsi"/>
                <w:b/>
                <w:noProof/>
              </w:rPr>
              <w:t>Wydatki kwalifikowalne modułu internacjonalizacja</w:t>
            </w:r>
            <w:r w:rsidR="00D72B3D">
              <w:rPr>
                <w:noProof/>
                <w:webHidden/>
              </w:rPr>
              <w:tab/>
            </w:r>
            <w:r w:rsidR="00D72B3D">
              <w:rPr>
                <w:noProof/>
                <w:webHidden/>
              </w:rPr>
              <w:fldChar w:fldCharType="begin"/>
            </w:r>
            <w:r w:rsidR="00D72B3D">
              <w:rPr>
                <w:noProof/>
                <w:webHidden/>
              </w:rPr>
              <w:instrText xml:space="preserve"> PAGEREF _Toc148716441 \h </w:instrText>
            </w:r>
            <w:r w:rsidR="00D72B3D">
              <w:rPr>
                <w:noProof/>
                <w:webHidden/>
              </w:rPr>
            </w:r>
            <w:r w:rsidR="00D72B3D">
              <w:rPr>
                <w:noProof/>
                <w:webHidden/>
              </w:rPr>
              <w:fldChar w:fldCharType="separate"/>
            </w:r>
            <w:r w:rsidR="00D72B3D">
              <w:rPr>
                <w:noProof/>
                <w:webHidden/>
              </w:rPr>
              <w:t>48</w:t>
            </w:r>
            <w:r w:rsidR="00D72B3D">
              <w:rPr>
                <w:noProof/>
                <w:webHidden/>
              </w:rPr>
              <w:fldChar w:fldCharType="end"/>
            </w:r>
          </w:hyperlink>
        </w:p>
        <w:p w14:paraId="3C47E8A2" w14:textId="6AC3665C" w:rsidR="00D72B3D" w:rsidRDefault="00B952EE">
          <w:pPr>
            <w:pStyle w:val="Spistreci3"/>
            <w:rPr>
              <w:rFonts w:eastAsiaTheme="minorEastAsia" w:cstheme="minorBidi"/>
              <w:bCs w:val="0"/>
              <w:sz w:val="22"/>
              <w:szCs w:val="22"/>
              <w:lang w:eastAsia="pl-PL"/>
            </w:rPr>
          </w:pPr>
          <w:hyperlink w:anchor="_Toc148716442" w:history="1">
            <w:r w:rsidR="00D72B3D" w:rsidRPr="00A56585">
              <w:rPr>
                <w:rStyle w:val="Hipercze"/>
              </w:rPr>
              <w:t>9.1</w:t>
            </w:r>
            <w:r w:rsidR="00D72B3D">
              <w:rPr>
                <w:rFonts w:eastAsiaTheme="minorEastAsia" w:cstheme="minorBidi"/>
                <w:bCs w:val="0"/>
                <w:sz w:val="22"/>
                <w:szCs w:val="22"/>
                <w:lang w:eastAsia="pl-PL"/>
              </w:rPr>
              <w:tab/>
            </w:r>
            <w:r w:rsidR="00D72B3D" w:rsidRPr="00A56585">
              <w:rPr>
                <w:rStyle w:val="Hipercze"/>
              </w:rPr>
              <w:t>Pomoc publiczna</w:t>
            </w:r>
            <w:r w:rsidR="00D72B3D">
              <w:rPr>
                <w:webHidden/>
              </w:rPr>
              <w:tab/>
            </w:r>
            <w:r w:rsidR="00D72B3D">
              <w:rPr>
                <w:webHidden/>
              </w:rPr>
              <w:fldChar w:fldCharType="begin"/>
            </w:r>
            <w:r w:rsidR="00D72B3D">
              <w:rPr>
                <w:webHidden/>
              </w:rPr>
              <w:instrText xml:space="preserve"> PAGEREF _Toc148716442 \h </w:instrText>
            </w:r>
            <w:r w:rsidR="00D72B3D">
              <w:rPr>
                <w:webHidden/>
              </w:rPr>
            </w:r>
            <w:r w:rsidR="00D72B3D">
              <w:rPr>
                <w:webHidden/>
              </w:rPr>
              <w:fldChar w:fldCharType="separate"/>
            </w:r>
            <w:r w:rsidR="00D72B3D">
              <w:rPr>
                <w:webHidden/>
              </w:rPr>
              <w:t>48</w:t>
            </w:r>
            <w:r w:rsidR="00D72B3D">
              <w:rPr>
                <w:webHidden/>
              </w:rPr>
              <w:fldChar w:fldCharType="end"/>
            </w:r>
          </w:hyperlink>
        </w:p>
        <w:p w14:paraId="2DB466BF" w14:textId="0BB5E7B4" w:rsidR="00D72B3D" w:rsidRDefault="00B952EE">
          <w:pPr>
            <w:pStyle w:val="Spistreci3"/>
            <w:rPr>
              <w:rFonts w:eastAsiaTheme="minorEastAsia" w:cstheme="minorBidi"/>
              <w:bCs w:val="0"/>
              <w:sz w:val="22"/>
              <w:szCs w:val="22"/>
              <w:lang w:eastAsia="pl-PL"/>
            </w:rPr>
          </w:pPr>
          <w:hyperlink w:anchor="_Toc148716443" w:history="1">
            <w:r w:rsidR="00D72B3D" w:rsidRPr="00A56585">
              <w:rPr>
                <w:rStyle w:val="Hipercze"/>
              </w:rPr>
              <w:t>9.2</w:t>
            </w:r>
            <w:r w:rsidR="00D72B3D">
              <w:rPr>
                <w:rFonts w:eastAsiaTheme="minorEastAsia" w:cstheme="minorBidi"/>
                <w:bCs w:val="0"/>
                <w:sz w:val="22"/>
                <w:szCs w:val="22"/>
                <w:lang w:eastAsia="pl-PL"/>
              </w:rPr>
              <w:tab/>
            </w:r>
            <w:r w:rsidR="00D72B3D" w:rsidRPr="00A56585">
              <w:rPr>
                <w:rStyle w:val="Hipercze"/>
              </w:rPr>
              <w:t>Limity wydatków kwalifikowalnych w module oraz limity dofinansowania</w:t>
            </w:r>
            <w:r w:rsidR="00D72B3D">
              <w:rPr>
                <w:webHidden/>
              </w:rPr>
              <w:tab/>
            </w:r>
            <w:r w:rsidR="00D72B3D">
              <w:rPr>
                <w:webHidden/>
              </w:rPr>
              <w:fldChar w:fldCharType="begin"/>
            </w:r>
            <w:r w:rsidR="00D72B3D">
              <w:rPr>
                <w:webHidden/>
              </w:rPr>
              <w:instrText xml:space="preserve"> PAGEREF _Toc148716443 \h </w:instrText>
            </w:r>
            <w:r w:rsidR="00D72B3D">
              <w:rPr>
                <w:webHidden/>
              </w:rPr>
            </w:r>
            <w:r w:rsidR="00D72B3D">
              <w:rPr>
                <w:webHidden/>
              </w:rPr>
              <w:fldChar w:fldCharType="separate"/>
            </w:r>
            <w:r w:rsidR="00D72B3D">
              <w:rPr>
                <w:webHidden/>
              </w:rPr>
              <w:t>48</w:t>
            </w:r>
            <w:r w:rsidR="00D72B3D">
              <w:rPr>
                <w:webHidden/>
              </w:rPr>
              <w:fldChar w:fldCharType="end"/>
            </w:r>
          </w:hyperlink>
        </w:p>
        <w:p w14:paraId="7CD66ECC" w14:textId="1870B4E1" w:rsidR="00D72B3D" w:rsidRDefault="00B952EE">
          <w:pPr>
            <w:pStyle w:val="Spistreci3"/>
            <w:rPr>
              <w:rFonts w:eastAsiaTheme="minorEastAsia" w:cstheme="minorBidi"/>
              <w:bCs w:val="0"/>
              <w:sz w:val="22"/>
              <w:szCs w:val="22"/>
              <w:lang w:eastAsia="pl-PL"/>
            </w:rPr>
          </w:pPr>
          <w:hyperlink w:anchor="_Toc148716444" w:history="1">
            <w:r w:rsidR="00D72B3D" w:rsidRPr="00A56585">
              <w:rPr>
                <w:rStyle w:val="Hipercze"/>
              </w:rPr>
              <w:t>9.3</w:t>
            </w:r>
            <w:r w:rsidR="00D72B3D">
              <w:rPr>
                <w:rFonts w:eastAsiaTheme="minorEastAsia" w:cstheme="minorBidi"/>
                <w:bCs w:val="0"/>
                <w:sz w:val="22"/>
                <w:szCs w:val="22"/>
                <w:lang w:eastAsia="pl-PL"/>
              </w:rPr>
              <w:tab/>
            </w:r>
            <w:r w:rsidR="00D72B3D" w:rsidRPr="00A56585">
              <w:rPr>
                <w:rStyle w:val="Hipercze"/>
              </w:rPr>
              <w:t>Kategorie wydatków w ramach modułu Internacjonalizacja</w:t>
            </w:r>
            <w:r w:rsidR="00D72B3D">
              <w:rPr>
                <w:webHidden/>
              </w:rPr>
              <w:tab/>
            </w:r>
            <w:r w:rsidR="00D72B3D">
              <w:rPr>
                <w:webHidden/>
              </w:rPr>
              <w:fldChar w:fldCharType="begin"/>
            </w:r>
            <w:r w:rsidR="00D72B3D">
              <w:rPr>
                <w:webHidden/>
              </w:rPr>
              <w:instrText xml:space="preserve"> PAGEREF _Toc148716444 \h </w:instrText>
            </w:r>
            <w:r w:rsidR="00D72B3D">
              <w:rPr>
                <w:webHidden/>
              </w:rPr>
            </w:r>
            <w:r w:rsidR="00D72B3D">
              <w:rPr>
                <w:webHidden/>
              </w:rPr>
              <w:fldChar w:fldCharType="separate"/>
            </w:r>
            <w:r w:rsidR="00D72B3D">
              <w:rPr>
                <w:webHidden/>
              </w:rPr>
              <w:t>48</w:t>
            </w:r>
            <w:r w:rsidR="00D72B3D">
              <w:rPr>
                <w:webHidden/>
              </w:rPr>
              <w:fldChar w:fldCharType="end"/>
            </w:r>
          </w:hyperlink>
        </w:p>
        <w:p w14:paraId="496577E7" w14:textId="292B3DE1" w:rsidR="00D72B3D" w:rsidRDefault="00B952EE">
          <w:pPr>
            <w:pStyle w:val="Spistreci4"/>
            <w:tabs>
              <w:tab w:val="left" w:pos="1540"/>
              <w:tab w:val="right" w:leader="dot" w:pos="9062"/>
            </w:tabs>
            <w:rPr>
              <w:noProof/>
            </w:rPr>
          </w:pPr>
          <w:hyperlink w:anchor="_Toc148716445" w:history="1">
            <w:r w:rsidR="00D72B3D" w:rsidRPr="00A56585">
              <w:rPr>
                <w:rStyle w:val="Hipercze"/>
                <w:rFonts w:cstheme="minorHAnsi"/>
                <w:noProof/>
              </w:rPr>
              <w:t>9.3.1</w:t>
            </w:r>
            <w:r w:rsidR="00D72B3D">
              <w:rPr>
                <w:noProof/>
              </w:rPr>
              <w:tab/>
            </w:r>
            <w:r w:rsidR="00D72B3D" w:rsidRPr="00A56585">
              <w:rPr>
                <w:rStyle w:val="Hipercze"/>
                <w:rFonts w:cstheme="minorHAnsi"/>
                <w:noProof/>
              </w:rPr>
              <w:t>Dostawy (inne niż środki trwałe) (udział w targach)</w:t>
            </w:r>
            <w:r w:rsidR="00D72B3D">
              <w:rPr>
                <w:noProof/>
                <w:webHidden/>
              </w:rPr>
              <w:tab/>
            </w:r>
            <w:r w:rsidR="00D72B3D">
              <w:rPr>
                <w:noProof/>
                <w:webHidden/>
              </w:rPr>
              <w:fldChar w:fldCharType="begin"/>
            </w:r>
            <w:r w:rsidR="00D72B3D">
              <w:rPr>
                <w:noProof/>
                <w:webHidden/>
              </w:rPr>
              <w:instrText xml:space="preserve"> PAGEREF _Toc148716445 \h </w:instrText>
            </w:r>
            <w:r w:rsidR="00D72B3D">
              <w:rPr>
                <w:noProof/>
                <w:webHidden/>
              </w:rPr>
            </w:r>
            <w:r w:rsidR="00D72B3D">
              <w:rPr>
                <w:noProof/>
                <w:webHidden/>
              </w:rPr>
              <w:fldChar w:fldCharType="separate"/>
            </w:r>
            <w:r w:rsidR="00D72B3D">
              <w:rPr>
                <w:noProof/>
                <w:webHidden/>
              </w:rPr>
              <w:t>48</w:t>
            </w:r>
            <w:r w:rsidR="00D72B3D">
              <w:rPr>
                <w:noProof/>
                <w:webHidden/>
              </w:rPr>
              <w:fldChar w:fldCharType="end"/>
            </w:r>
          </w:hyperlink>
        </w:p>
        <w:p w14:paraId="54B5B30E" w14:textId="222A7A76" w:rsidR="00D72B3D" w:rsidRDefault="00B952EE">
          <w:pPr>
            <w:pStyle w:val="Spistreci4"/>
            <w:tabs>
              <w:tab w:val="left" w:pos="1540"/>
              <w:tab w:val="right" w:leader="dot" w:pos="9062"/>
            </w:tabs>
            <w:rPr>
              <w:noProof/>
            </w:rPr>
          </w:pPr>
          <w:hyperlink w:anchor="_Toc148716446" w:history="1">
            <w:r w:rsidR="00D72B3D" w:rsidRPr="00A56585">
              <w:rPr>
                <w:rStyle w:val="Hipercze"/>
                <w:rFonts w:cstheme="minorHAnsi"/>
                <w:noProof/>
              </w:rPr>
              <w:t>9.3.2</w:t>
            </w:r>
            <w:r w:rsidR="00D72B3D">
              <w:rPr>
                <w:noProof/>
              </w:rPr>
              <w:tab/>
            </w:r>
            <w:r w:rsidR="00D72B3D" w:rsidRPr="00A56585">
              <w:rPr>
                <w:rStyle w:val="Hipercze"/>
                <w:rFonts w:cstheme="minorHAnsi"/>
                <w:noProof/>
              </w:rPr>
              <w:t>Usługi zewnętrzne (udział w targach)</w:t>
            </w:r>
            <w:r w:rsidR="00D72B3D">
              <w:rPr>
                <w:noProof/>
                <w:webHidden/>
              </w:rPr>
              <w:tab/>
            </w:r>
            <w:r w:rsidR="00D72B3D">
              <w:rPr>
                <w:noProof/>
                <w:webHidden/>
              </w:rPr>
              <w:fldChar w:fldCharType="begin"/>
            </w:r>
            <w:r w:rsidR="00D72B3D">
              <w:rPr>
                <w:noProof/>
                <w:webHidden/>
              </w:rPr>
              <w:instrText xml:space="preserve"> PAGEREF _Toc148716446 \h </w:instrText>
            </w:r>
            <w:r w:rsidR="00D72B3D">
              <w:rPr>
                <w:noProof/>
                <w:webHidden/>
              </w:rPr>
            </w:r>
            <w:r w:rsidR="00D72B3D">
              <w:rPr>
                <w:noProof/>
                <w:webHidden/>
              </w:rPr>
              <w:fldChar w:fldCharType="separate"/>
            </w:r>
            <w:r w:rsidR="00D72B3D">
              <w:rPr>
                <w:noProof/>
                <w:webHidden/>
              </w:rPr>
              <w:t>49</w:t>
            </w:r>
            <w:r w:rsidR="00D72B3D">
              <w:rPr>
                <w:noProof/>
                <w:webHidden/>
              </w:rPr>
              <w:fldChar w:fldCharType="end"/>
            </w:r>
          </w:hyperlink>
        </w:p>
        <w:p w14:paraId="59A30DA1" w14:textId="55904D82" w:rsidR="00D72B3D" w:rsidRDefault="00B952EE">
          <w:pPr>
            <w:pStyle w:val="Spistreci4"/>
            <w:tabs>
              <w:tab w:val="left" w:pos="1540"/>
              <w:tab w:val="right" w:leader="dot" w:pos="9062"/>
            </w:tabs>
            <w:rPr>
              <w:noProof/>
            </w:rPr>
          </w:pPr>
          <w:hyperlink w:anchor="_Toc148716447" w:history="1">
            <w:r w:rsidR="00D72B3D" w:rsidRPr="00A56585">
              <w:rPr>
                <w:rStyle w:val="Hipercze"/>
                <w:rFonts w:cstheme="minorHAnsi"/>
                <w:noProof/>
              </w:rPr>
              <w:t>9.3.3</w:t>
            </w:r>
            <w:r w:rsidR="00D72B3D">
              <w:rPr>
                <w:noProof/>
              </w:rPr>
              <w:tab/>
            </w:r>
            <w:r w:rsidR="00D72B3D" w:rsidRPr="00A56585">
              <w:rPr>
                <w:rStyle w:val="Hipercze"/>
                <w:rFonts w:cstheme="minorHAnsi"/>
                <w:noProof/>
              </w:rPr>
              <w:t>Koszty wsparcia uczestników projektu (udział w targach)</w:t>
            </w:r>
            <w:r w:rsidR="00D72B3D">
              <w:rPr>
                <w:noProof/>
                <w:webHidden/>
              </w:rPr>
              <w:tab/>
            </w:r>
            <w:r w:rsidR="00D72B3D">
              <w:rPr>
                <w:noProof/>
                <w:webHidden/>
              </w:rPr>
              <w:fldChar w:fldCharType="begin"/>
            </w:r>
            <w:r w:rsidR="00D72B3D">
              <w:rPr>
                <w:noProof/>
                <w:webHidden/>
              </w:rPr>
              <w:instrText xml:space="preserve"> PAGEREF _Toc148716447 \h </w:instrText>
            </w:r>
            <w:r w:rsidR="00D72B3D">
              <w:rPr>
                <w:noProof/>
                <w:webHidden/>
              </w:rPr>
            </w:r>
            <w:r w:rsidR="00D72B3D">
              <w:rPr>
                <w:noProof/>
                <w:webHidden/>
              </w:rPr>
              <w:fldChar w:fldCharType="separate"/>
            </w:r>
            <w:r w:rsidR="00D72B3D">
              <w:rPr>
                <w:noProof/>
                <w:webHidden/>
              </w:rPr>
              <w:t>49</w:t>
            </w:r>
            <w:r w:rsidR="00D72B3D">
              <w:rPr>
                <w:noProof/>
                <w:webHidden/>
              </w:rPr>
              <w:fldChar w:fldCharType="end"/>
            </w:r>
          </w:hyperlink>
        </w:p>
        <w:p w14:paraId="5F4EC8C1" w14:textId="7AA8CE27" w:rsidR="00D72B3D" w:rsidRDefault="00B952EE">
          <w:pPr>
            <w:pStyle w:val="Spistreci4"/>
            <w:tabs>
              <w:tab w:val="left" w:pos="1540"/>
              <w:tab w:val="right" w:leader="dot" w:pos="9062"/>
            </w:tabs>
            <w:rPr>
              <w:noProof/>
            </w:rPr>
          </w:pPr>
          <w:hyperlink w:anchor="_Toc148716448" w:history="1">
            <w:r w:rsidR="00D72B3D" w:rsidRPr="00A56585">
              <w:rPr>
                <w:rStyle w:val="Hipercze"/>
                <w:rFonts w:cstheme="minorHAnsi"/>
                <w:noProof/>
              </w:rPr>
              <w:t>9.3.4</w:t>
            </w:r>
            <w:r w:rsidR="00D72B3D">
              <w:rPr>
                <w:noProof/>
              </w:rPr>
              <w:tab/>
            </w:r>
            <w:r w:rsidR="00D72B3D" w:rsidRPr="00A56585">
              <w:rPr>
                <w:rStyle w:val="Hipercze"/>
                <w:rFonts w:cstheme="minorHAnsi"/>
                <w:noProof/>
              </w:rPr>
              <w:t>Koszty wsparcia uczestników projektu (udział w zagranicznych gospodarczych misjach wyjazdowych)</w:t>
            </w:r>
            <w:r w:rsidR="00D72B3D">
              <w:rPr>
                <w:noProof/>
                <w:webHidden/>
              </w:rPr>
              <w:tab/>
            </w:r>
            <w:r w:rsidR="00D72B3D">
              <w:rPr>
                <w:noProof/>
                <w:webHidden/>
              </w:rPr>
              <w:fldChar w:fldCharType="begin"/>
            </w:r>
            <w:r w:rsidR="00D72B3D">
              <w:rPr>
                <w:noProof/>
                <w:webHidden/>
              </w:rPr>
              <w:instrText xml:space="preserve"> PAGEREF _Toc148716448 \h </w:instrText>
            </w:r>
            <w:r w:rsidR="00D72B3D">
              <w:rPr>
                <w:noProof/>
                <w:webHidden/>
              </w:rPr>
            </w:r>
            <w:r w:rsidR="00D72B3D">
              <w:rPr>
                <w:noProof/>
                <w:webHidden/>
              </w:rPr>
              <w:fldChar w:fldCharType="separate"/>
            </w:r>
            <w:r w:rsidR="00D72B3D">
              <w:rPr>
                <w:noProof/>
                <w:webHidden/>
              </w:rPr>
              <w:t>49</w:t>
            </w:r>
            <w:r w:rsidR="00D72B3D">
              <w:rPr>
                <w:noProof/>
                <w:webHidden/>
              </w:rPr>
              <w:fldChar w:fldCharType="end"/>
            </w:r>
          </w:hyperlink>
        </w:p>
        <w:p w14:paraId="6C788A33" w14:textId="21E20A17" w:rsidR="00D72B3D" w:rsidRDefault="00B952EE">
          <w:pPr>
            <w:pStyle w:val="Spistreci4"/>
            <w:tabs>
              <w:tab w:val="left" w:pos="1540"/>
              <w:tab w:val="right" w:leader="dot" w:pos="9062"/>
            </w:tabs>
            <w:rPr>
              <w:noProof/>
            </w:rPr>
          </w:pPr>
          <w:hyperlink w:anchor="_Toc148716449" w:history="1">
            <w:r w:rsidR="00D72B3D" w:rsidRPr="00A56585">
              <w:rPr>
                <w:rStyle w:val="Hipercze"/>
                <w:rFonts w:cstheme="minorHAnsi"/>
                <w:noProof/>
              </w:rPr>
              <w:t>9.3.5</w:t>
            </w:r>
            <w:r w:rsidR="00D72B3D">
              <w:rPr>
                <w:noProof/>
              </w:rPr>
              <w:tab/>
            </w:r>
            <w:r w:rsidR="00D72B3D" w:rsidRPr="00A56585">
              <w:rPr>
                <w:rStyle w:val="Hipercze"/>
                <w:rFonts w:cstheme="minorHAnsi"/>
                <w:noProof/>
              </w:rPr>
              <w:t>Usługi zewnętrzne (udział w zagranicznych gospodarczych misjach wyjazdowych)</w:t>
            </w:r>
            <w:r w:rsidR="00D72B3D">
              <w:rPr>
                <w:noProof/>
                <w:webHidden/>
              </w:rPr>
              <w:tab/>
            </w:r>
            <w:r w:rsidR="00D72B3D">
              <w:rPr>
                <w:noProof/>
                <w:webHidden/>
              </w:rPr>
              <w:fldChar w:fldCharType="begin"/>
            </w:r>
            <w:r w:rsidR="00D72B3D">
              <w:rPr>
                <w:noProof/>
                <w:webHidden/>
              </w:rPr>
              <w:instrText xml:space="preserve"> PAGEREF _Toc148716449 \h </w:instrText>
            </w:r>
            <w:r w:rsidR="00D72B3D">
              <w:rPr>
                <w:noProof/>
                <w:webHidden/>
              </w:rPr>
            </w:r>
            <w:r w:rsidR="00D72B3D">
              <w:rPr>
                <w:noProof/>
                <w:webHidden/>
              </w:rPr>
              <w:fldChar w:fldCharType="separate"/>
            </w:r>
            <w:r w:rsidR="00D72B3D">
              <w:rPr>
                <w:noProof/>
                <w:webHidden/>
              </w:rPr>
              <w:t>50</w:t>
            </w:r>
            <w:r w:rsidR="00D72B3D">
              <w:rPr>
                <w:noProof/>
                <w:webHidden/>
              </w:rPr>
              <w:fldChar w:fldCharType="end"/>
            </w:r>
          </w:hyperlink>
        </w:p>
        <w:p w14:paraId="675AAA8E" w14:textId="4B657144" w:rsidR="00D72B3D" w:rsidRDefault="00B952EE">
          <w:pPr>
            <w:pStyle w:val="Spistreci4"/>
            <w:tabs>
              <w:tab w:val="left" w:pos="1540"/>
              <w:tab w:val="right" w:leader="dot" w:pos="9062"/>
            </w:tabs>
            <w:rPr>
              <w:noProof/>
            </w:rPr>
          </w:pPr>
          <w:hyperlink w:anchor="_Toc148716450" w:history="1">
            <w:r w:rsidR="00D72B3D" w:rsidRPr="00A56585">
              <w:rPr>
                <w:rStyle w:val="Hipercze"/>
                <w:rFonts w:cstheme="minorHAnsi"/>
                <w:noProof/>
              </w:rPr>
              <w:t>9.3.6</w:t>
            </w:r>
            <w:r w:rsidR="00D72B3D">
              <w:rPr>
                <w:noProof/>
              </w:rPr>
              <w:tab/>
            </w:r>
            <w:r w:rsidR="00D72B3D" w:rsidRPr="00A56585">
              <w:rPr>
                <w:rStyle w:val="Hipercze"/>
                <w:rFonts w:cstheme="minorHAnsi"/>
                <w:noProof/>
              </w:rPr>
              <w:t>Usługi zewnętrzne (organizacja przyjazdowych misji gospodarczych o randze międzynarodowej)</w:t>
            </w:r>
            <w:r w:rsidR="00D72B3D">
              <w:rPr>
                <w:noProof/>
                <w:webHidden/>
              </w:rPr>
              <w:tab/>
            </w:r>
            <w:r w:rsidR="00D72B3D">
              <w:rPr>
                <w:noProof/>
                <w:webHidden/>
              </w:rPr>
              <w:fldChar w:fldCharType="begin"/>
            </w:r>
            <w:r w:rsidR="00D72B3D">
              <w:rPr>
                <w:noProof/>
                <w:webHidden/>
              </w:rPr>
              <w:instrText xml:space="preserve"> PAGEREF _Toc148716450 \h </w:instrText>
            </w:r>
            <w:r w:rsidR="00D72B3D">
              <w:rPr>
                <w:noProof/>
                <w:webHidden/>
              </w:rPr>
            </w:r>
            <w:r w:rsidR="00D72B3D">
              <w:rPr>
                <w:noProof/>
                <w:webHidden/>
              </w:rPr>
              <w:fldChar w:fldCharType="separate"/>
            </w:r>
            <w:r w:rsidR="00D72B3D">
              <w:rPr>
                <w:noProof/>
                <w:webHidden/>
              </w:rPr>
              <w:t>51</w:t>
            </w:r>
            <w:r w:rsidR="00D72B3D">
              <w:rPr>
                <w:noProof/>
                <w:webHidden/>
              </w:rPr>
              <w:fldChar w:fldCharType="end"/>
            </w:r>
          </w:hyperlink>
        </w:p>
        <w:p w14:paraId="1C4DF64F" w14:textId="746CA04D" w:rsidR="00D72B3D" w:rsidRDefault="00B952EE">
          <w:pPr>
            <w:pStyle w:val="Spistreci4"/>
            <w:tabs>
              <w:tab w:val="left" w:pos="1540"/>
              <w:tab w:val="right" w:leader="dot" w:pos="9062"/>
            </w:tabs>
            <w:rPr>
              <w:noProof/>
            </w:rPr>
          </w:pPr>
          <w:hyperlink w:anchor="_Toc148716451" w:history="1">
            <w:r w:rsidR="00D72B3D" w:rsidRPr="00A56585">
              <w:rPr>
                <w:rStyle w:val="Hipercze"/>
                <w:rFonts w:cstheme="minorHAnsi"/>
                <w:noProof/>
              </w:rPr>
              <w:t>9.3.7</w:t>
            </w:r>
            <w:r w:rsidR="00D72B3D">
              <w:rPr>
                <w:noProof/>
              </w:rPr>
              <w:tab/>
            </w:r>
            <w:r w:rsidR="00D72B3D" w:rsidRPr="00A56585">
              <w:rPr>
                <w:rStyle w:val="Hipercze"/>
                <w:rFonts w:cstheme="minorHAnsi"/>
                <w:noProof/>
              </w:rPr>
              <w:t>Usługi zewnętrzne (doradztwo)</w:t>
            </w:r>
            <w:r w:rsidR="00D72B3D">
              <w:rPr>
                <w:noProof/>
                <w:webHidden/>
              </w:rPr>
              <w:tab/>
            </w:r>
            <w:r w:rsidR="00D72B3D">
              <w:rPr>
                <w:noProof/>
                <w:webHidden/>
              </w:rPr>
              <w:fldChar w:fldCharType="begin"/>
            </w:r>
            <w:r w:rsidR="00D72B3D">
              <w:rPr>
                <w:noProof/>
                <w:webHidden/>
              </w:rPr>
              <w:instrText xml:space="preserve"> PAGEREF _Toc148716451 \h </w:instrText>
            </w:r>
            <w:r w:rsidR="00D72B3D">
              <w:rPr>
                <w:noProof/>
                <w:webHidden/>
              </w:rPr>
            </w:r>
            <w:r w:rsidR="00D72B3D">
              <w:rPr>
                <w:noProof/>
                <w:webHidden/>
              </w:rPr>
              <w:fldChar w:fldCharType="separate"/>
            </w:r>
            <w:r w:rsidR="00D72B3D">
              <w:rPr>
                <w:noProof/>
                <w:webHidden/>
              </w:rPr>
              <w:t>51</w:t>
            </w:r>
            <w:r w:rsidR="00D72B3D">
              <w:rPr>
                <w:noProof/>
                <w:webHidden/>
              </w:rPr>
              <w:fldChar w:fldCharType="end"/>
            </w:r>
          </w:hyperlink>
        </w:p>
        <w:p w14:paraId="75EEFDAD" w14:textId="415DBE23" w:rsidR="00D72B3D" w:rsidRDefault="00B952EE">
          <w:pPr>
            <w:pStyle w:val="Spistreci4"/>
            <w:tabs>
              <w:tab w:val="left" w:pos="1540"/>
              <w:tab w:val="right" w:leader="dot" w:pos="9062"/>
            </w:tabs>
            <w:rPr>
              <w:noProof/>
            </w:rPr>
          </w:pPr>
          <w:hyperlink w:anchor="_Toc148716452" w:history="1">
            <w:r w:rsidR="00D72B3D" w:rsidRPr="00A56585">
              <w:rPr>
                <w:rStyle w:val="Hipercze"/>
                <w:rFonts w:cstheme="minorHAnsi"/>
                <w:noProof/>
              </w:rPr>
              <w:t>9.3.8</w:t>
            </w:r>
            <w:r w:rsidR="00D72B3D">
              <w:rPr>
                <w:noProof/>
              </w:rPr>
              <w:tab/>
            </w:r>
            <w:r w:rsidR="00D72B3D" w:rsidRPr="00A56585">
              <w:rPr>
                <w:rStyle w:val="Hipercze"/>
                <w:rFonts w:cstheme="minorHAnsi"/>
                <w:noProof/>
              </w:rPr>
              <w:t>Usługi zewnętrzne rezerwacja targów (de minimis)</w:t>
            </w:r>
            <w:r w:rsidR="00D72B3D">
              <w:rPr>
                <w:noProof/>
                <w:webHidden/>
              </w:rPr>
              <w:tab/>
            </w:r>
            <w:r w:rsidR="00D72B3D">
              <w:rPr>
                <w:noProof/>
                <w:webHidden/>
              </w:rPr>
              <w:fldChar w:fldCharType="begin"/>
            </w:r>
            <w:r w:rsidR="00D72B3D">
              <w:rPr>
                <w:noProof/>
                <w:webHidden/>
              </w:rPr>
              <w:instrText xml:space="preserve"> PAGEREF _Toc148716452 \h </w:instrText>
            </w:r>
            <w:r w:rsidR="00D72B3D">
              <w:rPr>
                <w:noProof/>
                <w:webHidden/>
              </w:rPr>
            </w:r>
            <w:r w:rsidR="00D72B3D">
              <w:rPr>
                <w:noProof/>
                <w:webHidden/>
              </w:rPr>
              <w:fldChar w:fldCharType="separate"/>
            </w:r>
            <w:r w:rsidR="00D72B3D">
              <w:rPr>
                <w:noProof/>
                <w:webHidden/>
              </w:rPr>
              <w:t>51</w:t>
            </w:r>
            <w:r w:rsidR="00D72B3D">
              <w:rPr>
                <w:noProof/>
                <w:webHidden/>
              </w:rPr>
              <w:fldChar w:fldCharType="end"/>
            </w:r>
          </w:hyperlink>
        </w:p>
        <w:p w14:paraId="6C86D2E7" w14:textId="7E274E6F" w:rsidR="00D72B3D" w:rsidRDefault="00B952EE">
          <w:pPr>
            <w:pStyle w:val="Spistreci4"/>
            <w:tabs>
              <w:tab w:val="left" w:pos="1540"/>
              <w:tab w:val="right" w:leader="dot" w:pos="9062"/>
            </w:tabs>
            <w:rPr>
              <w:noProof/>
            </w:rPr>
          </w:pPr>
          <w:hyperlink w:anchor="_Toc148716453" w:history="1">
            <w:r w:rsidR="00D72B3D" w:rsidRPr="00A56585">
              <w:rPr>
                <w:rStyle w:val="Hipercze"/>
                <w:rFonts w:cstheme="minorHAnsi"/>
                <w:noProof/>
              </w:rPr>
              <w:t>9.3.9</w:t>
            </w:r>
            <w:r w:rsidR="00D72B3D">
              <w:rPr>
                <w:noProof/>
              </w:rPr>
              <w:tab/>
            </w:r>
            <w:r w:rsidR="00D72B3D" w:rsidRPr="00A56585">
              <w:rPr>
                <w:rStyle w:val="Hipercze"/>
                <w:rFonts w:cstheme="minorHAnsi"/>
                <w:noProof/>
              </w:rPr>
              <w:t>Podatki i opłaty (prawa własności przemysłowej)</w:t>
            </w:r>
            <w:r w:rsidR="00D72B3D">
              <w:rPr>
                <w:noProof/>
                <w:webHidden/>
              </w:rPr>
              <w:tab/>
            </w:r>
            <w:r w:rsidR="00D72B3D">
              <w:rPr>
                <w:noProof/>
                <w:webHidden/>
              </w:rPr>
              <w:fldChar w:fldCharType="begin"/>
            </w:r>
            <w:r w:rsidR="00D72B3D">
              <w:rPr>
                <w:noProof/>
                <w:webHidden/>
              </w:rPr>
              <w:instrText xml:space="preserve"> PAGEREF _Toc148716453 \h </w:instrText>
            </w:r>
            <w:r w:rsidR="00D72B3D">
              <w:rPr>
                <w:noProof/>
                <w:webHidden/>
              </w:rPr>
            </w:r>
            <w:r w:rsidR="00D72B3D">
              <w:rPr>
                <w:noProof/>
                <w:webHidden/>
              </w:rPr>
              <w:fldChar w:fldCharType="separate"/>
            </w:r>
            <w:r w:rsidR="00D72B3D">
              <w:rPr>
                <w:noProof/>
                <w:webHidden/>
              </w:rPr>
              <w:t>51</w:t>
            </w:r>
            <w:r w:rsidR="00D72B3D">
              <w:rPr>
                <w:noProof/>
                <w:webHidden/>
              </w:rPr>
              <w:fldChar w:fldCharType="end"/>
            </w:r>
          </w:hyperlink>
        </w:p>
        <w:p w14:paraId="0B55C7E8" w14:textId="5801BFA1" w:rsidR="00D72B3D" w:rsidRDefault="00B952EE">
          <w:pPr>
            <w:pStyle w:val="Spistreci4"/>
            <w:tabs>
              <w:tab w:val="left" w:pos="1540"/>
              <w:tab w:val="right" w:leader="dot" w:pos="9062"/>
            </w:tabs>
            <w:rPr>
              <w:noProof/>
            </w:rPr>
          </w:pPr>
          <w:hyperlink w:anchor="_Toc148716454" w:history="1">
            <w:r w:rsidR="00D72B3D" w:rsidRPr="00A56585">
              <w:rPr>
                <w:rStyle w:val="Hipercze"/>
                <w:rFonts w:cstheme="minorHAnsi"/>
                <w:noProof/>
              </w:rPr>
              <w:t>9.3.10</w:t>
            </w:r>
            <w:r w:rsidR="00D72B3D">
              <w:rPr>
                <w:noProof/>
              </w:rPr>
              <w:tab/>
            </w:r>
            <w:r w:rsidR="00D72B3D" w:rsidRPr="00A56585">
              <w:rPr>
                <w:rStyle w:val="Hipercze"/>
                <w:rFonts w:cstheme="minorHAnsi"/>
                <w:noProof/>
              </w:rPr>
              <w:t>Usługi zewnętrzne (prawa własności przemysłowej)</w:t>
            </w:r>
            <w:r w:rsidR="00D72B3D">
              <w:rPr>
                <w:noProof/>
                <w:webHidden/>
              </w:rPr>
              <w:tab/>
            </w:r>
            <w:r w:rsidR="00D72B3D">
              <w:rPr>
                <w:noProof/>
                <w:webHidden/>
              </w:rPr>
              <w:fldChar w:fldCharType="begin"/>
            </w:r>
            <w:r w:rsidR="00D72B3D">
              <w:rPr>
                <w:noProof/>
                <w:webHidden/>
              </w:rPr>
              <w:instrText xml:space="preserve"> PAGEREF _Toc148716454 \h </w:instrText>
            </w:r>
            <w:r w:rsidR="00D72B3D">
              <w:rPr>
                <w:noProof/>
                <w:webHidden/>
              </w:rPr>
            </w:r>
            <w:r w:rsidR="00D72B3D">
              <w:rPr>
                <w:noProof/>
                <w:webHidden/>
              </w:rPr>
              <w:fldChar w:fldCharType="separate"/>
            </w:r>
            <w:r w:rsidR="00D72B3D">
              <w:rPr>
                <w:noProof/>
                <w:webHidden/>
              </w:rPr>
              <w:t>52</w:t>
            </w:r>
            <w:r w:rsidR="00D72B3D">
              <w:rPr>
                <w:noProof/>
                <w:webHidden/>
              </w:rPr>
              <w:fldChar w:fldCharType="end"/>
            </w:r>
          </w:hyperlink>
        </w:p>
        <w:p w14:paraId="74E2B69E" w14:textId="25C3309A" w:rsidR="00D72B3D" w:rsidRDefault="00B952EE">
          <w:pPr>
            <w:pStyle w:val="Spistreci4"/>
            <w:tabs>
              <w:tab w:val="left" w:pos="1540"/>
              <w:tab w:val="right" w:leader="dot" w:pos="9062"/>
            </w:tabs>
            <w:rPr>
              <w:noProof/>
            </w:rPr>
          </w:pPr>
          <w:hyperlink w:anchor="_Toc148716455" w:history="1">
            <w:r w:rsidR="00D72B3D" w:rsidRPr="00A56585">
              <w:rPr>
                <w:rStyle w:val="Hipercze"/>
                <w:rFonts w:cstheme="minorHAnsi"/>
                <w:noProof/>
              </w:rPr>
              <w:t>9.3.11</w:t>
            </w:r>
            <w:r w:rsidR="00D72B3D">
              <w:rPr>
                <w:noProof/>
              </w:rPr>
              <w:tab/>
            </w:r>
            <w:r w:rsidR="00D72B3D" w:rsidRPr="00A56585">
              <w:rPr>
                <w:rStyle w:val="Hipercze"/>
                <w:rFonts w:cstheme="minorHAnsi"/>
                <w:noProof/>
              </w:rPr>
              <w:t>Usługi zewnętrzne – wstępne orzeczenie (de minimis)</w:t>
            </w:r>
            <w:r w:rsidR="00D72B3D">
              <w:rPr>
                <w:noProof/>
                <w:webHidden/>
              </w:rPr>
              <w:tab/>
            </w:r>
            <w:r w:rsidR="00D72B3D">
              <w:rPr>
                <w:noProof/>
                <w:webHidden/>
              </w:rPr>
              <w:fldChar w:fldCharType="begin"/>
            </w:r>
            <w:r w:rsidR="00D72B3D">
              <w:rPr>
                <w:noProof/>
                <w:webHidden/>
              </w:rPr>
              <w:instrText xml:space="preserve"> PAGEREF _Toc148716455 \h </w:instrText>
            </w:r>
            <w:r w:rsidR="00D72B3D">
              <w:rPr>
                <w:noProof/>
                <w:webHidden/>
              </w:rPr>
            </w:r>
            <w:r w:rsidR="00D72B3D">
              <w:rPr>
                <w:noProof/>
                <w:webHidden/>
              </w:rPr>
              <w:fldChar w:fldCharType="separate"/>
            </w:r>
            <w:r w:rsidR="00D72B3D">
              <w:rPr>
                <w:noProof/>
                <w:webHidden/>
              </w:rPr>
              <w:t>52</w:t>
            </w:r>
            <w:r w:rsidR="00D72B3D">
              <w:rPr>
                <w:noProof/>
                <w:webHidden/>
              </w:rPr>
              <w:fldChar w:fldCharType="end"/>
            </w:r>
          </w:hyperlink>
        </w:p>
        <w:p w14:paraId="3884B31A" w14:textId="3C582B3E" w:rsidR="00D72B3D" w:rsidRDefault="00B952EE">
          <w:pPr>
            <w:pStyle w:val="Spistreci2"/>
            <w:rPr>
              <w:rFonts w:eastAsiaTheme="minorEastAsia"/>
              <w:noProof/>
              <w:lang w:eastAsia="pl-PL"/>
            </w:rPr>
          </w:pPr>
          <w:hyperlink w:anchor="_Toc148716456" w:history="1">
            <w:r w:rsidR="00D72B3D" w:rsidRPr="00A56585">
              <w:rPr>
                <w:rStyle w:val="Hipercze"/>
                <w:rFonts w:cstheme="minorHAnsi"/>
                <w:b/>
                <w:noProof/>
              </w:rPr>
              <w:t>Tabele intensywności wsparcia</w:t>
            </w:r>
            <w:r w:rsidR="00D72B3D">
              <w:rPr>
                <w:noProof/>
                <w:webHidden/>
              </w:rPr>
              <w:tab/>
            </w:r>
            <w:r w:rsidR="00D72B3D">
              <w:rPr>
                <w:noProof/>
                <w:webHidden/>
              </w:rPr>
              <w:fldChar w:fldCharType="begin"/>
            </w:r>
            <w:r w:rsidR="00D72B3D">
              <w:rPr>
                <w:noProof/>
                <w:webHidden/>
              </w:rPr>
              <w:instrText xml:space="preserve"> PAGEREF _Toc148716456 \h </w:instrText>
            </w:r>
            <w:r w:rsidR="00D72B3D">
              <w:rPr>
                <w:noProof/>
                <w:webHidden/>
              </w:rPr>
            </w:r>
            <w:r w:rsidR="00D72B3D">
              <w:rPr>
                <w:noProof/>
                <w:webHidden/>
              </w:rPr>
              <w:fldChar w:fldCharType="separate"/>
            </w:r>
            <w:r w:rsidR="00D72B3D">
              <w:rPr>
                <w:noProof/>
                <w:webHidden/>
              </w:rPr>
              <w:t>53</w:t>
            </w:r>
            <w:r w:rsidR="00D72B3D">
              <w:rPr>
                <w:noProof/>
                <w:webHidden/>
              </w:rPr>
              <w:fldChar w:fldCharType="end"/>
            </w:r>
          </w:hyperlink>
        </w:p>
        <w:p w14:paraId="0FB4F139" w14:textId="68ABA3CB" w:rsidR="00F1193F" w:rsidRPr="00907EF1" w:rsidRDefault="00240CE8" w:rsidP="00762814">
          <w:pPr>
            <w:spacing w:after="120" w:line="276" w:lineRule="auto"/>
            <w:rPr>
              <w:rFonts w:cstheme="minorHAnsi"/>
              <w:sz w:val="24"/>
              <w:szCs w:val="24"/>
            </w:rPr>
          </w:pPr>
          <w:r w:rsidRPr="00907EF1">
            <w:rPr>
              <w:rFonts w:cstheme="minorHAnsi"/>
              <w:b/>
              <w:bCs/>
              <w:noProof/>
              <w:sz w:val="24"/>
              <w:szCs w:val="24"/>
            </w:rPr>
            <w:fldChar w:fldCharType="end"/>
          </w:r>
        </w:p>
      </w:sdtContent>
    </w:sdt>
    <w:p w14:paraId="54A88D2A" w14:textId="6135DCAB" w:rsidR="00DC3683" w:rsidRPr="00907EF1" w:rsidRDefault="00DE4ADC" w:rsidP="00762814">
      <w:pPr>
        <w:spacing w:after="120" w:line="276" w:lineRule="auto"/>
        <w:rPr>
          <w:rFonts w:cstheme="minorHAnsi"/>
          <w:sz w:val="24"/>
          <w:szCs w:val="24"/>
        </w:rPr>
      </w:pPr>
      <w:r w:rsidRPr="00907EF1">
        <w:rPr>
          <w:rFonts w:cstheme="minorHAnsi"/>
          <w:sz w:val="24"/>
          <w:szCs w:val="24"/>
        </w:rPr>
        <w:br w:type="page"/>
      </w:r>
    </w:p>
    <w:p w14:paraId="75E3C9EF" w14:textId="1E68E8C4" w:rsidR="004D5283" w:rsidRPr="00930477" w:rsidRDefault="005E6967" w:rsidP="00BF47B4">
      <w:pPr>
        <w:pStyle w:val="Nagwek2"/>
        <w:numPr>
          <w:ilvl w:val="0"/>
          <w:numId w:val="38"/>
        </w:numPr>
        <w:spacing w:line="276" w:lineRule="auto"/>
        <w:ind w:left="714" w:hanging="357"/>
        <w:rPr>
          <w:rFonts w:asciiTheme="minorHAnsi" w:hAnsiTheme="minorHAnsi" w:cstheme="minorHAnsi"/>
          <w:b/>
          <w:color w:val="auto"/>
          <w:sz w:val="36"/>
          <w:szCs w:val="36"/>
        </w:rPr>
      </w:pPr>
      <w:bookmarkStart w:id="0" w:name="_Toc118719872"/>
      <w:bookmarkStart w:id="1" w:name="_Toc148716361"/>
      <w:r w:rsidRPr="00930477">
        <w:rPr>
          <w:rFonts w:asciiTheme="minorHAnsi" w:hAnsiTheme="minorHAnsi" w:cstheme="minorHAnsi"/>
          <w:b/>
          <w:color w:val="auto"/>
          <w:sz w:val="36"/>
          <w:szCs w:val="36"/>
        </w:rPr>
        <w:t>O</w:t>
      </w:r>
      <w:r w:rsidR="00722C21" w:rsidRPr="00930477">
        <w:rPr>
          <w:rFonts w:asciiTheme="minorHAnsi" w:hAnsiTheme="minorHAnsi" w:cstheme="minorHAnsi"/>
          <w:b/>
          <w:color w:val="auto"/>
          <w:sz w:val="36"/>
          <w:szCs w:val="36"/>
        </w:rPr>
        <w:t>gólne zasady kwalifikowalności wydatków w projekcie</w:t>
      </w:r>
      <w:bookmarkEnd w:id="0"/>
      <w:bookmarkEnd w:id="1"/>
      <w:r w:rsidR="004D5283" w:rsidRPr="00930477">
        <w:rPr>
          <w:rFonts w:asciiTheme="minorHAnsi" w:hAnsiTheme="minorHAnsi" w:cstheme="minorHAnsi"/>
          <w:b/>
          <w:color w:val="auto"/>
          <w:sz w:val="36"/>
          <w:szCs w:val="36"/>
        </w:rPr>
        <w:t xml:space="preserve"> </w:t>
      </w:r>
    </w:p>
    <w:p w14:paraId="2A86D729" w14:textId="4A8F2CE4" w:rsidR="0091310C" w:rsidRDefault="009869F5" w:rsidP="00762814">
      <w:pPr>
        <w:spacing w:after="120" w:line="276" w:lineRule="auto"/>
        <w:rPr>
          <w:rFonts w:cstheme="minorHAnsi"/>
          <w:sz w:val="24"/>
          <w:szCs w:val="24"/>
        </w:rPr>
      </w:pPr>
      <w:r w:rsidRPr="00762814">
        <w:rPr>
          <w:rFonts w:cstheme="minorHAnsi"/>
          <w:sz w:val="24"/>
          <w:szCs w:val="24"/>
        </w:rPr>
        <w:t>Pojęcia „wydatki kwalifikowalne” i „koszty kwalifikowalne” są stosowane w Przewodniku zamiennie.</w:t>
      </w:r>
    </w:p>
    <w:p w14:paraId="71B9F8F3" w14:textId="77777777" w:rsidR="00C30B0D" w:rsidRPr="00762814" w:rsidRDefault="00C30B0D" w:rsidP="00762814">
      <w:pPr>
        <w:spacing w:after="120" w:line="276" w:lineRule="auto"/>
        <w:rPr>
          <w:rFonts w:cstheme="minorHAnsi"/>
          <w:sz w:val="24"/>
          <w:szCs w:val="24"/>
        </w:rPr>
      </w:pPr>
    </w:p>
    <w:p w14:paraId="54D86378" w14:textId="2DF826DC" w:rsidR="007B41D7" w:rsidRPr="00930477" w:rsidRDefault="0037262B" w:rsidP="00930477">
      <w:pPr>
        <w:pStyle w:val="Nagwek3"/>
        <w:spacing w:line="276" w:lineRule="auto"/>
        <w:rPr>
          <w:rFonts w:asciiTheme="minorHAnsi" w:hAnsiTheme="minorHAnsi" w:cstheme="minorHAnsi"/>
          <w:color w:val="auto"/>
          <w:sz w:val="32"/>
        </w:rPr>
      </w:pPr>
      <w:bookmarkStart w:id="2" w:name="_Toc148716362"/>
      <w:r w:rsidRPr="00930477">
        <w:rPr>
          <w:rFonts w:asciiTheme="minorHAnsi" w:hAnsiTheme="minorHAnsi" w:cstheme="minorHAnsi"/>
          <w:color w:val="auto"/>
          <w:sz w:val="32"/>
        </w:rPr>
        <w:t>1.</w:t>
      </w:r>
      <w:r w:rsidR="002954EB" w:rsidRPr="00930477">
        <w:rPr>
          <w:rFonts w:asciiTheme="minorHAnsi" w:hAnsiTheme="minorHAnsi" w:cstheme="minorHAnsi"/>
          <w:color w:val="auto"/>
          <w:sz w:val="32"/>
        </w:rPr>
        <w:t>1</w:t>
      </w:r>
      <w:r w:rsidRPr="00930477">
        <w:rPr>
          <w:rFonts w:asciiTheme="minorHAnsi" w:hAnsiTheme="minorHAnsi" w:cstheme="minorHAnsi"/>
          <w:color w:val="auto"/>
          <w:sz w:val="32"/>
        </w:rPr>
        <w:t xml:space="preserve"> </w:t>
      </w:r>
      <w:r w:rsidR="007A01CD" w:rsidRPr="00930477">
        <w:rPr>
          <w:rFonts w:asciiTheme="minorHAnsi" w:hAnsiTheme="minorHAnsi" w:cstheme="minorHAnsi"/>
          <w:color w:val="auto"/>
          <w:sz w:val="32"/>
        </w:rPr>
        <w:t xml:space="preserve">Zasady kwalifikowalności </w:t>
      </w:r>
      <w:r w:rsidR="0014206D" w:rsidRPr="00930477">
        <w:rPr>
          <w:rFonts w:asciiTheme="minorHAnsi" w:hAnsiTheme="minorHAnsi" w:cstheme="minorHAnsi"/>
          <w:color w:val="auto"/>
          <w:sz w:val="32"/>
        </w:rPr>
        <w:t xml:space="preserve">wydatków </w:t>
      </w:r>
      <w:r w:rsidR="007A01CD" w:rsidRPr="00930477">
        <w:rPr>
          <w:rFonts w:asciiTheme="minorHAnsi" w:hAnsiTheme="minorHAnsi" w:cstheme="minorHAnsi"/>
          <w:color w:val="auto"/>
          <w:sz w:val="32"/>
        </w:rPr>
        <w:t>w ramach pomocy publicznej</w:t>
      </w:r>
      <w:r w:rsidR="0014206D" w:rsidRPr="00930477">
        <w:rPr>
          <w:rFonts w:asciiTheme="minorHAnsi" w:hAnsiTheme="minorHAnsi" w:cstheme="minorHAnsi"/>
          <w:color w:val="auto"/>
          <w:sz w:val="32"/>
        </w:rPr>
        <w:t xml:space="preserve"> oraz pomocy de minimis</w:t>
      </w:r>
      <w:bookmarkEnd w:id="2"/>
    </w:p>
    <w:p w14:paraId="47F0EFFE" w14:textId="294046F6" w:rsidR="000424AA" w:rsidRPr="00762814" w:rsidRDefault="00E85C4E" w:rsidP="00762814">
      <w:pPr>
        <w:pStyle w:val="Tekstkomentarza"/>
        <w:spacing w:after="120" w:line="276" w:lineRule="auto"/>
        <w:rPr>
          <w:rFonts w:cstheme="minorHAnsi"/>
          <w:sz w:val="24"/>
          <w:szCs w:val="24"/>
        </w:rPr>
      </w:pPr>
      <w:r w:rsidRPr="00762814">
        <w:rPr>
          <w:rFonts w:cstheme="minorHAnsi"/>
          <w:sz w:val="24"/>
          <w:szCs w:val="24"/>
        </w:rPr>
        <w:t>Maksymaln</w:t>
      </w:r>
      <w:r w:rsidR="009B7BC0" w:rsidRPr="00762814">
        <w:rPr>
          <w:rFonts w:cstheme="minorHAnsi"/>
          <w:sz w:val="24"/>
          <w:szCs w:val="24"/>
        </w:rPr>
        <w:t>e progi</w:t>
      </w:r>
      <w:r w:rsidRPr="00762814">
        <w:rPr>
          <w:rFonts w:cstheme="minorHAnsi"/>
          <w:sz w:val="24"/>
          <w:szCs w:val="24"/>
        </w:rPr>
        <w:t xml:space="preserve"> wartoś</w:t>
      </w:r>
      <w:r w:rsidR="00CB7E32" w:rsidRPr="00762814">
        <w:rPr>
          <w:rFonts w:cstheme="minorHAnsi"/>
          <w:sz w:val="24"/>
          <w:szCs w:val="24"/>
        </w:rPr>
        <w:t>ci</w:t>
      </w:r>
      <w:r w:rsidRPr="00762814">
        <w:rPr>
          <w:rFonts w:cstheme="minorHAnsi"/>
          <w:sz w:val="24"/>
          <w:szCs w:val="24"/>
        </w:rPr>
        <w:t xml:space="preserve"> </w:t>
      </w:r>
      <w:r w:rsidR="009B7BC0" w:rsidRPr="00762814">
        <w:rPr>
          <w:rFonts w:cstheme="minorHAnsi"/>
          <w:sz w:val="24"/>
          <w:szCs w:val="24"/>
        </w:rPr>
        <w:t xml:space="preserve">dofinansowania </w:t>
      </w:r>
      <w:r w:rsidR="00780D28" w:rsidRPr="00762814">
        <w:rPr>
          <w:rFonts w:cstheme="minorHAnsi"/>
          <w:sz w:val="24"/>
          <w:szCs w:val="24"/>
        </w:rPr>
        <w:t xml:space="preserve">i </w:t>
      </w:r>
      <w:r w:rsidR="009B7BC0" w:rsidRPr="00762814">
        <w:rPr>
          <w:rFonts w:cstheme="minorHAnsi"/>
          <w:sz w:val="24"/>
          <w:szCs w:val="24"/>
        </w:rPr>
        <w:t>jej</w:t>
      </w:r>
      <w:r w:rsidRPr="00762814">
        <w:rPr>
          <w:rFonts w:cstheme="minorHAnsi"/>
          <w:sz w:val="24"/>
          <w:szCs w:val="24"/>
        </w:rPr>
        <w:t xml:space="preserve"> intensywnoś</w:t>
      </w:r>
      <w:r w:rsidR="009B7BC0" w:rsidRPr="00762814">
        <w:rPr>
          <w:rFonts w:cstheme="minorHAnsi"/>
          <w:sz w:val="24"/>
          <w:szCs w:val="24"/>
        </w:rPr>
        <w:t>ci</w:t>
      </w:r>
      <w:r w:rsidR="00A32109" w:rsidRPr="00762814">
        <w:rPr>
          <w:rFonts w:cstheme="minorHAnsi"/>
          <w:sz w:val="24"/>
          <w:szCs w:val="24"/>
        </w:rPr>
        <w:t xml:space="preserve"> </w:t>
      </w:r>
      <w:r w:rsidR="00C1195C" w:rsidRPr="00762814">
        <w:rPr>
          <w:rFonts w:cstheme="minorHAnsi"/>
          <w:sz w:val="24"/>
          <w:szCs w:val="24"/>
        </w:rPr>
        <w:t xml:space="preserve">oraz rodzaje </w:t>
      </w:r>
      <w:r w:rsidR="00725C40" w:rsidRPr="00762814">
        <w:rPr>
          <w:rFonts w:cstheme="minorHAnsi"/>
          <w:sz w:val="24"/>
          <w:szCs w:val="24"/>
        </w:rPr>
        <w:t xml:space="preserve">wydatków </w:t>
      </w:r>
      <w:r w:rsidR="00C1195C" w:rsidRPr="00762814">
        <w:rPr>
          <w:rFonts w:cstheme="minorHAnsi"/>
          <w:sz w:val="24"/>
          <w:szCs w:val="24"/>
        </w:rPr>
        <w:t>kwalifikowa</w:t>
      </w:r>
      <w:r w:rsidR="000B17FE" w:rsidRPr="00762814">
        <w:rPr>
          <w:rFonts w:cstheme="minorHAnsi"/>
          <w:sz w:val="24"/>
          <w:szCs w:val="24"/>
        </w:rPr>
        <w:t>l</w:t>
      </w:r>
      <w:r w:rsidR="00C1195C" w:rsidRPr="00762814">
        <w:rPr>
          <w:rFonts w:cstheme="minorHAnsi"/>
          <w:sz w:val="24"/>
          <w:szCs w:val="24"/>
        </w:rPr>
        <w:t xml:space="preserve">nych wskazane w Przewodniku wynikają z </w:t>
      </w:r>
      <w:r w:rsidR="00554642" w:rsidRPr="00762814">
        <w:rPr>
          <w:rFonts w:cstheme="minorHAnsi"/>
          <w:sz w:val="24"/>
          <w:szCs w:val="24"/>
        </w:rPr>
        <w:t xml:space="preserve">zasad udzielania pomocy publicznej uregulowanych w </w:t>
      </w:r>
      <w:r w:rsidR="006433D3" w:rsidRPr="00762814">
        <w:rPr>
          <w:rFonts w:cstheme="minorHAnsi"/>
          <w:sz w:val="24"/>
          <w:szCs w:val="24"/>
        </w:rPr>
        <w:t>r</w:t>
      </w:r>
      <w:r w:rsidR="00C1195C" w:rsidRPr="00762814">
        <w:rPr>
          <w:rFonts w:cstheme="minorHAnsi"/>
          <w:sz w:val="24"/>
          <w:szCs w:val="24"/>
        </w:rPr>
        <w:t>ozporządzeni</w:t>
      </w:r>
      <w:r w:rsidR="00554642" w:rsidRPr="00762814">
        <w:rPr>
          <w:rFonts w:cstheme="minorHAnsi"/>
          <w:sz w:val="24"/>
          <w:szCs w:val="24"/>
        </w:rPr>
        <w:t>u</w:t>
      </w:r>
      <w:r w:rsidR="00C1195C" w:rsidRPr="00762814">
        <w:rPr>
          <w:rFonts w:cstheme="minorHAnsi"/>
          <w:sz w:val="24"/>
          <w:szCs w:val="24"/>
        </w:rPr>
        <w:t xml:space="preserve"> K</w:t>
      </w:r>
      <w:r w:rsidR="004250D9" w:rsidRPr="00762814">
        <w:rPr>
          <w:rFonts w:cstheme="minorHAnsi"/>
          <w:sz w:val="24"/>
          <w:szCs w:val="24"/>
        </w:rPr>
        <w:t>omisji (U</w:t>
      </w:r>
      <w:r w:rsidR="00C1195C" w:rsidRPr="00762814">
        <w:rPr>
          <w:rFonts w:cstheme="minorHAnsi"/>
          <w:sz w:val="24"/>
          <w:szCs w:val="24"/>
        </w:rPr>
        <w:t>E</w:t>
      </w:r>
      <w:r w:rsidR="004250D9" w:rsidRPr="00762814">
        <w:rPr>
          <w:rFonts w:cstheme="minorHAnsi"/>
          <w:sz w:val="24"/>
          <w:szCs w:val="24"/>
        </w:rPr>
        <w:t>)</w:t>
      </w:r>
      <w:r w:rsidR="00C1195C" w:rsidRPr="00762814">
        <w:rPr>
          <w:rFonts w:cstheme="minorHAnsi"/>
          <w:sz w:val="24"/>
          <w:szCs w:val="24"/>
        </w:rPr>
        <w:t xml:space="preserve"> </w:t>
      </w:r>
      <w:r w:rsidR="00CB7E32" w:rsidRPr="00762814">
        <w:rPr>
          <w:rFonts w:cstheme="minorHAnsi"/>
          <w:sz w:val="24"/>
          <w:szCs w:val="24"/>
        </w:rPr>
        <w:t xml:space="preserve">nr </w:t>
      </w:r>
      <w:r w:rsidR="00C1195C" w:rsidRPr="00762814">
        <w:rPr>
          <w:rFonts w:cstheme="minorHAnsi"/>
          <w:sz w:val="24"/>
          <w:szCs w:val="24"/>
        </w:rPr>
        <w:t>651/2014</w:t>
      </w:r>
      <w:r w:rsidRPr="00762814">
        <w:rPr>
          <w:rFonts w:cstheme="minorHAnsi"/>
          <w:sz w:val="24"/>
          <w:szCs w:val="24"/>
        </w:rPr>
        <w:t xml:space="preserve"> </w:t>
      </w:r>
      <w:r w:rsidR="00B43CF2" w:rsidRPr="00762814">
        <w:rPr>
          <w:rFonts w:cstheme="minorHAnsi"/>
          <w:sz w:val="24"/>
          <w:szCs w:val="24"/>
        </w:rPr>
        <w:t xml:space="preserve">z dnia 17 czerwca 2014 r. uznającym niektóre rodzaje pomocy za zgodne z rynkiem wewnętrznym w stosowaniu art. 107 i 108 Traktatu </w:t>
      </w:r>
      <w:r w:rsidR="00C30B0D">
        <w:rPr>
          <w:rFonts w:cstheme="minorHAnsi"/>
          <w:sz w:val="24"/>
          <w:szCs w:val="24"/>
        </w:rPr>
        <w:t>(</w:t>
      </w:r>
      <w:r w:rsidR="00C30590" w:rsidRPr="00C30590">
        <w:rPr>
          <w:rFonts w:cstheme="minorHAnsi"/>
          <w:sz w:val="24"/>
          <w:szCs w:val="24"/>
        </w:rPr>
        <w:t>Dz.U. L 187 z 26.6.2014, s. 1</w:t>
      </w:r>
      <w:r w:rsidR="00C30590">
        <w:rPr>
          <w:rFonts w:cstheme="minorHAnsi"/>
          <w:sz w:val="24"/>
          <w:szCs w:val="24"/>
        </w:rPr>
        <w:t xml:space="preserve">, </w:t>
      </w:r>
      <w:r w:rsidR="00C30B0D">
        <w:rPr>
          <w:rFonts w:cstheme="minorHAnsi"/>
          <w:sz w:val="24"/>
          <w:szCs w:val="24"/>
        </w:rPr>
        <w:t xml:space="preserve">z późn. zm.) </w:t>
      </w:r>
      <w:r w:rsidR="00592079" w:rsidRPr="00762814">
        <w:rPr>
          <w:rFonts w:cstheme="minorHAnsi"/>
          <w:sz w:val="24"/>
          <w:szCs w:val="24"/>
        </w:rPr>
        <w:t>(</w:t>
      </w:r>
      <w:r w:rsidR="00217439" w:rsidRPr="00762814">
        <w:rPr>
          <w:rFonts w:cstheme="minorHAnsi"/>
          <w:sz w:val="24"/>
          <w:szCs w:val="24"/>
        </w:rPr>
        <w:t>dalej:</w:t>
      </w:r>
      <w:r w:rsidR="00554642" w:rsidRPr="00762814">
        <w:rPr>
          <w:rFonts w:cstheme="minorHAnsi"/>
          <w:sz w:val="24"/>
          <w:szCs w:val="24"/>
        </w:rPr>
        <w:t xml:space="preserve"> </w:t>
      </w:r>
      <w:bookmarkStart w:id="3" w:name="_Hlk122352104"/>
      <w:r w:rsidR="006433D3" w:rsidRPr="00762814">
        <w:rPr>
          <w:rFonts w:cstheme="minorHAnsi"/>
          <w:b/>
          <w:bCs/>
          <w:sz w:val="24"/>
          <w:szCs w:val="24"/>
        </w:rPr>
        <w:t>r</w:t>
      </w:r>
      <w:r w:rsidR="00554642" w:rsidRPr="00762814">
        <w:rPr>
          <w:rFonts w:cstheme="minorHAnsi"/>
          <w:b/>
          <w:bCs/>
          <w:sz w:val="24"/>
          <w:szCs w:val="24"/>
        </w:rPr>
        <w:t xml:space="preserve">ozporządzenie </w:t>
      </w:r>
      <w:r w:rsidR="004250D9" w:rsidRPr="00762814">
        <w:rPr>
          <w:rFonts w:cstheme="minorHAnsi"/>
          <w:b/>
          <w:bCs/>
          <w:sz w:val="24"/>
          <w:szCs w:val="24"/>
        </w:rPr>
        <w:t xml:space="preserve">Komisji (UE) nr </w:t>
      </w:r>
      <w:r w:rsidR="00554642" w:rsidRPr="00762814">
        <w:rPr>
          <w:rFonts w:cstheme="minorHAnsi"/>
          <w:b/>
          <w:bCs/>
          <w:sz w:val="24"/>
          <w:szCs w:val="24"/>
        </w:rPr>
        <w:t>651/2014</w:t>
      </w:r>
      <w:bookmarkEnd w:id="3"/>
      <w:r w:rsidR="00554642" w:rsidRPr="00762814">
        <w:rPr>
          <w:rFonts w:cstheme="minorHAnsi"/>
          <w:sz w:val="24"/>
          <w:szCs w:val="24"/>
        </w:rPr>
        <w:t xml:space="preserve">) </w:t>
      </w:r>
      <w:r w:rsidRPr="00762814">
        <w:rPr>
          <w:rFonts w:cstheme="minorHAnsi"/>
          <w:sz w:val="24"/>
          <w:szCs w:val="24"/>
        </w:rPr>
        <w:t xml:space="preserve">oraz </w:t>
      </w:r>
      <w:r w:rsidR="00554642" w:rsidRPr="00762814">
        <w:rPr>
          <w:rFonts w:cstheme="minorHAnsi"/>
          <w:sz w:val="24"/>
          <w:szCs w:val="24"/>
        </w:rPr>
        <w:t xml:space="preserve">zasad udzielania pomocy </w:t>
      </w:r>
      <w:r w:rsidR="00554642" w:rsidRPr="00762814">
        <w:rPr>
          <w:rFonts w:cstheme="minorHAnsi"/>
          <w:i/>
          <w:sz w:val="24"/>
          <w:szCs w:val="24"/>
        </w:rPr>
        <w:t>de minimis</w:t>
      </w:r>
      <w:r w:rsidR="00554642" w:rsidRPr="00762814">
        <w:rPr>
          <w:rFonts w:cstheme="minorHAnsi"/>
          <w:sz w:val="24"/>
          <w:szCs w:val="24"/>
        </w:rPr>
        <w:t xml:space="preserve"> uregulowanych w </w:t>
      </w:r>
      <w:r w:rsidRPr="00762814">
        <w:rPr>
          <w:rFonts w:cstheme="minorHAnsi"/>
          <w:sz w:val="24"/>
          <w:szCs w:val="24"/>
        </w:rPr>
        <w:t>Rozporządzeni</w:t>
      </w:r>
      <w:r w:rsidR="00554642" w:rsidRPr="00762814">
        <w:rPr>
          <w:rFonts w:cstheme="minorHAnsi"/>
          <w:sz w:val="24"/>
          <w:szCs w:val="24"/>
        </w:rPr>
        <w:t>u</w:t>
      </w:r>
      <w:r w:rsidRPr="00762814">
        <w:rPr>
          <w:rFonts w:cstheme="minorHAnsi"/>
          <w:sz w:val="24"/>
          <w:szCs w:val="24"/>
        </w:rPr>
        <w:t xml:space="preserve"> Komisji (UE) nr 1407/2013</w:t>
      </w:r>
      <w:r w:rsidR="00A32109" w:rsidRPr="00762814">
        <w:rPr>
          <w:rFonts w:cstheme="minorHAnsi"/>
          <w:sz w:val="24"/>
          <w:szCs w:val="24"/>
        </w:rPr>
        <w:t xml:space="preserve"> z dnia 18 grudnia 2013 r. w sprawie stosowania art. 107 i 108 Traktatu o funkcjonowaniu Unii Europejskiej do pomocy </w:t>
      </w:r>
      <w:r w:rsidR="00A32109" w:rsidRPr="00762814">
        <w:rPr>
          <w:rFonts w:cstheme="minorHAnsi"/>
          <w:i/>
          <w:sz w:val="24"/>
          <w:szCs w:val="24"/>
        </w:rPr>
        <w:t>de minimis</w:t>
      </w:r>
      <w:r w:rsidR="0014206D" w:rsidRPr="00762814">
        <w:rPr>
          <w:rFonts w:cstheme="minorHAnsi"/>
          <w:sz w:val="24"/>
          <w:szCs w:val="24"/>
        </w:rPr>
        <w:t xml:space="preserve"> </w:t>
      </w:r>
      <w:r w:rsidR="00C30B0D">
        <w:rPr>
          <w:rFonts w:cstheme="minorHAnsi"/>
          <w:sz w:val="24"/>
          <w:szCs w:val="24"/>
        </w:rPr>
        <w:t>(</w:t>
      </w:r>
      <w:r w:rsidR="00C30590" w:rsidRPr="00C30590">
        <w:rPr>
          <w:rFonts w:cstheme="minorHAnsi"/>
          <w:sz w:val="24"/>
          <w:szCs w:val="24"/>
        </w:rPr>
        <w:t>Dz. Urz. UE L 352 z dnia 24 grudnia 2013 r., str. 1</w:t>
      </w:r>
      <w:r w:rsidR="00C30590">
        <w:rPr>
          <w:rFonts w:cstheme="minorHAnsi"/>
          <w:sz w:val="24"/>
          <w:szCs w:val="24"/>
        </w:rPr>
        <w:t xml:space="preserve">, </w:t>
      </w:r>
      <w:r w:rsidR="00C30B0D">
        <w:rPr>
          <w:rFonts w:cstheme="minorHAnsi"/>
          <w:sz w:val="24"/>
          <w:szCs w:val="24"/>
        </w:rPr>
        <w:t xml:space="preserve">z późn. zm.) </w:t>
      </w:r>
      <w:r w:rsidR="0014206D" w:rsidRPr="00762814">
        <w:rPr>
          <w:rFonts w:cstheme="minorHAnsi"/>
          <w:sz w:val="24"/>
          <w:szCs w:val="24"/>
        </w:rPr>
        <w:t xml:space="preserve">(dalej: </w:t>
      </w:r>
      <w:r w:rsidR="0014206D" w:rsidRPr="00762814">
        <w:rPr>
          <w:rFonts w:cstheme="minorHAnsi"/>
          <w:b/>
          <w:bCs/>
          <w:sz w:val="24"/>
          <w:szCs w:val="24"/>
        </w:rPr>
        <w:t xml:space="preserve">Rozporządzenie </w:t>
      </w:r>
      <w:r w:rsidR="00C30590" w:rsidRPr="00C30590">
        <w:rPr>
          <w:rFonts w:cstheme="minorHAnsi"/>
          <w:b/>
          <w:bCs/>
          <w:sz w:val="24"/>
          <w:szCs w:val="24"/>
        </w:rPr>
        <w:t>Komisji (UE)</w:t>
      </w:r>
      <w:r w:rsidR="00C30590">
        <w:rPr>
          <w:rFonts w:cstheme="minorHAnsi"/>
          <w:b/>
          <w:bCs/>
          <w:sz w:val="24"/>
          <w:szCs w:val="24"/>
        </w:rPr>
        <w:t xml:space="preserve"> </w:t>
      </w:r>
      <w:r w:rsidR="00554642" w:rsidRPr="00762814">
        <w:rPr>
          <w:rFonts w:cstheme="minorHAnsi"/>
          <w:b/>
          <w:bCs/>
          <w:sz w:val="24"/>
          <w:szCs w:val="24"/>
        </w:rPr>
        <w:t>1407/2013</w:t>
      </w:r>
      <w:r w:rsidR="0014206D" w:rsidRPr="00762814">
        <w:rPr>
          <w:rFonts w:cstheme="minorHAnsi"/>
          <w:sz w:val="24"/>
          <w:szCs w:val="24"/>
        </w:rPr>
        <w:t>)</w:t>
      </w:r>
      <w:r w:rsidR="00A32109" w:rsidRPr="00762814">
        <w:rPr>
          <w:rFonts w:cstheme="minorHAnsi"/>
          <w:sz w:val="24"/>
          <w:szCs w:val="24"/>
        </w:rPr>
        <w:t>.</w:t>
      </w:r>
      <w:r w:rsidR="0014206D" w:rsidRPr="00762814">
        <w:rPr>
          <w:rFonts w:cstheme="minorHAnsi"/>
          <w:sz w:val="24"/>
          <w:szCs w:val="24"/>
        </w:rPr>
        <w:t xml:space="preserve"> </w:t>
      </w:r>
      <w:r w:rsidR="00573495">
        <w:rPr>
          <w:rFonts w:cstheme="minorHAnsi"/>
          <w:sz w:val="24"/>
          <w:szCs w:val="24"/>
        </w:rPr>
        <w:t xml:space="preserve"> </w:t>
      </w:r>
    </w:p>
    <w:p w14:paraId="34009BAF" w14:textId="45FFBABD" w:rsidR="00427515" w:rsidRPr="00427515" w:rsidRDefault="008F782F" w:rsidP="00427515">
      <w:pPr>
        <w:spacing w:after="120" w:line="276" w:lineRule="auto"/>
        <w:rPr>
          <w:rFonts w:cstheme="minorHAnsi"/>
          <w:sz w:val="24"/>
          <w:szCs w:val="24"/>
        </w:rPr>
      </w:pPr>
      <w:bookmarkStart w:id="4" w:name="_Hlk120197239"/>
      <w:r w:rsidRPr="00427515">
        <w:rPr>
          <w:rFonts w:cstheme="minorHAnsi"/>
          <w:b/>
          <w:bCs/>
          <w:sz w:val="24"/>
          <w:szCs w:val="24"/>
        </w:rPr>
        <w:t>W</w:t>
      </w:r>
      <w:r w:rsidR="00A023D4" w:rsidRPr="00427515">
        <w:rPr>
          <w:rFonts w:cstheme="minorHAnsi"/>
          <w:b/>
          <w:bCs/>
          <w:sz w:val="24"/>
          <w:szCs w:val="24"/>
        </w:rPr>
        <w:t>artość pomocy publicznej</w:t>
      </w:r>
      <w:r w:rsidR="00A023D4" w:rsidRPr="00427515">
        <w:rPr>
          <w:rFonts w:cstheme="minorHAnsi"/>
          <w:sz w:val="24"/>
          <w:szCs w:val="24"/>
        </w:rPr>
        <w:t xml:space="preserve"> w ramach poszczególnych przeznaczeń pomocy udzielonych w </w:t>
      </w:r>
      <w:r w:rsidR="00A023D4" w:rsidRPr="00427515">
        <w:rPr>
          <w:rFonts w:cstheme="minorHAnsi"/>
          <w:sz w:val="24"/>
          <w:szCs w:val="24"/>
          <w:u w:val="single"/>
        </w:rPr>
        <w:t xml:space="preserve">projekcie </w:t>
      </w:r>
      <w:r w:rsidR="00A023D4" w:rsidRPr="00427515">
        <w:rPr>
          <w:rFonts w:cstheme="minorHAnsi"/>
          <w:sz w:val="24"/>
          <w:szCs w:val="24"/>
        </w:rPr>
        <w:t xml:space="preserve">nie może przekroczyć progów wskazanych w </w:t>
      </w:r>
      <w:r w:rsidR="00A023D4" w:rsidRPr="00E879EB">
        <w:rPr>
          <w:rFonts w:cstheme="minorHAnsi"/>
          <w:b/>
          <w:bCs/>
          <w:sz w:val="24"/>
          <w:szCs w:val="24"/>
        </w:rPr>
        <w:t>art. 4</w:t>
      </w:r>
      <w:r w:rsidR="00554642" w:rsidRPr="00E879EB">
        <w:rPr>
          <w:rFonts w:cstheme="minorHAnsi"/>
          <w:b/>
          <w:bCs/>
          <w:sz w:val="24"/>
          <w:szCs w:val="24"/>
        </w:rPr>
        <w:t xml:space="preserve"> </w:t>
      </w:r>
      <w:r w:rsidR="006433D3" w:rsidRPr="00E879EB">
        <w:rPr>
          <w:rFonts w:cstheme="minorHAnsi"/>
          <w:b/>
          <w:bCs/>
          <w:sz w:val="24"/>
          <w:szCs w:val="24"/>
        </w:rPr>
        <w:t>r</w:t>
      </w:r>
      <w:r w:rsidR="00554642" w:rsidRPr="00E879EB">
        <w:rPr>
          <w:rFonts w:cstheme="minorHAnsi"/>
          <w:b/>
          <w:bCs/>
          <w:sz w:val="24"/>
          <w:szCs w:val="24"/>
        </w:rPr>
        <w:t>ozporządzeni</w:t>
      </w:r>
      <w:r w:rsidR="005B5A34" w:rsidRPr="00E879EB">
        <w:rPr>
          <w:rFonts w:cstheme="minorHAnsi"/>
          <w:b/>
          <w:bCs/>
          <w:sz w:val="24"/>
          <w:szCs w:val="24"/>
        </w:rPr>
        <w:t>a</w:t>
      </w:r>
      <w:r w:rsidR="008209D2" w:rsidRPr="00E879EB">
        <w:rPr>
          <w:rFonts w:cstheme="minorHAnsi"/>
          <w:b/>
          <w:bCs/>
          <w:sz w:val="24"/>
          <w:szCs w:val="24"/>
        </w:rPr>
        <w:t xml:space="preserve"> </w:t>
      </w:r>
      <w:bookmarkStart w:id="5" w:name="_Hlk124493774"/>
      <w:r w:rsidR="008209D2" w:rsidRPr="00E879EB">
        <w:rPr>
          <w:rFonts w:cstheme="minorHAnsi"/>
          <w:b/>
          <w:bCs/>
          <w:sz w:val="24"/>
          <w:szCs w:val="24"/>
        </w:rPr>
        <w:t>Komisji (UE) nr</w:t>
      </w:r>
      <w:r w:rsidR="00554642" w:rsidRPr="00E879EB">
        <w:rPr>
          <w:rFonts w:cstheme="minorHAnsi"/>
          <w:b/>
          <w:bCs/>
          <w:sz w:val="24"/>
          <w:szCs w:val="24"/>
        </w:rPr>
        <w:t xml:space="preserve"> </w:t>
      </w:r>
      <w:bookmarkEnd w:id="5"/>
      <w:r w:rsidR="00554642" w:rsidRPr="00E879EB">
        <w:rPr>
          <w:rFonts w:cstheme="minorHAnsi"/>
          <w:b/>
          <w:bCs/>
          <w:sz w:val="24"/>
          <w:szCs w:val="24"/>
        </w:rPr>
        <w:t>651/2014</w:t>
      </w:r>
      <w:r w:rsidR="00A023D4" w:rsidRPr="00E879EB">
        <w:rPr>
          <w:rFonts w:cstheme="minorHAnsi"/>
          <w:sz w:val="24"/>
          <w:szCs w:val="24"/>
        </w:rPr>
        <w:t>,</w:t>
      </w:r>
      <w:r w:rsidR="00573495">
        <w:rPr>
          <w:rFonts w:cstheme="minorHAnsi"/>
          <w:sz w:val="24"/>
          <w:szCs w:val="24"/>
        </w:rPr>
        <w:t xml:space="preserve"> </w:t>
      </w:r>
      <w:r w:rsidR="00A023D4" w:rsidRPr="00427515">
        <w:rPr>
          <w:rFonts w:cstheme="minorHAnsi"/>
          <w:sz w:val="24"/>
          <w:szCs w:val="24"/>
        </w:rPr>
        <w:t xml:space="preserve"> które</w:t>
      </w:r>
      <w:r w:rsidR="00427515">
        <w:rPr>
          <w:rFonts w:cstheme="minorHAnsi"/>
          <w:sz w:val="24"/>
          <w:szCs w:val="24"/>
        </w:rPr>
        <w:t xml:space="preserve"> </w:t>
      </w:r>
      <w:r w:rsidR="00427515" w:rsidRPr="00762814">
        <w:rPr>
          <w:rFonts w:cstheme="minorHAnsi"/>
          <w:b/>
          <w:bCs/>
          <w:sz w:val="24"/>
          <w:szCs w:val="24"/>
        </w:rPr>
        <w:t>dla poszczególnych przeznaczeń pomocy wynoszą</w:t>
      </w:r>
      <w:r w:rsidR="00573495">
        <w:rPr>
          <w:rFonts w:cstheme="minorHAnsi"/>
          <w:b/>
          <w:bCs/>
          <w:sz w:val="24"/>
          <w:szCs w:val="24"/>
        </w:rPr>
        <w:t xml:space="preserve"> </w:t>
      </w:r>
      <w:r w:rsidR="00573495" w:rsidRPr="003B299A">
        <w:rPr>
          <w:rFonts w:cstheme="minorHAnsi"/>
          <w:b/>
          <w:bCs/>
          <w:sz w:val="24"/>
          <w:szCs w:val="24"/>
        </w:rPr>
        <w:t>jak niżej, z zastrzeżeniem iż nie ma możliwości zwiększenia pierwotnie wnioskowanego dofinansowania:</w:t>
      </w:r>
      <w:r w:rsidR="00A023D4" w:rsidRPr="00427515">
        <w:rPr>
          <w:rFonts w:cstheme="minorHAnsi"/>
          <w:sz w:val="24"/>
          <w:szCs w:val="24"/>
        </w:rPr>
        <w:t xml:space="preserve"> </w:t>
      </w:r>
    </w:p>
    <w:p w14:paraId="05C6E1AC" w14:textId="0A87DBC8" w:rsidR="00573495" w:rsidRPr="00C30590" w:rsidRDefault="00427515" w:rsidP="00427515">
      <w:pPr>
        <w:pStyle w:val="Akapitzlist"/>
        <w:numPr>
          <w:ilvl w:val="0"/>
          <w:numId w:val="5"/>
        </w:numPr>
        <w:spacing w:after="120" w:line="276" w:lineRule="auto"/>
        <w:ind w:left="357" w:hanging="357"/>
        <w:contextualSpacing w:val="0"/>
        <w:rPr>
          <w:rFonts w:cstheme="minorHAnsi"/>
          <w:sz w:val="24"/>
          <w:szCs w:val="24"/>
        </w:rPr>
      </w:pPr>
      <w:r w:rsidRPr="00762814">
        <w:rPr>
          <w:rFonts w:cstheme="minorHAnsi"/>
          <w:sz w:val="24"/>
          <w:szCs w:val="24"/>
        </w:rPr>
        <w:t>regionalna pomoc inwestycyjna (art. 14)</w:t>
      </w:r>
      <w:r w:rsidR="00573495">
        <w:rPr>
          <w:rFonts w:cstheme="minorHAnsi"/>
          <w:b/>
          <w:bCs/>
          <w:sz w:val="24"/>
          <w:szCs w:val="24"/>
        </w:rPr>
        <w:t>:</w:t>
      </w:r>
    </w:p>
    <w:p w14:paraId="164F9C00" w14:textId="6C74D45C" w:rsidR="00573495" w:rsidRDefault="00573495" w:rsidP="00573495">
      <w:pPr>
        <w:pStyle w:val="Akapitzlist"/>
        <w:spacing w:after="120" w:line="276" w:lineRule="auto"/>
        <w:ind w:left="357"/>
        <w:contextualSpacing w:val="0"/>
        <w:rPr>
          <w:rFonts w:cstheme="minorHAnsi"/>
          <w:sz w:val="24"/>
          <w:szCs w:val="24"/>
        </w:rPr>
      </w:pPr>
      <w:r w:rsidRPr="00C30590">
        <w:rPr>
          <w:rFonts w:cstheme="minorHAnsi"/>
          <w:sz w:val="24"/>
          <w:szCs w:val="24"/>
        </w:rPr>
        <w:t>- dla inwestycji,</w:t>
      </w:r>
      <w:r w:rsidR="00605533">
        <w:rPr>
          <w:rFonts w:cstheme="minorHAnsi"/>
          <w:sz w:val="24"/>
          <w:szCs w:val="24"/>
        </w:rPr>
        <w:t xml:space="preserve"> </w:t>
      </w:r>
      <w:r w:rsidRPr="00C30590">
        <w:rPr>
          <w:rFonts w:cstheme="minorHAnsi"/>
          <w:sz w:val="24"/>
          <w:szCs w:val="24"/>
        </w:rPr>
        <w:t xml:space="preserve">której koszty kwalifikowalne wynoszą  </w:t>
      </w:r>
      <w:r w:rsidR="000424AA">
        <w:rPr>
          <w:rFonts w:cstheme="minorHAnsi"/>
          <w:sz w:val="24"/>
          <w:szCs w:val="24"/>
        </w:rPr>
        <w:t xml:space="preserve">od </w:t>
      </w:r>
      <w:r w:rsidRPr="00C30590">
        <w:rPr>
          <w:b/>
          <w:bCs/>
          <w:color w:val="000000"/>
          <w:sz w:val="24"/>
          <w:szCs w:val="24"/>
        </w:rPr>
        <w:t xml:space="preserve">55 </w:t>
      </w:r>
      <w:r w:rsidR="000424AA">
        <w:rPr>
          <w:b/>
          <w:bCs/>
          <w:color w:val="000000"/>
          <w:sz w:val="24"/>
          <w:szCs w:val="24"/>
        </w:rPr>
        <w:t>do</w:t>
      </w:r>
      <w:r w:rsidRPr="00C30590">
        <w:rPr>
          <w:b/>
          <w:bCs/>
          <w:color w:val="000000"/>
          <w:sz w:val="24"/>
          <w:szCs w:val="24"/>
        </w:rPr>
        <w:t xml:space="preserve"> 1</w:t>
      </w:r>
      <w:r w:rsidR="000424AA">
        <w:rPr>
          <w:b/>
          <w:bCs/>
          <w:color w:val="000000"/>
          <w:sz w:val="24"/>
          <w:szCs w:val="24"/>
        </w:rPr>
        <w:t>09</w:t>
      </w:r>
      <w:r w:rsidRPr="00C30590">
        <w:rPr>
          <w:b/>
          <w:bCs/>
          <w:color w:val="000000"/>
          <w:sz w:val="24"/>
          <w:szCs w:val="24"/>
        </w:rPr>
        <w:t xml:space="preserve"> mln euro</w:t>
      </w:r>
      <w:r>
        <w:rPr>
          <w:color w:val="000000"/>
          <w:sz w:val="24"/>
          <w:szCs w:val="24"/>
        </w:rPr>
        <w:t xml:space="preserve"> </w:t>
      </w:r>
      <w:r w:rsidR="000424AA">
        <w:rPr>
          <w:color w:val="000000"/>
          <w:sz w:val="24"/>
          <w:szCs w:val="24"/>
        </w:rPr>
        <w:t xml:space="preserve">wartość </w:t>
      </w:r>
      <w:r>
        <w:rPr>
          <w:color w:val="000000"/>
          <w:sz w:val="24"/>
          <w:szCs w:val="24"/>
        </w:rPr>
        <w:t xml:space="preserve">pomoc </w:t>
      </w:r>
      <w:r w:rsidRPr="00D64749">
        <w:rPr>
          <w:rFonts w:cstheme="minorHAnsi"/>
          <w:b/>
          <w:bCs/>
          <w:sz w:val="24"/>
          <w:szCs w:val="24"/>
        </w:rPr>
        <w:t>na przedsiębiorstwo na projekt inwestycyjny</w:t>
      </w:r>
      <w:r>
        <w:rPr>
          <w:color w:val="000000"/>
          <w:sz w:val="24"/>
          <w:szCs w:val="24"/>
        </w:rPr>
        <w:t xml:space="preserve"> nie może przekroczyć wartości </w:t>
      </w:r>
      <w:r w:rsidRPr="00762814">
        <w:rPr>
          <w:rStyle w:val="markedcontent"/>
          <w:rFonts w:cstheme="minorHAnsi"/>
          <w:sz w:val="24"/>
          <w:szCs w:val="24"/>
        </w:rPr>
        <w:t>„</w:t>
      </w:r>
      <w:r w:rsidRPr="00762814">
        <w:rPr>
          <w:rFonts w:cstheme="minorHAnsi"/>
          <w:sz w:val="24"/>
          <w:szCs w:val="24"/>
        </w:rPr>
        <w:t>dostosowan</w:t>
      </w:r>
      <w:r>
        <w:rPr>
          <w:rFonts w:cstheme="minorHAnsi"/>
          <w:sz w:val="24"/>
          <w:szCs w:val="24"/>
        </w:rPr>
        <w:t>ej</w:t>
      </w:r>
      <w:r w:rsidRPr="00762814">
        <w:rPr>
          <w:rFonts w:cstheme="minorHAnsi"/>
          <w:sz w:val="24"/>
          <w:szCs w:val="24"/>
        </w:rPr>
        <w:t xml:space="preserve"> kwot</w:t>
      </w:r>
      <w:r>
        <w:rPr>
          <w:rFonts w:cstheme="minorHAnsi"/>
          <w:sz w:val="24"/>
          <w:szCs w:val="24"/>
        </w:rPr>
        <w:t>y</w:t>
      </w:r>
      <w:r w:rsidRPr="00762814">
        <w:rPr>
          <w:rFonts w:cstheme="minorHAnsi"/>
          <w:sz w:val="24"/>
          <w:szCs w:val="24"/>
        </w:rPr>
        <w:t>” pomocy obliczon</w:t>
      </w:r>
      <w:r>
        <w:rPr>
          <w:rFonts w:cstheme="minorHAnsi"/>
          <w:sz w:val="24"/>
          <w:szCs w:val="24"/>
        </w:rPr>
        <w:t>ej</w:t>
      </w:r>
      <w:r w:rsidRPr="00762814">
        <w:rPr>
          <w:rFonts w:cstheme="minorHAnsi"/>
          <w:sz w:val="24"/>
          <w:szCs w:val="24"/>
        </w:rPr>
        <w:t xml:space="preserve"> zgodnie z mechanizmem określonym w art. 2 pkt 20 rozporządzenia Komisji (UE) nr 651/2014 </w:t>
      </w:r>
    </w:p>
    <w:p w14:paraId="6A6C72AC" w14:textId="18B19D0B" w:rsidR="00427515" w:rsidRPr="000A31ED" w:rsidRDefault="00573495" w:rsidP="00C30590">
      <w:pPr>
        <w:pStyle w:val="Akapitzlist"/>
        <w:spacing w:after="120" w:line="276" w:lineRule="auto"/>
        <w:ind w:left="357"/>
        <w:contextualSpacing w:val="0"/>
        <w:rPr>
          <w:rFonts w:cstheme="minorHAnsi"/>
          <w:sz w:val="24"/>
          <w:szCs w:val="24"/>
        </w:rPr>
      </w:pPr>
      <w:r>
        <w:rPr>
          <w:rFonts w:cstheme="minorHAnsi"/>
          <w:b/>
          <w:bCs/>
          <w:sz w:val="24"/>
          <w:szCs w:val="24"/>
        </w:rPr>
        <w:t xml:space="preserve">- </w:t>
      </w:r>
      <w:r w:rsidRPr="00762814">
        <w:rPr>
          <w:rFonts w:cstheme="minorHAnsi"/>
          <w:sz w:val="24"/>
          <w:szCs w:val="24"/>
        </w:rPr>
        <w:t xml:space="preserve">dla inwestycji, której koszty kwalifikowalne wynoszą </w:t>
      </w:r>
      <w:r>
        <w:rPr>
          <w:rFonts w:cstheme="minorHAnsi"/>
          <w:b/>
          <w:bCs/>
          <w:sz w:val="24"/>
          <w:szCs w:val="24"/>
        </w:rPr>
        <w:t>110</w:t>
      </w:r>
      <w:r w:rsidRPr="00762814">
        <w:rPr>
          <w:rFonts w:cstheme="minorHAnsi"/>
          <w:b/>
          <w:bCs/>
          <w:sz w:val="24"/>
          <w:szCs w:val="24"/>
        </w:rPr>
        <w:t xml:space="preserve"> mln EUR</w:t>
      </w:r>
      <w:r>
        <w:rPr>
          <w:rFonts w:cstheme="minorHAnsi"/>
          <w:b/>
          <w:bCs/>
          <w:sz w:val="24"/>
          <w:szCs w:val="24"/>
        </w:rPr>
        <w:t xml:space="preserve"> lub więcej</w:t>
      </w:r>
      <w:r>
        <w:rPr>
          <w:rFonts w:cstheme="minorHAnsi"/>
          <w:bCs/>
          <w:sz w:val="24"/>
          <w:szCs w:val="24"/>
        </w:rPr>
        <w:t xml:space="preserve"> </w:t>
      </w:r>
      <w:r>
        <w:rPr>
          <w:rFonts w:cstheme="minorHAnsi"/>
          <w:b/>
          <w:bCs/>
          <w:sz w:val="24"/>
          <w:szCs w:val="24"/>
        </w:rPr>
        <w:t xml:space="preserve">wartość pomocy </w:t>
      </w:r>
      <w:r w:rsidRPr="00D64749">
        <w:rPr>
          <w:rFonts w:cstheme="minorHAnsi"/>
          <w:b/>
          <w:bCs/>
          <w:sz w:val="24"/>
          <w:szCs w:val="24"/>
        </w:rPr>
        <w:t>na przedsiębiorstwo na projekt inwestycyjny</w:t>
      </w:r>
      <w:r>
        <w:rPr>
          <w:rFonts w:cstheme="minorHAnsi"/>
          <w:b/>
          <w:bCs/>
          <w:sz w:val="24"/>
          <w:szCs w:val="24"/>
        </w:rPr>
        <w:t xml:space="preserve"> </w:t>
      </w:r>
      <w:r w:rsidRPr="00C30590">
        <w:rPr>
          <w:rFonts w:cstheme="minorHAnsi"/>
          <w:sz w:val="24"/>
          <w:szCs w:val="24"/>
        </w:rPr>
        <w:t xml:space="preserve">nie może </w:t>
      </w:r>
      <w:r w:rsidR="000424AA" w:rsidRPr="00C30590">
        <w:rPr>
          <w:rFonts w:cstheme="minorHAnsi"/>
          <w:sz w:val="24"/>
          <w:szCs w:val="24"/>
        </w:rPr>
        <w:t>przekroczyć</w:t>
      </w:r>
      <w:r w:rsidR="00427515" w:rsidRPr="000A31ED">
        <w:rPr>
          <w:rFonts w:cstheme="minorHAnsi"/>
          <w:sz w:val="24"/>
          <w:szCs w:val="24"/>
        </w:rPr>
        <w:t>:</w:t>
      </w:r>
    </w:p>
    <w:p w14:paraId="5D782812" w14:textId="77777777" w:rsidR="00427515" w:rsidRPr="00B615A6" w:rsidRDefault="00427515" w:rsidP="00427515">
      <w:pPr>
        <w:pStyle w:val="Akapitzlist"/>
        <w:numPr>
          <w:ilvl w:val="1"/>
          <w:numId w:val="5"/>
        </w:numPr>
        <w:spacing w:after="120" w:line="276" w:lineRule="auto"/>
        <w:rPr>
          <w:rFonts w:cstheme="minorHAnsi"/>
          <w:sz w:val="24"/>
          <w:szCs w:val="24"/>
        </w:rPr>
      </w:pPr>
      <w:r w:rsidRPr="00B615A6">
        <w:rPr>
          <w:rFonts w:cstheme="minorHAnsi"/>
          <w:sz w:val="24"/>
          <w:szCs w:val="24"/>
        </w:rPr>
        <w:t>w przypadku maksymalnej intensywności pomocy regionalnej na poziomie 15 %: 12,38 mln EUR;</w:t>
      </w:r>
    </w:p>
    <w:p w14:paraId="65A6107B" w14:textId="77777777" w:rsidR="00427515" w:rsidRPr="00B615A6" w:rsidRDefault="00427515" w:rsidP="00427515">
      <w:pPr>
        <w:pStyle w:val="Akapitzlist"/>
        <w:numPr>
          <w:ilvl w:val="1"/>
          <w:numId w:val="5"/>
        </w:numPr>
        <w:spacing w:after="120" w:line="276" w:lineRule="auto"/>
        <w:rPr>
          <w:rFonts w:cstheme="minorHAnsi"/>
          <w:sz w:val="24"/>
          <w:szCs w:val="24"/>
        </w:rPr>
      </w:pPr>
      <w:r w:rsidRPr="00B615A6">
        <w:rPr>
          <w:rFonts w:cstheme="minorHAnsi"/>
          <w:sz w:val="24"/>
          <w:szCs w:val="24"/>
        </w:rPr>
        <w:t>w przypadku maksymalnej intensywności pomocy regionalnej na poziomie 20 %: 16,5 mln EUR;</w:t>
      </w:r>
    </w:p>
    <w:p w14:paraId="2ED325A3" w14:textId="77777777" w:rsidR="00427515" w:rsidRPr="00B615A6" w:rsidRDefault="00427515" w:rsidP="00427515">
      <w:pPr>
        <w:pStyle w:val="Akapitzlist"/>
        <w:numPr>
          <w:ilvl w:val="1"/>
          <w:numId w:val="5"/>
        </w:numPr>
        <w:spacing w:after="120" w:line="276" w:lineRule="auto"/>
        <w:rPr>
          <w:rFonts w:cstheme="minorHAnsi"/>
          <w:sz w:val="24"/>
          <w:szCs w:val="24"/>
        </w:rPr>
      </w:pPr>
      <w:r w:rsidRPr="00B615A6">
        <w:rPr>
          <w:rFonts w:cstheme="minorHAnsi"/>
          <w:sz w:val="24"/>
          <w:szCs w:val="24"/>
        </w:rPr>
        <w:t>w przypadku maksymalnej intensywności pomocy regionalnej na poziomie 25 %: 20,63 mln EUR;</w:t>
      </w:r>
    </w:p>
    <w:p w14:paraId="7557A7B7" w14:textId="77777777" w:rsidR="00427515" w:rsidRPr="00B615A6" w:rsidRDefault="00427515" w:rsidP="00427515">
      <w:pPr>
        <w:pStyle w:val="Akapitzlist"/>
        <w:numPr>
          <w:ilvl w:val="1"/>
          <w:numId w:val="5"/>
        </w:numPr>
        <w:spacing w:after="120" w:line="276" w:lineRule="auto"/>
        <w:rPr>
          <w:rFonts w:cstheme="minorHAnsi"/>
          <w:sz w:val="24"/>
          <w:szCs w:val="24"/>
        </w:rPr>
      </w:pPr>
      <w:r w:rsidRPr="00B615A6">
        <w:rPr>
          <w:rFonts w:cstheme="minorHAnsi"/>
          <w:sz w:val="24"/>
          <w:szCs w:val="24"/>
        </w:rPr>
        <w:t>w przypadku maksymalnej intensywności pomocy regionalnej na poziomie 30 %: 24,75 mln EUR;</w:t>
      </w:r>
    </w:p>
    <w:p w14:paraId="3ECA1EF4" w14:textId="77777777" w:rsidR="00427515" w:rsidRPr="00B615A6" w:rsidRDefault="00427515" w:rsidP="00427515">
      <w:pPr>
        <w:pStyle w:val="Akapitzlist"/>
        <w:numPr>
          <w:ilvl w:val="1"/>
          <w:numId w:val="5"/>
        </w:numPr>
        <w:spacing w:after="120" w:line="276" w:lineRule="auto"/>
        <w:rPr>
          <w:rFonts w:cstheme="minorHAnsi"/>
          <w:sz w:val="24"/>
          <w:szCs w:val="24"/>
        </w:rPr>
      </w:pPr>
      <w:r w:rsidRPr="00B615A6">
        <w:rPr>
          <w:rFonts w:cstheme="minorHAnsi"/>
          <w:sz w:val="24"/>
          <w:szCs w:val="24"/>
        </w:rPr>
        <w:t>w przypadku maksymalnej intensywności pomocy regionalnej na poziomie 35 %: 28,88 mln EUR;</w:t>
      </w:r>
    </w:p>
    <w:p w14:paraId="6B1239B3" w14:textId="77777777" w:rsidR="00427515" w:rsidRPr="00B615A6" w:rsidRDefault="00427515" w:rsidP="00427515">
      <w:pPr>
        <w:pStyle w:val="Akapitzlist"/>
        <w:numPr>
          <w:ilvl w:val="1"/>
          <w:numId w:val="5"/>
        </w:numPr>
        <w:spacing w:after="120" w:line="276" w:lineRule="auto"/>
        <w:rPr>
          <w:rFonts w:cstheme="minorHAnsi"/>
          <w:sz w:val="24"/>
          <w:szCs w:val="24"/>
        </w:rPr>
      </w:pPr>
      <w:r w:rsidRPr="00B615A6">
        <w:rPr>
          <w:rFonts w:cstheme="minorHAnsi"/>
          <w:sz w:val="24"/>
          <w:szCs w:val="24"/>
        </w:rPr>
        <w:t>w przypadku maksymalnej intensywności pomocy regionalnej na poziomie 40 %: 33 mln EUR;</w:t>
      </w:r>
    </w:p>
    <w:p w14:paraId="0F3C685A" w14:textId="77777777" w:rsidR="00605533" w:rsidRPr="00605533" w:rsidRDefault="00427515" w:rsidP="00427515">
      <w:pPr>
        <w:pStyle w:val="Akapitzlist"/>
        <w:numPr>
          <w:ilvl w:val="0"/>
          <w:numId w:val="5"/>
        </w:numPr>
        <w:spacing w:after="120" w:line="276" w:lineRule="auto"/>
        <w:ind w:left="357" w:hanging="357"/>
        <w:contextualSpacing w:val="0"/>
        <w:rPr>
          <w:rFonts w:cstheme="minorHAnsi"/>
          <w:b/>
          <w:bCs/>
          <w:sz w:val="24"/>
          <w:szCs w:val="24"/>
        </w:rPr>
      </w:pPr>
      <w:r w:rsidRPr="00B615A6">
        <w:rPr>
          <w:rFonts w:cstheme="minorHAnsi"/>
          <w:sz w:val="24"/>
          <w:szCs w:val="24"/>
        </w:rPr>
        <w:t>w przypadku maksymalnej intensywności pomocy regionalnej na poziomie 50 %: 41,25 mln EUR</w:t>
      </w:r>
      <w:r>
        <w:rPr>
          <w:rFonts w:cstheme="minorHAnsi"/>
          <w:sz w:val="24"/>
          <w:szCs w:val="24"/>
        </w:rPr>
        <w:t>;</w:t>
      </w:r>
    </w:p>
    <w:p w14:paraId="6BC7CDD5" w14:textId="7B65E62E" w:rsidR="00427515" w:rsidRPr="00762814" w:rsidRDefault="00427515" w:rsidP="00427515">
      <w:pPr>
        <w:pStyle w:val="Akapitzlist"/>
        <w:numPr>
          <w:ilvl w:val="0"/>
          <w:numId w:val="5"/>
        </w:numPr>
        <w:spacing w:after="120" w:line="276" w:lineRule="auto"/>
        <w:ind w:left="357" w:hanging="357"/>
        <w:contextualSpacing w:val="0"/>
        <w:rPr>
          <w:rFonts w:cstheme="minorHAnsi"/>
          <w:b/>
          <w:bCs/>
          <w:sz w:val="24"/>
          <w:szCs w:val="24"/>
        </w:rPr>
      </w:pPr>
      <w:r w:rsidRPr="00762814">
        <w:rPr>
          <w:rFonts w:cstheme="minorHAnsi"/>
          <w:sz w:val="24"/>
          <w:szCs w:val="24"/>
        </w:rPr>
        <w:t xml:space="preserve">pomoc na usługi doradcze na rzecz MŚP (art. 18): </w:t>
      </w:r>
      <w:r w:rsidRPr="00762814">
        <w:rPr>
          <w:rFonts w:cstheme="minorHAnsi"/>
          <w:b/>
          <w:bCs/>
          <w:sz w:val="24"/>
          <w:szCs w:val="24"/>
        </w:rPr>
        <w:t>2</w:t>
      </w:r>
      <w:r>
        <w:rPr>
          <w:rFonts w:cstheme="minorHAnsi"/>
          <w:b/>
          <w:bCs/>
          <w:sz w:val="24"/>
          <w:szCs w:val="24"/>
        </w:rPr>
        <w:t>,2</w:t>
      </w:r>
      <w:r w:rsidRPr="00762814">
        <w:rPr>
          <w:rFonts w:cstheme="minorHAnsi"/>
          <w:b/>
          <w:bCs/>
          <w:sz w:val="24"/>
          <w:szCs w:val="24"/>
        </w:rPr>
        <w:t xml:space="preserve"> mln EUR</w:t>
      </w:r>
      <w:r w:rsidRPr="00FE611A">
        <w:t xml:space="preserve"> </w:t>
      </w:r>
      <w:r w:rsidRPr="00FE611A">
        <w:rPr>
          <w:rFonts w:cstheme="minorHAnsi"/>
          <w:sz w:val="24"/>
          <w:szCs w:val="24"/>
        </w:rPr>
        <w:t>na przedsiębiorstwo i na projekt;</w:t>
      </w:r>
    </w:p>
    <w:p w14:paraId="6B30681A" w14:textId="77777777" w:rsidR="00427515" w:rsidRPr="00762814" w:rsidRDefault="00427515" w:rsidP="00427515">
      <w:pPr>
        <w:pStyle w:val="Akapitzlist"/>
        <w:numPr>
          <w:ilvl w:val="0"/>
          <w:numId w:val="5"/>
        </w:numPr>
        <w:spacing w:after="120" w:line="276" w:lineRule="auto"/>
        <w:ind w:left="357" w:hanging="357"/>
        <w:contextualSpacing w:val="0"/>
        <w:rPr>
          <w:rFonts w:cstheme="minorHAnsi"/>
          <w:sz w:val="24"/>
          <w:szCs w:val="24"/>
        </w:rPr>
      </w:pPr>
      <w:r w:rsidRPr="00762814">
        <w:rPr>
          <w:rFonts w:cstheme="minorHAnsi"/>
          <w:sz w:val="24"/>
          <w:szCs w:val="24"/>
        </w:rPr>
        <w:t xml:space="preserve">pomoc na udział MŚP w targach (art. 19): </w:t>
      </w:r>
      <w:r w:rsidRPr="00762814">
        <w:rPr>
          <w:rFonts w:cstheme="minorHAnsi"/>
          <w:b/>
          <w:bCs/>
          <w:sz w:val="24"/>
          <w:szCs w:val="24"/>
        </w:rPr>
        <w:t>2</w:t>
      </w:r>
      <w:r>
        <w:rPr>
          <w:rFonts w:cstheme="minorHAnsi"/>
          <w:b/>
          <w:bCs/>
          <w:sz w:val="24"/>
          <w:szCs w:val="24"/>
        </w:rPr>
        <w:t>,2</w:t>
      </w:r>
      <w:r w:rsidRPr="00762814">
        <w:rPr>
          <w:rFonts w:cstheme="minorHAnsi"/>
          <w:b/>
          <w:bCs/>
          <w:sz w:val="24"/>
          <w:szCs w:val="24"/>
        </w:rPr>
        <w:t xml:space="preserve"> mln EUR </w:t>
      </w:r>
      <w:r w:rsidRPr="00E879EB">
        <w:rPr>
          <w:rFonts w:cstheme="minorHAnsi"/>
          <w:sz w:val="24"/>
          <w:szCs w:val="24"/>
        </w:rPr>
        <w:t>na przedsiębiorstwo rocznie;</w:t>
      </w:r>
    </w:p>
    <w:p w14:paraId="3B1693DF" w14:textId="77777777" w:rsidR="00427515" w:rsidRPr="00762814" w:rsidRDefault="00427515" w:rsidP="00427515">
      <w:pPr>
        <w:pStyle w:val="Akapitzlist"/>
        <w:numPr>
          <w:ilvl w:val="0"/>
          <w:numId w:val="5"/>
        </w:numPr>
        <w:spacing w:after="120" w:line="276" w:lineRule="auto"/>
        <w:ind w:left="357" w:hanging="357"/>
        <w:contextualSpacing w:val="0"/>
        <w:rPr>
          <w:rFonts w:cstheme="minorHAnsi"/>
          <w:sz w:val="24"/>
          <w:szCs w:val="24"/>
        </w:rPr>
      </w:pPr>
      <w:r w:rsidRPr="00762814">
        <w:rPr>
          <w:rFonts w:cstheme="minorHAnsi"/>
          <w:sz w:val="24"/>
          <w:szCs w:val="24"/>
        </w:rPr>
        <w:t xml:space="preserve">pomoc na projekty badawczo-rozwojowe (art. 25) w przypadku modułu B+R: </w:t>
      </w:r>
    </w:p>
    <w:p w14:paraId="6C33B78A" w14:textId="3689C0A3" w:rsidR="00427515" w:rsidRPr="00762814" w:rsidRDefault="00427515" w:rsidP="00427515">
      <w:pPr>
        <w:pStyle w:val="Akapitzlist"/>
        <w:numPr>
          <w:ilvl w:val="1"/>
          <w:numId w:val="5"/>
        </w:numPr>
        <w:spacing w:after="120" w:line="276" w:lineRule="auto"/>
        <w:ind w:left="851" w:hanging="425"/>
        <w:contextualSpacing w:val="0"/>
        <w:rPr>
          <w:rFonts w:cstheme="minorHAnsi"/>
          <w:sz w:val="24"/>
          <w:szCs w:val="24"/>
        </w:rPr>
      </w:pPr>
      <w:r w:rsidRPr="00762814">
        <w:rPr>
          <w:rFonts w:cstheme="minorHAnsi"/>
          <w:sz w:val="24"/>
          <w:szCs w:val="24"/>
        </w:rPr>
        <w:t xml:space="preserve">jeśli moduł obejmuje głównie badania przemysłowe: </w:t>
      </w:r>
      <w:r>
        <w:rPr>
          <w:rFonts w:cstheme="minorHAnsi"/>
          <w:b/>
          <w:bCs/>
          <w:sz w:val="24"/>
          <w:szCs w:val="24"/>
        </w:rPr>
        <w:t>35</w:t>
      </w:r>
      <w:r w:rsidRPr="00762814">
        <w:rPr>
          <w:rFonts w:cstheme="minorHAnsi"/>
          <w:b/>
          <w:bCs/>
          <w:sz w:val="24"/>
          <w:szCs w:val="24"/>
        </w:rPr>
        <w:t xml:space="preserve"> mln EUR</w:t>
      </w:r>
      <w:r w:rsidRPr="00762814">
        <w:rPr>
          <w:rFonts w:cstheme="minorHAnsi"/>
          <w:sz w:val="24"/>
          <w:szCs w:val="24"/>
        </w:rPr>
        <w:t xml:space="preserve"> </w:t>
      </w:r>
      <w:r w:rsidRPr="00727FBD">
        <w:rPr>
          <w:rFonts w:cstheme="minorHAnsi"/>
          <w:sz w:val="24"/>
          <w:szCs w:val="24"/>
        </w:rPr>
        <w:t>na przedsiębiorstwo i na projekt;</w:t>
      </w:r>
    </w:p>
    <w:p w14:paraId="171507B2" w14:textId="77777777" w:rsidR="00427515" w:rsidRPr="00762814" w:rsidRDefault="00427515" w:rsidP="00427515">
      <w:pPr>
        <w:pStyle w:val="Akapitzlist"/>
        <w:spacing w:after="120" w:line="276" w:lineRule="auto"/>
        <w:ind w:left="851"/>
        <w:contextualSpacing w:val="0"/>
        <w:rPr>
          <w:rFonts w:cstheme="minorHAnsi"/>
          <w:sz w:val="24"/>
          <w:szCs w:val="24"/>
        </w:rPr>
      </w:pPr>
      <w:r w:rsidRPr="00762814">
        <w:rPr>
          <w:rFonts w:cstheme="minorHAnsi"/>
          <w:sz w:val="24"/>
          <w:szCs w:val="24"/>
        </w:rPr>
        <w:t>Dotyczy to sytuacji, w której więcej niż połowa kosztów kwalifikowalnych modułu jest ponoszona na działania wchodzące w zakres kategorii badań przemysłowych;</w:t>
      </w:r>
    </w:p>
    <w:p w14:paraId="1CD4F422" w14:textId="5DAFF871" w:rsidR="00427515" w:rsidRPr="00762814" w:rsidRDefault="00427515" w:rsidP="00427515">
      <w:pPr>
        <w:pStyle w:val="Akapitzlist"/>
        <w:numPr>
          <w:ilvl w:val="1"/>
          <w:numId w:val="5"/>
        </w:numPr>
        <w:spacing w:after="120" w:line="276" w:lineRule="auto"/>
        <w:ind w:left="851" w:hanging="425"/>
        <w:contextualSpacing w:val="0"/>
        <w:rPr>
          <w:rFonts w:cstheme="minorHAnsi"/>
          <w:sz w:val="24"/>
          <w:szCs w:val="24"/>
        </w:rPr>
      </w:pPr>
      <w:r w:rsidRPr="00762814">
        <w:rPr>
          <w:rFonts w:cstheme="minorHAnsi"/>
          <w:sz w:val="24"/>
          <w:szCs w:val="24"/>
        </w:rPr>
        <w:t xml:space="preserve">jeśli moduł obejmuje głównie eksperymentalne prace rozwojowe: </w:t>
      </w:r>
      <w:r>
        <w:rPr>
          <w:rFonts w:cstheme="minorHAnsi"/>
          <w:b/>
          <w:bCs/>
          <w:sz w:val="24"/>
          <w:szCs w:val="24"/>
        </w:rPr>
        <w:t>25</w:t>
      </w:r>
      <w:r w:rsidRPr="00762814">
        <w:rPr>
          <w:rFonts w:cstheme="minorHAnsi"/>
          <w:b/>
          <w:bCs/>
          <w:sz w:val="24"/>
          <w:szCs w:val="24"/>
        </w:rPr>
        <w:t xml:space="preserve"> mln EUR</w:t>
      </w:r>
      <w:r w:rsidRPr="00762814">
        <w:rPr>
          <w:rFonts w:cstheme="minorHAnsi"/>
          <w:sz w:val="24"/>
          <w:szCs w:val="24"/>
        </w:rPr>
        <w:t xml:space="preserve"> </w:t>
      </w:r>
      <w:r w:rsidRPr="00727FBD">
        <w:rPr>
          <w:rFonts w:cstheme="minorHAnsi"/>
          <w:sz w:val="24"/>
          <w:szCs w:val="24"/>
        </w:rPr>
        <w:t>na przedsiębiorstwo i na projekt;</w:t>
      </w:r>
    </w:p>
    <w:p w14:paraId="30A6863B" w14:textId="77777777" w:rsidR="00427515" w:rsidRPr="00762814" w:rsidRDefault="00427515" w:rsidP="00427515">
      <w:pPr>
        <w:pStyle w:val="Akapitzlist"/>
        <w:spacing w:after="120" w:line="276" w:lineRule="auto"/>
        <w:ind w:left="851"/>
        <w:contextualSpacing w:val="0"/>
        <w:rPr>
          <w:rFonts w:cstheme="minorHAnsi"/>
          <w:sz w:val="24"/>
          <w:szCs w:val="24"/>
        </w:rPr>
      </w:pPr>
      <w:r w:rsidRPr="00762814">
        <w:rPr>
          <w:rFonts w:cstheme="minorHAnsi"/>
          <w:sz w:val="24"/>
          <w:szCs w:val="24"/>
        </w:rPr>
        <w:t>Dotyczy to sytuacji, w której więcej niż połowa kosztów kwalifikowalnych modułu jest ponoszona na działania wchodzące w zakres kategorii eksperymentalnych prac rozwojowych.</w:t>
      </w:r>
    </w:p>
    <w:p w14:paraId="7F786304" w14:textId="42DAEEFA" w:rsidR="00427515" w:rsidRPr="00762814" w:rsidRDefault="00427515" w:rsidP="00427515">
      <w:pPr>
        <w:pStyle w:val="Akapitzlist"/>
        <w:numPr>
          <w:ilvl w:val="0"/>
          <w:numId w:val="5"/>
        </w:numPr>
        <w:spacing w:after="120" w:line="276" w:lineRule="auto"/>
        <w:contextualSpacing w:val="0"/>
        <w:rPr>
          <w:rFonts w:cstheme="minorHAnsi"/>
          <w:sz w:val="24"/>
          <w:szCs w:val="24"/>
        </w:rPr>
      </w:pPr>
      <w:r w:rsidRPr="00762814">
        <w:rPr>
          <w:rFonts w:cstheme="minorHAnsi"/>
          <w:sz w:val="24"/>
          <w:szCs w:val="24"/>
        </w:rPr>
        <w:t xml:space="preserve">pomoc dla MŚP na wspieranie innowacyjności (art. 28): </w:t>
      </w:r>
      <w:r>
        <w:rPr>
          <w:rFonts w:cstheme="minorHAnsi"/>
          <w:b/>
          <w:bCs/>
          <w:sz w:val="24"/>
          <w:szCs w:val="24"/>
        </w:rPr>
        <w:t>10</w:t>
      </w:r>
      <w:r w:rsidRPr="00762814">
        <w:rPr>
          <w:rFonts w:cstheme="minorHAnsi"/>
          <w:b/>
          <w:bCs/>
          <w:sz w:val="24"/>
          <w:szCs w:val="24"/>
        </w:rPr>
        <w:t xml:space="preserve"> mln EUR</w:t>
      </w:r>
      <w:r w:rsidRPr="003850A5">
        <w:t xml:space="preserve"> </w:t>
      </w:r>
      <w:r w:rsidRPr="003F4E1F">
        <w:rPr>
          <w:rFonts w:cstheme="minorHAnsi"/>
          <w:sz w:val="24"/>
          <w:szCs w:val="24"/>
        </w:rPr>
        <w:t>na przedsiębiorstwo i na projekt;</w:t>
      </w:r>
      <w:r w:rsidRPr="00762814">
        <w:rPr>
          <w:rFonts w:cstheme="minorHAnsi"/>
          <w:sz w:val="24"/>
          <w:szCs w:val="24"/>
        </w:rPr>
        <w:t xml:space="preserve"> </w:t>
      </w:r>
    </w:p>
    <w:p w14:paraId="487B8BA3" w14:textId="640EC42F" w:rsidR="00427515" w:rsidRPr="00762814" w:rsidRDefault="00427515" w:rsidP="00427515">
      <w:pPr>
        <w:pStyle w:val="Akapitzlist"/>
        <w:numPr>
          <w:ilvl w:val="0"/>
          <w:numId w:val="5"/>
        </w:numPr>
        <w:spacing w:after="120" w:line="276" w:lineRule="auto"/>
        <w:contextualSpacing w:val="0"/>
        <w:rPr>
          <w:rFonts w:cstheme="minorHAnsi"/>
          <w:sz w:val="24"/>
          <w:szCs w:val="24"/>
        </w:rPr>
      </w:pPr>
      <w:r w:rsidRPr="00762814">
        <w:rPr>
          <w:rFonts w:cstheme="minorHAnsi"/>
          <w:sz w:val="24"/>
          <w:szCs w:val="24"/>
        </w:rPr>
        <w:t xml:space="preserve">pomoc szkoleniowa (art. 31): </w:t>
      </w:r>
      <w:r>
        <w:rPr>
          <w:rFonts w:cstheme="minorHAnsi"/>
          <w:b/>
          <w:bCs/>
          <w:sz w:val="24"/>
          <w:szCs w:val="24"/>
        </w:rPr>
        <w:t>3</w:t>
      </w:r>
      <w:r w:rsidRPr="00762814">
        <w:rPr>
          <w:rFonts w:cstheme="minorHAnsi"/>
          <w:b/>
          <w:bCs/>
          <w:sz w:val="24"/>
          <w:szCs w:val="24"/>
        </w:rPr>
        <w:t xml:space="preserve"> mln EUR</w:t>
      </w:r>
      <w:r w:rsidRPr="00B73990">
        <w:t xml:space="preserve"> </w:t>
      </w:r>
      <w:r w:rsidRPr="003F4E1F">
        <w:rPr>
          <w:rFonts w:cstheme="minorHAnsi"/>
          <w:sz w:val="24"/>
          <w:szCs w:val="24"/>
        </w:rPr>
        <w:t>na projekt szkoleniowy</w:t>
      </w:r>
      <w:r w:rsidRPr="00762814">
        <w:rPr>
          <w:rFonts w:cstheme="minorHAnsi"/>
          <w:b/>
          <w:bCs/>
          <w:sz w:val="24"/>
          <w:szCs w:val="24"/>
        </w:rPr>
        <w:t>;</w:t>
      </w:r>
    </w:p>
    <w:p w14:paraId="46A8B75E" w14:textId="264F7B06" w:rsidR="00427515" w:rsidRPr="00762814" w:rsidRDefault="00427515" w:rsidP="00427515">
      <w:pPr>
        <w:pStyle w:val="Akapitzlist"/>
        <w:numPr>
          <w:ilvl w:val="0"/>
          <w:numId w:val="5"/>
        </w:numPr>
        <w:spacing w:after="120" w:line="276" w:lineRule="auto"/>
        <w:contextualSpacing w:val="0"/>
        <w:rPr>
          <w:rFonts w:cstheme="minorHAnsi"/>
          <w:sz w:val="24"/>
          <w:szCs w:val="24"/>
        </w:rPr>
      </w:pPr>
      <w:r w:rsidRPr="00762814">
        <w:rPr>
          <w:rFonts w:cstheme="minorHAnsi"/>
          <w:sz w:val="24"/>
          <w:szCs w:val="24"/>
        </w:rPr>
        <w:t xml:space="preserve">pomoc inwestycyjna </w:t>
      </w:r>
      <w:r w:rsidRPr="0058375B">
        <w:rPr>
          <w:rFonts w:cstheme="minorHAnsi"/>
          <w:sz w:val="24"/>
          <w:szCs w:val="24"/>
        </w:rPr>
        <w:t>na ochronę środowiska</w:t>
      </w:r>
      <w:r w:rsidRPr="0027366A">
        <w:rPr>
          <w:rFonts w:cstheme="minorHAnsi"/>
          <w:sz w:val="24"/>
          <w:szCs w:val="24"/>
        </w:rPr>
        <w:t xml:space="preserve">, w tym obniżenie emisyjności  </w:t>
      </w:r>
      <w:r w:rsidRPr="00762814">
        <w:rPr>
          <w:rFonts w:cstheme="minorHAnsi"/>
          <w:sz w:val="24"/>
          <w:szCs w:val="24"/>
        </w:rPr>
        <w:t xml:space="preserve">(art. 36): </w:t>
      </w:r>
      <w:r>
        <w:rPr>
          <w:rFonts w:cstheme="minorHAnsi"/>
          <w:b/>
          <w:bCs/>
          <w:sz w:val="24"/>
          <w:szCs w:val="24"/>
        </w:rPr>
        <w:t>30</w:t>
      </w:r>
      <w:r w:rsidRPr="00762814">
        <w:rPr>
          <w:rFonts w:cstheme="minorHAnsi"/>
          <w:b/>
          <w:bCs/>
          <w:sz w:val="24"/>
          <w:szCs w:val="24"/>
        </w:rPr>
        <w:t xml:space="preserve"> mln EUR</w:t>
      </w:r>
      <w:r w:rsidRPr="00A031BB">
        <w:t xml:space="preserve"> </w:t>
      </w:r>
      <w:r w:rsidRPr="00A031BB">
        <w:rPr>
          <w:rFonts w:cstheme="minorHAnsi"/>
          <w:sz w:val="24"/>
          <w:szCs w:val="24"/>
        </w:rPr>
        <w:t>na przedsiębiorstwo na projekt inwestycyjny</w:t>
      </w:r>
      <w:r>
        <w:rPr>
          <w:rFonts w:cstheme="minorHAnsi"/>
          <w:sz w:val="24"/>
          <w:szCs w:val="24"/>
        </w:rPr>
        <w:t xml:space="preserve">, </w:t>
      </w:r>
      <w:r w:rsidRPr="004F501E">
        <w:rPr>
          <w:rFonts w:cstheme="minorHAnsi"/>
          <w:sz w:val="24"/>
          <w:szCs w:val="24"/>
        </w:rPr>
        <w:t>z zastrzeżeniem, iż w przypadku pomocy na infrastrukturę dedykowaną i magazynowanie, o których mowa w art. 36 ust. 4 limit wynosi: 25 mln EUR na projekt</w:t>
      </w:r>
      <w:r w:rsidR="00605533">
        <w:rPr>
          <w:rFonts w:cstheme="minorHAnsi"/>
          <w:sz w:val="24"/>
          <w:szCs w:val="24"/>
        </w:rPr>
        <w:t>;</w:t>
      </w:r>
    </w:p>
    <w:p w14:paraId="7150A221" w14:textId="56EF55CE" w:rsidR="00427515" w:rsidRDefault="00427515" w:rsidP="00427515">
      <w:pPr>
        <w:pStyle w:val="Akapitzlist"/>
        <w:numPr>
          <w:ilvl w:val="0"/>
          <w:numId w:val="5"/>
        </w:numPr>
        <w:spacing w:after="120" w:line="276" w:lineRule="auto"/>
        <w:contextualSpacing w:val="0"/>
        <w:rPr>
          <w:rFonts w:cstheme="minorHAnsi"/>
          <w:b/>
          <w:bCs/>
          <w:sz w:val="24"/>
          <w:szCs w:val="24"/>
        </w:rPr>
      </w:pPr>
      <w:r w:rsidRPr="00762814">
        <w:rPr>
          <w:rFonts w:cstheme="minorHAnsi"/>
          <w:sz w:val="24"/>
          <w:szCs w:val="24"/>
        </w:rPr>
        <w:t>pomoc inwestycyjna na środki wspierające efektywność energetyczną</w:t>
      </w:r>
      <w:r w:rsidRPr="000902A0">
        <w:t xml:space="preserve"> </w:t>
      </w:r>
      <w:r w:rsidRPr="000902A0">
        <w:rPr>
          <w:rFonts w:cstheme="minorHAnsi"/>
          <w:sz w:val="24"/>
          <w:szCs w:val="24"/>
        </w:rPr>
        <w:t>inną niż w  budynkach</w:t>
      </w:r>
      <w:r w:rsidRPr="00762814">
        <w:rPr>
          <w:rFonts w:cstheme="minorHAnsi"/>
          <w:sz w:val="24"/>
          <w:szCs w:val="24"/>
        </w:rPr>
        <w:t xml:space="preserve"> (art. 38): </w:t>
      </w:r>
      <w:r w:rsidRPr="00605533">
        <w:rPr>
          <w:rFonts w:cstheme="minorHAnsi"/>
          <w:b/>
          <w:bCs/>
          <w:sz w:val="24"/>
          <w:szCs w:val="24"/>
        </w:rPr>
        <w:t>30 mln EUR;</w:t>
      </w:r>
    </w:p>
    <w:p w14:paraId="3D68BDCE" w14:textId="77777777" w:rsidR="00427515" w:rsidRPr="00173932" w:rsidRDefault="00427515" w:rsidP="00427515">
      <w:pPr>
        <w:pStyle w:val="Akapitzlist"/>
        <w:numPr>
          <w:ilvl w:val="0"/>
          <w:numId w:val="5"/>
        </w:numPr>
        <w:spacing w:after="120" w:line="276" w:lineRule="auto"/>
        <w:contextualSpacing w:val="0"/>
        <w:rPr>
          <w:rFonts w:cstheme="minorHAnsi"/>
          <w:sz w:val="24"/>
          <w:szCs w:val="24"/>
        </w:rPr>
      </w:pPr>
      <w:r w:rsidRPr="00173932">
        <w:rPr>
          <w:rFonts w:cstheme="minorHAnsi"/>
          <w:sz w:val="24"/>
          <w:szCs w:val="24"/>
        </w:rPr>
        <w:t>pomoc inwestycyjna na środki wspierające efektywność energetyczną w budynkach</w:t>
      </w:r>
      <w:r>
        <w:rPr>
          <w:rFonts w:cstheme="minorHAnsi"/>
          <w:sz w:val="24"/>
          <w:szCs w:val="24"/>
        </w:rPr>
        <w:t xml:space="preserve"> (art. 38a): 30 mln EUR</w:t>
      </w:r>
      <w:r w:rsidRPr="00173932">
        <w:rPr>
          <w:rFonts w:cstheme="minorHAnsi"/>
          <w:sz w:val="24"/>
          <w:szCs w:val="24"/>
        </w:rPr>
        <w:t xml:space="preserve">  </w:t>
      </w:r>
    </w:p>
    <w:p w14:paraId="049F8137" w14:textId="24301983" w:rsidR="00427515" w:rsidRDefault="00427515" w:rsidP="00427515">
      <w:pPr>
        <w:pStyle w:val="Akapitzlist"/>
        <w:numPr>
          <w:ilvl w:val="0"/>
          <w:numId w:val="5"/>
        </w:numPr>
        <w:spacing w:after="120" w:line="276" w:lineRule="auto"/>
        <w:contextualSpacing w:val="0"/>
        <w:rPr>
          <w:rFonts w:cstheme="minorHAnsi"/>
          <w:b/>
          <w:bCs/>
          <w:sz w:val="24"/>
          <w:szCs w:val="24"/>
        </w:rPr>
      </w:pPr>
      <w:r w:rsidRPr="00762814">
        <w:rPr>
          <w:rFonts w:cstheme="minorHAnsi"/>
          <w:sz w:val="24"/>
          <w:szCs w:val="24"/>
        </w:rPr>
        <w:t>pomoc inwestycyjna na propagowanie energii ze źródeł odnawialnych</w:t>
      </w:r>
      <w:r w:rsidRPr="00D32854">
        <w:rPr>
          <w:rFonts w:cstheme="minorHAnsi"/>
          <w:sz w:val="24"/>
          <w:szCs w:val="24"/>
        </w:rPr>
        <w:t>, propagowanie wodoru odnawialnego i wysokosprawnej kogeneracji</w:t>
      </w:r>
      <w:r w:rsidRPr="00762814">
        <w:rPr>
          <w:rFonts w:cstheme="minorHAnsi"/>
          <w:sz w:val="24"/>
          <w:szCs w:val="24"/>
        </w:rPr>
        <w:t xml:space="preserve"> (art. 41</w:t>
      </w:r>
      <w:r w:rsidRPr="00605533">
        <w:rPr>
          <w:rFonts w:cstheme="minorHAnsi"/>
          <w:sz w:val="24"/>
          <w:szCs w:val="24"/>
        </w:rPr>
        <w:t xml:space="preserve">): </w:t>
      </w:r>
      <w:r w:rsidRPr="00605533">
        <w:rPr>
          <w:rFonts w:cstheme="minorHAnsi"/>
          <w:b/>
          <w:bCs/>
          <w:sz w:val="24"/>
          <w:szCs w:val="24"/>
        </w:rPr>
        <w:t>30 mln EUR;</w:t>
      </w:r>
      <w:r>
        <w:rPr>
          <w:rFonts w:cstheme="minorHAnsi"/>
          <w:b/>
          <w:bCs/>
          <w:sz w:val="24"/>
          <w:szCs w:val="24"/>
        </w:rPr>
        <w:t xml:space="preserve"> </w:t>
      </w:r>
    </w:p>
    <w:p w14:paraId="04E5BCC3" w14:textId="590D2337" w:rsidR="00D91328" w:rsidRPr="00BF442A" w:rsidRDefault="00D91328" w:rsidP="00605533">
      <w:pPr>
        <w:pStyle w:val="Akapitzlist"/>
        <w:spacing w:before="240" w:after="120" w:line="276" w:lineRule="auto"/>
        <w:ind w:left="360"/>
        <w:rPr>
          <w:rFonts w:eastAsia="Calibri" w:cstheme="minorHAnsi"/>
          <w:bCs/>
          <w:sz w:val="24"/>
          <w:szCs w:val="24"/>
        </w:rPr>
      </w:pPr>
      <w:r w:rsidRPr="00BF442A">
        <w:rPr>
          <w:rFonts w:eastAsia="Calibri" w:cstheme="minorHAnsi"/>
          <w:bCs/>
          <w:sz w:val="24"/>
          <w:szCs w:val="24"/>
        </w:rPr>
        <w:t>Wszystkie części inwestycji (wytwarzanie i magazynowanie) uznaje się za stanowiące jeden zintegrowany projekt na potrzeby weryfikacji zgodności z progami określonymi w art. 4  Rozporządzenia nr 651/2014</w:t>
      </w:r>
      <w:r w:rsidR="00605533">
        <w:rPr>
          <w:rFonts w:eastAsia="Calibri" w:cstheme="minorHAnsi"/>
          <w:bCs/>
          <w:sz w:val="24"/>
          <w:szCs w:val="24"/>
        </w:rPr>
        <w:t>.</w:t>
      </w:r>
    </w:p>
    <w:p w14:paraId="762CC3AA" w14:textId="423439D1" w:rsidR="00427515" w:rsidRPr="00762814" w:rsidRDefault="00427515" w:rsidP="00605533">
      <w:pPr>
        <w:pStyle w:val="Akapitzlist"/>
        <w:numPr>
          <w:ilvl w:val="0"/>
          <w:numId w:val="5"/>
        </w:numPr>
        <w:spacing w:before="240" w:after="120" w:line="276" w:lineRule="auto"/>
        <w:contextualSpacing w:val="0"/>
        <w:rPr>
          <w:rFonts w:cstheme="minorHAnsi"/>
          <w:sz w:val="24"/>
          <w:szCs w:val="24"/>
        </w:rPr>
      </w:pPr>
      <w:r w:rsidRPr="00762814">
        <w:rPr>
          <w:rFonts w:cstheme="minorHAnsi"/>
          <w:sz w:val="24"/>
          <w:szCs w:val="24"/>
        </w:rPr>
        <w:t>pomoc inwestycyjną na efektywny energetycznie system ciepłowniczy</w:t>
      </w:r>
      <w:r>
        <w:rPr>
          <w:rFonts w:cstheme="minorHAnsi"/>
          <w:sz w:val="24"/>
          <w:szCs w:val="24"/>
        </w:rPr>
        <w:t xml:space="preserve"> i</w:t>
      </w:r>
      <w:r w:rsidRPr="00762814">
        <w:rPr>
          <w:rFonts w:cstheme="minorHAnsi"/>
          <w:sz w:val="24"/>
          <w:szCs w:val="24"/>
        </w:rPr>
        <w:t xml:space="preserve"> </w:t>
      </w:r>
      <w:r>
        <w:rPr>
          <w:rFonts w:cstheme="minorHAnsi"/>
          <w:sz w:val="24"/>
          <w:szCs w:val="24"/>
        </w:rPr>
        <w:t xml:space="preserve"> </w:t>
      </w:r>
      <w:r w:rsidRPr="00762814">
        <w:rPr>
          <w:rFonts w:cstheme="minorHAnsi"/>
          <w:sz w:val="24"/>
          <w:szCs w:val="24"/>
        </w:rPr>
        <w:t xml:space="preserve"> chłodniczy (art. 46): </w:t>
      </w:r>
      <w:r>
        <w:rPr>
          <w:rFonts w:cstheme="minorHAnsi"/>
          <w:b/>
          <w:bCs/>
          <w:sz w:val="24"/>
          <w:szCs w:val="24"/>
        </w:rPr>
        <w:t xml:space="preserve">50 </w:t>
      </w:r>
      <w:r w:rsidRPr="00762814">
        <w:rPr>
          <w:rFonts w:cstheme="minorHAnsi"/>
          <w:b/>
          <w:bCs/>
          <w:sz w:val="24"/>
          <w:szCs w:val="24"/>
        </w:rPr>
        <w:t xml:space="preserve">mln EUR </w:t>
      </w:r>
      <w:r w:rsidRPr="00762814">
        <w:rPr>
          <w:rFonts w:cstheme="minorHAnsi"/>
          <w:sz w:val="24"/>
          <w:szCs w:val="24"/>
        </w:rPr>
        <w:t xml:space="preserve">na </w:t>
      </w:r>
      <w:r w:rsidRPr="00C673BA">
        <w:rPr>
          <w:rFonts w:cstheme="minorHAnsi"/>
          <w:sz w:val="24"/>
          <w:szCs w:val="24"/>
        </w:rPr>
        <w:t>przedsiębiorstwo na projekt</w:t>
      </w:r>
      <w:r w:rsidRPr="00762814">
        <w:rPr>
          <w:rFonts w:cstheme="minorHAnsi"/>
          <w:sz w:val="24"/>
          <w:szCs w:val="24"/>
        </w:rPr>
        <w:t>;</w:t>
      </w:r>
      <w:r w:rsidRPr="00762814">
        <w:rPr>
          <w:rFonts w:cstheme="minorHAnsi"/>
          <w:b/>
          <w:bCs/>
          <w:sz w:val="24"/>
          <w:szCs w:val="24"/>
        </w:rPr>
        <w:t xml:space="preserve"> </w:t>
      </w:r>
    </w:p>
    <w:p w14:paraId="2E5B42CD" w14:textId="26D0F3A9" w:rsidR="00427515" w:rsidRPr="00762814" w:rsidRDefault="00427515" w:rsidP="00427515">
      <w:pPr>
        <w:pStyle w:val="Akapitzlist"/>
        <w:numPr>
          <w:ilvl w:val="0"/>
          <w:numId w:val="5"/>
        </w:numPr>
        <w:spacing w:after="120" w:line="276" w:lineRule="auto"/>
        <w:contextualSpacing w:val="0"/>
        <w:rPr>
          <w:rFonts w:cstheme="minorHAnsi"/>
          <w:b/>
          <w:bCs/>
          <w:sz w:val="24"/>
          <w:szCs w:val="24"/>
        </w:rPr>
      </w:pPr>
      <w:r w:rsidRPr="00762814">
        <w:rPr>
          <w:rFonts w:cstheme="minorHAnsi"/>
          <w:sz w:val="24"/>
          <w:szCs w:val="24"/>
        </w:rPr>
        <w:t xml:space="preserve">pomoc inwestycyjna </w:t>
      </w:r>
      <w:r w:rsidRPr="00CC3763">
        <w:rPr>
          <w:rFonts w:cstheme="minorHAnsi"/>
          <w:sz w:val="24"/>
          <w:szCs w:val="24"/>
        </w:rPr>
        <w:t>na efektywne gospodarowanie zasobami i wspieranie przechodzenia na gospodarkę o obiegu zamkniętym</w:t>
      </w:r>
      <w:r w:rsidRPr="00CC3763" w:rsidDel="00CC3763">
        <w:rPr>
          <w:rFonts w:cstheme="minorHAnsi"/>
          <w:sz w:val="24"/>
          <w:szCs w:val="24"/>
        </w:rPr>
        <w:t xml:space="preserve"> </w:t>
      </w:r>
      <w:r w:rsidRPr="00762814">
        <w:rPr>
          <w:rFonts w:cstheme="minorHAnsi"/>
          <w:sz w:val="24"/>
          <w:szCs w:val="24"/>
        </w:rPr>
        <w:t xml:space="preserve">(art. 47): </w:t>
      </w:r>
      <w:r>
        <w:rPr>
          <w:rFonts w:cstheme="minorHAnsi"/>
          <w:b/>
          <w:bCs/>
          <w:sz w:val="24"/>
          <w:szCs w:val="24"/>
        </w:rPr>
        <w:t xml:space="preserve">30 </w:t>
      </w:r>
      <w:r w:rsidRPr="00762814">
        <w:rPr>
          <w:rFonts w:cstheme="minorHAnsi"/>
          <w:b/>
          <w:bCs/>
          <w:sz w:val="24"/>
          <w:szCs w:val="24"/>
        </w:rPr>
        <w:t>mln EUR.</w:t>
      </w:r>
    </w:p>
    <w:p w14:paraId="3F33F653" w14:textId="32637579" w:rsidR="00A023D4" w:rsidRPr="00762814" w:rsidRDefault="00A023D4" w:rsidP="00427515">
      <w:pPr>
        <w:spacing w:after="120" w:line="276" w:lineRule="auto"/>
        <w:rPr>
          <w:rFonts w:cstheme="minorHAnsi"/>
          <w:sz w:val="24"/>
          <w:szCs w:val="24"/>
        </w:rPr>
      </w:pPr>
    </w:p>
    <w:p w14:paraId="6D1262EB" w14:textId="06D40D2A" w:rsidR="00A023D4" w:rsidRPr="00762814" w:rsidRDefault="00A023D4" w:rsidP="00427515">
      <w:pPr>
        <w:spacing w:after="120" w:line="276" w:lineRule="auto"/>
        <w:rPr>
          <w:rFonts w:cstheme="minorHAnsi"/>
          <w:sz w:val="24"/>
          <w:szCs w:val="24"/>
        </w:rPr>
      </w:pPr>
      <w:bookmarkStart w:id="6" w:name="_Hlk120197595"/>
      <w:bookmarkEnd w:id="4"/>
      <w:r w:rsidRPr="00762814">
        <w:rPr>
          <w:rFonts w:cstheme="minorHAnsi"/>
          <w:b/>
          <w:bCs/>
          <w:sz w:val="24"/>
          <w:szCs w:val="24"/>
        </w:rPr>
        <w:t>Pomoc de minimis</w:t>
      </w:r>
      <w:r w:rsidRPr="00762814">
        <w:rPr>
          <w:rFonts w:cstheme="minorHAnsi"/>
          <w:sz w:val="24"/>
          <w:szCs w:val="24"/>
        </w:rPr>
        <w:t xml:space="preserve"> może być udziel</w:t>
      </w:r>
      <w:r w:rsidR="00F75F86" w:rsidRPr="00762814">
        <w:rPr>
          <w:rFonts w:cstheme="minorHAnsi"/>
          <w:sz w:val="24"/>
          <w:szCs w:val="24"/>
        </w:rPr>
        <w:t>o</w:t>
      </w:r>
      <w:r w:rsidRPr="00762814">
        <w:rPr>
          <w:rFonts w:cstheme="minorHAnsi"/>
          <w:sz w:val="24"/>
          <w:szCs w:val="24"/>
        </w:rPr>
        <w:t>na pod warunkiem</w:t>
      </w:r>
      <w:r w:rsidR="003D0C75" w:rsidRPr="00762814">
        <w:rPr>
          <w:rFonts w:cstheme="minorHAnsi"/>
          <w:sz w:val="24"/>
          <w:szCs w:val="24"/>
        </w:rPr>
        <w:t>,</w:t>
      </w:r>
      <w:r w:rsidRPr="00762814">
        <w:rPr>
          <w:rFonts w:cstheme="minorHAnsi"/>
          <w:sz w:val="24"/>
          <w:szCs w:val="24"/>
        </w:rPr>
        <w:t xml:space="preserve"> że łącznie z inną pomocą de minimis lub pomocą de minimis w rolnictwie i rybołówstwie, otrzymaną w danym roku podatkowym oraz w ciągu 2 poprzedzających lat podatkowych z różnych źródeł i w różnych formach, </w:t>
      </w:r>
      <w:r w:rsidRPr="00762814">
        <w:rPr>
          <w:rFonts w:cstheme="minorHAnsi"/>
          <w:b/>
          <w:bCs/>
          <w:sz w:val="24"/>
          <w:szCs w:val="24"/>
        </w:rPr>
        <w:t>nie przekroczy kwoty</w:t>
      </w:r>
      <w:r w:rsidR="00E17C86" w:rsidRPr="00762814">
        <w:rPr>
          <w:rFonts w:cstheme="minorHAnsi"/>
          <w:b/>
          <w:bCs/>
          <w:sz w:val="24"/>
          <w:szCs w:val="24"/>
        </w:rPr>
        <w:t xml:space="preserve"> wskazanej w Rozporządzeniu 1407/2013, która obecnie wynosi </w:t>
      </w:r>
      <w:r w:rsidRPr="00762814">
        <w:rPr>
          <w:rFonts w:cstheme="minorHAnsi"/>
          <w:b/>
          <w:bCs/>
          <w:sz w:val="24"/>
          <w:szCs w:val="24"/>
        </w:rPr>
        <w:t>200 000 euro dla jednego przedsiębiorcy</w:t>
      </w:r>
      <w:r w:rsidRPr="00762814">
        <w:rPr>
          <w:rFonts w:cstheme="minorHAnsi"/>
          <w:sz w:val="24"/>
          <w:szCs w:val="24"/>
        </w:rPr>
        <w:t>, a w przypadku</w:t>
      </w:r>
      <w:r w:rsidR="005B5A34" w:rsidRPr="00762814">
        <w:rPr>
          <w:rFonts w:cstheme="minorHAnsi"/>
          <w:sz w:val="24"/>
          <w:szCs w:val="24"/>
        </w:rPr>
        <w:t xml:space="preserve"> </w:t>
      </w:r>
      <w:r w:rsidRPr="00762814">
        <w:rPr>
          <w:rFonts w:cstheme="minorHAnsi"/>
          <w:sz w:val="24"/>
          <w:szCs w:val="24"/>
        </w:rPr>
        <w:t>przedsiębiorcy prowadzącego działalność w sektorze transportu drogowego towarów ‒ 100 000 euro dla jednego przedsiębiorcy. Do celów ustalenia dopuszczalnego pułapu pomocy de minimis przez jednego przedsiębiorcę rozumie się jedno przedsiębiorstwo, o</w:t>
      </w:r>
      <w:r w:rsidR="00BB083A" w:rsidRPr="00762814">
        <w:rPr>
          <w:rFonts w:cstheme="minorHAnsi"/>
          <w:sz w:val="24"/>
          <w:szCs w:val="24"/>
        </w:rPr>
        <w:t> </w:t>
      </w:r>
      <w:r w:rsidRPr="00762814">
        <w:rPr>
          <w:rFonts w:cstheme="minorHAnsi"/>
          <w:sz w:val="24"/>
          <w:szCs w:val="24"/>
        </w:rPr>
        <w:t xml:space="preserve">którym mowa w art. 2 ust. 2 </w:t>
      </w:r>
      <w:r w:rsidR="007A197B" w:rsidRPr="00762814">
        <w:rPr>
          <w:rFonts w:cstheme="minorHAnsi"/>
          <w:b/>
          <w:bCs/>
          <w:sz w:val="24"/>
          <w:szCs w:val="24"/>
        </w:rPr>
        <w:t>Rozporządzeni</w:t>
      </w:r>
      <w:r w:rsidR="00EC635E" w:rsidRPr="00762814">
        <w:rPr>
          <w:rFonts w:cstheme="minorHAnsi"/>
          <w:b/>
          <w:bCs/>
          <w:sz w:val="24"/>
          <w:szCs w:val="24"/>
        </w:rPr>
        <w:t>a</w:t>
      </w:r>
      <w:r w:rsidR="007A197B" w:rsidRPr="00762814">
        <w:rPr>
          <w:rFonts w:cstheme="minorHAnsi"/>
          <w:b/>
          <w:bCs/>
          <w:sz w:val="24"/>
          <w:szCs w:val="24"/>
        </w:rPr>
        <w:t xml:space="preserve"> 1407/2013</w:t>
      </w:r>
      <w:r w:rsidRPr="00762814">
        <w:rPr>
          <w:rFonts w:cstheme="minorHAnsi"/>
          <w:sz w:val="24"/>
          <w:szCs w:val="24"/>
        </w:rPr>
        <w:t>.</w:t>
      </w:r>
      <w:r w:rsidR="004D4703" w:rsidRPr="00762814">
        <w:rPr>
          <w:rFonts w:cstheme="minorHAnsi"/>
          <w:sz w:val="24"/>
          <w:szCs w:val="24"/>
        </w:rPr>
        <w:t xml:space="preserve"> Wnioskowana pomoc de minimis nie może przekroczyć ww. limitów.</w:t>
      </w:r>
    </w:p>
    <w:p w14:paraId="5B83A350" w14:textId="78B2FFE8" w:rsidR="00E340EA" w:rsidRPr="00762814" w:rsidRDefault="00E340EA" w:rsidP="00427515">
      <w:pPr>
        <w:spacing w:after="120" w:line="276" w:lineRule="auto"/>
        <w:rPr>
          <w:rFonts w:cstheme="minorHAnsi"/>
          <w:sz w:val="24"/>
          <w:szCs w:val="24"/>
        </w:rPr>
      </w:pPr>
      <w:r w:rsidRPr="00762814">
        <w:rPr>
          <w:rFonts w:cstheme="minorHAnsi"/>
          <w:sz w:val="24"/>
          <w:szCs w:val="24"/>
        </w:rPr>
        <w:t xml:space="preserve">Koszty de minimis mogą zostać poniesione najwcześniej po dniu złożenia wniosku, </w:t>
      </w:r>
      <w:r w:rsidR="006800BE" w:rsidRPr="00762814">
        <w:rPr>
          <w:rFonts w:cstheme="minorHAnsi"/>
          <w:sz w:val="24"/>
          <w:szCs w:val="24"/>
        </w:rPr>
        <w:br/>
      </w:r>
      <w:r w:rsidRPr="00762814">
        <w:rPr>
          <w:rFonts w:cstheme="minorHAnsi"/>
          <w:sz w:val="24"/>
          <w:szCs w:val="24"/>
        </w:rPr>
        <w:t>z wyjątkiem wybranych kosztów objętych pomocą de minimis wskazanych w poszczególnych modułach.</w:t>
      </w:r>
    </w:p>
    <w:bookmarkEnd w:id="6"/>
    <w:p w14:paraId="1A64FFC0" w14:textId="3DD7B7CC" w:rsidR="00A023D4" w:rsidRPr="00762814" w:rsidRDefault="00A023D4" w:rsidP="00762814">
      <w:pPr>
        <w:pStyle w:val="Tekstkomentarza"/>
        <w:spacing w:after="120" w:line="276" w:lineRule="auto"/>
        <w:rPr>
          <w:rFonts w:cstheme="minorHAnsi"/>
          <w:sz w:val="24"/>
          <w:szCs w:val="24"/>
        </w:rPr>
      </w:pPr>
      <w:r w:rsidRPr="00762814">
        <w:rPr>
          <w:rFonts w:cstheme="minorHAnsi"/>
          <w:sz w:val="24"/>
          <w:szCs w:val="24"/>
        </w:rPr>
        <w:t xml:space="preserve">Aby ustalić, czy przestrzegane są </w:t>
      </w:r>
      <w:r w:rsidR="00C212F7" w:rsidRPr="00762814">
        <w:rPr>
          <w:rFonts w:cstheme="minorHAnsi"/>
          <w:sz w:val="24"/>
          <w:szCs w:val="24"/>
        </w:rPr>
        <w:t xml:space="preserve">ww. </w:t>
      </w:r>
      <w:r w:rsidRPr="00762814">
        <w:rPr>
          <w:rFonts w:cstheme="minorHAnsi"/>
          <w:sz w:val="24"/>
          <w:szCs w:val="24"/>
        </w:rPr>
        <w:t>maksymalne progi pomocy oraz progi maksymalnej intensywności pomocy (w</w:t>
      </w:r>
      <w:r w:rsidR="00BB083A" w:rsidRPr="00762814">
        <w:rPr>
          <w:rFonts w:cstheme="minorHAnsi"/>
          <w:sz w:val="24"/>
          <w:szCs w:val="24"/>
        </w:rPr>
        <w:t>skazane</w:t>
      </w:r>
      <w:r w:rsidRPr="00762814">
        <w:rPr>
          <w:rFonts w:cstheme="minorHAnsi"/>
          <w:sz w:val="24"/>
          <w:szCs w:val="24"/>
        </w:rPr>
        <w:t xml:space="preserve"> w poszczególnych modułach), </w:t>
      </w:r>
      <w:r w:rsidR="008F782F" w:rsidRPr="00762814">
        <w:rPr>
          <w:rFonts w:cstheme="minorHAnsi"/>
          <w:sz w:val="24"/>
          <w:szCs w:val="24"/>
        </w:rPr>
        <w:t>należy wziąć pod uwagę</w:t>
      </w:r>
      <w:r w:rsidRPr="00762814">
        <w:rPr>
          <w:rFonts w:cstheme="minorHAnsi"/>
          <w:sz w:val="24"/>
          <w:szCs w:val="24"/>
        </w:rPr>
        <w:t xml:space="preserve"> </w:t>
      </w:r>
      <w:r w:rsidRPr="00762814">
        <w:rPr>
          <w:rFonts w:cstheme="minorHAnsi"/>
          <w:b/>
          <w:bCs/>
          <w:sz w:val="24"/>
          <w:szCs w:val="24"/>
        </w:rPr>
        <w:t>warunki kumulacji</w:t>
      </w:r>
      <w:r w:rsidRPr="00762814">
        <w:rPr>
          <w:rFonts w:cstheme="minorHAnsi"/>
          <w:sz w:val="24"/>
          <w:szCs w:val="24"/>
        </w:rPr>
        <w:t xml:space="preserve"> wskazane w art. 8 </w:t>
      </w:r>
      <w:bookmarkStart w:id="7" w:name="_Hlk122352159"/>
      <w:r w:rsidR="006433D3" w:rsidRPr="00762814">
        <w:rPr>
          <w:rFonts w:cstheme="minorHAnsi"/>
          <w:sz w:val="24"/>
          <w:szCs w:val="24"/>
        </w:rPr>
        <w:t>r</w:t>
      </w:r>
      <w:r w:rsidR="006D2820" w:rsidRPr="00762814">
        <w:rPr>
          <w:rFonts w:cstheme="minorHAnsi"/>
          <w:sz w:val="24"/>
          <w:szCs w:val="24"/>
        </w:rPr>
        <w:t xml:space="preserve">ozporządzenia </w:t>
      </w:r>
      <w:r w:rsidR="008209D2" w:rsidRPr="00762814">
        <w:rPr>
          <w:rFonts w:cstheme="minorHAnsi"/>
          <w:sz w:val="24"/>
          <w:szCs w:val="24"/>
        </w:rPr>
        <w:t xml:space="preserve">Komisji (UE) nr </w:t>
      </w:r>
      <w:r w:rsidR="006D2820" w:rsidRPr="00762814">
        <w:rPr>
          <w:rFonts w:cstheme="minorHAnsi"/>
          <w:sz w:val="24"/>
          <w:szCs w:val="24"/>
        </w:rPr>
        <w:t>651/2014</w:t>
      </w:r>
      <w:r w:rsidR="006800BE" w:rsidRPr="00762814">
        <w:rPr>
          <w:rFonts w:cstheme="minorHAnsi"/>
          <w:sz w:val="24"/>
          <w:szCs w:val="24"/>
        </w:rPr>
        <w:t>,</w:t>
      </w:r>
      <w:r w:rsidRPr="00762814">
        <w:rPr>
          <w:rFonts w:cstheme="minorHAnsi"/>
          <w:sz w:val="24"/>
          <w:szCs w:val="24"/>
        </w:rPr>
        <w:t xml:space="preserve"> </w:t>
      </w:r>
      <w:bookmarkEnd w:id="7"/>
      <w:r w:rsidRPr="00762814">
        <w:rPr>
          <w:rFonts w:cstheme="minorHAnsi"/>
          <w:sz w:val="24"/>
          <w:szCs w:val="24"/>
        </w:rPr>
        <w:t xml:space="preserve">tj. przy obliczaniu uwzględnia się całkowitą kwotę pomocy w ramach danego przeznaczenia pomocy </w:t>
      </w:r>
      <w:r w:rsidRPr="00762814">
        <w:rPr>
          <w:rFonts w:cstheme="minorHAnsi"/>
          <w:b/>
          <w:bCs/>
          <w:sz w:val="24"/>
          <w:szCs w:val="24"/>
        </w:rPr>
        <w:t>w ramach projektu.</w:t>
      </w:r>
      <w:r w:rsidRPr="00762814">
        <w:rPr>
          <w:rFonts w:cstheme="minorHAnsi"/>
          <w:sz w:val="24"/>
          <w:szCs w:val="24"/>
        </w:rPr>
        <w:t xml:space="preserve"> </w:t>
      </w:r>
    </w:p>
    <w:p w14:paraId="52095594" w14:textId="40E6DC10" w:rsidR="0053743B" w:rsidRPr="00174D9C" w:rsidRDefault="0053743B" w:rsidP="0053743B">
      <w:pPr>
        <w:pStyle w:val="Tekstkomentarza"/>
        <w:spacing w:after="120" w:line="276" w:lineRule="auto"/>
        <w:rPr>
          <w:rFonts w:cstheme="minorHAnsi"/>
          <w:sz w:val="24"/>
          <w:szCs w:val="24"/>
        </w:rPr>
      </w:pPr>
      <w:bookmarkStart w:id="8" w:name="_Hlk144993401"/>
      <w:r>
        <w:rPr>
          <w:rFonts w:cstheme="minorHAnsi"/>
          <w:sz w:val="24"/>
          <w:szCs w:val="24"/>
        </w:rPr>
        <w:t xml:space="preserve">Na etapie oceny wniosku o dofinansowanie do przeliczenia </w:t>
      </w:r>
      <w:r w:rsidRPr="00865569">
        <w:rPr>
          <w:rFonts w:cstheme="minorHAnsi"/>
          <w:sz w:val="24"/>
          <w:szCs w:val="24"/>
        </w:rPr>
        <w:t xml:space="preserve">na EUR wysokości </w:t>
      </w:r>
      <w:r>
        <w:rPr>
          <w:rFonts w:cstheme="minorHAnsi"/>
          <w:sz w:val="24"/>
          <w:szCs w:val="24"/>
        </w:rPr>
        <w:t>wnioskowanego</w:t>
      </w:r>
      <w:r w:rsidRPr="00865569">
        <w:rPr>
          <w:rFonts w:cstheme="minorHAnsi"/>
          <w:sz w:val="24"/>
          <w:szCs w:val="24"/>
        </w:rPr>
        <w:t xml:space="preserve"> dofinansowania</w:t>
      </w:r>
      <w:r>
        <w:rPr>
          <w:rFonts w:cstheme="minorHAnsi"/>
          <w:sz w:val="24"/>
          <w:szCs w:val="24"/>
        </w:rPr>
        <w:t xml:space="preserve"> </w:t>
      </w:r>
      <w:r w:rsidRPr="00865569">
        <w:rPr>
          <w:rFonts w:cstheme="minorHAnsi"/>
          <w:sz w:val="24"/>
          <w:szCs w:val="24"/>
        </w:rPr>
        <w:t xml:space="preserve">stosowany jest kurs średni </w:t>
      </w:r>
      <w:r w:rsidR="00427515">
        <w:rPr>
          <w:rFonts w:cstheme="minorHAnsi"/>
          <w:sz w:val="24"/>
          <w:szCs w:val="24"/>
        </w:rPr>
        <w:t>EUR</w:t>
      </w:r>
      <w:r w:rsidRPr="00865569">
        <w:rPr>
          <w:rFonts w:cstheme="minorHAnsi"/>
          <w:sz w:val="24"/>
          <w:szCs w:val="24"/>
        </w:rPr>
        <w:t xml:space="preserve"> – ogłaszany przez Narodowy Bank Polski – obowiązujący w dniu</w:t>
      </w:r>
      <w:r>
        <w:rPr>
          <w:rFonts w:cstheme="minorHAnsi"/>
          <w:sz w:val="24"/>
          <w:szCs w:val="24"/>
        </w:rPr>
        <w:t xml:space="preserve"> ogłoszenia </w:t>
      </w:r>
      <w:r w:rsidR="00D2536E">
        <w:rPr>
          <w:rFonts w:cstheme="minorHAnsi"/>
          <w:sz w:val="24"/>
          <w:szCs w:val="24"/>
        </w:rPr>
        <w:t>naboru</w:t>
      </w:r>
      <w:r w:rsidRPr="00174D9C">
        <w:rPr>
          <w:rFonts w:cstheme="minorHAnsi"/>
          <w:sz w:val="24"/>
          <w:szCs w:val="24"/>
        </w:rPr>
        <w:t xml:space="preserve">. </w:t>
      </w:r>
    </w:p>
    <w:bookmarkEnd w:id="8"/>
    <w:p w14:paraId="114B3647" w14:textId="778BF1E0" w:rsidR="007B41D7" w:rsidRPr="00762814" w:rsidRDefault="00D94FAC" w:rsidP="00762814">
      <w:pPr>
        <w:pStyle w:val="Tekstkomentarza"/>
        <w:spacing w:after="120" w:line="276" w:lineRule="auto"/>
        <w:rPr>
          <w:rFonts w:cstheme="minorHAnsi"/>
          <w:sz w:val="24"/>
          <w:szCs w:val="24"/>
        </w:rPr>
      </w:pPr>
      <w:r w:rsidRPr="00762814">
        <w:rPr>
          <w:rFonts w:cstheme="minorHAnsi"/>
          <w:sz w:val="24"/>
          <w:szCs w:val="24"/>
        </w:rPr>
        <w:t xml:space="preserve">Do przeliczenia </w:t>
      </w:r>
      <w:r w:rsidR="008737B3" w:rsidRPr="00762814">
        <w:rPr>
          <w:rFonts w:cstheme="minorHAnsi"/>
          <w:sz w:val="24"/>
          <w:szCs w:val="24"/>
        </w:rPr>
        <w:t>na EUR</w:t>
      </w:r>
      <w:r w:rsidR="008737B3" w:rsidRPr="00762814" w:rsidDel="008737B3">
        <w:rPr>
          <w:rFonts w:cstheme="minorHAnsi"/>
          <w:sz w:val="24"/>
          <w:szCs w:val="24"/>
        </w:rPr>
        <w:t xml:space="preserve"> </w:t>
      </w:r>
      <w:r w:rsidR="008737B3" w:rsidRPr="00762814">
        <w:rPr>
          <w:rFonts w:cstheme="minorHAnsi"/>
          <w:sz w:val="24"/>
          <w:szCs w:val="24"/>
        </w:rPr>
        <w:t xml:space="preserve">wysokości </w:t>
      </w:r>
      <w:r w:rsidR="00C212F7" w:rsidRPr="00762814">
        <w:rPr>
          <w:rFonts w:cstheme="minorHAnsi"/>
          <w:sz w:val="24"/>
          <w:szCs w:val="24"/>
        </w:rPr>
        <w:t xml:space="preserve">udzielonego dofinansowania w ramach </w:t>
      </w:r>
      <w:r w:rsidR="008737B3" w:rsidRPr="00762814">
        <w:rPr>
          <w:rFonts w:cstheme="minorHAnsi"/>
          <w:sz w:val="24"/>
          <w:szCs w:val="24"/>
        </w:rPr>
        <w:t xml:space="preserve">poszczególnych przeznaczeń pomocy w </w:t>
      </w:r>
      <w:r w:rsidRPr="00762814">
        <w:rPr>
          <w:rFonts w:cstheme="minorHAnsi"/>
          <w:sz w:val="24"/>
          <w:szCs w:val="24"/>
        </w:rPr>
        <w:t>projek</w:t>
      </w:r>
      <w:r w:rsidR="00C212F7" w:rsidRPr="00762814">
        <w:rPr>
          <w:rFonts w:cstheme="minorHAnsi"/>
          <w:sz w:val="24"/>
          <w:szCs w:val="24"/>
        </w:rPr>
        <w:t>cie</w:t>
      </w:r>
      <w:r w:rsidRPr="00762814">
        <w:rPr>
          <w:rFonts w:cstheme="minorHAnsi"/>
          <w:sz w:val="24"/>
          <w:szCs w:val="24"/>
        </w:rPr>
        <w:t>, stosowany jest kurs średni walut obcych – ogłaszan</w:t>
      </w:r>
      <w:r w:rsidR="00145089" w:rsidRPr="00762814">
        <w:rPr>
          <w:rFonts w:cstheme="minorHAnsi"/>
          <w:sz w:val="24"/>
          <w:szCs w:val="24"/>
        </w:rPr>
        <w:t>y</w:t>
      </w:r>
      <w:r w:rsidRPr="00762814">
        <w:rPr>
          <w:rFonts w:cstheme="minorHAnsi"/>
          <w:sz w:val="24"/>
          <w:szCs w:val="24"/>
        </w:rPr>
        <w:t xml:space="preserve"> przez Narodowy Bank Polski – obowiązując</w:t>
      </w:r>
      <w:r w:rsidR="00145089" w:rsidRPr="00762814">
        <w:rPr>
          <w:rFonts w:cstheme="minorHAnsi"/>
          <w:sz w:val="24"/>
          <w:szCs w:val="24"/>
        </w:rPr>
        <w:t>y</w:t>
      </w:r>
      <w:r w:rsidRPr="00762814">
        <w:rPr>
          <w:rFonts w:cstheme="minorHAnsi"/>
          <w:sz w:val="24"/>
          <w:szCs w:val="24"/>
        </w:rPr>
        <w:t xml:space="preserve"> w dniu </w:t>
      </w:r>
      <w:r w:rsidR="008737B3" w:rsidRPr="00762814">
        <w:rPr>
          <w:rFonts w:cstheme="minorHAnsi"/>
          <w:sz w:val="24"/>
          <w:szCs w:val="24"/>
        </w:rPr>
        <w:t>zawarcia umowy o dofinansowanie</w:t>
      </w:r>
      <w:r w:rsidRPr="00762814">
        <w:rPr>
          <w:rFonts w:cstheme="minorHAnsi"/>
          <w:sz w:val="24"/>
          <w:szCs w:val="24"/>
        </w:rPr>
        <w:t xml:space="preserve">, </w:t>
      </w:r>
      <w:r w:rsidR="00530E0C" w:rsidRPr="00762814">
        <w:rPr>
          <w:rFonts w:cstheme="minorHAnsi"/>
          <w:sz w:val="24"/>
          <w:szCs w:val="24"/>
        </w:rPr>
        <w:br/>
      </w:r>
      <w:r w:rsidRPr="00762814">
        <w:rPr>
          <w:rFonts w:cstheme="minorHAnsi"/>
          <w:sz w:val="24"/>
          <w:szCs w:val="24"/>
        </w:rPr>
        <w:t>a w przypadku zmiany – w dniu zawarcia aneksu do umowy</w:t>
      </w:r>
      <w:r w:rsidR="00461C2E" w:rsidRPr="00762814">
        <w:rPr>
          <w:rFonts w:cstheme="minorHAnsi"/>
          <w:sz w:val="24"/>
          <w:szCs w:val="24"/>
        </w:rPr>
        <w:t xml:space="preserve"> o dofinansowanie</w:t>
      </w:r>
      <w:r w:rsidRPr="00762814">
        <w:rPr>
          <w:rFonts w:cstheme="minorHAnsi"/>
          <w:sz w:val="24"/>
          <w:szCs w:val="24"/>
        </w:rPr>
        <w:t>.</w:t>
      </w:r>
    </w:p>
    <w:p w14:paraId="22B33B28" w14:textId="1DEC9F31" w:rsidR="005D11BA" w:rsidRPr="00930477" w:rsidRDefault="00416CA5" w:rsidP="00930477">
      <w:pPr>
        <w:pStyle w:val="Nagwek3"/>
        <w:spacing w:line="276" w:lineRule="auto"/>
        <w:rPr>
          <w:rFonts w:asciiTheme="minorHAnsi" w:hAnsiTheme="minorHAnsi" w:cstheme="minorHAnsi"/>
          <w:color w:val="auto"/>
          <w:sz w:val="32"/>
        </w:rPr>
      </w:pPr>
      <w:bookmarkStart w:id="9" w:name="_Toc148716363"/>
      <w:r w:rsidRPr="00930477">
        <w:rPr>
          <w:rFonts w:asciiTheme="minorHAnsi" w:hAnsiTheme="minorHAnsi" w:cstheme="minorHAnsi"/>
          <w:color w:val="auto"/>
          <w:sz w:val="32"/>
        </w:rPr>
        <w:t>1.2 Zasady kwalifikowalności</w:t>
      </w:r>
      <w:r w:rsidR="00E029C1" w:rsidRPr="00930477">
        <w:rPr>
          <w:rFonts w:asciiTheme="minorHAnsi" w:hAnsiTheme="minorHAnsi" w:cstheme="minorHAnsi"/>
          <w:color w:val="auto"/>
          <w:sz w:val="32"/>
        </w:rPr>
        <w:t xml:space="preserve"> podatku VAT</w:t>
      </w:r>
      <w:bookmarkEnd w:id="9"/>
      <w:r w:rsidRPr="00930477">
        <w:rPr>
          <w:rFonts w:asciiTheme="minorHAnsi" w:hAnsiTheme="minorHAnsi" w:cstheme="minorHAnsi"/>
          <w:color w:val="auto"/>
          <w:sz w:val="32"/>
        </w:rPr>
        <w:t xml:space="preserve"> </w:t>
      </w:r>
    </w:p>
    <w:p w14:paraId="598AF4DA" w14:textId="75F4C075" w:rsidR="001746B4" w:rsidRPr="00762814" w:rsidRDefault="00C04500" w:rsidP="00762814">
      <w:pPr>
        <w:spacing w:after="120" w:line="276" w:lineRule="auto"/>
        <w:rPr>
          <w:rFonts w:cstheme="minorHAnsi"/>
          <w:sz w:val="24"/>
          <w:szCs w:val="24"/>
        </w:rPr>
      </w:pPr>
      <w:r w:rsidRPr="00762814">
        <w:rPr>
          <w:rFonts w:cstheme="minorHAnsi"/>
          <w:sz w:val="24"/>
          <w:szCs w:val="24"/>
        </w:rPr>
        <w:t xml:space="preserve">Podatek VAT </w:t>
      </w:r>
      <w:r w:rsidR="00F2568E" w:rsidRPr="00762814">
        <w:rPr>
          <w:rFonts w:cstheme="minorHAnsi"/>
          <w:sz w:val="24"/>
          <w:szCs w:val="24"/>
        </w:rPr>
        <w:t xml:space="preserve">co do zasady </w:t>
      </w:r>
      <w:r w:rsidRPr="00762814">
        <w:rPr>
          <w:rFonts w:cstheme="minorHAnsi"/>
          <w:sz w:val="24"/>
          <w:szCs w:val="24"/>
        </w:rPr>
        <w:t>stanowi wydatek niekwalifikowalny w projekcie.</w:t>
      </w:r>
    </w:p>
    <w:p w14:paraId="02392112" w14:textId="77777777" w:rsidR="00F2568E" w:rsidRPr="00762814" w:rsidRDefault="00F2568E" w:rsidP="00762814">
      <w:pPr>
        <w:spacing w:after="120" w:line="276" w:lineRule="auto"/>
        <w:rPr>
          <w:rFonts w:cstheme="minorHAnsi"/>
          <w:sz w:val="24"/>
          <w:szCs w:val="24"/>
        </w:rPr>
      </w:pPr>
      <w:r w:rsidRPr="00762814">
        <w:rPr>
          <w:rFonts w:cstheme="minorHAnsi"/>
          <w:sz w:val="24"/>
          <w:szCs w:val="24"/>
        </w:rPr>
        <w:t xml:space="preserve">Podatek VAT może stanowić wydatek kwalifikowalny w ramach projektu tylko wtedy, gdy: </w:t>
      </w:r>
    </w:p>
    <w:p w14:paraId="7DC78AC9" w14:textId="6BF0932D" w:rsidR="0076291E" w:rsidRPr="00762814" w:rsidRDefault="00F2568E" w:rsidP="00762814">
      <w:pPr>
        <w:spacing w:after="120" w:line="276" w:lineRule="auto"/>
        <w:rPr>
          <w:rFonts w:cstheme="minorHAnsi"/>
          <w:sz w:val="24"/>
          <w:szCs w:val="24"/>
        </w:rPr>
      </w:pPr>
      <w:r w:rsidRPr="00762814">
        <w:rPr>
          <w:rFonts w:cstheme="minorHAnsi"/>
          <w:sz w:val="24"/>
          <w:szCs w:val="24"/>
        </w:rPr>
        <w:t>1. Wnioskodawc</w:t>
      </w:r>
      <w:r w:rsidR="0076291E" w:rsidRPr="00762814">
        <w:rPr>
          <w:rFonts w:cstheme="minorHAnsi"/>
          <w:sz w:val="24"/>
          <w:szCs w:val="24"/>
        </w:rPr>
        <w:t>y</w:t>
      </w:r>
      <w:r w:rsidRPr="00762814">
        <w:rPr>
          <w:rFonts w:cstheme="minorHAnsi"/>
          <w:sz w:val="24"/>
          <w:szCs w:val="24"/>
        </w:rPr>
        <w:t xml:space="preserve"> </w:t>
      </w:r>
      <w:r w:rsidR="0076291E" w:rsidRPr="00762814">
        <w:rPr>
          <w:rFonts w:cstheme="minorHAnsi"/>
          <w:sz w:val="24"/>
          <w:szCs w:val="24"/>
        </w:rPr>
        <w:t xml:space="preserve">nie przysługuje prawo do obniżenia kwoty podatku należnego o kwotę podatku naliczonego lub ubiegania się o zwrot podatku VAT </w:t>
      </w:r>
      <w:r w:rsidRPr="00762814">
        <w:rPr>
          <w:rFonts w:cstheme="minorHAnsi"/>
          <w:sz w:val="24"/>
          <w:szCs w:val="24"/>
        </w:rPr>
        <w:t>na podstawie przepisów o VAT obowiązujących w naszym kraju</w:t>
      </w:r>
      <w:r w:rsidR="008852EB" w:rsidRPr="00762814">
        <w:rPr>
          <w:rFonts w:cstheme="minorHAnsi"/>
          <w:sz w:val="24"/>
          <w:szCs w:val="24"/>
        </w:rPr>
        <w:t>;</w:t>
      </w:r>
      <w:r w:rsidR="0076291E" w:rsidRPr="00762814">
        <w:rPr>
          <w:rFonts w:cstheme="minorHAnsi"/>
          <w:sz w:val="24"/>
          <w:szCs w:val="24"/>
        </w:rPr>
        <w:t xml:space="preserve"> </w:t>
      </w:r>
      <w:bookmarkStart w:id="10" w:name="_Hlk126049005"/>
    </w:p>
    <w:bookmarkEnd w:id="10"/>
    <w:p w14:paraId="54DED24B" w14:textId="4CBC5781" w:rsidR="00F2568E" w:rsidRPr="00762814" w:rsidRDefault="00F2568E" w:rsidP="00762814">
      <w:pPr>
        <w:spacing w:after="120" w:line="276" w:lineRule="auto"/>
        <w:rPr>
          <w:rFonts w:cstheme="minorHAnsi"/>
          <w:sz w:val="24"/>
          <w:szCs w:val="24"/>
        </w:rPr>
      </w:pPr>
      <w:r w:rsidRPr="00762814">
        <w:rPr>
          <w:rFonts w:cstheme="minorHAnsi"/>
          <w:sz w:val="24"/>
          <w:szCs w:val="24"/>
        </w:rPr>
        <w:t xml:space="preserve">2. </w:t>
      </w:r>
      <w:r w:rsidR="0076291E" w:rsidRPr="00762814">
        <w:rPr>
          <w:rFonts w:cstheme="minorHAnsi"/>
          <w:sz w:val="24"/>
          <w:szCs w:val="24"/>
        </w:rPr>
        <w:t>żadnemu innemu podmiotowi zaangażowanemu w realizację projektu lub wykorzystującemu do działalności opodatkowanej produkty będące efektem realizacji projektu, zarówno w fazie realizacyjnej</w:t>
      </w:r>
      <w:r w:rsidR="0089704A" w:rsidRPr="00762814">
        <w:rPr>
          <w:rFonts w:cstheme="minorHAnsi"/>
          <w:sz w:val="24"/>
          <w:szCs w:val="24"/>
        </w:rPr>
        <w:t>,</w:t>
      </w:r>
      <w:r w:rsidR="0076291E" w:rsidRPr="00762814">
        <w:rPr>
          <w:rFonts w:cstheme="minorHAnsi"/>
          <w:sz w:val="24"/>
          <w:szCs w:val="24"/>
        </w:rPr>
        <w:t xml:space="preserve">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6873A966" w14:textId="49136A3B" w:rsidR="008852EB" w:rsidRPr="00762814" w:rsidRDefault="008852EB" w:rsidP="00762814">
      <w:pPr>
        <w:spacing w:after="120" w:line="276" w:lineRule="auto"/>
        <w:rPr>
          <w:rFonts w:cstheme="minorHAnsi"/>
          <w:sz w:val="24"/>
          <w:szCs w:val="24"/>
        </w:rPr>
      </w:pPr>
      <w:r w:rsidRPr="00762814">
        <w:rPr>
          <w:rFonts w:cstheme="minorHAnsi"/>
          <w:sz w:val="24"/>
          <w:szCs w:val="24"/>
        </w:rPr>
        <w:t xml:space="preserve">Za posiadanie prawa do obniżenia kwoty podatku należnego o kwotę podatku naliczonego, o którym mowa </w:t>
      </w:r>
      <w:r w:rsidR="00EB2FA4" w:rsidRPr="00762814">
        <w:rPr>
          <w:rFonts w:cstheme="minorHAnsi"/>
          <w:sz w:val="24"/>
          <w:szCs w:val="24"/>
        </w:rPr>
        <w:t>powyżej</w:t>
      </w:r>
      <w:r w:rsidRPr="00762814">
        <w:rPr>
          <w:rFonts w:cstheme="minorHAnsi"/>
          <w:sz w:val="24"/>
          <w:szCs w:val="24"/>
        </w:rPr>
        <w:t>, nie uznaje się możliwości określonej w art. 113 ustawy z dnia 11 marca 2004 r. o podatku od towarów i usług</w:t>
      </w:r>
      <w:r w:rsidR="00EB2FA4" w:rsidRPr="00762814">
        <w:rPr>
          <w:rFonts w:cstheme="minorHAnsi"/>
          <w:sz w:val="24"/>
          <w:szCs w:val="24"/>
        </w:rPr>
        <w:t xml:space="preserve">, </w:t>
      </w:r>
      <w:r w:rsidRPr="00762814">
        <w:rPr>
          <w:rFonts w:cstheme="minorHAnsi"/>
          <w:sz w:val="24"/>
          <w:szCs w:val="24"/>
        </w:rPr>
        <w:t>ani przypadku wskazanego w art. 90 ust. 10 pkt 2 tej ustawy.</w:t>
      </w:r>
    </w:p>
    <w:p w14:paraId="3A549370" w14:textId="77777777" w:rsidR="00ED6E26" w:rsidRDefault="00ED6E26">
      <w:pPr>
        <w:rPr>
          <w:rFonts w:eastAsiaTheme="majorEastAsia" w:cstheme="minorHAnsi"/>
          <w:b/>
          <w:sz w:val="36"/>
          <w:szCs w:val="36"/>
        </w:rPr>
      </w:pPr>
      <w:bookmarkStart w:id="11" w:name="_Toc124327538"/>
      <w:bookmarkStart w:id="12" w:name="_Toc124328095"/>
      <w:bookmarkStart w:id="13" w:name="_Toc124329368"/>
      <w:bookmarkStart w:id="14" w:name="_Toc124327539"/>
      <w:bookmarkStart w:id="15" w:name="_Toc124328096"/>
      <w:bookmarkStart w:id="16" w:name="_Toc124329369"/>
      <w:bookmarkStart w:id="17" w:name="_Toc124327540"/>
      <w:bookmarkStart w:id="18" w:name="_Toc124328097"/>
      <w:bookmarkStart w:id="19" w:name="_Toc124329370"/>
      <w:bookmarkStart w:id="20" w:name="_Toc124327541"/>
      <w:bookmarkStart w:id="21" w:name="_Toc124328098"/>
      <w:bookmarkStart w:id="22" w:name="_Toc124329371"/>
      <w:bookmarkStart w:id="23" w:name="_Toc124327542"/>
      <w:bookmarkStart w:id="24" w:name="_Toc124328099"/>
      <w:bookmarkStart w:id="25" w:name="_Toc12432937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cstheme="minorHAnsi"/>
          <w:b/>
          <w:sz w:val="36"/>
          <w:szCs w:val="36"/>
        </w:rPr>
        <w:br w:type="page"/>
      </w:r>
    </w:p>
    <w:p w14:paraId="5AEFA8CA" w14:textId="19E12428" w:rsidR="00A23B26" w:rsidRPr="00930477" w:rsidRDefault="00722C21" w:rsidP="00BF47B4">
      <w:pPr>
        <w:pStyle w:val="Nagwek2"/>
        <w:numPr>
          <w:ilvl w:val="0"/>
          <w:numId w:val="38"/>
        </w:numPr>
        <w:spacing w:line="276" w:lineRule="auto"/>
        <w:ind w:left="714" w:hanging="357"/>
        <w:rPr>
          <w:rFonts w:asciiTheme="minorHAnsi" w:hAnsiTheme="minorHAnsi" w:cstheme="minorHAnsi"/>
          <w:b/>
          <w:color w:val="auto"/>
          <w:sz w:val="36"/>
          <w:szCs w:val="36"/>
        </w:rPr>
      </w:pPr>
      <w:bookmarkStart w:id="26" w:name="_Toc148716364"/>
      <w:r w:rsidRPr="00930477">
        <w:rPr>
          <w:rFonts w:asciiTheme="minorHAnsi" w:hAnsiTheme="minorHAnsi" w:cstheme="minorHAnsi"/>
          <w:b/>
          <w:color w:val="auto"/>
          <w:sz w:val="36"/>
          <w:szCs w:val="36"/>
        </w:rPr>
        <w:t>Wkład własny</w:t>
      </w:r>
      <w:bookmarkEnd w:id="26"/>
    </w:p>
    <w:p w14:paraId="372B39CE" w14:textId="76193D62" w:rsidR="00A23B26" w:rsidRPr="00762814" w:rsidRDefault="00A23B26" w:rsidP="00762814">
      <w:pPr>
        <w:spacing w:after="120" w:line="276" w:lineRule="auto"/>
        <w:rPr>
          <w:rFonts w:cstheme="minorHAnsi"/>
          <w:sz w:val="24"/>
          <w:szCs w:val="24"/>
        </w:rPr>
      </w:pPr>
      <w:r w:rsidRPr="00762814">
        <w:rPr>
          <w:rFonts w:cstheme="minorHAnsi"/>
          <w:sz w:val="24"/>
          <w:szCs w:val="24"/>
        </w:rPr>
        <w:t xml:space="preserve">Wnioskodawca jest zobowiązany do wniesienia wkładu własnego w zadeklarowanej wysokości na pokrycie części kosztów kwalifikowalnych w projekcie. </w:t>
      </w:r>
    </w:p>
    <w:p w14:paraId="1A1D6012" w14:textId="2C60CA11" w:rsidR="00983B16" w:rsidRPr="00762814" w:rsidRDefault="00A23B26" w:rsidP="00762814">
      <w:pPr>
        <w:spacing w:after="120" w:line="276" w:lineRule="auto"/>
        <w:rPr>
          <w:rFonts w:cstheme="minorHAnsi"/>
          <w:sz w:val="24"/>
          <w:szCs w:val="24"/>
        </w:rPr>
      </w:pPr>
      <w:r w:rsidRPr="00762814">
        <w:rPr>
          <w:rFonts w:cstheme="minorHAnsi"/>
          <w:sz w:val="24"/>
          <w:szCs w:val="24"/>
        </w:rPr>
        <w:t xml:space="preserve">Wkład własny może zostać wniesiony wyłącznie w formie pieniężnej (rozchód środków finansowych z rachunku lub kasy w trakcie trwania projektu). </w:t>
      </w:r>
      <w:r w:rsidR="004E1D30" w:rsidRPr="00762814">
        <w:rPr>
          <w:rFonts w:cstheme="minorHAnsi"/>
          <w:sz w:val="24"/>
          <w:szCs w:val="24"/>
        </w:rPr>
        <w:t xml:space="preserve">Wkład własny </w:t>
      </w:r>
      <w:r w:rsidR="00251477" w:rsidRPr="00762814">
        <w:rPr>
          <w:rFonts w:cstheme="minorHAnsi"/>
          <w:sz w:val="24"/>
          <w:szCs w:val="24"/>
        </w:rPr>
        <w:t xml:space="preserve">Wnioskodawcy </w:t>
      </w:r>
      <w:r w:rsidR="004E1D30" w:rsidRPr="00762814">
        <w:rPr>
          <w:rFonts w:cstheme="minorHAnsi"/>
          <w:sz w:val="24"/>
          <w:szCs w:val="24"/>
        </w:rPr>
        <w:t xml:space="preserve"> nie może pochodzić ze środków publicznych, w tym dotacji/subwencji z budżetu państwa </w:t>
      </w:r>
      <w:r w:rsidR="007F1D90" w:rsidRPr="00762814">
        <w:rPr>
          <w:rFonts w:cstheme="minorHAnsi"/>
          <w:sz w:val="24"/>
          <w:szCs w:val="24"/>
        </w:rPr>
        <w:br/>
      </w:r>
      <w:r w:rsidR="004E1D30" w:rsidRPr="00762814">
        <w:rPr>
          <w:rFonts w:cstheme="minorHAnsi"/>
          <w:sz w:val="24"/>
          <w:szCs w:val="24"/>
        </w:rPr>
        <w:t>i budżetu jednostek samorządu terytorialnego.</w:t>
      </w:r>
      <w:r w:rsidRPr="00762814">
        <w:rPr>
          <w:rFonts w:cstheme="minorHAnsi"/>
          <w:sz w:val="24"/>
          <w:szCs w:val="24"/>
        </w:rPr>
        <w:t xml:space="preserve"> </w:t>
      </w:r>
      <w:r w:rsidR="004E1D30" w:rsidRPr="00762814">
        <w:rPr>
          <w:rFonts w:cstheme="minorHAnsi"/>
          <w:sz w:val="24"/>
          <w:szCs w:val="24"/>
        </w:rPr>
        <w:t xml:space="preserve">Oznacza to środki finansowe wnoszone przez </w:t>
      </w:r>
      <w:r w:rsidR="00251477" w:rsidRPr="00762814">
        <w:rPr>
          <w:rFonts w:cstheme="minorHAnsi"/>
          <w:sz w:val="24"/>
          <w:szCs w:val="24"/>
        </w:rPr>
        <w:t>Wnioskodawc</w:t>
      </w:r>
      <w:r w:rsidR="00EC635E" w:rsidRPr="00762814">
        <w:rPr>
          <w:rFonts w:cstheme="minorHAnsi"/>
          <w:sz w:val="24"/>
          <w:szCs w:val="24"/>
        </w:rPr>
        <w:t>ę</w:t>
      </w:r>
      <w:r w:rsidR="004E1D30" w:rsidRPr="00762814">
        <w:rPr>
          <w:rFonts w:cstheme="minorHAnsi"/>
          <w:sz w:val="24"/>
          <w:szCs w:val="24"/>
        </w:rPr>
        <w:t xml:space="preserve">, które zostaną przeznaczone na pokrycie wydatków kwalifikowalnych i które nie zostaną </w:t>
      </w:r>
      <w:r w:rsidR="00251477" w:rsidRPr="00762814">
        <w:rPr>
          <w:rFonts w:cstheme="minorHAnsi"/>
          <w:sz w:val="24"/>
          <w:szCs w:val="24"/>
        </w:rPr>
        <w:t xml:space="preserve">Wnioskodawcy </w:t>
      </w:r>
      <w:r w:rsidR="004E1D30" w:rsidRPr="00762814">
        <w:rPr>
          <w:rFonts w:cstheme="minorHAnsi"/>
          <w:sz w:val="24"/>
          <w:szCs w:val="24"/>
        </w:rPr>
        <w:t xml:space="preserve">przekazane w formie dofinansowania (różnica między kwotą wydatków kwalifikowalnych a kwotą dofinansowania przekazaną </w:t>
      </w:r>
      <w:r w:rsidR="00251477" w:rsidRPr="00762814">
        <w:rPr>
          <w:rFonts w:cstheme="minorHAnsi"/>
          <w:sz w:val="24"/>
          <w:szCs w:val="24"/>
        </w:rPr>
        <w:t>Wnioskodawcy</w:t>
      </w:r>
      <w:r w:rsidR="004E1D30" w:rsidRPr="00762814">
        <w:rPr>
          <w:rFonts w:cstheme="minorHAnsi"/>
          <w:sz w:val="24"/>
          <w:szCs w:val="24"/>
        </w:rPr>
        <w:t>).</w:t>
      </w:r>
    </w:p>
    <w:p w14:paraId="1DDF84E7" w14:textId="73935A4A" w:rsidR="002550C9" w:rsidRPr="00762814" w:rsidRDefault="002550C9" w:rsidP="00762814">
      <w:pPr>
        <w:spacing w:line="276" w:lineRule="auto"/>
        <w:rPr>
          <w:rFonts w:cstheme="minorHAnsi"/>
          <w:b/>
          <w:bCs/>
          <w:sz w:val="24"/>
          <w:szCs w:val="24"/>
        </w:rPr>
      </w:pPr>
      <w:r w:rsidRPr="00762814">
        <w:rPr>
          <w:rFonts w:cstheme="minorHAnsi"/>
          <w:b/>
          <w:bCs/>
          <w:sz w:val="24"/>
          <w:szCs w:val="24"/>
        </w:rPr>
        <w:br w:type="page"/>
      </w:r>
    </w:p>
    <w:p w14:paraId="4EC7E6BE" w14:textId="5DC83C98" w:rsidR="00A23B26" w:rsidRPr="00930477" w:rsidRDefault="00722C21" w:rsidP="00BF47B4">
      <w:pPr>
        <w:pStyle w:val="Nagwek2"/>
        <w:numPr>
          <w:ilvl w:val="0"/>
          <w:numId w:val="38"/>
        </w:numPr>
        <w:tabs>
          <w:tab w:val="left" w:pos="5954"/>
        </w:tabs>
        <w:spacing w:line="276" w:lineRule="auto"/>
        <w:ind w:left="714" w:hanging="357"/>
        <w:rPr>
          <w:rFonts w:asciiTheme="minorHAnsi" w:hAnsiTheme="minorHAnsi" w:cstheme="minorHAnsi"/>
          <w:b/>
          <w:color w:val="auto"/>
          <w:sz w:val="36"/>
          <w:szCs w:val="36"/>
        </w:rPr>
      </w:pPr>
      <w:bookmarkStart w:id="27" w:name="_Toc148716365"/>
      <w:r w:rsidRPr="00930477">
        <w:rPr>
          <w:rFonts w:asciiTheme="minorHAnsi" w:hAnsiTheme="minorHAnsi" w:cstheme="minorHAnsi"/>
          <w:b/>
          <w:color w:val="auto"/>
          <w:sz w:val="36"/>
          <w:szCs w:val="36"/>
        </w:rPr>
        <w:t xml:space="preserve">Wydatki kwalifikowalne modułu </w:t>
      </w:r>
      <w:r>
        <w:rPr>
          <w:rFonts w:asciiTheme="minorHAnsi" w:hAnsiTheme="minorHAnsi" w:cstheme="minorHAnsi"/>
          <w:b/>
          <w:color w:val="auto"/>
          <w:sz w:val="36"/>
          <w:szCs w:val="36"/>
        </w:rPr>
        <w:t>B+R</w:t>
      </w:r>
      <w:bookmarkEnd w:id="27"/>
    </w:p>
    <w:p w14:paraId="459B6969" w14:textId="7F78C5A5" w:rsidR="00A23B26" w:rsidRPr="00930477" w:rsidRDefault="001357F3" w:rsidP="00930477">
      <w:pPr>
        <w:pStyle w:val="Nagwek3"/>
        <w:spacing w:before="360" w:line="276" w:lineRule="auto"/>
        <w:rPr>
          <w:rFonts w:asciiTheme="minorHAnsi" w:hAnsiTheme="minorHAnsi" w:cstheme="minorHAnsi"/>
          <w:color w:val="auto"/>
          <w:sz w:val="32"/>
        </w:rPr>
      </w:pPr>
      <w:bookmarkStart w:id="28" w:name="_Toc148716366"/>
      <w:r w:rsidRPr="00930477">
        <w:rPr>
          <w:rFonts w:asciiTheme="minorHAnsi" w:hAnsiTheme="minorHAnsi" w:cstheme="minorHAnsi"/>
          <w:color w:val="auto"/>
          <w:sz w:val="32"/>
        </w:rPr>
        <w:t>3</w:t>
      </w:r>
      <w:r w:rsidR="0010269C" w:rsidRPr="00930477">
        <w:rPr>
          <w:rFonts w:asciiTheme="minorHAnsi" w:hAnsiTheme="minorHAnsi" w:cstheme="minorHAnsi"/>
          <w:color w:val="auto"/>
          <w:sz w:val="32"/>
        </w:rPr>
        <w:t xml:space="preserve">.1 </w:t>
      </w:r>
      <w:r w:rsidR="00A23B26" w:rsidRPr="00930477">
        <w:rPr>
          <w:rFonts w:asciiTheme="minorHAnsi" w:hAnsiTheme="minorHAnsi" w:cstheme="minorHAnsi"/>
          <w:color w:val="auto"/>
          <w:sz w:val="32"/>
        </w:rPr>
        <w:t>Pomoc publiczna</w:t>
      </w:r>
      <w:bookmarkEnd w:id="28"/>
    </w:p>
    <w:p w14:paraId="7627B5BC" w14:textId="64010022" w:rsidR="00A23B26" w:rsidRPr="00762814" w:rsidRDefault="00A23B26" w:rsidP="00762814">
      <w:pPr>
        <w:spacing w:after="120" w:line="276" w:lineRule="auto"/>
        <w:rPr>
          <w:rFonts w:cstheme="minorHAnsi"/>
          <w:sz w:val="24"/>
          <w:szCs w:val="24"/>
        </w:rPr>
      </w:pPr>
      <w:r w:rsidRPr="00762814">
        <w:rPr>
          <w:rFonts w:cstheme="minorHAnsi"/>
          <w:sz w:val="24"/>
          <w:szCs w:val="24"/>
        </w:rPr>
        <w:t>Wnioskodawca może uzyskać wsparcie w module B+R na podstawie</w:t>
      </w:r>
      <w:r w:rsidR="00922E2A" w:rsidRPr="00762814">
        <w:rPr>
          <w:rFonts w:cstheme="minorHAnsi"/>
          <w:sz w:val="24"/>
          <w:szCs w:val="24"/>
        </w:rPr>
        <w:t xml:space="preserve"> </w:t>
      </w:r>
      <w:r w:rsidRPr="00762814">
        <w:rPr>
          <w:rFonts w:cstheme="minorHAnsi"/>
          <w:b/>
          <w:bCs/>
          <w:sz w:val="24"/>
          <w:szCs w:val="24"/>
        </w:rPr>
        <w:t>art. 25</w:t>
      </w:r>
      <w:r w:rsidR="00E94A55" w:rsidRPr="00762814">
        <w:rPr>
          <w:rFonts w:cstheme="minorHAnsi"/>
          <w:b/>
          <w:bCs/>
          <w:sz w:val="24"/>
          <w:szCs w:val="24"/>
        </w:rPr>
        <w:t xml:space="preserve"> </w:t>
      </w:r>
      <w:r w:rsidR="00147FB5" w:rsidRPr="00762814">
        <w:rPr>
          <w:rFonts w:cstheme="minorHAnsi"/>
          <w:b/>
          <w:bCs/>
          <w:sz w:val="24"/>
          <w:szCs w:val="24"/>
        </w:rPr>
        <w:t>r</w:t>
      </w:r>
      <w:r w:rsidR="006D2820" w:rsidRPr="00762814">
        <w:rPr>
          <w:rFonts w:cstheme="minorHAnsi"/>
          <w:b/>
          <w:bCs/>
          <w:sz w:val="24"/>
          <w:szCs w:val="24"/>
        </w:rPr>
        <w:t xml:space="preserve">ozporządzenia </w:t>
      </w:r>
      <w:r w:rsidR="008209D2" w:rsidRPr="00762814">
        <w:rPr>
          <w:rFonts w:cstheme="minorHAnsi"/>
          <w:b/>
          <w:bCs/>
          <w:sz w:val="24"/>
          <w:szCs w:val="24"/>
        </w:rPr>
        <w:t>Komisji (UE) nr</w:t>
      </w:r>
      <w:r w:rsidR="008209D2" w:rsidRPr="00762814">
        <w:rPr>
          <w:rFonts w:cstheme="minorHAnsi"/>
          <w:sz w:val="24"/>
          <w:szCs w:val="24"/>
        </w:rPr>
        <w:t xml:space="preserve"> </w:t>
      </w:r>
      <w:r w:rsidR="006D2820" w:rsidRPr="00762814">
        <w:rPr>
          <w:rFonts w:cstheme="minorHAnsi"/>
          <w:b/>
          <w:bCs/>
          <w:sz w:val="24"/>
          <w:szCs w:val="24"/>
        </w:rPr>
        <w:t>651/2014</w:t>
      </w:r>
      <w:r w:rsidR="001F2A8A" w:rsidRPr="00762814">
        <w:rPr>
          <w:rFonts w:cstheme="minorHAnsi"/>
          <w:b/>
          <w:bCs/>
          <w:sz w:val="24"/>
          <w:szCs w:val="24"/>
        </w:rPr>
        <w:t xml:space="preserve"> </w:t>
      </w:r>
      <w:r w:rsidR="001F2A8A" w:rsidRPr="00762814">
        <w:rPr>
          <w:rFonts w:cstheme="minorHAnsi"/>
          <w:sz w:val="24"/>
          <w:szCs w:val="24"/>
        </w:rPr>
        <w:t>jako pomoc na projekty badawczo-rozwojowe</w:t>
      </w:r>
      <w:r w:rsidR="004D5283" w:rsidRPr="00762814">
        <w:rPr>
          <w:rFonts w:cstheme="minorHAnsi"/>
          <w:sz w:val="24"/>
          <w:szCs w:val="24"/>
        </w:rPr>
        <w:t>.</w:t>
      </w:r>
      <w:r w:rsidR="001F2A8A" w:rsidRPr="00762814">
        <w:rPr>
          <w:rFonts w:cstheme="minorHAnsi"/>
          <w:sz w:val="24"/>
          <w:szCs w:val="24"/>
        </w:rPr>
        <w:t xml:space="preserve"> </w:t>
      </w:r>
    </w:p>
    <w:p w14:paraId="6C73F045" w14:textId="15AF03A1" w:rsidR="00A23B26" w:rsidRPr="00930477" w:rsidRDefault="001C65E4" w:rsidP="00930477">
      <w:pPr>
        <w:pStyle w:val="Nagwek3"/>
        <w:spacing w:before="360" w:line="276" w:lineRule="auto"/>
        <w:rPr>
          <w:rFonts w:asciiTheme="minorHAnsi" w:hAnsiTheme="minorHAnsi" w:cstheme="minorHAnsi"/>
          <w:color w:val="auto"/>
          <w:sz w:val="32"/>
        </w:rPr>
      </w:pPr>
      <w:bookmarkStart w:id="29" w:name="_Toc148716367"/>
      <w:r w:rsidRPr="00930477">
        <w:rPr>
          <w:rFonts w:asciiTheme="minorHAnsi" w:hAnsiTheme="minorHAnsi" w:cstheme="minorHAnsi"/>
          <w:color w:val="auto"/>
          <w:sz w:val="32"/>
        </w:rPr>
        <w:t>3</w:t>
      </w:r>
      <w:r w:rsidR="0010269C" w:rsidRPr="00930477">
        <w:rPr>
          <w:rFonts w:asciiTheme="minorHAnsi" w:hAnsiTheme="minorHAnsi" w:cstheme="minorHAnsi"/>
          <w:color w:val="auto"/>
          <w:sz w:val="32"/>
        </w:rPr>
        <w:t xml:space="preserve">.2 </w:t>
      </w:r>
      <w:r w:rsidR="00A23B26" w:rsidRPr="00930477">
        <w:rPr>
          <w:rFonts w:asciiTheme="minorHAnsi" w:hAnsiTheme="minorHAnsi" w:cstheme="minorHAnsi"/>
          <w:color w:val="auto"/>
          <w:sz w:val="32"/>
        </w:rPr>
        <w:t>Limity</w:t>
      </w:r>
      <w:r w:rsidR="00C70668" w:rsidRPr="00930477">
        <w:rPr>
          <w:rFonts w:asciiTheme="minorHAnsi" w:hAnsiTheme="minorHAnsi" w:cstheme="minorHAnsi"/>
          <w:color w:val="auto"/>
          <w:sz w:val="32"/>
        </w:rPr>
        <w:t xml:space="preserve"> wydatków kwalifikowa</w:t>
      </w:r>
      <w:r w:rsidRPr="00930477">
        <w:rPr>
          <w:rFonts w:asciiTheme="minorHAnsi" w:hAnsiTheme="minorHAnsi" w:cstheme="minorHAnsi"/>
          <w:color w:val="auto"/>
          <w:sz w:val="32"/>
        </w:rPr>
        <w:t>l</w:t>
      </w:r>
      <w:r w:rsidR="00C70668" w:rsidRPr="00930477">
        <w:rPr>
          <w:rFonts w:asciiTheme="minorHAnsi" w:hAnsiTheme="minorHAnsi" w:cstheme="minorHAnsi"/>
          <w:color w:val="auto"/>
          <w:sz w:val="32"/>
        </w:rPr>
        <w:t>nych w module oraz limity dofinansowania</w:t>
      </w:r>
      <w:bookmarkEnd w:id="29"/>
    </w:p>
    <w:p w14:paraId="38931147" w14:textId="3847FCC9" w:rsidR="00C70668" w:rsidRPr="00762814" w:rsidRDefault="00C70668" w:rsidP="00762814">
      <w:pPr>
        <w:spacing w:after="120" w:line="276" w:lineRule="auto"/>
        <w:rPr>
          <w:rFonts w:cstheme="minorHAnsi"/>
          <w:sz w:val="24"/>
          <w:szCs w:val="24"/>
        </w:rPr>
      </w:pPr>
      <w:r w:rsidRPr="00762814">
        <w:rPr>
          <w:rFonts w:cstheme="minorHAnsi"/>
          <w:sz w:val="24"/>
          <w:szCs w:val="24"/>
        </w:rPr>
        <w:t>Jeśli projekt składa się z więcej niż jednego modułu, wydatki kwalifikowa</w:t>
      </w:r>
      <w:r w:rsidR="000B17FE" w:rsidRPr="00762814">
        <w:rPr>
          <w:rFonts w:cstheme="minorHAnsi"/>
          <w:sz w:val="24"/>
          <w:szCs w:val="24"/>
        </w:rPr>
        <w:t>l</w:t>
      </w:r>
      <w:r w:rsidRPr="00762814">
        <w:rPr>
          <w:rFonts w:cstheme="minorHAnsi"/>
          <w:sz w:val="24"/>
          <w:szCs w:val="24"/>
        </w:rPr>
        <w:t>ne modułu B+R</w:t>
      </w:r>
      <w:r w:rsidR="005D34E1" w:rsidRPr="00762814">
        <w:rPr>
          <w:rFonts w:cstheme="minorHAnsi"/>
          <w:sz w:val="24"/>
          <w:szCs w:val="24"/>
        </w:rPr>
        <w:t xml:space="preserve"> </w:t>
      </w:r>
      <w:r w:rsidRPr="00762814">
        <w:rPr>
          <w:rFonts w:cstheme="minorHAnsi"/>
          <w:sz w:val="24"/>
          <w:szCs w:val="24"/>
        </w:rPr>
        <w:t xml:space="preserve">muszą wynosić minimum 20% </w:t>
      </w:r>
      <w:r w:rsidR="00725C40" w:rsidRPr="00762814">
        <w:rPr>
          <w:rFonts w:cstheme="minorHAnsi"/>
          <w:sz w:val="24"/>
          <w:szCs w:val="24"/>
        </w:rPr>
        <w:t>wydatków</w:t>
      </w:r>
      <w:r w:rsidRPr="00762814">
        <w:rPr>
          <w:rFonts w:cstheme="minorHAnsi"/>
          <w:sz w:val="24"/>
          <w:szCs w:val="24"/>
        </w:rPr>
        <w:t xml:space="preserve"> kwalifikowa</w:t>
      </w:r>
      <w:r w:rsidR="00725C40" w:rsidRPr="00762814">
        <w:rPr>
          <w:rFonts w:cstheme="minorHAnsi"/>
          <w:sz w:val="24"/>
          <w:szCs w:val="24"/>
        </w:rPr>
        <w:t>l</w:t>
      </w:r>
      <w:r w:rsidRPr="00762814">
        <w:rPr>
          <w:rFonts w:cstheme="minorHAnsi"/>
          <w:sz w:val="24"/>
          <w:szCs w:val="24"/>
        </w:rPr>
        <w:t>nych całego projektu.</w:t>
      </w:r>
      <w:r w:rsidRPr="00762814">
        <w:rPr>
          <w:rFonts w:cstheme="minorHAnsi"/>
          <w:sz w:val="24"/>
          <w:szCs w:val="24"/>
          <w:u w:val="single"/>
        </w:rPr>
        <w:t xml:space="preserve"> </w:t>
      </w:r>
    </w:p>
    <w:p w14:paraId="40875679" w14:textId="3F370EA9" w:rsidR="00A23B26" w:rsidRPr="00762814" w:rsidRDefault="00B65150" w:rsidP="00762814">
      <w:pPr>
        <w:spacing w:after="120" w:line="276" w:lineRule="auto"/>
        <w:rPr>
          <w:rFonts w:cstheme="minorHAnsi"/>
          <w:b/>
          <w:bCs/>
          <w:sz w:val="24"/>
          <w:szCs w:val="24"/>
        </w:rPr>
      </w:pPr>
      <w:r w:rsidRPr="00762814">
        <w:rPr>
          <w:rFonts w:cstheme="minorHAnsi"/>
          <w:sz w:val="24"/>
          <w:szCs w:val="24"/>
          <w:u w:val="single"/>
        </w:rPr>
        <w:t xml:space="preserve">Minimalna wysokość </w:t>
      </w:r>
      <w:r w:rsidR="00E94A55" w:rsidRPr="00762814">
        <w:rPr>
          <w:rFonts w:cstheme="minorHAnsi"/>
          <w:sz w:val="24"/>
          <w:szCs w:val="24"/>
          <w:u w:val="single"/>
        </w:rPr>
        <w:t xml:space="preserve">wydatków </w:t>
      </w:r>
      <w:r w:rsidR="00A23B26" w:rsidRPr="00762814">
        <w:rPr>
          <w:rFonts w:cstheme="minorHAnsi"/>
          <w:sz w:val="24"/>
          <w:szCs w:val="24"/>
          <w:u w:val="single"/>
        </w:rPr>
        <w:t>kwalifikowalnych</w:t>
      </w:r>
      <w:r w:rsidRPr="00762814">
        <w:rPr>
          <w:rFonts w:cstheme="minorHAnsi"/>
          <w:sz w:val="24"/>
          <w:szCs w:val="24"/>
          <w:u w:val="single"/>
        </w:rPr>
        <w:t xml:space="preserve"> w ramach modułu</w:t>
      </w:r>
      <w:r w:rsidR="001C65E4" w:rsidRPr="00762814">
        <w:rPr>
          <w:rFonts w:cstheme="minorHAnsi"/>
          <w:sz w:val="24"/>
          <w:szCs w:val="24"/>
          <w:u w:val="single"/>
        </w:rPr>
        <w:t xml:space="preserve"> wynosi</w:t>
      </w:r>
      <w:r w:rsidR="00A23B26" w:rsidRPr="00762814">
        <w:rPr>
          <w:rFonts w:cstheme="minorHAnsi"/>
          <w:b/>
          <w:bCs/>
          <w:sz w:val="24"/>
          <w:szCs w:val="24"/>
        </w:rPr>
        <w:t xml:space="preserve">: </w:t>
      </w:r>
    </w:p>
    <w:p w14:paraId="230D3EBE" w14:textId="440CE11C" w:rsidR="00A23B26" w:rsidRPr="00762814" w:rsidRDefault="00A23B26" w:rsidP="00762814">
      <w:pPr>
        <w:pStyle w:val="Akapitzlist"/>
        <w:numPr>
          <w:ilvl w:val="0"/>
          <w:numId w:val="1"/>
        </w:numPr>
        <w:spacing w:after="120" w:line="276" w:lineRule="auto"/>
        <w:rPr>
          <w:rFonts w:cstheme="minorHAnsi"/>
          <w:sz w:val="24"/>
          <w:szCs w:val="24"/>
        </w:rPr>
      </w:pPr>
      <w:r w:rsidRPr="00762814">
        <w:rPr>
          <w:rFonts w:cstheme="minorHAnsi"/>
          <w:sz w:val="24"/>
          <w:szCs w:val="24"/>
        </w:rPr>
        <w:t xml:space="preserve">w przypadku modułu B+R realizowanego </w:t>
      </w:r>
      <w:r w:rsidRPr="00762814">
        <w:rPr>
          <w:rFonts w:cstheme="minorHAnsi"/>
          <w:b/>
          <w:bCs/>
          <w:sz w:val="24"/>
          <w:szCs w:val="24"/>
        </w:rPr>
        <w:t>przez MŚP</w:t>
      </w:r>
      <w:r w:rsidRPr="00762814">
        <w:rPr>
          <w:rFonts w:cstheme="minorHAnsi"/>
          <w:sz w:val="24"/>
          <w:szCs w:val="24"/>
        </w:rPr>
        <w:t xml:space="preserve"> – </w:t>
      </w:r>
      <w:r w:rsidRPr="00762814">
        <w:rPr>
          <w:rFonts w:cstheme="minorHAnsi"/>
          <w:b/>
          <w:bCs/>
          <w:sz w:val="24"/>
          <w:szCs w:val="24"/>
        </w:rPr>
        <w:t>bez limitu,</w:t>
      </w:r>
      <w:r w:rsidRPr="00762814">
        <w:rPr>
          <w:rFonts w:cstheme="minorHAnsi"/>
          <w:sz w:val="24"/>
          <w:szCs w:val="24"/>
        </w:rPr>
        <w:t xml:space="preserve"> </w:t>
      </w:r>
    </w:p>
    <w:p w14:paraId="4E2CD03F" w14:textId="5A551ACB" w:rsidR="00A23B26" w:rsidRPr="00762814" w:rsidRDefault="00A23B26" w:rsidP="00762814">
      <w:pPr>
        <w:pStyle w:val="Akapitzlist"/>
        <w:numPr>
          <w:ilvl w:val="0"/>
          <w:numId w:val="1"/>
        </w:numPr>
        <w:spacing w:after="120" w:line="276" w:lineRule="auto"/>
        <w:rPr>
          <w:rFonts w:cstheme="minorHAnsi"/>
          <w:sz w:val="24"/>
          <w:szCs w:val="24"/>
        </w:rPr>
      </w:pPr>
      <w:r w:rsidRPr="00762814">
        <w:rPr>
          <w:rFonts w:cstheme="minorHAnsi"/>
          <w:sz w:val="24"/>
          <w:szCs w:val="24"/>
        </w:rPr>
        <w:t xml:space="preserve">w przypadku modułu B+R realizowanego przez </w:t>
      </w:r>
      <w:r w:rsidRPr="00762814">
        <w:rPr>
          <w:rFonts w:cstheme="minorHAnsi"/>
          <w:b/>
          <w:bCs/>
          <w:sz w:val="24"/>
          <w:szCs w:val="24"/>
        </w:rPr>
        <w:t>duż</w:t>
      </w:r>
      <w:r w:rsidR="00B65150" w:rsidRPr="00762814">
        <w:rPr>
          <w:rFonts w:cstheme="minorHAnsi"/>
          <w:b/>
          <w:bCs/>
          <w:sz w:val="24"/>
          <w:szCs w:val="24"/>
        </w:rPr>
        <w:t>e przedsiębiorstwo</w:t>
      </w:r>
      <w:r w:rsidRPr="00762814">
        <w:rPr>
          <w:rFonts w:cstheme="minorHAnsi"/>
          <w:sz w:val="24"/>
          <w:szCs w:val="24"/>
        </w:rPr>
        <w:t xml:space="preserve"> - </w:t>
      </w:r>
      <w:r w:rsidRPr="00762814">
        <w:rPr>
          <w:rFonts w:cstheme="minorHAnsi"/>
          <w:b/>
          <w:bCs/>
          <w:sz w:val="24"/>
          <w:szCs w:val="24"/>
        </w:rPr>
        <w:t xml:space="preserve">1 mln </w:t>
      </w:r>
      <w:r w:rsidR="00E94A55" w:rsidRPr="00762814">
        <w:rPr>
          <w:rFonts w:cstheme="minorHAnsi"/>
          <w:b/>
          <w:bCs/>
          <w:sz w:val="24"/>
          <w:szCs w:val="24"/>
        </w:rPr>
        <w:t>zł</w:t>
      </w:r>
      <w:r w:rsidR="00C508F2" w:rsidRPr="00762814">
        <w:rPr>
          <w:rFonts w:cstheme="minorHAnsi"/>
          <w:sz w:val="24"/>
          <w:szCs w:val="24"/>
        </w:rPr>
        <w:t>.</w:t>
      </w:r>
      <w:r w:rsidRPr="00762814">
        <w:rPr>
          <w:rFonts w:cstheme="minorHAnsi"/>
          <w:sz w:val="24"/>
          <w:szCs w:val="24"/>
        </w:rPr>
        <w:t xml:space="preserve"> </w:t>
      </w:r>
    </w:p>
    <w:p w14:paraId="67B6D4DC" w14:textId="1C4FD645" w:rsidR="00DF52EE" w:rsidRPr="00762814" w:rsidRDefault="00DF52EE" w:rsidP="00762814">
      <w:pPr>
        <w:spacing w:after="120" w:line="276" w:lineRule="auto"/>
        <w:rPr>
          <w:rFonts w:cstheme="minorHAnsi"/>
          <w:b/>
          <w:bCs/>
          <w:sz w:val="24"/>
          <w:szCs w:val="24"/>
        </w:rPr>
      </w:pPr>
      <w:r w:rsidRPr="00762814">
        <w:rPr>
          <w:rFonts w:cstheme="minorHAnsi"/>
          <w:sz w:val="24"/>
          <w:szCs w:val="24"/>
          <w:u w:val="single"/>
        </w:rPr>
        <w:t>Limity wynikające z przepisów pomocy publicznej</w:t>
      </w:r>
      <w:r w:rsidRPr="00762814">
        <w:rPr>
          <w:rFonts w:cstheme="minorHAnsi"/>
          <w:b/>
          <w:bCs/>
          <w:sz w:val="24"/>
          <w:szCs w:val="24"/>
        </w:rPr>
        <w:t xml:space="preserve">: </w:t>
      </w:r>
    </w:p>
    <w:p w14:paraId="2EF56F31" w14:textId="78C58561" w:rsidR="00C748EF" w:rsidRPr="00762814" w:rsidRDefault="002C6313" w:rsidP="00762814">
      <w:pPr>
        <w:spacing w:after="120" w:line="276" w:lineRule="auto"/>
        <w:rPr>
          <w:rFonts w:cstheme="minorHAnsi"/>
          <w:sz w:val="24"/>
          <w:szCs w:val="24"/>
        </w:rPr>
      </w:pPr>
      <w:r w:rsidRPr="00762814">
        <w:rPr>
          <w:rFonts w:cstheme="minorHAnsi"/>
          <w:sz w:val="24"/>
          <w:szCs w:val="24"/>
        </w:rPr>
        <w:t>I</w:t>
      </w:r>
      <w:r w:rsidR="00771854" w:rsidRPr="00762814">
        <w:rPr>
          <w:rFonts w:cstheme="minorHAnsi"/>
          <w:sz w:val="24"/>
          <w:szCs w:val="24"/>
        </w:rPr>
        <w:t xml:space="preserve">ntensywność pomocy na prowadzenie projektów badawczo-rozwojowych </w:t>
      </w:r>
      <w:r w:rsidRPr="00762814">
        <w:rPr>
          <w:rFonts w:cstheme="minorHAnsi"/>
          <w:sz w:val="24"/>
          <w:szCs w:val="24"/>
        </w:rPr>
        <w:t>nie może przekroczyć</w:t>
      </w:r>
      <w:r w:rsidR="00771854" w:rsidRPr="00762814">
        <w:rPr>
          <w:rFonts w:cstheme="minorHAnsi"/>
          <w:sz w:val="24"/>
          <w:szCs w:val="24"/>
        </w:rPr>
        <w:t>:</w:t>
      </w:r>
    </w:p>
    <w:p w14:paraId="17CD4AB0" w14:textId="77777777" w:rsidR="00771854" w:rsidRPr="00762814" w:rsidRDefault="00771854" w:rsidP="00BF47B4">
      <w:pPr>
        <w:pStyle w:val="Akapitzlist"/>
        <w:numPr>
          <w:ilvl w:val="0"/>
          <w:numId w:val="3"/>
        </w:numPr>
        <w:spacing w:after="120" w:line="276" w:lineRule="auto"/>
        <w:rPr>
          <w:rFonts w:cstheme="minorHAnsi"/>
          <w:sz w:val="24"/>
          <w:szCs w:val="24"/>
        </w:rPr>
      </w:pPr>
      <w:r w:rsidRPr="00762814">
        <w:rPr>
          <w:rStyle w:val="markedcontent"/>
          <w:rFonts w:cstheme="minorHAnsi"/>
          <w:sz w:val="24"/>
          <w:szCs w:val="24"/>
        </w:rPr>
        <w:t>50% kosztów kwalifikowalnych – w przypadku badań przemysłowych;</w:t>
      </w:r>
    </w:p>
    <w:p w14:paraId="4C3318F0" w14:textId="77777777" w:rsidR="003406B2" w:rsidRPr="00762814" w:rsidRDefault="00771854" w:rsidP="00BF47B4">
      <w:pPr>
        <w:pStyle w:val="Akapitzlist"/>
        <w:numPr>
          <w:ilvl w:val="0"/>
          <w:numId w:val="3"/>
        </w:numPr>
        <w:spacing w:after="120" w:line="276" w:lineRule="auto"/>
        <w:rPr>
          <w:rStyle w:val="markedcontent"/>
          <w:rFonts w:cstheme="minorHAnsi"/>
          <w:sz w:val="24"/>
          <w:szCs w:val="24"/>
        </w:rPr>
      </w:pPr>
      <w:r w:rsidRPr="00762814">
        <w:rPr>
          <w:rStyle w:val="markedcontent"/>
          <w:rFonts w:cstheme="minorHAnsi"/>
          <w:sz w:val="24"/>
          <w:szCs w:val="24"/>
        </w:rPr>
        <w:t>25% kosztów kwalifikowalnych – w przypadku eksperymentalnych prac rozwojowych</w:t>
      </w:r>
      <w:r w:rsidR="007C33FB" w:rsidRPr="00762814">
        <w:rPr>
          <w:rStyle w:val="markedcontent"/>
          <w:rFonts w:cstheme="minorHAnsi"/>
          <w:sz w:val="24"/>
          <w:szCs w:val="24"/>
        </w:rPr>
        <w:t>.</w:t>
      </w:r>
    </w:p>
    <w:p w14:paraId="694E3452" w14:textId="39BA1AEC" w:rsidR="00771854" w:rsidRPr="00762814" w:rsidRDefault="00FD1DFF" w:rsidP="00762814">
      <w:pPr>
        <w:spacing w:after="120" w:line="276" w:lineRule="auto"/>
        <w:rPr>
          <w:rFonts w:cstheme="minorHAnsi"/>
          <w:sz w:val="24"/>
          <w:szCs w:val="24"/>
        </w:rPr>
      </w:pPr>
      <w:r w:rsidRPr="00762814">
        <w:rPr>
          <w:rFonts w:cstheme="minorHAnsi"/>
          <w:sz w:val="24"/>
          <w:szCs w:val="24"/>
        </w:rPr>
        <w:t xml:space="preserve">Intensywność </w:t>
      </w:r>
      <w:r w:rsidR="00771854" w:rsidRPr="00762814">
        <w:rPr>
          <w:rFonts w:cstheme="minorHAnsi"/>
          <w:sz w:val="24"/>
          <w:szCs w:val="24"/>
        </w:rPr>
        <w:t>może zostać zwiększona</w:t>
      </w:r>
      <w:r w:rsidR="00091230" w:rsidRPr="00762814">
        <w:rPr>
          <w:rFonts w:cstheme="minorHAnsi"/>
          <w:sz w:val="24"/>
          <w:szCs w:val="24"/>
        </w:rPr>
        <w:t xml:space="preserve"> </w:t>
      </w:r>
      <w:r w:rsidR="009848A7" w:rsidRPr="00762814">
        <w:rPr>
          <w:rFonts w:cstheme="minorHAnsi"/>
          <w:sz w:val="24"/>
          <w:szCs w:val="24"/>
        </w:rPr>
        <w:t xml:space="preserve">do maksymalnie 80% kosztów kwalifikowalnych </w:t>
      </w:r>
      <w:r w:rsidR="007F1D90" w:rsidRPr="00762814">
        <w:rPr>
          <w:rFonts w:cstheme="minorHAnsi"/>
          <w:sz w:val="24"/>
          <w:szCs w:val="24"/>
        </w:rPr>
        <w:br/>
      </w:r>
      <w:r w:rsidR="009848A7" w:rsidRPr="00762814">
        <w:rPr>
          <w:rFonts w:cstheme="minorHAnsi"/>
          <w:sz w:val="24"/>
          <w:szCs w:val="24"/>
        </w:rPr>
        <w:t>w następujący sposób</w:t>
      </w:r>
      <w:r w:rsidR="00091230" w:rsidRPr="00762814">
        <w:rPr>
          <w:rFonts w:cstheme="minorHAnsi"/>
          <w:sz w:val="24"/>
          <w:szCs w:val="24"/>
        </w:rPr>
        <w:t>:</w:t>
      </w:r>
    </w:p>
    <w:p w14:paraId="783A2E70" w14:textId="2676F36A" w:rsidR="00771854" w:rsidRPr="00762814" w:rsidRDefault="002A01E1" w:rsidP="00BF47B4">
      <w:pPr>
        <w:pStyle w:val="Akapitzlist"/>
        <w:numPr>
          <w:ilvl w:val="0"/>
          <w:numId w:val="6"/>
        </w:numPr>
        <w:spacing w:after="120" w:line="276" w:lineRule="auto"/>
        <w:rPr>
          <w:rFonts w:cstheme="minorHAnsi"/>
          <w:sz w:val="24"/>
          <w:szCs w:val="24"/>
        </w:rPr>
      </w:pPr>
      <w:r w:rsidRPr="00762814">
        <w:rPr>
          <w:rFonts w:cstheme="minorHAnsi"/>
          <w:sz w:val="24"/>
          <w:szCs w:val="24"/>
        </w:rPr>
        <w:t xml:space="preserve">o 10% </w:t>
      </w:r>
      <w:r w:rsidR="00771854" w:rsidRPr="00762814">
        <w:rPr>
          <w:rFonts w:cstheme="minorHAnsi"/>
          <w:sz w:val="24"/>
          <w:szCs w:val="24"/>
        </w:rPr>
        <w:t>dla średnich przedsiębiorców</w:t>
      </w:r>
      <w:r w:rsidR="005E1D5E" w:rsidRPr="00762814">
        <w:rPr>
          <w:rFonts w:cstheme="minorHAnsi"/>
          <w:sz w:val="24"/>
          <w:szCs w:val="24"/>
        </w:rPr>
        <w:t>,</w:t>
      </w:r>
    </w:p>
    <w:p w14:paraId="44A46A8D" w14:textId="56DE9892" w:rsidR="002A01E1" w:rsidRPr="00762814" w:rsidRDefault="002A01E1" w:rsidP="00BF47B4">
      <w:pPr>
        <w:pStyle w:val="Akapitzlist"/>
        <w:numPr>
          <w:ilvl w:val="0"/>
          <w:numId w:val="6"/>
        </w:numPr>
        <w:spacing w:after="120" w:line="276" w:lineRule="auto"/>
        <w:rPr>
          <w:rFonts w:cstheme="minorHAnsi"/>
          <w:sz w:val="24"/>
          <w:szCs w:val="24"/>
        </w:rPr>
      </w:pPr>
      <w:r w:rsidRPr="00762814">
        <w:rPr>
          <w:rFonts w:cstheme="minorHAnsi"/>
          <w:sz w:val="24"/>
          <w:szCs w:val="24"/>
        </w:rPr>
        <w:t xml:space="preserve">o 20% </w:t>
      </w:r>
      <w:r w:rsidR="00BA72B0" w:rsidRPr="00762814">
        <w:rPr>
          <w:rFonts w:cstheme="minorHAnsi"/>
          <w:sz w:val="24"/>
          <w:szCs w:val="24"/>
        </w:rPr>
        <w:t>dla mikro- i małych przedsiębiorców</w:t>
      </w:r>
      <w:r w:rsidR="005E1D5E" w:rsidRPr="00762814">
        <w:rPr>
          <w:rFonts w:cstheme="minorHAnsi"/>
          <w:sz w:val="24"/>
          <w:szCs w:val="24"/>
        </w:rPr>
        <w:t>,</w:t>
      </w:r>
    </w:p>
    <w:p w14:paraId="404C0ADB" w14:textId="2112C0FF" w:rsidR="002A01E1" w:rsidRPr="00762814" w:rsidRDefault="002A01E1" w:rsidP="00BF47B4">
      <w:pPr>
        <w:pStyle w:val="Akapitzlist"/>
        <w:numPr>
          <w:ilvl w:val="0"/>
          <w:numId w:val="6"/>
        </w:numPr>
        <w:spacing w:after="120" w:line="276" w:lineRule="auto"/>
        <w:rPr>
          <w:rFonts w:cstheme="minorHAnsi"/>
          <w:sz w:val="24"/>
          <w:szCs w:val="24"/>
        </w:rPr>
      </w:pPr>
      <w:r w:rsidRPr="00762814">
        <w:rPr>
          <w:rFonts w:cstheme="minorHAnsi"/>
          <w:sz w:val="24"/>
          <w:szCs w:val="24"/>
        </w:rPr>
        <w:t>o 15%</w:t>
      </w:r>
      <w:r w:rsidR="001C65E4" w:rsidRPr="00762814">
        <w:rPr>
          <w:rFonts w:cstheme="minorHAnsi"/>
          <w:sz w:val="24"/>
          <w:szCs w:val="24"/>
        </w:rPr>
        <w:t xml:space="preserve"> </w:t>
      </w:r>
      <w:r w:rsidR="005E1D5E" w:rsidRPr="00762814">
        <w:rPr>
          <w:rFonts w:cstheme="minorHAnsi"/>
          <w:sz w:val="24"/>
          <w:szCs w:val="24"/>
        </w:rPr>
        <w:t xml:space="preserve">gdy </w:t>
      </w:r>
      <w:r w:rsidRPr="00762814">
        <w:rPr>
          <w:rFonts w:cstheme="minorHAnsi"/>
          <w:sz w:val="24"/>
          <w:szCs w:val="24"/>
        </w:rPr>
        <w:t xml:space="preserve">wyniki </w:t>
      </w:r>
      <w:r w:rsidR="005E1D5E" w:rsidRPr="00762814">
        <w:rPr>
          <w:rFonts w:cstheme="minorHAnsi"/>
          <w:sz w:val="24"/>
          <w:szCs w:val="24"/>
        </w:rPr>
        <w:t xml:space="preserve">prac B+R przeprowadzonych w ramach </w:t>
      </w:r>
      <w:r w:rsidRPr="00762814">
        <w:rPr>
          <w:rFonts w:cstheme="minorHAnsi"/>
          <w:sz w:val="24"/>
          <w:szCs w:val="24"/>
        </w:rPr>
        <w:t xml:space="preserve">modułu zostaną </w:t>
      </w:r>
      <w:r w:rsidRPr="00762814">
        <w:rPr>
          <w:rFonts w:cstheme="minorHAnsi"/>
          <w:b/>
          <w:sz w:val="24"/>
          <w:szCs w:val="24"/>
        </w:rPr>
        <w:t>szeroko rozpowszechni</w:t>
      </w:r>
      <w:r w:rsidR="003E2F69" w:rsidRPr="00762814">
        <w:rPr>
          <w:rFonts w:cstheme="minorHAnsi"/>
          <w:b/>
          <w:sz w:val="24"/>
          <w:szCs w:val="24"/>
        </w:rPr>
        <w:t>o</w:t>
      </w:r>
      <w:r w:rsidRPr="00762814">
        <w:rPr>
          <w:rFonts w:cstheme="minorHAnsi"/>
          <w:b/>
          <w:sz w:val="24"/>
          <w:szCs w:val="24"/>
        </w:rPr>
        <w:t>ne</w:t>
      </w:r>
      <w:r w:rsidRPr="00762814">
        <w:rPr>
          <w:rFonts w:cstheme="minorHAnsi"/>
          <w:sz w:val="24"/>
          <w:szCs w:val="24"/>
        </w:rPr>
        <w:t xml:space="preserve"> podczas konferencji, za pośrednictwem publikacji, ogólnodostępnych baz</w:t>
      </w:r>
      <w:r w:rsidR="003E2F69" w:rsidRPr="00762814">
        <w:rPr>
          <w:rFonts w:cstheme="minorHAnsi"/>
          <w:sz w:val="24"/>
          <w:szCs w:val="24"/>
        </w:rPr>
        <w:t>,</w:t>
      </w:r>
      <w:r w:rsidRPr="00762814">
        <w:rPr>
          <w:rFonts w:cstheme="minorHAnsi"/>
          <w:sz w:val="24"/>
          <w:szCs w:val="24"/>
        </w:rPr>
        <w:t xml:space="preserve"> bądź oprogramowania bezpłatnego lub otwartego.</w:t>
      </w:r>
    </w:p>
    <w:p w14:paraId="50C4D918" w14:textId="40D38203" w:rsidR="000C4B65" w:rsidRPr="00762814" w:rsidRDefault="00B732ED" w:rsidP="00762814">
      <w:pPr>
        <w:spacing w:after="120" w:line="276" w:lineRule="auto"/>
        <w:rPr>
          <w:rFonts w:cstheme="minorHAnsi"/>
          <w:sz w:val="24"/>
          <w:szCs w:val="24"/>
        </w:rPr>
      </w:pPr>
      <w:bookmarkStart w:id="30" w:name="_Hlk118725515"/>
      <w:r w:rsidRPr="00762814">
        <w:rPr>
          <w:rFonts w:cstheme="minorHAnsi"/>
          <w:sz w:val="24"/>
          <w:szCs w:val="24"/>
        </w:rPr>
        <w:t xml:space="preserve">W przypadku </w:t>
      </w:r>
      <w:r w:rsidR="00A21D2A" w:rsidRPr="00762814">
        <w:rPr>
          <w:rFonts w:cstheme="minorHAnsi"/>
          <w:sz w:val="24"/>
          <w:szCs w:val="24"/>
        </w:rPr>
        <w:t>ubiegani</w:t>
      </w:r>
      <w:r w:rsidR="00C3303B" w:rsidRPr="00762814">
        <w:rPr>
          <w:rFonts w:cstheme="minorHAnsi"/>
          <w:sz w:val="24"/>
          <w:szCs w:val="24"/>
        </w:rPr>
        <w:t>a</w:t>
      </w:r>
      <w:r w:rsidR="00A21D2A" w:rsidRPr="00762814">
        <w:rPr>
          <w:rFonts w:cstheme="minorHAnsi"/>
          <w:sz w:val="24"/>
          <w:szCs w:val="24"/>
        </w:rPr>
        <w:t xml:space="preserve"> się o zwiększeni</w:t>
      </w:r>
      <w:r w:rsidR="005E1D5E" w:rsidRPr="00762814">
        <w:rPr>
          <w:rFonts w:cstheme="minorHAnsi"/>
          <w:sz w:val="24"/>
          <w:szCs w:val="24"/>
        </w:rPr>
        <w:t>e</w:t>
      </w:r>
      <w:r w:rsidR="00A21D2A" w:rsidRPr="00762814">
        <w:rPr>
          <w:rFonts w:cstheme="minorHAnsi"/>
          <w:sz w:val="24"/>
          <w:szCs w:val="24"/>
        </w:rPr>
        <w:t xml:space="preserve"> intensywności </w:t>
      </w:r>
      <w:r w:rsidR="00B4212A" w:rsidRPr="00762814">
        <w:rPr>
          <w:rFonts w:cstheme="minorHAnsi"/>
          <w:sz w:val="24"/>
          <w:szCs w:val="24"/>
        </w:rPr>
        <w:t xml:space="preserve">(premia) </w:t>
      </w:r>
      <w:r w:rsidRPr="00762814">
        <w:rPr>
          <w:rFonts w:cstheme="minorHAnsi"/>
          <w:sz w:val="24"/>
          <w:szCs w:val="24"/>
        </w:rPr>
        <w:t xml:space="preserve">z tytułu </w:t>
      </w:r>
      <w:r w:rsidRPr="00762814">
        <w:rPr>
          <w:rFonts w:cstheme="minorHAnsi"/>
          <w:b/>
          <w:sz w:val="24"/>
          <w:szCs w:val="24"/>
        </w:rPr>
        <w:t>szerokiego rozpowszechniania</w:t>
      </w:r>
      <w:r w:rsidRPr="00762814">
        <w:rPr>
          <w:rFonts w:cstheme="minorHAnsi"/>
          <w:sz w:val="24"/>
          <w:szCs w:val="24"/>
        </w:rPr>
        <w:t xml:space="preserve"> wyników prac B+R należy zadeklarować we wniosku, że w okresie do </w:t>
      </w:r>
      <w:r w:rsidR="00246491" w:rsidRPr="00762814">
        <w:rPr>
          <w:rFonts w:cstheme="minorHAnsi"/>
          <w:sz w:val="24"/>
          <w:szCs w:val="24"/>
        </w:rPr>
        <w:t>5</w:t>
      </w:r>
      <w:r w:rsidRPr="00762814">
        <w:rPr>
          <w:rFonts w:cstheme="minorHAnsi"/>
          <w:sz w:val="24"/>
          <w:szCs w:val="24"/>
        </w:rPr>
        <w:t xml:space="preserve"> lat od zakończenia </w:t>
      </w:r>
      <w:r w:rsidR="00246491" w:rsidRPr="00762814">
        <w:rPr>
          <w:rFonts w:cstheme="minorHAnsi"/>
          <w:sz w:val="24"/>
          <w:szCs w:val="24"/>
        </w:rPr>
        <w:t>modułu</w:t>
      </w:r>
      <w:r w:rsidR="00112DD7" w:rsidRPr="00762814">
        <w:rPr>
          <w:rFonts w:cstheme="minorHAnsi"/>
          <w:sz w:val="24"/>
          <w:szCs w:val="24"/>
        </w:rPr>
        <w:t xml:space="preserve"> B+R </w:t>
      </w:r>
      <w:r w:rsidRPr="00762814">
        <w:rPr>
          <w:rFonts w:cstheme="minorHAnsi"/>
          <w:sz w:val="24"/>
          <w:szCs w:val="24"/>
        </w:rPr>
        <w:t>jego wyniki</w:t>
      </w:r>
      <w:r w:rsidR="007B1754" w:rsidRPr="00762814">
        <w:rPr>
          <w:rFonts w:cstheme="minorHAnsi"/>
          <w:sz w:val="24"/>
          <w:szCs w:val="24"/>
        </w:rPr>
        <w:t xml:space="preserve"> zostaną</w:t>
      </w:r>
      <w:r w:rsidRPr="00762814">
        <w:rPr>
          <w:rFonts w:cstheme="minorHAnsi"/>
          <w:sz w:val="24"/>
          <w:szCs w:val="24"/>
        </w:rPr>
        <w:t>:</w:t>
      </w:r>
    </w:p>
    <w:p w14:paraId="40D1B211" w14:textId="55516619" w:rsidR="00237426" w:rsidRPr="00762814" w:rsidRDefault="00237426" w:rsidP="00BF47B4">
      <w:pPr>
        <w:pStyle w:val="Tekstkomentarza"/>
        <w:numPr>
          <w:ilvl w:val="0"/>
          <w:numId w:val="27"/>
        </w:numPr>
        <w:spacing w:after="120" w:line="276" w:lineRule="auto"/>
        <w:rPr>
          <w:rFonts w:cstheme="minorHAnsi"/>
          <w:sz w:val="24"/>
          <w:szCs w:val="24"/>
        </w:rPr>
      </w:pPr>
      <w:r w:rsidRPr="00762814">
        <w:rPr>
          <w:rFonts w:cstheme="minorHAnsi"/>
          <w:sz w:val="24"/>
          <w:szCs w:val="24"/>
        </w:rPr>
        <w:t xml:space="preserve">zaprezentowane na co najmniej 3 konferencjach naukowych </w:t>
      </w:r>
      <w:r w:rsidR="00A96D93" w:rsidRPr="00762814">
        <w:rPr>
          <w:rFonts w:cstheme="minorHAnsi"/>
          <w:sz w:val="24"/>
          <w:szCs w:val="24"/>
        </w:rPr>
        <w:t>lub</w:t>
      </w:r>
      <w:r w:rsidRPr="00762814">
        <w:rPr>
          <w:rFonts w:cstheme="minorHAnsi"/>
          <w:sz w:val="24"/>
          <w:szCs w:val="24"/>
        </w:rPr>
        <w:t xml:space="preserve"> technicznych, w tym </w:t>
      </w:r>
      <w:r w:rsidR="007F1D90" w:rsidRPr="00762814">
        <w:rPr>
          <w:rFonts w:cstheme="minorHAnsi"/>
          <w:sz w:val="24"/>
          <w:szCs w:val="24"/>
        </w:rPr>
        <w:br/>
      </w:r>
      <w:r w:rsidRPr="00762814">
        <w:rPr>
          <w:rFonts w:cstheme="minorHAnsi"/>
          <w:sz w:val="24"/>
          <w:szCs w:val="24"/>
        </w:rPr>
        <w:t xml:space="preserve">co najmniej 1 o randze </w:t>
      </w:r>
      <w:r w:rsidR="001B6662" w:rsidRPr="00762814">
        <w:rPr>
          <w:rFonts w:cstheme="minorHAnsi"/>
          <w:sz w:val="24"/>
          <w:szCs w:val="24"/>
        </w:rPr>
        <w:t>ogólnokrajowej</w:t>
      </w:r>
      <w:r w:rsidRPr="00762814">
        <w:rPr>
          <w:rFonts w:cstheme="minorHAnsi"/>
          <w:sz w:val="24"/>
          <w:szCs w:val="24"/>
        </w:rPr>
        <w:t xml:space="preserve">, lub </w:t>
      </w:r>
    </w:p>
    <w:p w14:paraId="3B204367" w14:textId="6D2EF5DC" w:rsidR="00237426" w:rsidRPr="00762814" w:rsidRDefault="00237426" w:rsidP="00BF47B4">
      <w:pPr>
        <w:pStyle w:val="Tekstkomentarza"/>
        <w:numPr>
          <w:ilvl w:val="0"/>
          <w:numId w:val="27"/>
        </w:numPr>
        <w:spacing w:after="120" w:line="276" w:lineRule="auto"/>
        <w:rPr>
          <w:rFonts w:cstheme="minorHAnsi"/>
          <w:sz w:val="24"/>
          <w:szCs w:val="24"/>
        </w:rPr>
      </w:pPr>
      <w:r w:rsidRPr="00762814">
        <w:rPr>
          <w:rFonts w:cstheme="minorHAnsi"/>
          <w:sz w:val="24"/>
          <w:szCs w:val="24"/>
        </w:rPr>
        <w:t>opublikowane w co najmniej 2 czasopismach naukowych lub technicznych (zawartych w</w:t>
      </w:r>
      <w:r w:rsidR="007F1D90" w:rsidRPr="00762814">
        <w:rPr>
          <w:rFonts w:cstheme="minorHAnsi"/>
          <w:sz w:val="24"/>
          <w:szCs w:val="24"/>
        </w:rPr>
        <w:t xml:space="preserve"> </w:t>
      </w:r>
      <w:r w:rsidRPr="00762814">
        <w:rPr>
          <w:rFonts w:cstheme="minorHAnsi"/>
          <w:sz w:val="24"/>
          <w:szCs w:val="24"/>
        </w:rPr>
        <w:t>wykazie czasopism opublikowanym przez ME</w:t>
      </w:r>
      <w:r w:rsidR="007E1D7E" w:rsidRPr="00762814">
        <w:rPr>
          <w:rFonts w:cstheme="minorHAnsi"/>
          <w:sz w:val="24"/>
          <w:szCs w:val="24"/>
        </w:rPr>
        <w:t>i</w:t>
      </w:r>
      <w:r w:rsidRPr="00762814">
        <w:rPr>
          <w:rFonts w:cstheme="minorHAnsi"/>
          <w:sz w:val="24"/>
          <w:szCs w:val="24"/>
        </w:rPr>
        <w:t>N</w:t>
      </w:r>
      <w:r w:rsidR="00861D8C" w:rsidRPr="00762814">
        <w:rPr>
          <w:rStyle w:val="Odwoanieprzypisudolnego"/>
          <w:rFonts w:cstheme="minorHAnsi"/>
          <w:sz w:val="24"/>
          <w:szCs w:val="24"/>
        </w:rPr>
        <w:footnoteReference w:id="2"/>
      </w:r>
      <w:r w:rsidRPr="00762814">
        <w:rPr>
          <w:rFonts w:cstheme="minorHAnsi"/>
          <w:sz w:val="24"/>
          <w:szCs w:val="24"/>
        </w:rPr>
        <w:t>, aktualnym na dzień przyjęcia artykułu do druku), lub</w:t>
      </w:r>
    </w:p>
    <w:p w14:paraId="61359EB3" w14:textId="777AFE9D" w:rsidR="00237426" w:rsidRPr="00762814" w:rsidRDefault="00237426" w:rsidP="00BF47B4">
      <w:pPr>
        <w:pStyle w:val="Tekstkomentarza"/>
        <w:numPr>
          <w:ilvl w:val="0"/>
          <w:numId w:val="27"/>
        </w:numPr>
        <w:spacing w:after="120" w:line="276" w:lineRule="auto"/>
        <w:rPr>
          <w:rFonts w:cstheme="minorHAnsi"/>
          <w:sz w:val="24"/>
          <w:szCs w:val="24"/>
        </w:rPr>
      </w:pPr>
      <w:r w:rsidRPr="00762814">
        <w:rPr>
          <w:rFonts w:cstheme="minorHAnsi"/>
          <w:sz w:val="24"/>
          <w:szCs w:val="24"/>
        </w:rPr>
        <w:t>opublikowane w powszechnie dostępnych bazach danych, zapewniających swobodny dostęp do uzyskanych wyników badań, lub</w:t>
      </w:r>
    </w:p>
    <w:p w14:paraId="21F1B8E0" w14:textId="58F08AFF" w:rsidR="00237426" w:rsidRPr="00762814" w:rsidRDefault="00237426" w:rsidP="00BF47B4">
      <w:pPr>
        <w:pStyle w:val="Akapitzlist"/>
        <w:numPr>
          <w:ilvl w:val="0"/>
          <w:numId w:val="27"/>
        </w:numPr>
        <w:spacing w:after="120" w:line="276" w:lineRule="auto"/>
        <w:rPr>
          <w:rFonts w:cstheme="minorHAnsi"/>
          <w:sz w:val="24"/>
          <w:szCs w:val="24"/>
          <w:lang w:val="pl"/>
        </w:rPr>
      </w:pPr>
      <w:r w:rsidRPr="00762814">
        <w:rPr>
          <w:rFonts w:cstheme="minorHAnsi"/>
          <w:sz w:val="24"/>
          <w:szCs w:val="24"/>
        </w:rPr>
        <w:t>w całości rozpowszechnione za pośrednictwem oprogramowania bezpłatnego lub oprogramowania z licencją otwartego dostępu.</w:t>
      </w:r>
    </w:p>
    <w:bookmarkEnd w:id="30"/>
    <w:p w14:paraId="0B0B7EEB" w14:textId="35CE09FE" w:rsidR="00BA72B0" w:rsidRPr="00762814" w:rsidRDefault="009E2586" w:rsidP="00762814">
      <w:pPr>
        <w:spacing w:after="120" w:line="276" w:lineRule="auto"/>
        <w:rPr>
          <w:rFonts w:cstheme="minorHAnsi"/>
          <w:sz w:val="24"/>
          <w:szCs w:val="24"/>
        </w:rPr>
      </w:pPr>
      <w:r w:rsidRPr="00762814">
        <w:rPr>
          <w:rFonts w:cstheme="minorHAnsi"/>
          <w:sz w:val="24"/>
          <w:szCs w:val="24"/>
        </w:rPr>
        <w:t>Intensywność wsparcia w module B+R została przedstawiona w Tabeli nr 1</w:t>
      </w:r>
      <w:r w:rsidR="003406B2" w:rsidRPr="00762814">
        <w:rPr>
          <w:rFonts w:cstheme="minorHAnsi"/>
          <w:sz w:val="24"/>
          <w:szCs w:val="24"/>
        </w:rPr>
        <w:t>.</w:t>
      </w:r>
      <w:r w:rsidR="004D5283" w:rsidRPr="00762814">
        <w:rPr>
          <w:rFonts w:cstheme="minorHAnsi"/>
          <w:sz w:val="24"/>
          <w:szCs w:val="24"/>
        </w:rPr>
        <w:t xml:space="preserve"> </w:t>
      </w:r>
    </w:p>
    <w:p w14:paraId="461186B0" w14:textId="4D1C6E6C" w:rsidR="00A23B26" w:rsidRPr="00930477" w:rsidRDefault="00A23B26" w:rsidP="00BF47B4">
      <w:pPr>
        <w:pStyle w:val="Nagwek3"/>
        <w:numPr>
          <w:ilvl w:val="1"/>
          <w:numId w:val="39"/>
        </w:numPr>
        <w:spacing w:before="360" w:line="276" w:lineRule="auto"/>
        <w:rPr>
          <w:rFonts w:asciiTheme="minorHAnsi" w:hAnsiTheme="minorHAnsi" w:cstheme="minorHAnsi"/>
          <w:color w:val="auto"/>
          <w:sz w:val="32"/>
        </w:rPr>
      </w:pPr>
      <w:bookmarkStart w:id="31" w:name="_Toc148716368"/>
      <w:r w:rsidRPr="00930477">
        <w:rPr>
          <w:rFonts w:asciiTheme="minorHAnsi" w:hAnsiTheme="minorHAnsi" w:cstheme="minorHAnsi"/>
          <w:color w:val="auto"/>
          <w:sz w:val="32"/>
        </w:rPr>
        <w:t xml:space="preserve">Kategorie </w:t>
      </w:r>
      <w:r w:rsidR="00E94A55" w:rsidRPr="00930477">
        <w:rPr>
          <w:rFonts w:asciiTheme="minorHAnsi" w:hAnsiTheme="minorHAnsi" w:cstheme="minorHAnsi"/>
          <w:color w:val="auto"/>
          <w:sz w:val="32"/>
        </w:rPr>
        <w:t>wydatków</w:t>
      </w:r>
      <w:r w:rsidRPr="00930477">
        <w:rPr>
          <w:rFonts w:asciiTheme="minorHAnsi" w:hAnsiTheme="minorHAnsi" w:cstheme="minorHAnsi"/>
          <w:color w:val="auto"/>
          <w:sz w:val="32"/>
        </w:rPr>
        <w:t xml:space="preserve"> kwalifikowalnych w ramach modułu B+R</w:t>
      </w:r>
      <w:bookmarkEnd w:id="31"/>
    </w:p>
    <w:p w14:paraId="15BF1BB2" w14:textId="4AB7D055" w:rsidR="00B462EB" w:rsidRDefault="00BE32AB" w:rsidP="00BF47B4">
      <w:pPr>
        <w:pStyle w:val="Nagwek4"/>
        <w:numPr>
          <w:ilvl w:val="2"/>
          <w:numId w:val="39"/>
        </w:numPr>
        <w:spacing w:before="120" w:line="276" w:lineRule="auto"/>
        <w:rPr>
          <w:rFonts w:asciiTheme="minorHAnsi" w:hAnsiTheme="minorHAnsi" w:cstheme="minorHAnsi"/>
          <w:i w:val="0"/>
          <w:color w:val="auto"/>
          <w:sz w:val="28"/>
          <w:szCs w:val="28"/>
        </w:rPr>
      </w:pPr>
      <w:bookmarkStart w:id="32" w:name="_Toc148716369"/>
      <w:r w:rsidRPr="00ED6E26">
        <w:rPr>
          <w:rFonts w:asciiTheme="minorHAnsi" w:hAnsiTheme="minorHAnsi" w:cstheme="minorHAnsi"/>
          <w:i w:val="0"/>
          <w:color w:val="auto"/>
          <w:sz w:val="28"/>
          <w:szCs w:val="28"/>
        </w:rPr>
        <w:t>Personel projektu</w:t>
      </w:r>
      <w:bookmarkEnd w:id="32"/>
    </w:p>
    <w:p w14:paraId="1213C22E" w14:textId="73DEE371" w:rsidR="000A0431" w:rsidRPr="00762814" w:rsidRDefault="001536FF" w:rsidP="00762814">
      <w:pPr>
        <w:spacing w:after="120" w:line="276" w:lineRule="auto"/>
        <w:rPr>
          <w:rFonts w:cstheme="minorHAnsi"/>
          <w:b/>
          <w:bCs/>
          <w:sz w:val="24"/>
          <w:szCs w:val="24"/>
        </w:rPr>
      </w:pPr>
      <w:r w:rsidRPr="00762814">
        <w:rPr>
          <w:rFonts w:cstheme="minorHAnsi"/>
          <w:sz w:val="24"/>
          <w:szCs w:val="24"/>
        </w:rPr>
        <w:t xml:space="preserve">W ramach kategorii kwalifikowalne jest </w:t>
      </w:r>
      <w:r w:rsidR="00812A40" w:rsidRPr="00762814">
        <w:rPr>
          <w:rFonts w:cstheme="minorHAnsi"/>
          <w:sz w:val="24"/>
          <w:szCs w:val="24"/>
        </w:rPr>
        <w:t xml:space="preserve">wyłącznie </w:t>
      </w:r>
      <w:r w:rsidRPr="00762814">
        <w:rPr>
          <w:rFonts w:cstheme="minorHAnsi"/>
          <w:sz w:val="24"/>
          <w:szCs w:val="24"/>
        </w:rPr>
        <w:t xml:space="preserve">wynagrodzenie </w:t>
      </w:r>
      <w:r w:rsidR="00827635" w:rsidRPr="00762814">
        <w:rPr>
          <w:rFonts w:cstheme="minorHAnsi"/>
          <w:sz w:val="24"/>
          <w:szCs w:val="24"/>
        </w:rPr>
        <w:t>personelu projektu</w:t>
      </w:r>
      <w:r w:rsidR="007D1449" w:rsidRPr="00762814">
        <w:rPr>
          <w:rFonts w:cstheme="minorHAnsi"/>
          <w:sz w:val="24"/>
          <w:szCs w:val="24"/>
        </w:rPr>
        <w:t xml:space="preserve"> badawczo-rozwojowego będącego przedmiotem modułu</w:t>
      </w:r>
      <w:r w:rsidR="00EB6D1A" w:rsidRPr="00762814">
        <w:rPr>
          <w:rFonts w:cstheme="minorHAnsi"/>
          <w:sz w:val="24"/>
          <w:szCs w:val="24"/>
        </w:rPr>
        <w:t xml:space="preserve"> B+R</w:t>
      </w:r>
      <w:r w:rsidR="00827635" w:rsidRPr="00762814">
        <w:rPr>
          <w:rFonts w:cstheme="minorHAnsi"/>
          <w:sz w:val="24"/>
          <w:szCs w:val="24"/>
        </w:rPr>
        <w:t xml:space="preserve"> - </w:t>
      </w:r>
      <w:r w:rsidRPr="00762814">
        <w:rPr>
          <w:rFonts w:cstheme="minorHAnsi"/>
          <w:sz w:val="24"/>
          <w:szCs w:val="24"/>
        </w:rPr>
        <w:t>pracowników</w:t>
      </w:r>
      <w:r w:rsidRPr="00762814">
        <w:rPr>
          <w:rFonts w:cstheme="minorHAnsi"/>
          <w:b/>
          <w:bCs/>
          <w:sz w:val="24"/>
          <w:szCs w:val="24"/>
        </w:rPr>
        <w:t xml:space="preserve"> kadry naukowo-badawczej</w:t>
      </w:r>
      <w:r w:rsidR="00812A40" w:rsidRPr="00762814">
        <w:rPr>
          <w:rFonts w:cstheme="minorHAnsi"/>
          <w:sz w:val="24"/>
          <w:szCs w:val="24"/>
        </w:rPr>
        <w:t>, tj</w:t>
      </w:r>
      <w:r w:rsidR="00812A40" w:rsidRPr="00762814">
        <w:rPr>
          <w:rFonts w:cstheme="minorHAnsi"/>
          <w:bCs/>
          <w:sz w:val="24"/>
          <w:szCs w:val="24"/>
        </w:rPr>
        <w:t>.</w:t>
      </w:r>
      <w:r w:rsidR="00812A40" w:rsidRPr="00762814">
        <w:rPr>
          <w:rFonts w:cstheme="minorHAnsi"/>
          <w:b/>
          <w:bCs/>
          <w:sz w:val="24"/>
          <w:szCs w:val="24"/>
        </w:rPr>
        <w:t xml:space="preserve"> </w:t>
      </w:r>
      <w:r w:rsidR="00812A40" w:rsidRPr="00762814">
        <w:rPr>
          <w:rFonts w:cstheme="minorHAnsi"/>
          <w:sz w:val="24"/>
          <w:szCs w:val="24"/>
        </w:rPr>
        <w:t>pracowników badawczych, pracowników technicznych, pozostałych pracowników pomocniczych</w:t>
      </w:r>
      <w:r w:rsidR="000A0431" w:rsidRPr="00762814">
        <w:rPr>
          <w:rFonts w:cstheme="minorHAnsi"/>
          <w:b/>
          <w:bCs/>
          <w:sz w:val="24"/>
          <w:szCs w:val="24"/>
        </w:rPr>
        <w:t>:</w:t>
      </w:r>
    </w:p>
    <w:p w14:paraId="0955239C" w14:textId="48C85039" w:rsidR="000A0431" w:rsidRPr="00762814" w:rsidRDefault="001536FF" w:rsidP="00BF47B4">
      <w:pPr>
        <w:pStyle w:val="Akapitzlist"/>
        <w:numPr>
          <w:ilvl w:val="0"/>
          <w:numId w:val="34"/>
        </w:numPr>
        <w:spacing w:after="120" w:line="276" w:lineRule="auto"/>
        <w:rPr>
          <w:rFonts w:cstheme="minorHAnsi"/>
          <w:sz w:val="24"/>
          <w:szCs w:val="24"/>
        </w:rPr>
      </w:pPr>
      <w:r w:rsidRPr="00762814">
        <w:rPr>
          <w:rFonts w:cstheme="minorHAnsi"/>
          <w:sz w:val="24"/>
          <w:szCs w:val="24"/>
        </w:rPr>
        <w:t>zatrudnionych na umowę o pracę</w:t>
      </w:r>
      <w:r w:rsidR="000A0431" w:rsidRPr="00762814">
        <w:rPr>
          <w:rFonts w:cstheme="minorHAnsi"/>
          <w:sz w:val="24"/>
          <w:szCs w:val="24"/>
        </w:rPr>
        <w:t>,</w:t>
      </w:r>
    </w:p>
    <w:p w14:paraId="25424A2F" w14:textId="1F72E555" w:rsidR="000A0431" w:rsidRPr="00762814" w:rsidRDefault="001536FF" w:rsidP="00BF47B4">
      <w:pPr>
        <w:pStyle w:val="Akapitzlist"/>
        <w:numPr>
          <w:ilvl w:val="0"/>
          <w:numId w:val="34"/>
        </w:numPr>
        <w:spacing w:after="120" w:line="276" w:lineRule="auto"/>
        <w:rPr>
          <w:rFonts w:cstheme="minorHAnsi"/>
          <w:sz w:val="24"/>
          <w:szCs w:val="24"/>
        </w:rPr>
      </w:pPr>
      <w:r w:rsidRPr="00762814">
        <w:rPr>
          <w:rFonts w:cstheme="minorHAnsi"/>
          <w:sz w:val="24"/>
          <w:szCs w:val="24"/>
        </w:rPr>
        <w:t xml:space="preserve">zatrudnionych </w:t>
      </w:r>
      <w:r w:rsidR="000A0431" w:rsidRPr="00762814">
        <w:rPr>
          <w:rFonts w:cstheme="minorHAnsi"/>
          <w:sz w:val="24"/>
          <w:szCs w:val="24"/>
        </w:rPr>
        <w:t>na podstawie</w:t>
      </w:r>
      <w:r w:rsidRPr="00762814">
        <w:rPr>
          <w:rFonts w:cstheme="minorHAnsi"/>
          <w:sz w:val="24"/>
          <w:szCs w:val="24"/>
        </w:rPr>
        <w:t xml:space="preserve"> </w:t>
      </w:r>
      <w:r w:rsidR="000A0431" w:rsidRPr="00762814">
        <w:rPr>
          <w:rFonts w:cstheme="minorHAnsi"/>
          <w:sz w:val="24"/>
          <w:szCs w:val="24"/>
        </w:rPr>
        <w:t>umowy</w:t>
      </w:r>
      <w:r w:rsidRPr="00762814">
        <w:rPr>
          <w:rFonts w:cstheme="minorHAnsi"/>
          <w:sz w:val="24"/>
          <w:szCs w:val="24"/>
        </w:rPr>
        <w:t xml:space="preserve"> </w:t>
      </w:r>
      <w:r w:rsidR="000A0431" w:rsidRPr="00762814">
        <w:rPr>
          <w:rFonts w:cstheme="minorHAnsi"/>
          <w:sz w:val="24"/>
          <w:szCs w:val="24"/>
        </w:rPr>
        <w:t>cywilnoprawnej,</w:t>
      </w:r>
      <w:r w:rsidR="00CF1FDF">
        <w:rPr>
          <w:rFonts w:cstheme="minorHAnsi"/>
          <w:sz w:val="24"/>
          <w:szCs w:val="24"/>
        </w:rPr>
        <w:t xml:space="preserve"> tj. umowy zlecenia</w:t>
      </w:r>
    </w:p>
    <w:p w14:paraId="63FC829E" w14:textId="26F9D9AB" w:rsidR="000540BE" w:rsidRPr="00762814" w:rsidRDefault="00867CFD" w:rsidP="00BF47B4">
      <w:pPr>
        <w:pStyle w:val="Akapitzlist"/>
        <w:numPr>
          <w:ilvl w:val="0"/>
          <w:numId w:val="34"/>
        </w:numPr>
        <w:spacing w:after="120" w:line="276" w:lineRule="auto"/>
        <w:rPr>
          <w:rFonts w:cstheme="minorHAnsi"/>
          <w:sz w:val="24"/>
          <w:szCs w:val="24"/>
        </w:rPr>
      </w:pPr>
      <w:r w:rsidRPr="00762814">
        <w:rPr>
          <w:rFonts w:cstheme="minorHAnsi"/>
          <w:sz w:val="24"/>
          <w:szCs w:val="24"/>
        </w:rPr>
        <w:t>os</w:t>
      </w:r>
      <w:r w:rsidR="000540BE" w:rsidRPr="00762814">
        <w:rPr>
          <w:rFonts w:cstheme="minorHAnsi"/>
          <w:sz w:val="24"/>
          <w:szCs w:val="24"/>
        </w:rPr>
        <w:t>ób</w:t>
      </w:r>
      <w:r w:rsidRPr="00762814">
        <w:rPr>
          <w:rFonts w:cstheme="minorHAnsi"/>
          <w:sz w:val="24"/>
          <w:szCs w:val="24"/>
        </w:rPr>
        <w:t xml:space="preserve"> fizyczn</w:t>
      </w:r>
      <w:r w:rsidR="000540BE" w:rsidRPr="00762814">
        <w:rPr>
          <w:rFonts w:cstheme="minorHAnsi"/>
          <w:sz w:val="24"/>
          <w:szCs w:val="24"/>
        </w:rPr>
        <w:t>ych</w:t>
      </w:r>
      <w:r w:rsidRPr="00762814">
        <w:rPr>
          <w:rFonts w:cstheme="minorHAnsi"/>
          <w:sz w:val="24"/>
          <w:szCs w:val="24"/>
        </w:rPr>
        <w:t xml:space="preserve"> prowadząc</w:t>
      </w:r>
      <w:r w:rsidR="000540BE" w:rsidRPr="00762814">
        <w:rPr>
          <w:rFonts w:cstheme="minorHAnsi"/>
          <w:sz w:val="24"/>
          <w:szCs w:val="24"/>
        </w:rPr>
        <w:t>ych</w:t>
      </w:r>
      <w:r w:rsidRPr="00762814">
        <w:rPr>
          <w:rFonts w:cstheme="minorHAnsi"/>
          <w:sz w:val="24"/>
          <w:szCs w:val="24"/>
        </w:rPr>
        <w:t xml:space="preserve"> działalność gospodarczą będąc</w:t>
      </w:r>
      <w:r w:rsidR="000540BE" w:rsidRPr="00762814">
        <w:rPr>
          <w:rFonts w:cstheme="minorHAnsi"/>
          <w:sz w:val="24"/>
          <w:szCs w:val="24"/>
        </w:rPr>
        <w:t>ych</w:t>
      </w:r>
      <w:r w:rsidR="009D4556" w:rsidRPr="00762814">
        <w:rPr>
          <w:rFonts w:cstheme="minorHAnsi"/>
          <w:sz w:val="24"/>
          <w:szCs w:val="24"/>
        </w:rPr>
        <w:t xml:space="preserve"> Wnioskodawcą</w:t>
      </w:r>
      <w:r w:rsidR="00812A40" w:rsidRPr="00762814">
        <w:rPr>
          <w:rFonts w:cstheme="minorHAnsi"/>
          <w:sz w:val="24"/>
          <w:szCs w:val="24"/>
        </w:rPr>
        <w:t>,</w:t>
      </w:r>
    </w:p>
    <w:p w14:paraId="550C82A0" w14:textId="616DC6D2" w:rsidR="001536FF" w:rsidRPr="00762814" w:rsidRDefault="000540BE" w:rsidP="00BF47B4">
      <w:pPr>
        <w:pStyle w:val="Akapitzlist"/>
        <w:numPr>
          <w:ilvl w:val="0"/>
          <w:numId w:val="34"/>
        </w:numPr>
        <w:spacing w:after="120" w:line="276" w:lineRule="auto"/>
        <w:rPr>
          <w:rFonts w:cstheme="minorHAnsi"/>
          <w:sz w:val="24"/>
          <w:szCs w:val="24"/>
        </w:rPr>
      </w:pPr>
      <w:r w:rsidRPr="00762814">
        <w:rPr>
          <w:rFonts w:cstheme="minorHAnsi"/>
          <w:sz w:val="24"/>
          <w:szCs w:val="24"/>
        </w:rPr>
        <w:t xml:space="preserve">osób współpracujących </w:t>
      </w:r>
      <w:r w:rsidR="00812A40" w:rsidRPr="00762814">
        <w:rPr>
          <w:rFonts w:cstheme="minorHAnsi"/>
          <w:sz w:val="24"/>
          <w:szCs w:val="24"/>
        </w:rPr>
        <w:t xml:space="preserve">w rozumieniu ustawy o systemie ubezpieczeń społecznych </w:t>
      </w:r>
      <w:r w:rsidR="00596C57" w:rsidRPr="00762814">
        <w:rPr>
          <w:rFonts w:cstheme="minorHAnsi"/>
          <w:sz w:val="24"/>
          <w:szCs w:val="24"/>
        </w:rPr>
        <w:br/>
      </w:r>
      <w:r w:rsidRPr="00762814">
        <w:rPr>
          <w:rFonts w:cstheme="minorHAnsi"/>
          <w:sz w:val="24"/>
          <w:szCs w:val="24"/>
        </w:rPr>
        <w:t xml:space="preserve">z </w:t>
      </w:r>
      <w:r w:rsidR="00812A40" w:rsidRPr="00762814">
        <w:rPr>
          <w:rFonts w:cstheme="minorHAnsi"/>
          <w:sz w:val="24"/>
          <w:szCs w:val="24"/>
        </w:rPr>
        <w:t>W</w:t>
      </w:r>
      <w:r w:rsidRPr="00762814">
        <w:rPr>
          <w:rFonts w:cstheme="minorHAnsi"/>
          <w:sz w:val="24"/>
          <w:szCs w:val="24"/>
        </w:rPr>
        <w:t xml:space="preserve">nioskodawcą </w:t>
      </w:r>
      <w:r w:rsidR="00812A40" w:rsidRPr="00762814">
        <w:rPr>
          <w:rFonts w:cstheme="minorHAnsi"/>
          <w:sz w:val="24"/>
          <w:szCs w:val="24"/>
        </w:rPr>
        <w:t>będącym osobą fizyczną prowadzącą działalność gospodarczą</w:t>
      </w:r>
      <w:r w:rsidR="00867CFD" w:rsidRPr="00762814">
        <w:rPr>
          <w:rFonts w:cstheme="minorHAnsi"/>
          <w:sz w:val="24"/>
          <w:szCs w:val="24"/>
        </w:rPr>
        <w:t>.</w:t>
      </w:r>
    </w:p>
    <w:p w14:paraId="210908C7" w14:textId="0DA0323D" w:rsidR="00A23B26" w:rsidRPr="00762814" w:rsidRDefault="005D11BA" w:rsidP="00762814">
      <w:pPr>
        <w:spacing w:after="120" w:line="276" w:lineRule="auto"/>
        <w:rPr>
          <w:rFonts w:cstheme="minorHAnsi"/>
          <w:sz w:val="24"/>
          <w:szCs w:val="24"/>
        </w:rPr>
      </w:pPr>
      <w:r w:rsidRPr="00762814">
        <w:rPr>
          <w:rFonts w:cstheme="minorHAnsi"/>
          <w:sz w:val="24"/>
          <w:szCs w:val="24"/>
        </w:rPr>
        <w:t>Wydatki</w:t>
      </w:r>
      <w:r w:rsidR="00A23B26" w:rsidRPr="00762814">
        <w:rPr>
          <w:rFonts w:cstheme="minorHAnsi"/>
          <w:sz w:val="24"/>
          <w:szCs w:val="24"/>
        </w:rPr>
        <w:t xml:space="preserve"> są</w:t>
      </w:r>
      <w:r w:rsidR="00812A40" w:rsidRPr="00762814">
        <w:rPr>
          <w:rFonts w:cstheme="minorHAnsi"/>
          <w:sz w:val="24"/>
          <w:szCs w:val="24"/>
        </w:rPr>
        <w:t xml:space="preserve"> kwalifikowalne wyłącznie w zakresie i przez okres zaangażowania personelu projektu w realizację projektu badawczego</w:t>
      </w:r>
      <w:r w:rsidR="00FE1BCB" w:rsidRPr="00762814">
        <w:rPr>
          <w:rFonts w:cstheme="minorHAnsi"/>
          <w:sz w:val="24"/>
          <w:szCs w:val="24"/>
        </w:rPr>
        <w:t>,</w:t>
      </w:r>
      <w:r w:rsidR="00812A40" w:rsidRPr="00762814">
        <w:rPr>
          <w:rFonts w:cstheme="minorHAnsi"/>
          <w:sz w:val="24"/>
          <w:szCs w:val="24"/>
        </w:rPr>
        <w:t xml:space="preserve"> będącego przedmiotem modułu B+R.</w:t>
      </w:r>
    </w:p>
    <w:p w14:paraId="185BEC3E" w14:textId="0EC46BAA" w:rsidR="00677457" w:rsidRPr="00762814" w:rsidRDefault="00677457" w:rsidP="00762814">
      <w:pPr>
        <w:spacing w:after="120" w:line="276" w:lineRule="auto"/>
        <w:rPr>
          <w:rFonts w:cstheme="minorHAnsi"/>
          <w:sz w:val="24"/>
          <w:szCs w:val="24"/>
        </w:rPr>
      </w:pPr>
      <w:r w:rsidRPr="00762814">
        <w:rPr>
          <w:rFonts w:cstheme="minorHAnsi"/>
          <w:sz w:val="24"/>
          <w:szCs w:val="24"/>
        </w:rPr>
        <w:t xml:space="preserve">W przypadku wykonywania przez dany personel jakichkolwiek zadań związanych </w:t>
      </w:r>
      <w:r w:rsidR="00F6658E" w:rsidRPr="00762814">
        <w:rPr>
          <w:rFonts w:cstheme="minorHAnsi"/>
          <w:sz w:val="24"/>
          <w:szCs w:val="24"/>
        </w:rPr>
        <w:br/>
      </w:r>
      <w:r w:rsidRPr="00762814">
        <w:rPr>
          <w:rFonts w:cstheme="minorHAnsi"/>
          <w:sz w:val="24"/>
          <w:szCs w:val="24"/>
        </w:rPr>
        <w:t>z zarządzaniem</w:t>
      </w:r>
      <w:r w:rsidR="00B25BE5" w:rsidRPr="00762814">
        <w:rPr>
          <w:rFonts w:cstheme="minorHAnsi"/>
          <w:sz w:val="24"/>
          <w:szCs w:val="24"/>
        </w:rPr>
        <w:t xml:space="preserve">, nadzorem lub koordynacją </w:t>
      </w:r>
      <w:r w:rsidRPr="00762814">
        <w:rPr>
          <w:rFonts w:cstheme="minorHAnsi"/>
          <w:sz w:val="24"/>
          <w:szCs w:val="24"/>
        </w:rPr>
        <w:t>projektem badawczo-rozwojowym będącym przedmiotem modułu B+R lub zarządzeniem modułem B+R lub zarządzaniem projektem (składającym się także z innych modułów niż moduł B+R)</w:t>
      </w:r>
      <w:r w:rsidR="007F1D90" w:rsidRPr="00762814">
        <w:rPr>
          <w:rFonts w:cstheme="minorHAnsi"/>
          <w:sz w:val="24"/>
          <w:szCs w:val="24"/>
        </w:rPr>
        <w:t>,</w:t>
      </w:r>
      <w:r w:rsidRPr="00762814">
        <w:rPr>
          <w:rFonts w:cstheme="minorHAnsi"/>
          <w:sz w:val="24"/>
          <w:szCs w:val="24"/>
        </w:rPr>
        <w:t xml:space="preserve"> koszt jego wynagrodzenia jest niekwalifikowalny w kategorii Personel projektu. Koszt wynagrodzenia takich osób</w:t>
      </w:r>
      <w:r w:rsidR="00FE1BCB" w:rsidRPr="00762814">
        <w:rPr>
          <w:rFonts w:cstheme="minorHAnsi"/>
          <w:sz w:val="24"/>
          <w:szCs w:val="24"/>
        </w:rPr>
        <w:t xml:space="preserve"> </w:t>
      </w:r>
      <w:r w:rsidR="007F1D90" w:rsidRPr="00762814">
        <w:rPr>
          <w:rFonts w:cstheme="minorHAnsi"/>
          <w:sz w:val="24"/>
          <w:szCs w:val="24"/>
        </w:rPr>
        <w:br/>
      </w:r>
      <w:r w:rsidR="00FE1BCB" w:rsidRPr="00762814">
        <w:rPr>
          <w:rFonts w:cstheme="minorHAnsi"/>
          <w:sz w:val="24"/>
          <w:szCs w:val="24"/>
        </w:rPr>
        <w:t xml:space="preserve">(np. kierownika projektu, kierownika prac rozwojowych, kierownika merytorycznego) </w:t>
      </w:r>
      <w:r w:rsidRPr="00762814">
        <w:rPr>
          <w:rFonts w:cstheme="minorHAnsi"/>
          <w:sz w:val="24"/>
          <w:szCs w:val="24"/>
        </w:rPr>
        <w:t xml:space="preserve">stanowi </w:t>
      </w:r>
      <w:r w:rsidR="00FE1BCB" w:rsidRPr="00762814">
        <w:rPr>
          <w:rFonts w:cstheme="minorHAnsi"/>
          <w:sz w:val="24"/>
          <w:szCs w:val="24"/>
        </w:rPr>
        <w:t xml:space="preserve">w całości </w:t>
      </w:r>
      <w:r w:rsidRPr="00762814">
        <w:rPr>
          <w:rFonts w:cstheme="minorHAnsi"/>
          <w:sz w:val="24"/>
          <w:szCs w:val="24"/>
        </w:rPr>
        <w:t>wydatek kwalifikowalny w kategorii Koszty pośrednie</w:t>
      </w:r>
      <w:r w:rsidR="0048116B" w:rsidRPr="00762814">
        <w:rPr>
          <w:rFonts w:cstheme="minorHAnsi"/>
          <w:sz w:val="24"/>
          <w:szCs w:val="24"/>
        </w:rPr>
        <w:t xml:space="preserve"> (ogólne)</w:t>
      </w:r>
      <w:r w:rsidRPr="00762814">
        <w:rPr>
          <w:rFonts w:cstheme="minorHAnsi"/>
          <w:sz w:val="24"/>
          <w:szCs w:val="24"/>
        </w:rPr>
        <w:t>.</w:t>
      </w:r>
    </w:p>
    <w:p w14:paraId="54E8B9D9" w14:textId="3E21EA7D" w:rsidR="00796A8E" w:rsidRPr="00762814" w:rsidRDefault="00796A8E" w:rsidP="00762814">
      <w:pPr>
        <w:spacing w:after="120" w:line="276" w:lineRule="auto"/>
        <w:rPr>
          <w:rFonts w:cstheme="minorHAnsi"/>
          <w:sz w:val="24"/>
          <w:szCs w:val="24"/>
        </w:rPr>
      </w:pPr>
      <w:r w:rsidRPr="00762814">
        <w:rPr>
          <w:rFonts w:cstheme="minorHAnsi"/>
          <w:sz w:val="24"/>
          <w:szCs w:val="24"/>
        </w:rPr>
        <w:t xml:space="preserve">Koszt zaangażowania </w:t>
      </w:r>
      <w:r w:rsidRPr="00762814">
        <w:rPr>
          <w:rFonts w:cstheme="minorHAnsi"/>
          <w:b/>
          <w:sz w:val="24"/>
          <w:szCs w:val="24"/>
        </w:rPr>
        <w:t xml:space="preserve">osoby fizycznej prowadzącej działalność gospodarczą będącej </w:t>
      </w:r>
      <w:r w:rsidR="009D4556" w:rsidRPr="00762814">
        <w:rPr>
          <w:rFonts w:cstheme="minorHAnsi"/>
          <w:b/>
          <w:sz w:val="24"/>
          <w:szCs w:val="24"/>
        </w:rPr>
        <w:t>Wnioskodawcą</w:t>
      </w:r>
      <w:r w:rsidRPr="00762814">
        <w:rPr>
          <w:rFonts w:cstheme="minorHAnsi"/>
          <w:sz w:val="24"/>
          <w:szCs w:val="24"/>
        </w:rPr>
        <w:t xml:space="preserve"> jest kwalifikowalny pod warunkiem wyraźnego wskazania tej formy zaangażowania w</w:t>
      </w:r>
      <w:r w:rsidR="00693A6B" w:rsidRPr="00762814">
        <w:rPr>
          <w:rFonts w:cstheme="minorHAnsi"/>
          <w:sz w:val="24"/>
          <w:szCs w:val="24"/>
        </w:rPr>
        <w:t>e</w:t>
      </w:r>
      <w:r w:rsidRPr="00762814">
        <w:rPr>
          <w:rFonts w:cstheme="minorHAnsi"/>
          <w:sz w:val="24"/>
          <w:szCs w:val="24"/>
        </w:rPr>
        <w:t xml:space="preserve"> wniosku wraz z</w:t>
      </w:r>
      <w:r w:rsidR="00693A6B" w:rsidRPr="00762814">
        <w:rPr>
          <w:rFonts w:cstheme="minorHAnsi"/>
          <w:sz w:val="24"/>
          <w:szCs w:val="24"/>
        </w:rPr>
        <w:t xml:space="preserve"> </w:t>
      </w:r>
      <w:r w:rsidRPr="00762814">
        <w:rPr>
          <w:rFonts w:cstheme="minorHAnsi"/>
          <w:sz w:val="24"/>
          <w:szCs w:val="24"/>
        </w:rPr>
        <w:t>zakresem obowiązków tej osoby i</w:t>
      </w:r>
      <w:r w:rsidR="00693A6B" w:rsidRPr="00762814">
        <w:rPr>
          <w:rFonts w:cstheme="minorHAnsi"/>
          <w:sz w:val="24"/>
          <w:szCs w:val="24"/>
        </w:rPr>
        <w:t xml:space="preserve"> </w:t>
      </w:r>
      <w:r w:rsidRPr="00762814">
        <w:rPr>
          <w:rFonts w:cstheme="minorHAnsi"/>
          <w:sz w:val="24"/>
          <w:szCs w:val="24"/>
        </w:rPr>
        <w:t>kosztem jej zaangażowania rozliczanego na podstawie noty księgowej.</w:t>
      </w:r>
    </w:p>
    <w:p w14:paraId="258C91E3" w14:textId="4F843D55" w:rsidR="00A23B26" w:rsidRPr="00762814" w:rsidRDefault="005D11BA" w:rsidP="00762814">
      <w:pPr>
        <w:spacing w:after="120" w:line="276" w:lineRule="auto"/>
        <w:rPr>
          <w:rFonts w:cstheme="minorHAnsi"/>
          <w:sz w:val="24"/>
          <w:szCs w:val="24"/>
        </w:rPr>
      </w:pPr>
      <w:r w:rsidRPr="00762814">
        <w:rPr>
          <w:rFonts w:cstheme="minorHAnsi"/>
          <w:sz w:val="24"/>
          <w:szCs w:val="24"/>
        </w:rPr>
        <w:t xml:space="preserve">Wydatek </w:t>
      </w:r>
      <w:r w:rsidR="00A23B26" w:rsidRPr="00762814">
        <w:rPr>
          <w:rFonts w:cstheme="minorHAnsi"/>
          <w:sz w:val="24"/>
          <w:szCs w:val="24"/>
        </w:rPr>
        <w:t>kwalifikowalny stanowią następujące składniki płacowe i pozapłacowe wynagrodzenia pracowników:</w:t>
      </w:r>
    </w:p>
    <w:p w14:paraId="1CC579EC" w14:textId="73198830"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wynagrodzenie zasadnicze;</w:t>
      </w:r>
    </w:p>
    <w:p w14:paraId="4A298C7B" w14:textId="5CCA3DE0"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premie lub nagrody (z wyjątkiem nagród jubileuszowych), jeśli:</w:t>
      </w:r>
      <w:r w:rsidR="00E94A55" w:rsidRPr="00762814">
        <w:rPr>
          <w:rFonts w:cstheme="minorHAnsi"/>
          <w:sz w:val="24"/>
          <w:szCs w:val="24"/>
        </w:rPr>
        <w:t xml:space="preserve"> w</w:t>
      </w:r>
      <w:r w:rsidRPr="00762814">
        <w:rPr>
          <w:rFonts w:cstheme="minorHAnsi"/>
          <w:sz w:val="24"/>
          <w:szCs w:val="24"/>
        </w:rPr>
        <w:t>ynikają one z</w:t>
      </w:r>
      <w:r w:rsidR="007C33FB" w:rsidRPr="00762814">
        <w:rPr>
          <w:rFonts w:cstheme="minorHAnsi"/>
          <w:sz w:val="24"/>
          <w:szCs w:val="24"/>
        </w:rPr>
        <w:t> </w:t>
      </w:r>
      <w:r w:rsidRPr="00762814">
        <w:rPr>
          <w:rFonts w:cstheme="minorHAnsi"/>
          <w:sz w:val="24"/>
          <w:szCs w:val="24"/>
        </w:rPr>
        <w:t xml:space="preserve">regulaminu wynagrodzeń, który ustala jednolite zasady dla wszystkich pracowników (także tych niezaangażowanych w realizację projektów współfinansowanych </w:t>
      </w:r>
      <w:r w:rsidR="007F1D90" w:rsidRPr="00762814">
        <w:rPr>
          <w:rFonts w:cstheme="minorHAnsi"/>
          <w:sz w:val="24"/>
          <w:szCs w:val="24"/>
        </w:rPr>
        <w:br/>
      </w:r>
      <w:r w:rsidRPr="00762814">
        <w:rPr>
          <w:rFonts w:cstheme="minorHAnsi"/>
          <w:sz w:val="24"/>
          <w:szCs w:val="24"/>
        </w:rPr>
        <w:t xml:space="preserve">z FENG), lub regulaminu pracy, lub innych przepisów prawa pracy oraz obowiązują co najmniej 6 miesięcy przed dniem złożenia wniosku; ale jeśli organizacja Wnioskodawcy powstała później, wystarczy spełnienie warunku zgodności z ww. </w:t>
      </w:r>
      <w:r w:rsidR="006B1FB1" w:rsidRPr="00762814">
        <w:rPr>
          <w:rFonts w:cstheme="minorHAnsi"/>
          <w:sz w:val="24"/>
          <w:szCs w:val="24"/>
        </w:rPr>
        <w:t>r</w:t>
      </w:r>
      <w:r w:rsidRPr="00762814">
        <w:rPr>
          <w:rFonts w:cstheme="minorHAnsi"/>
          <w:sz w:val="24"/>
          <w:szCs w:val="24"/>
        </w:rPr>
        <w:t>egulaminami oraz prz</w:t>
      </w:r>
      <w:r w:rsidR="005878E9" w:rsidRPr="00762814">
        <w:rPr>
          <w:rFonts w:cstheme="minorHAnsi"/>
          <w:sz w:val="24"/>
          <w:szCs w:val="24"/>
        </w:rPr>
        <w:t>e</w:t>
      </w:r>
      <w:r w:rsidRPr="00762814">
        <w:rPr>
          <w:rFonts w:cstheme="minorHAnsi"/>
          <w:sz w:val="24"/>
          <w:szCs w:val="24"/>
        </w:rPr>
        <w:t>pisami prawa pracy;</w:t>
      </w:r>
    </w:p>
    <w:p w14:paraId="36FF3515" w14:textId="7290B1F6"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dodatek do wynagrodzenia za wykonywanie zadań w projekcie;</w:t>
      </w:r>
    </w:p>
    <w:p w14:paraId="77A43DC4" w14:textId="3459829F"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dodatek za wieloletnią pracę i dodatek funkcyjny;</w:t>
      </w:r>
    </w:p>
    <w:p w14:paraId="72E291EB" w14:textId="171AE879"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wynagrodzenie za okres urlopu wypoczynkowego – proporcjonalnie do procentowego zaangażowania danego pracownika w realizację badań przemysłowych, prac rozwojowych w miesiącu, w którym korzystał on z urlopu, a jeżeli nie można tego określić – w miesiącu, który go poprzedza;</w:t>
      </w:r>
    </w:p>
    <w:p w14:paraId="7904DF2D" w14:textId="7CBEA49B"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 xml:space="preserve">wynagrodzenie za czas niezdolności do pracy zgodnie z obowiązującymi przepisami </w:t>
      </w:r>
      <w:r w:rsidR="00F6658E" w:rsidRPr="00762814">
        <w:rPr>
          <w:rFonts w:cstheme="minorHAnsi"/>
          <w:sz w:val="24"/>
          <w:szCs w:val="24"/>
        </w:rPr>
        <w:br/>
      </w:r>
      <w:r w:rsidRPr="00762814">
        <w:rPr>
          <w:rFonts w:cstheme="minorHAnsi"/>
          <w:sz w:val="24"/>
          <w:szCs w:val="24"/>
        </w:rPr>
        <w:t>w zakresie ubezpieczeń społecznych – proporcjonalnie do procentowego zaangażowania danego pracownika w realizację projektu w miesiącu, gdy był on niezdolny do pracy, a jeżeli nie można tego określić – w miesiącu, który go poprzedza;</w:t>
      </w:r>
    </w:p>
    <w:p w14:paraId="4AF2B676" w14:textId="3804CD8D"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dodatkowe wynagrodzenie roczne wynikające z przepisów prawa pracy wraz ze składkami na ubezpieczenia społeczne i fundusze pozaubezpieczeniowe – proporcjonalnie do okresu, w jakim pracownik realizował zadania w projekcie;</w:t>
      </w:r>
    </w:p>
    <w:p w14:paraId="5C4EA31C" w14:textId="7CA79165" w:rsidR="00A23B26" w:rsidRPr="00762814" w:rsidRDefault="00A23B26" w:rsidP="00BF47B4">
      <w:pPr>
        <w:pStyle w:val="Akapitzlist"/>
        <w:numPr>
          <w:ilvl w:val="0"/>
          <w:numId w:val="35"/>
        </w:numPr>
        <w:spacing w:after="120" w:line="276" w:lineRule="auto"/>
        <w:rPr>
          <w:rFonts w:cstheme="minorHAnsi"/>
          <w:sz w:val="24"/>
          <w:szCs w:val="24"/>
        </w:rPr>
      </w:pPr>
      <w:r w:rsidRPr="00762814">
        <w:rPr>
          <w:rFonts w:cstheme="minorHAnsi"/>
          <w:sz w:val="24"/>
          <w:szCs w:val="24"/>
        </w:rPr>
        <w:t>składka na:</w:t>
      </w:r>
    </w:p>
    <w:p w14:paraId="4FD445A2" w14:textId="645F5A02"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ubezpieczenie emerytalne, w tym Pracowniczy Program Emerytalny, Pracownicze Plany Kapitałowe,</w:t>
      </w:r>
    </w:p>
    <w:p w14:paraId="1D80373D" w14:textId="2A9E1160"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ubezpieczenie rentowe,</w:t>
      </w:r>
    </w:p>
    <w:p w14:paraId="5AD3DB67" w14:textId="30683E49"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ubezpieczenie chorobowe,</w:t>
      </w:r>
    </w:p>
    <w:p w14:paraId="0C94D9C2" w14:textId="08E498CD"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ubezpieczenie zdrowotne,</w:t>
      </w:r>
    </w:p>
    <w:p w14:paraId="4572AB10" w14:textId="76459FC3"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ubezpieczenie wypadkowe;</w:t>
      </w:r>
    </w:p>
    <w:p w14:paraId="5B195882" w14:textId="6E9948ED"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składka na Fundusz Pracy;</w:t>
      </w:r>
    </w:p>
    <w:p w14:paraId="766548F1" w14:textId="66CD0CD5"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składka na Fundusz Gwarantowanych Świadczeń Pracowniczych;</w:t>
      </w:r>
    </w:p>
    <w:p w14:paraId="2B6D2A23" w14:textId="77777777" w:rsidR="00061C53"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zaliczka na podatek dochodowy;</w:t>
      </w:r>
    </w:p>
    <w:p w14:paraId="38D1DC50" w14:textId="3439E0AD" w:rsidR="00A23B26" w:rsidRPr="00762814" w:rsidRDefault="00A23B26" w:rsidP="00BF47B4">
      <w:pPr>
        <w:pStyle w:val="Akapitzlist"/>
        <w:numPr>
          <w:ilvl w:val="1"/>
          <w:numId w:val="36"/>
        </w:numPr>
        <w:spacing w:after="120" w:line="276" w:lineRule="auto"/>
        <w:rPr>
          <w:rFonts w:cstheme="minorHAnsi"/>
          <w:sz w:val="24"/>
          <w:szCs w:val="24"/>
        </w:rPr>
      </w:pPr>
      <w:r w:rsidRPr="00762814">
        <w:rPr>
          <w:rFonts w:cstheme="minorHAnsi"/>
          <w:sz w:val="24"/>
          <w:szCs w:val="24"/>
        </w:rPr>
        <w:t>odpisy na ZFŚŚ.</w:t>
      </w:r>
    </w:p>
    <w:p w14:paraId="65FDA9A6" w14:textId="641A9F3B" w:rsidR="00A23B26" w:rsidRPr="00762814" w:rsidRDefault="00A23B26" w:rsidP="00762814">
      <w:pPr>
        <w:spacing w:after="120" w:line="276" w:lineRule="auto"/>
        <w:rPr>
          <w:rFonts w:cstheme="minorHAnsi"/>
          <w:sz w:val="24"/>
          <w:szCs w:val="24"/>
        </w:rPr>
      </w:pPr>
      <w:r w:rsidRPr="00762814">
        <w:rPr>
          <w:rFonts w:cstheme="minorHAnsi"/>
          <w:sz w:val="24"/>
          <w:szCs w:val="24"/>
        </w:rPr>
        <w:t xml:space="preserve">Zatrudnienie lub oddelegowanie personelu do </w:t>
      </w:r>
      <w:r w:rsidR="00890189" w:rsidRPr="00762814">
        <w:rPr>
          <w:rFonts w:cstheme="minorHAnsi"/>
          <w:sz w:val="24"/>
          <w:szCs w:val="24"/>
        </w:rPr>
        <w:t xml:space="preserve">realizacji </w:t>
      </w:r>
      <w:r w:rsidRPr="00762814">
        <w:rPr>
          <w:rFonts w:cstheme="minorHAnsi"/>
          <w:sz w:val="24"/>
          <w:szCs w:val="24"/>
        </w:rPr>
        <w:t>zadań związanych z</w:t>
      </w:r>
      <w:r w:rsidR="00560D17" w:rsidRPr="00762814">
        <w:rPr>
          <w:rFonts w:cstheme="minorHAnsi"/>
          <w:sz w:val="24"/>
          <w:szCs w:val="24"/>
        </w:rPr>
        <w:t> </w:t>
      </w:r>
      <w:r w:rsidRPr="00762814">
        <w:rPr>
          <w:rFonts w:cstheme="minorHAnsi"/>
          <w:sz w:val="24"/>
          <w:szCs w:val="24"/>
        </w:rPr>
        <w:t xml:space="preserve">realizacją projektu </w:t>
      </w:r>
      <w:r w:rsidR="00D23DFF" w:rsidRPr="00762814">
        <w:rPr>
          <w:rFonts w:cstheme="minorHAnsi"/>
          <w:sz w:val="24"/>
          <w:szCs w:val="24"/>
        </w:rPr>
        <w:t xml:space="preserve">badawczo-rozwojowego będącego przedmiotem modułu B+R musi być </w:t>
      </w:r>
      <w:r w:rsidRPr="00762814">
        <w:rPr>
          <w:rFonts w:cstheme="minorHAnsi"/>
          <w:sz w:val="24"/>
          <w:szCs w:val="24"/>
        </w:rPr>
        <w:t xml:space="preserve">odpowiednio </w:t>
      </w:r>
      <w:r w:rsidR="00D23DFF" w:rsidRPr="00762814">
        <w:rPr>
          <w:rFonts w:cstheme="minorHAnsi"/>
          <w:sz w:val="24"/>
          <w:szCs w:val="24"/>
        </w:rPr>
        <w:t>uwzględnione w</w:t>
      </w:r>
      <w:r w:rsidRPr="00762814">
        <w:rPr>
          <w:rFonts w:cstheme="minorHAnsi"/>
          <w:sz w:val="24"/>
          <w:szCs w:val="24"/>
        </w:rPr>
        <w:t xml:space="preserve"> umow</w:t>
      </w:r>
      <w:r w:rsidR="00D23DFF" w:rsidRPr="00762814">
        <w:rPr>
          <w:rFonts w:cstheme="minorHAnsi"/>
          <w:sz w:val="24"/>
          <w:szCs w:val="24"/>
        </w:rPr>
        <w:t>ie</w:t>
      </w:r>
      <w:r w:rsidRPr="00762814">
        <w:rPr>
          <w:rFonts w:cstheme="minorHAnsi"/>
          <w:sz w:val="24"/>
          <w:szCs w:val="24"/>
        </w:rPr>
        <w:t xml:space="preserve"> o pracę, porozumieni</w:t>
      </w:r>
      <w:r w:rsidR="00D23DFF" w:rsidRPr="00762814">
        <w:rPr>
          <w:rFonts w:cstheme="minorHAnsi"/>
          <w:sz w:val="24"/>
          <w:szCs w:val="24"/>
        </w:rPr>
        <w:t>u</w:t>
      </w:r>
      <w:r w:rsidRPr="00762814">
        <w:rPr>
          <w:rFonts w:cstheme="minorHAnsi"/>
          <w:sz w:val="24"/>
          <w:szCs w:val="24"/>
        </w:rPr>
        <w:t xml:space="preserve"> lub </w:t>
      </w:r>
      <w:r w:rsidR="00D23DFF" w:rsidRPr="00762814">
        <w:rPr>
          <w:rFonts w:cstheme="minorHAnsi"/>
          <w:sz w:val="24"/>
          <w:szCs w:val="24"/>
        </w:rPr>
        <w:t xml:space="preserve">zakresie </w:t>
      </w:r>
      <w:r w:rsidRPr="00762814">
        <w:rPr>
          <w:rFonts w:cstheme="minorHAnsi"/>
          <w:sz w:val="24"/>
          <w:szCs w:val="24"/>
        </w:rPr>
        <w:t xml:space="preserve">czynności służbowych pracownika lub </w:t>
      </w:r>
      <w:r w:rsidR="00D23DFF" w:rsidRPr="00762814">
        <w:rPr>
          <w:rFonts w:cstheme="minorHAnsi"/>
          <w:sz w:val="24"/>
          <w:szCs w:val="24"/>
        </w:rPr>
        <w:t xml:space="preserve">w </w:t>
      </w:r>
      <w:r w:rsidRPr="00762814">
        <w:rPr>
          <w:rFonts w:cstheme="minorHAnsi"/>
          <w:sz w:val="24"/>
          <w:szCs w:val="24"/>
        </w:rPr>
        <w:t>opis</w:t>
      </w:r>
      <w:r w:rsidR="00D23DFF" w:rsidRPr="00762814">
        <w:rPr>
          <w:rFonts w:cstheme="minorHAnsi"/>
          <w:sz w:val="24"/>
          <w:szCs w:val="24"/>
        </w:rPr>
        <w:t>ie</w:t>
      </w:r>
      <w:r w:rsidRPr="00762814">
        <w:rPr>
          <w:rFonts w:cstheme="minorHAnsi"/>
          <w:sz w:val="24"/>
          <w:szCs w:val="24"/>
        </w:rPr>
        <w:t xml:space="preserve"> stanowiska pracy poprzez wskazanie w szczególności zadań wykonywanych w ramach projektu.</w:t>
      </w:r>
    </w:p>
    <w:p w14:paraId="4F62352C" w14:textId="4143F480" w:rsidR="00A23B26" w:rsidRPr="00762814" w:rsidRDefault="00A23B26" w:rsidP="00762814">
      <w:pPr>
        <w:tabs>
          <w:tab w:val="left" w:pos="9072"/>
        </w:tabs>
        <w:spacing w:after="0" w:line="276" w:lineRule="auto"/>
        <w:jc w:val="both"/>
        <w:rPr>
          <w:rFonts w:cstheme="minorHAnsi"/>
          <w:sz w:val="24"/>
          <w:szCs w:val="24"/>
        </w:rPr>
      </w:pPr>
      <w:r w:rsidRPr="00762814">
        <w:rPr>
          <w:rFonts w:cstheme="minorHAnsi"/>
          <w:sz w:val="24"/>
          <w:szCs w:val="24"/>
        </w:rPr>
        <w:t>Jeżeli stosunek pracy pracownika</w:t>
      </w:r>
      <w:r w:rsidR="00037464" w:rsidRPr="00762814">
        <w:rPr>
          <w:rFonts w:cstheme="minorHAnsi"/>
          <w:sz w:val="24"/>
          <w:szCs w:val="24"/>
        </w:rPr>
        <w:t xml:space="preserve"> Wnioskodawcy</w:t>
      </w:r>
      <w:r w:rsidRPr="00762814">
        <w:rPr>
          <w:rFonts w:cstheme="minorHAnsi"/>
          <w:sz w:val="24"/>
          <w:szCs w:val="24"/>
        </w:rPr>
        <w:t xml:space="preserve"> jedynie w części obejmuje zadania </w:t>
      </w:r>
      <w:r w:rsidR="00A3748E" w:rsidRPr="00762814">
        <w:rPr>
          <w:rFonts w:cstheme="minorHAnsi"/>
          <w:sz w:val="24"/>
          <w:szCs w:val="24"/>
        </w:rPr>
        <w:br/>
      </w:r>
      <w:r w:rsidRPr="00762814">
        <w:rPr>
          <w:rFonts w:cstheme="minorHAnsi"/>
          <w:sz w:val="24"/>
          <w:szCs w:val="24"/>
        </w:rPr>
        <w:t>w</w:t>
      </w:r>
      <w:r w:rsidR="008E7E5A" w:rsidRPr="00762814">
        <w:rPr>
          <w:rFonts w:cstheme="minorHAnsi"/>
          <w:sz w:val="24"/>
          <w:szCs w:val="24"/>
        </w:rPr>
        <w:t xml:space="preserve"> </w:t>
      </w:r>
      <w:r w:rsidRPr="00762814">
        <w:rPr>
          <w:rFonts w:cstheme="minorHAnsi"/>
          <w:sz w:val="24"/>
          <w:szCs w:val="24"/>
        </w:rPr>
        <w:t>ramach projektu</w:t>
      </w:r>
      <w:r w:rsidR="00A83821" w:rsidRPr="00762814">
        <w:rPr>
          <w:rFonts w:cstheme="minorHAnsi"/>
          <w:sz w:val="24"/>
          <w:szCs w:val="24"/>
        </w:rPr>
        <w:t xml:space="preserve"> badawczo-rozwojowego</w:t>
      </w:r>
      <w:r w:rsidRPr="00762814">
        <w:rPr>
          <w:rFonts w:cstheme="minorHAnsi"/>
          <w:sz w:val="24"/>
          <w:szCs w:val="24"/>
        </w:rPr>
        <w:t xml:space="preserve">, koszt wynagrodzenia jest kwalifikowalny </w:t>
      </w:r>
      <w:r w:rsidR="00A83821" w:rsidRPr="00762814">
        <w:rPr>
          <w:rFonts w:cstheme="minorHAnsi"/>
          <w:sz w:val="24"/>
          <w:szCs w:val="24"/>
        </w:rPr>
        <w:t>pod warunkiem, że</w:t>
      </w:r>
      <w:r w:rsidRPr="00762814">
        <w:rPr>
          <w:rFonts w:cstheme="minorHAnsi"/>
          <w:sz w:val="24"/>
          <w:szCs w:val="24"/>
        </w:rPr>
        <w:t>:</w:t>
      </w:r>
    </w:p>
    <w:p w14:paraId="059EBA18" w14:textId="5438FF3A" w:rsidR="00A23B26" w:rsidRPr="00762814" w:rsidRDefault="00977967" w:rsidP="00762814">
      <w:pPr>
        <w:pStyle w:val="Akapitzlist"/>
        <w:spacing w:after="120" w:line="276" w:lineRule="auto"/>
        <w:ind w:left="567" w:hanging="283"/>
        <w:rPr>
          <w:rFonts w:cstheme="minorHAnsi"/>
          <w:sz w:val="24"/>
          <w:szCs w:val="24"/>
        </w:rPr>
      </w:pPr>
      <w:r w:rsidRPr="00762814">
        <w:rPr>
          <w:rFonts w:cstheme="minorHAnsi"/>
          <w:sz w:val="24"/>
          <w:szCs w:val="24"/>
        </w:rPr>
        <w:t xml:space="preserve">a) </w:t>
      </w:r>
      <w:r w:rsidR="00A23B26" w:rsidRPr="00762814">
        <w:rPr>
          <w:rFonts w:cstheme="minorHAnsi"/>
          <w:sz w:val="24"/>
          <w:szCs w:val="24"/>
        </w:rPr>
        <w:t xml:space="preserve">zadania związane z realizacją projektu zostaną wyraźnie wyodrębnione w umowie </w:t>
      </w:r>
      <w:r w:rsidR="007F1D90" w:rsidRPr="00762814">
        <w:rPr>
          <w:rFonts w:cstheme="minorHAnsi"/>
          <w:sz w:val="24"/>
          <w:szCs w:val="24"/>
        </w:rPr>
        <w:br/>
      </w:r>
      <w:r w:rsidR="00A23B26" w:rsidRPr="00762814">
        <w:rPr>
          <w:rFonts w:cstheme="minorHAnsi"/>
          <w:sz w:val="24"/>
          <w:szCs w:val="24"/>
        </w:rPr>
        <w:t>o pracę, porozumieniu lub zakresie czynności służbowych pracownika lub opisie stanowiska pracy,</w:t>
      </w:r>
    </w:p>
    <w:p w14:paraId="3555EDC8" w14:textId="061DE017" w:rsidR="00A23B26" w:rsidRPr="00762814" w:rsidRDefault="00977967" w:rsidP="00762814">
      <w:pPr>
        <w:spacing w:after="120" w:line="276" w:lineRule="auto"/>
        <w:ind w:left="567" w:hanging="283"/>
        <w:rPr>
          <w:rFonts w:cstheme="minorHAnsi"/>
          <w:sz w:val="24"/>
          <w:szCs w:val="24"/>
        </w:rPr>
      </w:pPr>
      <w:r w:rsidRPr="00762814">
        <w:rPr>
          <w:rFonts w:cstheme="minorHAnsi"/>
          <w:sz w:val="24"/>
          <w:szCs w:val="24"/>
        </w:rPr>
        <w:t xml:space="preserve">b) </w:t>
      </w:r>
      <w:r w:rsidR="00A23B26" w:rsidRPr="00762814">
        <w:rPr>
          <w:rFonts w:cstheme="minorHAnsi"/>
          <w:sz w:val="24"/>
          <w:szCs w:val="24"/>
        </w:rPr>
        <w:t>zakres zadań związanych z realizacją projektu stanowi podstawę do określenia proporcji faktycznego zaangażowania pracownika w realizację projektu w stosunku do czasu pracy wynikającego z umowy o pracę tego pracownika,</w:t>
      </w:r>
    </w:p>
    <w:p w14:paraId="3C8FDAF0" w14:textId="1175EF24" w:rsidR="00A23B26" w:rsidRPr="00762814" w:rsidRDefault="00977967" w:rsidP="00762814">
      <w:pPr>
        <w:pStyle w:val="Akapitzlist"/>
        <w:spacing w:after="120" w:line="276" w:lineRule="auto"/>
        <w:ind w:left="567" w:hanging="283"/>
        <w:rPr>
          <w:rFonts w:cstheme="minorHAnsi"/>
          <w:sz w:val="24"/>
          <w:szCs w:val="24"/>
        </w:rPr>
      </w:pPr>
      <w:r w:rsidRPr="00762814">
        <w:rPr>
          <w:rFonts w:cstheme="minorHAnsi"/>
          <w:sz w:val="24"/>
          <w:szCs w:val="24"/>
        </w:rPr>
        <w:t xml:space="preserve">c) </w:t>
      </w:r>
      <w:r w:rsidR="00A23B26" w:rsidRPr="00762814">
        <w:rPr>
          <w:rFonts w:cstheme="minorHAnsi"/>
          <w:sz w:val="24"/>
          <w:szCs w:val="24"/>
        </w:rPr>
        <w:t>koszt wynagrodzenia personelu projektu odpowiada proporcji, o której mowa w lit. b, chyba</w:t>
      </w:r>
      <w:r w:rsidRPr="00762814">
        <w:rPr>
          <w:rFonts w:cstheme="minorHAnsi"/>
          <w:sz w:val="24"/>
          <w:szCs w:val="24"/>
        </w:rPr>
        <w:t>,</w:t>
      </w:r>
      <w:r w:rsidR="00A23B26" w:rsidRPr="00762814">
        <w:rPr>
          <w:rFonts w:cstheme="minorHAnsi"/>
          <w:sz w:val="24"/>
          <w:szCs w:val="24"/>
        </w:rPr>
        <w:t xml:space="preserve"> że zakres odpowiedzialności, złożoność lub poziom wymaganych kompetencji na danym stanowisku uzasadnia różnicę w udziale wydatku do czasu pracy wynikającego ze stosunku pracy.</w:t>
      </w:r>
    </w:p>
    <w:p w14:paraId="75CEF563" w14:textId="33D5A585" w:rsidR="00A23B26" w:rsidRPr="00762814" w:rsidRDefault="00D509E2" w:rsidP="00762814">
      <w:pPr>
        <w:spacing w:after="0" w:line="276" w:lineRule="auto"/>
        <w:rPr>
          <w:rFonts w:cstheme="minorHAnsi"/>
          <w:sz w:val="24"/>
          <w:szCs w:val="24"/>
        </w:rPr>
      </w:pPr>
      <w:r w:rsidRPr="00762814">
        <w:rPr>
          <w:rFonts w:cstheme="minorHAnsi"/>
          <w:sz w:val="24"/>
          <w:szCs w:val="24"/>
        </w:rPr>
        <w:t>Ponadto, koszt wynagrodzenia jest kwalifikowalny pod warunkiem, że</w:t>
      </w:r>
      <w:r w:rsidR="00A23B26" w:rsidRPr="00762814">
        <w:rPr>
          <w:rFonts w:cstheme="minorHAnsi"/>
          <w:sz w:val="24"/>
          <w:szCs w:val="24"/>
        </w:rPr>
        <w:t>:</w:t>
      </w:r>
    </w:p>
    <w:p w14:paraId="1FA8CCC1" w14:textId="680F8E93" w:rsidR="00A23B26" w:rsidRPr="00762814" w:rsidRDefault="00662B39" w:rsidP="00762814">
      <w:pPr>
        <w:pStyle w:val="Akapitzlist"/>
        <w:spacing w:after="120" w:line="276" w:lineRule="auto"/>
        <w:ind w:left="567" w:hanging="283"/>
        <w:rPr>
          <w:rFonts w:cstheme="minorHAnsi"/>
          <w:sz w:val="24"/>
          <w:szCs w:val="24"/>
        </w:rPr>
      </w:pPr>
      <w:r w:rsidRPr="00762814">
        <w:rPr>
          <w:rFonts w:cstheme="minorHAnsi"/>
          <w:sz w:val="24"/>
          <w:szCs w:val="24"/>
        </w:rPr>
        <w:t xml:space="preserve">a) </w:t>
      </w:r>
      <w:r w:rsidR="00A23B26" w:rsidRPr="00762814">
        <w:rPr>
          <w:rFonts w:cstheme="minorHAnsi"/>
          <w:sz w:val="24"/>
          <w:szCs w:val="24"/>
        </w:rPr>
        <w:t xml:space="preserve">obciążenie wynikające </w:t>
      </w:r>
      <w:r w:rsidR="003608F5" w:rsidRPr="00762814">
        <w:rPr>
          <w:rFonts w:cstheme="minorHAnsi"/>
          <w:sz w:val="24"/>
          <w:szCs w:val="24"/>
        </w:rPr>
        <w:t xml:space="preserve">z zaangażowania zawodowego danej osoby </w:t>
      </w:r>
      <w:r w:rsidR="00A23B26" w:rsidRPr="00762814">
        <w:rPr>
          <w:rFonts w:cstheme="minorHAnsi"/>
          <w:sz w:val="24"/>
          <w:szCs w:val="24"/>
        </w:rPr>
        <w:t>nie wyklucza możliwości prawidłowej i efektywnej realizacji wszystkich zadań powierzonych danej osobie,</w:t>
      </w:r>
    </w:p>
    <w:p w14:paraId="29C3D045" w14:textId="583078FE" w:rsidR="00A23B26" w:rsidRPr="00762814" w:rsidRDefault="00662B39" w:rsidP="00762814">
      <w:pPr>
        <w:pStyle w:val="Akapitzlist"/>
        <w:spacing w:after="120" w:line="276" w:lineRule="auto"/>
        <w:ind w:left="567" w:hanging="283"/>
        <w:rPr>
          <w:rFonts w:cstheme="minorHAnsi"/>
          <w:sz w:val="24"/>
          <w:szCs w:val="24"/>
        </w:rPr>
      </w:pPr>
      <w:r w:rsidRPr="00762814">
        <w:rPr>
          <w:rFonts w:cstheme="minorHAnsi"/>
          <w:sz w:val="24"/>
          <w:szCs w:val="24"/>
        </w:rPr>
        <w:t xml:space="preserve">b) </w:t>
      </w:r>
      <w:r w:rsidR="00A23B26" w:rsidRPr="00762814">
        <w:rPr>
          <w:rFonts w:cstheme="minorHAnsi"/>
          <w:sz w:val="24"/>
          <w:szCs w:val="24"/>
        </w:rPr>
        <w:t xml:space="preserve">łączne zaangażowanie zawodowe personelu projektu w realizację wszystkich projektów finansowanych z funduszy UE oraz działań finansowanych z innych źródeł, w tym środków własnych </w:t>
      </w:r>
      <w:r w:rsidR="00037464" w:rsidRPr="00762814">
        <w:rPr>
          <w:rFonts w:cstheme="minorHAnsi"/>
          <w:sz w:val="24"/>
          <w:szCs w:val="24"/>
        </w:rPr>
        <w:t>Wnioskodawcy</w:t>
      </w:r>
      <w:r w:rsidR="00A23B26" w:rsidRPr="00762814">
        <w:rPr>
          <w:rFonts w:cstheme="minorHAnsi"/>
          <w:sz w:val="24"/>
          <w:szCs w:val="24"/>
        </w:rPr>
        <w:t xml:space="preserve">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w:t>
      </w:r>
      <w:r w:rsidR="00596C57" w:rsidRPr="00762814">
        <w:rPr>
          <w:rFonts w:cstheme="minorHAnsi"/>
          <w:sz w:val="24"/>
          <w:szCs w:val="24"/>
        </w:rPr>
        <w:br/>
      </w:r>
      <w:r w:rsidR="00A23B26" w:rsidRPr="00762814">
        <w:rPr>
          <w:rFonts w:cstheme="minorHAnsi"/>
          <w:sz w:val="24"/>
          <w:szCs w:val="24"/>
        </w:rPr>
        <w:t>i macierzyński).</w:t>
      </w:r>
    </w:p>
    <w:p w14:paraId="5819BDD5" w14:textId="41D2B390" w:rsidR="00A23B26" w:rsidRPr="00762814" w:rsidRDefault="003608F5" w:rsidP="00762814">
      <w:pPr>
        <w:spacing w:after="120" w:line="276" w:lineRule="auto"/>
        <w:rPr>
          <w:rFonts w:cstheme="minorHAnsi"/>
          <w:sz w:val="24"/>
          <w:szCs w:val="24"/>
        </w:rPr>
      </w:pPr>
      <w:r w:rsidRPr="00762814">
        <w:rPr>
          <w:rFonts w:cstheme="minorHAnsi"/>
          <w:sz w:val="24"/>
          <w:szCs w:val="24"/>
        </w:rPr>
        <w:t>P</w:t>
      </w:r>
      <w:r w:rsidR="00A23B26" w:rsidRPr="00762814">
        <w:rPr>
          <w:rFonts w:cstheme="minorHAnsi"/>
          <w:sz w:val="24"/>
          <w:szCs w:val="24"/>
        </w:rPr>
        <w:t xml:space="preserve">rzed zaangażowaniem osoby do projektu </w:t>
      </w:r>
      <w:r w:rsidRPr="00762814">
        <w:rPr>
          <w:rFonts w:cstheme="minorHAnsi"/>
          <w:sz w:val="24"/>
          <w:szCs w:val="24"/>
        </w:rPr>
        <w:t xml:space="preserve">Wnioskodawca musi zweryfikować spełnienie </w:t>
      </w:r>
      <w:r w:rsidR="008E7E5A" w:rsidRPr="00762814">
        <w:rPr>
          <w:rFonts w:cstheme="minorHAnsi"/>
          <w:sz w:val="24"/>
          <w:szCs w:val="24"/>
        </w:rPr>
        <w:t>ww.</w:t>
      </w:r>
      <w:r w:rsidRPr="00762814">
        <w:rPr>
          <w:rFonts w:cstheme="minorHAnsi"/>
          <w:sz w:val="24"/>
          <w:szCs w:val="24"/>
        </w:rPr>
        <w:t xml:space="preserve"> warunku </w:t>
      </w:r>
      <w:r w:rsidR="00A23B26" w:rsidRPr="00762814">
        <w:rPr>
          <w:rFonts w:cstheme="minorHAnsi"/>
          <w:sz w:val="24"/>
          <w:szCs w:val="24"/>
        </w:rPr>
        <w:t xml:space="preserve">(weryfikacji można dokonać posiłkując się pisemnym oświadczeniem złożonym przez osobę mającą być zaangażowaną do projektu). Warunek ten powinien być spełniony </w:t>
      </w:r>
      <w:r w:rsidR="007F1D90" w:rsidRPr="00762814">
        <w:rPr>
          <w:rFonts w:cstheme="minorHAnsi"/>
          <w:sz w:val="24"/>
          <w:szCs w:val="24"/>
        </w:rPr>
        <w:br/>
      </w:r>
      <w:r w:rsidR="00A23B26" w:rsidRPr="00762814">
        <w:rPr>
          <w:rFonts w:cstheme="minorHAnsi"/>
          <w:sz w:val="24"/>
          <w:szCs w:val="24"/>
        </w:rPr>
        <w:t xml:space="preserve">w całym okresie kwalifikowania wynagrodzenia danej osoby w tym projekcie, przy czym </w:t>
      </w:r>
      <w:r w:rsidR="007F1D90" w:rsidRPr="00762814">
        <w:rPr>
          <w:rFonts w:cstheme="minorHAnsi"/>
          <w:sz w:val="24"/>
          <w:szCs w:val="24"/>
        </w:rPr>
        <w:br/>
      </w:r>
      <w:r w:rsidR="00A23B26" w:rsidRPr="00762814">
        <w:rPr>
          <w:rFonts w:cstheme="minorHAnsi"/>
          <w:sz w:val="24"/>
          <w:szCs w:val="24"/>
        </w:rPr>
        <w:t xml:space="preserve">w przypadku wystąpienia nieprawidłowości w zakresie spełnienia tego warunku za niekwalifikowalne należy uznać wynagrodzenie personelu projektu (w całości lub w części) </w:t>
      </w:r>
      <w:r w:rsidR="00B5313A" w:rsidRPr="00762814">
        <w:rPr>
          <w:rFonts w:cstheme="minorHAnsi"/>
          <w:sz w:val="24"/>
          <w:szCs w:val="24"/>
        </w:rPr>
        <w:br/>
      </w:r>
      <w:r w:rsidR="00A23B26" w:rsidRPr="00762814">
        <w:rPr>
          <w:rFonts w:cstheme="minorHAnsi"/>
          <w:sz w:val="24"/>
          <w:szCs w:val="24"/>
        </w:rPr>
        <w:t>w tym projekcie, w ramach którego zaangażowanie personelu projektu spowodowało naruszenie tego warunku.</w:t>
      </w:r>
    </w:p>
    <w:p w14:paraId="0BB0A79F" w14:textId="15EC1D23" w:rsidR="00B462EB" w:rsidRPr="00ED6E26" w:rsidRDefault="00705811" w:rsidP="00BF47B4">
      <w:pPr>
        <w:pStyle w:val="Nagwek4"/>
        <w:numPr>
          <w:ilvl w:val="2"/>
          <w:numId w:val="39"/>
        </w:numPr>
        <w:spacing w:before="120" w:line="276" w:lineRule="auto"/>
        <w:ind w:left="1077"/>
        <w:rPr>
          <w:rFonts w:asciiTheme="minorHAnsi" w:hAnsiTheme="minorHAnsi" w:cstheme="minorHAnsi"/>
          <w:i w:val="0"/>
          <w:color w:val="auto"/>
          <w:sz w:val="28"/>
          <w:szCs w:val="28"/>
        </w:rPr>
      </w:pPr>
      <w:bookmarkStart w:id="33" w:name="_Hlk117586527"/>
      <w:bookmarkStart w:id="34" w:name="_Toc148716370"/>
      <w:r w:rsidRPr="00ED6E26">
        <w:rPr>
          <w:rFonts w:asciiTheme="minorHAnsi" w:hAnsiTheme="minorHAnsi" w:cstheme="minorHAnsi"/>
          <w:i w:val="0"/>
          <w:color w:val="auto"/>
          <w:sz w:val="28"/>
          <w:szCs w:val="28"/>
        </w:rPr>
        <w:t>Usługi zewnętrzne (podwykonawstwo)</w:t>
      </w:r>
      <w:bookmarkEnd w:id="33"/>
      <w:bookmarkEnd w:id="34"/>
    </w:p>
    <w:p w14:paraId="2B35A5FA" w14:textId="31D3C382" w:rsidR="00A23B26" w:rsidRPr="00762814" w:rsidRDefault="00A23B26" w:rsidP="00762814">
      <w:pPr>
        <w:spacing w:after="120" w:line="276" w:lineRule="auto"/>
        <w:rPr>
          <w:rFonts w:cstheme="minorHAnsi"/>
          <w:sz w:val="24"/>
          <w:szCs w:val="24"/>
        </w:rPr>
      </w:pPr>
      <w:r w:rsidRPr="00762814">
        <w:rPr>
          <w:rFonts w:cstheme="minorHAnsi"/>
          <w:sz w:val="24"/>
          <w:szCs w:val="24"/>
        </w:rPr>
        <w:t xml:space="preserve">W ramach kategorii </w:t>
      </w:r>
      <w:r w:rsidR="00793C68" w:rsidRPr="00762814">
        <w:rPr>
          <w:rFonts w:cstheme="minorHAnsi"/>
          <w:sz w:val="24"/>
          <w:szCs w:val="24"/>
        </w:rPr>
        <w:t>usługi zewnętrzne</w:t>
      </w:r>
      <w:r w:rsidRPr="00762814">
        <w:rPr>
          <w:rFonts w:cstheme="minorHAnsi"/>
          <w:sz w:val="24"/>
          <w:szCs w:val="24"/>
        </w:rPr>
        <w:t xml:space="preserve"> </w:t>
      </w:r>
      <w:r w:rsidR="00793C68" w:rsidRPr="00762814">
        <w:rPr>
          <w:rFonts w:cstheme="minorHAnsi"/>
          <w:sz w:val="24"/>
          <w:szCs w:val="24"/>
        </w:rPr>
        <w:t>(</w:t>
      </w:r>
      <w:r w:rsidRPr="00762814">
        <w:rPr>
          <w:rFonts w:cstheme="minorHAnsi"/>
          <w:sz w:val="24"/>
          <w:szCs w:val="24"/>
        </w:rPr>
        <w:t>podwykonawstw</w:t>
      </w:r>
      <w:r w:rsidR="00793C68" w:rsidRPr="00762814">
        <w:rPr>
          <w:rFonts w:cstheme="minorHAnsi"/>
          <w:sz w:val="24"/>
          <w:szCs w:val="24"/>
        </w:rPr>
        <w:t>o)</w:t>
      </w:r>
      <w:r w:rsidRPr="00762814">
        <w:rPr>
          <w:rFonts w:cstheme="minorHAnsi"/>
          <w:sz w:val="24"/>
          <w:szCs w:val="24"/>
        </w:rPr>
        <w:t xml:space="preserve"> kwalifikowalne są koszty</w:t>
      </w:r>
      <w:r w:rsidR="0067662E" w:rsidRPr="00762814">
        <w:rPr>
          <w:rFonts w:cstheme="minorHAnsi"/>
          <w:sz w:val="24"/>
          <w:szCs w:val="24"/>
        </w:rPr>
        <w:t xml:space="preserve"> badań wykonywanych na podstawie umowy oraz koszty doradztwa i równorzędnych usług wykorzystywanych wyłącznie na potrzeby projektu</w:t>
      </w:r>
      <w:r w:rsidR="0099564E" w:rsidRPr="00762814">
        <w:rPr>
          <w:rFonts w:cstheme="minorHAnsi"/>
          <w:sz w:val="24"/>
          <w:szCs w:val="24"/>
        </w:rPr>
        <w:t xml:space="preserve"> badawczo-rozwojowego.</w:t>
      </w:r>
    </w:p>
    <w:p w14:paraId="52C8089E" w14:textId="05D1981D" w:rsidR="00A23B26" w:rsidRPr="00762814" w:rsidRDefault="00A23B26" w:rsidP="00762814">
      <w:pPr>
        <w:spacing w:after="120" w:line="276" w:lineRule="auto"/>
        <w:rPr>
          <w:rFonts w:cstheme="minorHAnsi"/>
          <w:bCs/>
          <w:sz w:val="24"/>
          <w:szCs w:val="24"/>
        </w:rPr>
      </w:pPr>
      <w:r w:rsidRPr="00762814">
        <w:rPr>
          <w:rFonts w:cstheme="minorHAnsi"/>
          <w:bCs/>
          <w:sz w:val="24"/>
          <w:szCs w:val="24"/>
        </w:rPr>
        <w:t>Podwykonawstwem nie są czynności pomocnicze niezbędne do wykonania zadań</w:t>
      </w:r>
      <w:r w:rsidR="00232C27" w:rsidRPr="00762814">
        <w:rPr>
          <w:rFonts w:cstheme="minorHAnsi"/>
          <w:bCs/>
          <w:sz w:val="24"/>
          <w:szCs w:val="24"/>
        </w:rPr>
        <w:t xml:space="preserve"> </w:t>
      </w:r>
      <w:r w:rsidRPr="00762814">
        <w:rPr>
          <w:rFonts w:cstheme="minorHAnsi"/>
          <w:bCs/>
          <w:sz w:val="24"/>
          <w:szCs w:val="24"/>
        </w:rPr>
        <w:t>projektowych, takie jak usługi prawne, księgowe, podatkowe lub reklamowe</w:t>
      </w:r>
      <w:r w:rsidR="00926159" w:rsidRPr="00762814">
        <w:rPr>
          <w:rFonts w:cstheme="minorHAnsi"/>
          <w:bCs/>
          <w:sz w:val="24"/>
          <w:szCs w:val="24"/>
        </w:rPr>
        <w:t xml:space="preserve"> </w:t>
      </w:r>
      <w:bookmarkStart w:id="35" w:name="_Hlk125537861"/>
      <w:r w:rsidR="00926159" w:rsidRPr="00762814">
        <w:rPr>
          <w:rFonts w:cstheme="minorHAnsi"/>
          <w:bCs/>
          <w:sz w:val="24"/>
          <w:szCs w:val="24"/>
        </w:rPr>
        <w:t>(tego rodzaju koszty pokrywane są w ramach kosztów pośrednich (ogólnych)).</w:t>
      </w:r>
      <w:bookmarkEnd w:id="35"/>
    </w:p>
    <w:p w14:paraId="60454FF6" w14:textId="220EE409" w:rsidR="004E60D7" w:rsidRPr="00762814" w:rsidRDefault="001510E6" w:rsidP="00762814">
      <w:pPr>
        <w:spacing w:after="120" w:line="276" w:lineRule="auto"/>
        <w:rPr>
          <w:rFonts w:cstheme="minorHAnsi"/>
          <w:sz w:val="24"/>
          <w:szCs w:val="24"/>
        </w:rPr>
      </w:pPr>
      <w:r w:rsidRPr="00762814">
        <w:rPr>
          <w:rFonts w:cstheme="minorHAnsi"/>
          <w:sz w:val="24"/>
          <w:szCs w:val="24"/>
          <w:u w:val="single"/>
        </w:rPr>
        <w:t>Limit na podwykonawstwo</w:t>
      </w:r>
      <w:r w:rsidR="00926159" w:rsidRPr="00762814">
        <w:rPr>
          <w:rFonts w:cstheme="minorHAnsi"/>
          <w:sz w:val="24"/>
          <w:szCs w:val="24"/>
          <w:u w:val="single"/>
        </w:rPr>
        <w:t>,</w:t>
      </w:r>
      <w:r w:rsidR="0091310C" w:rsidRPr="00762814">
        <w:rPr>
          <w:rFonts w:cstheme="minorHAnsi"/>
          <w:b/>
          <w:bCs/>
          <w:sz w:val="24"/>
          <w:szCs w:val="24"/>
        </w:rPr>
        <w:t xml:space="preserve"> </w:t>
      </w:r>
      <w:r w:rsidRPr="00762814">
        <w:rPr>
          <w:rFonts w:cstheme="minorHAnsi"/>
          <w:sz w:val="24"/>
          <w:szCs w:val="24"/>
        </w:rPr>
        <w:t>tzn</w:t>
      </w:r>
      <w:r w:rsidR="00FC0CD7" w:rsidRPr="00762814">
        <w:rPr>
          <w:rFonts w:cstheme="minorHAnsi"/>
          <w:sz w:val="24"/>
          <w:szCs w:val="24"/>
        </w:rPr>
        <w:t>.</w:t>
      </w:r>
      <w:r w:rsidRPr="00762814">
        <w:rPr>
          <w:rFonts w:cstheme="minorHAnsi"/>
          <w:sz w:val="24"/>
          <w:szCs w:val="24"/>
        </w:rPr>
        <w:t xml:space="preserve">: wartość prac realizowanych na zasadzie podwykonawstwa </w:t>
      </w:r>
      <w:r w:rsidR="0099564E" w:rsidRPr="00762814">
        <w:rPr>
          <w:rFonts w:cstheme="minorHAnsi"/>
          <w:sz w:val="24"/>
          <w:szCs w:val="24"/>
        </w:rPr>
        <w:t>wynosi</w:t>
      </w:r>
      <w:r w:rsidR="00BA72B0" w:rsidRPr="00762814">
        <w:rPr>
          <w:rFonts w:cstheme="minorHAnsi"/>
          <w:sz w:val="24"/>
          <w:szCs w:val="24"/>
        </w:rPr>
        <w:t xml:space="preserve"> </w:t>
      </w:r>
      <w:r w:rsidRPr="00762814">
        <w:rPr>
          <w:rFonts w:cstheme="minorHAnsi"/>
          <w:b/>
          <w:bCs/>
          <w:sz w:val="24"/>
          <w:szCs w:val="24"/>
        </w:rPr>
        <w:t>70%</w:t>
      </w:r>
      <w:r w:rsidRPr="00762814">
        <w:rPr>
          <w:rFonts w:cstheme="minorHAnsi"/>
          <w:sz w:val="24"/>
          <w:szCs w:val="24"/>
        </w:rPr>
        <w:t xml:space="preserve"> kosztów kwalifikowalnych badań przemysłowych </w:t>
      </w:r>
      <w:r w:rsidR="00553FEF" w:rsidRPr="00762814">
        <w:rPr>
          <w:rFonts w:cstheme="minorHAnsi"/>
          <w:sz w:val="24"/>
          <w:szCs w:val="24"/>
        </w:rPr>
        <w:t xml:space="preserve">i </w:t>
      </w:r>
      <w:r w:rsidRPr="00762814">
        <w:rPr>
          <w:rFonts w:cstheme="minorHAnsi"/>
          <w:sz w:val="24"/>
          <w:szCs w:val="24"/>
        </w:rPr>
        <w:t xml:space="preserve">prac rozwojowych ponoszonych </w:t>
      </w:r>
      <w:r w:rsidRPr="00762814">
        <w:rPr>
          <w:rFonts w:cstheme="minorHAnsi"/>
          <w:sz w:val="24"/>
          <w:szCs w:val="24"/>
          <w:u w:val="single"/>
        </w:rPr>
        <w:t>w module</w:t>
      </w:r>
      <w:r w:rsidR="004E60D7" w:rsidRPr="00762814">
        <w:rPr>
          <w:rFonts w:cstheme="minorHAnsi"/>
          <w:sz w:val="24"/>
          <w:szCs w:val="24"/>
          <w:u w:val="single"/>
        </w:rPr>
        <w:t xml:space="preserve"> B+R</w:t>
      </w:r>
      <w:r w:rsidR="0079518D" w:rsidRPr="00762814">
        <w:rPr>
          <w:rFonts w:cstheme="minorHAnsi"/>
          <w:sz w:val="24"/>
          <w:szCs w:val="24"/>
          <w:u w:val="single"/>
        </w:rPr>
        <w:t>.</w:t>
      </w:r>
      <w:r w:rsidR="004E60D7" w:rsidRPr="00762814">
        <w:rPr>
          <w:rFonts w:cstheme="minorHAnsi"/>
          <w:sz w:val="24"/>
          <w:szCs w:val="24"/>
        </w:rPr>
        <w:t xml:space="preserve"> </w:t>
      </w:r>
    </w:p>
    <w:p w14:paraId="1FACA53C" w14:textId="5FB2D5F3" w:rsidR="003101D9" w:rsidRDefault="00A23B26" w:rsidP="00762814">
      <w:pPr>
        <w:spacing w:after="120" w:line="276" w:lineRule="auto"/>
        <w:rPr>
          <w:rFonts w:cstheme="minorHAnsi"/>
          <w:sz w:val="24"/>
          <w:szCs w:val="24"/>
        </w:rPr>
      </w:pPr>
      <w:r w:rsidRPr="00762814">
        <w:rPr>
          <w:rFonts w:cstheme="minorHAnsi"/>
          <w:sz w:val="24"/>
          <w:szCs w:val="24"/>
        </w:rPr>
        <w:t xml:space="preserve">Koszty </w:t>
      </w:r>
      <w:r w:rsidR="00555D73" w:rsidRPr="00762814">
        <w:rPr>
          <w:rFonts w:cstheme="minorHAnsi"/>
          <w:sz w:val="24"/>
          <w:szCs w:val="24"/>
        </w:rPr>
        <w:t>usług zewnętrznych (</w:t>
      </w:r>
      <w:r w:rsidRPr="00762814">
        <w:rPr>
          <w:rFonts w:cstheme="minorHAnsi"/>
          <w:sz w:val="24"/>
          <w:szCs w:val="24"/>
        </w:rPr>
        <w:t>podwykonawstwa</w:t>
      </w:r>
      <w:r w:rsidR="00555D73" w:rsidRPr="00762814">
        <w:rPr>
          <w:rFonts w:cstheme="minorHAnsi"/>
          <w:sz w:val="24"/>
          <w:szCs w:val="24"/>
        </w:rPr>
        <w:t>)</w:t>
      </w:r>
      <w:r w:rsidRPr="00762814">
        <w:rPr>
          <w:rFonts w:cstheme="minorHAnsi"/>
          <w:sz w:val="24"/>
          <w:szCs w:val="24"/>
        </w:rPr>
        <w:t xml:space="preserve"> nie zaliczają się do podstawy naliczania kosztów pośrednich </w:t>
      </w:r>
      <w:r w:rsidR="000A454C" w:rsidRPr="00762814">
        <w:rPr>
          <w:rFonts w:cstheme="minorHAnsi"/>
          <w:sz w:val="24"/>
          <w:szCs w:val="24"/>
        </w:rPr>
        <w:t>modułu</w:t>
      </w:r>
      <w:r w:rsidRPr="00762814">
        <w:rPr>
          <w:rFonts w:cstheme="minorHAnsi"/>
          <w:sz w:val="24"/>
          <w:szCs w:val="24"/>
        </w:rPr>
        <w:t>.</w:t>
      </w:r>
    </w:p>
    <w:p w14:paraId="6AC6C615" w14:textId="589BC15D" w:rsidR="006B5629" w:rsidRPr="007B6552" w:rsidRDefault="006B5629" w:rsidP="007B6552">
      <w:pPr>
        <w:spacing w:after="120" w:line="276" w:lineRule="auto"/>
        <w:rPr>
          <w:sz w:val="24"/>
        </w:rPr>
      </w:pPr>
      <w:r>
        <w:rPr>
          <w:rFonts w:cstheme="minorHAnsi"/>
          <w:sz w:val="24"/>
          <w:szCs w:val="24"/>
        </w:rPr>
        <w:t>W ramach kategorii podwykonawstwo kwalifikowalne są umowy o dzieło oraz umowy B2B.</w:t>
      </w:r>
    </w:p>
    <w:p w14:paraId="17B4212D" w14:textId="402F0CCF" w:rsidR="00B462EB" w:rsidRPr="00ED6E26" w:rsidRDefault="001900BC" w:rsidP="00BF47B4">
      <w:pPr>
        <w:pStyle w:val="Nagwek4"/>
        <w:numPr>
          <w:ilvl w:val="2"/>
          <w:numId w:val="39"/>
        </w:numPr>
        <w:spacing w:before="120" w:line="276" w:lineRule="auto"/>
        <w:ind w:left="1077"/>
        <w:rPr>
          <w:rFonts w:asciiTheme="minorHAnsi" w:hAnsiTheme="minorHAnsi" w:cstheme="minorHAnsi"/>
          <w:i w:val="0"/>
          <w:color w:val="auto"/>
          <w:sz w:val="28"/>
          <w:szCs w:val="28"/>
        </w:rPr>
      </w:pPr>
      <w:bookmarkStart w:id="36" w:name="_Toc148716371"/>
      <w:r w:rsidRPr="00ED6E26">
        <w:rPr>
          <w:rFonts w:asciiTheme="minorHAnsi" w:hAnsiTheme="minorHAnsi" w:cstheme="minorHAnsi"/>
          <w:i w:val="0"/>
          <w:color w:val="auto"/>
          <w:sz w:val="28"/>
          <w:szCs w:val="28"/>
        </w:rPr>
        <w:t xml:space="preserve">Amortyzacja </w:t>
      </w:r>
      <w:r w:rsidR="00F7655C" w:rsidRPr="00ED6E26">
        <w:rPr>
          <w:rFonts w:asciiTheme="minorHAnsi" w:hAnsiTheme="minorHAnsi" w:cstheme="minorHAnsi"/>
          <w:i w:val="0"/>
          <w:color w:val="auto"/>
          <w:sz w:val="28"/>
          <w:szCs w:val="28"/>
        </w:rPr>
        <w:t>(aparatura i sprzęt)</w:t>
      </w:r>
      <w:bookmarkEnd w:id="36"/>
    </w:p>
    <w:p w14:paraId="3F43DD02" w14:textId="2BDF8ED0" w:rsidR="001900BC" w:rsidRPr="00762814" w:rsidRDefault="001900BC" w:rsidP="00762814">
      <w:pPr>
        <w:spacing w:after="120" w:line="276" w:lineRule="auto"/>
        <w:rPr>
          <w:rFonts w:cstheme="minorHAnsi"/>
          <w:sz w:val="24"/>
          <w:szCs w:val="24"/>
        </w:rPr>
      </w:pPr>
      <w:r w:rsidRPr="00762814">
        <w:rPr>
          <w:rFonts w:cstheme="minorHAnsi"/>
          <w:sz w:val="24"/>
          <w:szCs w:val="24"/>
        </w:rPr>
        <w:t xml:space="preserve">W ramach kategorii kwalifikowalne są odpisy amortyzacyjne aparatury naukowo-badawczej </w:t>
      </w:r>
      <w:r w:rsidR="00926159" w:rsidRPr="00762814">
        <w:rPr>
          <w:rFonts w:cstheme="minorHAnsi"/>
          <w:sz w:val="24"/>
          <w:szCs w:val="24"/>
        </w:rPr>
        <w:br/>
      </w:r>
      <w:r w:rsidRPr="00762814">
        <w:rPr>
          <w:rFonts w:cstheme="minorHAnsi"/>
          <w:sz w:val="24"/>
          <w:szCs w:val="24"/>
        </w:rPr>
        <w:t xml:space="preserve">i </w:t>
      </w:r>
      <w:r w:rsidR="00A175C4" w:rsidRPr="00762814">
        <w:rPr>
          <w:rFonts w:cstheme="minorHAnsi"/>
          <w:sz w:val="24"/>
          <w:szCs w:val="24"/>
        </w:rPr>
        <w:t>sprzętu</w:t>
      </w:r>
      <w:r w:rsidRPr="00762814">
        <w:rPr>
          <w:rFonts w:cstheme="minorHAnsi"/>
          <w:sz w:val="24"/>
          <w:szCs w:val="24"/>
        </w:rPr>
        <w:t xml:space="preserve"> wykorzystywanych w celu prowadzenia badań przemysłowych i prac rozwojowych albo tylko prac rozwojowych wyłącznie w zakresie i przez okres, w jakim są one wykorzystywane na potrzeby realizowanego </w:t>
      </w:r>
      <w:r w:rsidR="008615CF" w:rsidRPr="00762814">
        <w:rPr>
          <w:rFonts w:cstheme="minorHAnsi"/>
          <w:sz w:val="24"/>
          <w:szCs w:val="24"/>
        </w:rPr>
        <w:t>modułu B+R</w:t>
      </w:r>
      <w:r w:rsidRPr="00762814">
        <w:rPr>
          <w:rFonts w:cstheme="minorHAnsi"/>
          <w:sz w:val="24"/>
          <w:szCs w:val="24"/>
        </w:rPr>
        <w:t>;</w:t>
      </w:r>
    </w:p>
    <w:p w14:paraId="34E656EB" w14:textId="2622359F" w:rsidR="001900BC" w:rsidRPr="00762814" w:rsidRDefault="001900BC" w:rsidP="00762814">
      <w:pPr>
        <w:spacing w:after="120" w:line="276" w:lineRule="auto"/>
        <w:jc w:val="both"/>
        <w:rPr>
          <w:rFonts w:cstheme="minorHAnsi"/>
          <w:sz w:val="24"/>
          <w:szCs w:val="24"/>
        </w:rPr>
      </w:pPr>
      <w:r w:rsidRPr="00762814">
        <w:rPr>
          <w:rFonts w:cstheme="minorHAnsi"/>
          <w:sz w:val="24"/>
          <w:szCs w:val="24"/>
        </w:rPr>
        <w:t>Odpisy amortyzacyjne stanowią wydatek kwalifikowalny, jeśli łącznie spełnione są następujące warunki:</w:t>
      </w:r>
    </w:p>
    <w:p w14:paraId="03A13EF4" w14:textId="427C798B"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a)</w:t>
      </w:r>
      <w:r w:rsidRPr="00762814">
        <w:rPr>
          <w:rFonts w:cstheme="minorHAnsi"/>
          <w:sz w:val="24"/>
          <w:szCs w:val="24"/>
        </w:rPr>
        <w:tab/>
        <w:t xml:space="preserve">aparatura </w:t>
      </w:r>
      <w:r w:rsidR="00731FA3" w:rsidRPr="00762814">
        <w:rPr>
          <w:rFonts w:cstheme="minorHAnsi"/>
          <w:sz w:val="24"/>
          <w:szCs w:val="24"/>
        </w:rPr>
        <w:t xml:space="preserve">i sprzęt </w:t>
      </w:r>
      <w:r w:rsidRPr="00762814">
        <w:rPr>
          <w:rFonts w:cstheme="minorHAnsi"/>
          <w:sz w:val="24"/>
          <w:szCs w:val="24"/>
        </w:rPr>
        <w:t>w momencie zakupu jest środkiem trwałym,</w:t>
      </w:r>
    </w:p>
    <w:p w14:paraId="5BF8D85A" w14:textId="35FDD336"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b)</w:t>
      </w:r>
      <w:r w:rsidRPr="00762814">
        <w:rPr>
          <w:rFonts w:cstheme="minorHAnsi"/>
          <w:sz w:val="24"/>
          <w:szCs w:val="24"/>
        </w:rPr>
        <w:tab/>
        <w:t xml:space="preserve">aparatura </w:t>
      </w:r>
      <w:r w:rsidR="00731FA3" w:rsidRPr="00762814">
        <w:rPr>
          <w:rFonts w:cstheme="minorHAnsi"/>
          <w:sz w:val="24"/>
          <w:szCs w:val="24"/>
        </w:rPr>
        <w:t xml:space="preserve">i sprzęt </w:t>
      </w:r>
      <w:r w:rsidR="00F82077" w:rsidRPr="00762814">
        <w:rPr>
          <w:rFonts w:cstheme="minorHAnsi"/>
          <w:sz w:val="24"/>
          <w:szCs w:val="24"/>
        </w:rPr>
        <w:t xml:space="preserve">jest </w:t>
      </w:r>
      <w:r w:rsidRPr="00762814">
        <w:rPr>
          <w:rFonts w:cstheme="minorHAnsi"/>
          <w:sz w:val="24"/>
          <w:szCs w:val="24"/>
        </w:rPr>
        <w:t>niezbędn</w:t>
      </w:r>
      <w:r w:rsidR="00F82077" w:rsidRPr="00762814">
        <w:rPr>
          <w:rFonts w:cstheme="minorHAnsi"/>
          <w:sz w:val="24"/>
          <w:szCs w:val="24"/>
        </w:rPr>
        <w:t>a</w:t>
      </w:r>
      <w:r w:rsidRPr="00762814">
        <w:rPr>
          <w:rFonts w:cstheme="minorHAnsi"/>
          <w:sz w:val="24"/>
          <w:szCs w:val="24"/>
        </w:rPr>
        <w:t xml:space="preserve"> do prawidłowej realizacji badań przemysłowych, prac rozwojowych projektu i bezpośrednio wykorzystywan</w:t>
      </w:r>
      <w:r w:rsidR="00F82077" w:rsidRPr="00762814">
        <w:rPr>
          <w:rFonts w:cstheme="minorHAnsi"/>
          <w:sz w:val="24"/>
          <w:szCs w:val="24"/>
        </w:rPr>
        <w:t>a</w:t>
      </w:r>
      <w:r w:rsidRPr="00762814">
        <w:rPr>
          <w:rFonts w:cstheme="minorHAnsi"/>
          <w:sz w:val="24"/>
          <w:szCs w:val="24"/>
        </w:rPr>
        <w:t xml:space="preserve"> w projekcie;</w:t>
      </w:r>
    </w:p>
    <w:p w14:paraId="7490D9FF" w14:textId="36757F3A"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c)</w:t>
      </w:r>
      <w:r w:rsidRPr="00762814">
        <w:rPr>
          <w:rFonts w:cstheme="minorHAnsi"/>
          <w:sz w:val="24"/>
          <w:szCs w:val="24"/>
        </w:rPr>
        <w:tab/>
        <w:t xml:space="preserve">aparatura i </w:t>
      </w:r>
      <w:r w:rsidR="00440B80" w:rsidRPr="00762814">
        <w:rPr>
          <w:rFonts w:cstheme="minorHAnsi"/>
          <w:sz w:val="24"/>
          <w:szCs w:val="24"/>
        </w:rPr>
        <w:t>sprzęt</w:t>
      </w:r>
      <w:r w:rsidRPr="00762814">
        <w:rPr>
          <w:rFonts w:cstheme="minorHAnsi"/>
          <w:sz w:val="24"/>
          <w:szCs w:val="24"/>
        </w:rPr>
        <w:t xml:space="preserve"> do badań przemysłowych lub prac rozwojowych projektu są ewidencjonowane w rejestrze środków trwałych </w:t>
      </w:r>
      <w:r w:rsidR="00440B80" w:rsidRPr="00762814">
        <w:rPr>
          <w:rFonts w:cstheme="minorHAnsi"/>
          <w:sz w:val="24"/>
          <w:szCs w:val="24"/>
        </w:rPr>
        <w:t>Wnioskodawcy</w:t>
      </w:r>
      <w:r w:rsidRPr="00762814">
        <w:rPr>
          <w:rFonts w:cstheme="minorHAnsi"/>
          <w:sz w:val="24"/>
          <w:szCs w:val="24"/>
        </w:rPr>
        <w:t>;</w:t>
      </w:r>
    </w:p>
    <w:p w14:paraId="7407FBA7" w14:textId="77777777"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d)</w:t>
      </w:r>
      <w:r w:rsidRPr="00762814">
        <w:rPr>
          <w:rFonts w:cstheme="minorHAnsi"/>
          <w:sz w:val="24"/>
          <w:szCs w:val="24"/>
        </w:rPr>
        <w:tab/>
        <w:t>odpisy amortyzacyjne są obliczane na podstawie przepisów o rachunkowości oraz zgodnie z polityką rachunkowości Wnioskodawcy;</w:t>
      </w:r>
    </w:p>
    <w:p w14:paraId="714E24C9" w14:textId="0437EB68"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e)</w:t>
      </w:r>
      <w:r w:rsidRPr="00762814">
        <w:rPr>
          <w:rFonts w:cstheme="minorHAnsi"/>
          <w:sz w:val="24"/>
          <w:szCs w:val="24"/>
        </w:rPr>
        <w:tab/>
        <w:t xml:space="preserve">kwalifikowalna wartość odpisów amortyzacyjnych dotyczy wyłącznie okresu, w którym faktycznie aparatura </w:t>
      </w:r>
      <w:r w:rsidR="00731FA3" w:rsidRPr="00762814">
        <w:rPr>
          <w:rFonts w:cstheme="minorHAnsi"/>
          <w:sz w:val="24"/>
          <w:szCs w:val="24"/>
        </w:rPr>
        <w:t xml:space="preserve">i sprzęt </w:t>
      </w:r>
      <w:r w:rsidR="001D339D" w:rsidRPr="00762814">
        <w:rPr>
          <w:rFonts w:cstheme="minorHAnsi"/>
          <w:sz w:val="24"/>
          <w:szCs w:val="24"/>
        </w:rPr>
        <w:t xml:space="preserve">jest </w:t>
      </w:r>
      <w:r w:rsidRPr="00762814">
        <w:rPr>
          <w:rFonts w:cstheme="minorHAnsi"/>
          <w:sz w:val="24"/>
          <w:szCs w:val="24"/>
        </w:rPr>
        <w:t>wykorzystywan</w:t>
      </w:r>
      <w:r w:rsidR="001D339D" w:rsidRPr="00762814">
        <w:rPr>
          <w:rFonts w:cstheme="minorHAnsi"/>
          <w:sz w:val="24"/>
          <w:szCs w:val="24"/>
        </w:rPr>
        <w:t>a</w:t>
      </w:r>
      <w:r w:rsidRPr="00762814">
        <w:rPr>
          <w:rFonts w:cstheme="minorHAnsi"/>
          <w:sz w:val="24"/>
          <w:szCs w:val="24"/>
        </w:rPr>
        <w:t xml:space="preserve"> do realizacji badań przemysłowych, prac rozwojowych </w:t>
      </w:r>
      <w:r w:rsidR="00440B80" w:rsidRPr="00762814">
        <w:rPr>
          <w:rFonts w:cstheme="minorHAnsi"/>
          <w:sz w:val="24"/>
          <w:szCs w:val="24"/>
        </w:rPr>
        <w:t>modułu</w:t>
      </w:r>
      <w:r w:rsidRPr="00762814">
        <w:rPr>
          <w:rFonts w:cstheme="minorHAnsi"/>
          <w:sz w:val="24"/>
          <w:szCs w:val="24"/>
        </w:rPr>
        <w:t>;</w:t>
      </w:r>
    </w:p>
    <w:p w14:paraId="5DE61B3E" w14:textId="0FD6F4DE"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f)</w:t>
      </w:r>
      <w:r w:rsidRPr="00762814">
        <w:rPr>
          <w:rFonts w:cstheme="minorHAnsi"/>
          <w:sz w:val="24"/>
          <w:szCs w:val="24"/>
        </w:rPr>
        <w:tab/>
      </w:r>
      <w:r w:rsidR="00440B80" w:rsidRPr="00762814">
        <w:rPr>
          <w:rFonts w:cstheme="minorHAnsi"/>
          <w:sz w:val="24"/>
          <w:szCs w:val="24"/>
        </w:rPr>
        <w:t xml:space="preserve">jeśli </w:t>
      </w:r>
      <w:r w:rsidRPr="00762814">
        <w:rPr>
          <w:rFonts w:cstheme="minorHAnsi"/>
          <w:sz w:val="24"/>
          <w:szCs w:val="24"/>
        </w:rPr>
        <w:t xml:space="preserve">aparatura </w:t>
      </w:r>
      <w:r w:rsidR="00731FA3" w:rsidRPr="00762814">
        <w:rPr>
          <w:rFonts w:cstheme="minorHAnsi"/>
          <w:sz w:val="24"/>
          <w:szCs w:val="24"/>
        </w:rPr>
        <w:t xml:space="preserve">i sprzęt </w:t>
      </w:r>
      <w:r w:rsidRPr="00762814">
        <w:rPr>
          <w:rFonts w:cstheme="minorHAnsi"/>
          <w:sz w:val="24"/>
          <w:szCs w:val="24"/>
        </w:rPr>
        <w:t xml:space="preserve">jest wykorzystywana także w innych celach niż realizacja </w:t>
      </w:r>
      <w:r w:rsidR="00440B80" w:rsidRPr="00762814">
        <w:rPr>
          <w:rFonts w:cstheme="minorHAnsi"/>
          <w:sz w:val="24"/>
          <w:szCs w:val="24"/>
        </w:rPr>
        <w:t>modułu</w:t>
      </w:r>
      <w:r w:rsidRPr="00762814">
        <w:rPr>
          <w:rFonts w:cstheme="minorHAnsi"/>
          <w:sz w:val="24"/>
          <w:szCs w:val="24"/>
        </w:rPr>
        <w:t xml:space="preserve">, kwalifikowalna jest tylko ta część odpisu amortyzacyjnego, która odpowiada proporcji wykorzystania aktywów przy realizacji badań przemysłowych, prac rozwojowych </w:t>
      </w:r>
      <w:r w:rsidR="00440B80" w:rsidRPr="00762814">
        <w:rPr>
          <w:rFonts w:cstheme="minorHAnsi"/>
          <w:sz w:val="24"/>
          <w:szCs w:val="24"/>
        </w:rPr>
        <w:t>modułu</w:t>
      </w:r>
      <w:r w:rsidRPr="00762814">
        <w:rPr>
          <w:rFonts w:cstheme="minorHAnsi"/>
          <w:sz w:val="24"/>
          <w:szCs w:val="24"/>
        </w:rPr>
        <w:t>;</w:t>
      </w:r>
    </w:p>
    <w:p w14:paraId="5FB00CD6" w14:textId="7D7226F2"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g)</w:t>
      </w:r>
      <w:r w:rsidRPr="00762814">
        <w:rPr>
          <w:rFonts w:cstheme="minorHAnsi"/>
          <w:sz w:val="24"/>
          <w:szCs w:val="24"/>
        </w:rPr>
        <w:tab/>
        <w:t xml:space="preserve">zakup aparatury </w:t>
      </w:r>
      <w:r w:rsidR="00731FA3" w:rsidRPr="00762814">
        <w:rPr>
          <w:rFonts w:cstheme="minorHAnsi"/>
          <w:sz w:val="24"/>
          <w:szCs w:val="24"/>
        </w:rPr>
        <w:t xml:space="preserve">i sprzętu </w:t>
      </w:r>
      <w:r w:rsidRPr="00762814">
        <w:rPr>
          <w:rFonts w:cstheme="minorHAnsi"/>
          <w:sz w:val="24"/>
          <w:szCs w:val="24"/>
        </w:rPr>
        <w:t>nie był współfinansowany ze środków dotacji krajowej lub środków unijnych;</w:t>
      </w:r>
    </w:p>
    <w:p w14:paraId="7FE95C7C" w14:textId="7B9E5934"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h)</w:t>
      </w:r>
      <w:r w:rsidRPr="00762814">
        <w:rPr>
          <w:rFonts w:cstheme="minorHAnsi"/>
          <w:sz w:val="24"/>
          <w:szCs w:val="24"/>
        </w:rPr>
        <w:tab/>
        <w:t xml:space="preserve">zakup aparatury </w:t>
      </w:r>
      <w:r w:rsidR="00731FA3" w:rsidRPr="00762814">
        <w:rPr>
          <w:rFonts w:cstheme="minorHAnsi"/>
          <w:sz w:val="24"/>
          <w:szCs w:val="24"/>
        </w:rPr>
        <w:t xml:space="preserve">i sprzętu </w:t>
      </w:r>
      <w:r w:rsidRPr="00762814">
        <w:rPr>
          <w:rFonts w:cstheme="minorHAnsi"/>
          <w:sz w:val="24"/>
          <w:szCs w:val="24"/>
        </w:rPr>
        <w:t>nie został rozliczony</w:t>
      </w:r>
      <w:r w:rsidR="00440B80" w:rsidRPr="00762814">
        <w:rPr>
          <w:rFonts w:cstheme="minorHAnsi"/>
          <w:sz w:val="24"/>
          <w:szCs w:val="24"/>
        </w:rPr>
        <w:t xml:space="preserve"> ani przedstawiony do rozliczenia</w:t>
      </w:r>
      <w:r w:rsidRPr="00762814">
        <w:rPr>
          <w:rFonts w:cstheme="minorHAnsi"/>
          <w:sz w:val="24"/>
          <w:szCs w:val="24"/>
        </w:rPr>
        <w:t xml:space="preserve"> jako koszt kwalifikowalny projektu;</w:t>
      </w:r>
    </w:p>
    <w:p w14:paraId="368DECB8" w14:textId="798F1A08" w:rsidR="001900BC" w:rsidRPr="00762814" w:rsidRDefault="001900BC" w:rsidP="00762814">
      <w:pPr>
        <w:spacing w:after="120" w:line="276" w:lineRule="auto"/>
        <w:ind w:left="426" w:hanging="426"/>
        <w:jc w:val="both"/>
        <w:rPr>
          <w:rFonts w:cstheme="minorHAnsi"/>
          <w:sz w:val="24"/>
          <w:szCs w:val="24"/>
        </w:rPr>
      </w:pPr>
      <w:r w:rsidRPr="00762814">
        <w:rPr>
          <w:rFonts w:cstheme="minorHAnsi"/>
          <w:sz w:val="24"/>
          <w:szCs w:val="24"/>
        </w:rPr>
        <w:t>i)</w:t>
      </w:r>
      <w:r w:rsidRPr="00762814">
        <w:rPr>
          <w:rFonts w:cstheme="minorHAnsi"/>
          <w:sz w:val="24"/>
          <w:szCs w:val="24"/>
        </w:rPr>
        <w:tab/>
        <w:t>odpisy amortyzacyjne dotyczą aparatury</w:t>
      </w:r>
      <w:r w:rsidR="00731FA3" w:rsidRPr="00762814">
        <w:rPr>
          <w:rFonts w:cstheme="minorHAnsi"/>
          <w:sz w:val="24"/>
          <w:szCs w:val="24"/>
        </w:rPr>
        <w:t xml:space="preserve"> i sprzętu</w:t>
      </w:r>
      <w:r w:rsidRPr="00762814">
        <w:rPr>
          <w:rFonts w:cstheme="minorHAnsi"/>
          <w:sz w:val="24"/>
          <w:szCs w:val="24"/>
        </w:rPr>
        <w:t>, któr</w:t>
      </w:r>
      <w:r w:rsidR="001D339D" w:rsidRPr="00762814">
        <w:rPr>
          <w:rFonts w:cstheme="minorHAnsi"/>
          <w:sz w:val="24"/>
          <w:szCs w:val="24"/>
        </w:rPr>
        <w:t>a</w:t>
      </w:r>
      <w:r w:rsidRPr="00762814">
        <w:rPr>
          <w:rFonts w:cstheme="minorHAnsi"/>
          <w:sz w:val="24"/>
          <w:szCs w:val="24"/>
        </w:rPr>
        <w:t xml:space="preserve"> został</w:t>
      </w:r>
      <w:r w:rsidR="001D339D" w:rsidRPr="00762814">
        <w:rPr>
          <w:rFonts w:cstheme="minorHAnsi"/>
          <w:sz w:val="24"/>
          <w:szCs w:val="24"/>
        </w:rPr>
        <w:t>a</w:t>
      </w:r>
      <w:r w:rsidRPr="00762814">
        <w:rPr>
          <w:rFonts w:cstheme="minorHAnsi"/>
          <w:sz w:val="24"/>
          <w:szCs w:val="24"/>
        </w:rPr>
        <w:t xml:space="preserve"> zakupion</w:t>
      </w:r>
      <w:r w:rsidR="001D339D" w:rsidRPr="00762814">
        <w:rPr>
          <w:rFonts w:cstheme="minorHAnsi"/>
          <w:sz w:val="24"/>
          <w:szCs w:val="24"/>
        </w:rPr>
        <w:t>a</w:t>
      </w:r>
      <w:r w:rsidRPr="00762814">
        <w:rPr>
          <w:rFonts w:cstheme="minorHAnsi"/>
          <w:sz w:val="24"/>
          <w:szCs w:val="24"/>
        </w:rPr>
        <w:t xml:space="preserve"> w sposób racjonalny</w:t>
      </w:r>
      <w:r w:rsidR="00061C53" w:rsidRPr="00762814">
        <w:rPr>
          <w:rFonts w:cstheme="minorHAnsi"/>
          <w:sz w:val="24"/>
          <w:szCs w:val="24"/>
        </w:rPr>
        <w:t xml:space="preserve"> </w:t>
      </w:r>
      <w:r w:rsidRPr="00762814">
        <w:rPr>
          <w:rFonts w:cstheme="minorHAnsi"/>
          <w:sz w:val="24"/>
          <w:szCs w:val="24"/>
        </w:rPr>
        <w:t>i efektywny – po cenach, które nie zostały zawyżone w stosunku do cen i stawek rynkowych.</w:t>
      </w:r>
    </w:p>
    <w:p w14:paraId="464B18B7" w14:textId="7C40171C" w:rsidR="002958C0" w:rsidRPr="00762814" w:rsidRDefault="001900BC" w:rsidP="00762814">
      <w:pPr>
        <w:spacing w:after="120" w:line="276" w:lineRule="auto"/>
        <w:jc w:val="both"/>
        <w:rPr>
          <w:rFonts w:cstheme="minorHAnsi"/>
          <w:sz w:val="24"/>
          <w:szCs w:val="24"/>
        </w:rPr>
      </w:pPr>
      <w:r w:rsidRPr="00762814">
        <w:rPr>
          <w:rFonts w:cstheme="minorHAnsi"/>
          <w:sz w:val="24"/>
          <w:szCs w:val="24"/>
        </w:rPr>
        <w:t>Jeżeli Wnioskodawca nie jest zobowiązany do stosowania ustawy o rachunkowości, stosuje odpowiednie przepisy podatkowe.</w:t>
      </w:r>
    </w:p>
    <w:p w14:paraId="7C0DA5B6" w14:textId="3A82460A" w:rsidR="00566DD0" w:rsidRPr="00ED6E26" w:rsidRDefault="003263B6" w:rsidP="00BF47B4">
      <w:pPr>
        <w:pStyle w:val="Nagwek4"/>
        <w:numPr>
          <w:ilvl w:val="2"/>
          <w:numId w:val="39"/>
        </w:numPr>
        <w:spacing w:before="120" w:line="276" w:lineRule="auto"/>
        <w:ind w:left="1077"/>
        <w:rPr>
          <w:rFonts w:asciiTheme="minorHAnsi" w:hAnsiTheme="minorHAnsi" w:cstheme="minorHAnsi"/>
          <w:i w:val="0"/>
          <w:color w:val="auto"/>
          <w:sz w:val="28"/>
          <w:szCs w:val="28"/>
        </w:rPr>
      </w:pPr>
      <w:bookmarkStart w:id="37" w:name="_Toc148716372"/>
      <w:r w:rsidRPr="00ED6E26">
        <w:rPr>
          <w:rFonts w:asciiTheme="minorHAnsi" w:hAnsiTheme="minorHAnsi" w:cstheme="minorHAnsi"/>
          <w:i w:val="0"/>
          <w:color w:val="auto"/>
          <w:sz w:val="28"/>
          <w:szCs w:val="28"/>
        </w:rPr>
        <w:t>Amortyzacja (budynki)</w:t>
      </w:r>
      <w:bookmarkEnd w:id="37"/>
    </w:p>
    <w:p w14:paraId="1FC37B25" w14:textId="4B8302C2" w:rsidR="003263B6" w:rsidRPr="00762814" w:rsidRDefault="003263B6" w:rsidP="001E0D23">
      <w:pPr>
        <w:spacing w:after="120" w:line="276" w:lineRule="auto"/>
        <w:rPr>
          <w:rFonts w:cstheme="minorHAnsi"/>
          <w:sz w:val="24"/>
          <w:szCs w:val="24"/>
        </w:rPr>
      </w:pPr>
      <w:r w:rsidRPr="00762814">
        <w:rPr>
          <w:rFonts w:cstheme="minorHAnsi"/>
          <w:sz w:val="24"/>
          <w:szCs w:val="24"/>
        </w:rPr>
        <w:t>W ramach kategorii kwalifikowalne są odpisy amortyzacyjne budynków</w:t>
      </w:r>
      <w:r w:rsidR="00126073" w:rsidRPr="00762814">
        <w:rPr>
          <w:rFonts w:cstheme="minorHAnsi"/>
          <w:sz w:val="24"/>
          <w:szCs w:val="24"/>
        </w:rPr>
        <w:t xml:space="preserve"> odpowiadające okresowi realizacji modułu obliczone na podstawie powszechnie przyjętych zasad rachunkowości</w:t>
      </w:r>
      <w:r w:rsidRPr="00762814">
        <w:rPr>
          <w:rFonts w:cstheme="minorHAnsi"/>
          <w:sz w:val="24"/>
          <w:szCs w:val="24"/>
        </w:rPr>
        <w:t>. W przypadku wykorzystywania budynków także w innych celach niż realizacja modułu – kwalifikowalna jest tylko ta część odpisu amortyzacyjnego, która odpowiada proporcji wykorzystania budynków w celu realizacji badań przemysłowych, prac rozwojowych w ramach modułu.</w:t>
      </w:r>
    </w:p>
    <w:p w14:paraId="7D89D63C" w14:textId="70D821BA" w:rsidR="00211881" w:rsidRPr="00ED6E26" w:rsidRDefault="00211881" w:rsidP="00BF47B4">
      <w:pPr>
        <w:pStyle w:val="Nagwek4"/>
        <w:numPr>
          <w:ilvl w:val="2"/>
          <w:numId w:val="39"/>
        </w:numPr>
        <w:spacing w:before="120" w:line="276" w:lineRule="auto"/>
        <w:ind w:left="1077"/>
        <w:rPr>
          <w:rFonts w:asciiTheme="minorHAnsi" w:hAnsiTheme="minorHAnsi" w:cstheme="minorHAnsi"/>
          <w:i w:val="0"/>
          <w:color w:val="auto"/>
          <w:sz w:val="28"/>
          <w:szCs w:val="28"/>
        </w:rPr>
      </w:pPr>
      <w:bookmarkStart w:id="38" w:name="_Toc148716373"/>
      <w:r w:rsidRPr="00ED6E26">
        <w:rPr>
          <w:rFonts w:asciiTheme="minorHAnsi" w:hAnsiTheme="minorHAnsi" w:cstheme="minorHAnsi"/>
          <w:i w:val="0"/>
          <w:color w:val="auto"/>
          <w:sz w:val="28"/>
          <w:szCs w:val="28"/>
        </w:rPr>
        <w:t>Nieruchomości</w:t>
      </w:r>
      <w:bookmarkEnd w:id="38"/>
    </w:p>
    <w:p w14:paraId="6139DA6A" w14:textId="254B60CD" w:rsidR="00211881" w:rsidRPr="00762814" w:rsidRDefault="00211881" w:rsidP="00762814">
      <w:pPr>
        <w:spacing w:after="120" w:line="276" w:lineRule="auto"/>
        <w:jc w:val="both"/>
        <w:rPr>
          <w:rFonts w:cstheme="minorHAnsi"/>
          <w:sz w:val="24"/>
          <w:szCs w:val="24"/>
        </w:rPr>
      </w:pPr>
      <w:r w:rsidRPr="00762814">
        <w:rPr>
          <w:rFonts w:cstheme="minorHAnsi"/>
          <w:sz w:val="24"/>
          <w:szCs w:val="24"/>
        </w:rPr>
        <w:t xml:space="preserve">W ramach tej kategorii kwalifikowalne są koszty gruntów, które w całości lub części będą wykorzystywane bezpośrednio na potrzeby prowadzonych badań przemysłowych, prac rozwojowych. </w:t>
      </w:r>
    </w:p>
    <w:p w14:paraId="6B85B5DB" w14:textId="2434D887" w:rsidR="00211881" w:rsidRPr="00762814" w:rsidRDefault="00211881" w:rsidP="00762814">
      <w:pPr>
        <w:spacing w:after="120" w:line="276" w:lineRule="auto"/>
        <w:jc w:val="both"/>
        <w:rPr>
          <w:rFonts w:cstheme="minorHAnsi"/>
          <w:sz w:val="24"/>
          <w:szCs w:val="24"/>
        </w:rPr>
      </w:pPr>
      <w:r w:rsidRPr="00762814">
        <w:rPr>
          <w:rFonts w:cstheme="minorHAnsi"/>
          <w:sz w:val="24"/>
          <w:szCs w:val="24"/>
        </w:rPr>
        <w:t xml:space="preserve">Koszty gruntów są kwalifikowalne w zakresie i przez okres niezbędny do realizacji badań przemysłowych, prac rozwojowych prowadzonych w ramach modułu. </w:t>
      </w:r>
    </w:p>
    <w:p w14:paraId="039E74DE" w14:textId="70211DF4" w:rsidR="00211881" w:rsidRPr="00762814" w:rsidRDefault="00211881" w:rsidP="00762814">
      <w:pPr>
        <w:spacing w:line="276" w:lineRule="auto"/>
        <w:rPr>
          <w:rFonts w:cstheme="minorHAnsi"/>
          <w:sz w:val="24"/>
          <w:szCs w:val="24"/>
        </w:rPr>
      </w:pPr>
      <w:r w:rsidRPr="00762814">
        <w:rPr>
          <w:rFonts w:cstheme="minorHAnsi"/>
          <w:sz w:val="24"/>
          <w:szCs w:val="24"/>
        </w:rPr>
        <w:t>Kwalifikowalne są takie koszty gruntów, jak:</w:t>
      </w:r>
    </w:p>
    <w:p w14:paraId="70F6281C" w14:textId="765CD564" w:rsidR="00211881" w:rsidRPr="00762814" w:rsidRDefault="00211881" w:rsidP="00762814">
      <w:pPr>
        <w:spacing w:line="276" w:lineRule="auto"/>
        <w:ind w:left="426" w:hanging="426"/>
        <w:rPr>
          <w:rFonts w:cstheme="minorHAnsi"/>
          <w:sz w:val="24"/>
          <w:szCs w:val="24"/>
        </w:rPr>
      </w:pPr>
      <w:r w:rsidRPr="00762814">
        <w:rPr>
          <w:rFonts w:cstheme="minorHAnsi"/>
          <w:sz w:val="24"/>
          <w:szCs w:val="24"/>
        </w:rPr>
        <w:t>a)</w:t>
      </w:r>
      <w:r w:rsidRPr="00762814">
        <w:rPr>
          <w:rFonts w:cstheme="minorHAnsi"/>
          <w:sz w:val="24"/>
          <w:szCs w:val="24"/>
        </w:rPr>
        <w:tab/>
        <w:t>dzierżawa gruntów – tylko raty czynszu dzierżawnego - kwalifikowalna jest tylko ta część kosztów, która odpowiada proporcji wykorzystania gruntów w celu realizacji badań przemysłowych, prac rozwojowych w ramach modułu;</w:t>
      </w:r>
    </w:p>
    <w:p w14:paraId="3BA28807" w14:textId="40FD0D49" w:rsidR="00211881" w:rsidRPr="00762814" w:rsidRDefault="00211881" w:rsidP="00762814">
      <w:pPr>
        <w:spacing w:line="276" w:lineRule="auto"/>
        <w:ind w:left="426" w:hanging="426"/>
        <w:rPr>
          <w:rFonts w:cstheme="minorHAnsi"/>
          <w:sz w:val="24"/>
          <w:szCs w:val="24"/>
        </w:rPr>
      </w:pPr>
      <w:r w:rsidRPr="00762814">
        <w:rPr>
          <w:rFonts w:cstheme="minorHAnsi"/>
          <w:sz w:val="24"/>
          <w:szCs w:val="24"/>
        </w:rPr>
        <w:t>b)</w:t>
      </w:r>
      <w:r w:rsidRPr="00762814">
        <w:rPr>
          <w:rFonts w:cstheme="minorHAnsi"/>
          <w:sz w:val="24"/>
          <w:szCs w:val="24"/>
        </w:rPr>
        <w:tab/>
        <w:t>wieczyste użytkowanie gruntów – tylko opłaty za użytkowanie wieczyste - kwalifikowalna jest tylko ta część kosztów, która odpowiada proporcji wykorzystania gruntów w celu realizacji badań przemysłowych, prac rozwojowych w ramach modułu</w:t>
      </w:r>
      <w:r w:rsidR="00B9382A" w:rsidRPr="00762814">
        <w:rPr>
          <w:rFonts w:cstheme="minorHAnsi"/>
          <w:sz w:val="24"/>
          <w:szCs w:val="24"/>
        </w:rPr>
        <w:t>.</w:t>
      </w:r>
    </w:p>
    <w:p w14:paraId="3859F77B" w14:textId="381151D3" w:rsidR="00F40A08" w:rsidRPr="00ED6E26" w:rsidRDefault="00F40A08" w:rsidP="00BF47B4">
      <w:pPr>
        <w:pStyle w:val="Nagwek4"/>
        <w:numPr>
          <w:ilvl w:val="2"/>
          <w:numId w:val="39"/>
        </w:numPr>
        <w:spacing w:before="120" w:line="276" w:lineRule="auto"/>
        <w:ind w:left="1077"/>
        <w:rPr>
          <w:rFonts w:asciiTheme="minorHAnsi" w:hAnsiTheme="minorHAnsi" w:cstheme="minorHAnsi"/>
          <w:i w:val="0"/>
          <w:color w:val="auto"/>
          <w:sz w:val="28"/>
          <w:szCs w:val="28"/>
        </w:rPr>
      </w:pPr>
      <w:bookmarkStart w:id="39" w:name="_Toc148716374"/>
      <w:r w:rsidRPr="00ED6E26">
        <w:rPr>
          <w:rFonts w:asciiTheme="minorHAnsi" w:hAnsiTheme="minorHAnsi" w:cstheme="minorHAnsi"/>
          <w:i w:val="0"/>
          <w:color w:val="auto"/>
          <w:sz w:val="28"/>
          <w:szCs w:val="28"/>
        </w:rPr>
        <w:t>Wartości niematerialne i prawne</w:t>
      </w:r>
      <w:bookmarkEnd w:id="39"/>
    </w:p>
    <w:p w14:paraId="570787B7" w14:textId="2CB137F6" w:rsidR="002958C0" w:rsidRPr="00762814" w:rsidRDefault="009313D3" w:rsidP="001E0D23">
      <w:pPr>
        <w:spacing w:after="120" w:line="276" w:lineRule="auto"/>
        <w:rPr>
          <w:rFonts w:cstheme="minorHAnsi"/>
          <w:sz w:val="24"/>
          <w:szCs w:val="24"/>
        </w:rPr>
      </w:pPr>
      <w:r w:rsidRPr="00762814">
        <w:rPr>
          <w:rFonts w:cstheme="minorHAnsi"/>
          <w:sz w:val="24"/>
          <w:szCs w:val="24"/>
        </w:rPr>
        <w:t>W ramach kategorii kwalifikowalne są koszty nabyci</w:t>
      </w:r>
      <w:r w:rsidR="00EE5CBB" w:rsidRPr="00762814">
        <w:rPr>
          <w:rFonts w:cstheme="minorHAnsi"/>
          <w:sz w:val="24"/>
          <w:szCs w:val="24"/>
        </w:rPr>
        <w:t>a</w:t>
      </w:r>
      <w:r w:rsidRPr="00762814">
        <w:rPr>
          <w:rFonts w:cstheme="minorHAnsi"/>
          <w:sz w:val="24"/>
          <w:szCs w:val="24"/>
        </w:rPr>
        <w:t xml:space="preserve"> wartości niematerialnych i prawnych</w:t>
      </w:r>
      <w:r w:rsidR="00DA728E" w:rsidRPr="00762814">
        <w:rPr>
          <w:rStyle w:val="Odwoanieprzypisudolnego"/>
          <w:rFonts w:cstheme="minorHAnsi"/>
          <w:sz w:val="24"/>
          <w:szCs w:val="24"/>
        </w:rPr>
        <w:footnoteReference w:id="3"/>
      </w:r>
      <w:r w:rsidRPr="00762814">
        <w:rPr>
          <w:rFonts w:cstheme="minorHAnsi"/>
          <w:sz w:val="24"/>
          <w:szCs w:val="24"/>
        </w:rPr>
        <w:t xml:space="preserve"> nabytych od osób trzecich na warunkach rynkowych – w formie patentów zakupionych lub użytkowanych na podstawie licencji, know-how, nieopatentowanej wiedzy technicznej, ekspertyz, analiz, raportów badawczych itp., wykorzystywanych, aby prowadzić badania przemysłowe lub prace rozwojowe</w:t>
      </w:r>
      <w:r w:rsidR="004F0CA0" w:rsidRPr="00762814">
        <w:rPr>
          <w:rFonts w:cstheme="minorHAnsi"/>
          <w:sz w:val="24"/>
          <w:szCs w:val="24"/>
        </w:rPr>
        <w:t>.</w:t>
      </w:r>
      <w:r w:rsidRPr="00762814">
        <w:rPr>
          <w:rFonts w:cstheme="minorHAnsi"/>
          <w:sz w:val="24"/>
          <w:szCs w:val="24"/>
        </w:rPr>
        <w:t xml:space="preserve"> </w:t>
      </w:r>
      <w:bookmarkStart w:id="40" w:name="_Hlk122083348"/>
    </w:p>
    <w:p w14:paraId="2FA4D70D" w14:textId="0F679D36" w:rsidR="003270D9" w:rsidRPr="00ED6E26" w:rsidRDefault="000B7DF1" w:rsidP="00BF47B4">
      <w:pPr>
        <w:pStyle w:val="Nagwek4"/>
        <w:numPr>
          <w:ilvl w:val="2"/>
          <w:numId w:val="39"/>
        </w:numPr>
        <w:spacing w:before="120" w:line="276" w:lineRule="auto"/>
        <w:ind w:left="1077"/>
        <w:rPr>
          <w:rFonts w:asciiTheme="minorHAnsi" w:hAnsiTheme="minorHAnsi" w:cstheme="minorHAnsi"/>
          <w:i w:val="0"/>
          <w:color w:val="auto"/>
          <w:sz w:val="28"/>
          <w:szCs w:val="28"/>
        </w:rPr>
      </w:pPr>
      <w:bookmarkStart w:id="41" w:name="_Toc148716375"/>
      <w:bookmarkEnd w:id="40"/>
      <w:r w:rsidRPr="00ED6E26">
        <w:rPr>
          <w:rFonts w:asciiTheme="minorHAnsi" w:hAnsiTheme="minorHAnsi" w:cstheme="minorHAnsi"/>
          <w:i w:val="0"/>
          <w:color w:val="auto"/>
          <w:sz w:val="28"/>
          <w:szCs w:val="28"/>
        </w:rPr>
        <w:t>Dostawy (inne niż środki trwałe)</w:t>
      </w:r>
      <w:bookmarkEnd w:id="41"/>
    </w:p>
    <w:p w14:paraId="75A5A68E" w14:textId="485A15A8" w:rsidR="00A23B26" w:rsidRPr="00762814" w:rsidRDefault="00A23B26" w:rsidP="00762814">
      <w:pPr>
        <w:spacing w:after="120" w:line="276" w:lineRule="auto"/>
        <w:jc w:val="both"/>
        <w:rPr>
          <w:rFonts w:cstheme="minorHAnsi"/>
          <w:sz w:val="24"/>
          <w:szCs w:val="24"/>
        </w:rPr>
      </w:pPr>
      <w:r w:rsidRPr="00762814">
        <w:rPr>
          <w:rFonts w:cstheme="minorHAnsi"/>
          <w:sz w:val="24"/>
          <w:szCs w:val="24"/>
        </w:rPr>
        <w:t xml:space="preserve">W ramach kategorii kwalifikowalne są </w:t>
      </w:r>
      <w:r w:rsidR="00B147D4" w:rsidRPr="00762814">
        <w:rPr>
          <w:rFonts w:cstheme="minorHAnsi"/>
          <w:sz w:val="24"/>
          <w:szCs w:val="24"/>
        </w:rPr>
        <w:t>wydatki związane z dostawami</w:t>
      </w:r>
      <w:r w:rsidRPr="00762814">
        <w:rPr>
          <w:rFonts w:cstheme="minorHAnsi"/>
          <w:sz w:val="24"/>
          <w:szCs w:val="24"/>
        </w:rPr>
        <w:t xml:space="preserve">, czyli </w:t>
      </w:r>
      <w:r w:rsidR="001A5620" w:rsidRPr="00762814">
        <w:rPr>
          <w:rFonts w:cstheme="minorHAnsi"/>
          <w:sz w:val="24"/>
          <w:szCs w:val="24"/>
        </w:rPr>
        <w:t>koszty</w:t>
      </w:r>
      <w:r w:rsidRPr="00762814">
        <w:rPr>
          <w:rFonts w:cstheme="minorHAnsi"/>
          <w:sz w:val="24"/>
          <w:szCs w:val="24"/>
        </w:rPr>
        <w:t xml:space="preserve"> </w:t>
      </w:r>
      <w:r w:rsidR="009D3A7D" w:rsidRPr="00762814">
        <w:rPr>
          <w:rFonts w:cstheme="minorHAnsi"/>
          <w:sz w:val="24"/>
          <w:szCs w:val="24"/>
        </w:rPr>
        <w:t xml:space="preserve">zakupu </w:t>
      </w:r>
      <w:r w:rsidRPr="00762814">
        <w:rPr>
          <w:rFonts w:cstheme="minorHAnsi"/>
          <w:sz w:val="24"/>
          <w:szCs w:val="24"/>
        </w:rPr>
        <w:t xml:space="preserve">materiałów, środków eksploatacyjnych i podobnych produktów, ponoszone bezpośrednio </w:t>
      </w:r>
      <w:r w:rsidR="003270D9" w:rsidRPr="00762814">
        <w:rPr>
          <w:rFonts w:cstheme="minorHAnsi"/>
          <w:sz w:val="24"/>
          <w:szCs w:val="24"/>
        </w:rPr>
        <w:br/>
      </w:r>
      <w:r w:rsidRPr="00762814">
        <w:rPr>
          <w:rFonts w:cstheme="minorHAnsi"/>
          <w:sz w:val="24"/>
          <w:szCs w:val="24"/>
        </w:rPr>
        <w:t xml:space="preserve">w związku z realizacją </w:t>
      </w:r>
      <w:r w:rsidR="00F45E49" w:rsidRPr="00762814">
        <w:rPr>
          <w:rFonts w:cstheme="minorHAnsi"/>
          <w:sz w:val="24"/>
          <w:szCs w:val="24"/>
        </w:rPr>
        <w:t>prac B+R</w:t>
      </w:r>
      <w:r w:rsidR="006523D9" w:rsidRPr="00762814">
        <w:rPr>
          <w:rFonts w:cstheme="minorHAnsi"/>
          <w:sz w:val="24"/>
          <w:szCs w:val="24"/>
        </w:rPr>
        <w:t xml:space="preserve"> w module</w:t>
      </w:r>
      <w:r w:rsidRPr="00762814">
        <w:rPr>
          <w:rFonts w:cstheme="minorHAnsi"/>
          <w:sz w:val="24"/>
          <w:szCs w:val="24"/>
        </w:rPr>
        <w:t>.</w:t>
      </w:r>
    </w:p>
    <w:p w14:paraId="6EF39E2D" w14:textId="6356C75F" w:rsidR="00A23B26" w:rsidRPr="00762814" w:rsidRDefault="00A23B26" w:rsidP="00762814">
      <w:pPr>
        <w:spacing w:after="120" w:line="276" w:lineRule="auto"/>
        <w:rPr>
          <w:rFonts w:cstheme="minorHAnsi"/>
          <w:sz w:val="24"/>
          <w:szCs w:val="24"/>
        </w:rPr>
      </w:pPr>
      <w:r w:rsidRPr="00762814">
        <w:rPr>
          <w:rFonts w:cstheme="minorHAnsi"/>
          <w:sz w:val="24"/>
          <w:szCs w:val="24"/>
        </w:rPr>
        <w:t>Kwalifikowalne są koszty:</w:t>
      </w:r>
    </w:p>
    <w:p w14:paraId="130829A6" w14:textId="24A70BE6" w:rsidR="00A23B26" w:rsidRPr="00762814" w:rsidRDefault="00A23B26" w:rsidP="00BF47B4">
      <w:pPr>
        <w:pStyle w:val="Akapitzlist"/>
        <w:numPr>
          <w:ilvl w:val="0"/>
          <w:numId w:val="30"/>
        </w:numPr>
        <w:spacing w:after="120" w:line="276" w:lineRule="auto"/>
        <w:ind w:left="567" w:hanging="567"/>
        <w:rPr>
          <w:rFonts w:cstheme="minorHAnsi"/>
          <w:sz w:val="24"/>
          <w:szCs w:val="24"/>
        </w:rPr>
      </w:pPr>
      <w:r w:rsidRPr="00762814">
        <w:rPr>
          <w:rFonts w:cstheme="minorHAnsi"/>
          <w:sz w:val="24"/>
          <w:szCs w:val="24"/>
        </w:rPr>
        <w:t xml:space="preserve">materiałów i środków eksploatacyjnych niezbędnych do realizacji </w:t>
      </w:r>
      <w:r w:rsidR="00F45E49" w:rsidRPr="00762814">
        <w:rPr>
          <w:rFonts w:cstheme="minorHAnsi"/>
          <w:sz w:val="24"/>
          <w:szCs w:val="24"/>
        </w:rPr>
        <w:t>prac B+R</w:t>
      </w:r>
      <w:r w:rsidRPr="00762814">
        <w:rPr>
          <w:rFonts w:cstheme="minorHAnsi"/>
          <w:sz w:val="24"/>
          <w:szCs w:val="24"/>
        </w:rPr>
        <w:t xml:space="preserve"> np. koszty surowców, półproduktów, odczynników;</w:t>
      </w:r>
    </w:p>
    <w:p w14:paraId="3B327E2D" w14:textId="42FDA77F" w:rsidR="00A23B26" w:rsidRPr="00762814" w:rsidRDefault="00A23B26" w:rsidP="00BF47B4">
      <w:pPr>
        <w:pStyle w:val="Akapitzlist"/>
        <w:numPr>
          <w:ilvl w:val="0"/>
          <w:numId w:val="30"/>
        </w:numPr>
        <w:spacing w:after="120" w:line="276" w:lineRule="auto"/>
        <w:ind w:left="567" w:hanging="567"/>
        <w:rPr>
          <w:rFonts w:cstheme="minorHAnsi"/>
          <w:sz w:val="24"/>
          <w:szCs w:val="24"/>
        </w:rPr>
      </w:pPr>
      <w:r w:rsidRPr="00762814">
        <w:rPr>
          <w:rFonts w:cstheme="minorHAnsi"/>
          <w:sz w:val="24"/>
          <w:szCs w:val="24"/>
        </w:rPr>
        <w:t xml:space="preserve">sprzętu laboratoryjnego wykorzystywanego do </w:t>
      </w:r>
      <w:r w:rsidR="00F45E49" w:rsidRPr="00762814">
        <w:rPr>
          <w:rFonts w:cstheme="minorHAnsi"/>
          <w:sz w:val="24"/>
          <w:szCs w:val="24"/>
        </w:rPr>
        <w:t>prac B+R</w:t>
      </w:r>
      <w:r w:rsidR="003270D9" w:rsidRPr="00762814">
        <w:rPr>
          <w:rFonts w:cstheme="minorHAnsi"/>
          <w:sz w:val="24"/>
          <w:szCs w:val="24"/>
        </w:rPr>
        <w:t>,</w:t>
      </w:r>
      <w:r w:rsidRPr="00762814">
        <w:rPr>
          <w:rFonts w:cstheme="minorHAnsi"/>
          <w:sz w:val="24"/>
          <w:szCs w:val="24"/>
        </w:rPr>
        <w:t xml:space="preserve"> tj. koszty zakupów, które nie są środkiem trwałym zgodnie z ustawą o rachunkowości oraz z polityką rachunkowości Wnioskodawcy;</w:t>
      </w:r>
    </w:p>
    <w:p w14:paraId="1B1F5905" w14:textId="26EDEC83" w:rsidR="00A23B26" w:rsidRPr="00762814" w:rsidRDefault="00A23B26" w:rsidP="00BF47B4">
      <w:pPr>
        <w:pStyle w:val="Akapitzlist"/>
        <w:numPr>
          <w:ilvl w:val="0"/>
          <w:numId w:val="30"/>
        </w:numPr>
        <w:spacing w:after="120" w:line="276" w:lineRule="auto"/>
        <w:ind w:left="567" w:hanging="567"/>
        <w:rPr>
          <w:rFonts w:cstheme="minorHAnsi"/>
          <w:sz w:val="24"/>
          <w:szCs w:val="24"/>
        </w:rPr>
      </w:pPr>
      <w:r w:rsidRPr="00762814">
        <w:rPr>
          <w:rFonts w:cstheme="minorHAnsi"/>
          <w:sz w:val="24"/>
          <w:szCs w:val="24"/>
        </w:rPr>
        <w:t xml:space="preserve">utrzymania linii technologicznych, instalacji doświadczalnych itp. w okresie </w:t>
      </w:r>
      <w:r w:rsidR="003270D9" w:rsidRPr="00762814">
        <w:rPr>
          <w:rFonts w:cstheme="minorHAnsi"/>
          <w:sz w:val="24"/>
          <w:szCs w:val="24"/>
        </w:rPr>
        <w:br/>
      </w:r>
      <w:r w:rsidRPr="00762814">
        <w:rPr>
          <w:rFonts w:cstheme="minorHAnsi"/>
          <w:sz w:val="24"/>
          <w:szCs w:val="24"/>
        </w:rPr>
        <w:t xml:space="preserve">i w proporcji, w jakiej są wykorzystywane do </w:t>
      </w:r>
      <w:r w:rsidR="00F45E49" w:rsidRPr="00762814">
        <w:rPr>
          <w:rFonts w:cstheme="minorHAnsi"/>
          <w:sz w:val="24"/>
          <w:szCs w:val="24"/>
        </w:rPr>
        <w:t>prac B+R</w:t>
      </w:r>
      <w:r w:rsidRPr="00762814">
        <w:rPr>
          <w:rFonts w:cstheme="minorHAnsi"/>
          <w:sz w:val="24"/>
          <w:szCs w:val="24"/>
        </w:rPr>
        <w:t>;</w:t>
      </w:r>
    </w:p>
    <w:p w14:paraId="1CA6D209" w14:textId="05C55DC6" w:rsidR="00A23B26" w:rsidRPr="00762814" w:rsidRDefault="00A23B26" w:rsidP="00BF47B4">
      <w:pPr>
        <w:pStyle w:val="Akapitzlist"/>
        <w:numPr>
          <w:ilvl w:val="0"/>
          <w:numId w:val="30"/>
        </w:numPr>
        <w:spacing w:after="120" w:line="276" w:lineRule="auto"/>
        <w:ind w:left="567" w:hanging="567"/>
        <w:rPr>
          <w:rFonts w:cstheme="minorHAnsi"/>
          <w:sz w:val="24"/>
          <w:szCs w:val="24"/>
        </w:rPr>
      </w:pPr>
      <w:r w:rsidRPr="00762814">
        <w:rPr>
          <w:rFonts w:cstheme="minorHAnsi"/>
          <w:sz w:val="24"/>
          <w:szCs w:val="24"/>
        </w:rPr>
        <w:t>eksploatacji aparatury naukowo-badawczej;</w:t>
      </w:r>
    </w:p>
    <w:p w14:paraId="75325677" w14:textId="4C097172" w:rsidR="00A23B26" w:rsidRPr="00762814" w:rsidRDefault="00824154" w:rsidP="00BF47B4">
      <w:pPr>
        <w:pStyle w:val="Akapitzlist"/>
        <w:numPr>
          <w:ilvl w:val="0"/>
          <w:numId w:val="30"/>
        </w:numPr>
        <w:spacing w:after="120" w:line="276" w:lineRule="auto"/>
        <w:ind w:left="567" w:hanging="567"/>
        <w:rPr>
          <w:rFonts w:cstheme="minorHAnsi"/>
          <w:sz w:val="24"/>
          <w:szCs w:val="24"/>
        </w:rPr>
      </w:pPr>
      <w:r w:rsidRPr="00762814">
        <w:rPr>
          <w:rFonts w:cstheme="minorHAnsi"/>
          <w:sz w:val="24"/>
          <w:szCs w:val="24"/>
        </w:rPr>
        <w:t>zakup</w:t>
      </w:r>
      <w:r w:rsidR="00BE6099" w:rsidRPr="00762814">
        <w:rPr>
          <w:rFonts w:cstheme="minorHAnsi"/>
          <w:sz w:val="24"/>
          <w:szCs w:val="24"/>
        </w:rPr>
        <w:t>u</w:t>
      </w:r>
      <w:r w:rsidRPr="00762814">
        <w:rPr>
          <w:rFonts w:cstheme="minorHAnsi"/>
          <w:sz w:val="24"/>
          <w:szCs w:val="24"/>
        </w:rPr>
        <w:t xml:space="preserve"> </w:t>
      </w:r>
      <w:r w:rsidR="00A23B26" w:rsidRPr="00762814">
        <w:rPr>
          <w:rFonts w:cstheme="minorHAnsi"/>
          <w:sz w:val="24"/>
          <w:szCs w:val="24"/>
        </w:rPr>
        <w:t xml:space="preserve">elementów służących do budowy prototypu i na stałe zainstalowanych </w:t>
      </w:r>
      <w:r w:rsidR="003270D9" w:rsidRPr="00762814">
        <w:rPr>
          <w:rFonts w:cstheme="minorHAnsi"/>
          <w:sz w:val="24"/>
          <w:szCs w:val="24"/>
        </w:rPr>
        <w:br/>
      </w:r>
      <w:r w:rsidR="00A23B26" w:rsidRPr="00762814">
        <w:rPr>
          <w:rFonts w:cstheme="minorHAnsi"/>
          <w:sz w:val="24"/>
          <w:szCs w:val="24"/>
        </w:rPr>
        <w:t>w prototypie, instalacji pilotażowej lub demonstracyjnej</w:t>
      </w:r>
      <w:r w:rsidR="00F84CAC" w:rsidRPr="00762814">
        <w:rPr>
          <w:rFonts w:cstheme="minorHAnsi"/>
          <w:sz w:val="24"/>
          <w:szCs w:val="24"/>
        </w:rPr>
        <w:t>.</w:t>
      </w:r>
    </w:p>
    <w:p w14:paraId="0B6D9488" w14:textId="23DEF487" w:rsidR="00F47953" w:rsidRPr="00ED6E26" w:rsidRDefault="00C52CA6" w:rsidP="00BF47B4">
      <w:pPr>
        <w:pStyle w:val="Nagwek4"/>
        <w:numPr>
          <w:ilvl w:val="2"/>
          <w:numId w:val="39"/>
        </w:numPr>
        <w:spacing w:before="120" w:line="276" w:lineRule="auto"/>
        <w:rPr>
          <w:rFonts w:asciiTheme="minorHAnsi" w:hAnsiTheme="minorHAnsi" w:cstheme="minorHAnsi"/>
          <w:i w:val="0"/>
          <w:color w:val="auto"/>
          <w:sz w:val="28"/>
          <w:szCs w:val="28"/>
        </w:rPr>
      </w:pPr>
      <w:bookmarkStart w:id="42" w:name="_Toc148716376"/>
      <w:r w:rsidRPr="00ED6E26">
        <w:rPr>
          <w:rFonts w:asciiTheme="minorHAnsi" w:hAnsiTheme="minorHAnsi" w:cstheme="minorHAnsi"/>
          <w:i w:val="0"/>
          <w:color w:val="auto"/>
          <w:sz w:val="28"/>
          <w:szCs w:val="28"/>
        </w:rPr>
        <w:t>Usługi zewnętrzne (koszty operacyjne)</w:t>
      </w:r>
      <w:bookmarkEnd w:id="42"/>
    </w:p>
    <w:p w14:paraId="763ECD1A" w14:textId="7777E677" w:rsidR="00CF55DF" w:rsidRPr="00762814" w:rsidRDefault="00CF55DF" w:rsidP="00762814">
      <w:pPr>
        <w:spacing w:line="276" w:lineRule="auto"/>
        <w:rPr>
          <w:rFonts w:cstheme="minorHAnsi"/>
          <w:sz w:val="24"/>
          <w:szCs w:val="24"/>
        </w:rPr>
      </w:pPr>
      <w:r w:rsidRPr="00762814">
        <w:rPr>
          <w:rFonts w:cstheme="minorHAnsi"/>
          <w:sz w:val="24"/>
          <w:szCs w:val="24"/>
        </w:rPr>
        <w:t>Kwalifikowalne są koszty</w:t>
      </w:r>
      <w:r w:rsidR="00EA34CB" w:rsidRPr="00762814">
        <w:rPr>
          <w:rFonts w:cstheme="minorHAnsi"/>
          <w:sz w:val="24"/>
          <w:szCs w:val="24"/>
        </w:rPr>
        <w:t xml:space="preserve"> operacyjne</w:t>
      </w:r>
      <w:r w:rsidR="00403155" w:rsidRPr="00762814">
        <w:rPr>
          <w:rFonts w:cstheme="minorHAnsi"/>
          <w:sz w:val="24"/>
          <w:szCs w:val="24"/>
        </w:rPr>
        <w:t xml:space="preserve"> dotyczące</w:t>
      </w:r>
      <w:r w:rsidRPr="00762814">
        <w:rPr>
          <w:rFonts w:cstheme="minorHAnsi"/>
          <w:sz w:val="24"/>
          <w:szCs w:val="24"/>
        </w:rPr>
        <w:t>:</w:t>
      </w:r>
    </w:p>
    <w:p w14:paraId="07CF0ECF" w14:textId="65CD64ED" w:rsidR="00CF55DF" w:rsidRPr="00762814" w:rsidRDefault="00CF55DF" w:rsidP="00BF47B4">
      <w:pPr>
        <w:pStyle w:val="Akapitzlist"/>
        <w:numPr>
          <w:ilvl w:val="0"/>
          <w:numId w:val="29"/>
        </w:numPr>
        <w:spacing w:after="120" w:line="276" w:lineRule="auto"/>
        <w:ind w:left="567" w:hanging="567"/>
        <w:rPr>
          <w:rFonts w:cstheme="minorHAnsi"/>
          <w:sz w:val="24"/>
          <w:szCs w:val="24"/>
        </w:rPr>
      </w:pPr>
      <w:r w:rsidRPr="00762814">
        <w:rPr>
          <w:rFonts w:cstheme="minorHAnsi"/>
          <w:sz w:val="24"/>
          <w:szCs w:val="24"/>
        </w:rPr>
        <w:t>pomocniczych usług obcych, które są niezbędne do realizacji projektu, ale nie wpisują się w definicję innych kategorii;</w:t>
      </w:r>
    </w:p>
    <w:p w14:paraId="0356B02E" w14:textId="77777777" w:rsidR="00CF55DF" w:rsidRPr="00762814" w:rsidRDefault="00CF55DF" w:rsidP="00BF47B4">
      <w:pPr>
        <w:pStyle w:val="Akapitzlist"/>
        <w:numPr>
          <w:ilvl w:val="0"/>
          <w:numId w:val="29"/>
        </w:numPr>
        <w:spacing w:after="120" w:line="276" w:lineRule="auto"/>
        <w:ind w:left="567" w:hanging="567"/>
        <w:rPr>
          <w:rFonts w:cstheme="minorHAnsi"/>
          <w:sz w:val="24"/>
          <w:szCs w:val="24"/>
        </w:rPr>
      </w:pPr>
      <w:r w:rsidRPr="00762814">
        <w:rPr>
          <w:rFonts w:cstheme="minorHAnsi"/>
          <w:sz w:val="24"/>
          <w:szCs w:val="24"/>
        </w:rPr>
        <w:t>opłat związanych z dopuszczeniem do badań;</w:t>
      </w:r>
    </w:p>
    <w:p w14:paraId="2880BF27" w14:textId="48DE195D" w:rsidR="00CF55DF" w:rsidRPr="00762814" w:rsidRDefault="00CF55DF" w:rsidP="00BF47B4">
      <w:pPr>
        <w:pStyle w:val="Akapitzlist"/>
        <w:numPr>
          <w:ilvl w:val="0"/>
          <w:numId w:val="29"/>
        </w:numPr>
        <w:spacing w:after="120" w:line="276" w:lineRule="auto"/>
        <w:ind w:left="567" w:hanging="567"/>
        <w:rPr>
          <w:rFonts w:cstheme="minorHAnsi"/>
          <w:sz w:val="24"/>
          <w:szCs w:val="24"/>
        </w:rPr>
      </w:pPr>
      <w:r w:rsidRPr="00762814">
        <w:rPr>
          <w:rFonts w:cstheme="minorHAnsi"/>
          <w:sz w:val="24"/>
          <w:szCs w:val="24"/>
        </w:rPr>
        <w:t xml:space="preserve">usług transportowych niezbędnych do prawidłowej realizacji prac badawczych; </w:t>
      </w:r>
      <w:bookmarkStart w:id="43" w:name="_Hlk126155968"/>
    </w:p>
    <w:bookmarkEnd w:id="43"/>
    <w:p w14:paraId="4A9693A5" w14:textId="1454A83C" w:rsidR="00EA74B1" w:rsidRPr="00762814" w:rsidRDefault="004661EA" w:rsidP="00BF47B4">
      <w:pPr>
        <w:pStyle w:val="Akapitzlist"/>
        <w:numPr>
          <w:ilvl w:val="0"/>
          <w:numId w:val="29"/>
        </w:numPr>
        <w:spacing w:after="120" w:line="276" w:lineRule="auto"/>
        <w:ind w:left="567" w:hanging="567"/>
        <w:rPr>
          <w:rFonts w:cstheme="minorHAnsi"/>
          <w:sz w:val="24"/>
          <w:szCs w:val="24"/>
        </w:rPr>
      </w:pPr>
      <w:r w:rsidRPr="00762814">
        <w:rPr>
          <w:rFonts w:cstheme="minorHAnsi"/>
          <w:sz w:val="24"/>
          <w:szCs w:val="24"/>
        </w:rPr>
        <w:t>wynaj</w:t>
      </w:r>
      <w:r w:rsidR="004E1DBB" w:rsidRPr="00762814">
        <w:rPr>
          <w:rFonts w:cstheme="minorHAnsi"/>
          <w:sz w:val="24"/>
          <w:szCs w:val="24"/>
        </w:rPr>
        <w:t>mu</w:t>
      </w:r>
      <w:r w:rsidRPr="00762814">
        <w:rPr>
          <w:rFonts w:cstheme="minorHAnsi"/>
          <w:sz w:val="24"/>
          <w:szCs w:val="24"/>
        </w:rPr>
        <w:t>/leasing</w:t>
      </w:r>
      <w:r w:rsidR="004E1DBB" w:rsidRPr="00762814">
        <w:rPr>
          <w:rFonts w:cstheme="minorHAnsi"/>
          <w:sz w:val="24"/>
          <w:szCs w:val="24"/>
        </w:rPr>
        <w:t>u</w:t>
      </w:r>
      <w:r w:rsidRPr="00762814">
        <w:rPr>
          <w:rFonts w:cstheme="minorHAnsi"/>
          <w:sz w:val="24"/>
          <w:szCs w:val="24"/>
        </w:rPr>
        <w:t xml:space="preserve"> aparatury </w:t>
      </w:r>
      <w:r w:rsidR="00EA74B1" w:rsidRPr="00762814">
        <w:rPr>
          <w:rFonts w:cstheme="minorHAnsi"/>
          <w:sz w:val="24"/>
          <w:szCs w:val="24"/>
        </w:rPr>
        <w:t>naukowo-badawczej i innych urządzeń</w:t>
      </w:r>
      <w:r w:rsidR="00D36B7C" w:rsidRPr="00762814">
        <w:rPr>
          <w:rFonts w:cstheme="minorHAnsi"/>
          <w:sz w:val="24"/>
          <w:szCs w:val="24"/>
        </w:rPr>
        <w:t xml:space="preserve"> </w:t>
      </w:r>
      <w:r w:rsidR="00EA74B1" w:rsidRPr="00762814">
        <w:rPr>
          <w:rFonts w:cstheme="minorHAnsi"/>
          <w:sz w:val="24"/>
          <w:szCs w:val="24"/>
        </w:rPr>
        <w:t>wykorzystywanych w celu prowadzenia badań przemysłowych i prac rozwojowych albo tylko prac rozwojowych wyłącznie w zakresie i przez okres, w jakim są one wykorzystywane na potrzeby realizowanego projektu;</w:t>
      </w:r>
    </w:p>
    <w:p w14:paraId="6964FA8C" w14:textId="4B8171BD" w:rsidR="004661EA" w:rsidRPr="00762814" w:rsidRDefault="00EA74B1" w:rsidP="00BF47B4">
      <w:pPr>
        <w:pStyle w:val="Akapitzlist"/>
        <w:numPr>
          <w:ilvl w:val="0"/>
          <w:numId w:val="29"/>
        </w:numPr>
        <w:spacing w:after="120" w:line="276" w:lineRule="auto"/>
        <w:ind w:left="567" w:hanging="567"/>
        <w:rPr>
          <w:rFonts w:cstheme="minorHAnsi"/>
          <w:sz w:val="24"/>
          <w:szCs w:val="24"/>
        </w:rPr>
      </w:pPr>
      <w:r w:rsidRPr="00762814">
        <w:rPr>
          <w:rFonts w:cstheme="minorHAnsi"/>
          <w:sz w:val="24"/>
          <w:szCs w:val="24"/>
        </w:rPr>
        <w:t xml:space="preserve">wynajmu powierzchni laboratoryjnej, wykorzystywanej do prac B+R projektu (oznacza wynajęcie przez Wnioskodawcę laboratorium do prowadzenia </w:t>
      </w:r>
      <w:r w:rsidR="004E1DBB" w:rsidRPr="00762814">
        <w:rPr>
          <w:rFonts w:cstheme="minorHAnsi"/>
          <w:sz w:val="24"/>
          <w:szCs w:val="24"/>
        </w:rPr>
        <w:br/>
      </w:r>
      <w:r w:rsidRPr="00762814">
        <w:rPr>
          <w:rFonts w:cstheme="minorHAnsi"/>
          <w:sz w:val="24"/>
          <w:szCs w:val="24"/>
        </w:rPr>
        <w:t>w nim badań przez personel Wnioskodawcy). Powierzchnia laboratoryjna finansowana w ramach tej kategorii to powierzchnia przystosowana do przeprowadzania badań, np. ze względu na wymagane certyfikaty lub zastosowane systemy zabezpieczeń, bez aparatury badawczej</w:t>
      </w:r>
      <w:r w:rsidR="004E1DBB" w:rsidRPr="00762814">
        <w:rPr>
          <w:rFonts w:cstheme="minorHAnsi"/>
          <w:sz w:val="24"/>
          <w:szCs w:val="24"/>
        </w:rPr>
        <w:t>.</w:t>
      </w:r>
    </w:p>
    <w:p w14:paraId="13F210DD" w14:textId="2E562A90" w:rsidR="00B462EB" w:rsidRPr="00ED6E26" w:rsidRDefault="00D208E8" w:rsidP="00BF47B4">
      <w:pPr>
        <w:pStyle w:val="Nagwek4"/>
        <w:numPr>
          <w:ilvl w:val="2"/>
          <w:numId w:val="39"/>
        </w:numPr>
        <w:spacing w:before="120" w:line="276" w:lineRule="auto"/>
        <w:rPr>
          <w:rFonts w:asciiTheme="minorHAnsi" w:hAnsiTheme="minorHAnsi" w:cstheme="minorHAnsi"/>
          <w:i w:val="0"/>
          <w:color w:val="auto"/>
          <w:sz w:val="28"/>
          <w:szCs w:val="28"/>
        </w:rPr>
      </w:pPr>
      <w:bookmarkStart w:id="44" w:name="_Toc148716377"/>
      <w:r w:rsidRPr="00ED6E26">
        <w:rPr>
          <w:rFonts w:asciiTheme="minorHAnsi" w:hAnsiTheme="minorHAnsi" w:cstheme="minorHAnsi"/>
          <w:i w:val="0"/>
          <w:color w:val="auto"/>
          <w:sz w:val="28"/>
          <w:szCs w:val="28"/>
        </w:rPr>
        <w:t>Koszty pośrednie</w:t>
      </w:r>
      <w:r w:rsidR="00E828FF" w:rsidRPr="00ED6E26">
        <w:rPr>
          <w:rFonts w:asciiTheme="minorHAnsi" w:hAnsiTheme="minorHAnsi" w:cstheme="minorHAnsi"/>
          <w:i w:val="0"/>
          <w:color w:val="auto"/>
          <w:sz w:val="28"/>
          <w:szCs w:val="28"/>
        </w:rPr>
        <w:t xml:space="preserve"> (ogólne)</w:t>
      </w:r>
      <w:bookmarkEnd w:id="44"/>
    </w:p>
    <w:p w14:paraId="2355FE18" w14:textId="4D672315" w:rsidR="00A23B26" w:rsidRPr="00762814" w:rsidRDefault="00A23B26" w:rsidP="001E0D23">
      <w:pPr>
        <w:spacing w:after="120" w:line="276" w:lineRule="auto"/>
        <w:rPr>
          <w:rFonts w:cstheme="minorHAnsi"/>
          <w:sz w:val="24"/>
          <w:szCs w:val="24"/>
        </w:rPr>
      </w:pPr>
      <w:r w:rsidRPr="00762814">
        <w:rPr>
          <w:rFonts w:cstheme="minorHAnsi"/>
          <w:sz w:val="24"/>
          <w:szCs w:val="24"/>
        </w:rPr>
        <w:t xml:space="preserve">Koszty pośrednie </w:t>
      </w:r>
      <w:r w:rsidR="00EF3141" w:rsidRPr="00762814">
        <w:rPr>
          <w:rFonts w:cstheme="minorHAnsi"/>
          <w:sz w:val="24"/>
          <w:szCs w:val="24"/>
        </w:rPr>
        <w:t xml:space="preserve">modułu </w:t>
      </w:r>
      <w:r w:rsidRPr="00762814">
        <w:rPr>
          <w:rFonts w:cstheme="minorHAnsi"/>
          <w:sz w:val="24"/>
          <w:szCs w:val="24"/>
        </w:rPr>
        <w:t xml:space="preserve">stanowią koszty niezbędne do realizacji </w:t>
      </w:r>
      <w:r w:rsidR="00F76FB7" w:rsidRPr="00762814">
        <w:rPr>
          <w:rFonts w:cstheme="minorHAnsi"/>
          <w:sz w:val="24"/>
          <w:szCs w:val="24"/>
        </w:rPr>
        <w:t>modułu B+R</w:t>
      </w:r>
      <w:r w:rsidRPr="00762814">
        <w:rPr>
          <w:rFonts w:cstheme="minorHAnsi"/>
          <w:sz w:val="24"/>
          <w:szCs w:val="24"/>
        </w:rPr>
        <w:t xml:space="preserve">, </w:t>
      </w:r>
      <w:r w:rsidRPr="00762814">
        <w:rPr>
          <w:rFonts w:cstheme="minorHAnsi"/>
          <w:b/>
          <w:bCs/>
          <w:sz w:val="24"/>
          <w:szCs w:val="24"/>
        </w:rPr>
        <w:t xml:space="preserve">których nie można bezpośrednio przypisać do głównego celu </w:t>
      </w:r>
      <w:r w:rsidR="00F76FB7" w:rsidRPr="00762814">
        <w:rPr>
          <w:rFonts w:cstheme="minorHAnsi"/>
          <w:b/>
          <w:bCs/>
          <w:sz w:val="24"/>
          <w:szCs w:val="24"/>
        </w:rPr>
        <w:t>modułu B+R</w:t>
      </w:r>
      <w:r w:rsidRPr="00762814">
        <w:rPr>
          <w:rFonts w:cstheme="minorHAnsi"/>
          <w:sz w:val="24"/>
          <w:szCs w:val="24"/>
        </w:rPr>
        <w:t>, w</w:t>
      </w:r>
      <w:r w:rsidR="00503B20" w:rsidRPr="00762814">
        <w:rPr>
          <w:rFonts w:cstheme="minorHAnsi"/>
          <w:sz w:val="24"/>
          <w:szCs w:val="24"/>
        </w:rPr>
        <w:t xml:space="preserve"> </w:t>
      </w:r>
      <w:r w:rsidRPr="00762814">
        <w:rPr>
          <w:rFonts w:cstheme="minorHAnsi"/>
          <w:sz w:val="24"/>
          <w:szCs w:val="24"/>
        </w:rPr>
        <w:t xml:space="preserve">szczególności wynagrodzenia kadry zarządzającej, koszty delegacji oraz koszty administracyjne związane </w:t>
      </w:r>
      <w:r w:rsidR="00D72D78" w:rsidRPr="00762814">
        <w:rPr>
          <w:rFonts w:cstheme="minorHAnsi"/>
          <w:sz w:val="24"/>
          <w:szCs w:val="24"/>
        </w:rPr>
        <w:br/>
      </w:r>
      <w:r w:rsidRPr="00762814">
        <w:rPr>
          <w:rFonts w:cstheme="minorHAnsi"/>
          <w:sz w:val="24"/>
          <w:szCs w:val="24"/>
        </w:rPr>
        <w:t xml:space="preserve">z obsługą </w:t>
      </w:r>
      <w:r w:rsidR="00EF3141" w:rsidRPr="00762814">
        <w:rPr>
          <w:rFonts w:cstheme="minorHAnsi"/>
          <w:sz w:val="24"/>
          <w:szCs w:val="24"/>
        </w:rPr>
        <w:t>modułu</w:t>
      </w:r>
      <w:r w:rsidRPr="00762814">
        <w:rPr>
          <w:rFonts w:cstheme="minorHAnsi"/>
          <w:sz w:val="24"/>
          <w:szCs w:val="24"/>
        </w:rPr>
        <w:t>, któr</w:t>
      </w:r>
      <w:r w:rsidR="00D72D78" w:rsidRPr="00762814">
        <w:rPr>
          <w:rFonts w:cstheme="minorHAnsi"/>
          <w:sz w:val="24"/>
          <w:szCs w:val="24"/>
        </w:rPr>
        <w:t>e</w:t>
      </w:r>
      <w:r w:rsidRPr="00762814">
        <w:rPr>
          <w:rFonts w:cstheme="minorHAnsi"/>
          <w:sz w:val="24"/>
          <w:szCs w:val="24"/>
        </w:rPr>
        <w:t xml:space="preserve"> nie wymaga</w:t>
      </w:r>
      <w:r w:rsidR="00D72D78" w:rsidRPr="00762814">
        <w:rPr>
          <w:rFonts w:cstheme="minorHAnsi"/>
          <w:sz w:val="24"/>
          <w:szCs w:val="24"/>
        </w:rPr>
        <w:t>ją</w:t>
      </w:r>
      <w:r w:rsidRPr="00762814">
        <w:rPr>
          <w:rFonts w:cstheme="minorHAnsi"/>
          <w:sz w:val="24"/>
          <w:szCs w:val="24"/>
        </w:rPr>
        <w:t xml:space="preserve"> podejmowania merytorycznych działań zmierzających do osiągnięcia celu </w:t>
      </w:r>
      <w:r w:rsidR="00EF3141" w:rsidRPr="00762814">
        <w:rPr>
          <w:rFonts w:cstheme="minorHAnsi"/>
          <w:sz w:val="24"/>
          <w:szCs w:val="24"/>
        </w:rPr>
        <w:t>modułu</w:t>
      </w:r>
      <w:r w:rsidRPr="00762814">
        <w:rPr>
          <w:rFonts w:cstheme="minorHAnsi"/>
          <w:sz w:val="24"/>
          <w:szCs w:val="24"/>
        </w:rPr>
        <w:t>.</w:t>
      </w:r>
    </w:p>
    <w:p w14:paraId="3501A4C7" w14:textId="0771DA5E" w:rsidR="00A23B26" w:rsidRPr="00762814" w:rsidRDefault="00A23B26" w:rsidP="00762814">
      <w:pPr>
        <w:spacing w:after="120" w:line="276" w:lineRule="auto"/>
        <w:rPr>
          <w:rFonts w:cstheme="minorHAnsi"/>
          <w:sz w:val="24"/>
          <w:szCs w:val="24"/>
        </w:rPr>
      </w:pPr>
      <w:r w:rsidRPr="00762814">
        <w:rPr>
          <w:rFonts w:cstheme="minorHAnsi"/>
          <w:sz w:val="24"/>
          <w:szCs w:val="24"/>
        </w:rPr>
        <w:t xml:space="preserve">W ramach kosztów pośrednich finansowane są </w:t>
      </w:r>
      <w:r w:rsidR="00F13CC0" w:rsidRPr="00762814">
        <w:rPr>
          <w:rFonts w:cstheme="minorHAnsi"/>
          <w:sz w:val="24"/>
          <w:szCs w:val="24"/>
        </w:rPr>
        <w:t>koszty ogólne</w:t>
      </w:r>
      <w:r w:rsidRPr="00762814">
        <w:rPr>
          <w:rFonts w:cstheme="minorHAnsi"/>
          <w:sz w:val="24"/>
          <w:szCs w:val="24"/>
        </w:rPr>
        <w:t xml:space="preserve">, które nie </w:t>
      </w:r>
      <w:r w:rsidR="00292D22" w:rsidRPr="00762814">
        <w:rPr>
          <w:rFonts w:cstheme="minorHAnsi"/>
          <w:sz w:val="24"/>
          <w:szCs w:val="24"/>
        </w:rPr>
        <w:t>kwalifikują się do wsparcia w ramach</w:t>
      </w:r>
      <w:r w:rsidRPr="00762814">
        <w:rPr>
          <w:rFonts w:cstheme="minorHAnsi"/>
          <w:sz w:val="24"/>
          <w:szCs w:val="24"/>
        </w:rPr>
        <w:t xml:space="preserve"> pozostałych kategorii. </w:t>
      </w:r>
    </w:p>
    <w:p w14:paraId="1B1B39C4" w14:textId="08B9B7AC" w:rsidR="00A23B26" w:rsidRPr="00762814" w:rsidRDefault="00A23B26" w:rsidP="00762814">
      <w:pPr>
        <w:spacing w:after="120" w:line="276" w:lineRule="auto"/>
        <w:rPr>
          <w:rFonts w:cstheme="minorHAnsi"/>
          <w:b/>
          <w:bCs/>
          <w:sz w:val="24"/>
          <w:szCs w:val="24"/>
        </w:rPr>
      </w:pPr>
      <w:r w:rsidRPr="00762814">
        <w:rPr>
          <w:rFonts w:cstheme="minorHAnsi"/>
          <w:b/>
          <w:bCs/>
          <w:sz w:val="24"/>
          <w:szCs w:val="24"/>
        </w:rPr>
        <w:t>Koszty pośrednie rozliczane są metodą ryczałtową i stanowią 25% kwalifikowalnych kosztów bezpośrednich</w:t>
      </w:r>
      <w:r w:rsidR="00925067" w:rsidRPr="00762814">
        <w:rPr>
          <w:rFonts w:cstheme="minorHAnsi"/>
          <w:b/>
          <w:bCs/>
          <w:sz w:val="24"/>
          <w:szCs w:val="24"/>
        </w:rPr>
        <w:t xml:space="preserve"> dotyczących modułu B+R</w:t>
      </w:r>
      <w:r w:rsidR="006E3B8C" w:rsidRPr="00762814">
        <w:rPr>
          <w:rFonts w:cstheme="minorHAnsi"/>
          <w:b/>
          <w:bCs/>
          <w:sz w:val="24"/>
          <w:szCs w:val="24"/>
        </w:rPr>
        <w:t xml:space="preserve"> z wyjątkiem kosztów usług zewnętrznych (podwykonawstwo)</w:t>
      </w:r>
      <w:r w:rsidR="00560F48" w:rsidRPr="00762814">
        <w:rPr>
          <w:rFonts w:cstheme="minorHAnsi"/>
          <w:b/>
          <w:bCs/>
          <w:sz w:val="24"/>
          <w:szCs w:val="24"/>
        </w:rPr>
        <w:t>.</w:t>
      </w:r>
    </w:p>
    <w:p w14:paraId="7E83D503" w14:textId="6CA32D85" w:rsidR="00A23B26" w:rsidRPr="00762814" w:rsidRDefault="00A23B26" w:rsidP="00762814">
      <w:pPr>
        <w:spacing w:after="120" w:line="276" w:lineRule="auto"/>
        <w:jc w:val="center"/>
        <w:rPr>
          <w:rFonts w:cstheme="minorHAnsi"/>
          <w:b/>
          <w:bCs/>
          <w:i/>
          <w:iCs/>
          <w:sz w:val="24"/>
          <w:szCs w:val="24"/>
        </w:rPr>
      </w:pPr>
      <w:r w:rsidRPr="00762814">
        <w:rPr>
          <w:rFonts w:cstheme="minorHAnsi"/>
          <w:b/>
          <w:bCs/>
          <w:i/>
          <w:iCs/>
          <w:sz w:val="24"/>
          <w:szCs w:val="24"/>
        </w:rPr>
        <w:t xml:space="preserve">Koszty pośrednie </w:t>
      </w:r>
      <w:r w:rsidR="00380744" w:rsidRPr="00762814">
        <w:rPr>
          <w:rFonts w:cstheme="minorHAnsi"/>
          <w:b/>
          <w:bCs/>
          <w:i/>
          <w:iCs/>
          <w:sz w:val="24"/>
          <w:szCs w:val="24"/>
        </w:rPr>
        <w:t>(ogólne)</w:t>
      </w:r>
      <w:r w:rsidR="00D72D78" w:rsidRPr="00762814">
        <w:rPr>
          <w:rFonts w:cstheme="minorHAnsi"/>
          <w:b/>
          <w:bCs/>
          <w:i/>
          <w:iCs/>
          <w:sz w:val="24"/>
          <w:szCs w:val="24"/>
        </w:rPr>
        <w:t xml:space="preserve"> </w:t>
      </w:r>
      <w:r w:rsidRPr="00762814">
        <w:rPr>
          <w:rFonts w:cstheme="minorHAnsi"/>
          <w:b/>
          <w:bCs/>
          <w:i/>
          <w:iCs/>
          <w:sz w:val="24"/>
          <w:szCs w:val="24"/>
        </w:rPr>
        <w:t>= [(</w:t>
      </w:r>
      <w:r w:rsidR="00EF3141" w:rsidRPr="00762814">
        <w:rPr>
          <w:rFonts w:cstheme="minorHAnsi"/>
          <w:b/>
          <w:bCs/>
          <w:i/>
          <w:iCs/>
          <w:sz w:val="24"/>
          <w:szCs w:val="24"/>
        </w:rPr>
        <w:t>P</w:t>
      </w:r>
      <w:r w:rsidR="00380744" w:rsidRPr="00762814">
        <w:rPr>
          <w:rFonts w:cstheme="minorHAnsi"/>
          <w:b/>
          <w:bCs/>
          <w:i/>
          <w:iCs/>
          <w:sz w:val="24"/>
          <w:szCs w:val="24"/>
        </w:rPr>
        <w:t>ersonel</w:t>
      </w:r>
      <w:r w:rsidR="00EF3141" w:rsidRPr="00762814">
        <w:rPr>
          <w:rFonts w:cstheme="minorHAnsi"/>
          <w:b/>
          <w:bCs/>
          <w:i/>
          <w:iCs/>
          <w:sz w:val="24"/>
          <w:szCs w:val="24"/>
        </w:rPr>
        <w:t xml:space="preserve"> projektu </w:t>
      </w:r>
      <w:r w:rsidR="002977A1" w:rsidRPr="00762814">
        <w:rPr>
          <w:rFonts w:cstheme="minorHAnsi"/>
          <w:b/>
          <w:bCs/>
          <w:i/>
          <w:iCs/>
          <w:sz w:val="24"/>
          <w:szCs w:val="24"/>
        </w:rPr>
        <w:t xml:space="preserve">+ </w:t>
      </w:r>
      <w:r w:rsidR="00380744" w:rsidRPr="00762814">
        <w:rPr>
          <w:rFonts w:cstheme="minorHAnsi"/>
          <w:b/>
          <w:bCs/>
          <w:i/>
          <w:iCs/>
          <w:sz w:val="24"/>
          <w:szCs w:val="24"/>
        </w:rPr>
        <w:t>Amortyzacja</w:t>
      </w:r>
      <w:r w:rsidR="00EF3141" w:rsidRPr="00762814">
        <w:rPr>
          <w:rFonts w:cstheme="minorHAnsi"/>
          <w:b/>
          <w:bCs/>
          <w:i/>
          <w:iCs/>
          <w:sz w:val="24"/>
          <w:szCs w:val="24"/>
        </w:rPr>
        <w:t xml:space="preserve"> </w:t>
      </w:r>
      <w:r w:rsidR="006516E6" w:rsidRPr="00762814">
        <w:rPr>
          <w:rFonts w:cstheme="minorHAnsi"/>
          <w:b/>
          <w:bCs/>
          <w:i/>
          <w:iCs/>
          <w:sz w:val="24"/>
          <w:szCs w:val="24"/>
        </w:rPr>
        <w:t xml:space="preserve">(aparatura i sprzęt) </w:t>
      </w:r>
      <w:r w:rsidR="00380744" w:rsidRPr="00762814">
        <w:rPr>
          <w:rFonts w:cstheme="minorHAnsi"/>
          <w:b/>
          <w:bCs/>
          <w:i/>
          <w:iCs/>
          <w:sz w:val="24"/>
          <w:szCs w:val="24"/>
        </w:rPr>
        <w:t>+</w:t>
      </w:r>
      <w:r w:rsidR="00EF3141" w:rsidRPr="00762814">
        <w:rPr>
          <w:rFonts w:cstheme="minorHAnsi"/>
          <w:b/>
          <w:bCs/>
          <w:i/>
          <w:iCs/>
          <w:sz w:val="24"/>
          <w:szCs w:val="24"/>
        </w:rPr>
        <w:t xml:space="preserve"> </w:t>
      </w:r>
      <w:r w:rsidR="006516E6" w:rsidRPr="00762814">
        <w:rPr>
          <w:rFonts w:cstheme="minorHAnsi"/>
          <w:b/>
          <w:bCs/>
          <w:i/>
          <w:iCs/>
          <w:sz w:val="24"/>
          <w:szCs w:val="24"/>
        </w:rPr>
        <w:t xml:space="preserve">Amortyzacja (budynki) + Nieruchomości + </w:t>
      </w:r>
      <w:r w:rsidR="00380744" w:rsidRPr="00762814">
        <w:rPr>
          <w:rFonts w:cstheme="minorHAnsi"/>
          <w:b/>
          <w:bCs/>
          <w:i/>
          <w:iCs/>
          <w:sz w:val="24"/>
          <w:szCs w:val="24"/>
        </w:rPr>
        <w:t>Wartości niematerialne i prawne</w:t>
      </w:r>
      <w:r w:rsidR="00EF3141" w:rsidRPr="00762814">
        <w:rPr>
          <w:rFonts w:cstheme="minorHAnsi"/>
          <w:b/>
          <w:bCs/>
          <w:i/>
          <w:iCs/>
          <w:sz w:val="24"/>
          <w:szCs w:val="24"/>
        </w:rPr>
        <w:t xml:space="preserve"> </w:t>
      </w:r>
      <w:r w:rsidR="00380744" w:rsidRPr="00762814">
        <w:rPr>
          <w:rFonts w:cstheme="minorHAnsi"/>
          <w:b/>
          <w:bCs/>
          <w:i/>
          <w:iCs/>
          <w:sz w:val="24"/>
          <w:szCs w:val="24"/>
        </w:rPr>
        <w:t>+</w:t>
      </w:r>
      <w:r w:rsidR="00EF3141" w:rsidRPr="00762814">
        <w:rPr>
          <w:rFonts w:cstheme="minorHAnsi"/>
          <w:b/>
          <w:bCs/>
          <w:i/>
          <w:iCs/>
          <w:sz w:val="24"/>
          <w:szCs w:val="24"/>
        </w:rPr>
        <w:t xml:space="preserve"> </w:t>
      </w:r>
      <w:r w:rsidR="00380744" w:rsidRPr="00762814">
        <w:rPr>
          <w:rFonts w:cstheme="minorHAnsi"/>
          <w:b/>
          <w:bCs/>
          <w:i/>
          <w:iCs/>
          <w:sz w:val="24"/>
          <w:szCs w:val="24"/>
        </w:rPr>
        <w:t>Dostawy</w:t>
      </w:r>
      <w:r w:rsidR="00EF3141" w:rsidRPr="00762814">
        <w:rPr>
          <w:rFonts w:cstheme="minorHAnsi"/>
          <w:b/>
          <w:bCs/>
          <w:i/>
          <w:iCs/>
          <w:sz w:val="24"/>
          <w:szCs w:val="24"/>
        </w:rPr>
        <w:t xml:space="preserve"> (inne niż środki trwałe) </w:t>
      </w:r>
      <w:r w:rsidR="00380744" w:rsidRPr="00762814">
        <w:rPr>
          <w:rFonts w:cstheme="minorHAnsi"/>
          <w:b/>
          <w:bCs/>
          <w:i/>
          <w:iCs/>
          <w:sz w:val="24"/>
          <w:szCs w:val="24"/>
        </w:rPr>
        <w:t>+</w:t>
      </w:r>
      <w:r w:rsidR="00EF3141" w:rsidRPr="00762814">
        <w:rPr>
          <w:rFonts w:cstheme="minorHAnsi"/>
          <w:b/>
          <w:bCs/>
          <w:i/>
          <w:iCs/>
          <w:sz w:val="24"/>
          <w:szCs w:val="24"/>
        </w:rPr>
        <w:t xml:space="preserve"> </w:t>
      </w:r>
      <w:r w:rsidR="00380744" w:rsidRPr="00762814">
        <w:rPr>
          <w:rFonts w:cstheme="minorHAnsi"/>
          <w:b/>
          <w:bCs/>
          <w:i/>
          <w:iCs/>
          <w:sz w:val="24"/>
          <w:szCs w:val="24"/>
        </w:rPr>
        <w:t>Usługi zewnętrzne(koszty operacyjne)</w:t>
      </w:r>
      <w:r w:rsidR="00B462EB" w:rsidRPr="00762814">
        <w:rPr>
          <w:rFonts w:cstheme="minorHAnsi"/>
          <w:b/>
          <w:bCs/>
          <w:i/>
          <w:iCs/>
          <w:sz w:val="24"/>
          <w:szCs w:val="24"/>
        </w:rPr>
        <w:t>]</w:t>
      </w:r>
      <w:r w:rsidRPr="00762814">
        <w:rPr>
          <w:rFonts w:cstheme="minorHAnsi"/>
          <w:b/>
          <w:bCs/>
          <w:i/>
          <w:iCs/>
          <w:sz w:val="24"/>
          <w:szCs w:val="24"/>
        </w:rPr>
        <w:t xml:space="preserve"> * 25%</w:t>
      </w:r>
    </w:p>
    <w:p w14:paraId="751C7E3E" w14:textId="77777777" w:rsidR="004B00B0" w:rsidRPr="00762814" w:rsidRDefault="004B00B0" w:rsidP="00762814">
      <w:pPr>
        <w:spacing w:after="120" w:line="276" w:lineRule="auto"/>
        <w:jc w:val="center"/>
        <w:rPr>
          <w:rFonts w:cstheme="minorHAnsi"/>
          <w:b/>
          <w:bCs/>
          <w:sz w:val="24"/>
          <w:szCs w:val="24"/>
        </w:rPr>
      </w:pPr>
      <w:r w:rsidRPr="00762814">
        <w:rPr>
          <w:rFonts w:cstheme="minorHAnsi"/>
          <w:b/>
          <w:bCs/>
          <w:sz w:val="24"/>
          <w:szCs w:val="24"/>
        </w:rPr>
        <w:t>Przy kalkulacji kosztów pośrednich nie są brane pod uwagę koszty bezpośrednie podwykonawstwa.</w:t>
      </w:r>
    </w:p>
    <w:p w14:paraId="037F6B08" w14:textId="12AD288E" w:rsidR="00A23B26" w:rsidRPr="00762814" w:rsidRDefault="00A23B26" w:rsidP="00762814">
      <w:pPr>
        <w:spacing w:after="120" w:line="276" w:lineRule="auto"/>
        <w:rPr>
          <w:rFonts w:cstheme="minorHAnsi"/>
          <w:sz w:val="24"/>
          <w:szCs w:val="24"/>
        </w:rPr>
      </w:pPr>
      <w:r w:rsidRPr="00762814">
        <w:rPr>
          <w:rFonts w:cstheme="minorHAnsi"/>
          <w:sz w:val="24"/>
          <w:szCs w:val="24"/>
        </w:rPr>
        <w:t xml:space="preserve">Obliczone w ten sposób koszty traktowane są jako wydatki poniesione. </w:t>
      </w:r>
      <w:r w:rsidR="00F76FB7" w:rsidRPr="00762814">
        <w:rPr>
          <w:rFonts w:cstheme="minorHAnsi"/>
          <w:sz w:val="24"/>
          <w:szCs w:val="24"/>
        </w:rPr>
        <w:t>N</w:t>
      </w:r>
      <w:r w:rsidRPr="00762814">
        <w:rPr>
          <w:rFonts w:cstheme="minorHAnsi"/>
          <w:sz w:val="24"/>
          <w:szCs w:val="24"/>
        </w:rPr>
        <w:t>ie ma obowiązku zbierania ani opisywania dokumentów księgowych, aby potwierdzić, że poniesione zostały wydatki na koszty pośrednie.</w:t>
      </w:r>
    </w:p>
    <w:p w14:paraId="4A39D617" w14:textId="2A53DA0B" w:rsidR="00A23B26" w:rsidRPr="00762814" w:rsidRDefault="00A23B26" w:rsidP="00762814">
      <w:pPr>
        <w:spacing w:after="120" w:line="276" w:lineRule="auto"/>
        <w:rPr>
          <w:rFonts w:cstheme="minorHAnsi"/>
          <w:sz w:val="24"/>
          <w:szCs w:val="24"/>
        </w:rPr>
      </w:pPr>
      <w:r w:rsidRPr="00762814">
        <w:rPr>
          <w:rFonts w:cstheme="minorHAnsi"/>
          <w:sz w:val="24"/>
          <w:szCs w:val="24"/>
        </w:rPr>
        <w:t xml:space="preserve">Przykładowe koszty pośrednie </w:t>
      </w:r>
      <w:r w:rsidR="00E828FF" w:rsidRPr="00762814">
        <w:rPr>
          <w:rFonts w:cstheme="minorHAnsi"/>
          <w:sz w:val="24"/>
          <w:szCs w:val="24"/>
        </w:rPr>
        <w:t xml:space="preserve">(ogólne) </w:t>
      </w:r>
      <w:r w:rsidRPr="00762814">
        <w:rPr>
          <w:rFonts w:cstheme="minorHAnsi"/>
          <w:sz w:val="24"/>
          <w:szCs w:val="24"/>
        </w:rPr>
        <w:t xml:space="preserve">mogą </w:t>
      </w:r>
      <w:r w:rsidR="00634D8D" w:rsidRPr="00762814">
        <w:rPr>
          <w:rFonts w:cstheme="minorHAnsi"/>
          <w:sz w:val="24"/>
          <w:szCs w:val="24"/>
        </w:rPr>
        <w:t>obejm</w:t>
      </w:r>
      <w:r w:rsidR="00DC1ADC" w:rsidRPr="00762814">
        <w:rPr>
          <w:rFonts w:cstheme="minorHAnsi"/>
          <w:sz w:val="24"/>
          <w:szCs w:val="24"/>
        </w:rPr>
        <w:t>ować</w:t>
      </w:r>
      <w:r w:rsidRPr="00762814">
        <w:rPr>
          <w:rFonts w:cstheme="minorHAnsi"/>
          <w:sz w:val="24"/>
          <w:szCs w:val="24"/>
        </w:rPr>
        <w:t>:</w:t>
      </w:r>
    </w:p>
    <w:p w14:paraId="27D7156F" w14:textId="75A9382A"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 xml:space="preserve">koszty koordynatora lub kierownika projektu oraz innego personelu zaangażowanego w zarządzanie, rozliczanie, monitorowanie projektu lub prowadzenie innych działań administracyjnych w projekcie, </w:t>
      </w:r>
    </w:p>
    <w:p w14:paraId="015E1E71" w14:textId="65BCE018"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 xml:space="preserve">koszty personelu obsługowego na potrzeby funkcjonowania jednostki, </w:t>
      </w:r>
    </w:p>
    <w:p w14:paraId="12C283BC" w14:textId="2D4CA89A"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koszty utrzymania powierzchni biurowych związanych z obsługą administracyjną projektu</w:t>
      </w:r>
      <w:r w:rsidR="006850EC" w:rsidRPr="00762814">
        <w:rPr>
          <w:rFonts w:cstheme="minorHAnsi"/>
          <w:sz w:val="24"/>
          <w:szCs w:val="24"/>
        </w:rPr>
        <w:t xml:space="preserve"> (czynsz, najem, opłaty administracyjne)</w:t>
      </w:r>
      <w:r w:rsidRPr="00762814">
        <w:rPr>
          <w:rFonts w:cstheme="minorHAnsi"/>
          <w:sz w:val="24"/>
          <w:szCs w:val="24"/>
        </w:rPr>
        <w:t>,</w:t>
      </w:r>
    </w:p>
    <w:p w14:paraId="4B447CFE" w14:textId="1B74F346"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opłaty za energię elektryczną, cieplną, gazową i wodę, opłaty przesyłowe, opłaty za odprowadzanie ścieków w zakresie związanym z obsługą administracyjną projektu,</w:t>
      </w:r>
    </w:p>
    <w:p w14:paraId="1D7BFC5F" w14:textId="160FDB4D"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koszty usług pocztowych, telefonicznych, internetowych związanych z obsługą projektu,</w:t>
      </w:r>
    </w:p>
    <w:p w14:paraId="388D8D72" w14:textId="7B7A82A6"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koszty usług powielania dokumentów związanych z obsługą projektu,</w:t>
      </w:r>
    </w:p>
    <w:p w14:paraId="29782C73" w14:textId="78F3CE7D"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koszty materiałów biurowych i artykułów piśmienniczych związanych z obsługą projektu,</w:t>
      </w:r>
    </w:p>
    <w:p w14:paraId="024E100C" w14:textId="620EE25F" w:rsidR="00A23B26"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koszty ochrony</w:t>
      </w:r>
      <w:r w:rsidR="00704BA0" w:rsidRPr="00762814">
        <w:rPr>
          <w:rFonts w:cstheme="minorHAnsi"/>
          <w:sz w:val="24"/>
          <w:szCs w:val="24"/>
        </w:rPr>
        <w:t xml:space="preserve"> budynku</w:t>
      </w:r>
      <w:r w:rsidRPr="00762814">
        <w:rPr>
          <w:rFonts w:cstheme="minorHAnsi"/>
          <w:sz w:val="24"/>
          <w:szCs w:val="24"/>
        </w:rPr>
        <w:t>,</w:t>
      </w:r>
    </w:p>
    <w:p w14:paraId="4BD428A8" w14:textId="77777777" w:rsidR="006C3A52" w:rsidRPr="00762814" w:rsidRDefault="00A23B26" w:rsidP="00BF47B4">
      <w:pPr>
        <w:pStyle w:val="Akapitzlist"/>
        <w:numPr>
          <w:ilvl w:val="0"/>
          <w:numId w:val="28"/>
        </w:numPr>
        <w:spacing w:after="120" w:line="276" w:lineRule="auto"/>
        <w:rPr>
          <w:rFonts w:cstheme="minorHAnsi"/>
          <w:sz w:val="24"/>
          <w:szCs w:val="24"/>
        </w:rPr>
      </w:pPr>
      <w:r w:rsidRPr="00762814">
        <w:rPr>
          <w:rFonts w:cstheme="minorHAnsi"/>
          <w:sz w:val="24"/>
          <w:szCs w:val="24"/>
        </w:rPr>
        <w:t>koszty sprzątania pomieszczeń związanych z obsługą projektu</w:t>
      </w:r>
      <w:r w:rsidR="006C3A52" w:rsidRPr="00762814">
        <w:rPr>
          <w:rFonts w:cstheme="minorHAnsi"/>
          <w:sz w:val="24"/>
          <w:szCs w:val="24"/>
        </w:rPr>
        <w:t>,</w:t>
      </w:r>
    </w:p>
    <w:p w14:paraId="07CA4ECA" w14:textId="5F56D44F" w:rsidR="00A23B26" w:rsidRPr="00762814" w:rsidRDefault="006C3A52" w:rsidP="00BF47B4">
      <w:pPr>
        <w:pStyle w:val="Akapitzlist"/>
        <w:numPr>
          <w:ilvl w:val="0"/>
          <w:numId w:val="28"/>
        </w:numPr>
        <w:spacing w:after="120" w:line="276" w:lineRule="auto"/>
        <w:rPr>
          <w:rFonts w:cstheme="minorHAnsi"/>
          <w:sz w:val="24"/>
          <w:szCs w:val="24"/>
        </w:rPr>
      </w:pPr>
      <w:r w:rsidRPr="00762814">
        <w:rPr>
          <w:rFonts w:cstheme="minorHAnsi"/>
          <w:sz w:val="24"/>
          <w:szCs w:val="24"/>
        </w:rPr>
        <w:t>koszty informacji i promocji</w:t>
      </w:r>
      <w:r w:rsidR="00DC1ADC" w:rsidRPr="00762814">
        <w:rPr>
          <w:rFonts w:cstheme="minorHAnsi"/>
          <w:sz w:val="24"/>
          <w:szCs w:val="24"/>
        </w:rPr>
        <w:t>.</w:t>
      </w:r>
      <w:r w:rsidRPr="00762814">
        <w:rPr>
          <w:rFonts w:cstheme="minorHAnsi"/>
          <w:sz w:val="24"/>
          <w:szCs w:val="24"/>
        </w:rPr>
        <w:t xml:space="preserve"> </w:t>
      </w:r>
    </w:p>
    <w:p w14:paraId="211BB3A4" w14:textId="24774CA4" w:rsidR="00155CD5" w:rsidRPr="00762814" w:rsidRDefault="00155CD5" w:rsidP="00762814">
      <w:pPr>
        <w:spacing w:line="276" w:lineRule="auto"/>
        <w:rPr>
          <w:rFonts w:cstheme="minorHAnsi"/>
          <w:sz w:val="24"/>
          <w:szCs w:val="24"/>
        </w:rPr>
      </w:pPr>
      <w:r w:rsidRPr="00762814">
        <w:rPr>
          <w:rFonts w:cstheme="minorHAnsi"/>
          <w:sz w:val="24"/>
          <w:szCs w:val="24"/>
        </w:rPr>
        <w:br w:type="page"/>
      </w:r>
    </w:p>
    <w:p w14:paraId="076E866D" w14:textId="29686141" w:rsidR="00A23B26" w:rsidRPr="00930477" w:rsidRDefault="00722C21" w:rsidP="00BF47B4">
      <w:pPr>
        <w:pStyle w:val="Nagwek2"/>
        <w:numPr>
          <w:ilvl w:val="0"/>
          <w:numId w:val="38"/>
        </w:numPr>
        <w:spacing w:line="276" w:lineRule="auto"/>
        <w:ind w:left="714" w:hanging="357"/>
        <w:rPr>
          <w:rFonts w:asciiTheme="minorHAnsi" w:hAnsiTheme="minorHAnsi" w:cstheme="minorHAnsi"/>
          <w:b/>
          <w:color w:val="auto"/>
          <w:sz w:val="36"/>
          <w:szCs w:val="36"/>
        </w:rPr>
      </w:pPr>
      <w:bookmarkStart w:id="45" w:name="_Toc148716378"/>
      <w:r w:rsidRPr="00930477">
        <w:rPr>
          <w:rFonts w:asciiTheme="minorHAnsi" w:hAnsiTheme="minorHAnsi" w:cstheme="minorHAnsi"/>
          <w:b/>
          <w:color w:val="auto"/>
          <w:sz w:val="36"/>
          <w:szCs w:val="36"/>
        </w:rPr>
        <w:t xml:space="preserve">Wydatki kwalifikowalne modułu </w:t>
      </w:r>
      <w:bookmarkStart w:id="46" w:name="_Hlk117082877"/>
      <w:r w:rsidRPr="00930477">
        <w:rPr>
          <w:rFonts w:asciiTheme="minorHAnsi" w:hAnsiTheme="minorHAnsi" w:cstheme="minorHAnsi"/>
          <w:b/>
          <w:color w:val="auto"/>
          <w:sz w:val="36"/>
          <w:szCs w:val="36"/>
        </w:rPr>
        <w:t>wdrożenie innowacji</w:t>
      </w:r>
      <w:bookmarkEnd w:id="45"/>
    </w:p>
    <w:p w14:paraId="0AC3E669" w14:textId="63A1C00C" w:rsidR="00A23B26" w:rsidRPr="00930477" w:rsidRDefault="00B2348C" w:rsidP="00930477">
      <w:pPr>
        <w:pStyle w:val="Nagwek3"/>
        <w:spacing w:before="360" w:line="276" w:lineRule="auto"/>
        <w:rPr>
          <w:rFonts w:asciiTheme="minorHAnsi" w:hAnsiTheme="minorHAnsi" w:cstheme="minorHAnsi"/>
          <w:color w:val="auto"/>
          <w:sz w:val="32"/>
        </w:rPr>
      </w:pPr>
      <w:bookmarkStart w:id="47" w:name="_Toc148716379"/>
      <w:bookmarkStart w:id="48" w:name="_Hlk117630873"/>
      <w:bookmarkEnd w:id="46"/>
      <w:r w:rsidRPr="00930477">
        <w:rPr>
          <w:rFonts w:asciiTheme="minorHAnsi" w:hAnsiTheme="minorHAnsi" w:cstheme="minorHAnsi"/>
          <w:color w:val="auto"/>
          <w:sz w:val="32"/>
        </w:rPr>
        <w:t>4</w:t>
      </w:r>
      <w:r w:rsidR="00071C47" w:rsidRPr="00930477">
        <w:rPr>
          <w:rFonts w:asciiTheme="minorHAnsi" w:hAnsiTheme="minorHAnsi" w:cstheme="minorHAnsi"/>
          <w:color w:val="auto"/>
          <w:sz w:val="32"/>
        </w:rPr>
        <w:t xml:space="preserve">.1 </w:t>
      </w:r>
      <w:r w:rsidR="00A23B26" w:rsidRPr="00930477">
        <w:rPr>
          <w:rFonts w:asciiTheme="minorHAnsi" w:hAnsiTheme="minorHAnsi" w:cstheme="minorHAnsi"/>
          <w:color w:val="auto"/>
          <w:sz w:val="32"/>
        </w:rPr>
        <w:t>Pomoc publiczna</w:t>
      </w:r>
      <w:bookmarkEnd w:id="47"/>
    </w:p>
    <w:p w14:paraId="3EBFAA2B" w14:textId="77777777" w:rsidR="004E60D7" w:rsidRPr="00762814" w:rsidRDefault="00A23B26" w:rsidP="00762814">
      <w:pPr>
        <w:spacing w:after="120" w:line="276" w:lineRule="auto"/>
        <w:rPr>
          <w:rFonts w:cstheme="minorHAnsi"/>
          <w:sz w:val="24"/>
          <w:szCs w:val="24"/>
        </w:rPr>
      </w:pPr>
      <w:r w:rsidRPr="00762814">
        <w:rPr>
          <w:rFonts w:cstheme="minorHAnsi"/>
          <w:sz w:val="24"/>
          <w:szCs w:val="24"/>
        </w:rPr>
        <w:t>Wnioskodawca może uzyskać wsparcie w module na podstawie</w:t>
      </w:r>
      <w:r w:rsidR="004E60D7" w:rsidRPr="00762814">
        <w:rPr>
          <w:rFonts w:cstheme="minorHAnsi"/>
          <w:sz w:val="24"/>
          <w:szCs w:val="24"/>
        </w:rPr>
        <w:t>:</w:t>
      </w:r>
    </w:p>
    <w:p w14:paraId="5EB84A17" w14:textId="4F77BE27" w:rsidR="00A23B26" w:rsidRPr="00762814" w:rsidRDefault="00B668DA" w:rsidP="00BF47B4">
      <w:pPr>
        <w:pStyle w:val="Akapitzlist"/>
        <w:numPr>
          <w:ilvl w:val="0"/>
          <w:numId w:val="7"/>
        </w:numPr>
        <w:spacing w:after="120" w:line="276" w:lineRule="auto"/>
        <w:rPr>
          <w:rFonts w:cstheme="minorHAnsi"/>
          <w:sz w:val="24"/>
          <w:szCs w:val="24"/>
        </w:rPr>
      </w:pPr>
      <w:r w:rsidRPr="00762814">
        <w:rPr>
          <w:rFonts w:cstheme="minorHAnsi"/>
          <w:bCs/>
          <w:sz w:val="24"/>
          <w:szCs w:val="24"/>
        </w:rPr>
        <w:t xml:space="preserve">Rozporządzenia </w:t>
      </w:r>
      <w:r w:rsidR="008209D2" w:rsidRPr="00762814">
        <w:rPr>
          <w:rFonts w:cstheme="minorHAnsi"/>
          <w:bCs/>
          <w:sz w:val="24"/>
          <w:szCs w:val="24"/>
        </w:rPr>
        <w:t xml:space="preserve">Komisji (UE) nr </w:t>
      </w:r>
      <w:r w:rsidR="006870D8" w:rsidRPr="00762814">
        <w:rPr>
          <w:rFonts w:cstheme="minorHAnsi"/>
          <w:bCs/>
          <w:sz w:val="24"/>
          <w:szCs w:val="24"/>
        </w:rPr>
        <w:t>651</w:t>
      </w:r>
      <w:r w:rsidR="00292E25" w:rsidRPr="00762814">
        <w:rPr>
          <w:rFonts w:cstheme="minorHAnsi"/>
          <w:bCs/>
          <w:sz w:val="24"/>
          <w:szCs w:val="24"/>
        </w:rPr>
        <w:t>/</w:t>
      </w:r>
      <w:r w:rsidR="006870D8" w:rsidRPr="00762814">
        <w:rPr>
          <w:rFonts w:cstheme="minorHAnsi"/>
          <w:bCs/>
          <w:sz w:val="24"/>
          <w:szCs w:val="24"/>
        </w:rPr>
        <w:t>2014</w:t>
      </w:r>
      <w:r w:rsidR="00A23B26" w:rsidRPr="00762814">
        <w:rPr>
          <w:rFonts w:cstheme="minorHAnsi"/>
          <w:sz w:val="24"/>
          <w:szCs w:val="24"/>
        </w:rPr>
        <w:t xml:space="preserve"> jako: </w:t>
      </w:r>
    </w:p>
    <w:p w14:paraId="5EFF4CFD" w14:textId="43679BA0" w:rsidR="00A23B26" w:rsidRPr="00762814" w:rsidRDefault="00A23B26" w:rsidP="00BF47B4">
      <w:pPr>
        <w:pStyle w:val="Akapitzlist"/>
        <w:numPr>
          <w:ilvl w:val="1"/>
          <w:numId w:val="16"/>
        </w:numPr>
        <w:spacing w:after="120" w:line="276" w:lineRule="auto"/>
        <w:rPr>
          <w:rFonts w:cstheme="minorHAnsi"/>
          <w:sz w:val="24"/>
          <w:szCs w:val="24"/>
        </w:rPr>
      </w:pPr>
      <w:r w:rsidRPr="00762814">
        <w:rPr>
          <w:rFonts w:cstheme="minorHAnsi"/>
          <w:bCs/>
          <w:sz w:val="24"/>
          <w:szCs w:val="24"/>
        </w:rPr>
        <w:t>regionalną pomoc inwestycyjną</w:t>
      </w:r>
      <w:r w:rsidRPr="00762814">
        <w:rPr>
          <w:rFonts w:cstheme="minorHAnsi"/>
          <w:sz w:val="24"/>
          <w:szCs w:val="24"/>
        </w:rPr>
        <w:t xml:space="preserve"> </w:t>
      </w:r>
      <w:r w:rsidRPr="00762814">
        <w:rPr>
          <w:rFonts w:cstheme="minorHAnsi"/>
          <w:bCs/>
          <w:sz w:val="24"/>
          <w:szCs w:val="24"/>
        </w:rPr>
        <w:t>(art. 14</w:t>
      </w:r>
      <w:r w:rsidRPr="00762814">
        <w:rPr>
          <w:rFonts w:cstheme="minorHAnsi"/>
          <w:sz w:val="24"/>
          <w:szCs w:val="24"/>
        </w:rPr>
        <w:t>)</w:t>
      </w:r>
      <w:r w:rsidR="001F2A8A" w:rsidRPr="00762814">
        <w:rPr>
          <w:rFonts w:cstheme="minorHAnsi"/>
          <w:sz w:val="24"/>
          <w:szCs w:val="24"/>
        </w:rPr>
        <w:t>;</w:t>
      </w:r>
      <w:r w:rsidRPr="00762814">
        <w:rPr>
          <w:rFonts w:cstheme="minorHAnsi"/>
          <w:sz w:val="24"/>
          <w:szCs w:val="24"/>
        </w:rPr>
        <w:t xml:space="preserve"> </w:t>
      </w:r>
    </w:p>
    <w:p w14:paraId="033970B0" w14:textId="27ED8CA4" w:rsidR="00A23B26" w:rsidRPr="00762814" w:rsidRDefault="00A23B26" w:rsidP="00BF47B4">
      <w:pPr>
        <w:pStyle w:val="Akapitzlist"/>
        <w:numPr>
          <w:ilvl w:val="1"/>
          <w:numId w:val="16"/>
        </w:numPr>
        <w:spacing w:after="120" w:line="276" w:lineRule="auto"/>
        <w:rPr>
          <w:rFonts w:cstheme="minorHAnsi"/>
          <w:sz w:val="24"/>
          <w:szCs w:val="24"/>
        </w:rPr>
      </w:pPr>
      <w:r w:rsidRPr="00762814">
        <w:rPr>
          <w:rFonts w:cstheme="minorHAnsi"/>
          <w:bCs/>
          <w:sz w:val="24"/>
          <w:szCs w:val="24"/>
        </w:rPr>
        <w:t xml:space="preserve">pomoc na usługi doradcze na rzecz </w:t>
      </w:r>
      <w:r w:rsidRPr="00762814">
        <w:rPr>
          <w:rFonts w:cstheme="minorHAnsi"/>
          <w:sz w:val="24"/>
          <w:szCs w:val="24"/>
        </w:rPr>
        <w:t>MŚP (art. 18</w:t>
      </w:r>
      <w:r w:rsidR="006D2820" w:rsidRPr="00762814">
        <w:rPr>
          <w:rFonts w:cstheme="minorHAnsi"/>
          <w:sz w:val="24"/>
          <w:szCs w:val="24"/>
        </w:rPr>
        <w:t>)</w:t>
      </w:r>
      <w:r w:rsidR="001F2A8A" w:rsidRPr="00762814">
        <w:rPr>
          <w:rFonts w:cstheme="minorHAnsi"/>
          <w:sz w:val="24"/>
          <w:szCs w:val="24"/>
        </w:rPr>
        <w:t>;</w:t>
      </w:r>
    </w:p>
    <w:p w14:paraId="4DA4BD32" w14:textId="5A26DAFA" w:rsidR="00A23B26" w:rsidRPr="00762814" w:rsidRDefault="00A23B26" w:rsidP="00BF47B4">
      <w:pPr>
        <w:pStyle w:val="Akapitzlist"/>
        <w:numPr>
          <w:ilvl w:val="1"/>
          <w:numId w:val="16"/>
        </w:numPr>
        <w:spacing w:after="120" w:line="276" w:lineRule="auto"/>
        <w:rPr>
          <w:rFonts w:cstheme="minorHAnsi"/>
          <w:sz w:val="24"/>
          <w:szCs w:val="24"/>
        </w:rPr>
      </w:pPr>
      <w:r w:rsidRPr="00762814">
        <w:rPr>
          <w:rFonts w:cstheme="minorHAnsi"/>
          <w:bCs/>
          <w:sz w:val="24"/>
          <w:szCs w:val="24"/>
        </w:rPr>
        <w:t>pomoc dla MŚP na wspieranie innowacyjności</w:t>
      </w:r>
      <w:r w:rsidRPr="00762814">
        <w:rPr>
          <w:rFonts w:cstheme="minorHAnsi"/>
          <w:sz w:val="24"/>
          <w:szCs w:val="24"/>
        </w:rPr>
        <w:t xml:space="preserve"> </w:t>
      </w:r>
      <w:r w:rsidRPr="00762814">
        <w:rPr>
          <w:rFonts w:cstheme="minorHAnsi"/>
          <w:bCs/>
          <w:sz w:val="24"/>
          <w:szCs w:val="24"/>
        </w:rPr>
        <w:t>(art. 28</w:t>
      </w:r>
      <w:r w:rsidR="005A4468" w:rsidRPr="00762814">
        <w:rPr>
          <w:rFonts w:cstheme="minorHAnsi"/>
          <w:sz w:val="24"/>
          <w:szCs w:val="24"/>
        </w:rPr>
        <w:t>);</w:t>
      </w:r>
    </w:p>
    <w:p w14:paraId="0DB8FF2F" w14:textId="2C2B4092" w:rsidR="00A23B26" w:rsidRPr="00762814" w:rsidRDefault="00A23B26" w:rsidP="00BF47B4">
      <w:pPr>
        <w:pStyle w:val="Akapitzlist"/>
        <w:numPr>
          <w:ilvl w:val="0"/>
          <w:numId w:val="7"/>
        </w:numPr>
        <w:spacing w:after="120" w:line="276" w:lineRule="auto"/>
        <w:rPr>
          <w:rFonts w:cstheme="minorHAnsi"/>
          <w:sz w:val="24"/>
          <w:szCs w:val="24"/>
        </w:rPr>
      </w:pPr>
      <w:r w:rsidRPr="00762814">
        <w:rPr>
          <w:rFonts w:cstheme="minorHAnsi"/>
          <w:bCs/>
          <w:sz w:val="24"/>
          <w:szCs w:val="24"/>
        </w:rPr>
        <w:t>Rozporządzenia 1407/2013 jako pomoc de minimis</w:t>
      </w:r>
      <w:r w:rsidRPr="00762814">
        <w:rPr>
          <w:rFonts w:cstheme="minorHAnsi"/>
          <w:sz w:val="24"/>
          <w:szCs w:val="24"/>
        </w:rPr>
        <w:t xml:space="preserve">. </w:t>
      </w:r>
    </w:p>
    <w:p w14:paraId="52368CCF" w14:textId="2A3365AF" w:rsidR="003167AD" w:rsidRPr="00762814" w:rsidRDefault="00B2348C" w:rsidP="00930477">
      <w:pPr>
        <w:pStyle w:val="Nagwek3"/>
        <w:spacing w:before="360" w:line="276" w:lineRule="auto"/>
        <w:rPr>
          <w:rFonts w:asciiTheme="minorHAnsi" w:hAnsiTheme="minorHAnsi" w:cstheme="minorHAnsi"/>
          <w:b/>
          <w:bCs/>
        </w:rPr>
      </w:pPr>
      <w:bookmarkStart w:id="49" w:name="_Toc148716380"/>
      <w:bookmarkEnd w:id="48"/>
      <w:r w:rsidRPr="00930477">
        <w:rPr>
          <w:rFonts w:asciiTheme="minorHAnsi" w:hAnsiTheme="minorHAnsi" w:cstheme="minorHAnsi"/>
          <w:color w:val="auto"/>
          <w:sz w:val="32"/>
        </w:rPr>
        <w:t>4</w:t>
      </w:r>
      <w:r w:rsidR="00071C47" w:rsidRPr="00930477">
        <w:rPr>
          <w:rFonts w:asciiTheme="minorHAnsi" w:hAnsiTheme="minorHAnsi" w:cstheme="minorHAnsi"/>
          <w:color w:val="auto"/>
          <w:sz w:val="32"/>
        </w:rPr>
        <w:t>.2</w:t>
      </w:r>
      <w:r w:rsidR="00841D0E" w:rsidRPr="00930477">
        <w:rPr>
          <w:rFonts w:asciiTheme="minorHAnsi" w:hAnsiTheme="minorHAnsi" w:cstheme="minorHAnsi"/>
          <w:color w:val="auto"/>
          <w:sz w:val="32"/>
        </w:rPr>
        <w:t xml:space="preserve"> </w:t>
      </w:r>
      <w:r w:rsidR="00A23B26" w:rsidRPr="00930477">
        <w:rPr>
          <w:rFonts w:asciiTheme="minorHAnsi" w:hAnsiTheme="minorHAnsi" w:cstheme="minorHAnsi"/>
          <w:color w:val="auto"/>
          <w:sz w:val="32"/>
        </w:rPr>
        <w:t>Limity</w:t>
      </w:r>
      <w:r w:rsidR="003167AD" w:rsidRPr="00930477">
        <w:rPr>
          <w:rFonts w:asciiTheme="minorHAnsi" w:hAnsiTheme="minorHAnsi" w:cstheme="minorHAnsi"/>
          <w:color w:val="auto"/>
          <w:sz w:val="32"/>
        </w:rPr>
        <w:t xml:space="preserve"> </w:t>
      </w:r>
      <w:r w:rsidR="007B2CB0" w:rsidRPr="00930477">
        <w:rPr>
          <w:rFonts w:asciiTheme="minorHAnsi" w:hAnsiTheme="minorHAnsi" w:cstheme="minorHAnsi"/>
          <w:color w:val="auto"/>
          <w:sz w:val="32"/>
        </w:rPr>
        <w:t>wydatk</w:t>
      </w:r>
      <w:r w:rsidR="003167AD" w:rsidRPr="00930477">
        <w:rPr>
          <w:rFonts w:asciiTheme="minorHAnsi" w:hAnsiTheme="minorHAnsi" w:cstheme="minorHAnsi"/>
          <w:color w:val="auto"/>
          <w:sz w:val="32"/>
        </w:rPr>
        <w:t>ów</w:t>
      </w:r>
      <w:r w:rsidR="00726439" w:rsidRPr="00930477">
        <w:rPr>
          <w:rFonts w:asciiTheme="minorHAnsi" w:hAnsiTheme="minorHAnsi" w:cstheme="minorHAnsi"/>
          <w:color w:val="auto"/>
          <w:sz w:val="32"/>
        </w:rPr>
        <w:t xml:space="preserve"> </w:t>
      </w:r>
      <w:r w:rsidR="003167AD" w:rsidRPr="00930477">
        <w:rPr>
          <w:rFonts w:asciiTheme="minorHAnsi" w:hAnsiTheme="minorHAnsi" w:cstheme="minorHAnsi"/>
          <w:color w:val="auto"/>
          <w:sz w:val="32"/>
        </w:rPr>
        <w:t>kwalifikowa</w:t>
      </w:r>
      <w:r w:rsidR="000B17FE" w:rsidRPr="00930477">
        <w:rPr>
          <w:rFonts w:asciiTheme="minorHAnsi" w:hAnsiTheme="minorHAnsi" w:cstheme="minorHAnsi"/>
          <w:color w:val="auto"/>
          <w:sz w:val="32"/>
        </w:rPr>
        <w:t>l</w:t>
      </w:r>
      <w:r w:rsidR="003167AD" w:rsidRPr="00930477">
        <w:rPr>
          <w:rFonts w:asciiTheme="minorHAnsi" w:hAnsiTheme="minorHAnsi" w:cstheme="minorHAnsi"/>
          <w:color w:val="auto"/>
          <w:sz w:val="32"/>
        </w:rPr>
        <w:t>nych w module oraz limity dofinansowania</w:t>
      </w:r>
      <w:bookmarkEnd w:id="49"/>
    </w:p>
    <w:p w14:paraId="352820AA" w14:textId="2A6798A9" w:rsidR="00537FF7" w:rsidRPr="00762814" w:rsidRDefault="00537FF7" w:rsidP="00762814">
      <w:pPr>
        <w:spacing w:after="120" w:line="276" w:lineRule="auto"/>
        <w:rPr>
          <w:rFonts w:cstheme="minorHAnsi"/>
          <w:b/>
          <w:bCs/>
          <w:sz w:val="24"/>
          <w:szCs w:val="24"/>
        </w:rPr>
      </w:pPr>
      <w:bookmarkStart w:id="50" w:name="_Hlk117083474"/>
      <w:r w:rsidRPr="00762814">
        <w:rPr>
          <w:rFonts w:cstheme="minorHAnsi"/>
          <w:sz w:val="24"/>
          <w:szCs w:val="24"/>
          <w:u w:val="single"/>
        </w:rPr>
        <w:t>Limity wynikające z przepisów pomocy publicznej</w:t>
      </w:r>
      <w:r w:rsidRPr="00762814">
        <w:rPr>
          <w:rFonts w:cstheme="minorHAnsi"/>
          <w:b/>
          <w:bCs/>
          <w:sz w:val="24"/>
          <w:szCs w:val="24"/>
        </w:rPr>
        <w:t>:</w:t>
      </w:r>
    </w:p>
    <w:p w14:paraId="62E73995" w14:textId="2039AA98" w:rsidR="00CA13E6" w:rsidRPr="00762814" w:rsidRDefault="00D66865" w:rsidP="00762814">
      <w:pPr>
        <w:spacing w:after="120" w:line="276" w:lineRule="auto"/>
        <w:rPr>
          <w:rFonts w:cstheme="minorHAnsi"/>
          <w:b/>
          <w:bCs/>
          <w:sz w:val="24"/>
          <w:szCs w:val="24"/>
        </w:rPr>
      </w:pPr>
      <w:r w:rsidRPr="00762814">
        <w:rPr>
          <w:rFonts w:cstheme="minorHAnsi"/>
          <w:b/>
          <w:bCs/>
          <w:sz w:val="24"/>
          <w:szCs w:val="24"/>
        </w:rPr>
        <w:t>I</w:t>
      </w:r>
      <w:r w:rsidR="00CA13E6" w:rsidRPr="00762814">
        <w:rPr>
          <w:rFonts w:cstheme="minorHAnsi"/>
          <w:b/>
          <w:bCs/>
          <w:sz w:val="24"/>
          <w:szCs w:val="24"/>
        </w:rPr>
        <w:t>ntensywność pomocy</w:t>
      </w:r>
      <w:r w:rsidR="00CA13E6" w:rsidRPr="00762814">
        <w:rPr>
          <w:rFonts w:cstheme="minorHAnsi"/>
          <w:sz w:val="24"/>
          <w:szCs w:val="24"/>
        </w:rPr>
        <w:t xml:space="preserve"> na </w:t>
      </w:r>
      <w:r w:rsidR="00A77E71" w:rsidRPr="00762814">
        <w:rPr>
          <w:rFonts w:cstheme="minorHAnsi"/>
          <w:sz w:val="24"/>
          <w:szCs w:val="24"/>
        </w:rPr>
        <w:t>wydatki</w:t>
      </w:r>
      <w:r w:rsidR="00CA13E6" w:rsidRPr="00762814">
        <w:rPr>
          <w:rFonts w:cstheme="minorHAnsi"/>
          <w:sz w:val="24"/>
          <w:szCs w:val="24"/>
        </w:rPr>
        <w:t xml:space="preserve"> w ramach poszczególnych przeznaczeń pomocy nie może przekroczyć:</w:t>
      </w:r>
    </w:p>
    <w:p w14:paraId="48AEE20F" w14:textId="3E9D413C" w:rsidR="0055590C" w:rsidRPr="00762814" w:rsidRDefault="00A35F6F" w:rsidP="00BF47B4">
      <w:pPr>
        <w:pStyle w:val="Akapitzlist"/>
        <w:numPr>
          <w:ilvl w:val="0"/>
          <w:numId w:val="4"/>
        </w:numPr>
        <w:spacing w:after="120" w:line="276" w:lineRule="auto"/>
        <w:rPr>
          <w:rFonts w:cstheme="minorHAnsi"/>
          <w:sz w:val="24"/>
          <w:szCs w:val="24"/>
        </w:rPr>
      </w:pPr>
      <w:bookmarkStart w:id="51" w:name="_Hlk117627901"/>
      <w:r w:rsidRPr="00762814">
        <w:rPr>
          <w:rFonts w:cstheme="minorHAnsi"/>
          <w:sz w:val="24"/>
          <w:szCs w:val="24"/>
        </w:rPr>
        <w:t xml:space="preserve">limitów intensywności wsparcia wskazanych w rozporządzeniu Rady Ministrów z dnia 14 grudnia 2021 r. w sprawie ustalenia mapy pomocy regionalnej na lata 2022-2027 (Dz. U. poz. 2422) w przypadku </w:t>
      </w:r>
      <w:r w:rsidR="00EC64B4" w:rsidRPr="00762814">
        <w:rPr>
          <w:rFonts w:cstheme="minorHAnsi"/>
          <w:b/>
          <w:bCs/>
          <w:sz w:val="24"/>
          <w:szCs w:val="24"/>
        </w:rPr>
        <w:t>Regionaln</w:t>
      </w:r>
      <w:r w:rsidRPr="00762814">
        <w:rPr>
          <w:rFonts w:cstheme="minorHAnsi"/>
          <w:b/>
          <w:bCs/>
          <w:sz w:val="24"/>
          <w:szCs w:val="24"/>
        </w:rPr>
        <w:t>ej</w:t>
      </w:r>
      <w:r w:rsidR="00EC64B4" w:rsidRPr="00762814">
        <w:rPr>
          <w:rFonts w:cstheme="minorHAnsi"/>
          <w:b/>
          <w:bCs/>
          <w:sz w:val="24"/>
          <w:szCs w:val="24"/>
        </w:rPr>
        <w:t xml:space="preserve"> pomoc</w:t>
      </w:r>
      <w:r w:rsidRPr="00762814">
        <w:rPr>
          <w:rFonts w:cstheme="minorHAnsi"/>
          <w:b/>
          <w:bCs/>
          <w:sz w:val="24"/>
          <w:szCs w:val="24"/>
        </w:rPr>
        <w:t>y</w:t>
      </w:r>
      <w:r w:rsidR="00EC64B4" w:rsidRPr="00762814">
        <w:rPr>
          <w:rFonts w:cstheme="minorHAnsi"/>
          <w:b/>
          <w:bCs/>
          <w:sz w:val="24"/>
          <w:szCs w:val="24"/>
        </w:rPr>
        <w:t xml:space="preserve"> inwestycyjn</w:t>
      </w:r>
      <w:r w:rsidRPr="00762814">
        <w:rPr>
          <w:rFonts w:cstheme="minorHAnsi"/>
          <w:b/>
          <w:bCs/>
          <w:sz w:val="24"/>
          <w:szCs w:val="24"/>
        </w:rPr>
        <w:t>ej</w:t>
      </w:r>
      <w:r w:rsidR="00D66865" w:rsidRPr="00762814">
        <w:rPr>
          <w:rFonts w:cstheme="minorHAnsi"/>
          <w:sz w:val="24"/>
          <w:szCs w:val="24"/>
        </w:rPr>
        <w:t>.</w:t>
      </w:r>
    </w:p>
    <w:p w14:paraId="760F6125" w14:textId="1A578D51" w:rsidR="00A35F6F" w:rsidRPr="00762814" w:rsidRDefault="00A35F6F" w:rsidP="00762814">
      <w:pPr>
        <w:pStyle w:val="Akapitzlist"/>
        <w:spacing w:after="120" w:line="276" w:lineRule="auto"/>
        <w:ind w:left="360"/>
        <w:rPr>
          <w:rFonts w:cstheme="minorHAnsi"/>
          <w:sz w:val="24"/>
          <w:szCs w:val="24"/>
        </w:rPr>
      </w:pPr>
      <w:r w:rsidRPr="00762814">
        <w:rPr>
          <w:rFonts w:cstheme="minorHAnsi"/>
          <w:sz w:val="24"/>
          <w:szCs w:val="24"/>
        </w:rPr>
        <w:t>Intensywność wsparcia w regionalnej pomocy inwestycyjnej w poszczególnych regionach dla poszczególnych kategorii przedsiębiorców została przedstawiona w Tabeli nr 2</w:t>
      </w:r>
      <w:r w:rsidR="00D66865" w:rsidRPr="00762814">
        <w:rPr>
          <w:rFonts w:cstheme="minorHAnsi"/>
          <w:sz w:val="24"/>
          <w:szCs w:val="24"/>
        </w:rPr>
        <w:t>;</w:t>
      </w:r>
    </w:p>
    <w:p w14:paraId="02DB7833" w14:textId="6C5F012F" w:rsidR="00A35F6F" w:rsidRPr="00762814" w:rsidRDefault="00D66865" w:rsidP="00BF47B4">
      <w:pPr>
        <w:pStyle w:val="Akapitzlist"/>
        <w:numPr>
          <w:ilvl w:val="0"/>
          <w:numId w:val="4"/>
        </w:numPr>
        <w:spacing w:after="120" w:line="276" w:lineRule="auto"/>
        <w:rPr>
          <w:rFonts w:cstheme="minorHAnsi"/>
          <w:sz w:val="24"/>
          <w:szCs w:val="24"/>
        </w:rPr>
      </w:pPr>
      <w:r w:rsidRPr="00762814">
        <w:rPr>
          <w:rFonts w:cstheme="minorHAnsi"/>
          <w:sz w:val="24"/>
          <w:szCs w:val="24"/>
        </w:rPr>
        <w:t xml:space="preserve">50% w przypadku </w:t>
      </w:r>
      <w:r w:rsidRPr="00762814">
        <w:rPr>
          <w:rFonts w:cstheme="minorHAnsi"/>
          <w:b/>
          <w:bCs/>
          <w:sz w:val="24"/>
          <w:szCs w:val="24"/>
        </w:rPr>
        <w:t>pomocy na usługi doradcze na rzecz MŚP</w:t>
      </w:r>
      <w:r w:rsidRPr="00762814">
        <w:rPr>
          <w:rFonts w:cstheme="minorHAnsi"/>
          <w:bCs/>
          <w:sz w:val="24"/>
          <w:szCs w:val="24"/>
        </w:rPr>
        <w:t>;</w:t>
      </w:r>
    </w:p>
    <w:p w14:paraId="2FEA668C" w14:textId="64C098AE" w:rsidR="00D66865" w:rsidRPr="00762814" w:rsidRDefault="00D66865" w:rsidP="00BF47B4">
      <w:pPr>
        <w:pStyle w:val="Akapitzlist"/>
        <w:numPr>
          <w:ilvl w:val="0"/>
          <w:numId w:val="4"/>
        </w:numPr>
        <w:spacing w:after="120" w:line="276" w:lineRule="auto"/>
        <w:rPr>
          <w:rFonts w:cstheme="minorHAnsi"/>
          <w:sz w:val="24"/>
          <w:szCs w:val="24"/>
        </w:rPr>
      </w:pPr>
      <w:r w:rsidRPr="00762814">
        <w:rPr>
          <w:rFonts w:cstheme="minorHAnsi"/>
          <w:sz w:val="24"/>
          <w:szCs w:val="24"/>
        </w:rPr>
        <w:t xml:space="preserve">50% w przypadku </w:t>
      </w:r>
      <w:r w:rsidRPr="00762814">
        <w:rPr>
          <w:rFonts w:cstheme="minorHAnsi"/>
          <w:b/>
          <w:bCs/>
          <w:sz w:val="24"/>
          <w:szCs w:val="24"/>
        </w:rPr>
        <w:t>pomocy dla MŚP na wspieranie innowacyjności</w:t>
      </w:r>
      <w:r w:rsidRPr="00762814">
        <w:rPr>
          <w:rFonts w:cstheme="minorHAnsi"/>
          <w:sz w:val="24"/>
          <w:szCs w:val="24"/>
        </w:rPr>
        <w:t>;</w:t>
      </w:r>
    </w:p>
    <w:p w14:paraId="77A989A0" w14:textId="77835EB4" w:rsidR="00D66865" w:rsidRPr="00762814" w:rsidRDefault="00D66865" w:rsidP="00BF47B4">
      <w:pPr>
        <w:pStyle w:val="Akapitzlist"/>
        <w:numPr>
          <w:ilvl w:val="0"/>
          <w:numId w:val="4"/>
        </w:numPr>
        <w:spacing w:after="120" w:line="276" w:lineRule="auto"/>
        <w:rPr>
          <w:rFonts w:cstheme="minorHAnsi"/>
          <w:sz w:val="24"/>
          <w:szCs w:val="24"/>
        </w:rPr>
      </w:pPr>
      <w:r w:rsidRPr="00762814">
        <w:rPr>
          <w:rFonts w:cstheme="minorHAnsi"/>
          <w:bCs/>
          <w:sz w:val="24"/>
          <w:szCs w:val="24"/>
        </w:rPr>
        <w:t xml:space="preserve">50% w przypadku </w:t>
      </w:r>
      <w:r w:rsidRPr="00762814">
        <w:rPr>
          <w:rFonts w:cstheme="minorHAnsi"/>
          <w:b/>
          <w:bCs/>
          <w:sz w:val="24"/>
          <w:szCs w:val="24"/>
        </w:rPr>
        <w:t>pomocy de minimis</w:t>
      </w:r>
      <w:r w:rsidRPr="00762814">
        <w:rPr>
          <w:rFonts w:cstheme="minorHAnsi"/>
          <w:sz w:val="24"/>
          <w:szCs w:val="24"/>
        </w:rPr>
        <w:t xml:space="preserve"> innej niż przeznaczonej na koszty zabezpieczenia umowy;</w:t>
      </w:r>
    </w:p>
    <w:p w14:paraId="53ECC11B" w14:textId="71D385A6" w:rsidR="00D66865" w:rsidRPr="00762814" w:rsidRDefault="00D66865" w:rsidP="00BF47B4">
      <w:pPr>
        <w:pStyle w:val="Akapitzlist"/>
        <w:numPr>
          <w:ilvl w:val="0"/>
          <w:numId w:val="4"/>
        </w:numPr>
        <w:spacing w:after="120" w:line="276" w:lineRule="auto"/>
        <w:rPr>
          <w:rFonts w:cstheme="minorHAnsi"/>
          <w:sz w:val="24"/>
          <w:szCs w:val="24"/>
        </w:rPr>
      </w:pPr>
      <w:r w:rsidRPr="00762814">
        <w:rPr>
          <w:rFonts w:cstheme="minorHAnsi"/>
          <w:bCs/>
          <w:sz w:val="24"/>
          <w:szCs w:val="24"/>
        </w:rPr>
        <w:t xml:space="preserve">100% w przypadku </w:t>
      </w:r>
      <w:r w:rsidRPr="00762814">
        <w:rPr>
          <w:rFonts w:cstheme="minorHAnsi"/>
          <w:b/>
          <w:bCs/>
          <w:sz w:val="24"/>
          <w:szCs w:val="24"/>
        </w:rPr>
        <w:t>pomocy de minimis</w:t>
      </w:r>
      <w:r w:rsidRPr="00762814">
        <w:rPr>
          <w:rFonts w:cstheme="minorHAnsi"/>
          <w:sz w:val="24"/>
          <w:szCs w:val="24"/>
        </w:rPr>
        <w:t xml:space="preserve"> przeznaczonej na koszty zabezpieczenia umowy</w:t>
      </w:r>
      <w:r w:rsidRPr="00762814">
        <w:rPr>
          <w:rFonts w:cstheme="minorHAnsi"/>
          <w:b/>
          <w:bCs/>
          <w:sz w:val="24"/>
          <w:szCs w:val="24"/>
        </w:rPr>
        <w:t>.</w:t>
      </w:r>
    </w:p>
    <w:p w14:paraId="5ABB2A50" w14:textId="4219E395" w:rsidR="00D72D78" w:rsidRPr="00762814" w:rsidRDefault="00D72D78" w:rsidP="00762814">
      <w:pPr>
        <w:pStyle w:val="Akapitzlist"/>
        <w:spacing w:after="120" w:line="276" w:lineRule="auto"/>
        <w:ind w:left="360"/>
        <w:rPr>
          <w:rFonts w:cstheme="minorHAnsi"/>
          <w:sz w:val="24"/>
          <w:szCs w:val="24"/>
        </w:rPr>
      </w:pPr>
    </w:p>
    <w:p w14:paraId="0D57F670" w14:textId="77777777" w:rsidR="00EA6BED" w:rsidRPr="00762814" w:rsidRDefault="00EA6BED" w:rsidP="00762814">
      <w:pPr>
        <w:spacing w:after="120" w:line="276" w:lineRule="auto"/>
        <w:rPr>
          <w:rFonts w:cstheme="minorHAnsi"/>
          <w:sz w:val="24"/>
          <w:szCs w:val="24"/>
        </w:rPr>
      </w:pPr>
      <w:r w:rsidRPr="00762814">
        <w:rPr>
          <w:rFonts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3 poprzednich lat obrotowych. </w:t>
      </w:r>
    </w:p>
    <w:p w14:paraId="0295DC91" w14:textId="77777777" w:rsidR="00EA6BED" w:rsidRPr="00762814" w:rsidRDefault="00EA6BED" w:rsidP="00762814">
      <w:pPr>
        <w:spacing w:after="120" w:line="276" w:lineRule="auto"/>
        <w:rPr>
          <w:rFonts w:cstheme="minorHAnsi"/>
          <w:sz w:val="24"/>
          <w:szCs w:val="24"/>
        </w:rPr>
      </w:pPr>
      <w:r w:rsidRPr="00762814">
        <w:rPr>
          <w:rFonts w:cstheme="minorHAnsi"/>
          <w:sz w:val="24"/>
          <w:szCs w:val="24"/>
        </w:rPr>
        <w:t>W przypadku pomocy przyznanej na dywersyfikację istniejącego zakładu MŚP lub dużym przedsiębiorcom koszty kwalifikowalne muszą przekraczać o co najmniej 200% wartość księgową ponownie wykorzystywanych aktywów, odnotowaną w roku obrotowym poprzedzającym rozpoczęcie prac.</w:t>
      </w:r>
    </w:p>
    <w:p w14:paraId="4A3B564B" w14:textId="122E3218" w:rsidR="00EA6BED" w:rsidRPr="00762814" w:rsidRDefault="00EA6BED" w:rsidP="00762814">
      <w:pPr>
        <w:spacing w:after="120" w:line="276" w:lineRule="auto"/>
        <w:rPr>
          <w:rFonts w:cstheme="minorHAnsi"/>
          <w:sz w:val="24"/>
          <w:szCs w:val="24"/>
        </w:rPr>
      </w:pPr>
      <w:r w:rsidRPr="00762814">
        <w:rPr>
          <w:rFonts w:cstheme="minorHAnsi"/>
          <w:sz w:val="24"/>
          <w:szCs w:val="24"/>
        </w:rPr>
        <w:t xml:space="preserve">Wnioskodawca jest zobowiązany do wniesienia wkładu własnego na poziomie co najmniej 25% wartości kosztów kwalifikowalnych </w:t>
      </w:r>
      <w:r w:rsidRPr="00762814">
        <w:rPr>
          <w:rFonts w:cstheme="minorHAnsi"/>
          <w:b/>
          <w:bCs/>
          <w:sz w:val="24"/>
          <w:szCs w:val="24"/>
        </w:rPr>
        <w:t>objętych dofinansowaniem w ramach regionalnej pomocy inwestycyjnej</w:t>
      </w:r>
      <w:r w:rsidRPr="00762814">
        <w:rPr>
          <w:rFonts w:cstheme="minorHAnsi"/>
          <w:sz w:val="24"/>
          <w:szCs w:val="24"/>
        </w:rPr>
        <w:t>, w formie środków finansowych wolnych od publicznego wsparcia.</w:t>
      </w:r>
    </w:p>
    <w:p w14:paraId="28EA3736" w14:textId="762AF00E" w:rsidR="00A23B26" w:rsidRPr="00930477" w:rsidRDefault="00930477" w:rsidP="00930477">
      <w:pPr>
        <w:pStyle w:val="Nagwek3"/>
        <w:spacing w:before="360" w:line="276" w:lineRule="auto"/>
        <w:rPr>
          <w:rFonts w:asciiTheme="minorHAnsi" w:hAnsiTheme="minorHAnsi" w:cstheme="minorHAnsi"/>
          <w:color w:val="auto"/>
          <w:sz w:val="32"/>
        </w:rPr>
      </w:pPr>
      <w:bookmarkStart w:id="52" w:name="_Toc148716381"/>
      <w:bookmarkEnd w:id="50"/>
      <w:bookmarkEnd w:id="51"/>
      <w:r>
        <w:rPr>
          <w:rFonts w:asciiTheme="minorHAnsi" w:hAnsiTheme="minorHAnsi" w:cstheme="minorHAnsi"/>
          <w:color w:val="auto"/>
          <w:sz w:val="32"/>
        </w:rPr>
        <w:t xml:space="preserve">4.3 </w:t>
      </w:r>
      <w:r w:rsidR="00A23B26" w:rsidRPr="00930477">
        <w:rPr>
          <w:rFonts w:asciiTheme="minorHAnsi" w:hAnsiTheme="minorHAnsi" w:cstheme="minorHAnsi"/>
          <w:color w:val="auto"/>
          <w:sz w:val="32"/>
        </w:rPr>
        <w:t xml:space="preserve">Kategorie </w:t>
      </w:r>
      <w:r w:rsidR="009D53B6" w:rsidRPr="00930477">
        <w:rPr>
          <w:rFonts w:asciiTheme="minorHAnsi" w:hAnsiTheme="minorHAnsi" w:cstheme="minorHAnsi"/>
          <w:color w:val="auto"/>
          <w:sz w:val="32"/>
        </w:rPr>
        <w:t>wydatków</w:t>
      </w:r>
      <w:r w:rsidR="00A23B26" w:rsidRPr="00930477">
        <w:rPr>
          <w:rFonts w:asciiTheme="minorHAnsi" w:hAnsiTheme="minorHAnsi" w:cstheme="minorHAnsi"/>
          <w:color w:val="auto"/>
          <w:sz w:val="32"/>
        </w:rPr>
        <w:t xml:space="preserve"> kwalifikowalnych w ramach modułu </w:t>
      </w:r>
      <w:r w:rsidR="00E10A4D" w:rsidRPr="00930477">
        <w:rPr>
          <w:rFonts w:asciiTheme="minorHAnsi" w:hAnsiTheme="minorHAnsi" w:cstheme="minorHAnsi"/>
          <w:color w:val="auto"/>
          <w:sz w:val="32"/>
        </w:rPr>
        <w:t>W</w:t>
      </w:r>
      <w:r w:rsidR="00A23B26" w:rsidRPr="00930477">
        <w:rPr>
          <w:rFonts w:asciiTheme="minorHAnsi" w:hAnsiTheme="minorHAnsi" w:cstheme="minorHAnsi"/>
          <w:color w:val="auto"/>
          <w:sz w:val="32"/>
        </w:rPr>
        <w:t>drożenie innowacji</w:t>
      </w:r>
      <w:bookmarkEnd w:id="52"/>
    </w:p>
    <w:p w14:paraId="2DC6BD01" w14:textId="77777777" w:rsidR="00164977" w:rsidRPr="00762814" w:rsidRDefault="00164977" w:rsidP="00762814">
      <w:pPr>
        <w:spacing w:line="276" w:lineRule="auto"/>
        <w:ind w:left="360"/>
        <w:rPr>
          <w:rFonts w:cstheme="minorHAnsi"/>
          <w:sz w:val="24"/>
          <w:szCs w:val="24"/>
        </w:rPr>
      </w:pPr>
    </w:p>
    <w:p w14:paraId="530ECDAA" w14:textId="6855D6B4" w:rsidR="00A23B26" w:rsidRPr="00762814" w:rsidRDefault="00A23B26" w:rsidP="00762814">
      <w:pPr>
        <w:pStyle w:val="Akapitzlist"/>
        <w:spacing w:after="120" w:line="276" w:lineRule="auto"/>
        <w:ind w:left="0"/>
        <w:rPr>
          <w:rFonts w:cstheme="minorHAnsi"/>
          <w:sz w:val="24"/>
          <w:szCs w:val="24"/>
        </w:rPr>
      </w:pPr>
      <w:r w:rsidRPr="00762814">
        <w:rPr>
          <w:rFonts w:cstheme="minorHAnsi"/>
          <w:sz w:val="24"/>
          <w:szCs w:val="24"/>
        </w:rPr>
        <w:t xml:space="preserve">W </w:t>
      </w:r>
      <w:r w:rsidRPr="00762814">
        <w:rPr>
          <w:rFonts w:cstheme="minorHAnsi"/>
          <w:b/>
          <w:bCs/>
          <w:sz w:val="24"/>
          <w:szCs w:val="24"/>
        </w:rPr>
        <w:t xml:space="preserve">ramach </w:t>
      </w:r>
      <w:r w:rsidR="00264377" w:rsidRPr="00762814">
        <w:rPr>
          <w:rFonts w:cstheme="minorHAnsi"/>
          <w:b/>
          <w:bCs/>
          <w:sz w:val="24"/>
          <w:szCs w:val="24"/>
        </w:rPr>
        <w:t>regionalnej pomocy inwestycyjnej</w:t>
      </w:r>
      <w:r w:rsidR="00264377" w:rsidRPr="00762814">
        <w:rPr>
          <w:rFonts w:cstheme="minorHAnsi"/>
          <w:sz w:val="24"/>
          <w:szCs w:val="24"/>
        </w:rPr>
        <w:t xml:space="preserve"> </w:t>
      </w:r>
      <w:r w:rsidRPr="00762814">
        <w:rPr>
          <w:rFonts w:cstheme="minorHAnsi"/>
          <w:sz w:val="24"/>
          <w:szCs w:val="24"/>
        </w:rPr>
        <w:t>kwalifikowalne są koszty</w:t>
      </w:r>
      <w:r w:rsidR="00B07FB9" w:rsidRPr="00762814">
        <w:rPr>
          <w:rFonts w:cstheme="minorHAnsi"/>
          <w:sz w:val="24"/>
          <w:szCs w:val="24"/>
        </w:rPr>
        <w:t xml:space="preserve"> </w:t>
      </w:r>
      <w:r w:rsidR="00DE7716" w:rsidRPr="00762814">
        <w:rPr>
          <w:rFonts w:cstheme="minorHAnsi"/>
          <w:sz w:val="24"/>
          <w:szCs w:val="24"/>
        </w:rPr>
        <w:t xml:space="preserve">wskazane w pkt 4.3.1 – 4.3.5 </w:t>
      </w:r>
      <w:r w:rsidR="00B07FB9" w:rsidRPr="00762814">
        <w:rPr>
          <w:rFonts w:cstheme="minorHAnsi"/>
          <w:sz w:val="24"/>
          <w:szCs w:val="24"/>
        </w:rPr>
        <w:t>związane z realizacją inwestycji początkowej</w:t>
      </w:r>
      <w:r w:rsidR="001C54D2" w:rsidRPr="00762814">
        <w:rPr>
          <w:rFonts w:cstheme="minorHAnsi"/>
          <w:sz w:val="24"/>
          <w:szCs w:val="24"/>
        </w:rPr>
        <w:t xml:space="preserve"> (</w:t>
      </w:r>
      <w:r w:rsidR="003C6472" w:rsidRPr="00762814">
        <w:rPr>
          <w:rFonts w:cstheme="minorHAnsi"/>
          <w:sz w:val="24"/>
          <w:szCs w:val="24"/>
        </w:rPr>
        <w:t xml:space="preserve">o </w:t>
      </w:r>
      <w:r w:rsidR="001C54D2" w:rsidRPr="00762814">
        <w:rPr>
          <w:rFonts w:cstheme="minorHAnsi"/>
          <w:sz w:val="24"/>
          <w:szCs w:val="24"/>
        </w:rPr>
        <w:t>której mowa w art. 2 pkt. 49a lub 51a</w:t>
      </w:r>
      <w:r w:rsidR="00993303" w:rsidRPr="00762814">
        <w:rPr>
          <w:rFonts w:cstheme="minorHAnsi"/>
          <w:sz w:val="24"/>
          <w:szCs w:val="24"/>
        </w:rPr>
        <w:t xml:space="preserve"> rozporządzenia Komisji (UE) nr 651/2014 </w:t>
      </w:r>
      <w:r w:rsidR="001C54D2" w:rsidRPr="00762814">
        <w:rPr>
          <w:rFonts w:cstheme="minorHAnsi"/>
          <w:sz w:val="24"/>
          <w:szCs w:val="24"/>
        </w:rPr>
        <w:t>)</w:t>
      </w:r>
      <w:r w:rsidRPr="00762814">
        <w:rPr>
          <w:rFonts w:cstheme="minorHAnsi"/>
          <w:sz w:val="24"/>
          <w:szCs w:val="24"/>
        </w:rPr>
        <w:t>:</w:t>
      </w:r>
    </w:p>
    <w:p w14:paraId="29852C23" w14:textId="4A6936EB" w:rsidR="00D72D78" w:rsidRPr="00ED6E26" w:rsidRDefault="005736E5" w:rsidP="005736E5">
      <w:pPr>
        <w:pStyle w:val="Nagwek4"/>
        <w:spacing w:before="120" w:line="276" w:lineRule="auto"/>
        <w:rPr>
          <w:rFonts w:asciiTheme="minorHAnsi" w:hAnsiTheme="minorHAnsi" w:cstheme="minorHAnsi"/>
          <w:i w:val="0"/>
          <w:color w:val="auto"/>
          <w:sz w:val="28"/>
          <w:szCs w:val="28"/>
        </w:rPr>
      </w:pPr>
      <w:bookmarkStart w:id="53" w:name="_Toc148716382"/>
      <w:r>
        <w:rPr>
          <w:rFonts w:asciiTheme="minorHAnsi" w:hAnsiTheme="minorHAnsi" w:cstheme="minorHAnsi"/>
          <w:i w:val="0"/>
          <w:color w:val="auto"/>
          <w:sz w:val="28"/>
          <w:szCs w:val="28"/>
        </w:rPr>
        <w:t xml:space="preserve">4.3.1 </w:t>
      </w:r>
      <w:r w:rsidR="000E41BD" w:rsidRPr="00ED6E26">
        <w:rPr>
          <w:rFonts w:asciiTheme="minorHAnsi" w:hAnsiTheme="minorHAnsi" w:cstheme="minorHAnsi"/>
          <w:i w:val="0"/>
          <w:color w:val="auto"/>
          <w:sz w:val="28"/>
          <w:szCs w:val="28"/>
        </w:rPr>
        <w:t>Grunty</w:t>
      </w:r>
      <w:bookmarkEnd w:id="53"/>
      <w:r w:rsidR="000E41BD" w:rsidRPr="00ED6E26">
        <w:rPr>
          <w:rFonts w:asciiTheme="minorHAnsi" w:hAnsiTheme="minorHAnsi" w:cstheme="minorHAnsi"/>
          <w:i w:val="0"/>
          <w:color w:val="auto"/>
          <w:sz w:val="28"/>
          <w:szCs w:val="28"/>
        </w:rPr>
        <w:t xml:space="preserve"> </w:t>
      </w:r>
    </w:p>
    <w:p w14:paraId="3F7BD200" w14:textId="5FE5E3B0" w:rsidR="000E132E" w:rsidRPr="00762814" w:rsidRDefault="00390F44" w:rsidP="00762814">
      <w:pPr>
        <w:pStyle w:val="Akapitzlist"/>
        <w:spacing w:after="120" w:line="276" w:lineRule="auto"/>
        <w:ind w:left="0"/>
        <w:rPr>
          <w:rFonts w:cstheme="minorHAnsi"/>
          <w:sz w:val="24"/>
          <w:szCs w:val="24"/>
        </w:rPr>
      </w:pPr>
      <w:r w:rsidRPr="00762814">
        <w:rPr>
          <w:rFonts w:cstheme="minorHAnsi"/>
          <w:sz w:val="24"/>
          <w:szCs w:val="24"/>
        </w:rPr>
        <w:t>W ramach tej kategorii kwalifikowalne są koszty nabycia prawa użytkowania wieczystego gruntu lub nabycia</w:t>
      </w:r>
      <w:r w:rsidR="008B1A65" w:rsidRPr="00762814">
        <w:rPr>
          <w:rFonts w:cstheme="minorHAnsi"/>
          <w:sz w:val="24"/>
          <w:szCs w:val="24"/>
        </w:rPr>
        <w:t xml:space="preserve"> gruntów</w:t>
      </w:r>
      <w:r w:rsidR="0048462B" w:rsidRPr="00762814">
        <w:rPr>
          <w:rFonts w:cstheme="minorHAnsi"/>
          <w:sz w:val="24"/>
          <w:szCs w:val="24"/>
        </w:rPr>
        <w:t>,</w:t>
      </w:r>
      <w:r w:rsidRPr="00762814">
        <w:rPr>
          <w:rFonts w:cstheme="minorHAnsi"/>
          <w:sz w:val="24"/>
          <w:szCs w:val="24"/>
        </w:rPr>
        <w:t xml:space="preserve"> </w:t>
      </w:r>
      <w:r w:rsidR="003629E7" w:rsidRPr="00762814">
        <w:rPr>
          <w:rFonts w:cstheme="minorHAnsi"/>
          <w:sz w:val="24"/>
          <w:szCs w:val="24"/>
        </w:rPr>
        <w:t>jeżeli</w:t>
      </w:r>
      <w:bookmarkStart w:id="54" w:name="_Hlk124342011"/>
      <w:r w:rsidR="00A84883" w:rsidRPr="00762814">
        <w:rPr>
          <w:rFonts w:cstheme="minorHAnsi"/>
          <w:sz w:val="24"/>
          <w:szCs w:val="24"/>
        </w:rPr>
        <w:t xml:space="preserve"> </w:t>
      </w:r>
      <w:r w:rsidR="003629E7" w:rsidRPr="00762814">
        <w:rPr>
          <w:rFonts w:cstheme="minorHAnsi"/>
          <w:sz w:val="24"/>
          <w:szCs w:val="24"/>
        </w:rPr>
        <w:t>jest</w:t>
      </w:r>
      <w:r w:rsidR="00831409" w:rsidRPr="00762814">
        <w:rPr>
          <w:rFonts w:cstheme="minorHAnsi"/>
          <w:sz w:val="24"/>
          <w:szCs w:val="24"/>
        </w:rPr>
        <w:t xml:space="preserve"> on</w:t>
      </w:r>
      <w:r w:rsidR="003629E7" w:rsidRPr="00762814">
        <w:rPr>
          <w:rFonts w:cstheme="minorHAnsi"/>
          <w:sz w:val="24"/>
          <w:szCs w:val="24"/>
        </w:rPr>
        <w:t xml:space="preserve"> niezbędn</w:t>
      </w:r>
      <w:r w:rsidR="00831409" w:rsidRPr="00762814">
        <w:rPr>
          <w:rFonts w:cstheme="minorHAnsi"/>
          <w:sz w:val="24"/>
          <w:szCs w:val="24"/>
        </w:rPr>
        <w:t>y</w:t>
      </w:r>
      <w:r w:rsidR="003629E7" w:rsidRPr="00762814">
        <w:rPr>
          <w:rFonts w:cstheme="minorHAnsi"/>
          <w:sz w:val="24"/>
          <w:szCs w:val="24"/>
        </w:rPr>
        <w:t xml:space="preserve"> do realizacji modułu</w:t>
      </w:r>
      <w:r w:rsidR="00726439" w:rsidRPr="00762814">
        <w:rPr>
          <w:rFonts w:cstheme="minorHAnsi"/>
          <w:sz w:val="24"/>
          <w:szCs w:val="24"/>
        </w:rPr>
        <w:t xml:space="preserve"> </w:t>
      </w:r>
      <w:bookmarkStart w:id="55" w:name="_Hlk124341468"/>
      <w:r w:rsidR="00726439" w:rsidRPr="00762814">
        <w:rPr>
          <w:rFonts w:cstheme="minorHAnsi"/>
          <w:sz w:val="24"/>
          <w:szCs w:val="24"/>
        </w:rPr>
        <w:t>i kwalifikowan</w:t>
      </w:r>
      <w:r w:rsidR="000B17FE" w:rsidRPr="00762814">
        <w:rPr>
          <w:rFonts w:cstheme="minorHAnsi"/>
          <w:sz w:val="24"/>
          <w:szCs w:val="24"/>
        </w:rPr>
        <w:t>y</w:t>
      </w:r>
      <w:r w:rsidR="005E1052" w:rsidRPr="00762814">
        <w:rPr>
          <w:rFonts w:cstheme="minorHAnsi"/>
          <w:sz w:val="24"/>
          <w:szCs w:val="24"/>
        </w:rPr>
        <w:t xml:space="preserve"> </w:t>
      </w:r>
      <w:r w:rsidR="00726439" w:rsidRPr="00762814">
        <w:rPr>
          <w:rFonts w:cstheme="minorHAnsi"/>
          <w:sz w:val="24"/>
          <w:szCs w:val="24"/>
        </w:rPr>
        <w:t>wyłącznie w zakresie, w jakim jest wykorzystan</w:t>
      </w:r>
      <w:r w:rsidR="00831409" w:rsidRPr="00762814">
        <w:rPr>
          <w:rFonts w:cstheme="minorHAnsi"/>
          <w:sz w:val="24"/>
          <w:szCs w:val="24"/>
        </w:rPr>
        <w:t>y</w:t>
      </w:r>
      <w:r w:rsidR="00726439" w:rsidRPr="00762814">
        <w:rPr>
          <w:rFonts w:cstheme="minorHAnsi"/>
          <w:sz w:val="24"/>
          <w:szCs w:val="24"/>
        </w:rPr>
        <w:t xml:space="preserve"> do celów realizacji</w:t>
      </w:r>
      <w:r w:rsidR="00BF438D" w:rsidRPr="00762814">
        <w:rPr>
          <w:rFonts w:cstheme="minorHAnsi"/>
          <w:sz w:val="24"/>
          <w:szCs w:val="24"/>
        </w:rPr>
        <w:t xml:space="preserve"> modułu</w:t>
      </w:r>
      <w:bookmarkEnd w:id="55"/>
      <w:r w:rsidR="00DD325C" w:rsidRPr="00762814">
        <w:rPr>
          <w:rFonts w:cstheme="minorHAnsi"/>
          <w:sz w:val="24"/>
          <w:szCs w:val="24"/>
        </w:rPr>
        <w:t>.</w:t>
      </w:r>
      <w:r w:rsidR="008B3F40" w:rsidRPr="00762814">
        <w:rPr>
          <w:rFonts w:cstheme="minorHAnsi"/>
          <w:sz w:val="24"/>
          <w:szCs w:val="24"/>
        </w:rPr>
        <w:t xml:space="preserve"> </w:t>
      </w:r>
      <w:bookmarkEnd w:id="54"/>
    </w:p>
    <w:p w14:paraId="2BB32D41" w14:textId="74C0D9BB" w:rsidR="004B7081" w:rsidRPr="00930477" w:rsidRDefault="00144301" w:rsidP="00930477">
      <w:pPr>
        <w:spacing w:line="276" w:lineRule="auto"/>
        <w:rPr>
          <w:rFonts w:cstheme="minorHAnsi"/>
          <w:sz w:val="24"/>
          <w:szCs w:val="24"/>
        </w:rPr>
      </w:pPr>
      <w:r w:rsidRPr="00762814">
        <w:rPr>
          <w:rFonts w:cstheme="minorHAnsi"/>
          <w:sz w:val="24"/>
          <w:szCs w:val="24"/>
        </w:rPr>
        <w:t>Ponadto kwalifikowalne są r</w:t>
      </w:r>
      <w:r w:rsidR="000E132E" w:rsidRPr="00762814">
        <w:rPr>
          <w:rFonts w:cstheme="minorHAnsi"/>
          <w:sz w:val="24"/>
          <w:szCs w:val="24"/>
        </w:rPr>
        <w:t>at</w:t>
      </w:r>
      <w:r w:rsidRPr="00762814">
        <w:rPr>
          <w:rFonts w:cstheme="minorHAnsi"/>
          <w:sz w:val="24"/>
          <w:szCs w:val="24"/>
        </w:rPr>
        <w:t>y</w:t>
      </w:r>
      <w:r w:rsidR="000E132E" w:rsidRPr="00762814">
        <w:rPr>
          <w:rFonts w:cstheme="minorHAnsi"/>
          <w:sz w:val="24"/>
          <w:szCs w:val="24"/>
        </w:rPr>
        <w:t xml:space="preserve"> spłaty kapitału </w:t>
      </w:r>
      <w:r w:rsidR="00542B62" w:rsidRPr="00762814">
        <w:rPr>
          <w:rFonts w:cstheme="minorHAnsi"/>
          <w:sz w:val="24"/>
          <w:szCs w:val="24"/>
        </w:rPr>
        <w:t>gruntów</w:t>
      </w:r>
      <w:r w:rsidR="000E132E" w:rsidRPr="00762814">
        <w:rPr>
          <w:rFonts w:cstheme="minorHAnsi"/>
          <w:sz w:val="24"/>
          <w:szCs w:val="24"/>
        </w:rPr>
        <w:t xml:space="preserve">, poniesione przez korzystającego do dnia zakończenia realizacji </w:t>
      </w:r>
      <w:r w:rsidR="00542B62" w:rsidRPr="00762814">
        <w:rPr>
          <w:rFonts w:cstheme="minorHAnsi"/>
          <w:sz w:val="24"/>
          <w:szCs w:val="24"/>
        </w:rPr>
        <w:t>modułu</w:t>
      </w:r>
      <w:r w:rsidR="000E132E" w:rsidRPr="00762814">
        <w:rPr>
          <w:rFonts w:cstheme="minorHAnsi"/>
          <w:sz w:val="24"/>
          <w:szCs w:val="24"/>
        </w:rPr>
        <w:t>, do wysokości kapitału z dnia zawarcia umowy leasingu albo spłaty kapitału nieruchomości niezabudowanych, należnej finansującemu z tytułu umowy leasingu, pod warunkiem, że</w:t>
      </w:r>
      <w:r w:rsidR="00225FE2" w:rsidRPr="00762814">
        <w:rPr>
          <w:rFonts w:cstheme="minorHAnsi"/>
          <w:sz w:val="24"/>
          <w:szCs w:val="24"/>
        </w:rPr>
        <w:t xml:space="preserve"> </w:t>
      </w:r>
      <w:r w:rsidR="000E132E" w:rsidRPr="00762814">
        <w:rPr>
          <w:rFonts w:cstheme="minorHAnsi"/>
          <w:sz w:val="24"/>
          <w:szCs w:val="24"/>
        </w:rPr>
        <w:t>we wniosku o udzielenie pomocy finansujący jest wskazany przez wnioskodawcę jako podmiot upoważniony do poniesienia kosztu</w:t>
      </w:r>
      <w:r w:rsidR="00097E47" w:rsidRPr="00762814">
        <w:rPr>
          <w:rFonts w:cstheme="minorHAnsi"/>
          <w:sz w:val="24"/>
          <w:szCs w:val="24"/>
        </w:rPr>
        <w:t xml:space="preserve">, </w:t>
      </w:r>
      <w:r w:rsidR="00F81F84" w:rsidRPr="00762814">
        <w:rPr>
          <w:rFonts w:cstheme="minorHAnsi"/>
          <w:sz w:val="24"/>
          <w:szCs w:val="24"/>
        </w:rPr>
        <w:t>oraz</w:t>
      </w:r>
      <w:r w:rsidR="00225FE2" w:rsidRPr="00762814">
        <w:rPr>
          <w:rFonts w:cstheme="minorHAnsi"/>
          <w:sz w:val="24"/>
          <w:szCs w:val="24"/>
        </w:rPr>
        <w:t xml:space="preserve"> pod warunkiem, że </w:t>
      </w:r>
      <w:r w:rsidR="000E132E" w:rsidRPr="00762814">
        <w:rPr>
          <w:rFonts w:cstheme="minorHAnsi"/>
          <w:sz w:val="24"/>
          <w:szCs w:val="24"/>
        </w:rPr>
        <w:t xml:space="preserve">umowa leasingu będzie obejmowała okres co najmniej 5 lat od przewidywanego terminu zakończenia realizacji </w:t>
      </w:r>
      <w:r w:rsidR="009E1826" w:rsidRPr="00762814">
        <w:rPr>
          <w:rFonts w:cstheme="minorHAnsi"/>
          <w:sz w:val="24"/>
          <w:szCs w:val="24"/>
        </w:rPr>
        <w:t>modułu</w:t>
      </w:r>
      <w:r w:rsidR="000E132E" w:rsidRPr="00762814">
        <w:rPr>
          <w:rFonts w:cstheme="minorHAnsi"/>
          <w:sz w:val="24"/>
          <w:szCs w:val="24"/>
        </w:rPr>
        <w:t xml:space="preserve">, a w przypadku </w:t>
      </w:r>
      <w:r w:rsidR="009E1826" w:rsidRPr="00762814">
        <w:rPr>
          <w:rFonts w:cstheme="minorHAnsi"/>
          <w:sz w:val="24"/>
          <w:szCs w:val="24"/>
        </w:rPr>
        <w:t>MŚP</w:t>
      </w:r>
      <w:r w:rsidR="000E132E" w:rsidRPr="00762814">
        <w:rPr>
          <w:rFonts w:cstheme="minorHAnsi"/>
          <w:sz w:val="24"/>
          <w:szCs w:val="24"/>
        </w:rPr>
        <w:t xml:space="preserve"> – okres co najmniej 3 lat</w:t>
      </w:r>
      <w:r w:rsidR="00D36B7C" w:rsidRPr="00762814">
        <w:rPr>
          <w:rFonts w:cstheme="minorHAnsi"/>
          <w:sz w:val="24"/>
          <w:szCs w:val="24"/>
        </w:rPr>
        <w:t>.</w:t>
      </w:r>
    </w:p>
    <w:p w14:paraId="191160B2" w14:textId="41A8702F" w:rsidR="00A845E7" w:rsidRPr="00ED6E26" w:rsidRDefault="005736E5" w:rsidP="005736E5">
      <w:pPr>
        <w:pStyle w:val="Nagwek4"/>
        <w:spacing w:before="120" w:line="276" w:lineRule="auto"/>
        <w:rPr>
          <w:rFonts w:asciiTheme="minorHAnsi" w:hAnsiTheme="minorHAnsi" w:cstheme="minorHAnsi"/>
          <w:i w:val="0"/>
          <w:color w:val="auto"/>
          <w:sz w:val="28"/>
          <w:szCs w:val="28"/>
        </w:rPr>
      </w:pPr>
      <w:bookmarkStart w:id="56" w:name="_Toc148716383"/>
      <w:r>
        <w:rPr>
          <w:rFonts w:asciiTheme="minorHAnsi" w:hAnsiTheme="minorHAnsi" w:cstheme="minorHAnsi"/>
          <w:i w:val="0"/>
          <w:color w:val="auto"/>
          <w:sz w:val="28"/>
          <w:szCs w:val="28"/>
        </w:rPr>
        <w:t xml:space="preserve">4.3.2 </w:t>
      </w:r>
      <w:r w:rsidR="00390F44" w:rsidRPr="00ED6E26">
        <w:rPr>
          <w:rFonts w:asciiTheme="minorHAnsi" w:hAnsiTheme="minorHAnsi" w:cstheme="minorHAnsi"/>
          <w:i w:val="0"/>
          <w:color w:val="auto"/>
          <w:sz w:val="28"/>
          <w:szCs w:val="28"/>
        </w:rPr>
        <w:t>Nieruchomości zabudowane</w:t>
      </w:r>
      <w:bookmarkEnd w:id="56"/>
    </w:p>
    <w:p w14:paraId="464CC9AC" w14:textId="2A0C348E" w:rsidR="003A08B6" w:rsidRPr="00762814" w:rsidRDefault="00390F44" w:rsidP="00762814">
      <w:pPr>
        <w:spacing w:after="0" w:line="276" w:lineRule="auto"/>
        <w:rPr>
          <w:rFonts w:cstheme="minorHAnsi"/>
          <w:sz w:val="24"/>
          <w:szCs w:val="24"/>
        </w:rPr>
      </w:pPr>
      <w:r w:rsidRPr="00762814">
        <w:rPr>
          <w:rFonts w:cstheme="minorHAnsi"/>
          <w:sz w:val="24"/>
          <w:szCs w:val="24"/>
        </w:rPr>
        <w:t>W ramach tej kategorii kwalifikowalne są koszty nabycia prawa własności nieruchomości zabudowanej, z wyłączeniem lokali mieszkalnych</w:t>
      </w:r>
      <w:r w:rsidR="003A08B6" w:rsidRPr="00762814">
        <w:rPr>
          <w:rFonts w:cstheme="minorHAnsi"/>
          <w:sz w:val="24"/>
          <w:szCs w:val="24"/>
        </w:rPr>
        <w:t>, jeżeli:</w:t>
      </w:r>
      <w:r w:rsidR="00BC6089" w:rsidRPr="00762814">
        <w:rPr>
          <w:rFonts w:cstheme="minorHAnsi"/>
          <w:sz w:val="24"/>
          <w:szCs w:val="24"/>
        </w:rPr>
        <w:t xml:space="preserve"> </w:t>
      </w:r>
      <w:r w:rsidR="003A08B6" w:rsidRPr="00762814">
        <w:rPr>
          <w:rFonts w:cstheme="minorHAnsi"/>
          <w:sz w:val="24"/>
          <w:szCs w:val="24"/>
        </w:rPr>
        <w:t>nieruchomość jest niezbędna do realizacji modułu</w:t>
      </w:r>
      <w:r w:rsidR="00BF438D" w:rsidRPr="00762814">
        <w:rPr>
          <w:rFonts w:cstheme="minorHAnsi"/>
          <w:sz w:val="24"/>
          <w:szCs w:val="24"/>
        </w:rPr>
        <w:t xml:space="preserve"> i kwalifikowana wyłącznie w zakresie, w jakim jest wykorzystana do celów realizacji modułu</w:t>
      </w:r>
      <w:r w:rsidR="00DD325C" w:rsidRPr="00762814">
        <w:rPr>
          <w:rFonts w:cstheme="minorHAnsi"/>
          <w:sz w:val="24"/>
          <w:szCs w:val="24"/>
        </w:rPr>
        <w:t>.</w:t>
      </w:r>
    </w:p>
    <w:p w14:paraId="6739190B" w14:textId="1D1EA8AC" w:rsidR="00A010D3" w:rsidRPr="00762814" w:rsidRDefault="0069643B" w:rsidP="00762814">
      <w:pPr>
        <w:spacing w:before="120" w:line="276" w:lineRule="auto"/>
        <w:rPr>
          <w:rFonts w:cstheme="minorHAnsi"/>
          <w:sz w:val="24"/>
          <w:szCs w:val="24"/>
        </w:rPr>
      </w:pPr>
      <w:r w:rsidRPr="00762814">
        <w:rPr>
          <w:rFonts w:cstheme="minorHAnsi"/>
          <w:sz w:val="24"/>
          <w:szCs w:val="24"/>
        </w:rPr>
        <w:t>Ponadto kwalifikowalne są r</w:t>
      </w:r>
      <w:r w:rsidR="00A010D3" w:rsidRPr="00762814">
        <w:rPr>
          <w:rFonts w:cstheme="minorHAnsi"/>
          <w:sz w:val="24"/>
          <w:szCs w:val="24"/>
        </w:rPr>
        <w:t>at</w:t>
      </w:r>
      <w:r w:rsidRPr="00762814">
        <w:rPr>
          <w:rFonts w:cstheme="minorHAnsi"/>
          <w:sz w:val="24"/>
          <w:szCs w:val="24"/>
        </w:rPr>
        <w:t>y</w:t>
      </w:r>
      <w:r w:rsidR="00A010D3" w:rsidRPr="00762814">
        <w:rPr>
          <w:rFonts w:cstheme="minorHAnsi"/>
          <w:sz w:val="24"/>
          <w:szCs w:val="24"/>
        </w:rPr>
        <w:t xml:space="preserve"> spłaty kapitału nieruchomości zabudowanych, poniesione przez korzystającego do dnia zakończenia realizacji </w:t>
      </w:r>
      <w:r w:rsidR="00E17F2B" w:rsidRPr="00762814">
        <w:rPr>
          <w:rFonts w:cstheme="minorHAnsi"/>
          <w:sz w:val="24"/>
          <w:szCs w:val="24"/>
        </w:rPr>
        <w:t>modułu</w:t>
      </w:r>
      <w:r w:rsidR="00A010D3" w:rsidRPr="00762814">
        <w:rPr>
          <w:rFonts w:cstheme="minorHAnsi"/>
          <w:sz w:val="24"/>
          <w:szCs w:val="24"/>
        </w:rPr>
        <w:t>, do wysokości kapitału z dnia zawarcia umowy leasingu albo spłaty kapitału nieruchomości zabudowanych, należnej finansującemu z tytułu umowy leasingu, pod warunkiem że</w:t>
      </w:r>
      <w:r w:rsidR="00225FE2" w:rsidRPr="00762814">
        <w:rPr>
          <w:rFonts w:cstheme="minorHAnsi"/>
          <w:sz w:val="24"/>
          <w:szCs w:val="24"/>
        </w:rPr>
        <w:t xml:space="preserve">, </w:t>
      </w:r>
      <w:r w:rsidR="00A010D3" w:rsidRPr="00762814">
        <w:rPr>
          <w:rFonts w:cstheme="minorHAnsi"/>
          <w:sz w:val="24"/>
          <w:szCs w:val="24"/>
        </w:rPr>
        <w:t>we wniosku o udzielenie pomocy finansujący jest wskazany przez wnioskodawcę jako podmiot upoważniony do poniesienia kosztu</w:t>
      </w:r>
      <w:r w:rsidR="00577657" w:rsidRPr="00762814">
        <w:rPr>
          <w:rFonts w:cstheme="minorHAnsi"/>
          <w:sz w:val="24"/>
          <w:szCs w:val="24"/>
        </w:rPr>
        <w:t xml:space="preserve"> </w:t>
      </w:r>
      <w:r w:rsidR="004C55AE" w:rsidRPr="00762814">
        <w:rPr>
          <w:rFonts w:cstheme="minorHAnsi"/>
          <w:sz w:val="24"/>
          <w:szCs w:val="24"/>
        </w:rPr>
        <w:t xml:space="preserve">oraz </w:t>
      </w:r>
      <w:r w:rsidR="002A163A" w:rsidRPr="00762814">
        <w:rPr>
          <w:rFonts w:cstheme="minorHAnsi"/>
          <w:sz w:val="24"/>
          <w:szCs w:val="24"/>
        </w:rPr>
        <w:t>pod warunkiem</w:t>
      </w:r>
      <w:r w:rsidR="00225FE2" w:rsidRPr="00762814">
        <w:rPr>
          <w:rFonts w:cstheme="minorHAnsi"/>
          <w:sz w:val="24"/>
          <w:szCs w:val="24"/>
        </w:rPr>
        <w:t xml:space="preserve">, że </w:t>
      </w:r>
      <w:r w:rsidR="00A010D3" w:rsidRPr="00762814">
        <w:rPr>
          <w:rFonts w:cstheme="minorHAnsi"/>
          <w:sz w:val="24"/>
          <w:szCs w:val="24"/>
        </w:rPr>
        <w:t>umowa leasingu będzie obejmowała okres co najmniej 5 lat od przewidywanego terminu zakończenia realizacji</w:t>
      </w:r>
      <w:r w:rsidR="009E1826" w:rsidRPr="00762814">
        <w:rPr>
          <w:rFonts w:cstheme="minorHAnsi"/>
          <w:sz w:val="24"/>
          <w:szCs w:val="24"/>
        </w:rPr>
        <w:t xml:space="preserve"> modułu</w:t>
      </w:r>
      <w:r w:rsidR="00A010D3" w:rsidRPr="00762814">
        <w:rPr>
          <w:rFonts w:cstheme="minorHAnsi"/>
          <w:sz w:val="24"/>
          <w:szCs w:val="24"/>
        </w:rPr>
        <w:t xml:space="preserve">, a w przypadku </w:t>
      </w:r>
      <w:r w:rsidR="009E1826" w:rsidRPr="00762814">
        <w:rPr>
          <w:rFonts w:cstheme="minorHAnsi"/>
          <w:sz w:val="24"/>
          <w:szCs w:val="24"/>
        </w:rPr>
        <w:t>MŚP</w:t>
      </w:r>
      <w:r w:rsidR="00A010D3" w:rsidRPr="00762814">
        <w:rPr>
          <w:rFonts w:cstheme="minorHAnsi"/>
          <w:sz w:val="24"/>
          <w:szCs w:val="24"/>
        </w:rPr>
        <w:t xml:space="preserve"> – okres co najmniej 3 lat</w:t>
      </w:r>
      <w:r w:rsidR="00D36B7C" w:rsidRPr="00762814">
        <w:rPr>
          <w:rFonts w:cstheme="minorHAnsi"/>
          <w:sz w:val="24"/>
          <w:szCs w:val="24"/>
        </w:rPr>
        <w:t>.</w:t>
      </w:r>
    </w:p>
    <w:p w14:paraId="6F97668A" w14:textId="0875356F" w:rsidR="00A84883" w:rsidRPr="00762814" w:rsidRDefault="004C0F04" w:rsidP="00762814">
      <w:pPr>
        <w:spacing w:after="120" w:line="276" w:lineRule="auto"/>
        <w:rPr>
          <w:rFonts w:cstheme="minorHAnsi"/>
          <w:sz w:val="24"/>
          <w:szCs w:val="24"/>
        </w:rPr>
      </w:pPr>
      <w:r w:rsidRPr="00762814">
        <w:rPr>
          <w:rFonts w:cstheme="minorHAnsi"/>
          <w:bCs/>
          <w:sz w:val="24"/>
          <w:szCs w:val="24"/>
        </w:rPr>
        <w:t>Suma k</w:t>
      </w:r>
      <w:r w:rsidR="00577657" w:rsidRPr="00762814">
        <w:rPr>
          <w:rFonts w:cstheme="minorHAnsi"/>
          <w:bCs/>
          <w:sz w:val="24"/>
          <w:szCs w:val="24"/>
        </w:rPr>
        <w:t>walifikowaln</w:t>
      </w:r>
      <w:r w:rsidRPr="00762814">
        <w:rPr>
          <w:rFonts w:cstheme="minorHAnsi"/>
          <w:bCs/>
          <w:sz w:val="24"/>
          <w:szCs w:val="24"/>
        </w:rPr>
        <w:t>ych</w:t>
      </w:r>
      <w:r w:rsidR="00577657" w:rsidRPr="00762814">
        <w:rPr>
          <w:rFonts w:cstheme="minorHAnsi"/>
          <w:bCs/>
          <w:sz w:val="24"/>
          <w:szCs w:val="24"/>
        </w:rPr>
        <w:t xml:space="preserve"> koszt</w:t>
      </w:r>
      <w:r w:rsidRPr="00762814">
        <w:rPr>
          <w:rFonts w:cstheme="minorHAnsi"/>
          <w:bCs/>
          <w:sz w:val="24"/>
          <w:szCs w:val="24"/>
        </w:rPr>
        <w:t>ów</w:t>
      </w:r>
      <w:r w:rsidR="00577657" w:rsidRPr="00762814">
        <w:rPr>
          <w:rFonts w:cstheme="minorHAnsi"/>
          <w:bCs/>
          <w:sz w:val="24"/>
          <w:szCs w:val="24"/>
        </w:rPr>
        <w:t xml:space="preserve"> gruntów </w:t>
      </w:r>
      <w:r w:rsidRPr="00762814">
        <w:rPr>
          <w:rFonts w:cstheme="minorHAnsi"/>
          <w:bCs/>
          <w:sz w:val="24"/>
          <w:szCs w:val="24"/>
        </w:rPr>
        <w:t xml:space="preserve">(4.3.1) </w:t>
      </w:r>
      <w:r w:rsidR="00577657" w:rsidRPr="00762814">
        <w:rPr>
          <w:rFonts w:cstheme="minorHAnsi"/>
          <w:bCs/>
          <w:sz w:val="24"/>
          <w:szCs w:val="24"/>
        </w:rPr>
        <w:t xml:space="preserve">oraz </w:t>
      </w:r>
      <w:r w:rsidRPr="00762814">
        <w:rPr>
          <w:rFonts w:cstheme="minorHAnsi"/>
          <w:bCs/>
          <w:sz w:val="24"/>
          <w:szCs w:val="24"/>
        </w:rPr>
        <w:t xml:space="preserve">nieruchomości zabudowanych (4.3.2) </w:t>
      </w:r>
      <w:r w:rsidR="00577657" w:rsidRPr="00762814">
        <w:rPr>
          <w:rFonts w:cstheme="minorHAnsi"/>
          <w:bCs/>
          <w:sz w:val="24"/>
          <w:szCs w:val="24"/>
        </w:rPr>
        <w:t>nie mo</w:t>
      </w:r>
      <w:r w:rsidRPr="00762814">
        <w:rPr>
          <w:rFonts w:cstheme="minorHAnsi"/>
          <w:bCs/>
          <w:sz w:val="24"/>
          <w:szCs w:val="24"/>
        </w:rPr>
        <w:t>że</w:t>
      </w:r>
      <w:r w:rsidR="00577657" w:rsidRPr="00762814">
        <w:rPr>
          <w:rFonts w:cstheme="minorHAnsi"/>
          <w:bCs/>
          <w:sz w:val="24"/>
          <w:szCs w:val="24"/>
        </w:rPr>
        <w:t xml:space="preserve"> przekroczyć 10% całkowitych wydatków kwalifikowalnych, o których mowa w pkt 4.3.1 - 4.3.5</w:t>
      </w:r>
      <w:r w:rsidRPr="00762814">
        <w:rPr>
          <w:rFonts w:cstheme="minorHAnsi"/>
          <w:bCs/>
          <w:sz w:val="24"/>
          <w:szCs w:val="24"/>
        </w:rPr>
        <w:t>;</w:t>
      </w:r>
      <w:r w:rsidR="00577657" w:rsidRPr="00762814">
        <w:rPr>
          <w:rFonts w:cstheme="minorHAnsi"/>
          <w:sz w:val="24"/>
          <w:szCs w:val="24"/>
        </w:rPr>
        <w:t xml:space="preserve"> w przypadku terenów opuszczonych oraz poprzemysłowych</w:t>
      </w:r>
      <w:r w:rsidR="00577657" w:rsidRPr="00762814">
        <w:rPr>
          <w:rStyle w:val="Odwoanieprzypisudolnego"/>
          <w:rFonts w:cstheme="minorHAnsi"/>
          <w:sz w:val="24"/>
          <w:szCs w:val="24"/>
        </w:rPr>
        <w:footnoteReference w:id="4"/>
      </w:r>
      <w:r w:rsidR="00577657" w:rsidRPr="00762814">
        <w:rPr>
          <w:rFonts w:cstheme="minorHAnsi"/>
          <w:sz w:val="24"/>
          <w:szCs w:val="24"/>
        </w:rPr>
        <w:t xml:space="preserve">, na których znajdują się budynki, </w:t>
      </w:r>
      <w:bookmarkStart w:id="57" w:name="_Hlk127363922"/>
      <w:r w:rsidR="002254C4" w:rsidRPr="005454F0">
        <w:rPr>
          <w:rFonts w:ascii="Arial" w:hAnsi="Arial" w:cs="Arial"/>
        </w:rPr>
        <w:t>dla MŚP</w:t>
      </w:r>
      <w:bookmarkEnd w:id="57"/>
      <w:r w:rsidR="002254C4" w:rsidRPr="005454F0">
        <w:rPr>
          <w:rFonts w:ascii="Arial" w:hAnsi="Arial" w:cs="Arial"/>
        </w:rPr>
        <w:t xml:space="preserve"> </w:t>
      </w:r>
      <w:r w:rsidR="00577657" w:rsidRPr="00762814">
        <w:rPr>
          <w:rFonts w:cstheme="minorHAnsi"/>
          <w:sz w:val="24"/>
          <w:szCs w:val="24"/>
        </w:rPr>
        <w:t xml:space="preserve">limit ten zostaje podniesiony do 15% </w:t>
      </w:r>
      <w:r w:rsidR="00577657" w:rsidRPr="00762814">
        <w:rPr>
          <w:rFonts w:cstheme="minorHAnsi"/>
          <w:bCs/>
          <w:sz w:val="24"/>
          <w:szCs w:val="24"/>
        </w:rPr>
        <w:t>– na podstawie art. 64 ust 1 lit. b) Rozporządzenia Parlamentu i Rady UE nr 2021/1060 z dnia 24 czerwca 2021 r.</w:t>
      </w:r>
    </w:p>
    <w:p w14:paraId="292B5493" w14:textId="249E2D0A" w:rsidR="009B759F" w:rsidRPr="00ED6E26" w:rsidRDefault="005736E5" w:rsidP="005736E5">
      <w:pPr>
        <w:pStyle w:val="Nagwek4"/>
        <w:spacing w:before="120" w:line="276" w:lineRule="auto"/>
        <w:rPr>
          <w:rFonts w:asciiTheme="minorHAnsi" w:hAnsiTheme="minorHAnsi" w:cstheme="minorHAnsi"/>
          <w:i w:val="0"/>
          <w:color w:val="auto"/>
          <w:sz w:val="28"/>
          <w:szCs w:val="28"/>
        </w:rPr>
      </w:pPr>
      <w:bookmarkStart w:id="58" w:name="_Hlk125452302"/>
      <w:bookmarkStart w:id="59" w:name="_Toc148716384"/>
      <w:r>
        <w:rPr>
          <w:rFonts w:asciiTheme="minorHAnsi" w:hAnsiTheme="minorHAnsi" w:cstheme="minorHAnsi"/>
          <w:i w:val="0"/>
          <w:color w:val="auto"/>
          <w:sz w:val="28"/>
          <w:szCs w:val="28"/>
        </w:rPr>
        <w:t xml:space="preserve">4.3.3 </w:t>
      </w:r>
      <w:r w:rsidR="00390F44" w:rsidRPr="00ED6E26">
        <w:rPr>
          <w:rFonts w:asciiTheme="minorHAnsi" w:hAnsiTheme="minorHAnsi" w:cstheme="minorHAnsi"/>
          <w:i w:val="0"/>
          <w:color w:val="auto"/>
          <w:sz w:val="28"/>
          <w:szCs w:val="28"/>
        </w:rPr>
        <w:t>Środki trwałe/dostawy</w:t>
      </w:r>
      <w:bookmarkEnd w:id="58"/>
      <w:bookmarkEnd w:id="59"/>
      <w:r w:rsidR="005F434D" w:rsidRPr="00ED6E26">
        <w:rPr>
          <w:rFonts w:asciiTheme="minorHAnsi" w:hAnsiTheme="minorHAnsi" w:cstheme="minorHAnsi"/>
          <w:i w:val="0"/>
          <w:color w:val="auto"/>
          <w:sz w:val="28"/>
          <w:szCs w:val="28"/>
        </w:rPr>
        <w:t xml:space="preserve"> </w:t>
      </w:r>
    </w:p>
    <w:p w14:paraId="090FDF2E" w14:textId="0F1656B6" w:rsidR="0076119E" w:rsidRPr="00762814" w:rsidRDefault="0076119E" w:rsidP="00762814">
      <w:pPr>
        <w:spacing w:line="276" w:lineRule="auto"/>
        <w:rPr>
          <w:rFonts w:cstheme="minorHAnsi"/>
          <w:sz w:val="24"/>
          <w:szCs w:val="24"/>
        </w:rPr>
      </w:pPr>
      <w:r w:rsidRPr="00762814">
        <w:rPr>
          <w:rFonts w:cstheme="minorHAnsi"/>
          <w:sz w:val="24"/>
          <w:szCs w:val="24"/>
        </w:rPr>
        <w:t>W ramach tej kategorii kwalifikowalne są koszty nabycia środków trwałych innych niż nieruchomości</w:t>
      </w:r>
      <w:r w:rsidR="00C42C2B" w:rsidRPr="00762814">
        <w:rPr>
          <w:rFonts w:cstheme="minorHAnsi"/>
          <w:sz w:val="24"/>
          <w:szCs w:val="24"/>
        </w:rPr>
        <w:t xml:space="preserve">, </w:t>
      </w:r>
      <w:r w:rsidR="003D2CB4" w:rsidRPr="00762814">
        <w:rPr>
          <w:rFonts w:cstheme="minorHAnsi"/>
          <w:sz w:val="24"/>
          <w:szCs w:val="24"/>
        </w:rPr>
        <w:t xml:space="preserve">w tym </w:t>
      </w:r>
      <w:r w:rsidR="00C42C2B" w:rsidRPr="00762814">
        <w:rPr>
          <w:rFonts w:cstheme="minorHAnsi"/>
          <w:sz w:val="24"/>
          <w:szCs w:val="24"/>
        </w:rPr>
        <w:t>koszty</w:t>
      </w:r>
      <w:r w:rsidR="003D2CB4" w:rsidRPr="00762814">
        <w:rPr>
          <w:rFonts w:cstheme="minorHAnsi"/>
          <w:sz w:val="24"/>
          <w:szCs w:val="24"/>
        </w:rPr>
        <w:t xml:space="preserve"> instalacji i uruchomienia</w:t>
      </w:r>
      <w:r w:rsidR="000E132E" w:rsidRPr="00762814">
        <w:rPr>
          <w:rFonts w:cstheme="minorHAnsi"/>
          <w:sz w:val="24"/>
          <w:szCs w:val="24"/>
        </w:rPr>
        <w:t xml:space="preserve"> oraz leasing </w:t>
      </w:r>
      <w:bookmarkStart w:id="60" w:name="_Hlk148530301"/>
      <w:r w:rsidR="00B413A8">
        <w:rPr>
          <w:rFonts w:cstheme="minorHAnsi"/>
          <w:sz w:val="24"/>
          <w:szCs w:val="24"/>
        </w:rPr>
        <w:t xml:space="preserve">finansowy </w:t>
      </w:r>
      <w:bookmarkEnd w:id="60"/>
      <w:r w:rsidR="000E132E" w:rsidRPr="00762814">
        <w:rPr>
          <w:rFonts w:cstheme="minorHAnsi"/>
          <w:sz w:val="24"/>
          <w:szCs w:val="24"/>
        </w:rPr>
        <w:t xml:space="preserve">środków trwałych innych </w:t>
      </w:r>
      <w:r w:rsidR="00B504BB" w:rsidRPr="00762814">
        <w:rPr>
          <w:rFonts w:cstheme="minorHAnsi"/>
          <w:sz w:val="24"/>
          <w:szCs w:val="24"/>
        </w:rPr>
        <w:t xml:space="preserve">niż </w:t>
      </w:r>
      <w:r w:rsidR="000E132E" w:rsidRPr="00762814">
        <w:rPr>
          <w:rFonts w:cstheme="minorHAnsi"/>
          <w:sz w:val="24"/>
          <w:szCs w:val="24"/>
        </w:rPr>
        <w:t>nieruchomości</w:t>
      </w:r>
      <w:r w:rsidR="00D36B7C" w:rsidRPr="00762814">
        <w:rPr>
          <w:rFonts w:cstheme="minorHAnsi"/>
          <w:sz w:val="24"/>
          <w:szCs w:val="24"/>
        </w:rPr>
        <w:t>.</w:t>
      </w:r>
    </w:p>
    <w:p w14:paraId="57578720" w14:textId="458C5DE5" w:rsidR="00EA74B1" w:rsidRPr="00762814" w:rsidRDefault="00165942" w:rsidP="00762814">
      <w:pPr>
        <w:spacing w:line="276" w:lineRule="auto"/>
        <w:rPr>
          <w:rFonts w:cstheme="minorHAnsi"/>
          <w:sz w:val="24"/>
          <w:szCs w:val="24"/>
        </w:rPr>
      </w:pPr>
      <w:bookmarkStart w:id="61" w:name="_Hlk126223783"/>
      <w:r w:rsidRPr="00762814">
        <w:rPr>
          <w:rFonts w:cstheme="minorHAnsi"/>
          <w:sz w:val="24"/>
          <w:szCs w:val="24"/>
        </w:rPr>
        <w:t>Kwalifikowalne są r</w:t>
      </w:r>
      <w:r w:rsidR="00EA74B1" w:rsidRPr="00762814">
        <w:rPr>
          <w:rFonts w:cstheme="minorHAnsi"/>
          <w:sz w:val="24"/>
          <w:szCs w:val="24"/>
        </w:rPr>
        <w:t>at</w:t>
      </w:r>
      <w:r w:rsidRPr="00762814">
        <w:rPr>
          <w:rFonts w:cstheme="minorHAnsi"/>
          <w:sz w:val="24"/>
          <w:szCs w:val="24"/>
        </w:rPr>
        <w:t>y</w:t>
      </w:r>
      <w:r w:rsidR="00EA74B1" w:rsidRPr="00762814">
        <w:rPr>
          <w:rFonts w:cstheme="minorHAnsi"/>
          <w:sz w:val="24"/>
          <w:szCs w:val="24"/>
        </w:rPr>
        <w:t xml:space="preserve"> spłaty kapitału środków trwałych, poniesione przez korzystającego do dnia zakończenia realizacji </w:t>
      </w:r>
      <w:r w:rsidR="009E1826" w:rsidRPr="00762814">
        <w:rPr>
          <w:rFonts w:cstheme="minorHAnsi"/>
          <w:sz w:val="24"/>
          <w:szCs w:val="24"/>
        </w:rPr>
        <w:t>modułu</w:t>
      </w:r>
      <w:r w:rsidR="00EA74B1" w:rsidRPr="00762814">
        <w:rPr>
          <w:rFonts w:cstheme="minorHAnsi"/>
          <w:sz w:val="24"/>
          <w:szCs w:val="24"/>
        </w:rPr>
        <w:t xml:space="preserve">, do wysokości kapitału z dnia zawarcia umowy leasingu albo spłaty kapitału środków trwałych, należnej finansującemu z tytułu umowy leasingu, </w:t>
      </w:r>
      <w:r w:rsidR="00F81F84" w:rsidRPr="00762814">
        <w:rPr>
          <w:rFonts w:cstheme="minorHAnsi"/>
          <w:sz w:val="24"/>
          <w:szCs w:val="24"/>
        </w:rPr>
        <w:t>pod warunkiem, że</w:t>
      </w:r>
      <w:r w:rsidR="00225FE2" w:rsidRPr="00762814">
        <w:rPr>
          <w:rFonts w:cstheme="minorHAnsi"/>
          <w:sz w:val="24"/>
          <w:szCs w:val="24"/>
        </w:rPr>
        <w:t xml:space="preserve"> </w:t>
      </w:r>
      <w:r w:rsidR="00EA74B1" w:rsidRPr="00762814">
        <w:rPr>
          <w:rFonts w:cstheme="minorHAnsi"/>
          <w:sz w:val="24"/>
          <w:szCs w:val="24"/>
        </w:rPr>
        <w:t>we wniosku o udzielenie pomocy finansujący jest wskazany przez wnioskodawcę jako podmiot upoważniony do poniesienia kosztu, przy czym umowa leasingu</w:t>
      </w:r>
      <w:r w:rsidR="00EA597C" w:rsidRPr="00762814">
        <w:rPr>
          <w:rFonts w:cstheme="minorHAnsi"/>
          <w:sz w:val="24"/>
          <w:szCs w:val="24"/>
        </w:rPr>
        <w:t xml:space="preserve"> prowadzi do przeniesienia własności tych środków na korzystającego</w:t>
      </w:r>
      <w:r w:rsidR="00072A5D">
        <w:rPr>
          <w:rFonts w:cstheme="minorHAnsi"/>
          <w:sz w:val="24"/>
          <w:szCs w:val="24"/>
        </w:rPr>
        <w:t xml:space="preserve">. </w:t>
      </w:r>
    </w:p>
    <w:bookmarkEnd w:id="61"/>
    <w:p w14:paraId="31F450C1" w14:textId="6D4DC475" w:rsidR="00F81F84" w:rsidRPr="00762814" w:rsidRDefault="00F81F84" w:rsidP="00762814">
      <w:pPr>
        <w:spacing w:after="120" w:line="276" w:lineRule="auto"/>
        <w:rPr>
          <w:rFonts w:cstheme="minorHAnsi"/>
          <w:b/>
          <w:bCs/>
          <w:sz w:val="24"/>
          <w:szCs w:val="24"/>
        </w:rPr>
      </w:pPr>
      <w:r w:rsidRPr="00762814">
        <w:rPr>
          <w:rFonts w:cstheme="minorHAnsi"/>
          <w:b/>
          <w:bCs/>
          <w:sz w:val="24"/>
          <w:szCs w:val="24"/>
        </w:rPr>
        <w:t>Nabywane środki trwałe muszą być nowe, z wyjątkiem nabywanych przez MŚP.</w:t>
      </w:r>
    </w:p>
    <w:p w14:paraId="04CAD129" w14:textId="77777777" w:rsidR="00F81F84" w:rsidRPr="00762814" w:rsidRDefault="00F81F84" w:rsidP="00762814">
      <w:pPr>
        <w:spacing w:after="120" w:line="276" w:lineRule="auto"/>
        <w:rPr>
          <w:rFonts w:cstheme="minorHAnsi"/>
          <w:sz w:val="24"/>
          <w:szCs w:val="24"/>
        </w:rPr>
      </w:pPr>
      <w:r w:rsidRPr="00762814">
        <w:rPr>
          <w:rFonts w:cstheme="minorHAnsi"/>
          <w:sz w:val="24"/>
          <w:szCs w:val="24"/>
        </w:rPr>
        <w:t>Nowe aktywa oznaczają aktywa, które zostały nabyte po cenie rynkowej przez Wnioskodawcę po dniu złożenia wniosku o dofinansowanie oraz które nie były nigdy wcześniej wykorzystywane w procesie produkcji.</w:t>
      </w:r>
    </w:p>
    <w:p w14:paraId="2D2E5BA1" w14:textId="58E7938E" w:rsidR="00B5566B" w:rsidRPr="00ED6E26" w:rsidRDefault="005736E5" w:rsidP="005736E5">
      <w:pPr>
        <w:pStyle w:val="Nagwek4"/>
        <w:spacing w:before="120" w:line="276" w:lineRule="auto"/>
        <w:rPr>
          <w:rFonts w:asciiTheme="minorHAnsi" w:hAnsiTheme="minorHAnsi" w:cstheme="minorHAnsi"/>
          <w:i w:val="0"/>
          <w:color w:val="auto"/>
          <w:sz w:val="28"/>
          <w:szCs w:val="28"/>
        </w:rPr>
      </w:pPr>
      <w:bookmarkStart w:id="62" w:name="_Toc148716385"/>
      <w:r>
        <w:rPr>
          <w:rFonts w:asciiTheme="minorHAnsi" w:hAnsiTheme="minorHAnsi" w:cstheme="minorHAnsi"/>
          <w:i w:val="0"/>
          <w:color w:val="auto"/>
          <w:sz w:val="28"/>
          <w:szCs w:val="28"/>
        </w:rPr>
        <w:t xml:space="preserve">4.3.4 </w:t>
      </w:r>
      <w:r w:rsidR="00390F44" w:rsidRPr="00ED6E26">
        <w:rPr>
          <w:rFonts w:asciiTheme="minorHAnsi" w:hAnsiTheme="minorHAnsi" w:cstheme="minorHAnsi"/>
          <w:i w:val="0"/>
          <w:color w:val="auto"/>
          <w:sz w:val="28"/>
          <w:szCs w:val="28"/>
        </w:rPr>
        <w:t>Roboty budowlane</w:t>
      </w:r>
      <w:bookmarkEnd w:id="62"/>
    </w:p>
    <w:p w14:paraId="3ABEA769" w14:textId="2E702CBD" w:rsidR="009B759F" w:rsidRPr="00762814" w:rsidRDefault="0076119E" w:rsidP="00762814">
      <w:pPr>
        <w:spacing w:line="276" w:lineRule="auto"/>
        <w:rPr>
          <w:rFonts w:cstheme="minorHAnsi"/>
          <w:sz w:val="24"/>
          <w:szCs w:val="24"/>
        </w:rPr>
      </w:pPr>
      <w:r w:rsidRPr="00762814">
        <w:rPr>
          <w:rFonts w:cstheme="minorHAnsi"/>
          <w:sz w:val="24"/>
          <w:szCs w:val="24"/>
        </w:rPr>
        <w:t xml:space="preserve">W ramach tej kategorii kwalifikowalne są koszty nabycia </w:t>
      </w:r>
      <w:r w:rsidR="00930477">
        <w:rPr>
          <w:rFonts w:cstheme="minorHAnsi"/>
          <w:sz w:val="24"/>
          <w:szCs w:val="24"/>
        </w:rPr>
        <w:t>robót i materiałów budowlanych.</w:t>
      </w:r>
    </w:p>
    <w:p w14:paraId="291CBE59" w14:textId="6886B5C4" w:rsidR="009B759F" w:rsidRPr="00ED6E26" w:rsidRDefault="005736E5" w:rsidP="005736E5">
      <w:pPr>
        <w:pStyle w:val="Nagwek4"/>
        <w:spacing w:before="120" w:line="276" w:lineRule="auto"/>
        <w:rPr>
          <w:rFonts w:asciiTheme="minorHAnsi" w:hAnsiTheme="minorHAnsi" w:cstheme="minorHAnsi"/>
          <w:i w:val="0"/>
          <w:color w:val="auto"/>
          <w:sz w:val="28"/>
          <w:szCs w:val="28"/>
        </w:rPr>
      </w:pPr>
      <w:bookmarkStart w:id="63" w:name="_Toc148716386"/>
      <w:r>
        <w:rPr>
          <w:rFonts w:asciiTheme="minorHAnsi" w:hAnsiTheme="minorHAnsi" w:cstheme="minorHAnsi"/>
          <w:i w:val="0"/>
          <w:color w:val="auto"/>
          <w:sz w:val="28"/>
          <w:szCs w:val="28"/>
        </w:rPr>
        <w:t xml:space="preserve">4.3.5 </w:t>
      </w:r>
      <w:r w:rsidR="00390F44" w:rsidRPr="00ED6E26">
        <w:rPr>
          <w:rFonts w:asciiTheme="minorHAnsi" w:hAnsiTheme="minorHAnsi" w:cstheme="minorHAnsi"/>
          <w:i w:val="0"/>
          <w:color w:val="auto"/>
          <w:sz w:val="28"/>
          <w:szCs w:val="28"/>
        </w:rPr>
        <w:t>Wartości niematerialne i prawne</w:t>
      </w:r>
      <w:bookmarkEnd w:id="63"/>
    </w:p>
    <w:p w14:paraId="108B38E2" w14:textId="47311766" w:rsidR="00390F44" w:rsidRPr="00762814" w:rsidRDefault="00476D6E" w:rsidP="00762814">
      <w:pPr>
        <w:spacing w:after="0" w:line="276" w:lineRule="auto"/>
        <w:rPr>
          <w:rFonts w:cstheme="minorHAnsi"/>
          <w:sz w:val="24"/>
          <w:szCs w:val="24"/>
        </w:rPr>
      </w:pPr>
      <w:r w:rsidRPr="00762814">
        <w:rPr>
          <w:rFonts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4AE6932F" w14:textId="77777777" w:rsidR="00476D6E" w:rsidRPr="00762814" w:rsidRDefault="00476D6E" w:rsidP="00BF47B4">
      <w:pPr>
        <w:pStyle w:val="Akapitzlist"/>
        <w:numPr>
          <w:ilvl w:val="0"/>
          <w:numId w:val="19"/>
        </w:numPr>
        <w:spacing w:after="120" w:line="276" w:lineRule="auto"/>
        <w:rPr>
          <w:rFonts w:cstheme="minorHAnsi"/>
          <w:sz w:val="24"/>
          <w:szCs w:val="24"/>
        </w:rPr>
      </w:pPr>
      <w:r w:rsidRPr="00762814">
        <w:rPr>
          <w:rFonts w:cstheme="minorHAnsi"/>
          <w:sz w:val="24"/>
          <w:szCs w:val="24"/>
        </w:rPr>
        <w:t>będą wykorzystywane wyłącznie w zakładzie otrzymującym pomoc,</w:t>
      </w:r>
    </w:p>
    <w:p w14:paraId="0AA954D6" w14:textId="77777777" w:rsidR="00476D6E" w:rsidRPr="00762814" w:rsidRDefault="00476D6E" w:rsidP="00BF47B4">
      <w:pPr>
        <w:pStyle w:val="Akapitzlist"/>
        <w:numPr>
          <w:ilvl w:val="0"/>
          <w:numId w:val="19"/>
        </w:numPr>
        <w:spacing w:after="120" w:line="276" w:lineRule="auto"/>
        <w:rPr>
          <w:rFonts w:cstheme="minorHAnsi"/>
          <w:sz w:val="24"/>
          <w:szCs w:val="24"/>
        </w:rPr>
      </w:pPr>
      <w:r w:rsidRPr="00762814">
        <w:rPr>
          <w:rFonts w:cstheme="minorHAnsi"/>
          <w:sz w:val="24"/>
          <w:szCs w:val="24"/>
        </w:rPr>
        <w:t>będą podlegać amortyzacji zgodnie z przepisami o rachunkowości,</w:t>
      </w:r>
    </w:p>
    <w:p w14:paraId="1D283FEE" w14:textId="7AD6EDA3" w:rsidR="00476D6E" w:rsidRPr="00762814" w:rsidRDefault="00476D6E" w:rsidP="00BF47B4">
      <w:pPr>
        <w:pStyle w:val="Akapitzlist"/>
        <w:numPr>
          <w:ilvl w:val="0"/>
          <w:numId w:val="19"/>
        </w:numPr>
        <w:spacing w:after="120" w:line="276" w:lineRule="auto"/>
        <w:rPr>
          <w:rFonts w:cstheme="minorHAnsi"/>
          <w:sz w:val="24"/>
          <w:szCs w:val="24"/>
        </w:rPr>
      </w:pPr>
      <w:r w:rsidRPr="00762814">
        <w:rPr>
          <w:rFonts w:cstheme="minorHAnsi"/>
          <w:sz w:val="24"/>
          <w:szCs w:val="24"/>
        </w:rPr>
        <w:t xml:space="preserve">zostaną nabyte na warunkach rynkowych od osób trzecich niepowiązanych </w:t>
      </w:r>
      <w:r w:rsidR="009B759F" w:rsidRPr="00762814">
        <w:rPr>
          <w:rFonts w:cstheme="minorHAnsi"/>
          <w:sz w:val="24"/>
          <w:szCs w:val="24"/>
        </w:rPr>
        <w:br/>
      </w:r>
      <w:r w:rsidRPr="00762814">
        <w:rPr>
          <w:rFonts w:cstheme="minorHAnsi"/>
          <w:sz w:val="24"/>
          <w:szCs w:val="24"/>
        </w:rPr>
        <w:t>z przedsiębiorcą otrzymującym pomoc,</w:t>
      </w:r>
    </w:p>
    <w:p w14:paraId="2C294B0E" w14:textId="578AEEC9" w:rsidR="00476D6E" w:rsidRPr="00762814" w:rsidRDefault="00476D6E" w:rsidP="00BF47B4">
      <w:pPr>
        <w:pStyle w:val="Akapitzlist"/>
        <w:numPr>
          <w:ilvl w:val="0"/>
          <w:numId w:val="19"/>
        </w:numPr>
        <w:spacing w:after="120" w:line="276" w:lineRule="auto"/>
        <w:rPr>
          <w:rFonts w:cstheme="minorHAnsi"/>
          <w:sz w:val="24"/>
          <w:szCs w:val="24"/>
        </w:rPr>
      </w:pPr>
      <w:r w:rsidRPr="00762814">
        <w:rPr>
          <w:rFonts w:cstheme="minorHAnsi"/>
          <w:sz w:val="24"/>
          <w:szCs w:val="24"/>
        </w:rPr>
        <w:t xml:space="preserve">będą stanowić aktywa przedsiębiorcy otrzymującego pomoc i pozostaną związane z projektem, na który przyznano pomoc, przez okres co najmniej </w:t>
      </w:r>
      <w:r w:rsidR="006B5B70" w:rsidRPr="00762814">
        <w:rPr>
          <w:rFonts w:cstheme="minorHAnsi"/>
          <w:sz w:val="24"/>
          <w:szCs w:val="24"/>
        </w:rPr>
        <w:t>5</w:t>
      </w:r>
      <w:r w:rsidRPr="00762814">
        <w:rPr>
          <w:rFonts w:cstheme="minorHAnsi"/>
          <w:sz w:val="24"/>
          <w:szCs w:val="24"/>
        </w:rPr>
        <w:t xml:space="preserve"> lat od dnia zakończenia realizacji projektu</w:t>
      </w:r>
      <w:r w:rsidR="006B5B70" w:rsidRPr="00762814">
        <w:rPr>
          <w:rFonts w:cstheme="minorHAnsi"/>
          <w:sz w:val="24"/>
          <w:szCs w:val="24"/>
        </w:rPr>
        <w:t xml:space="preserve"> lub </w:t>
      </w:r>
      <w:r w:rsidR="000441A3" w:rsidRPr="00762814">
        <w:rPr>
          <w:rFonts w:cstheme="minorHAnsi"/>
          <w:sz w:val="24"/>
          <w:szCs w:val="24"/>
        </w:rPr>
        <w:t xml:space="preserve">3 </w:t>
      </w:r>
      <w:r w:rsidR="006B5B70" w:rsidRPr="00762814">
        <w:rPr>
          <w:rFonts w:cstheme="minorHAnsi"/>
          <w:sz w:val="24"/>
          <w:szCs w:val="24"/>
        </w:rPr>
        <w:t>lata w przypadku MŚP</w:t>
      </w:r>
      <w:r w:rsidR="009B759F" w:rsidRPr="00762814">
        <w:rPr>
          <w:rFonts w:cstheme="minorHAnsi"/>
          <w:sz w:val="24"/>
          <w:szCs w:val="24"/>
        </w:rPr>
        <w:t>.</w:t>
      </w:r>
    </w:p>
    <w:p w14:paraId="669F2264" w14:textId="1B4F9179" w:rsidR="00EA6BED" w:rsidRPr="00762814" w:rsidRDefault="008E41BC" w:rsidP="00762814">
      <w:pPr>
        <w:spacing w:after="120" w:line="276" w:lineRule="auto"/>
        <w:rPr>
          <w:rFonts w:cstheme="minorHAnsi"/>
          <w:sz w:val="24"/>
          <w:szCs w:val="24"/>
        </w:rPr>
      </w:pPr>
      <w:r w:rsidRPr="00762814">
        <w:rPr>
          <w:rFonts w:cstheme="minorHAnsi"/>
          <w:sz w:val="24"/>
          <w:szCs w:val="24"/>
        </w:rPr>
        <w:t>W przypadku dużych przedsiębiorstw</w:t>
      </w:r>
      <w:r w:rsidR="00D91328">
        <w:t xml:space="preserve"> </w:t>
      </w:r>
      <w:r w:rsidRPr="00762814">
        <w:rPr>
          <w:rFonts w:cstheme="minorHAnsi"/>
          <w:sz w:val="24"/>
          <w:szCs w:val="24"/>
        </w:rPr>
        <w:t>koszty wartości niematerialnych i prawnych są kwalifikowalne jedynie do wysokości 50% całkowitych kwalifikowalnych kosztów inwestycji początkowej.</w:t>
      </w:r>
    </w:p>
    <w:p w14:paraId="4BE4013F" w14:textId="196DA198" w:rsidR="00C47660" w:rsidRPr="00ED6E26" w:rsidRDefault="005736E5" w:rsidP="005736E5">
      <w:pPr>
        <w:pStyle w:val="Nagwek4"/>
        <w:spacing w:before="120" w:line="276" w:lineRule="auto"/>
        <w:rPr>
          <w:rFonts w:asciiTheme="minorHAnsi" w:hAnsiTheme="minorHAnsi" w:cstheme="minorHAnsi"/>
          <w:i w:val="0"/>
          <w:color w:val="auto"/>
          <w:sz w:val="28"/>
          <w:szCs w:val="28"/>
        </w:rPr>
      </w:pPr>
      <w:bookmarkStart w:id="64" w:name="_Toc148716387"/>
      <w:r>
        <w:rPr>
          <w:rFonts w:asciiTheme="minorHAnsi" w:hAnsiTheme="minorHAnsi" w:cstheme="minorHAnsi"/>
          <w:i w:val="0"/>
          <w:color w:val="auto"/>
          <w:sz w:val="28"/>
          <w:szCs w:val="28"/>
        </w:rPr>
        <w:t xml:space="preserve">4.3.6 </w:t>
      </w:r>
      <w:r w:rsidR="00E76BD7" w:rsidRPr="00ED6E26">
        <w:rPr>
          <w:rFonts w:asciiTheme="minorHAnsi" w:hAnsiTheme="minorHAnsi" w:cstheme="minorHAnsi"/>
          <w:i w:val="0"/>
          <w:color w:val="auto"/>
          <w:sz w:val="28"/>
          <w:szCs w:val="28"/>
        </w:rPr>
        <w:t xml:space="preserve">Usługi zewnętrzne </w:t>
      </w:r>
      <w:r w:rsidR="004553F9" w:rsidRPr="00ED6E26">
        <w:rPr>
          <w:rFonts w:asciiTheme="minorHAnsi" w:hAnsiTheme="minorHAnsi" w:cstheme="minorHAnsi"/>
          <w:i w:val="0"/>
          <w:color w:val="auto"/>
          <w:sz w:val="28"/>
          <w:szCs w:val="28"/>
        </w:rPr>
        <w:t>(wsparcie innowacji)</w:t>
      </w:r>
      <w:bookmarkEnd w:id="64"/>
    </w:p>
    <w:p w14:paraId="535C944C" w14:textId="78EC65E5" w:rsidR="00017EF3" w:rsidRPr="00762814" w:rsidRDefault="0070176D" w:rsidP="00762814">
      <w:pPr>
        <w:spacing w:line="276" w:lineRule="auto"/>
        <w:rPr>
          <w:rFonts w:cstheme="minorHAnsi"/>
          <w:sz w:val="24"/>
          <w:szCs w:val="24"/>
        </w:rPr>
      </w:pPr>
      <w:r w:rsidRPr="00762814">
        <w:rPr>
          <w:rFonts w:cstheme="minorHAnsi"/>
          <w:sz w:val="24"/>
          <w:szCs w:val="24"/>
        </w:rPr>
        <w:t>W ramach tej kategorii kwalifikowalne są</w:t>
      </w:r>
      <w:r w:rsidR="00E76BD7" w:rsidRPr="00762814">
        <w:rPr>
          <w:rFonts w:cstheme="minorHAnsi"/>
          <w:sz w:val="24"/>
          <w:szCs w:val="24"/>
        </w:rPr>
        <w:t xml:space="preserve"> </w:t>
      </w:r>
      <w:r w:rsidR="00017EF3" w:rsidRPr="00762814">
        <w:rPr>
          <w:rFonts w:cstheme="minorHAnsi"/>
          <w:sz w:val="24"/>
          <w:szCs w:val="24"/>
        </w:rPr>
        <w:t>koszty udost</w:t>
      </w:r>
      <w:r w:rsidR="00B07FB9" w:rsidRPr="00762814">
        <w:rPr>
          <w:rFonts w:cstheme="minorHAnsi"/>
          <w:sz w:val="24"/>
          <w:szCs w:val="24"/>
        </w:rPr>
        <w:t>ę</w:t>
      </w:r>
      <w:r w:rsidR="00017EF3" w:rsidRPr="00762814">
        <w:rPr>
          <w:rFonts w:cstheme="minorHAnsi"/>
          <w:sz w:val="24"/>
          <w:szCs w:val="24"/>
        </w:rPr>
        <w:t xml:space="preserve">pnienia przestrzeni biurowej, banków danych, zasobów bibliotecznych, </w:t>
      </w:r>
      <w:r w:rsidR="009C0AA5" w:rsidRPr="00762814">
        <w:rPr>
          <w:rFonts w:cstheme="minorHAnsi"/>
          <w:sz w:val="24"/>
          <w:szCs w:val="24"/>
        </w:rPr>
        <w:t xml:space="preserve">usług w chmurze </w:t>
      </w:r>
      <w:r w:rsidR="009C0AA5" w:rsidRPr="00762814">
        <w:rPr>
          <w:rStyle w:val="ui-provider"/>
          <w:rFonts w:cstheme="minorHAnsi"/>
          <w:sz w:val="24"/>
          <w:szCs w:val="24"/>
        </w:rPr>
        <w:t>i usług przechowywania danych</w:t>
      </w:r>
      <w:r w:rsidR="009C0AA5" w:rsidRPr="00762814">
        <w:rPr>
          <w:rFonts w:cstheme="minorHAnsi"/>
          <w:sz w:val="24"/>
          <w:szCs w:val="24"/>
        </w:rPr>
        <w:t xml:space="preserve">, </w:t>
      </w:r>
      <w:r w:rsidR="00017EF3" w:rsidRPr="00762814">
        <w:rPr>
          <w:rFonts w:cstheme="minorHAnsi"/>
          <w:sz w:val="24"/>
          <w:szCs w:val="24"/>
        </w:rPr>
        <w:t xml:space="preserve">badań, rynku, laboratoriów, usług w zakresie zdolności obliczeniowych, takie jak oferowane przez High-performance computing (HPC) koszty znakowania, testowania i certyfikacji jakości </w:t>
      </w:r>
      <w:r w:rsidR="00084B78" w:rsidRPr="00762814">
        <w:rPr>
          <w:rFonts w:cstheme="minorHAnsi"/>
          <w:sz w:val="24"/>
          <w:szCs w:val="24"/>
        </w:rPr>
        <w:br/>
      </w:r>
      <w:r w:rsidR="00017EF3" w:rsidRPr="00762814">
        <w:rPr>
          <w:rFonts w:cstheme="minorHAnsi"/>
          <w:sz w:val="24"/>
          <w:szCs w:val="24"/>
        </w:rPr>
        <w:t>w celu opracowania bardziej efektywnych produktów procesów i usług</w:t>
      </w:r>
      <w:r w:rsidR="00E76BD7" w:rsidRPr="00762814">
        <w:rPr>
          <w:rFonts w:cstheme="minorHAnsi"/>
          <w:sz w:val="24"/>
          <w:szCs w:val="24"/>
        </w:rPr>
        <w:t>.</w:t>
      </w:r>
    </w:p>
    <w:p w14:paraId="21B20B6B" w14:textId="5ED7FAC7" w:rsidR="00017EF3" w:rsidRPr="00762814" w:rsidRDefault="008517DF" w:rsidP="00762814">
      <w:pPr>
        <w:spacing w:after="120" w:line="276" w:lineRule="auto"/>
        <w:rPr>
          <w:rFonts w:cstheme="minorHAnsi"/>
          <w:b/>
          <w:bCs/>
          <w:sz w:val="24"/>
          <w:szCs w:val="24"/>
        </w:rPr>
      </w:pPr>
      <w:r w:rsidRPr="00762814">
        <w:rPr>
          <w:rFonts w:cstheme="minorHAnsi"/>
          <w:b/>
          <w:bCs/>
          <w:sz w:val="24"/>
          <w:szCs w:val="24"/>
        </w:rPr>
        <w:t>D</w:t>
      </w:r>
      <w:r w:rsidR="00017EF3" w:rsidRPr="00762814">
        <w:rPr>
          <w:rFonts w:cstheme="minorHAnsi"/>
          <w:b/>
          <w:bCs/>
          <w:sz w:val="24"/>
          <w:szCs w:val="24"/>
        </w:rPr>
        <w:t>la MŚP</w:t>
      </w:r>
      <w:r w:rsidRPr="00762814">
        <w:rPr>
          <w:rFonts w:cstheme="minorHAnsi"/>
          <w:b/>
          <w:bCs/>
          <w:sz w:val="24"/>
          <w:szCs w:val="24"/>
        </w:rPr>
        <w:t xml:space="preserve"> koszty te są objęte</w:t>
      </w:r>
      <w:r w:rsidR="00017EF3" w:rsidRPr="00762814">
        <w:rPr>
          <w:rFonts w:cstheme="minorHAnsi"/>
          <w:b/>
          <w:bCs/>
          <w:sz w:val="24"/>
          <w:szCs w:val="24"/>
        </w:rPr>
        <w:t xml:space="preserve"> pomoc</w:t>
      </w:r>
      <w:r w:rsidRPr="00762814">
        <w:rPr>
          <w:rFonts w:cstheme="minorHAnsi"/>
          <w:b/>
          <w:bCs/>
          <w:sz w:val="24"/>
          <w:szCs w:val="24"/>
        </w:rPr>
        <w:t>ą</w:t>
      </w:r>
      <w:r w:rsidR="00017EF3" w:rsidRPr="00762814">
        <w:rPr>
          <w:rFonts w:cstheme="minorHAnsi"/>
          <w:b/>
          <w:bCs/>
          <w:sz w:val="24"/>
          <w:szCs w:val="24"/>
        </w:rPr>
        <w:t xml:space="preserve"> z art. 28 </w:t>
      </w:r>
      <w:r w:rsidR="00F80082" w:rsidRPr="00762814">
        <w:rPr>
          <w:rFonts w:cstheme="minorHAnsi"/>
          <w:b/>
          <w:bCs/>
          <w:sz w:val="24"/>
          <w:szCs w:val="24"/>
        </w:rPr>
        <w:t>r</w:t>
      </w:r>
      <w:r w:rsidRPr="00762814">
        <w:rPr>
          <w:rFonts w:cstheme="minorHAnsi"/>
          <w:b/>
          <w:bCs/>
          <w:sz w:val="24"/>
          <w:szCs w:val="24"/>
        </w:rPr>
        <w:t xml:space="preserve">ozporządzenia </w:t>
      </w:r>
      <w:r w:rsidR="00F80082" w:rsidRPr="00762814">
        <w:rPr>
          <w:rFonts w:cstheme="minorHAnsi"/>
          <w:b/>
          <w:bCs/>
          <w:sz w:val="24"/>
          <w:szCs w:val="24"/>
        </w:rPr>
        <w:t xml:space="preserve">Komisji (UE) nr </w:t>
      </w:r>
      <w:r w:rsidRPr="00762814">
        <w:rPr>
          <w:rFonts w:cstheme="minorHAnsi"/>
          <w:b/>
          <w:bCs/>
          <w:sz w:val="24"/>
          <w:szCs w:val="24"/>
        </w:rPr>
        <w:t xml:space="preserve">651/2014 </w:t>
      </w:r>
      <w:r w:rsidR="00017EF3" w:rsidRPr="00762814">
        <w:rPr>
          <w:rFonts w:cstheme="minorHAnsi"/>
          <w:b/>
          <w:bCs/>
          <w:sz w:val="24"/>
          <w:szCs w:val="24"/>
        </w:rPr>
        <w:t>(usługi wsparcia innowacji</w:t>
      </w:r>
      <w:r w:rsidR="00E76BD7" w:rsidRPr="00762814">
        <w:rPr>
          <w:rFonts w:cstheme="minorHAnsi"/>
          <w:b/>
          <w:bCs/>
          <w:sz w:val="24"/>
          <w:szCs w:val="24"/>
        </w:rPr>
        <w:t>,</w:t>
      </w:r>
      <w:r w:rsidR="00017EF3" w:rsidRPr="00762814">
        <w:rPr>
          <w:rFonts w:cstheme="minorHAnsi"/>
          <w:b/>
          <w:bCs/>
          <w:sz w:val="24"/>
          <w:szCs w:val="24"/>
        </w:rPr>
        <w:t xml:space="preserve"> o których mowa w art. 2 pkt 95), natomiast dla dużych przedsiębiorców </w:t>
      </w:r>
      <w:r w:rsidRPr="00762814">
        <w:rPr>
          <w:rFonts w:cstheme="minorHAnsi"/>
          <w:b/>
          <w:bCs/>
          <w:sz w:val="24"/>
          <w:szCs w:val="24"/>
        </w:rPr>
        <w:t xml:space="preserve">– </w:t>
      </w:r>
      <w:r w:rsidR="00017EF3" w:rsidRPr="00762814">
        <w:rPr>
          <w:rFonts w:cstheme="minorHAnsi"/>
          <w:b/>
          <w:bCs/>
          <w:sz w:val="24"/>
          <w:szCs w:val="24"/>
        </w:rPr>
        <w:t>pomoc</w:t>
      </w:r>
      <w:r w:rsidRPr="00762814">
        <w:rPr>
          <w:rFonts w:cstheme="minorHAnsi"/>
          <w:b/>
          <w:bCs/>
          <w:sz w:val="24"/>
          <w:szCs w:val="24"/>
        </w:rPr>
        <w:t>ą</w:t>
      </w:r>
      <w:r w:rsidR="00017EF3" w:rsidRPr="00762814">
        <w:rPr>
          <w:rFonts w:cstheme="minorHAnsi"/>
          <w:b/>
          <w:bCs/>
          <w:sz w:val="24"/>
          <w:szCs w:val="24"/>
        </w:rPr>
        <w:t xml:space="preserve"> de minimis.</w:t>
      </w:r>
    </w:p>
    <w:p w14:paraId="2DC00917" w14:textId="3DE70A44" w:rsidR="00BC6089" w:rsidRPr="00ED6E26" w:rsidRDefault="005736E5" w:rsidP="005736E5">
      <w:pPr>
        <w:pStyle w:val="Nagwek4"/>
        <w:spacing w:before="120" w:line="276" w:lineRule="auto"/>
        <w:rPr>
          <w:rFonts w:asciiTheme="minorHAnsi" w:hAnsiTheme="minorHAnsi" w:cstheme="minorHAnsi"/>
          <w:i w:val="0"/>
          <w:color w:val="auto"/>
          <w:sz w:val="28"/>
          <w:szCs w:val="28"/>
        </w:rPr>
      </w:pPr>
      <w:bookmarkStart w:id="65" w:name="_Toc124327573"/>
      <w:bookmarkStart w:id="66" w:name="_Toc124328130"/>
      <w:bookmarkStart w:id="67" w:name="_Toc124329403"/>
      <w:bookmarkStart w:id="68" w:name="_Toc124329515"/>
      <w:bookmarkStart w:id="69" w:name="_Toc124329611"/>
      <w:bookmarkStart w:id="70" w:name="_Toc124329707"/>
      <w:bookmarkStart w:id="71" w:name="_Toc124329803"/>
      <w:bookmarkStart w:id="72" w:name="_Toc124330740"/>
      <w:bookmarkStart w:id="73" w:name="_Toc124330836"/>
      <w:bookmarkStart w:id="74" w:name="_Toc148716388"/>
      <w:bookmarkEnd w:id="65"/>
      <w:bookmarkEnd w:id="66"/>
      <w:bookmarkEnd w:id="67"/>
      <w:bookmarkEnd w:id="68"/>
      <w:bookmarkEnd w:id="69"/>
      <w:bookmarkEnd w:id="70"/>
      <w:bookmarkEnd w:id="71"/>
      <w:bookmarkEnd w:id="72"/>
      <w:bookmarkEnd w:id="73"/>
      <w:r>
        <w:rPr>
          <w:rFonts w:asciiTheme="minorHAnsi" w:hAnsiTheme="minorHAnsi" w:cstheme="minorHAnsi"/>
          <w:i w:val="0"/>
          <w:color w:val="auto"/>
          <w:sz w:val="28"/>
          <w:szCs w:val="28"/>
        </w:rPr>
        <w:t xml:space="preserve">4.3.7 </w:t>
      </w:r>
      <w:r w:rsidR="00E76BD7" w:rsidRPr="00ED6E26">
        <w:rPr>
          <w:rFonts w:asciiTheme="minorHAnsi" w:hAnsiTheme="minorHAnsi" w:cstheme="minorHAnsi"/>
          <w:i w:val="0"/>
          <w:color w:val="auto"/>
          <w:sz w:val="28"/>
          <w:szCs w:val="28"/>
        </w:rPr>
        <w:t>Usługi zewnętrzne</w:t>
      </w:r>
      <w:r w:rsidR="00A23B26" w:rsidRPr="00ED6E26">
        <w:rPr>
          <w:rFonts w:asciiTheme="minorHAnsi" w:hAnsiTheme="minorHAnsi" w:cstheme="minorHAnsi"/>
          <w:i w:val="0"/>
          <w:color w:val="auto"/>
          <w:sz w:val="28"/>
          <w:szCs w:val="28"/>
        </w:rPr>
        <w:t xml:space="preserve"> </w:t>
      </w:r>
      <w:r w:rsidR="00E76BD7" w:rsidRPr="00ED6E26">
        <w:rPr>
          <w:rFonts w:asciiTheme="minorHAnsi" w:hAnsiTheme="minorHAnsi" w:cstheme="minorHAnsi"/>
          <w:i w:val="0"/>
          <w:color w:val="auto"/>
          <w:sz w:val="28"/>
          <w:szCs w:val="28"/>
        </w:rPr>
        <w:t>(</w:t>
      </w:r>
      <w:r w:rsidR="00A23B26" w:rsidRPr="00ED6E26">
        <w:rPr>
          <w:rFonts w:asciiTheme="minorHAnsi" w:hAnsiTheme="minorHAnsi" w:cstheme="minorHAnsi"/>
          <w:i w:val="0"/>
          <w:color w:val="auto"/>
          <w:sz w:val="28"/>
          <w:szCs w:val="28"/>
        </w:rPr>
        <w:t>doradztwo</w:t>
      </w:r>
      <w:r w:rsidR="00E76BD7" w:rsidRPr="00ED6E26">
        <w:rPr>
          <w:rFonts w:asciiTheme="minorHAnsi" w:hAnsiTheme="minorHAnsi" w:cstheme="minorHAnsi"/>
          <w:i w:val="0"/>
          <w:color w:val="auto"/>
          <w:sz w:val="28"/>
          <w:szCs w:val="28"/>
        </w:rPr>
        <w:t>)</w:t>
      </w:r>
      <w:bookmarkEnd w:id="74"/>
    </w:p>
    <w:p w14:paraId="01049AFD" w14:textId="5D7BEC61" w:rsidR="00E10A4D" w:rsidRPr="00762814" w:rsidRDefault="00FE075C" w:rsidP="00762814">
      <w:pPr>
        <w:spacing w:after="120" w:line="276" w:lineRule="auto"/>
        <w:rPr>
          <w:rFonts w:cstheme="minorHAnsi"/>
          <w:sz w:val="24"/>
          <w:szCs w:val="24"/>
        </w:rPr>
      </w:pPr>
      <w:r w:rsidRPr="00762814">
        <w:rPr>
          <w:rFonts w:cstheme="minorHAnsi"/>
          <w:sz w:val="24"/>
          <w:szCs w:val="24"/>
        </w:rPr>
        <w:t>K</w:t>
      </w:r>
      <w:r w:rsidR="003C05AD" w:rsidRPr="00762814">
        <w:rPr>
          <w:rFonts w:cstheme="minorHAnsi"/>
          <w:sz w:val="24"/>
          <w:szCs w:val="24"/>
        </w:rPr>
        <w:t>oszty</w:t>
      </w:r>
      <w:r w:rsidR="00F13262" w:rsidRPr="00762814">
        <w:rPr>
          <w:rFonts w:cstheme="minorHAnsi"/>
          <w:sz w:val="24"/>
          <w:szCs w:val="24"/>
        </w:rPr>
        <w:t xml:space="preserve"> </w:t>
      </w:r>
      <w:r w:rsidR="003C05AD" w:rsidRPr="00762814">
        <w:rPr>
          <w:rFonts w:cstheme="minorHAnsi"/>
          <w:sz w:val="24"/>
          <w:szCs w:val="24"/>
        </w:rPr>
        <w:t xml:space="preserve">usług doradczych </w:t>
      </w:r>
      <w:r w:rsidR="008517DF" w:rsidRPr="00762814">
        <w:rPr>
          <w:rFonts w:cstheme="minorHAnsi"/>
          <w:sz w:val="24"/>
          <w:szCs w:val="24"/>
        </w:rPr>
        <w:t xml:space="preserve">niezbędnych do wdrożenia innowacji </w:t>
      </w:r>
      <w:r w:rsidR="003C05AD" w:rsidRPr="00762814">
        <w:rPr>
          <w:rFonts w:cstheme="minorHAnsi"/>
          <w:sz w:val="24"/>
          <w:szCs w:val="24"/>
        </w:rPr>
        <w:t xml:space="preserve">świadczonych przez doradców zewnętrznych. Usługi realizowane wewnętrznie u </w:t>
      </w:r>
      <w:r w:rsidR="003E6B5E" w:rsidRPr="00762814">
        <w:rPr>
          <w:rFonts w:cstheme="minorHAnsi"/>
          <w:sz w:val="24"/>
          <w:szCs w:val="24"/>
        </w:rPr>
        <w:t xml:space="preserve">Wnioskodawcy </w:t>
      </w:r>
      <w:r w:rsidR="003C05AD" w:rsidRPr="00762814">
        <w:rPr>
          <w:rFonts w:cstheme="minorHAnsi"/>
          <w:sz w:val="24"/>
          <w:szCs w:val="24"/>
        </w:rPr>
        <w:t xml:space="preserve">(przez pracowników </w:t>
      </w:r>
      <w:r w:rsidR="003E6B5E" w:rsidRPr="00762814">
        <w:rPr>
          <w:rFonts w:cstheme="minorHAnsi"/>
          <w:sz w:val="24"/>
          <w:szCs w:val="24"/>
        </w:rPr>
        <w:t>Wnioskodawcy</w:t>
      </w:r>
      <w:r w:rsidR="003C05AD" w:rsidRPr="00762814">
        <w:rPr>
          <w:rFonts w:cstheme="minorHAnsi"/>
          <w:sz w:val="24"/>
          <w:szCs w:val="24"/>
        </w:rPr>
        <w:t xml:space="preserve">) </w:t>
      </w:r>
      <w:r w:rsidR="00BD077C" w:rsidRPr="00762814">
        <w:rPr>
          <w:rFonts w:cstheme="minorHAnsi"/>
          <w:sz w:val="24"/>
          <w:szCs w:val="24"/>
        </w:rPr>
        <w:t>oraz przez osoby i podmioty z nim powiązane</w:t>
      </w:r>
      <w:r w:rsidR="008A5918" w:rsidRPr="00762814">
        <w:rPr>
          <w:rStyle w:val="Odwoanieprzypisudolnego"/>
          <w:rFonts w:cstheme="minorHAnsi"/>
          <w:sz w:val="24"/>
          <w:szCs w:val="24"/>
        </w:rPr>
        <w:footnoteReference w:id="5"/>
      </w:r>
      <w:r w:rsidR="00BD077C" w:rsidRPr="00762814">
        <w:rPr>
          <w:rFonts w:cstheme="minorHAnsi"/>
          <w:sz w:val="24"/>
          <w:szCs w:val="24"/>
        </w:rPr>
        <w:t xml:space="preserve"> </w:t>
      </w:r>
      <w:r w:rsidR="003C05AD" w:rsidRPr="00762814">
        <w:rPr>
          <w:rFonts w:cstheme="minorHAnsi"/>
          <w:sz w:val="24"/>
          <w:szCs w:val="24"/>
        </w:rPr>
        <w:t>są niekwalifikowalne. Usługi doradcze nie mogą mieć charakteru ciągłego ani okresowego, nie mogą być też związane z bieżącą działalnością operacyjną, w szczególności w zakresie doradztwa podatkowego, księgowego, stałej obsługi prawnej lub reklamy.</w:t>
      </w:r>
    </w:p>
    <w:p w14:paraId="560A4374" w14:textId="42D4D247" w:rsidR="000C5A40" w:rsidRPr="00762814" w:rsidRDefault="003C05AD" w:rsidP="00762814">
      <w:pPr>
        <w:spacing w:after="120" w:line="276" w:lineRule="auto"/>
        <w:rPr>
          <w:rFonts w:cstheme="minorHAnsi"/>
          <w:b/>
          <w:bCs/>
          <w:sz w:val="24"/>
          <w:szCs w:val="24"/>
        </w:rPr>
      </w:pPr>
      <w:r w:rsidRPr="00762814">
        <w:rPr>
          <w:rFonts w:cstheme="minorHAnsi"/>
          <w:b/>
          <w:bCs/>
          <w:sz w:val="24"/>
          <w:szCs w:val="24"/>
        </w:rPr>
        <w:t xml:space="preserve">Dla MŚP koszty te są </w:t>
      </w:r>
      <w:r w:rsidR="008517DF" w:rsidRPr="00762814">
        <w:rPr>
          <w:rFonts w:cstheme="minorHAnsi"/>
          <w:b/>
          <w:bCs/>
          <w:sz w:val="24"/>
          <w:szCs w:val="24"/>
        </w:rPr>
        <w:t xml:space="preserve">objęte </w:t>
      </w:r>
      <w:r w:rsidRPr="00762814">
        <w:rPr>
          <w:rFonts w:cstheme="minorHAnsi"/>
          <w:b/>
          <w:bCs/>
          <w:sz w:val="24"/>
          <w:szCs w:val="24"/>
        </w:rPr>
        <w:t>pomoc</w:t>
      </w:r>
      <w:r w:rsidR="008517DF" w:rsidRPr="00762814">
        <w:rPr>
          <w:rFonts w:cstheme="minorHAnsi"/>
          <w:b/>
          <w:bCs/>
          <w:sz w:val="24"/>
          <w:szCs w:val="24"/>
        </w:rPr>
        <w:t>ą</w:t>
      </w:r>
      <w:r w:rsidRPr="00762814">
        <w:rPr>
          <w:rFonts w:cstheme="minorHAnsi"/>
          <w:b/>
          <w:bCs/>
          <w:sz w:val="24"/>
          <w:szCs w:val="24"/>
        </w:rPr>
        <w:t xml:space="preserve"> z art. 18</w:t>
      </w:r>
      <w:r w:rsidR="00E76BD7" w:rsidRPr="00762814">
        <w:rPr>
          <w:rFonts w:cstheme="minorHAnsi"/>
          <w:b/>
          <w:bCs/>
          <w:sz w:val="24"/>
          <w:szCs w:val="24"/>
        </w:rPr>
        <w:t xml:space="preserve"> </w:t>
      </w:r>
      <w:r w:rsidR="00860607" w:rsidRPr="00762814">
        <w:rPr>
          <w:rFonts w:cstheme="minorHAnsi"/>
          <w:b/>
          <w:bCs/>
          <w:sz w:val="24"/>
          <w:szCs w:val="24"/>
        </w:rPr>
        <w:t>r</w:t>
      </w:r>
      <w:r w:rsidR="00E76BD7" w:rsidRPr="00762814">
        <w:rPr>
          <w:rFonts w:cstheme="minorHAnsi"/>
          <w:b/>
          <w:bCs/>
          <w:sz w:val="24"/>
          <w:szCs w:val="24"/>
        </w:rPr>
        <w:t xml:space="preserve">ozporządzenia </w:t>
      </w:r>
      <w:r w:rsidR="00860607" w:rsidRPr="00762814">
        <w:rPr>
          <w:rFonts w:cstheme="minorHAnsi"/>
          <w:b/>
          <w:bCs/>
          <w:sz w:val="24"/>
          <w:szCs w:val="24"/>
        </w:rPr>
        <w:t xml:space="preserve">Komisji (UE) nr </w:t>
      </w:r>
      <w:r w:rsidR="00E76BD7" w:rsidRPr="00762814">
        <w:rPr>
          <w:rFonts w:cstheme="minorHAnsi"/>
          <w:b/>
          <w:bCs/>
          <w:sz w:val="24"/>
          <w:szCs w:val="24"/>
        </w:rPr>
        <w:t>651/2014</w:t>
      </w:r>
      <w:r w:rsidRPr="00762814">
        <w:rPr>
          <w:rFonts w:cstheme="minorHAnsi"/>
          <w:b/>
          <w:bCs/>
          <w:sz w:val="24"/>
          <w:szCs w:val="24"/>
        </w:rPr>
        <w:t xml:space="preserve">, natomiast dla dużych przedsiębiorców </w:t>
      </w:r>
      <w:r w:rsidR="008517DF" w:rsidRPr="00762814">
        <w:rPr>
          <w:rFonts w:cstheme="minorHAnsi"/>
          <w:b/>
          <w:bCs/>
          <w:sz w:val="24"/>
          <w:szCs w:val="24"/>
        </w:rPr>
        <w:t>–</w:t>
      </w:r>
      <w:r w:rsidRPr="00762814">
        <w:rPr>
          <w:rFonts w:cstheme="minorHAnsi"/>
          <w:b/>
          <w:bCs/>
          <w:sz w:val="24"/>
          <w:szCs w:val="24"/>
        </w:rPr>
        <w:t xml:space="preserve"> pomoc</w:t>
      </w:r>
      <w:r w:rsidR="008517DF" w:rsidRPr="00762814">
        <w:rPr>
          <w:rFonts w:cstheme="minorHAnsi"/>
          <w:b/>
          <w:bCs/>
          <w:sz w:val="24"/>
          <w:szCs w:val="24"/>
        </w:rPr>
        <w:t>ą</w:t>
      </w:r>
      <w:r w:rsidRPr="00762814">
        <w:rPr>
          <w:rFonts w:cstheme="minorHAnsi"/>
          <w:b/>
          <w:bCs/>
          <w:sz w:val="24"/>
          <w:szCs w:val="24"/>
        </w:rPr>
        <w:t xml:space="preserve"> de minimis.</w:t>
      </w:r>
    </w:p>
    <w:p w14:paraId="12A3C79F" w14:textId="067288BC" w:rsidR="00C47660" w:rsidRPr="00ED6E26" w:rsidRDefault="005736E5" w:rsidP="005736E5">
      <w:pPr>
        <w:pStyle w:val="Nagwek4"/>
        <w:spacing w:before="120" w:line="276" w:lineRule="auto"/>
        <w:rPr>
          <w:rFonts w:asciiTheme="minorHAnsi" w:hAnsiTheme="minorHAnsi" w:cstheme="minorHAnsi"/>
          <w:i w:val="0"/>
          <w:color w:val="auto"/>
          <w:sz w:val="28"/>
          <w:szCs w:val="28"/>
        </w:rPr>
      </w:pPr>
      <w:bookmarkStart w:id="75" w:name="_Toc148716389"/>
      <w:bookmarkStart w:id="76" w:name="_Hlk121481406"/>
      <w:r>
        <w:rPr>
          <w:rFonts w:asciiTheme="minorHAnsi" w:hAnsiTheme="minorHAnsi" w:cstheme="minorHAnsi"/>
          <w:i w:val="0"/>
          <w:color w:val="auto"/>
          <w:sz w:val="28"/>
          <w:szCs w:val="28"/>
        </w:rPr>
        <w:t xml:space="preserve">4.3.8 </w:t>
      </w:r>
      <w:r w:rsidR="007E6B07" w:rsidRPr="00ED6E26">
        <w:rPr>
          <w:rFonts w:asciiTheme="minorHAnsi" w:hAnsiTheme="minorHAnsi" w:cstheme="minorHAnsi"/>
          <w:i w:val="0"/>
          <w:color w:val="auto"/>
          <w:sz w:val="28"/>
          <w:szCs w:val="28"/>
        </w:rPr>
        <w:t>Podatki i opłaty</w:t>
      </w:r>
      <w:bookmarkEnd w:id="75"/>
      <w:r w:rsidR="007E6B07" w:rsidRPr="00ED6E26">
        <w:rPr>
          <w:rFonts w:asciiTheme="minorHAnsi" w:hAnsiTheme="minorHAnsi" w:cstheme="minorHAnsi"/>
          <w:i w:val="0"/>
          <w:color w:val="auto"/>
          <w:sz w:val="28"/>
          <w:szCs w:val="28"/>
        </w:rPr>
        <w:t xml:space="preserve"> </w:t>
      </w:r>
    </w:p>
    <w:p w14:paraId="23C8D4EC" w14:textId="2998439C" w:rsidR="00C30BC5" w:rsidRPr="00762814" w:rsidRDefault="00C30BC5" w:rsidP="00762814">
      <w:pPr>
        <w:spacing w:after="120" w:line="276" w:lineRule="auto"/>
        <w:rPr>
          <w:rFonts w:cstheme="minorHAnsi"/>
          <w:sz w:val="24"/>
          <w:szCs w:val="24"/>
        </w:rPr>
      </w:pPr>
      <w:r w:rsidRPr="00762814">
        <w:rPr>
          <w:rFonts w:cstheme="minorHAnsi"/>
          <w:sz w:val="24"/>
          <w:szCs w:val="24"/>
        </w:rPr>
        <w:t>Dodatkowe zabezpieczenie umowy w formie gwarancji bankowej lub ubezpieczeniowej w module Wdrożenie innowacji co do zasady nie jest obowiązkowe. Instytucja udzielająca dofinansowania może jednak zażądać ustanowienia takiego zabezpieczenia, które obejmować będzie część zwrotną dofinansowania udzielanego w formie dotacji zwrotnej. Wnioskodawca może więc przewidzieć koszt tego zabezpieczenia we wniosku. Kwalifikowalne są wyłącznie wydatki na zabezpieczenie poniesione w okresie realizacji modułu.</w:t>
      </w:r>
    </w:p>
    <w:p w14:paraId="6A9D2578" w14:textId="77777777" w:rsidR="00C30BC5" w:rsidRPr="00762814" w:rsidRDefault="00C30BC5" w:rsidP="00762814">
      <w:pPr>
        <w:spacing w:after="120" w:line="276" w:lineRule="auto"/>
        <w:rPr>
          <w:rFonts w:cstheme="minorHAnsi"/>
          <w:sz w:val="24"/>
          <w:szCs w:val="24"/>
        </w:rPr>
      </w:pPr>
      <w:r w:rsidRPr="00762814">
        <w:rPr>
          <w:rFonts w:cstheme="minorHAnsi"/>
          <w:sz w:val="24"/>
          <w:szCs w:val="24"/>
        </w:rPr>
        <w:t xml:space="preserve">Jeżeli koszt zabezpieczenia nie zostanie przewidziany we wniosku w Harmonogramie rzeczowo-finansowym modułu, nie będzie mógł zostać objęty dofinansowaniem. </w:t>
      </w:r>
    </w:p>
    <w:p w14:paraId="113B40BB" w14:textId="70276841" w:rsidR="0087370E" w:rsidRPr="00762814" w:rsidRDefault="003601F4" w:rsidP="00762814">
      <w:pPr>
        <w:spacing w:after="0" w:line="276" w:lineRule="auto"/>
        <w:rPr>
          <w:rFonts w:cstheme="minorHAnsi"/>
          <w:sz w:val="24"/>
          <w:szCs w:val="24"/>
        </w:rPr>
      </w:pPr>
      <w:r w:rsidRPr="00762814">
        <w:rPr>
          <w:rFonts w:cstheme="minorHAnsi"/>
          <w:b/>
          <w:sz w:val="24"/>
          <w:szCs w:val="24"/>
        </w:rPr>
        <w:t xml:space="preserve">Koszt ten </w:t>
      </w:r>
      <w:r w:rsidR="004D4C94" w:rsidRPr="00762814">
        <w:rPr>
          <w:rFonts w:cstheme="minorHAnsi"/>
          <w:b/>
          <w:sz w:val="24"/>
          <w:szCs w:val="24"/>
        </w:rPr>
        <w:t xml:space="preserve">zarówno </w:t>
      </w:r>
      <w:r w:rsidR="0087370E" w:rsidRPr="00762814">
        <w:rPr>
          <w:rFonts w:cstheme="minorHAnsi"/>
          <w:b/>
          <w:sz w:val="24"/>
          <w:szCs w:val="24"/>
        </w:rPr>
        <w:t>dla M</w:t>
      </w:r>
      <w:r w:rsidR="00F369A0" w:rsidRPr="00762814">
        <w:rPr>
          <w:rFonts w:cstheme="minorHAnsi"/>
          <w:b/>
          <w:sz w:val="24"/>
          <w:szCs w:val="24"/>
        </w:rPr>
        <w:t>Ś</w:t>
      </w:r>
      <w:r w:rsidR="0087370E" w:rsidRPr="00762814">
        <w:rPr>
          <w:rFonts w:cstheme="minorHAnsi"/>
          <w:b/>
          <w:sz w:val="24"/>
          <w:szCs w:val="24"/>
        </w:rPr>
        <w:t>P</w:t>
      </w:r>
      <w:r w:rsidR="00F369A0" w:rsidRPr="00762814">
        <w:rPr>
          <w:rFonts w:cstheme="minorHAnsi"/>
          <w:b/>
          <w:sz w:val="24"/>
          <w:szCs w:val="24"/>
        </w:rPr>
        <w:t>,</w:t>
      </w:r>
      <w:r w:rsidR="0087370E" w:rsidRPr="00762814">
        <w:rPr>
          <w:rFonts w:cstheme="minorHAnsi"/>
          <w:b/>
          <w:sz w:val="24"/>
          <w:szCs w:val="24"/>
        </w:rPr>
        <w:t xml:space="preserve"> jak i dużych przedsiębiorców </w:t>
      </w:r>
      <w:r w:rsidR="004D4C94" w:rsidRPr="00762814">
        <w:rPr>
          <w:rFonts w:cstheme="minorHAnsi"/>
          <w:b/>
          <w:sz w:val="24"/>
          <w:szCs w:val="24"/>
        </w:rPr>
        <w:t>jest objęty</w:t>
      </w:r>
      <w:r w:rsidR="0087370E" w:rsidRPr="00762814">
        <w:rPr>
          <w:rFonts w:cstheme="minorHAnsi"/>
          <w:b/>
          <w:sz w:val="24"/>
          <w:szCs w:val="24"/>
        </w:rPr>
        <w:t xml:space="preserve"> pomoc</w:t>
      </w:r>
      <w:r w:rsidR="004D4C94" w:rsidRPr="00762814">
        <w:rPr>
          <w:rFonts w:cstheme="minorHAnsi"/>
          <w:b/>
          <w:sz w:val="24"/>
          <w:szCs w:val="24"/>
        </w:rPr>
        <w:t>ą</w:t>
      </w:r>
      <w:r w:rsidR="0087370E" w:rsidRPr="00762814">
        <w:rPr>
          <w:rFonts w:cstheme="minorHAnsi"/>
          <w:b/>
          <w:sz w:val="24"/>
          <w:szCs w:val="24"/>
        </w:rPr>
        <w:t xml:space="preserve"> de minimis</w:t>
      </w:r>
      <w:r w:rsidR="0087370E" w:rsidRPr="00762814">
        <w:rPr>
          <w:rFonts w:cstheme="minorHAnsi"/>
          <w:sz w:val="24"/>
          <w:szCs w:val="24"/>
        </w:rPr>
        <w:t>.</w:t>
      </w:r>
    </w:p>
    <w:bookmarkEnd w:id="76"/>
    <w:p w14:paraId="03ECC64E" w14:textId="4500AE31" w:rsidR="00155CD5" w:rsidRPr="00762814" w:rsidRDefault="00155CD5" w:rsidP="00762814">
      <w:pPr>
        <w:spacing w:line="276" w:lineRule="auto"/>
        <w:rPr>
          <w:rFonts w:cstheme="minorHAnsi"/>
          <w:b/>
          <w:bCs/>
          <w:sz w:val="24"/>
          <w:szCs w:val="24"/>
        </w:rPr>
      </w:pPr>
      <w:r w:rsidRPr="00762814">
        <w:rPr>
          <w:rFonts w:cstheme="minorHAnsi"/>
          <w:b/>
          <w:bCs/>
          <w:sz w:val="24"/>
          <w:szCs w:val="24"/>
        </w:rPr>
        <w:br w:type="page"/>
      </w:r>
    </w:p>
    <w:p w14:paraId="2D806140" w14:textId="7993D26B" w:rsidR="00A23B26" w:rsidRPr="00930477" w:rsidRDefault="003070B3" w:rsidP="00BF47B4">
      <w:pPr>
        <w:pStyle w:val="Nagwek2"/>
        <w:numPr>
          <w:ilvl w:val="0"/>
          <w:numId w:val="38"/>
        </w:numPr>
        <w:spacing w:line="276" w:lineRule="auto"/>
        <w:ind w:left="714" w:hanging="357"/>
        <w:rPr>
          <w:rFonts w:asciiTheme="minorHAnsi" w:hAnsiTheme="minorHAnsi" w:cstheme="minorHAnsi"/>
          <w:b/>
          <w:color w:val="auto"/>
          <w:sz w:val="36"/>
          <w:szCs w:val="36"/>
        </w:rPr>
      </w:pPr>
      <w:r w:rsidRPr="00930477">
        <w:rPr>
          <w:rFonts w:asciiTheme="minorHAnsi" w:hAnsiTheme="minorHAnsi" w:cstheme="minorHAnsi"/>
          <w:b/>
          <w:color w:val="auto"/>
          <w:sz w:val="36"/>
          <w:szCs w:val="36"/>
        </w:rPr>
        <w:t xml:space="preserve"> </w:t>
      </w:r>
      <w:bookmarkStart w:id="77" w:name="_Toc148716390"/>
      <w:r w:rsidR="00722C21" w:rsidRPr="00930477">
        <w:rPr>
          <w:rFonts w:asciiTheme="minorHAnsi" w:hAnsiTheme="minorHAnsi" w:cstheme="minorHAnsi"/>
          <w:b/>
          <w:color w:val="auto"/>
          <w:sz w:val="36"/>
          <w:szCs w:val="36"/>
        </w:rPr>
        <w:t xml:space="preserve">Wydatki kwalifikowalne modułu infrastruktura </w:t>
      </w:r>
      <w:r w:rsidR="00722C21">
        <w:rPr>
          <w:rFonts w:asciiTheme="minorHAnsi" w:hAnsiTheme="minorHAnsi" w:cstheme="minorHAnsi"/>
          <w:b/>
          <w:color w:val="auto"/>
          <w:sz w:val="36"/>
          <w:szCs w:val="36"/>
        </w:rPr>
        <w:t>B+R</w:t>
      </w:r>
      <w:bookmarkEnd w:id="77"/>
    </w:p>
    <w:p w14:paraId="5E6F1786" w14:textId="00687339" w:rsidR="00A23B26" w:rsidRPr="00930477" w:rsidRDefault="00A02D6C" w:rsidP="007B6552">
      <w:pPr>
        <w:pStyle w:val="Nagwek3"/>
        <w:spacing w:before="360" w:line="276" w:lineRule="auto"/>
        <w:rPr>
          <w:rFonts w:asciiTheme="minorHAnsi" w:hAnsiTheme="minorHAnsi" w:cstheme="minorHAnsi"/>
          <w:color w:val="auto"/>
          <w:sz w:val="32"/>
        </w:rPr>
      </w:pPr>
      <w:bookmarkStart w:id="78" w:name="_Toc148716391"/>
      <w:r w:rsidRPr="00930477">
        <w:rPr>
          <w:rFonts w:asciiTheme="minorHAnsi" w:hAnsiTheme="minorHAnsi" w:cstheme="minorHAnsi"/>
          <w:color w:val="auto"/>
          <w:sz w:val="32"/>
        </w:rPr>
        <w:t>5</w:t>
      </w:r>
      <w:r w:rsidR="007132B2" w:rsidRPr="00930477">
        <w:rPr>
          <w:rFonts w:asciiTheme="minorHAnsi" w:hAnsiTheme="minorHAnsi" w:cstheme="minorHAnsi"/>
          <w:color w:val="auto"/>
          <w:sz w:val="32"/>
        </w:rPr>
        <w:t xml:space="preserve">.1 </w:t>
      </w:r>
      <w:r w:rsidR="00A23B26" w:rsidRPr="00930477">
        <w:rPr>
          <w:rFonts w:asciiTheme="minorHAnsi" w:hAnsiTheme="minorHAnsi" w:cstheme="minorHAnsi"/>
          <w:color w:val="auto"/>
          <w:sz w:val="32"/>
        </w:rPr>
        <w:t>Pomoc publiczna</w:t>
      </w:r>
      <w:bookmarkEnd w:id="78"/>
    </w:p>
    <w:p w14:paraId="2B96A561" w14:textId="7A48566E" w:rsidR="00A23B26" w:rsidRPr="00762814" w:rsidRDefault="00A23B26" w:rsidP="00762814">
      <w:pPr>
        <w:spacing w:after="120" w:line="276" w:lineRule="auto"/>
        <w:rPr>
          <w:rFonts w:cstheme="minorHAnsi"/>
          <w:b/>
          <w:bCs/>
          <w:sz w:val="24"/>
          <w:szCs w:val="24"/>
        </w:rPr>
      </w:pPr>
      <w:r w:rsidRPr="00762814">
        <w:rPr>
          <w:rFonts w:cstheme="minorHAnsi"/>
          <w:sz w:val="24"/>
          <w:szCs w:val="24"/>
        </w:rPr>
        <w:t>Wnioskodawca może uzyskać wsparcie w module na podstawie</w:t>
      </w:r>
      <w:r w:rsidR="007A597F" w:rsidRPr="00762814">
        <w:rPr>
          <w:rFonts w:cstheme="minorHAnsi"/>
          <w:sz w:val="24"/>
          <w:szCs w:val="24"/>
        </w:rPr>
        <w:t xml:space="preserve"> </w:t>
      </w:r>
      <w:bookmarkStart w:id="79" w:name="_Hlk125476761"/>
      <w:r w:rsidR="00A4200A" w:rsidRPr="00762814">
        <w:rPr>
          <w:rFonts w:cstheme="minorHAnsi"/>
          <w:b/>
          <w:bCs/>
          <w:sz w:val="24"/>
          <w:szCs w:val="24"/>
        </w:rPr>
        <w:t>r</w:t>
      </w:r>
      <w:r w:rsidR="007A597F" w:rsidRPr="00762814">
        <w:rPr>
          <w:rFonts w:cstheme="minorHAnsi"/>
          <w:b/>
          <w:bCs/>
          <w:sz w:val="24"/>
          <w:szCs w:val="24"/>
        </w:rPr>
        <w:t xml:space="preserve">ozporządzenia </w:t>
      </w:r>
      <w:r w:rsidR="000E6F3F" w:rsidRPr="00762814">
        <w:rPr>
          <w:rFonts w:cstheme="minorHAnsi"/>
          <w:b/>
          <w:bCs/>
          <w:sz w:val="24"/>
          <w:szCs w:val="24"/>
        </w:rPr>
        <w:t xml:space="preserve">Komisji (UE) nr </w:t>
      </w:r>
      <w:r w:rsidR="007A597F" w:rsidRPr="00762814">
        <w:rPr>
          <w:rFonts w:cstheme="minorHAnsi"/>
          <w:b/>
          <w:bCs/>
          <w:sz w:val="24"/>
          <w:szCs w:val="24"/>
        </w:rPr>
        <w:t xml:space="preserve">651/2014 </w:t>
      </w:r>
      <w:bookmarkEnd w:id="79"/>
      <w:r w:rsidRPr="00762814">
        <w:rPr>
          <w:rFonts w:cstheme="minorHAnsi"/>
          <w:b/>
          <w:bCs/>
          <w:sz w:val="24"/>
          <w:szCs w:val="24"/>
        </w:rPr>
        <w:t>jako</w:t>
      </w:r>
      <w:r w:rsidR="00533044" w:rsidRPr="00762814">
        <w:rPr>
          <w:rFonts w:cstheme="minorHAnsi"/>
          <w:b/>
          <w:bCs/>
          <w:sz w:val="24"/>
          <w:szCs w:val="24"/>
        </w:rPr>
        <w:t xml:space="preserve"> </w:t>
      </w:r>
      <w:r w:rsidRPr="00762814">
        <w:rPr>
          <w:rFonts w:cstheme="minorHAnsi"/>
          <w:b/>
          <w:bCs/>
          <w:sz w:val="24"/>
          <w:szCs w:val="24"/>
        </w:rPr>
        <w:t>regionalną pomoc inwestycyjną (art. 14)</w:t>
      </w:r>
      <w:r w:rsidR="00B6138B" w:rsidRPr="00762814">
        <w:rPr>
          <w:rFonts w:cstheme="minorHAnsi"/>
          <w:b/>
          <w:bCs/>
          <w:sz w:val="24"/>
          <w:szCs w:val="24"/>
        </w:rPr>
        <w:t>.</w:t>
      </w:r>
      <w:r w:rsidRPr="00762814">
        <w:rPr>
          <w:rFonts w:cstheme="minorHAnsi"/>
          <w:b/>
          <w:bCs/>
          <w:sz w:val="24"/>
          <w:szCs w:val="24"/>
        </w:rPr>
        <w:t xml:space="preserve"> </w:t>
      </w:r>
    </w:p>
    <w:p w14:paraId="28ED57A9" w14:textId="4FB2441D" w:rsidR="003167AD" w:rsidRPr="00930477" w:rsidRDefault="00D11162" w:rsidP="00930477">
      <w:pPr>
        <w:pStyle w:val="Nagwek3"/>
        <w:spacing w:before="360" w:line="276" w:lineRule="auto"/>
        <w:rPr>
          <w:rFonts w:asciiTheme="minorHAnsi" w:hAnsiTheme="minorHAnsi" w:cstheme="minorHAnsi"/>
          <w:color w:val="auto"/>
          <w:sz w:val="32"/>
        </w:rPr>
      </w:pPr>
      <w:bookmarkStart w:id="80" w:name="_Toc148716392"/>
      <w:r w:rsidRPr="00930477">
        <w:rPr>
          <w:rFonts w:asciiTheme="minorHAnsi" w:hAnsiTheme="minorHAnsi" w:cstheme="minorHAnsi"/>
          <w:color w:val="auto"/>
          <w:sz w:val="32"/>
        </w:rPr>
        <w:t>5</w:t>
      </w:r>
      <w:r w:rsidR="007132B2" w:rsidRPr="00930477">
        <w:rPr>
          <w:rFonts w:asciiTheme="minorHAnsi" w:hAnsiTheme="minorHAnsi" w:cstheme="minorHAnsi"/>
          <w:color w:val="auto"/>
          <w:sz w:val="32"/>
        </w:rPr>
        <w:t xml:space="preserve">.2 </w:t>
      </w:r>
      <w:r w:rsidR="00A23B26" w:rsidRPr="00930477">
        <w:rPr>
          <w:rFonts w:asciiTheme="minorHAnsi" w:hAnsiTheme="minorHAnsi" w:cstheme="minorHAnsi"/>
          <w:color w:val="auto"/>
          <w:sz w:val="32"/>
        </w:rPr>
        <w:t>Limity</w:t>
      </w:r>
      <w:r w:rsidR="003167AD" w:rsidRPr="00930477">
        <w:rPr>
          <w:rFonts w:asciiTheme="minorHAnsi" w:hAnsiTheme="minorHAnsi" w:cstheme="minorHAnsi"/>
          <w:color w:val="auto"/>
          <w:sz w:val="32"/>
        </w:rPr>
        <w:t xml:space="preserve"> wydatków kwalifikowa</w:t>
      </w:r>
      <w:r w:rsidR="000B17FE" w:rsidRPr="00930477">
        <w:rPr>
          <w:rFonts w:asciiTheme="minorHAnsi" w:hAnsiTheme="minorHAnsi" w:cstheme="minorHAnsi"/>
          <w:color w:val="auto"/>
          <w:sz w:val="32"/>
        </w:rPr>
        <w:t>l</w:t>
      </w:r>
      <w:r w:rsidR="003167AD" w:rsidRPr="00930477">
        <w:rPr>
          <w:rFonts w:asciiTheme="minorHAnsi" w:hAnsiTheme="minorHAnsi" w:cstheme="minorHAnsi"/>
          <w:color w:val="auto"/>
          <w:sz w:val="32"/>
        </w:rPr>
        <w:t>nych w module oraz limity dofinansowania</w:t>
      </w:r>
      <w:bookmarkEnd w:id="80"/>
    </w:p>
    <w:p w14:paraId="23B57B7C" w14:textId="1BB5A86E" w:rsidR="00A47D34" w:rsidRPr="00762814" w:rsidRDefault="00A47D34" w:rsidP="00762814">
      <w:pPr>
        <w:spacing w:after="120" w:line="276" w:lineRule="auto"/>
        <w:rPr>
          <w:rFonts w:cstheme="minorHAnsi"/>
          <w:sz w:val="24"/>
          <w:szCs w:val="24"/>
        </w:rPr>
      </w:pPr>
      <w:bookmarkStart w:id="81" w:name="_Hlk117083605"/>
      <w:r w:rsidRPr="00762814">
        <w:rPr>
          <w:rFonts w:cstheme="minorHAnsi"/>
          <w:sz w:val="24"/>
          <w:szCs w:val="24"/>
          <w:u w:val="single"/>
        </w:rPr>
        <w:t>Limity wynikające z przepisów pomocy publicznej</w:t>
      </w:r>
      <w:r w:rsidRPr="00762814">
        <w:rPr>
          <w:rFonts w:cstheme="minorHAnsi"/>
          <w:sz w:val="24"/>
          <w:szCs w:val="24"/>
        </w:rPr>
        <w:t>:</w:t>
      </w:r>
    </w:p>
    <w:p w14:paraId="54B42492" w14:textId="191FBFF5" w:rsidR="007B2CB0" w:rsidRPr="00762814" w:rsidRDefault="007B2CB0" w:rsidP="00762814">
      <w:pPr>
        <w:spacing w:after="120" w:line="276" w:lineRule="auto"/>
        <w:rPr>
          <w:rFonts w:cstheme="minorHAnsi"/>
          <w:sz w:val="24"/>
          <w:szCs w:val="24"/>
        </w:rPr>
      </w:pPr>
      <w:r w:rsidRPr="00762814">
        <w:rPr>
          <w:rFonts w:cstheme="minorHAnsi"/>
          <w:b/>
          <w:bCs/>
          <w:sz w:val="24"/>
          <w:szCs w:val="24"/>
        </w:rPr>
        <w:t>Intensywność pomocy</w:t>
      </w:r>
      <w:r w:rsidRPr="00762814">
        <w:rPr>
          <w:rFonts w:cstheme="minorHAnsi"/>
          <w:sz w:val="24"/>
          <w:szCs w:val="24"/>
        </w:rPr>
        <w:t xml:space="preserve"> na wydatki nie może przekroczyć limitów intensywności wsparcia wskazanych w rozporządzeniu Rady Ministrów z dnia 14 grudnia 2021 r. w sprawie ustalenia mapy pomocy regionalnej na lata 2022-2027 (Dz. U. poz. 2422) w przypadku </w:t>
      </w:r>
      <w:r w:rsidR="008A72A7" w:rsidRPr="00762814">
        <w:rPr>
          <w:rFonts w:cstheme="minorHAnsi"/>
          <w:b/>
          <w:bCs/>
          <w:sz w:val="24"/>
          <w:szCs w:val="24"/>
        </w:rPr>
        <w:t>r</w:t>
      </w:r>
      <w:r w:rsidRPr="00762814">
        <w:rPr>
          <w:rFonts w:cstheme="minorHAnsi"/>
          <w:b/>
          <w:bCs/>
          <w:sz w:val="24"/>
          <w:szCs w:val="24"/>
        </w:rPr>
        <w:t>egionalnej pomocy inwestycyjnej</w:t>
      </w:r>
      <w:r w:rsidRPr="00762814">
        <w:rPr>
          <w:rFonts w:cstheme="minorHAnsi"/>
          <w:sz w:val="24"/>
          <w:szCs w:val="24"/>
        </w:rPr>
        <w:t>.</w:t>
      </w:r>
    </w:p>
    <w:p w14:paraId="1DEBD0C1" w14:textId="014E93AB" w:rsidR="007B2CB0" w:rsidRPr="00762814" w:rsidRDefault="007B2CB0" w:rsidP="00762814">
      <w:pPr>
        <w:spacing w:after="120" w:line="276" w:lineRule="auto"/>
        <w:rPr>
          <w:rFonts w:cstheme="minorHAnsi"/>
          <w:sz w:val="24"/>
          <w:szCs w:val="24"/>
        </w:rPr>
      </w:pPr>
      <w:r w:rsidRPr="00762814">
        <w:rPr>
          <w:rFonts w:cstheme="minorHAnsi"/>
          <w:sz w:val="24"/>
          <w:szCs w:val="24"/>
        </w:rPr>
        <w:t>Intensywność wsparcia w regionalnej pomocy inwestycyjnej w poszczególnych regionach dla poszczególnych kategorii przedsiębiorców została przedstawiona w Tabeli nr 2</w:t>
      </w:r>
      <w:r w:rsidR="00C9225A" w:rsidRPr="00762814">
        <w:rPr>
          <w:rFonts w:cstheme="minorHAnsi"/>
          <w:sz w:val="24"/>
          <w:szCs w:val="24"/>
        </w:rPr>
        <w:t>.</w:t>
      </w:r>
    </w:p>
    <w:p w14:paraId="3C927400" w14:textId="77777777" w:rsidR="00EA6BED" w:rsidRPr="00762814" w:rsidRDefault="00EA6BED" w:rsidP="00762814">
      <w:pPr>
        <w:spacing w:after="120" w:line="276" w:lineRule="auto"/>
        <w:rPr>
          <w:rFonts w:cstheme="minorHAnsi"/>
          <w:sz w:val="24"/>
          <w:szCs w:val="24"/>
        </w:rPr>
      </w:pPr>
      <w:r w:rsidRPr="00762814">
        <w:rPr>
          <w:rFonts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trzech poprzednich lat obrotowych. </w:t>
      </w:r>
    </w:p>
    <w:p w14:paraId="5978F2E6" w14:textId="77777777" w:rsidR="00EA6BED" w:rsidRPr="00762814" w:rsidRDefault="00EA6BED" w:rsidP="00762814">
      <w:pPr>
        <w:spacing w:after="120" w:line="276" w:lineRule="auto"/>
        <w:rPr>
          <w:rFonts w:cstheme="minorHAnsi"/>
          <w:sz w:val="24"/>
          <w:szCs w:val="24"/>
        </w:rPr>
      </w:pPr>
      <w:r w:rsidRPr="00762814">
        <w:rPr>
          <w:rFonts w:cstheme="minorHAnsi"/>
          <w:sz w:val="24"/>
          <w:szCs w:val="24"/>
        </w:rPr>
        <w:t>W przypadku pomocy przyznanej na dywersyfikację istniejącego zakładu MŚP lub dużym przedsiębiorcom koszty kwalifikowalne muszą przekraczać o co najmniej 200% wartość księgową ponownie wykorzystywanych aktywów, odnotowaną w roku obrotowym poprzedzającym rozpoczęcie prac.</w:t>
      </w:r>
    </w:p>
    <w:p w14:paraId="100B45AA" w14:textId="77777777" w:rsidR="00EA6BED" w:rsidRPr="00762814" w:rsidRDefault="00EA6BED" w:rsidP="00762814">
      <w:pPr>
        <w:spacing w:after="120" w:line="276" w:lineRule="auto"/>
        <w:rPr>
          <w:rFonts w:cstheme="minorHAnsi"/>
          <w:sz w:val="24"/>
          <w:szCs w:val="24"/>
        </w:rPr>
      </w:pPr>
      <w:r w:rsidRPr="00762814">
        <w:rPr>
          <w:rFonts w:cstheme="minorHAnsi"/>
          <w:sz w:val="24"/>
          <w:szCs w:val="24"/>
        </w:rPr>
        <w:t xml:space="preserve">Wnioskodawca jest zobowiązany do wniesienia wkładu własnego na poziomie co najmniej 25% wartości kosztów kwalifikowalnych </w:t>
      </w:r>
      <w:r w:rsidRPr="00762814">
        <w:rPr>
          <w:rFonts w:cstheme="minorHAnsi"/>
          <w:b/>
          <w:bCs/>
          <w:sz w:val="24"/>
          <w:szCs w:val="24"/>
        </w:rPr>
        <w:t>objętych dofinansowaniem w ramach regionalnej pomocy inwestycyjnej</w:t>
      </w:r>
      <w:r w:rsidRPr="00762814">
        <w:rPr>
          <w:rFonts w:cstheme="minorHAnsi"/>
          <w:sz w:val="24"/>
          <w:szCs w:val="24"/>
        </w:rPr>
        <w:t>, w formie środków finansowych wolnych od publicznego wsparcia.</w:t>
      </w:r>
    </w:p>
    <w:p w14:paraId="4D841D24" w14:textId="3CBA6868" w:rsidR="00733801" w:rsidRPr="00930477" w:rsidRDefault="00410182" w:rsidP="00930477">
      <w:pPr>
        <w:pStyle w:val="Nagwek3"/>
        <w:spacing w:before="360" w:line="276" w:lineRule="auto"/>
        <w:rPr>
          <w:rFonts w:asciiTheme="minorHAnsi" w:hAnsiTheme="minorHAnsi" w:cstheme="minorHAnsi"/>
          <w:color w:val="auto"/>
          <w:sz w:val="32"/>
        </w:rPr>
      </w:pPr>
      <w:bookmarkStart w:id="82" w:name="_Toc124327579"/>
      <w:bookmarkStart w:id="83" w:name="_Toc124328136"/>
      <w:bookmarkStart w:id="84" w:name="_Toc124329409"/>
      <w:bookmarkStart w:id="85" w:name="_Toc124329521"/>
      <w:bookmarkStart w:id="86" w:name="_Toc124329617"/>
      <w:bookmarkStart w:id="87" w:name="_Toc124329713"/>
      <w:bookmarkStart w:id="88" w:name="_Toc124329809"/>
      <w:bookmarkStart w:id="89" w:name="_Toc124330746"/>
      <w:bookmarkStart w:id="90" w:name="_Toc124330842"/>
      <w:bookmarkStart w:id="91" w:name="_Toc124327580"/>
      <w:bookmarkStart w:id="92" w:name="_Toc124328137"/>
      <w:bookmarkStart w:id="93" w:name="_Toc124329410"/>
      <w:bookmarkStart w:id="94" w:name="_Toc124329522"/>
      <w:bookmarkStart w:id="95" w:name="_Toc124329618"/>
      <w:bookmarkStart w:id="96" w:name="_Toc124329714"/>
      <w:bookmarkStart w:id="97" w:name="_Toc124329810"/>
      <w:bookmarkStart w:id="98" w:name="_Toc124330747"/>
      <w:bookmarkStart w:id="99" w:name="_Toc124330843"/>
      <w:bookmarkStart w:id="100" w:name="_Toc124327582"/>
      <w:bookmarkStart w:id="101" w:name="_Toc124328139"/>
      <w:bookmarkStart w:id="102" w:name="_Toc124329412"/>
      <w:bookmarkStart w:id="103" w:name="_Toc124329524"/>
      <w:bookmarkStart w:id="104" w:name="_Toc124329620"/>
      <w:bookmarkStart w:id="105" w:name="_Toc124329716"/>
      <w:bookmarkStart w:id="106" w:name="_Toc124329812"/>
      <w:bookmarkStart w:id="107" w:name="_Toc124330749"/>
      <w:bookmarkStart w:id="108" w:name="_Toc124330845"/>
      <w:bookmarkStart w:id="109" w:name="_Toc14871639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930477">
        <w:rPr>
          <w:rFonts w:asciiTheme="minorHAnsi" w:hAnsiTheme="minorHAnsi" w:cstheme="minorHAnsi"/>
          <w:color w:val="auto"/>
          <w:sz w:val="32"/>
        </w:rPr>
        <w:t>5.3</w:t>
      </w:r>
      <w:r w:rsidR="00733801" w:rsidRPr="00930477">
        <w:rPr>
          <w:rFonts w:asciiTheme="minorHAnsi" w:hAnsiTheme="minorHAnsi" w:cstheme="minorHAnsi"/>
          <w:color w:val="auto"/>
          <w:sz w:val="32"/>
        </w:rPr>
        <w:t xml:space="preserve"> </w:t>
      </w:r>
      <w:r w:rsidR="00A23B26" w:rsidRPr="00930477">
        <w:rPr>
          <w:rFonts w:asciiTheme="minorHAnsi" w:hAnsiTheme="minorHAnsi" w:cstheme="minorHAnsi"/>
          <w:color w:val="auto"/>
          <w:sz w:val="32"/>
        </w:rPr>
        <w:t xml:space="preserve">Kategorie </w:t>
      </w:r>
      <w:r w:rsidR="0028710B" w:rsidRPr="00930477">
        <w:rPr>
          <w:rFonts w:asciiTheme="minorHAnsi" w:hAnsiTheme="minorHAnsi" w:cstheme="minorHAnsi"/>
          <w:color w:val="auto"/>
          <w:sz w:val="32"/>
        </w:rPr>
        <w:t>wydatków</w:t>
      </w:r>
      <w:r w:rsidR="00A23B26" w:rsidRPr="00930477">
        <w:rPr>
          <w:rFonts w:asciiTheme="minorHAnsi" w:hAnsiTheme="minorHAnsi" w:cstheme="minorHAnsi"/>
          <w:color w:val="auto"/>
          <w:sz w:val="32"/>
        </w:rPr>
        <w:t xml:space="preserve"> kwalifikowalnych w ramach modułu </w:t>
      </w:r>
      <w:r w:rsidR="009909B3" w:rsidRPr="00930477">
        <w:rPr>
          <w:rFonts w:asciiTheme="minorHAnsi" w:hAnsiTheme="minorHAnsi" w:cstheme="minorHAnsi"/>
          <w:color w:val="auto"/>
          <w:sz w:val="32"/>
        </w:rPr>
        <w:t>I</w:t>
      </w:r>
      <w:r w:rsidR="00A23B26" w:rsidRPr="00930477">
        <w:rPr>
          <w:rFonts w:asciiTheme="minorHAnsi" w:hAnsiTheme="minorHAnsi" w:cstheme="minorHAnsi"/>
          <w:color w:val="auto"/>
          <w:sz w:val="32"/>
        </w:rPr>
        <w:t>nfrastruktura B+R</w:t>
      </w:r>
      <w:bookmarkEnd w:id="109"/>
    </w:p>
    <w:p w14:paraId="0FC4DF6A" w14:textId="148DAEA3" w:rsidR="00733801" w:rsidRPr="00762814" w:rsidRDefault="00733801" w:rsidP="00762814">
      <w:pPr>
        <w:spacing w:after="120" w:line="276" w:lineRule="auto"/>
        <w:rPr>
          <w:rFonts w:cstheme="minorHAnsi"/>
          <w:sz w:val="24"/>
          <w:szCs w:val="24"/>
        </w:rPr>
      </w:pPr>
      <w:r w:rsidRPr="00762814">
        <w:rPr>
          <w:rFonts w:cstheme="minorHAnsi"/>
          <w:sz w:val="24"/>
          <w:szCs w:val="24"/>
        </w:rPr>
        <w:t xml:space="preserve">W </w:t>
      </w:r>
      <w:r w:rsidRPr="00762814">
        <w:rPr>
          <w:rFonts w:cstheme="minorHAnsi"/>
          <w:b/>
          <w:bCs/>
          <w:sz w:val="24"/>
          <w:szCs w:val="24"/>
        </w:rPr>
        <w:t>ramach regionalnej pomocy inwestycyjnej</w:t>
      </w:r>
      <w:r w:rsidRPr="00762814">
        <w:rPr>
          <w:rFonts w:cstheme="minorHAnsi"/>
          <w:sz w:val="24"/>
          <w:szCs w:val="24"/>
        </w:rPr>
        <w:t xml:space="preserve"> kwalifikowalne są następujące koszty związane z realizacją inwestycji początkowej (o której mowa w art. 2 pkt. 49a lub 51a</w:t>
      </w:r>
      <w:r w:rsidR="00F851DB" w:rsidRPr="00762814">
        <w:rPr>
          <w:rFonts w:cstheme="minorHAnsi"/>
          <w:sz w:val="24"/>
          <w:szCs w:val="24"/>
        </w:rPr>
        <w:t xml:space="preserve"> </w:t>
      </w:r>
      <w:r w:rsidR="00A4200A" w:rsidRPr="00762814">
        <w:rPr>
          <w:rFonts w:cstheme="minorHAnsi"/>
          <w:sz w:val="24"/>
          <w:szCs w:val="24"/>
        </w:rPr>
        <w:t>r</w:t>
      </w:r>
      <w:r w:rsidR="00F851DB" w:rsidRPr="00762814">
        <w:rPr>
          <w:rFonts w:cstheme="minorHAnsi"/>
          <w:sz w:val="24"/>
          <w:szCs w:val="24"/>
        </w:rPr>
        <w:t>ozporządzenia Komisji (UE) nr 651/2014</w:t>
      </w:r>
      <w:r w:rsidRPr="00762814">
        <w:rPr>
          <w:rFonts w:cstheme="minorHAnsi"/>
          <w:sz w:val="24"/>
          <w:szCs w:val="24"/>
        </w:rPr>
        <w:t>)</w:t>
      </w:r>
      <w:r w:rsidR="00F851DB" w:rsidRPr="00762814">
        <w:rPr>
          <w:rFonts w:cstheme="minorHAnsi"/>
          <w:sz w:val="24"/>
          <w:szCs w:val="24"/>
        </w:rPr>
        <w:t>:</w:t>
      </w:r>
    </w:p>
    <w:p w14:paraId="67A8EDED" w14:textId="41D08D40" w:rsidR="008A72A7" w:rsidRPr="00ED6E26" w:rsidRDefault="00E94058" w:rsidP="00E94058">
      <w:pPr>
        <w:pStyle w:val="Nagwek4"/>
        <w:spacing w:before="120" w:line="276" w:lineRule="auto"/>
        <w:rPr>
          <w:rFonts w:asciiTheme="minorHAnsi" w:hAnsiTheme="minorHAnsi" w:cstheme="minorHAnsi"/>
          <w:i w:val="0"/>
          <w:color w:val="auto"/>
          <w:sz w:val="28"/>
          <w:szCs w:val="28"/>
        </w:rPr>
      </w:pPr>
      <w:bookmarkStart w:id="110" w:name="_Toc124327584"/>
      <w:bookmarkStart w:id="111" w:name="_Toc124328141"/>
      <w:bookmarkStart w:id="112" w:name="_Toc124329414"/>
      <w:bookmarkStart w:id="113" w:name="_Toc124329526"/>
      <w:bookmarkStart w:id="114" w:name="_Toc124329622"/>
      <w:bookmarkStart w:id="115" w:name="_Toc124329718"/>
      <w:bookmarkStart w:id="116" w:name="_Toc124329814"/>
      <w:bookmarkStart w:id="117" w:name="_Toc124330751"/>
      <w:bookmarkStart w:id="118" w:name="_Toc124330847"/>
      <w:bookmarkStart w:id="119" w:name="_Toc148716394"/>
      <w:bookmarkEnd w:id="110"/>
      <w:bookmarkEnd w:id="111"/>
      <w:bookmarkEnd w:id="112"/>
      <w:bookmarkEnd w:id="113"/>
      <w:bookmarkEnd w:id="114"/>
      <w:bookmarkEnd w:id="115"/>
      <w:bookmarkEnd w:id="116"/>
      <w:bookmarkEnd w:id="117"/>
      <w:bookmarkEnd w:id="118"/>
      <w:r>
        <w:rPr>
          <w:rFonts w:asciiTheme="minorHAnsi" w:hAnsiTheme="minorHAnsi" w:cstheme="minorHAnsi"/>
          <w:i w:val="0"/>
          <w:color w:val="auto"/>
          <w:sz w:val="28"/>
          <w:szCs w:val="28"/>
        </w:rPr>
        <w:t>5.3.1</w:t>
      </w:r>
      <w:r w:rsidR="00081853" w:rsidRPr="00ED6E26">
        <w:rPr>
          <w:rFonts w:asciiTheme="minorHAnsi" w:hAnsiTheme="minorHAnsi" w:cstheme="minorHAnsi"/>
          <w:i w:val="0"/>
          <w:color w:val="auto"/>
          <w:sz w:val="28"/>
          <w:szCs w:val="28"/>
        </w:rPr>
        <w:t>Grunty</w:t>
      </w:r>
      <w:bookmarkEnd w:id="119"/>
      <w:r w:rsidR="00081853" w:rsidRPr="00ED6E26">
        <w:rPr>
          <w:rFonts w:asciiTheme="minorHAnsi" w:hAnsiTheme="minorHAnsi" w:cstheme="minorHAnsi"/>
          <w:i w:val="0"/>
          <w:color w:val="auto"/>
          <w:sz w:val="28"/>
          <w:szCs w:val="28"/>
        </w:rPr>
        <w:t xml:space="preserve"> </w:t>
      </w:r>
    </w:p>
    <w:p w14:paraId="1C6666A3" w14:textId="73AAF94C" w:rsidR="00A74B1F" w:rsidRPr="00762814" w:rsidRDefault="007B2CB0" w:rsidP="00762814">
      <w:pPr>
        <w:pStyle w:val="Akapitzlist"/>
        <w:spacing w:after="120" w:line="276" w:lineRule="auto"/>
        <w:ind w:left="0"/>
        <w:rPr>
          <w:rFonts w:cstheme="minorHAnsi"/>
          <w:bCs/>
          <w:sz w:val="24"/>
          <w:szCs w:val="24"/>
        </w:rPr>
      </w:pPr>
      <w:r w:rsidRPr="00762814">
        <w:rPr>
          <w:rFonts w:cstheme="minorHAnsi"/>
          <w:sz w:val="24"/>
          <w:szCs w:val="24"/>
        </w:rPr>
        <w:t>W ramach tej kategorii kwalifikowalne są koszty nabycia prawa użytkowania wieczystego gruntu lub nabycia</w:t>
      </w:r>
      <w:r w:rsidR="00733801" w:rsidRPr="00762814">
        <w:rPr>
          <w:rFonts w:cstheme="minorHAnsi"/>
          <w:sz w:val="24"/>
          <w:szCs w:val="24"/>
        </w:rPr>
        <w:t xml:space="preserve"> </w:t>
      </w:r>
      <w:r w:rsidR="00081853" w:rsidRPr="00762814">
        <w:rPr>
          <w:rFonts w:cstheme="minorHAnsi"/>
          <w:sz w:val="24"/>
          <w:szCs w:val="24"/>
        </w:rPr>
        <w:t>gruntów</w:t>
      </w:r>
      <w:r w:rsidRPr="00762814">
        <w:rPr>
          <w:rFonts w:cstheme="minorHAnsi"/>
          <w:sz w:val="24"/>
          <w:szCs w:val="24"/>
        </w:rPr>
        <w:t>, jeżeli</w:t>
      </w:r>
      <w:bookmarkStart w:id="120" w:name="_Hlk124342046"/>
      <w:r w:rsidR="00733801" w:rsidRPr="00762814">
        <w:rPr>
          <w:rFonts w:cstheme="minorHAnsi"/>
          <w:sz w:val="24"/>
          <w:szCs w:val="24"/>
        </w:rPr>
        <w:t xml:space="preserve"> </w:t>
      </w:r>
      <w:r w:rsidR="00F8555F" w:rsidRPr="00762814">
        <w:rPr>
          <w:rFonts w:cstheme="minorHAnsi"/>
          <w:sz w:val="24"/>
          <w:szCs w:val="24"/>
        </w:rPr>
        <w:t xml:space="preserve">grunt </w:t>
      </w:r>
      <w:r w:rsidR="00DD325C" w:rsidRPr="00762814">
        <w:rPr>
          <w:rFonts w:cstheme="minorHAnsi"/>
          <w:sz w:val="24"/>
          <w:szCs w:val="24"/>
        </w:rPr>
        <w:t>jest niezbędn</w:t>
      </w:r>
      <w:r w:rsidR="00F8555F" w:rsidRPr="00762814">
        <w:rPr>
          <w:rFonts w:cstheme="minorHAnsi"/>
          <w:sz w:val="24"/>
          <w:szCs w:val="24"/>
        </w:rPr>
        <w:t>y</w:t>
      </w:r>
      <w:r w:rsidR="00DD325C" w:rsidRPr="00762814">
        <w:rPr>
          <w:rFonts w:cstheme="minorHAnsi"/>
          <w:sz w:val="24"/>
          <w:szCs w:val="24"/>
        </w:rPr>
        <w:t xml:space="preserve"> do realizacji modułu i kwalifikowan</w:t>
      </w:r>
      <w:r w:rsidR="00F8555F" w:rsidRPr="00762814">
        <w:rPr>
          <w:rFonts w:cstheme="minorHAnsi"/>
          <w:sz w:val="24"/>
          <w:szCs w:val="24"/>
        </w:rPr>
        <w:t>y</w:t>
      </w:r>
      <w:r w:rsidR="00081853" w:rsidRPr="00762814">
        <w:rPr>
          <w:rFonts w:cstheme="minorHAnsi"/>
          <w:sz w:val="24"/>
          <w:szCs w:val="24"/>
        </w:rPr>
        <w:t xml:space="preserve"> </w:t>
      </w:r>
      <w:r w:rsidR="00DD325C" w:rsidRPr="00762814">
        <w:rPr>
          <w:rFonts w:cstheme="minorHAnsi"/>
          <w:sz w:val="24"/>
          <w:szCs w:val="24"/>
        </w:rPr>
        <w:t>wyłącznie w zakresie, w jakim jest</w:t>
      </w:r>
      <w:r w:rsidR="00081853" w:rsidRPr="00762814">
        <w:rPr>
          <w:rFonts w:cstheme="minorHAnsi"/>
          <w:sz w:val="24"/>
          <w:szCs w:val="24"/>
        </w:rPr>
        <w:t xml:space="preserve"> </w:t>
      </w:r>
      <w:r w:rsidR="00DD325C" w:rsidRPr="00762814">
        <w:rPr>
          <w:rFonts w:cstheme="minorHAnsi"/>
          <w:sz w:val="24"/>
          <w:szCs w:val="24"/>
        </w:rPr>
        <w:t>wykorzystan</w:t>
      </w:r>
      <w:r w:rsidR="00F8555F" w:rsidRPr="00762814">
        <w:rPr>
          <w:rFonts w:cstheme="minorHAnsi"/>
          <w:sz w:val="24"/>
          <w:szCs w:val="24"/>
        </w:rPr>
        <w:t>y</w:t>
      </w:r>
      <w:r w:rsidR="00DD325C" w:rsidRPr="00762814">
        <w:rPr>
          <w:rFonts w:cstheme="minorHAnsi"/>
          <w:sz w:val="24"/>
          <w:szCs w:val="24"/>
        </w:rPr>
        <w:t xml:space="preserve"> do celów realizacji modułu.</w:t>
      </w:r>
      <w:bookmarkEnd w:id="120"/>
    </w:p>
    <w:p w14:paraId="12EB6D5C" w14:textId="623CD542" w:rsidR="00A74B1F" w:rsidRPr="00762814" w:rsidRDefault="006D7263" w:rsidP="00762814">
      <w:pPr>
        <w:spacing w:line="276" w:lineRule="auto"/>
        <w:rPr>
          <w:rFonts w:cstheme="minorHAnsi"/>
          <w:sz w:val="24"/>
          <w:szCs w:val="24"/>
        </w:rPr>
      </w:pPr>
      <w:r w:rsidRPr="00762814">
        <w:rPr>
          <w:rFonts w:cstheme="minorHAnsi"/>
          <w:sz w:val="24"/>
          <w:szCs w:val="24"/>
        </w:rPr>
        <w:t>Ponadto kwalifikowalne są r</w:t>
      </w:r>
      <w:r w:rsidR="00A74B1F" w:rsidRPr="00762814">
        <w:rPr>
          <w:rFonts w:cstheme="minorHAnsi"/>
          <w:sz w:val="24"/>
          <w:szCs w:val="24"/>
        </w:rPr>
        <w:t>at</w:t>
      </w:r>
      <w:r w:rsidRPr="00762814">
        <w:rPr>
          <w:rFonts w:cstheme="minorHAnsi"/>
          <w:sz w:val="24"/>
          <w:szCs w:val="24"/>
        </w:rPr>
        <w:t>y</w:t>
      </w:r>
      <w:r w:rsidR="00A74B1F" w:rsidRPr="00762814">
        <w:rPr>
          <w:rFonts w:cstheme="minorHAnsi"/>
          <w:sz w:val="24"/>
          <w:szCs w:val="24"/>
        </w:rPr>
        <w:t xml:space="preserve"> spłaty kapitału </w:t>
      </w:r>
      <w:r w:rsidR="00F8555F" w:rsidRPr="00762814">
        <w:rPr>
          <w:rFonts w:cstheme="minorHAnsi"/>
          <w:sz w:val="24"/>
          <w:szCs w:val="24"/>
        </w:rPr>
        <w:t>gruntów</w:t>
      </w:r>
      <w:r w:rsidR="00A74B1F" w:rsidRPr="00762814">
        <w:rPr>
          <w:rFonts w:cstheme="minorHAnsi"/>
          <w:sz w:val="24"/>
          <w:szCs w:val="24"/>
        </w:rPr>
        <w:t xml:space="preserve">, poniesione przez korzystającego do dnia zakończenia realizacji </w:t>
      </w:r>
      <w:r w:rsidR="00E70BF6" w:rsidRPr="00762814">
        <w:rPr>
          <w:rFonts w:cstheme="minorHAnsi"/>
          <w:sz w:val="24"/>
          <w:szCs w:val="24"/>
        </w:rPr>
        <w:t>modułu</w:t>
      </w:r>
      <w:r w:rsidR="00A74B1F" w:rsidRPr="00762814">
        <w:rPr>
          <w:rFonts w:cstheme="minorHAnsi"/>
          <w:sz w:val="24"/>
          <w:szCs w:val="24"/>
        </w:rPr>
        <w:t>, do wysokości kapitału z dnia zawarcia umowy leasingu albo spłaty kapitału nieruchomości niezabudowanych, należnej finansującemu z tytułu umowy leasingu, pod warunkiem, że</w:t>
      </w:r>
      <w:r w:rsidR="00225FE2" w:rsidRPr="00762814">
        <w:rPr>
          <w:rFonts w:cstheme="minorHAnsi"/>
          <w:sz w:val="24"/>
          <w:szCs w:val="24"/>
        </w:rPr>
        <w:t xml:space="preserve"> </w:t>
      </w:r>
      <w:r w:rsidR="00A74B1F" w:rsidRPr="00762814">
        <w:rPr>
          <w:rFonts w:cstheme="minorHAnsi"/>
          <w:sz w:val="24"/>
          <w:szCs w:val="24"/>
        </w:rPr>
        <w:t xml:space="preserve">we wniosku o udzielenie pomocy finansujący jest wskazany przez wnioskodawcę jako podmiot upoważniony do poniesienia kosztu, </w:t>
      </w:r>
      <w:r w:rsidR="00225FE2" w:rsidRPr="00762814">
        <w:rPr>
          <w:rFonts w:cstheme="minorHAnsi"/>
          <w:sz w:val="24"/>
          <w:szCs w:val="24"/>
        </w:rPr>
        <w:t xml:space="preserve">pod warunkiem, że </w:t>
      </w:r>
      <w:r w:rsidR="00A74B1F" w:rsidRPr="00762814">
        <w:rPr>
          <w:rFonts w:cstheme="minorHAnsi"/>
          <w:sz w:val="24"/>
          <w:szCs w:val="24"/>
        </w:rPr>
        <w:t xml:space="preserve">umowa leasingu będzie obejmowała okres co najmniej 5 lat od przewidywanego terminu zakończenia realizacji </w:t>
      </w:r>
      <w:r w:rsidR="00E70BF6" w:rsidRPr="00762814">
        <w:rPr>
          <w:rFonts w:cstheme="minorHAnsi"/>
          <w:sz w:val="24"/>
          <w:szCs w:val="24"/>
        </w:rPr>
        <w:t>modułu</w:t>
      </w:r>
      <w:r w:rsidR="00A74B1F" w:rsidRPr="00762814">
        <w:rPr>
          <w:rFonts w:cstheme="minorHAnsi"/>
          <w:sz w:val="24"/>
          <w:szCs w:val="24"/>
        </w:rPr>
        <w:t xml:space="preserve">, a w przypadku </w:t>
      </w:r>
      <w:r w:rsidR="00E70BF6" w:rsidRPr="00762814">
        <w:rPr>
          <w:rFonts w:cstheme="minorHAnsi"/>
          <w:sz w:val="24"/>
          <w:szCs w:val="24"/>
        </w:rPr>
        <w:t>MŚP</w:t>
      </w:r>
      <w:r w:rsidR="00A74B1F" w:rsidRPr="00762814">
        <w:rPr>
          <w:rFonts w:cstheme="minorHAnsi"/>
          <w:sz w:val="24"/>
          <w:szCs w:val="24"/>
        </w:rPr>
        <w:t xml:space="preserve"> – okres co najmniej 3 lat</w:t>
      </w:r>
      <w:r w:rsidR="0069559E" w:rsidRPr="00762814">
        <w:rPr>
          <w:rFonts w:cstheme="minorHAnsi"/>
          <w:sz w:val="24"/>
          <w:szCs w:val="24"/>
        </w:rPr>
        <w:t>.</w:t>
      </w:r>
    </w:p>
    <w:p w14:paraId="4B31C360" w14:textId="6020A807" w:rsidR="0069559E" w:rsidRPr="00ED6E26" w:rsidRDefault="00E94058" w:rsidP="00E94058">
      <w:pPr>
        <w:pStyle w:val="Nagwek4"/>
        <w:spacing w:before="120" w:line="276" w:lineRule="auto"/>
        <w:rPr>
          <w:rFonts w:asciiTheme="minorHAnsi" w:hAnsiTheme="minorHAnsi" w:cstheme="minorHAnsi"/>
          <w:i w:val="0"/>
          <w:color w:val="auto"/>
          <w:sz w:val="28"/>
          <w:szCs w:val="28"/>
        </w:rPr>
      </w:pPr>
      <w:bookmarkStart w:id="121" w:name="_Toc148716395"/>
      <w:r>
        <w:rPr>
          <w:rFonts w:asciiTheme="minorHAnsi" w:hAnsiTheme="minorHAnsi" w:cstheme="minorHAnsi"/>
          <w:i w:val="0"/>
          <w:color w:val="auto"/>
          <w:sz w:val="28"/>
          <w:szCs w:val="28"/>
        </w:rPr>
        <w:t xml:space="preserve">5.3.2 </w:t>
      </w:r>
      <w:r w:rsidR="007B2CB0" w:rsidRPr="00ED6E26">
        <w:rPr>
          <w:rFonts w:asciiTheme="minorHAnsi" w:hAnsiTheme="minorHAnsi" w:cstheme="minorHAnsi"/>
          <w:i w:val="0"/>
          <w:color w:val="auto"/>
          <w:sz w:val="28"/>
          <w:szCs w:val="28"/>
        </w:rPr>
        <w:t>Nieruchomości zabudowane</w:t>
      </w:r>
      <w:bookmarkEnd w:id="121"/>
    </w:p>
    <w:p w14:paraId="18709A91" w14:textId="170DE361" w:rsidR="00733801" w:rsidRPr="00762814" w:rsidRDefault="007B2CB0" w:rsidP="00762814">
      <w:pPr>
        <w:pStyle w:val="Akapitzlist"/>
        <w:spacing w:after="120" w:line="276" w:lineRule="auto"/>
        <w:ind w:left="0"/>
        <w:rPr>
          <w:rFonts w:cstheme="minorHAnsi"/>
          <w:sz w:val="24"/>
          <w:szCs w:val="24"/>
        </w:rPr>
      </w:pPr>
      <w:r w:rsidRPr="00762814">
        <w:rPr>
          <w:rFonts w:cstheme="minorHAnsi"/>
          <w:sz w:val="24"/>
          <w:szCs w:val="24"/>
        </w:rPr>
        <w:t>W ramach tej kategorii kwalifikowalne są koszty nabycia prawa własności nieruchomości zabudowanej, z wyłączeniem lokali mieszkalnych, jeżeli</w:t>
      </w:r>
      <w:r w:rsidR="00657511" w:rsidRPr="00762814">
        <w:rPr>
          <w:rFonts w:cstheme="minorHAnsi"/>
          <w:sz w:val="24"/>
          <w:szCs w:val="24"/>
        </w:rPr>
        <w:t xml:space="preserve"> </w:t>
      </w:r>
      <w:r w:rsidR="00DD325C" w:rsidRPr="00762814">
        <w:rPr>
          <w:rFonts w:cstheme="minorHAnsi"/>
          <w:sz w:val="24"/>
          <w:szCs w:val="24"/>
        </w:rPr>
        <w:t>nieruchomość jest niezbędna do realizacji modułu i kwalifikowana</w:t>
      </w:r>
      <w:r w:rsidR="00657511" w:rsidRPr="00762814">
        <w:rPr>
          <w:rFonts w:cstheme="minorHAnsi"/>
          <w:sz w:val="24"/>
          <w:szCs w:val="24"/>
        </w:rPr>
        <w:t xml:space="preserve"> </w:t>
      </w:r>
      <w:r w:rsidR="00DD325C" w:rsidRPr="00762814">
        <w:rPr>
          <w:rFonts w:cstheme="minorHAnsi"/>
          <w:sz w:val="24"/>
          <w:szCs w:val="24"/>
        </w:rPr>
        <w:t>wyłącznie w zakresie, w jakim jest wykorzystana do celów realizacji modułu.</w:t>
      </w:r>
    </w:p>
    <w:p w14:paraId="5ACAEC2B" w14:textId="4B4C38F1" w:rsidR="00A74B1F" w:rsidRPr="00762814" w:rsidRDefault="006D7263" w:rsidP="00762814">
      <w:pPr>
        <w:spacing w:line="276" w:lineRule="auto"/>
        <w:rPr>
          <w:rFonts w:cstheme="minorHAnsi"/>
          <w:sz w:val="24"/>
          <w:szCs w:val="24"/>
        </w:rPr>
      </w:pPr>
      <w:r w:rsidRPr="00762814">
        <w:rPr>
          <w:rFonts w:cstheme="minorHAnsi"/>
          <w:sz w:val="24"/>
          <w:szCs w:val="24"/>
        </w:rPr>
        <w:t>Ponadto kwalifikowalne są r</w:t>
      </w:r>
      <w:r w:rsidR="00A74B1F" w:rsidRPr="00762814">
        <w:rPr>
          <w:rFonts w:cstheme="minorHAnsi"/>
          <w:sz w:val="24"/>
          <w:szCs w:val="24"/>
        </w:rPr>
        <w:t>at</w:t>
      </w:r>
      <w:r w:rsidRPr="00762814">
        <w:rPr>
          <w:rFonts w:cstheme="minorHAnsi"/>
          <w:sz w:val="24"/>
          <w:szCs w:val="24"/>
        </w:rPr>
        <w:t>y</w:t>
      </w:r>
      <w:r w:rsidR="00A74B1F" w:rsidRPr="00762814">
        <w:rPr>
          <w:rFonts w:cstheme="minorHAnsi"/>
          <w:sz w:val="24"/>
          <w:szCs w:val="24"/>
        </w:rPr>
        <w:t xml:space="preserve"> spłaty kapitału nieruchomości zabudowanych, poniesione przez korzystającego do dnia zakończenia realizacji </w:t>
      </w:r>
      <w:r w:rsidR="00E70BF6" w:rsidRPr="00762814">
        <w:rPr>
          <w:rFonts w:cstheme="minorHAnsi"/>
          <w:sz w:val="24"/>
          <w:szCs w:val="24"/>
        </w:rPr>
        <w:t>modułu</w:t>
      </w:r>
      <w:r w:rsidR="00A74B1F" w:rsidRPr="00762814">
        <w:rPr>
          <w:rFonts w:cstheme="minorHAnsi"/>
          <w:sz w:val="24"/>
          <w:szCs w:val="24"/>
        </w:rPr>
        <w:t>, do wysokości kapitału z dnia zawarcia umowy leasingu albo spłaty kapitału nieruchomości zabudowanych należnej finansującemu z tytułu umowy leasingu, pod warunkiem, że</w:t>
      </w:r>
      <w:r w:rsidR="00225FE2" w:rsidRPr="00762814">
        <w:rPr>
          <w:rFonts w:cstheme="minorHAnsi"/>
          <w:sz w:val="24"/>
          <w:szCs w:val="24"/>
        </w:rPr>
        <w:t xml:space="preserve"> </w:t>
      </w:r>
      <w:r w:rsidR="00A74B1F" w:rsidRPr="00762814">
        <w:rPr>
          <w:rFonts w:cstheme="minorHAnsi"/>
          <w:sz w:val="24"/>
          <w:szCs w:val="24"/>
        </w:rPr>
        <w:t xml:space="preserve">we wniosku o udzielenie pomocy finansujący jest wskazany przez wnioskodawcę jako podmiot upoważniony do poniesienia kosztu, </w:t>
      </w:r>
      <w:r w:rsidR="00225FE2" w:rsidRPr="00762814">
        <w:rPr>
          <w:rFonts w:cstheme="minorHAnsi"/>
          <w:sz w:val="24"/>
          <w:szCs w:val="24"/>
        </w:rPr>
        <w:t xml:space="preserve">pod warunkiem, że </w:t>
      </w:r>
      <w:r w:rsidR="00A74B1F" w:rsidRPr="00762814">
        <w:rPr>
          <w:rFonts w:cstheme="minorHAnsi"/>
          <w:sz w:val="24"/>
          <w:szCs w:val="24"/>
        </w:rPr>
        <w:t xml:space="preserve">umowa leasingu będzie obejmowała okres co najmniej 5 lat od przewidywanego terminu zakończenia realizacji </w:t>
      </w:r>
      <w:r w:rsidR="00E70BF6" w:rsidRPr="00762814">
        <w:rPr>
          <w:rFonts w:cstheme="minorHAnsi"/>
          <w:sz w:val="24"/>
          <w:szCs w:val="24"/>
        </w:rPr>
        <w:t>modułu</w:t>
      </w:r>
      <w:r w:rsidR="00F851DB" w:rsidRPr="00762814">
        <w:rPr>
          <w:rFonts w:cstheme="minorHAnsi"/>
          <w:sz w:val="24"/>
          <w:szCs w:val="24"/>
        </w:rPr>
        <w:t>,</w:t>
      </w:r>
      <w:r w:rsidR="00A74B1F" w:rsidRPr="00762814">
        <w:rPr>
          <w:rFonts w:cstheme="minorHAnsi"/>
          <w:sz w:val="24"/>
          <w:szCs w:val="24"/>
        </w:rPr>
        <w:t xml:space="preserve"> a w przypadku </w:t>
      </w:r>
      <w:r w:rsidR="00E70BF6" w:rsidRPr="00762814">
        <w:rPr>
          <w:rFonts w:cstheme="minorHAnsi"/>
          <w:sz w:val="24"/>
          <w:szCs w:val="24"/>
        </w:rPr>
        <w:t>MŚP</w:t>
      </w:r>
      <w:r w:rsidR="00A74B1F" w:rsidRPr="00762814">
        <w:rPr>
          <w:rFonts w:cstheme="minorHAnsi"/>
          <w:sz w:val="24"/>
          <w:szCs w:val="24"/>
        </w:rPr>
        <w:t xml:space="preserve"> – okres co najmniej 3 lat</w:t>
      </w:r>
      <w:r w:rsidR="0069559E" w:rsidRPr="00762814">
        <w:rPr>
          <w:rFonts w:cstheme="minorHAnsi"/>
          <w:sz w:val="24"/>
          <w:szCs w:val="24"/>
        </w:rPr>
        <w:t>.</w:t>
      </w:r>
    </w:p>
    <w:p w14:paraId="7CE4E821" w14:textId="59B51F84" w:rsidR="008027EA" w:rsidRPr="00762814" w:rsidRDefault="008027EA" w:rsidP="00762814">
      <w:pPr>
        <w:spacing w:after="120" w:line="276" w:lineRule="auto"/>
        <w:rPr>
          <w:rFonts w:cstheme="minorHAnsi"/>
          <w:sz w:val="24"/>
          <w:szCs w:val="24"/>
        </w:rPr>
      </w:pPr>
      <w:r w:rsidRPr="00762814">
        <w:rPr>
          <w:rFonts w:cstheme="minorHAnsi"/>
          <w:bCs/>
          <w:sz w:val="24"/>
          <w:szCs w:val="24"/>
        </w:rPr>
        <w:t>Suma kwalifikowalnych kosztów gruntów (5.3.1) oraz nieruchomości zabudowanych (5.3.2) nie może przekroczyć 10% całkowitych wydatków kwalifikowalnych, o których mowa w pkt 5.3.1 - 5.3.5;</w:t>
      </w:r>
      <w:r w:rsidRPr="00762814">
        <w:rPr>
          <w:rFonts w:cstheme="minorHAnsi"/>
          <w:sz w:val="24"/>
          <w:szCs w:val="24"/>
        </w:rPr>
        <w:t xml:space="preserve"> w przypadku terenów opuszczonych oraz poprzemysłowych</w:t>
      </w:r>
      <w:r w:rsidRPr="00762814">
        <w:rPr>
          <w:rStyle w:val="Odwoanieprzypisudolnego"/>
          <w:rFonts w:cstheme="minorHAnsi"/>
          <w:sz w:val="24"/>
          <w:szCs w:val="24"/>
        </w:rPr>
        <w:footnoteReference w:id="6"/>
      </w:r>
      <w:r w:rsidRPr="00762814">
        <w:rPr>
          <w:rFonts w:cstheme="minorHAnsi"/>
          <w:sz w:val="24"/>
          <w:szCs w:val="24"/>
        </w:rPr>
        <w:t xml:space="preserve">, na których znajdują się budynki, </w:t>
      </w:r>
      <w:r w:rsidR="002254C4" w:rsidRPr="005454F0">
        <w:rPr>
          <w:rFonts w:ascii="Arial" w:hAnsi="Arial" w:cs="Arial"/>
        </w:rPr>
        <w:t xml:space="preserve">dla MŚP </w:t>
      </w:r>
      <w:r w:rsidRPr="00762814">
        <w:rPr>
          <w:rFonts w:cstheme="minorHAnsi"/>
          <w:sz w:val="24"/>
          <w:szCs w:val="24"/>
        </w:rPr>
        <w:t xml:space="preserve">limit ten zostaje podniesiony do 15% </w:t>
      </w:r>
      <w:r w:rsidRPr="00762814">
        <w:rPr>
          <w:rFonts w:cstheme="minorHAnsi"/>
          <w:bCs/>
          <w:sz w:val="24"/>
          <w:szCs w:val="24"/>
        </w:rPr>
        <w:t>– na podstawie art. 64 ust 1 lit. b) Rozporządzenia Parlamentu i Rady UE nr 2021/1060 z dnia 24 czerwca 2021 r.</w:t>
      </w:r>
    </w:p>
    <w:p w14:paraId="6F6BA994" w14:textId="49A79AE8" w:rsidR="0069559E" w:rsidRPr="00ED6E26" w:rsidRDefault="00E94058" w:rsidP="00E94058">
      <w:pPr>
        <w:pStyle w:val="Nagwek4"/>
        <w:spacing w:before="120" w:line="276" w:lineRule="auto"/>
        <w:rPr>
          <w:rFonts w:asciiTheme="minorHAnsi" w:hAnsiTheme="minorHAnsi" w:cstheme="minorHAnsi"/>
          <w:i w:val="0"/>
          <w:color w:val="auto"/>
          <w:sz w:val="28"/>
          <w:szCs w:val="28"/>
        </w:rPr>
      </w:pPr>
      <w:bookmarkStart w:id="122" w:name="_Hlk125370372"/>
      <w:bookmarkStart w:id="123" w:name="_Toc148716396"/>
      <w:r>
        <w:rPr>
          <w:rFonts w:asciiTheme="minorHAnsi" w:hAnsiTheme="minorHAnsi" w:cstheme="minorHAnsi"/>
          <w:i w:val="0"/>
          <w:color w:val="auto"/>
          <w:sz w:val="28"/>
          <w:szCs w:val="28"/>
        </w:rPr>
        <w:t xml:space="preserve">5.3.3 </w:t>
      </w:r>
      <w:r w:rsidR="007B2CB0" w:rsidRPr="00ED6E26">
        <w:rPr>
          <w:rFonts w:asciiTheme="minorHAnsi" w:hAnsiTheme="minorHAnsi" w:cstheme="minorHAnsi"/>
          <w:i w:val="0"/>
          <w:color w:val="auto"/>
          <w:sz w:val="28"/>
          <w:szCs w:val="28"/>
        </w:rPr>
        <w:t>Środki trwałe/dostawy</w:t>
      </w:r>
      <w:bookmarkEnd w:id="122"/>
      <w:bookmarkEnd w:id="123"/>
    </w:p>
    <w:p w14:paraId="253AF520" w14:textId="37D57BA6" w:rsidR="00A010D3" w:rsidRPr="00762814" w:rsidRDefault="007B2CB0" w:rsidP="00762814">
      <w:pPr>
        <w:spacing w:line="276" w:lineRule="auto"/>
        <w:rPr>
          <w:rFonts w:cstheme="minorHAnsi"/>
          <w:sz w:val="24"/>
          <w:szCs w:val="24"/>
        </w:rPr>
      </w:pPr>
      <w:r w:rsidRPr="00762814">
        <w:rPr>
          <w:rFonts w:cstheme="minorHAnsi"/>
          <w:sz w:val="24"/>
          <w:szCs w:val="24"/>
        </w:rPr>
        <w:t>W ramach tej kategorii kwalifikowalne są koszty nabycia środków trwałych innych niż nieruchomości, w tym koszty instalacji i uruchomienia</w:t>
      </w:r>
      <w:r w:rsidR="00A74B1F" w:rsidRPr="00762814">
        <w:rPr>
          <w:rFonts w:cstheme="minorHAnsi"/>
          <w:sz w:val="24"/>
          <w:szCs w:val="24"/>
        </w:rPr>
        <w:t xml:space="preserve"> </w:t>
      </w:r>
      <w:r w:rsidR="005D3E75">
        <w:rPr>
          <w:rFonts w:cstheme="minorHAnsi"/>
          <w:sz w:val="24"/>
          <w:szCs w:val="24"/>
        </w:rPr>
        <w:t>oraz</w:t>
      </w:r>
      <w:r w:rsidR="00A74B1F" w:rsidRPr="00762814">
        <w:rPr>
          <w:rFonts w:cstheme="minorHAnsi"/>
          <w:sz w:val="24"/>
          <w:szCs w:val="24"/>
        </w:rPr>
        <w:t xml:space="preserve"> leasing </w:t>
      </w:r>
      <w:r w:rsidR="005D3E75">
        <w:rPr>
          <w:rFonts w:cstheme="minorHAnsi"/>
          <w:sz w:val="24"/>
          <w:szCs w:val="24"/>
        </w:rPr>
        <w:t xml:space="preserve">finansowy </w:t>
      </w:r>
      <w:r w:rsidR="00A74B1F" w:rsidRPr="00762814">
        <w:rPr>
          <w:rFonts w:cstheme="minorHAnsi"/>
          <w:sz w:val="24"/>
          <w:szCs w:val="24"/>
        </w:rPr>
        <w:t>środków trwałych, innych niż nieruchomości</w:t>
      </w:r>
      <w:r w:rsidRPr="00762814">
        <w:rPr>
          <w:rFonts w:cstheme="minorHAnsi"/>
          <w:sz w:val="24"/>
          <w:szCs w:val="24"/>
        </w:rPr>
        <w:t>.</w:t>
      </w:r>
    </w:p>
    <w:p w14:paraId="54F1D1B0" w14:textId="5DA6DB42" w:rsidR="00A74B1F" w:rsidRPr="00762814" w:rsidRDefault="00FB52BF" w:rsidP="00762814">
      <w:pPr>
        <w:spacing w:line="276" w:lineRule="auto"/>
        <w:rPr>
          <w:rFonts w:cstheme="minorHAnsi"/>
          <w:sz w:val="24"/>
          <w:szCs w:val="24"/>
        </w:rPr>
      </w:pPr>
      <w:r w:rsidRPr="00762814">
        <w:rPr>
          <w:rFonts w:cstheme="minorHAnsi"/>
          <w:sz w:val="24"/>
          <w:szCs w:val="24"/>
        </w:rPr>
        <w:t>Kwalifikowalne są r</w:t>
      </w:r>
      <w:r w:rsidR="00A74B1F" w:rsidRPr="00762814">
        <w:rPr>
          <w:rFonts w:cstheme="minorHAnsi"/>
          <w:sz w:val="24"/>
          <w:szCs w:val="24"/>
        </w:rPr>
        <w:t>at</w:t>
      </w:r>
      <w:r w:rsidRPr="00762814">
        <w:rPr>
          <w:rFonts w:cstheme="minorHAnsi"/>
          <w:sz w:val="24"/>
          <w:szCs w:val="24"/>
        </w:rPr>
        <w:t>y</w:t>
      </w:r>
      <w:r w:rsidR="00A74B1F" w:rsidRPr="00762814">
        <w:rPr>
          <w:rFonts w:cstheme="minorHAnsi"/>
          <w:sz w:val="24"/>
          <w:szCs w:val="24"/>
        </w:rPr>
        <w:t xml:space="preserve"> spłaty kapitału środków trwałych, poniesione przez korzystającego do dnia zakończenia realizacji </w:t>
      </w:r>
      <w:r w:rsidR="00F8555F" w:rsidRPr="00762814">
        <w:rPr>
          <w:rFonts w:cstheme="minorHAnsi"/>
          <w:sz w:val="24"/>
          <w:szCs w:val="24"/>
        </w:rPr>
        <w:t>modułu</w:t>
      </w:r>
      <w:r w:rsidR="00A74B1F" w:rsidRPr="00762814">
        <w:rPr>
          <w:rFonts w:cstheme="minorHAnsi"/>
          <w:sz w:val="24"/>
          <w:szCs w:val="24"/>
        </w:rPr>
        <w:t xml:space="preserve">, do wysokości kapitału z dnia zawarcia umowy leasingu albo spłaty kapitału środków trwałych, należnej finansującemu z tytułu umowy leasingu, </w:t>
      </w:r>
      <w:r w:rsidR="007107CB" w:rsidRPr="00762814">
        <w:rPr>
          <w:rFonts w:cstheme="minorHAnsi"/>
          <w:sz w:val="24"/>
          <w:szCs w:val="24"/>
        </w:rPr>
        <w:t>pod warunkiem, że</w:t>
      </w:r>
      <w:r w:rsidR="00A40471" w:rsidRPr="00762814">
        <w:rPr>
          <w:rFonts w:cstheme="minorHAnsi"/>
          <w:sz w:val="24"/>
          <w:szCs w:val="24"/>
        </w:rPr>
        <w:t xml:space="preserve"> </w:t>
      </w:r>
      <w:r w:rsidR="007107CB" w:rsidRPr="00762814">
        <w:rPr>
          <w:rFonts w:cstheme="minorHAnsi"/>
          <w:sz w:val="24"/>
          <w:szCs w:val="24"/>
        </w:rPr>
        <w:t>we wniosku o udzielenie pomocy finansujący jest wskazany przez wnioskodawcę jako podmiot upoważniony do poniesienia kosztu,</w:t>
      </w:r>
      <w:r w:rsidR="00A74B1F" w:rsidRPr="00762814">
        <w:rPr>
          <w:rFonts w:cstheme="minorHAnsi"/>
          <w:sz w:val="24"/>
          <w:szCs w:val="24"/>
        </w:rPr>
        <w:t xml:space="preserve"> przy czym umowa leasingu prowadzi do przeniesienia własności tych środków na korzystającego</w:t>
      </w:r>
      <w:r w:rsidR="003D5837">
        <w:rPr>
          <w:rFonts w:cstheme="minorHAnsi"/>
          <w:sz w:val="24"/>
          <w:szCs w:val="24"/>
        </w:rPr>
        <w:t>.</w:t>
      </w:r>
    </w:p>
    <w:p w14:paraId="5D7C57E3" w14:textId="6A0C513E" w:rsidR="007107CB" w:rsidRPr="00762814" w:rsidRDefault="007107CB" w:rsidP="00762814">
      <w:pPr>
        <w:spacing w:after="120" w:line="276" w:lineRule="auto"/>
        <w:rPr>
          <w:rFonts w:cstheme="minorHAnsi"/>
          <w:b/>
          <w:bCs/>
          <w:sz w:val="24"/>
          <w:szCs w:val="24"/>
        </w:rPr>
      </w:pPr>
      <w:r w:rsidRPr="00762814">
        <w:rPr>
          <w:rFonts w:cstheme="minorHAnsi"/>
          <w:b/>
          <w:bCs/>
          <w:sz w:val="24"/>
          <w:szCs w:val="24"/>
        </w:rPr>
        <w:t xml:space="preserve">Nabywane środki trwałe, muszą być nowe, z wyjątkiem nabywanych przez MŚP. </w:t>
      </w:r>
    </w:p>
    <w:p w14:paraId="06449050" w14:textId="77777777" w:rsidR="007107CB" w:rsidRPr="00762814" w:rsidRDefault="007107CB" w:rsidP="00762814">
      <w:pPr>
        <w:spacing w:after="120" w:line="276" w:lineRule="auto"/>
        <w:rPr>
          <w:rFonts w:cstheme="minorHAnsi"/>
          <w:sz w:val="24"/>
          <w:szCs w:val="24"/>
        </w:rPr>
      </w:pPr>
      <w:r w:rsidRPr="00762814">
        <w:rPr>
          <w:rFonts w:cstheme="minorHAnsi"/>
          <w:sz w:val="24"/>
          <w:szCs w:val="24"/>
        </w:rPr>
        <w:t xml:space="preserve">Nowe aktywa oznaczają aktywa, które zostały nabyte po cenie rynkowej przez Wnioskodawcę po dniu złożenia wniosku o dofinansowanie oraz które nie były nigdy wcześniej wykorzystywane w procesie produkcji. </w:t>
      </w:r>
    </w:p>
    <w:p w14:paraId="6ADFDC42" w14:textId="62A79CEB" w:rsidR="0069559E" w:rsidRPr="00ED6E26" w:rsidRDefault="00E94058" w:rsidP="00E94058">
      <w:pPr>
        <w:pStyle w:val="Nagwek4"/>
        <w:spacing w:before="120" w:line="276" w:lineRule="auto"/>
        <w:rPr>
          <w:rFonts w:asciiTheme="minorHAnsi" w:hAnsiTheme="minorHAnsi" w:cstheme="minorHAnsi"/>
          <w:i w:val="0"/>
          <w:color w:val="auto"/>
          <w:sz w:val="28"/>
          <w:szCs w:val="28"/>
        </w:rPr>
      </w:pPr>
      <w:bookmarkStart w:id="124" w:name="_Toc148716397"/>
      <w:r>
        <w:rPr>
          <w:rFonts w:asciiTheme="minorHAnsi" w:hAnsiTheme="minorHAnsi" w:cstheme="minorHAnsi"/>
          <w:i w:val="0"/>
          <w:color w:val="auto"/>
          <w:sz w:val="28"/>
          <w:szCs w:val="28"/>
        </w:rPr>
        <w:t xml:space="preserve">5.3.4 </w:t>
      </w:r>
      <w:r w:rsidR="007B2CB0" w:rsidRPr="00ED6E26">
        <w:rPr>
          <w:rFonts w:asciiTheme="minorHAnsi" w:hAnsiTheme="minorHAnsi" w:cstheme="minorHAnsi"/>
          <w:i w:val="0"/>
          <w:color w:val="auto"/>
          <w:sz w:val="28"/>
          <w:szCs w:val="28"/>
        </w:rPr>
        <w:t>Roboty budowlane</w:t>
      </w:r>
      <w:bookmarkEnd w:id="124"/>
    </w:p>
    <w:p w14:paraId="6623E17A" w14:textId="4FA18217" w:rsidR="007B2CB0" w:rsidRPr="00762814" w:rsidRDefault="007B2CB0" w:rsidP="00762814">
      <w:pPr>
        <w:spacing w:line="276" w:lineRule="auto"/>
        <w:rPr>
          <w:rFonts w:cstheme="minorHAnsi"/>
          <w:sz w:val="24"/>
          <w:szCs w:val="24"/>
        </w:rPr>
      </w:pPr>
      <w:r w:rsidRPr="00762814">
        <w:rPr>
          <w:rFonts w:cstheme="minorHAnsi"/>
          <w:sz w:val="24"/>
          <w:szCs w:val="24"/>
        </w:rPr>
        <w:t>W ramach tej kategorii kwalifikowalne są koszty nabycia robót i materiałów budowlanych.</w:t>
      </w:r>
    </w:p>
    <w:p w14:paraId="5AE649B5" w14:textId="776E0B6F" w:rsidR="0069559E" w:rsidRPr="00ED6E26" w:rsidRDefault="00E94058" w:rsidP="00E94058">
      <w:pPr>
        <w:pStyle w:val="Nagwek4"/>
        <w:spacing w:before="120" w:line="276" w:lineRule="auto"/>
        <w:rPr>
          <w:rFonts w:asciiTheme="minorHAnsi" w:hAnsiTheme="minorHAnsi" w:cstheme="minorHAnsi"/>
          <w:i w:val="0"/>
          <w:color w:val="auto"/>
          <w:sz w:val="28"/>
          <w:szCs w:val="28"/>
        </w:rPr>
      </w:pPr>
      <w:bookmarkStart w:id="125" w:name="_Toc148716398"/>
      <w:r>
        <w:rPr>
          <w:rFonts w:asciiTheme="minorHAnsi" w:hAnsiTheme="minorHAnsi" w:cstheme="minorHAnsi"/>
          <w:i w:val="0"/>
          <w:color w:val="auto"/>
          <w:sz w:val="28"/>
          <w:szCs w:val="28"/>
        </w:rPr>
        <w:t xml:space="preserve">5.3.5 </w:t>
      </w:r>
      <w:r w:rsidR="007B2CB0" w:rsidRPr="00ED6E26">
        <w:rPr>
          <w:rFonts w:asciiTheme="minorHAnsi" w:hAnsiTheme="minorHAnsi" w:cstheme="minorHAnsi"/>
          <w:i w:val="0"/>
          <w:color w:val="auto"/>
          <w:sz w:val="28"/>
          <w:szCs w:val="28"/>
        </w:rPr>
        <w:t>Wartości niematerialne i prawne</w:t>
      </w:r>
      <w:bookmarkEnd w:id="125"/>
    </w:p>
    <w:p w14:paraId="2346B31A" w14:textId="77777777" w:rsidR="007B2CB0" w:rsidRPr="00762814" w:rsidRDefault="007B2CB0" w:rsidP="00762814">
      <w:pPr>
        <w:spacing w:after="0" w:line="276" w:lineRule="auto"/>
        <w:rPr>
          <w:rFonts w:cstheme="minorHAnsi"/>
          <w:sz w:val="24"/>
          <w:szCs w:val="24"/>
        </w:rPr>
      </w:pPr>
      <w:r w:rsidRPr="00762814">
        <w:rPr>
          <w:rFonts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6A51B799" w14:textId="77777777" w:rsidR="007B2CB0" w:rsidRPr="00762814" w:rsidRDefault="007B2CB0" w:rsidP="00BF47B4">
      <w:pPr>
        <w:pStyle w:val="Akapitzlist"/>
        <w:numPr>
          <w:ilvl w:val="0"/>
          <w:numId w:val="20"/>
        </w:numPr>
        <w:spacing w:after="120" w:line="276" w:lineRule="auto"/>
        <w:rPr>
          <w:rFonts w:cstheme="minorHAnsi"/>
          <w:sz w:val="24"/>
          <w:szCs w:val="24"/>
        </w:rPr>
      </w:pPr>
      <w:r w:rsidRPr="00762814">
        <w:rPr>
          <w:rFonts w:cstheme="minorHAnsi"/>
          <w:sz w:val="24"/>
          <w:szCs w:val="24"/>
        </w:rPr>
        <w:t>będą wykorzystywane wyłącznie w zakładzie otrzymującym pomoc,</w:t>
      </w:r>
    </w:p>
    <w:p w14:paraId="5BFD498A" w14:textId="77777777" w:rsidR="007B2CB0" w:rsidRPr="00762814" w:rsidRDefault="007B2CB0" w:rsidP="00BF47B4">
      <w:pPr>
        <w:pStyle w:val="Akapitzlist"/>
        <w:numPr>
          <w:ilvl w:val="0"/>
          <w:numId w:val="20"/>
        </w:numPr>
        <w:spacing w:after="120" w:line="276" w:lineRule="auto"/>
        <w:rPr>
          <w:rFonts w:cstheme="minorHAnsi"/>
          <w:sz w:val="24"/>
          <w:szCs w:val="24"/>
        </w:rPr>
      </w:pPr>
      <w:r w:rsidRPr="00762814">
        <w:rPr>
          <w:rFonts w:cstheme="minorHAnsi"/>
          <w:sz w:val="24"/>
          <w:szCs w:val="24"/>
        </w:rPr>
        <w:t>będą podlegać amortyzacji zgodnie z przepisami o rachunkowości,</w:t>
      </w:r>
    </w:p>
    <w:p w14:paraId="1EFB0E9F" w14:textId="3559D412" w:rsidR="007B2CB0" w:rsidRPr="00762814" w:rsidRDefault="007B2CB0" w:rsidP="00BF47B4">
      <w:pPr>
        <w:pStyle w:val="Akapitzlist"/>
        <w:numPr>
          <w:ilvl w:val="0"/>
          <w:numId w:val="20"/>
        </w:numPr>
        <w:spacing w:after="120" w:line="276" w:lineRule="auto"/>
        <w:rPr>
          <w:rFonts w:cstheme="minorHAnsi"/>
          <w:sz w:val="24"/>
          <w:szCs w:val="24"/>
        </w:rPr>
      </w:pPr>
      <w:r w:rsidRPr="00762814">
        <w:rPr>
          <w:rFonts w:cstheme="minorHAnsi"/>
          <w:sz w:val="24"/>
          <w:szCs w:val="24"/>
        </w:rPr>
        <w:t xml:space="preserve">zostaną nabyte na warunkach rynkowych od osób trzecich niepowiązanych </w:t>
      </w:r>
      <w:r w:rsidR="0069559E" w:rsidRPr="00762814">
        <w:rPr>
          <w:rFonts w:cstheme="minorHAnsi"/>
          <w:sz w:val="24"/>
          <w:szCs w:val="24"/>
        </w:rPr>
        <w:br/>
      </w:r>
      <w:r w:rsidRPr="00762814">
        <w:rPr>
          <w:rFonts w:cstheme="minorHAnsi"/>
          <w:sz w:val="24"/>
          <w:szCs w:val="24"/>
        </w:rPr>
        <w:t>z przedsiębiorcą otrzymującym pomoc,</w:t>
      </w:r>
    </w:p>
    <w:p w14:paraId="206CBB49" w14:textId="377344AF" w:rsidR="007B2CB0" w:rsidRPr="00762814" w:rsidRDefault="007B2CB0" w:rsidP="00BF47B4">
      <w:pPr>
        <w:pStyle w:val="Akapitzlist"/>
        <w:numPr>
          <w:ilvl w:val="0"/>
          <w:numId w:val="20"/>
        </w:numPr>
        <w:spacing w:after="120" w:line="276" w:lineRule="auto"/>
        <w:rPr>
          <w:rFonts w:cstheme="minorHAnsi"/>
          <w:sz w:val="24"/>
          <w:szCs w:val="24"/>
        </w:rPr>
      </w:pPr>
      <w:r w:rsidRPr="00762814">
        <w:rPr>
          <w:rFonts w:cstheme="minorHAnsi"/>
          <w:sz w:val="24"/>
          <w:szCs w:val="24"/>
        </w:rPr>
        <w:t xml:space="preserve">będą stanowić aktywa przedsiębiorcy otrzymującego pomoc i pozostaną związane z projektem, na który przyznano pomoc, przez okres co najmniej </w:t>
      </w:r>
      <w:r w:rsidR="00200142" w:rsidRPr="00762814">
        <w:rPr>
          <w:rFonts w:cstheme="minorHAnsi"/>
          <w:sz w:val="24"/>
          <w:szCs w:val="24"/>
        </w:rPr>
        <w:t>5</w:t>
      </w:r>
      <w:r w:rsidRPr="00762814">
        <w:rPr>
          <w:rFonts w:cstheme="minorHAnsi"/>
          <w:sz w:val="24"/>
          <w:szCs w:val="24"/>
        </w:rPr>
        <w:t xml:space="preserve"> lat od dnia zakończenia realizacji projektu</w:t>
      </w:r>
      <w:r w:rsidR="00200142" w:rsidRPr="00762814">
        <w:rPr>
          <w:rFonts w:cstheme="minorHAnsi"/>
          <w:sz w:val="24"/>
          <w:szCs w:val="24"/>
        </w:rPr>
        <w:t xml:space="preserve"> lub </w:t>
      </w:r>
      <w:r w:rsidR="0037197A" w:rsidRPr="00762814">
        <w:rPr>
          <w:rFonts w:cstheme="minorHAnsi"/>
          <w:sz w:val="24"/>
          <w:szCs w:val="24"/>
        </w:rPr>
        <w:t>3</w:t>
      </w:r>
      <w:r w:rsidR="00200142" w:rsidRPr="00762814">
        <w:rPr>
          <w:rFonts w:cstheme="minorHAnsi"/>
          <w:sz w:val="24"/>
          <w:szCs w:val="24"/>
        </w:rPr>
        <w:t xml:space="preserve"> lata w przypadku MŚP. </w:t>
      </w:r>
    </w:p>
    <w:p w14:paraId="07D93F28" w14:textId="6B831501" w:rsidR="00EA6BED" w:rsidRPr="00762814" w:rsidRDefault="00EA6BED" w:rsidP="00762814">
      <w:pPr>
        <w:spacing w:after="120" w:line="276" w:lineRule="auto"/>
        <w:rPr>
          <w:rFonts w:cstheme="minorHAnsi"/>
          <w:sz w:val="24"/>
          <w:szCs w:val="24"/>
        </w:rPr>
      </w:pPr>
      <w:r w:rsidRPr="00762814">
        <w:rPr>
          <w:rFonts w:cstheme="minorHAnsi"/>
          <w:sz w:val="24"/>
          <w:szCs w:val="24"/>
        </w:rPr>
        <w:t>W przypadku dużych przedsiębiorstw</w:t>
      </w:r>
      <w:r w:rsidRPr="00BC6F9F">
        <w:t xml:space="preserve"> </w:t>
      </w:r>
      <w:r w:rsidRPr="00762814">
        <w:rPr>
          <w:rFonts w:cstheme="minorHAnsi"/>
          <w:sz w:val="24"/>
          <w:szCs w:val="24"/>
        </w:rPr>
        <w:t>koszty wartości niematerialnych i prawnych są kwalifikowalne jedynie do wysokości 50% całkowitych kwalifikowalnych kosztów inwestycji początkowej.</w:t>
      </w:r>
    </w:p>
    <w:p w14:paraId="5C1EB6B4" w14:textId="0EE45121" w:rsidR="00155CD5" w:rsidRPr="00762814" w:rsidRDefault="00155CD5" w:rsidP="00762814">
      <w:pPr>
        <w:spacing w:line="276" w:lineRule="auto"/>
        <w:rPr>
          <w:rFonts w:cstheme="minorHAnsi"/>
          <w:sz w:val="24"/>
          <w:szCs w:val="24"/>
        </w:rPr>
      </w:pPr>
      <w:r w:rsidRPr="00762814">
        <w:rPr>
          <w:rFonts w:cstheme="minorHAnsi"/>
          <w:sz w:val="24"/>
          <w:szCs w:val="24"/>
        </w:rPr>
        <w:br w:type="page"/>
      </w:r>
    </w:p>
    <w:p w14:paraId="022575B1" w14:textId="2DCFBC3A" w:rsidR="00A23B26" w:rsidRPr="00930477" w:rsidRDefault="00722C21" w:rsidP="00BF47B4">
      <w:pPr>
        <w:pStyle w:val="Nagwek2"/>
        <w:numPr>
          <w:ilvl w:val="0"/>
          <w:numId w:val="38"/>
        </w:numPr>
        <w:spacing w:line="276" w:lineRule="auto"/>
        <w:ind w:left="714" w:hanging="357"/>
        <w:rPr>
          <w:rFonts w:asciiTheme="minorHAnsi" w:hAnsiTheme="minorHAnsi" w:cstheme="minorHAnsi"/>
          <w:b/>
          <w:color w:val="auto"/>
          <w:sz w:val="36"/>
          <w:szCs w:val="36"/>
        </w:rPr>
      </w:pPr>
      <w:bookmarkStart w:id="126" w:name="_Toc148716399"/>
      <w:r w:rsidRPr="00930477">
        <w:rPr>
          <w:rFonts w:asciiTheme="minorHAnsi" w:hAnsiTheme="minorHAnsi" w:cstheme="minorHAnsi"/>
          <w:b/>
          <w:color w:val="auto"/>
          <w:sz w:val="36"/>
          <w:szCs w:val="36"/>
        </w:rPr>
        <w:t>Wydatki kwalifikowalne modułu cyfryzacja</w:t>
      </w:r>
      <w:bookmarkEnd w:id="126"/>
    </w:p>
    <w:p w14:paraId="4D19578E" w14:textId="20C720CC" w:rsidR="00A23B26" w:rsidRPr="00930477" w:rsidRDefault="007B2CB0" w:rsidP="00930477">
      <w:pPr>
        <w:pStyle w:val="Nagwek3"/>
        <w:spacing w:before="360" w:line="276" w:lineRule="auto"/>
        <w:rPr>
          <w:rFonts w:asciiTheme="minorHAnsi" w:hAnsiTheme="minorHAnsi" w:cstheme="minorHAnsi"/>
          <w:color w:val="auto"/>
          <w:sz w:val="32"/>
        </w:rPr>
      </w:pPr>
      <w:bookmarkStart w:id="127" w:name="_Toc148716400"/>
      <w:r w:rsidRPr="00930477">
        <w:rPr>
          <w:rFonts w:asciiTheme="minorHAnsi" w:hAnsiTheme="minorHAnsi" w:cstheme="minorHAnsi"/>
          <w:color w:val="auto"/>
          <w:sz w:val="32"/>
        </w:rPr>
        <w:t>6</w:t>
      </w:r>
      <w:r w:rsidR="006478F5" w:rsidRPr="00930477">
        <w:rPr>
          <w:rFonts w:asciiTheme="minorHAnsi" w:hAnsiTheme="minorHAnsi" w:cstheme="minorHAnsi"/>
          <w:color w:val="auto"/>
          <w:sz w:val="32"/>
        </w:rPr>
        <w:t xml:space="preserve">.1 </w:t>
      </w:r>
      <w:r w:rsidR="00A23B26" w:rsidRPr="00930477">
        <w:rPr>
          <w:rFonts w:asciiTheme="minorHAnsi" w:hAnsiTheme="minorHAnsi" w:cstheme="minorHAnsi"/>
          <w:color w:val="auto"/>
          <w:sz w:val="32"/>
        </w:rPr>
        <w:t>Pomoc publiczna</w:t>
      </w:r>
      <w:bookmarkEnd w:id="127"/>
    </w:p>
    <w:p w14:paraId="6040BD06" w14:textId="77777777" w:rsidR="00A23B26" w:rsidRPr="00762814" w:rsidRDefault="00A23B26" w:rsidP="00762814">
      <w:pPr>
        <w:spacing w:after="120" w:line="276" w:lineRule="auto"/>
        <w:rPr>
          <w:rFonts w:cstheme="minorHAnsi"/>
          <w:sz w:val="24"/>
          <w:szCs w:val="24"/>
        </w:rPr>
      </w:pPr>
      <w:r w:rsidRPr="00762814">
        <w:rPr>
          <w:rFonts w:cstheme="minorHAnsi"/>
          <w:sz w:val="24"/>
          <w:szCs w:val="24"/>
        </w:rPr>
        <w:t>Wnioskodawca może uzyskać wsparcie w module na podstawie:</w:t>
      </w:r>
    </w:p>
    <w:p w14:paraId="2EA0723C" w14:textId="1B464F69" w:rsidR="00A23B26" w:rsidRPr="00762814" w:rsidRDefault="00A23B26" w:rsidP="00BF47B4">
      <w:pPr>
        <w:pStyle w:val="Akapitzlist"/>
        <w:numPr>
          <w:ilvl w:val="0"/>
          <w:numId w:val="8"/>
        </w:numPr>
        <w:spacing w:after="120" w:line="276" w:lineRule="auto"/>
        <w:ind w:left="0" w:firstLine="0"/>
        <w:rPr>
          <w:rFonts w:cstheme="minorHAnsi"/>
          <w:sz w:val="24"/>
          <w:szCs w:val="24"/>
        </w:rPr>
      </w:pPr>
      <w:r w:rsidRPr="00762814">
        <w:rPr>
          <w:rFonts w:cstheme="minorHAnsi"/>
          <w:sz w:val="24"/>
          <w:szCs w:val="24"/>
        </w:rPr>
        <w:t xml:space="preserve">Rozporządzenia </w:t>
      </w:r>
      <w:r w:rsidR="00095981" w:rsidRPr="00762814">
        <w:rPr>
          <w:rFonts w:cstheme="minorHAnsi"/>
          <w:sz w:val="24"/>
          <w:szCs w:val="24"/>
        </w:rPr>
        <w:t xml:space="preserve">Komisji (UE) nr </w:t>
      </w:r>
      <w:r w:rsidRPr="00762814">
        <w:rPr>
          <w:rFonts w:cstheme="minorHAnsi"/>
          <w:sz w:val="24"/>
          <w:szCs w:val="24"/>
        </w:rPr>
        <w:t xml:space="preserve">651/2014 jako: </w:t>
      </w:r>
    </w:p>
    <w:p w14:paraId="5C4B4694" w14:textId="0A1AD608" w:rsidR="00A23B26" w:rsidRPr="00762814" w:rsidRDefault="00A23B26" w:rsidP="00BF47B4">
      <w:pPr>
        <w:pStyle w:val="Akapitzlist"/>
        <w:numPr>
          <w:ilvl w:val="1"/>
          <w:numId w:val="17"/>
        </w:numPr>
        <w:spacing w:after="120" w:line="276" w:lineRule="auto"/>
        <w:rPr>
          <w:rFonts w:cstheme="minorHAnsi"/>
          <w:sz w:val="24"/>
          <w:szCs w:val="24"/>
        </w:rPr>
      </w:pPr>
      <w:r w:rsidRPr="00762814">
        <w:rPr>
          <w:rFonts w:cstheme="minorHAnsi"/>
          <w:sz w:val="24"/>
          <w:szCs w:val="24"/>
        </w:rPr>
        <w:t xml:space="preserve">regionalną pomoc inwestycyjną (art. 14), </w:t>
      </w:r>
    </w:p>
    <w:p w14:paraId="4EDF935A" w14:textId="64B3BBA4" w:rsidR="00A23B26" w:rsidRPr="00762814" w:rsidRDefault="00A23B26" w:rsidP="00BF47B4">
      <w:pPr>
        <w:pStyle w:val="Akapitzlist"/>
        <w:numPr>
          <w:ilvl w:val="1"/>
          <w:numId w:val="17"/>
        </w:numPr>
        <w:spacing w:after="120" w:line="276" w:lineRule="auto"/>
        <w:rPr>
          <w:rFonts w:cstheme="minorHAnsi"/>
          <w:sz w:val="24"/>
          <w:szCs w:val="24"/>
        </w:rPr>
      </w:pPr>
      <w:r w:rsidRPr="00762814">
        <w:rPr>
          <w:rFonts w:cstheme="minorHAnsi"/>
          <w:sz w:val="24"/>
          <w:szCs w:val="24"/>
        </w:rPr>
        <w:t>pomoc na usługi doradcze na rzecz MŚP (art. 18),</w:t>
      </w:r>
    </w:p>
    <w:p w14:paraId="70750F94" w14:textId="0B27C485" w:rsidR="00491BA2" w:rsidRPr="00762814" w:rsidRDefault="00A23B26" w:rsidP="00BF47B4">
      <w:pPr>
        <w:pStyle w:val="Akapitzlist"/>
        <w:numPr>
          <w:ilvl w:val="1"/>
          <w:numId w:val="17"/>
        </w:numPr>
        <w:spacing w:after="120" w:line="276" w:lineRule="auto"/>
        <w:rPr>
          <w:rFonts w:cstheme="minorHAnsi"/>
          <w:sz w:val="24"/>
          <w:szCs w:val="24"/>
        </w:rPr>
      </w:pPr>
      <w:r w:rsidRPr="00762814">
        <w:rPr>
          <w:rFonts w:cstheme="minorHAnsi"/>
          <w:sz w:val="24"/>
          <w:szCs w:val="24"/>
        </w:rPr>
        <w:t xml:space="preserve">pomoc dla MŚP na wspieranie innowacyjności (art. 28) </w:t>
      </w:r>
    </w:p>
    <w:p w14:paraId="44850047" w14:textId="067E8CBE" w:rsidR="00A23B26" w:rsidRPr="00762814" w:rsidRDefault="00A23B26" w:rsidP="00BF47B4">
      <w:pPr>
        <w:pStyle w:val="Akapitzlist"/>
        <w:numPr>
          <w:ilvl w:val="0"/>
          <w:numId w:val="8"/>
        </w:numPr>
        <w:spacing w:after="120" w:line="276" w:lineRule="auto"/>
        <w:ind w:left="0" w:firstLine="0"/>
        <w:rPr>
          <w:rFonts w:cstheme="minorHAnsi"/>
          <w:sz w:val="24"/>
          <w:szCs w:val="24"/>
        </w:rPr>
      </w:pPr>
      <w:r w:rsidRPr="00762814">
        <w:rPr>
          <w:rFonts w:cstheme="minorHAnsi"/>
          <w:sz w:val="24"/>
          <w:szCs w:val="24"/>
        </w:rPr>
        <w:t>Rozporządzenia 1407/2013 jako pomoc de minimis</w:t>
      </w:r>
      <w:r w:rsidR="001660D4" w:rsidRPr="00762814">
        <w:rPr>
          <w:rFonts w:cstheme="minorHAnsi"/>
          <w:sz w:val="24"/>
          <w:szCs w:val="24"/>
        </w:rPr>
        <w:t>.</w:t>
      </w:r>
    </w:p>
    <w:p w14:paraId="62C9EA6C" w14:textId="78D81D2B" w:rsidR="003167AD" w:rsidRPr="00930477" w:rsidRDefault="007B2CB0" w:rsidP="00930477">
      <w:pPr>
        <w:pStyle w:val="Nagwek3"/>
        <w:spacing w:before="360" w:line="276" w:lineRule="auto"/>
        <w:rPr>
          <w:rFonts w:asciiTheme="minorHAnsi" w:hAnsiTheme="minorHAnsi" w:cstheme="minorHAnsi"/>
          <w:color w:val="auto"/>
          <w:sz w:val="32"/>
        </w:rPr>
      </w:pPr>
      <w:bookmarkStart w:id="128" w:name="_Toc148716401"/>
      <w:r w:rsidRPr="00930477">
        <w:rPr>
          <w:rFonts w:asciiTheme="minorHAnsi" w:hAnsiTheme="minorHAnsi" w:cstheme="minorHAnsi"/>
          <w:color w:val="auto"/>
          <w:sz w:val="32"/>
        </w:rPr>
        <w:t>6</w:t>
      </w:r>
      <w:r w:rsidR="006478F5" w:rsidRPr="00930477">
        <w:rPr>
          <w:rFonts w:asciiTheme="minorHAnsi" w:hAnsiTheme="minorHAnsi" w:cstheme="minorHAnsi"/>
          <w:color w:val="auto"/>
          <w:sz w:val="32"/>
        </w:rPr>
        <w:t>.2</w:t>
      </w:r>
      <w:r w:rsidR="007107CB" w:rsidRPr="00930477">
        <w:rPr>
          <w:rFonts w:asciiTheme="minorHAnsi" w:hAnsiTheme="minorHAnsi" w:cstheme="minorHAnsi"/>
          <w:color w:val="auto"/>
          <w:sz w:val="32"/>
        </w:rPr>
        <w:tab/>
      </w:r>
      <w:r w:rsidR="00A23B26" w:rsidRPr="00930477">
        <w:rPr>
          <w:rFonts w:asciiTheme="minorHAnsi" w:hAnsiTheme="minorHAnsi" w:cstheme="minorHAnsi"/>
          <w:color w:val="auto"/>
          <w:sz w:val="32"/>
        </w:rPr>
        <w:t>Limity</w:t>
      </w:r>
      <w:r w:rsidR="003167AD" w:rsidRPr="00930477">
        <w:rPr>
          <w:rFonts w:asciiTheme="minorHAnsi" w:hAnsiTheme="minorHAnsi" w:cstheme="minorHAnsi"/>
          <w:color w:val="auto"/>
          <w:sz w:val="32"/>
        </w:rPr>
        <w:t xml:space="preserve"> wydatków kwalifikowa</w:t>
      </w:r>
      <w:r w:rsidR="000B17FE" w:rsidRPr="00930477">
        <w:rPr>
          <w:rFonts w:asciiTheme="minorHAnsi" w:hAnsiTheme="minorHAnsi" w:cstheme="minorHAnsi"/>
          <w:color w:val="auto"/>
          <w:sz w:val="32"/>
        </w:rPr>
        <w:t>l</w:t>
      </w:r>
      <w:r w:rsidR="003167AD" w:rsidRPr="00930477">
        <w:rPr>
          <w:rFonts w:asciiTheme="minorHAnsi" w:hAnsiTheme="minorHAnsi" w:cstheme="minorHAnsi"/>
          <w:color w:val="auto"/>
          <w:sz w:val="32"/>
        </w:rPr>
        <w:t>nych w module oraz limity dofinansowania</w:t>
      </w:r>
      <w:bookmarkEnd w:id="128"/>
    </w:p>
    <w:p w14:paraId="0B4FEEC1" w14:textId="00F2098B" w:rsidR="00E82F89" w:rsidRPr="00762814" w:rsidRDefault="00E82F89" w:rsidP="00762814">
      <w:pPr>
        <w:spacing w:after="120" w:line="276" w:lineRule="auto"/>
        <w:rPr>
          <w:rFonts w:cstheme="minorHAnsi"/>
          <w:sz w:val="24"/>
          <w:szCs w:val="24"/>
        </w:rPr>
      </w:pPr>
      <w:bookmarkStart w:id="129" w:name="_Hlk117084024"/>
      <w:r w:rsidRPr="00762814">
        <w:rPr>
          <w:rFonts w:cstheme="minorHAnsi"/>
          <w:sz w:val="24"/>
          <w:szCs w:val="24"/>
          <w:u w:val="single"/>
        </w:rPr>
        <w:t>Limity wynikające z przepisów pomocy publicznej</w:t>
      </w:r>
      <w:r w:rsidRPr="00762814">
        <w:rPr>
          <w:rFonts w:cstheme="minorHAnsi"/>
          <w:sz w:val="24"/>
          <w:szCs w:val="24"/>
        </w:rPr>
        <w:t>:</w:t>
      </w:r>
    </w:p>
    <w:bookmarkEnd w:id="129"/>
    <w:p w14:paraId="03CBD7F7" w14:textId="77777777" w:rsidR="0013195D" w:rsidRPr="00762814" w:rsidRDefault="0013195D" w:rsidP="00762814">
      <w:pPr>
        <w:spacing w:after="120" w:line="276" w:lineRule="auto"/>
        <w:rPr>
          <w:rFonts w:cstheme="minorHAnsi"/>
          <w:b/>
          <w:bCs/>
          <w:sz w:val="24"/>
          <w:szCs w:val="24"/>
        </w:rPr>
      </w:pPr>
      <w:r w:rsidRPr="00762814">
        <w:rPr>
          <w:rFonts w:cstheme="minorHAnsi"/>
          <w:b/>
          <w:bCs/>
          <w:sz w:val="24"/>
          <w:szCs w:val="24"/>
        </w:rPr>
        <w:t>Intensywność pomocy</w:t>
      </w:r>
      <w:r w:rsidRPr="00762814">
        <w:rPr>
          <w:rFonts w:cstheme="minorHAnsi"/>
          <w:sz w:val="24"/>
          <w:szCs w:val="24"/>
        </w:rPr>
        <w:t xml:space="preserve"> na wydatki w ramach poszczególnych przeznaczeń pomocy nie może przekroczyć:</w:t>
      </w:r>
    </w:p>
    <w:p w14:paraId="31A853B6" w14:textId="1A204488" w:rsidR="00272114" w:rsidRPr="00762814" w:rsidRDefault="0013195D" w:rsidP="00BF47B4">
      <w:pPr>
        <w:pStyle w:val="Akapitzlist"/>
        <w:numPr>
          <w:ilvl w:val="0"/>
          <w:numId w:val="21"/>
        </w:numPr>
        <w:spacing w:after="120" w:line="276" w:lineRule="auto"/>
        <w:rPr>
          <w:rFonts w:cstheme="minorHAnsi"/>
          <w:sz w:val="24"/>
          <w:szCs w:val="24"/>
        </w:rPr>
      </w:pPr>
      <w:r w:rsidRPr="00762814">
        <w:rPr>
          <w:rFonts w:cstheme="minorHAnsi"/>
          <w:sz w:val="24"/>
          <w:szCs w:val="24"/>
        </w:rPr>
        <w:t xml:space="preserve">limitów intensywności wsparcia wskazanych w rozporządzeniu Rady Ministrów z dnia 14 grudnia 2021 r. w sprawie ustalenia mapy pomocy regionalnej na lata 2022-2027 (Dz. U. poz. 2422) w przypadku </w:t>
      </w:r>
      <w:r w:rsidR="00446A2F" w:rsidRPr="00762814">
        <w:rPr>
          <w:rFonts w:cstheme="minorHAnsi"/>
          <w:b/>
          <w:bCs/>
          <w:sz w:val="24"/>
          <w:szCs w:val="24"/>
        </w:rPr>
        <w:t>r</w:t>
      </w:r>
      <w:r w:rsidRPr="00762814">
        <w:rPr>
          <w:rFonts w:cstheme="minorHAnsi"/>
          <w:b/>
          <w:bCs/>
          <w:sz w:val="24"/>
          <w:szCs w:val="24"/>
        </w:rPr>
        <w:t>egionalnej pomocy inwestycyjnej</w:t>
      </w:r>
      <w:r w:rsidRPr="00762814">
        <w:rPr>
          <w:rFonts w:cstheme="minorHAnsi"/>
          <w:sz w:val="24"/>
          <w:szCs w:val="24"/>
        </w:rPr>
        <w:t>.</w:t>
      </w:r>
    </w:p>
    <w:p w14:paraId="4109366C" w14:textId="7AAEF025" w:rsidR="0013195D" w:rsidRPr="00762814" w:rsidRDefault="0013195D" w:rsidP="00762814">
      <w:pPr>
        <w:pStyle w:val="Akapitzlist"/>
        <w:spacing w:after="120" w:line="276" w:lineRule="auto"/>
        <w:ind w:left="360"/>
        <w:rPr>
          <w:rFonts w:cstheme="minorHAnsi"/>
          <w:sz w:val="24"/>
          <w:szCs w:val="24"/>
        </w:rPr>
      </w:pPr>
      <w:r w:rsidRPr="00762814">
        <w:rPr>
          <w:rFonts w:cstheme="minorHAnsi"/>
          <w:sz w:val="24"/>
          <w:szCs w:val="24"/>
        </w:rPr>
        <w:t>Intensywność wsparcia w regionalnej pomocy inwestycyjnej w poszczególnych regionach dla poszczególnych kategorii przedsiębiorców została przedstawiona w Tabeli nr 2;</w:t>
      </w:r>
    </w:p>
    <w:p w14:paraId="1979B277" w14:textId="77777777" w:rsidR="0013195D" w:rsidRPr="00762814" w:rsidRDefault="0013195D" w:rsidP="00BF47B4">
      <w:pPr>
        <w:pStyle w:val="Akapitzlist"/>
        <w:numPr>
          <w:ilvl w:val="0"/>
          <w:numId w:val="21"/>
        </w:numPr>
        <w:spacing w:after="120" w:line="276" w:lineRule="auto"/>
        <w:rPr>
          <w:rFonts w:cstheme="minorHAnsi"/>
          <w:sz w:val="24"/>
          <w:szCs w:val="24"/>
        </w:rPr>
      </w:pPr>
      <w:r w:rsidRPr="00762814">
        <w:rPr>
          <w:rFonts w:cstheme="minorHAnsi"/>
          <w:sz w:val="24"/>
          <w:szCs w:val="24"/>
        </w:rPr>
        <w:t xml:space="preserve">50% w przypadku </w:t>
      </w:r>
      <w:r w:rsidRPr="00762814">
        <w:rPr>
          <w:rFonts w:cstheme="minorHAnsi"/>
          <w:b/>
          <w:bCs/>
          <w:sz w:val="24"/>
          <w:szCs w:val="24"/>
        </w:rPr>
        <w:t>pomocy na usługi doradcze na rzecz MŚP</w:t>
      </w:r>
      <w:r w:rsidRPr="00762814">
        <w:rPr>
          <w:rFonts w:cstheme="minorHAnsi"/>
          <w:bCs/>
          <w:sz w:val="24"/>
          <w:szCs w:val="24"/>
        </w:rPr>
        <w:t>;</w:t>
      </w:r>
    </w:p>
    <w:p w14:paraId="6CC041EA" w14:textId="77777777" w:rsidR="0013195D" w:rsidRPr="00762814" w:rsidRDefault="0013195D" w:rsidP="00BF47B4">
      <w:pPr>
        <w:pStyle w:val="Akapitzlist"/>
        <w:numPr>
          <w:ilvl w:val="0"/>
          <w:numId w:val="21"/>
        </w:numPr>
        <w:spacing w:after="120" w:line="276" w:lineRule="auto"/>
        <w:rPr>
          <w:rFonts w:cstheme="minorHAnsi"/>
          <w:sz w:val="24"/>
          <w:szCs w:val="24"/>
        </w:rPr>
      </w:pPr>
      <w:r w:rsidRPr="00762814">
        <w:rPr>
          <w:rFonts w:cstheme="minorHAnsi"/>
          <w:sz w:val="24"/>
          <w:szCs w:val="24"/>
        </w:rPr>
        <w:t xml:space="preserve">50% w przypadku </w:t>
      </w:r>
      <w:r w:rsidRPr="00762814">
        <w:rPr>
          <w:rFonts w:cstheme="minorHAnsi"/>
          <w:b/>
          <w:bCs/>
          <w:sz w:val="24"/>
          <w:szCs w:val="24"/>
        </w:rPr>
        <w:t>pomocy dla MŚP na wspieranie innowacyjności</w:t>
      </w:r>
      <w:r w:rsidRPr="00762814">
        <w:rPr>
          <w:rFonts w:cstheme="minorHAnsi"/>
          <w:sz w:val="24"/>
          <w:szCs w:val="24"/>
        </w:rPr>
        <w:t>;</w:t>
      </w:r>
    </w:p>
    <w:p w14:paraId="26ADA12D" w14:textId="7A42618D" w:rsidR="0013195D" w:rsidRPr="00762814" w:rsidRDefault="0013195D" w:rsidP="00BF47B4">
      <w:pPr>
        <w:pStyle w:val="Akapitzlist"/>
        <w:numPr>
          <w:ilvl w:val="0"/>
          <w:numId w:val="21"/>
        </w:numPr>
        <w:spacing w:after="120" w:line="276" w:lineRule="auto"/>
        <w:rPr>
          <w:rFonts w:cstheme="minorHAnsi"/>
          <w:sz w:val="24"/>
          <w:szCs w:val="24"/>
        </w:rPr>
      </w:pPr>
      <w:r w:rsidRPr="00762814">
        <w:rPr>
          <w:rFonts w:cstheme="minorHAnsi"/>
          <w:bCs/>
          <w:sz w:val="24"/>
          <w:szCs w:val="24"/>
        </w:rPr>
        <w:t xml:space="preserve">50% w przypadku </w:t>
      </w:r>
      <w:r w:rsidRPr="00762814">
        <w:rPr>
          <w:rFonts w:cstheme="minorHAnsi"/>
          <w:b/>
          <w:bCs/>
          <w:sz w:val="24"/>
          <w:szCs w:val="24"/>
        </w:rPr>
        <w:t>pomocy de minimis</w:t>
      </w:r>
      <w:r w:rsidR="00FA5D85" w:rsidRPr="00762814">
        <w:rPr>
          <w:rFonts w:cstheme="minorHAnsi"/>
          <w:b/>
          <w:bCs/>
          <w:sz w:val="24"/>
          <w:szCs w:val="24"/>
        </w:rPr>
        <w:t>.</w:t>
      </w:r>
      <w:r w:rsidRPr="00762814">
        <w:rPr>
          <w:rFonts w:cstheme="minorHAnsi"/>
          <w:sz w:val="24"/>
          <w:szCs w:val="24"/>
        </w:rPr>
        <w:t xml:space="preserve"> </w:t>
      </w:r>
    </w:p>
    <w:p w14:paraId="5CA08154" w14:textId="744945B7" w:rsidR="00A23B26" w:rsidRPr="00930477" w:rsidRDefault="008C6E68" w:rsidP="00930477">
      <w:pPr>
        <w:pStyle w:val="Nagwek3"/>
        <w:spacing w:before="360" w:line="276" w:lineRule="auto"/>
        <w:rPr>
          <w:rFonts w:asciiTheme="minorHAnsi" w:hAnsiTheme="minorHAnsi" w:cstheme="minorHAnsi"/>
          <w:color w:val="auto"/>
          <w:sz w:val="32"/>
        </w:rPr>
      </w:pPr>
      <w:bookmarkStart w:id="130" w:name="_Toc148716402"/>
      <w:r w:rsidRPr="00930477">
        <w:rPr>
          <w:rFonts w:asciiTheme="minorHAnsi" w:hAnsiTheme="minorHAnsi" w:cstheme="minorHAnsi"/>
          <w:color w:val="auto"/>
          <w:sz w:val="32"/>
        </w:rPr>
        <w:t>6</w:t>
      </w:r>
      <w:r w:rsidR="003C14A9" w:rsidRPr="00930477">
        <w:rPr>
          <w:rFonts w:asciiTheme="minorHAnsi" w:hAnsiTheme="minorHAnsi" w:cstheme="minorHAnsi"/>
          <w:color w:val="auto"/>
          <w:sz w:val="32"/>
        </w:rPr>
        <w:t xml:space="preserve">.3 </w:t>
      </w:r>
      <w:r w:rsidR="00A23B26" w:rsidRPr="00930477">
        <w:rPr>
          <w:rFonts w:asciiTheme="minorHAnsi" w:hAnsiTheme="minorHAnsi" w:cstheme="minorHAnsi"/>
          <w:color w:val="auto"/>
          <w:sz w:val="32"/>
        </w:rPr>
        <w:t xml:space="preserve">Kategorie </w:t>
      </w:r>
      <w:r w:rsidR="004A5CA2" w:rsidRPr="00930477">
        <w:rPr>
          <w:rFonts w:asciiTheme="minorHAnsi" w:hAnsiTheme="minorHAnsi" w:cstheme="minorHAnsi"/>
          <w:color w:val="auto"/>
          <w:sz w:val="32"/>
        </w:rPr>
        <w:t>wydatków</w:t>
      </w:r>
      <w:r w:rsidR="00A23B26" w:rsidRPr="00930477">
        <w:rPr>
          <w:rFonts w:asciiTheme="minorHAnsi" w:hAnsiTheme="minorHAnsi" w:cstheme="minorHAnsi"/>
          <w:color w:val="auto"/>
          <w:sz w:val="32"/>
        </w:rPr>
        <w:t xml:space="preserve"> kwalifikowalnych w ramach modułu </w:t>
      </w:r>
      <w:r w:rsidR="00F8555F" w:rsidRPr="00930477">
        <w:rPr>
          <w:rFonts w:asciiTheme="minorHAnsi" w:hAnsiTheme="minorHAnsi" w:cstheme="minorHAnsi"/>
          <w:color w:val="auto"/>
          <w:sz w:val="32"/>
        </w:rPr>
        <w:t>C</w:t>
      </w:r>
      <w:r w:rsidR="00A23B26" w:rsidRPr="00930477">
        <w:rPr>
          <w:rFonts w:asciiTheme="minorHAnsi" w:hAnsiTheme="minorHAnsi" w:cstheme="minorHAnsi"/>
          <w:color w:val="auto"/>
          <w:sz w:val="32"/>
        </w:rPr>
        <w:t>yfryzacja</w:t>
      </w:r>
      <w:bookmarkEnd w:id="130"/>
    </w:p>
    <w:p w14:paraId="05FA9E89" w14:textId="035C8CED" w:rsidR="008C6E68" w:rsidRPr="00762814" w:rsidRDefault="008C6E68" w:rsidP="00762814">
      <w:pPr>
        <w:pStyle w:val="Akapitzlist"/>
        <w:spacing w:after="120" w:line="276" w:lineRule="auto"/>
        <w:ind w:left="0"/>
        <w:rPr>
          <w:rFonts w:cstheme="minorHAnsi"/>
          <w:sz w:val="24"/>
          <w:szCs w:val="24"/>
        </w:rPr>
      </w:pPr>
      <w:r w:rsidRPr="00762814">
        <w:rPr>
          <w:rFonts w:cstheme="minorHAnsi"/>
          <w:sz w:val="24"/>
          <w:szCs w:val="24"/>
        </w:rPr>
        <w:t xml:space="preserve">W </w:t>
      </w:r>
      <w:r w:rsidRPr="00762814">
        <w:rPr>
          <w:rFonts w:cstheme="minorHAnsi"/>
          <w:b/>
          <w:bCs/>
          <w:sz w:val="24"/>
          <w:szCs w:val="24"/>
        </w:rPr>
        <w:t>ramach regionalnej pomocy inwestycyjnej</w:t>
      </w:r>
      <w:r w:rsidRPr="00762814">
        <w:rPr>
          <w:rFonts w:cstheme="minorHAnsi"/>
          <w:sz w:val="24"/>
          <w:szCs w:val="24"/>
        </w:rPr>
        <w:t xml:space="preserve"> kwalifikowalne są koszty </w:t>
      </w:r>
      <w:r w:rsidR="00F8555F" w:rsidRPr="00762814">
        <w:rPr>
          <w:rFonts w:cstheme="minorHAnsi"/>
          <w:sz w:val="24"/>
          <w:szCs w:val="24"/>
        </w:rPr>
        <w:t xml:space="preserve">wskazane w pkt 6.3.1 – 6.3.5 </w:t>
      </w:r>
      <w:r w:rsidRPr="00762814">
        <w:rPr>
          <w:rFonts w:cstheme="minorHAnsi"/>
          <w:sz w:val="24"/>
          <w:szCs w:val="24"/>
        </w:rPr>
        <w:t>związane z realizacją inwestycji początkowej (o której mowa w art. 2 pkt. 49a lub 51a</w:t>
      </w:r>
      <w:r w:rsidR="006367EA" w:rsidRPr="00762814">
        <w:rPr>
          <w:rFonts w:cstheme="minorHAnsi"/>
          <w:sz w:val="24"/>
          <w:szCs w:val="24"/>
        </w:rPr>
        <w:t xml:space="preserve"> rozporządzenia Komisji (UE) nr 651/2014</w:t>
      </w:r>
      <w:r w:rsidRPr="00762814">
        <w:rPr>
          <w:rFonts w:cstheme="minorHAnsi"/>
          <w:sz w:val="24"/>
          <w:szCs w:val="24"/>
        </w:rPr>
        <w:t>)</w:t>
      </w:r>
      <w:r w:rsidR="00334CAC" w:rsidRPr="00762814">
        <w:rPr>
          <w:rFonts w:cstheme="minorHAnsi"/>
          <w:sz w:val="24"/>
          <w:szCs w:val="24"/>
        </w:rPr>
        <w:t>.</w:t>
      </w:r>
    </w:p>
    <w:p w14:paraId="575F7FAA" w14:textId="77777777" w:rsidR="00334CAC" w:rsidRPr="00762814" w:rsidRDefault="00334CAC" w:rsidP="00762814">
      <w:pPr>
        <w:spacing w:after="120" w:line="276" w:lineRule="auto"/>
        <w:rPr>
          <w:rFonts w:cstheme="minorHAnsi"/>
          <w:sz w:val="24"/>
          <w:szCs w:val="24"/>
        </w:rPr>
      </w:pPr>
      <w:r w:rsidRPr="00762814">
        <w:rPr>
          <w:rFonts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trzech poprzednich lat obrotowych. </w:t>
      </w:r>
    </w:p>
    <w:p w14:paraId="05B19027" w14:textId="77777777" w:rsidR="00334CAC" w:rsidRPr="00762814" w:rsidRDefault="00334CAC" w:rsidP="00762814">
      <w:pPr>
        <w:spacing w:after="120" w:line="276" w:lineRule="auto"/>
        <w:rPr>
          <w:rFonts w:cstheme="minorHAnsi"/>
          <w:sz w:val="24"/>
          <w:szCs w:val="24"/>
        </w:rPr>
      </w:pPr>
      <w:r w:rsidRPr="00762814">
        <w:rPr>
          <w:rFonts w:cstheme="minorHAnsi"/>
          <w:sz w:val="24"/>
          <w:szCs w:val="24"/>
        </w:rPr>
        <w:t>W przypadku pomocy przyznanej na dywersyfikację istniejącego zakładu MŚP lub dużym przedsiębiorcom koszty kwalifikowalne muszą przekraczać o co najmniej 200% wartość księgową ponownie wykorzystywanych aktywów, odnotowaną w roku obrotowym poprzedzającym rozpoczęcie prac.</w:t>
      </w:r>
    </w:p>
    <w:p w14:paraId="07F3D128" w14:textId="77777777" w:rsidR="00334CAC" w:rsidRPr="00762814" w:rsidRDefault="00334CAC" w:rsidP="00762814">
      <w:pPr>
        <w:spacing w:after="120" w:line="276" w:lineRule="auto"/>
        <w:rPr>
          <w:rFonts w:cstheme="minorHAnsi"/>
          <w:sz w:val="24"/>
          <w:szCs w:val="24"/>
        </w:rPr>
      </w:pPr>
      <w:r w:rsidRPr="00762814">
        <w:rPr>
          <w:rFonts w:cstheme="minorHAnsi"/>
          <w:sz w:val="24"/>
          <w:szCs w:val="24"/>
        </w:rPr>
        <w:t xml:space="preserve">Wnioskodawca jest zobowiązany do wniesienia wkładu własnego na poziomie co najmniej 25% wartości kosztów kwalifikowalnych </w:t>
      </w:r>
      <w:r w:rsidRPr="00762814">
        <w:rPr>
          <w:rFonts w:cstheme="minorHAnsi"/>
          <w:b/>
          <w:bCs/>
          <w:sz w:val="24"/>
          <w:szCs w:val="24"/>
        </w:rPr>
        <w:t>objętych dofinansowaniem w ramach regionalnej pomocy inwestycyjnej</w:t>
      </w:r>
      <w:r w:rsidRPr="00762814">
        <w:rPr>
          <w:rFonts w:cstheme="minorHAnsi"/>
          <w:sz w:val="24"/>
          <w:szCs w:val="24"/>
        </w:rPr>
        <w:t>, w formie środków finansowych wolnych od publicznego wsparcia.</w:t>
      </w:r>
    </w:p>
    <w:p w14:paraId="7AA09661" w14:textId="2842DAAE" w:rsidR="008C6E68" w:rsidRPr="00ED6E26" w:rsidRDefault="00E94058" w:rsidP="00E94058">
      <w:pPr>
        <w:pStyle w:val="Nagwek4"/>
        <w:spacing w:before="120" w:line="276" w:lineRule="auto"/>
        <w:rPr>
          <w:rFonts w:asciiTheme="minorHAnsi" w:hAnsiTheme="minorHAnsi" w:cstheme="minorHAnsi"/>
          <w:i w:val="0"/>
          <w:color w:val="auto"/>
          <w:sz w:val="28"/>
          <w:szCs w:val="28"/>
        </w:rPr>
      </w:pPr>
      <w:bookmarkStart w:id="131" w:name="_Toc148716403"/>
      <w:r>
        <w:rPr>
          <w:rFonts w:asciiTheme="minorHAnsi" w:hAnsiTheme="minorHAnsi" w:cstheme="minorHAnsi"/>
          <w:i w:val="0"/>
          <w:color w:val="auto"/>
          <w:sz w:val="28"/>
          <w:szCs w:val="28"/>
        </w:rPr>
        <w:t xml:space="preserve">6.3.1 </w:t>
      </w:r>
      <w:r w:rsidR="00075A3F" w:rsidRPr="00ED6E26">
        <w:rPr>
          <w:rFonts w:asciiTheme="minorHAnsi" w:hAnsiTheme="minorHAnsi" w:cstheme="minorHAnsi"/>
          <w:i w:val="0"/>
          <w:color w:val="auto"/>
          <w:sz w:val="28"/>
          <w:szCs w:val="28"/>
        </w:rPr>
        <w:t>Grunty</w:t>
      </w:r>
      <w:bookmarkEnd w:id="131"/>
      <w:r w:rsidR="00075A3F" w:rsidRPr="00ED6E26">
        <w:rPr>
          <w:rFonts w:asciiTheme="minorHAnsi" w:hAnsiTheme="minorHAnsi" w:cstheme="minorHAnsi"/>
          <w:i w:val="0"/>
          <w:color w:val="auto"/>
          <w:sz w:val="28"/>
          <w:szCs w:val="28"/>
        </w:rPr>
        <w:t xml:space="preserve"> </w:t>
      </w:r>
    </w:p>
    <w:p w14:paraId="36000C60" w14:textId="1030E893" w:rsidR="008C6E68" w:rsidRPr="00762814" w:rsidRDefault="008C6E68" w:rsidP="00762814">
      <w:pPr>
        <w:spacing w:after="120" w:line="276" w:lineRule="auto"/>
        <w:rPr>
          <w:rFonts w:cstheme="minorHAnsi"/>
          <w:sz w:val="24"/>
          <w:szCs w:val="24"/>
        </w:rPr>
      </w:pPr>
      <w:r w:rsidRPr="00762814">
        <w:rPr>
          <w:rFonts w:cstheme="minorHAnsi"/>
          <w:sz w:val="24"/>
          <w:szCs w:val="24"/>
        </w:rPr>
        <w:t>W ramach tej kategorii kwalifikowalne są koszty nabycia prawa użytkowania wieczystego gruntu lub nabycia prawa własności</w:t>
      </w:r>
      <w:r w:rsidR="00075A3F" w:rsidRPr="00762814">
        <w:rPr>
          <w:rFonts w:cstheme="minorHAnsi"/>
          <w:sz w:val="24"/>
          <w:szCs w:val="24"/>
        </w:rPr>
        <w:t xml:space="preserve"> gruntów</w:t>
      </w:r>
      <w:r w:rsidRPr="00762814">
        <w:rPr>
          <w:rFonts w:cstheme="minorHAnsi"/>
          <w:sz w:val="24"/>
          <w:szCs w:val="24"/>
        </w:rPr>
        <w:t>, jeżeli:</w:t>
      </w:r>
      <w:bookmarkStart w:id="132" w:name="_Hlk124342277"/>
      <w:r w:rsidR="00DA65E4" w:rsidRPr="00762814">
        <w:rPr>
          <w:rFonts w:cstheme="minorHAnsi"/>
          <w:sz w:val="24"/>
          <w:szCs w:val="24"/>
        </w:rPr>
        <w:t xml:space="preserve"> </w:t>
      </w:r>
      <w:r w:rsidR="00C8677D" w:rsidRPr="00762814">
        <w:rPr>
          <w:rFonts w:cstheme="minorHAnsi"/>
          <w:sz w:val="24"/>
          <w:szCs w:val="24"/>
        </w:rPr>
        <w:t xml:space="preserve">grunt </w:t>
      </w:r>
      <w:r w:rsidR="00DD325C" w:rsidRPr="00762814">
        <w:rPr>
          <w:rFonts w:cstheme="minorHAnsi"/>
          <w:sz w:val="24"/>
          <w:szCs w:val="24"/>
        </w:rPr>
        <w:t>jest niezbędn</w:t>
      </w:r>
      <w:r w:rsidR="00C8677D" w:rsidRPr="00762814">
        <w:rPr>
          <w:rFonts w:cstheme="minorHAnsi"/>
          <w:sz w:val="24"/>
          <w:szCs w:val="24"/>
        </w:rPr>
        <w:t>y</w:t>
      </w:r>
      <w:r w:rsidR="00DD325C" w:rsidRPr="00762814">
        <w:rPr>
          <w:rFonts w:cstheme="minorHAnsi"/>
          <w:sz w:val="24"/>
          <w:szCs w:val="24"/>
        </w:rPr>
        <w:t xml:space="preserve"> do realizacji modułu i kwalifikowan</w:t>
      </w:r>
      <w:r w:rsidR="00C8677D" w:rsidRPr="00762814">
        <w:rPr>
          <w:rFonts w:cstheme="minorHAnsi"/>
          <w:sz w:val="24"/>
          <w:szCs w:val="24"/>
        </w:rPr>
        <w:t>y</w:t>
      </w:r>
      <w:r w:rsidR="00075A3F" w:rsidRPr="00762814">
        <w:rPr>
          <w:rFonts w:cstheme="minorHAnsi"/>
          <w:sz w:val="24"/>
          <w:szCs w:val="24"/>
        </w:rPr>
        <w:t xml:space="preserve"> w</w:t>
      </w:r>
      <w:r w:rsidR="00DD325C" w:rsidRPr="00762814">
        <w:rPr>
          <w:rFonts w:cstheme="minorHAnsi"/>
          <w:sz w:val="24"/>
          <w:szCs w:val="24"/>
        </w:rPr>
        <w:t>yłącznie w zakresie, w jakim jest wykorzystan</w:t>
      </w:r>
      <w:r w:rsidR="00C8677D" w:rsidRPr="00762814">
        <w:rPr>
          <w:rFonts w:cstheme="minorHAnsi"/>
          <w:sz w:val="24"/>
          <w:szCs w:val="24"/>
        </w:rPr>
        <w:t>y</w:t>
      </w:r>
      <w:r w:rsidR="00DD325C" w:rsidRPr="00762814">
        <w:rPr>
          <w:rFonts w:cstheme="minorHAnsi"/>
          <w:sz w:val="24"/>
          <w:szCs w:val="24"/>
        </w:rPr>
        <w:t xml:space="preserve"> do celów realizacji modułu.</w:t>
      </w:r>
      <w:bookmarkEnd w:id="132"/>
    </w:p>
    <w:p w14:paraId="3FB26AFF" w14:textId="523F1178" w:rsidR="00A74B1F" w:rsidRPr="00762814" w:rsidRDefault="001B48D8" w:rsidP="00762814">
      <w:pPr>
        <w:spacing w:line="276" w:lineRule="auto"/>
        <w:rPr>
          <w:rFonts w:cstheme="minorHAnsi"/>
          <w:sz w:val="24"/>
          <w:szCs w:val="24"/>
        </w:rPr>
      </w:pPr>
      <w:r w:rsidRPr="00762814">
        <w:rPr>
          <w:rFonts w:cstheme="minorHAnsi"/>
          <w:sz w:val="24"/>
          <w:szCs w:val="24"/>
        </w:rPr>
        <w:t>Ponadto kwalifikowalne są r</w:t>
      </w:r>
      <w:r w:rsidR="00A74B1F" w:rsidRPr="00762814">
        <w:rPr>
          <w:rFonts w:cstheme="minorHAnsi"/>
          <w:sz w:val="24"/>
          <w:szCs w:val="24"/>
        </w:rPr>
        <w:t>at</w:t>
      </w:r>
      <w:r w:rsidRPr="00762814">
        <w:rPr>
          <w:rFonts w:cstheme="minorHAnsi"/>
          <w:sz w:val="24"/>
          <w:szCs w:val="24"/>
        </w:rPr>
        <w:t>y</w:t>
      </w:r>
      <w:r w:rsidR="00A74B1F" w:rsidRPr="00762814">
        <w:rPr>
          <w:rFonts w:cstheme="minorHAnsi"/>
          <w:sz w:val="24"/>
          <w:szCs w:val="24"/>
        </w:rPr>
        <w:t xml:space="preserve"> spłaty kapitału </w:t>
      </w:r>
      <w:r w:rsidR="00C8677D" w:rsidRPr="00762814">
        <w:rPr>
          <w:rFonts w:cstheme="minorHAnsi"/>
          <w:sz w:val="24"/>
          <w:szCs w:val="24"/>
        </w:rPr>
        <w:t>gruntu</w:t>
      </w:r>
      <w:r w:rsidR="00A74B1F" w:rsidRPr="00762814">
        <w:rPr>
          <w:rFonts w:cstheme="minorHAnsi"/>
          <w:sz w:val="24"/>
          <w:szCs w:val="24"/>
        </w:rPr>
        <w:t xml:space="preserve">, poniesione przez korzystającego do dnia zakończenia realizacji </w:t>
      </w:r>
      <w:r w:rsidR="00C8677D" w:rsidRPr="00762814">
        <w:rPr>
          <w:rFonts w:cstheme="minorHAnsi"/>
          <w:sz w:val="24"/>
          <w:szCs w:val="24"/>
        </w:rPr>
        <w:t>modułu</w:t>
      </w:r>
      <w:r w:rsidR="00A74B1F" w:rsidRPr="00762814">
        <w:rPr>
          <w:rFonts w:cstheme="minorHAnsi"/>
          <w:sz w:val="24"/>
          <w:szCs w:val="24"/>
        </w:rPr>
        <w:t>, do wysokości kapitału z dnia zawarcia umowy leasingu albo spłaty kapitału nieruchomości niezabudowanych, należnej finansującemu z tytułu umowy leasingu, pod warunkiem, że we wniosku o udzielenie pomocy finansujący jest wskazany przez wnioskodawcę jako podmiot upoważniony do poniesienia kosztu,</w:t>
      </w:r>
      <w:r w:rsidR="00A40471" w:rsidRPr="00762814">
        <w:rPr>
          <w:rFonts w:cstheme="minorHAnsi"/>
          <w:sz w:val="24"/>
          <w:szCs w:val="24"/>
        </w:rPr>
        <w:t xml:space="preserve"> </w:t>
      </w:r>
      <w:r w:rsidR="00167516" w:rsidRPr="00762814">
        <w:rPr>
          <w:rFonts w:cstheme="minorHAnsi"/>
          <w:sz w:val="24"/>
          <w:szCs w:val="24"/>
        </w:rPr>
        <w:t xml:space="preserve">pod warunkiem, że </w:t>
      </w:r>
      <w:r w:rsidR="00A74B1F" w:rsidRPr="00762814">
        <w:rPr>
          <w:rFonts w:cstheme="minorHAnsi"/>
          <w:sz w:val="24"/>
          <w:szCs w:val="24"/>
        </w:rPr>
        <w:t xml:space="preserve">umowa leasingu będzie obejmowała okres co najmniej 5 lat od przewidywanego terminu zakończenia realizacji </w:t>
      </w:r>
      <w:r w:rsidR="00E70BF6" w:rsidRPr="00762814">
        <w:rPr>
          <w:rFonts w:cstheme="minorHAnsi"/>
          <w:sz w:val="24"/>
          <w:szCs w:val="24"/>
        </w:rPr>
        <w:t>modułu</w:t>
      </w:r>
      <w:r w:rsidR="00A74B1F" w:rsidRPr="00762814">
        <w:rPr>
          <w:rFonts w:cstheme="minorHAnsi"/>
          <w:sz w:val="24"/>
          <w:szCs w:val="24"/>
        </w:rPr>
        <w:t xml:space="preserve">,  a w przypadku </w:t>
      </w:r>
      <w:r w:rsidR="00E70BF6" w:rsidRPr="00762814">
        <w:rPr>
          <w:rFonts w:cstheme="minorHAnsi"/>
          <w:sz w:val="24"/>
          <w:szCs w:val="24"/>
        </w:rPr>
        <w:t>MŚP</w:t>
      </w:r>
      <w:r w:rsidR="00A74B1F" w:rsidRPr="00762814">
        <w:rPr>
          <w:rFonts w:cstheme="minorHAnsi"/>
          <w:sz w:val="24"/>
          <w:szCs w:val="24"/>
        </w:rPr>
        <w:t xml:space="preserve"> – okres co najmniej 3 lat</w:t>
      </w:r>
      <w:r w:rsidR="00F851DB" w:rsidRPr="00762814">
        <w:rPr>
          <w:rFonts w:cstheme="minorHAnsi"/>
          <w:sz w:val="24"/>
          <w:szCs w:val="24"/>
        </w:rPr>
        <w:t>.</w:t>
      </w:r>
    </w:p>
    <w:p w14:paraId="61F454FD" w14:textId="2C30270A" w:rsidR="008C6E68" w:rsidRPr="00ED6E26" w:rsidRDefault="00E94058" w:rsidP="00E94058">
      <w:pPr>
        <w:pStyle w:val="Nagwek4"/>
        <w:spacing w:before="120" w:line="276" w:lineRule="auto"/>
        <w:rPr>
          <w:rFonts w:asciiTheme="minorHAnsi" w:hAnsiTheme="minorHAnsi" w:cstheme="minorHAnsi"/>
          <w:i w:val="0"/>
          <w:color w:val="auto"/>
          <w:sz w:val="28"/>
          <w:szCs w:val="28"/>
        </w:rPr>
      </w:pPr>
      <w:bookmarkStart w:id="133" w:name="_Toc148716404"/>
      <w:r>
        <w:rPr>
          <w:rFonts w:asciiTheme="minorHAnsi" w:hAnsiTheme="minorHAnsi" w:cstheme="minorHAnsi"/>
          <w:i w:val="0"/>
          <w:color w:val="auto"/>
          <w:sz w:val="28"/>
          <w:szCs w:val="28"/>
        </w:rPr>
        <w:t xml:space="preserve">6.3.2 </w:t>
      </w:r>
      <w:r w:rsidR="008C6E68" w:rsidRPr="00ED6E26">
        <w:rPr>
          <w:rFonts w:asciiTheme="minorHAnsi" w:hAnsiTheme="minorHAnsi" w:cstheme="minorHAnsi"/>
          <w:i w:val="0"/>
          <w:color w:val="auto"/>
          <w:sz w:val="28"/>
          <w:szCs w:val="28"/>
        </w:rPr>
        <w:t>Nieruchomości zabudowane</w:t>
      </w:r>
      <w:bookmarkEnd w:id="133"/>
    </w:p>
    <w:p w14:paraId="531ABDB8" w14:textId="1BA87A3E" w:rsidR="00773A09" w:rsidRPr="00762814" w:rsidRDefault="008C6E68" w:rsidP="00762814">
      <w:pPr>
        <w:spacing w:line="276" w:lineRule="auto"/>
        <w:rPr>
          <w:rFonts w:cstheme="minorHAnsi"/>
          <w:sz w:val="24"/>
          <w:szCs w:val="24"/>
        </w:rPr>
      </w:pPr>
      <w:r w:rsidRPr="00762814">
        <w:rPr>
          <w:rFonts w:cstheme="minorHAnsi"/>
          <w:sz w:val="24"/>
          <w:szCs w:val="24"/>
        </w:rPr>
        <w:t>W ramach tej kategorii kwalifikowalne są koszty nabycia prawa własności nieruchomości zabudowanej, z wyłączeniem lokali mieszkalnych, jeżeli</w:t>
      </w:r>
      <w:r w:rsidR="00075A3F" w:rsidRPr="00762814">
        <w:rPr>
          <w:rFonts w:cstheme="minorHAnsi"/>
          <w:sz w:val="24"/>
          <w:szCs w:val="24"/>
        </w:rPr>
        <w:t xml:space="preserve"> </w:t>
      </w:r>
      <w:bookmarkStart w:id="134" w:name="_Hlk124343343"/>
      <w:r w:rsidR="00075A3F" w:rsidRPr="00762814">
        <w:rPr>
          <w:rFonts w:cstheme="minorHAnsi"/>
          <w:sz w:val="24"/>
          <w:szCs w:val="24"/>
        </w:rPr>
        <w:t>n</w:t>
      </w:r>
      <w:r w:rsidR="00DD325C" w:rsidRPr="00762814">
        <w:rPr>
          <w:rFonts w:cstheme="minorHAnsi"/>
          <w:sz w:val="24"/>
          <w:szCs w:val="24"/>
        </w:rPr>
        <w:t>ieruchomość jest niezbędna do realizacji modułu i kwalifikowana</w:t>
      </w:r>
      <w:r w:rsidR="00075A3F" w:rsidRPr="00762814">
        <w:rPr>
          <w:rFonts w:cstheme="minorHAnsi"/>
          <w:sz w:val="24"/>
          <w:szCs w:val="24"/>
        </w:rPr>
        <w:t xml:space="preserve"> </w:t>
      </w:r>
      <w:r w:rsidR="00DD325C" w:rsidRPr="00762814">
        <w:rPr>
          <w:rFonts w:cstheme="minorHAnsi"/>
          <w:sz w:val="24"/>
          <w:szCs w:val="24"/>
        </w:rPr>
        <w:t>wyłącznie w zakresie, w jakim jest wykorzystana do celów realizacji modułu</w:t>
      </w:r>
      <w:bookmarkEnd w:id="134"/>
      <w:r w:rsidR="00DD325C" w:rsidRPr="00762814">
        <w:rPr>
          <w:rFonts w:cstheme="minorHAnsi"/>
          <w:sz w:val="24"/>
          <w:szCs w:val="24"/>
        </w:rPr>
        <w:t>.</w:t>
      </w:r>
    </w:p>
    <w:p w14:paraId="22F944C8" w14:textId="338D1CEA" w:rsidR="00A74B1F" w:rsidRPr="00762814" w:rsidRDefault="001B48D8" w:rsidP="00762814">
      <w:pPr>
        <w:spacing w:line="276" w:lineRule="auto"/>
        <w:rPr>
          <w:rFonts w:cstheme="minorHAnsi"/>
          <w:sz w:val="24"/>
          <w:szCs w:val="24"/>
        </w:rPr>
      </w:pPr>
      <w:r w:rsidRPr="00762814">
        <w:rPr>
          <w:rFonts w:cstheme="minorHAnsi"/>
          <w:sz w:val="24"/>
          <w:szCs w:val="24"/>
        </w:rPr>
        <w:t>Ponadto kwalifikowalne są r</w:t>
      </w:r>
      <w:r w:rsidR="00A74B1F" w:rsidRPr="00762814">
        <w:rPr>
          <w:rFonts w:cstheme="minorHAnsi"/>
          <w:sz w:val="24"/>
          <w:szCs w:val="24"/>
        </w:rPr>
        <w:t>at</w:t>
      </w:r>
      <w:r w:rsidRPr="00762814">
        <w:rPr>
          <w:rFonts w:cstheme="minorHAnsi"/>
          <w:sz w:val="24"/>
          <w:szCs w:val="24"/>
        </w:rPr>
        <w:t>y</w:t>
      </w:r>
      <w:r w:rsidR="00A74B1F" w:rsidRPr="00762814">
        <w:rPr>
          <w:rFonts w:cstheme="minorHAnsi"/>
          <w:sz w:val="24"/>
          <w:szCs w:val="24"/>
        </w:rPr>
        <w:t xml:space="preserve"> spłaty kapitału nieruchomości zabudowanych, poniesione przez korzystającego do dnia zakończenia realizacji </w:t>
      </w:r>
      <w:r w:rsidR="00A335BC" w:rsidRPr="00762814">
        <w:rPr>
          <w:rFonts w:cstheme="minorHAnsi"/>
          <w:sz w:val="24"/>
          <w:szCs w:val="24"/>
        </w:rPr>
        <w:t>modułu</w:t>
      </w:r>
      <w:r w:rsidR="00A74B1F" w:rsidRPr="00762814">
        <w:rPr>
          <w:rFonts w:cstheme="minorHAnsi"/>
          <w:sz w:val="24"/>
          <w:szCs w:val="24"/>
        </w:rPr>
        <w:t xml:space="preserve">, do wysokości kapitału z dnia zawarcia umowy leasingu albo spłaty kapitału nieruchomości zabudowanych, należnej finansującemu z tytułu umowy leasingu, pod warunkiem, że we wniosku o udzielenie pomocy finansujący jest wskazany przez wnioskodawcę jako podmiot upoważniony do poniesienia kosztu, </w:t>
      </w:r>
      <w:r w:rsidR="00167516" w:rsidRPr="00762814">
        <w:rPr>
          <w:rFonts w:cstheme="minorHAnsi"/>
          <w:sz w:val="24"/>
          <w:szCs w:val="24"/>
        </w:rPr>
        <w:t xml:space="preserve">pod warunkiem, że </w:t>
      </w:r>
      <w:r w:rsidR="00A74B1F" w:rsidRPr="00762814">
        <w:rPr>
          <w:rFonts w:cstheme="minorHAnsi"/>
          <w:sz w:val="24"/>
          <w:szCs w:val="24"/>
        </w:rPr>
        <w:t xml:space="preserve">umowa leasingu będzie obejmowała okres co najmniej 5 lat od przewidywanego terminu zakończenia realizacji </w:t>
      </w:r>
      <w:r w:rsidR="003E1E1E" w:rsidRPr="00762814">
        <w:rPr>
          <w:rFonts w:cstheme="minorHAnsi"/>
          <w:sz w:val="24"/>
          <w:szCs w:val="24"/>
        </w:rPr>
        <w:t>modułu</w:t>
      </w:r>
      <w:r w:rsidR="00A74B1F" w:rsidRPr="00762814">
        <w:rPr>
          <w:rFonts w:cstheme="minorHAnsi"/>
          <w:sz w:val="24"/>
          <w:szCs w:val="24"/>
        </w:rPr>
        <w:t xml:space="preserve">,  a w przypadku </w:t>
      </w:r>
      <w:r w:rsidR="003E1E1E" w:rsidRPr="00762814">
        <w:rPr>
          <w:rFonts w:cstheme="minorHAnsi"/>
          <w:sz w:val="24"/>
          <w:szCs w:val="24"/>
        </w:rPr>
        <w:t>MŚP</w:t>
      </w:r>
      <w:r w:rsidR="00A74B1F" w:rsidRPr="00762814">
        <w:rPr>
          <w:rFonts w:cstheme="minorHAnsi"/>
          <w:sz w:val="24"/>
          <w:szCs w:val="24"/>
        </w:rPr>
        <w:t xml:space="preserve"> – okres co najmniej 3 lat</w:t>
      </w:r>
      <w:r w:rsidR="00F851DB" w:rsidRPr="00762814">
        <w:rPr>
          <w:rFonts w:cstheme="minorHAnsi"/>
          <w:sz w:val="24"/>
          <w:szCs w:val="24"/>
        </w:rPr>
        <w:t>.</w:t>
      </w:r>
    </w:p>
    <w:p w14:paraId="32539C3D" w14:textId="082E55EA" w:rsidR="008027EA" w:rsidRPr="00762814" w:rsidRDefault="008027EA" w:rsidP="00762814">
      <w:pPr>
        <w:spacing w:after="120" w:line="276" w:lineRule="auto"/>
        <w:rPr>
          <w:rFonts w:cstheme="minorHAnsi"/>
          <w:bCs/>
          <w:sz w:val="24"/>
          <w:szCs w:val="24"/>
        </w:rPr>
      </w:pPr>
      <w:r w:rsidRPr="00762814">
        <w:rPr>
          <w:rFonts w:cstheme="minorHAnsi"/>
          <w:bCs/>
          <w:sz w:val="24"/>
          <w:szCs w:val="24"/>
        </w:rPr>
        <w:t>Suma kwalifikowalnych kosztów gruntów (6.3.1) oraz nieruchomości zabudowanych (6.3.2) nie może przekroczyć 10% całkowitych wydatków kwalifikowalnych, o których mowa w pkt 6.3.1 - 6.3.5;</w:t>
      </w:r>
      <w:r w:rsidRPr="00762814">
        <w:rPr>
          <w:rFonts w:cstheme="minorHAnsi"/>
          <w:sz w:val="24"/>
          <w:szCs w:val="24"/>
        </w:rPr>
        <w:t xml:space="preserve"> w przypadku terenów opuszczonych oraz poprzemysłowych</w:t>
      </w:r>
      <w:r w:rsidRPr="00762814">
        <w:rPr>
          <w:rStyle w:val="Odwoanieprzypisudolnego"/>
          <w:rFonts w:cstheme="minorHAnsi"/>
          <w:sz w:val="24"/>
          <w:szCs w:val="24"/>
        </w:rPr>
        <w:footnoteReference w:id="7"/>
      </w:r>
      <w:r w:rsidRPr="00762814">
        <w:rPr>
          <w:rFonts w:cstheme="minorHAnsi"/>
          <w:sz w:val="24"/>
          <w:szCs w:val="24"/>
        </w:rPr>
        <w:t xml:space="preserve">, na których znajdują się budynki, </w:t>
      </w:r>
      <w:r w:rsidR="002254C4" w:rsidRPr="005454F0">
        <w:rPr>
          <w:rFonts w:ascii="Arial" w:hAnsi="Arial" w:cs="Arial"/>
        </w:rPr>
        <w:t xml:space="preserve">dla MŚP </w:t>
      </w:r>
      <w:r w:rsidRPr="00762814">
        <w:rPr>
          <w:rFonts w:cstheme="minorHAnsi"/>
          <w:sz w:val="24"/>
          <w:szCs w:val="24"/>
        </w:rPr>
        <w:t xml:space="preserve">limit ten zostaje podniesiony do 15% </w:t>
      </w:r>
      <w:r w:rsidRPr="00762814">
        <w:rPr>
          <w:rFonts w:cstheme="minorHAnsi"/>
          <w:bCs/>
          <w:sz w:val="24"/>
          <w:szCs w:val="24"/>
        </w:rPr>
        <w:t>– na podstawie art. 64 ust 1 lit. b) Rozporządzenia Parlamentu i Rady UE nr 2021/1060 z dnia 24 czerwca 2021 r.</w:t>
      </w:r>
    </w:p>
    <w:p w14:paraId="797A0D9F" w14:textId="768A141B" w:rsidR="001A4FBA" w:rsidRPr="00ED6E26" w:rsidRDefault="00E94058" w:rsidP="00E94058">
      <w:pPr>
        <w:pStyle w:val="Nagwek4"/>
        <w:spacing w:before="120" w:line="276" w:lineRule="auto"/>
        <w:rPr>
          <w:rFonts w:asciiTheme="minorHAnsi" w:hAnsiTheme="minorHAnsi" w:cstheme="minorHAnsi"/>
          <w:i w:val="0"/>
          <w:color w:val="auto"/>
          <w:sz w:val="28"/>
          <w:szCs w:val="28"/>
        </w:rPr>
      </w:pPr>
      <w:bookmarkStart w:id="136" w:name="_Toc148716405"/>
      <w:r>
        <w:rPr>
          <w:rFonts w:asciiTheme="minorHAnsi" w:hAnsiTheme="minorHAnsi" w:cstheme="minorHAnsi"/>
          <w:i w:val="0"/>
          <w:color w:val="auto"/>
          <w:sz w:val="28"/>
          <w:szCs w:val="28"/>
        </w:rPr>
        <w:t xml:space="preserve">6.3.3 </w:t>
      </w:r>
      <w:r w:rsidR="008C6E68" w:rsidRPr="00ED6E26">
        <w:rPr>
          <w:rFonts w:asciiTheme="minorHAnsi" w:hAnsiTheme="minorHAnsi" w:cstheme="minorHAnsi"/>
          <w:i w:val="0"/>
          <w:color w:val="auto"/>
          <w:sz w:val="28"/>
          <w:szCs w:val="28"/>
        </w:rPr>
        <w:t>Środki trwałe/dostawy</w:t>
      </w:r>
      <w:bookmarkEnd w:id="136"/>
    </w:p>
    <w:p w14:paraId="059CAD46" w14:textId="04D8473B" w:rsidR="008C6E68" w:rsidRPr="00762814" w:rsidRDefault="008C6E68" w:rsidP="00762814">
      <w:pPr>
        <w:spacing w:line="276" w:lineRule="auto"/>
        <w:rPr>
          <w:rFonts w:cstheme="minorHAnsi"/>
          <w:sz w:val="24"/>
          <w:szCs w:val="24"/>
        </w:rPr>
      </w:pPr>
      <w:r w:rsidRPr="00762814">
        <w:rPr>
          <w:rFonts w:cstheme="minorHAnsi"/>
          <w:sz w:val="24"/>
          <w:szCs w:val="24"/>
        </w:rPr>
        <w:t>W ramach tej kategorii kwalifikowalne są koszty nabycia środków trwałych innych niż nieruchomości, w tym koszty instalacji i uruchomienia</w:t>
      </w:r>
      <w:r w:rsidR="00A74B1F" w:rsidRPr="00762814">
        <w:rPr>
          <w:rFonts w:cstheme="minorHAnsi"/>
          <w:sz w:val="24"/>
          <w:szCs w:val="24"/>
        </w:rPr>
        <w:t xml:space="preserve"> </w:t>
      </w:r>
      <w:r w:rsidR="005D3E75">
        <w:rPr>
          <w:rFonts w:cstheme="minorHAnsi"/>
          <w:sz w:val="24"/>
          <w:szCs w:val="24"/>
        </w:rPr>
        <w:t>oraz</w:t>
      </w:r>
      <w:r w:rsidR="00A74B1F" w:rsidRPr="00762814">
        <w:rPr>
          <w:rFonts w:cstheme="minorHAnsi"/>
          <w:sz w:val="24"/>
          <w:szCs w:val="24"/>
        </w:rPr>
        <w:t xml:space="preserve"> leasing</w:t>
      </w:r>
      <w:r w:rsidR="005D3E75">
        <w:rPr>
          <w:rFonts w:cstheme="minorHAnsi"/>
          <w:sz w:val="24"/>
          <w:szCs w:val="24"/>
        </w:rPr>
        <w:t xml:space="preserve"> finansowy</w:t>
      </w:r>
      <w:r w:rsidR="00A74B1F" w:rsidRPr="00762814">
        <w:rPr>
          <w:rFonts w:cstheme="minorHAnsi"/>
          <w:sz w:val="24"/>
          <w:szCs w:val="24"/>
        </w:rPr>
        <w:t xml:space="preserve"> środków trwałych, innych niż nieruchomości.</w:t>
      </w:r>
    </w:p>
    <w:p w14:paraId="6E283CC3" w14:textId="1BDD3CF9" w:rsidR="00A74B1F" w:rsidRPr="00762814" w:rsidRDefault="00F1468A" w:rsidP="00762814">
      <w:pPr>
        <w:spacing w:line="276" w:lineRule="auto"/>
        <w:rPr>
          <w:rFonts w:cstheme="minorHAnsi"/>
          <w:sz w:val="24"/>
          <w:szCs w:val="24"/>
        </w:rPr>
      </w:pPr>
      <w:r w:rsidRPr="00762814">
        <w:rPr>
          <w:rFonts w:cstheme="minorHAnsi"/>
          <w:sz w:val="24"/>
          <w:szCs w:val="24"/>
        </w:rPr>
        <w:t>Kwalifikowalne są r</w:t>
      </w:r>
      <w:r w:rsidR="00A74B1F" w:rsidRPr="00762814">
        <w:rPr>
          <w:rFonts w:cstheme="minorHAnsi"/>
          <w:sz w:val="24"/>
          <w:szCs w:val="24"/>
        </w:rPr>
        <w:t>at</w:t>
      </w:r>
      <w:r w:rsidRPr="00762814">
        <w:rPr>
          <w:rFonts w:cstheme="minorHAnsi"/>
          <w:sz w:val="24"/>
          <w:szCs w:val="24"/>
        </w:rPr>
        <w:t>y</w:t>
      </w:r>
      <w:r w:rsidR="00A74B1F" w:rsidRPr="00762814">
        <w:rPr>
          <w:rFonts w:cstheme="minorHAnsi"/>
          <w:sz w:val="24"/>
          <w:szCs w:val="24"/>
        </w:rPr>
        <w:t xml:space="preserve"> spłaty kapitału środków trwałych, poniesione przez korzystającego do dnia zakończenia realizacji </w:t>
      </w:r>
      <w:r w:rsidR="00A335BC" w:rsidRPr="00762814">
        <w:rPr>
          <w:rFonts w:cstheme="minorHAnsi"/>
          <w:sz w:val="24"/>
          <w:szCs w:val="24"/>
        </w:rPr>
        <w:t>modułu</w:t>
      </w:r>
      <w:r w:rsidR="00A74B1F" w:rsidRPr="00762814">
        <w:rPr>
          <w:rFonts w:cstheme="minorHAnsi"/>
          <w:sz w:val="24"/>
          <w:szCs w:val="24"/>
        </w:rPr>
        <w:t>, do wysokości kapitału z dnia zawarcia umowy leasingu albo spłaty kapitału środków trwałych, należnej finansującemu z tytułu umowy leasingu, o ile we wniosku o udzielenie pomocy finansujący jest wskazany przez wnioskodawcę jako podmiot upoważniony do poniesienia kosztu, przy czym umowa leasingu prowadzi do przeniesienia własności tych środków na korzystającego.</w:t>
      </w:r>
    </w:p>
    <w:p w14:paraId="3F1763E3" w14:textId="5C4C5A8A" w:rsidR="00A40471" w:rsidRPr="00762814" w:rsidRDefault="00A40471" w:rsidP="00762814">
      <w:pPr>
        <w:spacing w:after="120" w:line="276" w:lineRule="auto"/>
        <w:rPr>
          <w:rFonts w:cstheme="minorHAnsi"/>
          <w:b/>
          <w:bCs/>
          <w:sz w:val="24"/>
          <w:szCs w:val="24"/>
        </w:rPr>
      </w:pPr>
      <w:r w:rsidRPr="00762814">
        <w:rPr>
          <w:rFonts w:cstheme="minorHAnsi"/>
          <w:b/>
          <w:bCs/>
          <w:sz w:val="24"/>
          <w:szCs w:val="24"/>
        </w:rPr>
        <w:t xml:space="preserve">Nabywane środki trwałe, muszą być nowe, z wyjątkiem nabywanych przez MŚP. </w:t>
      </w:r>
    </w:p>
    <w:p w14:paraId="7F5FC3D8" w14:textId="77777777" w:rsidR="00A40471" w:rsidRPr="00762814" w:rsidRDefault="00A40471" w:rsidP="00762814">
      <w:pPr>
        <w:spacing w:after="120" w:line="276" w:lineRule="auto"/>
        <w:rPr>
          <w:rFonts w:cstheme="minorHAnsi"/>
          <w:sz w:val="24"/>
          <w:szCs w:val="24"/>
        </w:rPr>
      </w:pPr>
      <w:r w:rsidRPr="00762814">
        <w:rPr>
          <w:rFonts w:cstheme="minorHAnsi"/>
          <w:sz w:val="24"/>
          <w:szCs w:val="24"/>
        </w:rPr>
        <w:t xml:space="preserve">Nowe aktywa oznaczają aktywa które zostały nabyte po cenie rynkowej przez Wnioskodawcę po dniu złożenia wniosku o dofinansowanie oraz które nie były nigdy wcześniej wykorzystywane w procesie produkcji. </w:t>
      </w:r>
    </w:p>
    <w:p w14:paraId="4A6D4A95" w14:textId="59C92EDD" w:rsidR="001A4FBA" w:rsidRPr="00ED6E26" w:rsidRDefault="00E94058" w:rsidP="00E94058">
      <w:pPr>
        <w:pStyle w:val="Nagwek4"/>
        <w:spacing w:before="120" w:line="276" w:lineRule="auto"/>
        <w:rPr>
          <w:rFonts w:asciiTheme="minorHAnsi" w:hAnsiTheme="minorHAnsi" w:cstheme="minorHAnsi"/>
          <w:i w:val="0"/>
          <w:color w:val="auto"/>
          <w:sz w:val="28"/>
          <w:szCs w:val="28"/>
        </w:rPr>
      </w:pPr>
      <w:bookmarkStart w:id="137" w:name="_Toc148716406"/>
      <w:r>
        <w:rPr>
          <w:rFonts w:asciiTheme="minorHAnsi" w:hAnsiTheme="minorHAnsi" w:cstheme="minorHAnsi"/>
          <w:i w:val="0"/>
          <w:color w:val="auto"/>
          <w:sz w:val="28"/>
          <w:szCs w:val="28"/>
        </w:rPr>
        <w:t xml:space="preserve">6.3.4 </w:t>
      </w:r>
      <w:r w:rsidR="008C6E68" w:rsidRPr="00ED6E26">
        <w:rPr>
          <w:rFonts w:asciiTheme="minorHAnsi" w:hAnsiTheme="minorHAnsi" w:cstheme="minorHAnsi"/>
          <w:i w:val="0"/>
          <w:color w:val="auto"/>
          <w:sz w:val="28"/>
          <w:szCs w:val="28"/>
        </w:rPr>
        <w:t>Roboty budowlane</w:t>
      </w:r>
      <w:bookmarkEnd w:id="137"/>
      <w:r w:rsidR="008C6E68" w:rsidRPr="00ED6E26">
        <w:rPr>
          <w:rFonts w:asciiTheme="minorHAnsi" w:hAnsiTheme="minorHAnsi" w:cstheme="minorHAnsi"/>
          <w:i w:val="0"/>
          <w:color w:val="auto"/>
          <w:sz w:val="28"/>
          <w:szCs w:val="28"/>
        </w:rPr>
        <w:t xml:space="preserve"> </w:t>
      </w:r>
    </w:p>
    <w:p w14:paraId="06DBBA77" w14:textId="7A30F3FD" w:rsidR="001A4FBA" w:rsidRPr="00762814" w:rsidRDefault="008C6E68" w:rsidP="00762814">
      <w:pPr>
        <w:spacing w:line="276" w:lineRule="auto"/>
        <w:rPr>
          <w:rFonts w:cstheme="minorHAnsi"/>
          <w:sz w:val="24"/>
          <w:szCs w:val="24"/>
        </w:rPr>
      </w:pPr>
      <w:bookmarkStart w:id="138" w:name="_Hlk125718915"/>
      <w:r w:rsidRPr="00762814">
        <w:rPr>
          <w:rFonts w:cstheme="minorHAnsi"/>
          <w:sz w:val="24"/>
          <w:szCs w:val="24"/>
        </w:rPr>
        <w:t xml:space="preserve">W ramach tej kategorii </w:t>
      </w:r>
      <w:bookmarkEnd w:id="138"/>
      <w:r w:rsidRPr="00762814">
        <w:rPr>
          <w:rFonts w:cstheme="minorHAnsi"/>
          <w:sz w:val="24"/>
          <w:szCs w:val="24"/>
        </w:rPr>
        <w:t>kwalifikowalne są koszty nabycia robót i materiałów budowlanych.</w:t>
      </w:r>
    </w:p>
    <w:p w14:paraId="5EFB7B47" w14:textId="297D4EE2" w:rsidR="001A4FBA" w:rsidRPr="00ED6E26" w:rsidRDefault="00E94058" w:rsidP="00E94058">
      <w:pPr>
        <w:pStyle w:val="Nagwek4"/>
        <w:spacing w:before="120" w:line="276" w:lineRule="auto"/>
        <w:rPr>
          <w:rFonts w:asciiTheme="minorHAnsi" w:hAnsiTheme="minorHAnsi" w:cstheme="minorHAnsi"/>
          <w:i w:val="0"/>
          <w:color w:val="auto"/>
          <w:sz w:val="28"/>
          <w:szCs w:val="28"/>
        </w:rPr>
      </w:pPr>
      <w:bookmarkStart w:id="139" w:name="_Toc148716407"/>
      <w:r>
        <w:rPr>
          <w:rFonts w:asciiTheme="minorHAnsi" w:hAnsiTheme="minorHAnsi" w:cstheme="minorHAnsi"/>
          <w:i w:val="0"/>
          <w:color w:val="auto"/>
          <w:sz w:val="28"/>
          <w:szCs w:val="28"/>
        </w:rPr>
        <w:t xml:space="preserve">6.3.5 </w:t>
      </w:r>
      <w:r w:rsidR="008C6E68" w:rsidRPr="00ED6E26">
        <w:rPr>
          <w:rFonts w:asciiTheme="minorHAnsi" w:hAnsiTheme="minorHAnsi" w:cstheme="minorHAnsi"/>
          <w:i w:val="0"/>
          <w:color w:val="auto"/>
          <w:sz w:val="28"/>
          <w:szCs w:val="28"/>
        </w:rPr>
        <w:t>Wartości niematerialne i prawne</w:t>
      </w:r>
      <w:bookmarkEnd w:id="139"/>
    </w:p>
    <w:p w14:paraId="7D87C702" w14:textId="77777777" w:rsidR="008C6E68" w:rsidRPr="00762814" w:rsidRDefault="008C6E68" w:rsidP="00762814">
      <w:pPr>
        <w:spacing w:after="0" w:line="276" w:lineRule="auto"/>
        <w:rPr>
          <w:rFonts w:cstheme="minorHAnsi"/>
          <w:sz w:val="24"/>
          <w:szCs w:val="24"/>
        </w:rPr>
      </w:pPr>
      <w:r w:rsidRPr="00762814">
        <w:rPr>
          <w:rFonts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5CEA93BB" w14:textId="77777777" w:rsidR="008C6E68" w:rsidRPr="00762814" w:rsidRDefault="008C6E68" w:rsidP="00BF47B4">
      <w:pPr>
        <w:pStyle w:val="Akapitzlist"/>
        <w:numPr>
          <w:ilvl w:val="0"/>
          <w:numId w:val="22"/>
        </w:numPr>
        <w:spacing w:after="120" w:line="276" w:lineRule="auto"/>
        <w:rPr>
          <w:rFonts w:cstheme="minorHAnsi"/>
          <w:sz w:val="24"/>
          <w:szCs w:val="24"/>
        </w:rPr>
      </w:pPr>
      <w:r w:rsidRPr="00762814">
        <w:rPr>
          <w:rFonts w:cstheme="minorHAnsi"/>
          <w:sz w:val="24"/>
          <w:szCs w:val="24"/>
        </w:rPr>
        <w:t>będą wykorzystywane wyłącznie w zakładzie otrzymującym pomoc,</w:t>
      </w:r>
    </w:p>
    <w:p w14:paraId="2E325E74" w14:textId="77777777" w:rsidR="008C6E68" w:rsidRPr="00762814" w:rsidRDefault="008C6E68" w:rsidP="00BF47B4">
      <w:pPr>
        <w:pStyle w:val="Akapitzlist"/>
        <w:numPr>
          <w:ilvl w:val="0"/>
          <w:numId w:val="22"/>
        </w:numPr>
        <w:spacing w:after="120" w:line="276" w:lineRule="auto"/>
        <w:rPr>
          <w:rFonts w:cstheme="minorHAnsi"/>
          <w:sz w:val="24"/>
          <w:szCs w:val="24"/>
        </w:rPr>
      </w:pPr>
      <w:r w:rsidRPr="00762814">
        <w:rPr>
          <w:rFonts w:cstheme="minorHAnsi"/>
          <w:sz w:val="24"/>
          <w:szCs w:val="24"/>
        </w:rPr>
        <w:t>będą podlegać amortyzacji zgodnie z przepisami o rachunkowości,</w:t>
      </w:r>
    </w:p>
    <w:p w14:paraId="5D5E42BC" w14:textId="02CAE9D8" w:rsidR="008C6E68" w:rsidRPr="00762814" w:rsidRDefault="008C6E68" w:rsidP="00BF47B4">
      <w:pPr>
        <w:pStyle w:val="Akapitzlist"/>
        <w:numPr>
          <w:ilvl w:val="0"/>
          <w:numId w:val="22"/>
        </w:numPr>
        <w:spacing w:after="120" w:line="276" w:lineRule="auto"/>
        <w:rPr>
          <w:rFonts w:cstheme="minorHAnsi"/>
          <w:sz w:val="24"/>
          <w:szCs w:val="24"/>
        </w:rPr>
      </w:pPr>
      <w:r w:rsidRPr="00762814">
        <w:rPr>
          <w:rFonts w:cstheme="minorHAnsi"/>
          <w:sz w:val="24"/>
          <w:szCs w:val="24"/>
        </w:rPr>
        <w:t xml:space="preserve">zostaną nabyte na warunkach rynkowych od osób trzecich niepowiązanych </w:t>
      </w:r>
      <w:r w:rsidR="001A4FBA" w:rsidRPr="00762814">
        <w:rPr>
          <w:rFonts w:cstheme="minorHAnsi"/>
          <w:sz w:val="24"/>
          <w:szCs w:val="24"/>
        </w:rPr>
        <w:br/>
      </w:r>
      <w:r w:rsidRPr="00762814">
        <w:rPr>
          <w:rFonts w:cstheme="minorHAnsi"/>
          <w:sz w:val="24"/>
          <w:szCs w:val="24"/>
        </w:rPr>
        <w:t>z przedsiębiorcą otrzymującym pomoc,</w:t>
      </w:r>
    </w:p>
    <w:p w14:paraId="043301CA" w14:textId="17E8326A" w:rsidR="008C6E68" w:rsidRPr="00762814" w:rsidRDefault="008C6E68" w:rsidP="00BF47B4">
      <w:pPr>
        <w:pStyle w:val="Akapitzlist"/>
        <w:numPr>
          <w:ilvl w:val="0"/>
          <w:numId w:val="22"/>
        </w:numPr>
        <w:spacing w:after="120" w:line="276" w:lineRule="auto"/>
        <w:rPr>
          <w:rFonts w:cstheme="minorHAnsi"/>
          <w:sz w:val="24"/>
          <w:szCs w:val="24"/>
        </w:rPr>
      </w:pPr>
      <w:r w:rsidRPr="00762814">
        <w:rPr>
          <w:rFonts w:cstheme="minorHAnsi"/>
          <w:sz w:val="24"/>
          <w:szCs w:val="24"/>
        </w:rPr>
        <w:t xml:space="preserve">będą stanowić aktywa przedsiębiorcy otrzymującego pomoc i pozostaną związane z projektem, na który przyznano pomoc, przez okres co najmniej </w:t>
      </w:r>
      <w:r w:rsidR="00075A3F" w:rsidRPr="00762814">
        <w:rPr>
          <w:rFonts w:cstheme="minorHAnsi"/>
          <w:sz w:val="24"/>
          <w:szCs w:val="24"/>
        </w:rPr>
        <w:t>5</w:t>
      </w:r>
      <w:r w:rsidRPr="00762814">
        <w:rPr>
          <w:rFonts w:cstheme="minorHAnsi"/>
          <w:sz w:val="24"/>
          <w:szCs w:val="24"/>
        </w:rPr>
        <w:t xml:space="preserve"> lat od dnia zakończenia realizacji projektu</w:t>
      </w:r>
      <w:r w:rsidR="00075A3F" w:rsidRPr="00762814">
        <w:rPr>
          <w:rFonts w:cstheme="minorHAnsi"/>
          <w:sz w:val="24"/>
          <w:szCs w:val="24"/>
        </w:rPr>
        <w:t xml:space="preserve"> lub </w:t>
      </w:r>
      <w:r w:rsidR="0037197A" w:rsidRPr="00762814">
        <w:rPr>
          <w:rFonts w:cstheme="minorHAnsi"/>
          <w:sz w:val="24"/>
          <w:szCs w:val="24"/>
        </w:rPr>
        <w:t>3</w:t>
      </w:r>
      <w:r w:rsidR="00075A3F" w:rsidRPr="00762814">
        <w:rPr>
          <w:rFonts w:cstheme="minorHAnsi"/>
          <w:sz w:val="24"/>
          <w:szCs w:val="24"/>
        </w:rPr>
        <w:t xml:space="preserve"> lata w przypadku MŚP.</w:t>
      </w:r>
    </w:p>
    <w:p w14:paraId="6C111FA9" w14:textId="7EC9E1CC" w:rsidR="00334CAC" w:rsidRPr="00762814" w:rsidRDefault="00334CAC" w:rsidP="00762814">
      <w:pPr>
        <w:spacing w:after="120" w:line="276" w:lineRule="auto"/>
        <w:rPr>
          <w:rFonts w:cstheme="minorHAnsi"/>
          <w:sz w:val="24"/>
          <w:szCs w:val="24"/>
        </w:rPr>
      </w:pPr>
      <w:r w:rsidRPr="00762814">
        <w:rPr>
          <w:rFonts w:cstheme="minorHAnsi"/>
          <w:sz w:val="24"/>
          <w:szCs w:val="24"/>
        </w:rPr>
        <w:t>W przypadku dużych przedsiębiorstw</w:t>
      </w:r>
      <w:r w:rsidR="00BC6F9F" w:rsidRPr="00BC6F9F">
        <w:rPr>
          <w:rFonts w:cstheme="minorHAnsi"/>
          <w:sz w:val="24"/>
          <w:szCs w:val="24"/>
        </w:rPr>
        <w:t xml:space="preserve"> </w:t>
      </w:r>
      <w:r w:rsidRPr="00762814">
        <w:rPr>
          <w:rFonts w:cstheme="minorHAnsi"/>
          <w:sz w:val="24"/>
          <w:szCs w:val="24"/>
        </w:rPr>
        <w:t>koszty wartości niematerialnych i prawnych są kwalifikowalne jedynie do wysokości 50% całkowitych kwalifikowalnych kosztów inwestycji początkowej.</w:t>
      </w:r>
    </w:p>
    <w:p w14:paraId="6ACDF19F" w14:textId="4D15A227" w:rsidR="001A4FBA" w:rsidRPr="00ED6E26" w:rsidRDefault="00E94058" w:rsidP="00E94058">
      <w:pPr>
        <w:pStyle w:val="Nagwek4"/>
        <w:spacing w:before="120" w:line="276" w:lineRule="auto"/>
        <w:rPr>
          <w:rFonts w:asciiTheme="minorHAnsi" w:hAnsiTheme="minorHAnsi" w:cstheme="minorHAnsi"/>
          <w:i w:val="0"/>
          <w:color w:val="auto"/>
          <w:sz w:val="28"/>
          <w:szCs w:val="28"/>
        </w:rPr>
      </w:pPr>
      <w:bookmarkStart w:id="140" w:name="_Toc148716408"/>
      <w:r>
        <w:rPr>
          <w:rFonts w:asciiTheme="minorHAnsi" w:hAnsiTheme="minorHAnsi" w:cstheme="minorHAnsi"/>
          <w:i w:val="0"/>
          <w:color w:val="auto"/>
          <w:sz w:val="28"/>
          <w:szCs w:val="28"/>
        </w:rPr>
        <w:t xml:space="preserve">6.3.6 </w:t>
      </w:r>
      <w:r w:rsidR="008C6E68" w:rsidRPr="00ED6E26">
        <w:rPr>
          <w:rFonts w:asciiTheme="minorHAnsi" w:hAnsiTheme="minorHAnsi" w:cstheme="minorHAnsi"/>
          <w:i w:val="0"/>
          <w:color w:val="auto"/>
          <w:sz w:val="28"/>
          <w:szCs w:val="28"/>
        </w:rPr>
        <w:t>Usługi zewnętrzne (wsparcie innowacji)</w:t>
      </w:r>
      <w:bookmarkEnd w:id="140"/>
    </w:p>
    <w:p w14:paraId="0F02F097" w14:textId="7F79E784" w:rsidR="008C6E68" w:rsidRPr="00762814" w:rsidRDefault="008C6E68" w:rsidP="00762814">
      <w:pPr>
        <w:spacing w:line="276" w:lineRule="auto"/>
        <w:rPr>
          <w:rFonts w:cstheme="minorHAnsi"/>
          <w:sz w:val="24"/>
          <w:szCs w:val="24"/>
        </w:rPr>
      </w:pPr>
      <w:r w:rsidRPr="00762814">
        <w:rPr>
          <w:rFonts w:cstheme="minorHAnsi"/>
          <w:sz w:val="24"/>
          <w:szCs w:val="24"/>
        </w:rPr>
        <w:t xml:space="preserve">W ramach tej kategorii kwalifikowalne są koszty udostępniania banków danych, zasobów bibliotecznych, </w:t>
      </w:r>
      <w:r w:rsidR="002B3796" w:rsidRPr="00762814">
        <w:rPr>
          <w:rFonts w:cstheme="minorHAnsi"/>
          <w:sz w:val="24"/>
          <w:szCs w:val="24"/>
        </w:rPr>
        <w:t xml:space="preserve">usług w chmurze </w:t>
      </w:r>
      <w:r w:rsidR="002B3796" w:rsidRPr="00762814">
        <w:rPr>
          <w:rStyle w:val="ui-provider"/>
          <w:rFonts w:cstheme="minorHAnsi"/>
          <w:sz w:val="24"/>
          <w:szCs w:val="24"/>
        </w:rPr>
        <w:t>i usług przechowywania danych</w:t>
      </w:r>
      <w:r w:rsidR="002C07F1" w:rsidRPr="00762814">
        <w:rPr>
          <w:rFonts w:cstheme="minorHAnsi"/>
          <w:sz w:val="24"/>
          <w:szCs w:val="24"/>
        </w:rPr>
        <w:t xml:space="preserve">, </w:t>
      </w:r>
      <w:r w:rsidR="002A560E" w:rsidRPr="00762814">
        <w:rPr>
          <w:rFonts w:cstheme="minorHAnsi"/>
          <w:sz w:val="24"/>
          <w:szCs w:val="24"/>
        </w:rPr>
        <w:t xml:space="preserve">usług w zakresie zdolności obliczeniowych, takie jak oferowane przez High-performance computing (HPC), </w:t>
      </w:r>
      <w:r w:rsidRPr="00762814">
        <w:rPr>
          <w:rFonts w:cstheme="minorHAnsi"/>
          <w:sz w:val="24"/>
          <w:szCs w:val="24"/>
        </w:rPr>
        <w:t>znakowania, testowania i certyfikacji jakości w celu opracowania bardziej efektywnych produktów procesów i usług.</w:t>
      </w:r>
    </w:p>
    <w:p w14:paraId="7ED49A48" w14:textId="79BB4769" w:rsidR="008C6E68" w:rsidRPr="00762814" w:rsidRDefault="008C6E68" w:rsidP="00762814">
      <w:pPr>
        <w:spacing w:after="120" w:line="276" w:lineRule="auto"/>
        <w:rPr>
          <w:rFonts w:cstheme="minorHAnsi"/>
          <w:b/>
          <w:bCs/>
          <w:sz w:val="24"/>
          <w:szCs w:val="24"/>
        </w:rPr>
      </w:pPr>
      <w:r w:rsidRPr="00762814">
        <w:rPr>
          <w:rFonts w:cstheme="minorHAnsi"/>
          <w:b/>
          <w:bCs/>
          <w:sz w:val="24"/>
          <w:szCs w:val="24"/>
        </w:rPr>
        <w:t xml:space="preserve">Dla MŚP koszty te są objęte pomocą z art. 28 </w:t>
      </w:r>
      <w:r w:rsidR="00095981" w:rsidRPr="00762814">
        <w:rPr>
          <w:rFonts w:cstheme="minorHAnsi"/>
          <w:b/>
          <w:bCs/>
          <w:sz w:val="24"/>
          <w:szCs w:val="24"/>
        </w:rPr>
        <w:t>r</w:t>
      </w:r>
      <w:r w:rsidRPr="00762814">
        <w:rPr>
          <w:rFonts w:cstheme="minorHAnsi"/>
          <w:b/>
          <w:bCs/>
          <w:sz w:val="24"/>
          <w:szCs w:val="24"/>
        </w:rPr>
        <w:t xml:space="preserve">ozporządzenia </w:t>
      </w:r>
      <w:r w:rsidR="00095981" w:rsidRPr="00762814">
        <w:rPr>
          <w:rFonts w:cstheme="minorHAnsi"/>
          <w:b/>
          <w:bCs/>
          <w:sz w:val="24"/>
          <w:szCs w:val="24"/>
        </w:rPr>
        <w:t xml:space="preserve">Komisji (UE) nr </w:t>
      </w:r>
      <w:r w:rsidRPr="00762814">
        <w:rPr>
          <w:rFonts w:cstheme="minorHAnsi"/>
          <w:b/>
          <w:bCs/>
          <w:sz w:val="24"/>
          <w:szCs w:val="24"/>
        </w:rPr>
        <w:t>651/2014 (usługi wsparcia innowacji, o których mowa w art. 2 pkt 95), natomiast dla dużych przedsiębiorców – pomocą de minimis.</w:t>
      </w:r>
    </w:p>
    <w:p w14:paraId="20EA548B" w14:textId="2BA2C5A4" w:rsidR="00B103C1" w:rsidRPr="00ED6E26" w:rsidRDefault="00E94058" w:rsidP="00E94058">
      <w:pPr>
        <w:pStyle w:val="Nagwek4"/>
        <w:spacing w:before="120" w:line="276" w:lineRule="auto"/>
        <w:rPr>
          <w:rFonts w:asciiTheme="minorHAnsi" w:hAnsiTheme="minorHAnsi" w:cstheme="minorHAnsi"/>
          <w:i w:val="0"/>
          <w:color w:val="auto"/>
          <w:sz w:val="28"/>
          <w:szCs w:val="28"/>
        </w:rPr>
      </w:pPr>
      <w:bookmarkStart w:id="141" w:name="_Toc148716409"/>
      <w:r>
        <w:rPr>
          <w:rFonts w:asciiTheme="minorHAnsi" w:hAnsiTheme="minorHAnsi" w:cstheme="minorHAnsi"/>
          <w:i w:val="0"/>
          <w:color w:val="auto"/>
          <w:sz w:val="28"/>
          <w:szCs w:val="28"/>
        </w:rPr>
        <w:t xml:space="preserve">6.3.7 </w:t>
      </w:r>
      <w:r w:rsidR="008C6E68" w:rsidRPr="00ED6E26">
        <w:rPr>
          <w:rFonts w:asciiTheme="minorHAnsi" w:hAnsiTheme="minorHAnsi" w:cstheme="minorHAnsi"/>
          <w:i w:val="0"/>
          <w:color w:val="auto"/>
          <w:sz w:val="28"/>
          <w:szCs w:val="28"/>
        </w:rPr>
        <w:t>Usługi zewnętrzne (doradztwo</w:t>
      </w:r>
      <w:r w:rsidR="00C960E2" w:rsidRPr="00ED6E26">
        <w:rPr>
          <w:rFonts w:asciiTheme="minorHAnsi" w:hAnsiTheme="minorHAnsi" w:cstheme="minorHAnsi"/>
          <w:i w:val="0"/>
          <w:color w:val="auto"/>
          <w:sz w:val="28"/>
          <w:szCs w:val="28"/>
        </w:rPr>
        <w:t xml:space="preserve"> </w:t>
      </w:r>
      <w:r w:rsidR="00D15BCE" w:rsidRPr="00ED6E26">
        <w:rPr>
          <w:rFonts w:asciiTheme="minorHAnsi" w:hAnsiTheme="minorHAnsi" w:cstheme="minorHAnsi"/>
          <w:i w:val="0"/>
          <w:color w:val="auto"/>
          <w:sz w:val="28"/>
          <w:szCs w:val="28"/>
        </w:rPr>
        <w:t>krajowe</w:t>
      </w:r>
      <w:r w:rsidR="008C6E68" w:rsidRPr="00ED6E26">
        <w:rPr>
          <w:rFonts w:asciiTheme="minorHAnsi" w:hAnsiTheme="minorHAnsi" w:cstheme="minorHAnsi"/>
          <w:i w:val="0"/>
          <w:color w:val="auto"/>
          <w:sz w:val="28"/>
          <w:szCs w:val="28"/>
        </w:rPr>
        <w:t>)</w:t>
      </w:r>
      <w:bookmarkStart w:id="142" w:name="_Hlk124342610"/>
      <w:bookmarkEnd w:id="141"/>
    </w:p>
    <w:p w14:paraId="4EED3A28" w14:textId="5F4F46CC" w:rsidR="00DA010F" w:rsidRPr="00762814" w:rsidRDefault="00A335BC" w:rsidP="00762814">
      <w:pPr>
        <w:spacing w:after="120" w:line="276" w:lineRule="auto"/>
        <w:rPr>
          <w:rFonts w:cstheme="minorHAnsi"/>
          <w:sz w:val="24"/>
          <w:szCs w:val="24"/>
        </w:rPr>
      </w:pPr>
      <w:r w:rsidRPr="00762814">
        <w:rPr>
          <w:rFonts w:cstheme="minorHAnsi"/>
          <w:sz w:val="24"/>
          <w:szCs w:val="24"/>
        </w:rPr>
        <w:t>W ramach tej kategorii kwalifikowalne są k</w:t>
      </w:r>
      <w:r w:rsidR="00DA010F" w:rsidRPr="00762814">
        <w:rPr>
          <w:rFonts w:cstheme="minorHAnsi"/>
          <w:sz w:val="24"/>
          <w:szCs w:val="24"/>
        </w:rPr>
        <w:t>oszty usług doradczych niezbędnych do realizacji modułu Cyfryzacja świadczonych</w:t>
      </w:r>
      <w:r w:rsidR="004966DA" w:rsidRPr="00762814">
        <w:rPr>
          <w:rFonts w:cstheme="minorHAnsi"/>
          <w:sz w:val="24"/>
          <w:szCs w:val="24"/>
        </w:rPr>
        <w:t xml:space="preserve"> na terenie Rzeczypospolitej Polskiej</w:t>
      </w:r>
      <w:r w:rsidR="00954EF6" w:rsidRPr="00762814">
        <w:rPr>
          <w:rFonts w:cstheme="minorHAnsi"/>
          <w:sz w:val="24"/>
          <w:szCs w:val="24"/>
        </w:rPr>
        <w:t xml:space="preserve"> </w:t>
      </w:r>
      <w:r w:rsidR="00DA010F" w:rsidRPr="00762814">
        <w:rPr>
          <w:rFonts w:cstheme="minorHAnsi"/>
          <w:sz w:val="24"/>
          <w:szCs w:val="24"/>
        </w:rPr>
        <w:t>przez doradców zewnętrznych</w:t>
      </w:r>
      <w:r w:rsidR="00334CAC" w:rsidRPr="00762814">
        <w:rPr>
          <w:rFonts w:cstheme="minorHAnsi"/>
          <w:sz w:val="24"/>
          <w:szCs w:val="24"/>
        </w:rPr>
        <w:t>.</w:t>
      </w:r>
      <w:r w:rsidR="00DA010F" w:rsidRPr="00762814">
        <w:rPr>
          <w:rFonts w:cstheme="minorHAnsi"/>
          <w:sz w:val="24"/>
          <w:szCs w:val="24"/>
        </w:rPr>
        <w:t xml:space="preserve"> Usługi realizowane wewnętrznie u Wnioskodawcy (przez pracowników Wnioskodawcy) </w:t>
      </w:r>
      <w:r w:rsidR="007D7823" w:rsidRPr="00762814">
        <w:rPr>
          <w:rFonts w:cstheme="minorHAnsi"/>
          <w:sz w:val="24"/>
          <w:szCs w:val="24"/>
        </w:rPr>
        <w:t>oraz przez osoby i podmioty z nim powiązane</w:t>
      </w:r>
      <w:r w:rsidR="007D7823" w:rsidRPr="00762814">
        <w:rPr>
          <w:rStyle w:val="Odwoanieprzypisudolnego"/>
          <w:rFonts w:cstheme="minorHAnsi"/>
          <w:sz w:val="24"/>
          <w:szCs w:val="24"/>
        </w:rPr>
        <w:footnoteReference w:id="8"/>
      </w:r>
      <w:r w:rsidR="007D7823" w:rsidRPr="00762814">
        <w:rPr>
          <w:rFonts w:cstheme="minorHAnsi"/>
          <w:sz w:val="24"/>
          <w:szCs w:val="24"/>
        </w:rPr>
        <w:t xml:space="preserve"> </w:t>
      </w:r>
      <w:r w:rsidR="00DA010F" w:rsidRPr="00762814">
        <w:rPr>
          <w:rFonts w:cstheme="minorHAnsi"/>
          <w:sz w:val="24"/>
          <w:szCs w:val="24"/>
        </w:rPr>
        <w:t>są niekwalifikowalne. Usługi doradcze nie mogą mieć charakteru ciągłego ani okresowego, nie mogą być też związane z bieżącą działalnością operacyjną, w szczególności w zakresie doradztwa podatkowego, księgowego, stałej obsługi prawnej lub reklamy.</w:t>
      </w:r>
    </w:p>
    <w:p w14:paraId="45969045" w14:textId="33DE163D" w:rsidR="001742A7" w:rsidRPr="00762814" w:rsidRDefault="001742A7" w:rsidP="00762814">
      <w:pPr>
        <w:spacing w:after="120" w:line="276" w:lineRule="auto"/>
        <w:rPr>
          <w:rFonts w:cstheme="minorHAnsi"/>
          <w:bCs/>
          <w:sz w:val="24"/>
          <w:szCs w:val="24"/>
        </w:rPr>
      </w:pPr>
      <w:r w:rsidRPr="00762814">
        <w:rPr>
          <w:rFonts w:cstheme="minorHAnsi"/>
          <w:bCs/>
          <w:sz w:val="24"/>
          <w:szCs w:val="24"/>
        </w:rPr>
        <w:t>Wnioskodawca szacuje liczbę godzin doradztwa świadczonego na terenie Rzeczypospolitej Polskiej</w:t>
      </w:r>
      <w:r w:rsidR="003C25BD" w:rsidRPr="00762814">
        <w:rPr>
          <w:rFonts w:cstheme="minorHAnsi"/>
          <w:bCs/>
          <w:sz w:val="24"/>
          <w:szCs w:val="24"/>
        </w:rPr>
        <w:t>,</w:t>
      </w:r>
      <w:r w:rsidRPr="00762814">
        <w:rPr>
          <w:rFonts w:cstheme="minorHAnsi"/>
          <w:bCs/>
          <w:sz w:val="24"/>
          <w:szCs w:val="24"/>
        </w:rPr>
        <w:t xml:space="preserve"> niezbędną do realizacji modułu Cyfryzacja. Koszt kwalifikowalny Wnioskodawca wylicza jako iloczyn stawki jednostkowej za godzinę zegarową doradztwa w obszarze cyfryzacji wynoszącej </w:t>
      </w:r>
      <w:r w:rsidRPr="00762814">
        <w:rPr>
          <w:rFonts w:cstheme="minorHAnsi"/>
          <w:b/>
          <w:sz w:val="24"/>
          <w:szCs w:val="24"/>
        </w:rPr>
        <w:t>2</w:t>
      </w:r>
      <w:r w:rsidR="00E74A5B" w:rsidRPr="00762814">
        <w:rPr>
          <w:rFonts w:cstheme="minorHAnsi"/>
          <w:b/>
          <w:sz w:val="24"/>
          <w:szCs w:val="24"/>
        </w:rPr>
        <w:t>49,00</w:t>
      </w:r>
      <w:r w:rsidRPr="00762814">
        <w:rPr>
          <w:rFonts w:cstheme="minorHAnsi"/>
          <w:b/>
          <w:sz w:val="24"/>
          <w:szCs w:val="24"/>
        </w:rPr>
        <w:t xml:space="preserve"> zł netto,</w:t>
      </w:r>
      <w:r w:rsidRPr="00762814">
        <w:rPr>
          <w:rFonts w:cstheme="minorHAnsi"/>
          <w:bCs/>
          <w:sz w:val="24"/>
          <w:szCs w:val="24"/>
        </w:rPr>
        <w:t xml:space="preserve"> oraz oszacowanej liczby godzin doradztwa. </w:t>
      </w:r>
      <w:r w:rsidRPr="00762814">
        <w:rPr>
          <w:rFonts w:cstheme="minorHAnsi"/>
          <w:b/>
          <w:bCs/>
          <w:sz w:val="24"/>
          <w:szCs w:val="24"/>
        </w:rPr>
        <w:t>Koszt ten jest rozliczany metodą uproszczoną</w:t>
      </w:r>
      <w:r w:rsidR="001A4FBA" w:rsidRPr="00762814">
        <w:rPr>
          <w:rFonts w:cstheme="minorHAnsi"/>
          <w:b/>
          <w:bCs/>
          <w:sz w:val="24"/>
          <w:szCs w:val="24"/>
        </w:rPr>
        <w:t xml:space="preserve"> na podstawie</w:t>
      </w:r>
      <w:r w:rsidRPr="00762814">
        <w:rPr>
          <w:rFonts w:cstheme="minorHAnsi"/>
          <w:b/>
          <w:bCs/>
          <w:sz w:val="24"/>
          <w:szCs w:val="24"/>
        </w:rPr>
        <w:t xml:space="preserve"> stawek jednostkowych</w:t>
      </w:r>
      <w:r w:rsidRPr="00762814">
        <w:rPr>
          <w:rFonts w:cstheme="minorHAnsi"/>
          <w:bCs/>
          <w:sz w:val="24"/>
          <w:szCs w:val="24"/>
        </w:rPr>
        <w:t>.</w:t>
      </w:r>
    </w:p>
    <w:p w14:paraId="7DDCDED4" w14:textId="495202D2" w:rsidR="00DA010F" w:rsidRPr="00762814" w:rsidRDefault="00DA010F" w:rsidP="00762814">
      <w:pPr>
        <w:spacing w:after="120" w:line="276" w:lineRule="auto"/>
        <w:rPr>
          <w:rFonts w:cstheme="minorHAnsi"/>
          <w:b/>
          <w:bCs/>
          <w:sz w:val="24"/>
          <w:szCs w:val="24"/>
        </w:rPr>
      </w:pPr>
      <w:r w:rsidRPr="00762814">
        <w:rPr>
          <w:rFonts w:cstheme="minorHAnsi"/>
          <w:b/>
          <w:bCs/>
          <w:sz w:val="24"/>
          <w:szCs w:val="24"/>
        </w:rPr>
        <w:t xml:space="preserve">Dla MŚP koszty te są objęte pomocą z art. 18 </w:t>
      </w:r>
      <w:r w:rsidR="00FE1883" w:rsidRPr="00762814">
        <w:rPr>
          <w:rFonts w:cstheme="minorHAnsi"/>
          <w:b/>
          <w:bCs/>
          <w:sz w:val="24"/>
          <w:szCs w:val="24"/>
        </w:rPr>
        <w:t>r</w:t>
      </w:r>
      <w:r w:rsidRPr="00762814">
        <w:rPr>
          <w:rFonts w:cstheme="minorHAnsi"/>
          <w:b/>
          <w:bCs/>
          <w:sz w:val="24"/>
          <w:szCs w:val="24"/>
        </w:rPr>
        <w:t>ozporządzenia</w:t>
      </w:r>
      <w:r w:rsidR="00FE1883" w:rsidRPr="00762814">
        <w:rPr>
          <w:rFonts w:cstheme="minorHAnsi"/>
          <w:b/>
          <w:bCs/>
          <w:sz w:val="24"/>
          <w:szCs w:val="24"/>
        </w:rPr>
        <w:t xml:space="preserve"> Komisji (UE) nr </w:t>
      </w:r>
      <w:r w:rsidRPr="00762814">
        <w:rPr>
          <w:rFonts w:cstheme="minorHAnsi"/>
          <w:b/>
          <w:bCs/>
          <w:sz w:val="24"/>
          <w:szCs w:val="24"/>
        </w:rPr>
        <w:t xml:space="preserve"> 651/2014, natomiast dla dużych przedsiębiorców – pomocą de minimis.</w:t>
      </w:r>
    </w:p>
    <w:p w14:paraId="73E254AB" w14:textId="2D55B8DB" w:rsidR="001A4FBA" w:rsidRPr="00ED6E26" w:rsidRDefault="00E94058" w:rsidP="00E94058">
      <w:pPr>
        <w:pStyle w:val="Nagwek4"/>
        <w:spacing w:before="120" w:line="276" w:lineRule="auto"/>
        <w:rPr>
          <w:rFonts w:asciiTheme="minorHAnsi" w:hAnsiTheme="minorHAnsi" w:cstheme="minorHAnsi"/>
          <w:i w:val="0"/>
          <w:color w:val="auto"/>
          <w:sz w:val="28"/>
          <w:szCs w:val="28"/>
        </w:rPr>
      </w:pPr>
      <w:bookmarkStart w:id="143" w:name="_Toc148716410"/>
      <w:bookmarkEnd w:id="142"/>
      <w:r>
        <w:rPr>
          <w:rFonts w:asciiTheme="minorHAnsi" w:hAnsiTheme="minorHAnsi" w:cstheme="minorHAnsi"/>
          <w:i w:val="0"/>
          <w:color w:val="auto"/>
          <w:sz w:val="28"/>
          <w:szCs w:val="28"/>
        </w:rPr>
        <w:t xml:space="preserve">6.3.8 </w:t>
      </w:r>
      <w:r w:rsidR="00D15BCE" w:rsidRPr="00ED6E26">
        <w:rPr>
          <w:rFonts w:asciiTheme="minorHAnsi" w:hAnsiTheme="minorHAnsi" w:cstheme="minorHAnsi"/>
          <w:i w:val="0"/>
          <w:color w:val="auto"/>
          <w:sz w:val="28"/>
          <w:szCs w:val="28"/>
        </w:rPr>
        <w:t>Usługi zewnętrzne (doradztwo zagraniczne)</w:t>
      </w:r>
      <w:bookmarkEnd w:id="143"/>
    </w:p>
    <w:p w14:paraId="6B6566A6" w14:textId="567D6663" w:rsidR="008C6E68" w:rsidRPr="00762814" w:rsidRDefault="003C25BD" w:rsidP="00762814">
      <w:pPr>
        <w:spacing w:after="120" w:line="276" w:lineRule="auto"/>
        <w:rPr>
          <w:rFonts w:cstheme="minorHAnsi"/>
          <w:sz w:val="24"/>
          <w:szCs w:val="24"/>
        </w:rPr>
      </w:pPr>
      <w:r w:rsidRPr="00762814">
        <w:rPr>
          <w:rFonts w:cstheme="minorHAnsi"/>
          <w:sz w:val="24"/>
          <w:szCs w:val="24"/>
        </w:rPr>
        <w:t>W ramach tej kategorii kwalifikowalne są k</w:t>
      </w:r>
      <w:r w:rsidR="008C6E68" w:rsidRPr="00762814">
        <w:rPr>
          <w:rFonts w:cstheme="minorHAnsi"/>
          <w:sz w:val="24"/>
          <w:szCs w:val="24"/>
        </w:rPr>
        <w:t xml:space="preserve">oszty usług doradczych niezbędnych do </w:t>
      </w:r>
      <w:r w:rsidR="001D6D6D" w:rsidRPr="00762814">
        <w:rPr>
          <w:rFonts w:cstheme="minorHAnsi"/>
          <w:sz w:val="24"/>
          <w:szCs w:val="24"/>
        </w:rPr>
        <w:t>realizacji modułu Cyfryzacja</w:t>
      </w:r>
      <w:r w:rsidR="008C6E68" w:rsidRPr="00762814">
        <w:rPr>
          <w:rFonts w:cstheme="minorHAnsi"/>
          <w:sz w:val="24"/>
          <w:szCs w:val="24"/>
        </w:rPr>
        <w:t xml:space="preserve"> świadczonych przez doradców zewnętrznych</w:t>
      </w:r>
      <w:r w:rsidRPr="00762814">
        <w:rPr>
          <w:rFonts w:cstheme="minorHAnsi"/>
          <w:sz w:val="24"/>
          <w:szCs w:val="24"/>
        </w:rPr>
        <w:t xml:space="preserve"> poza terytorium Rzeczypospolitej Polskiej</w:t>
      </w:r>
      <w:r w:rsidR="00334CAC" w:rsidRPr="00762814">
        <w:rPr>
          <w:rFonts w:cstheme="minorHAnsi"/>
          <w:sz w:val="24"/>
          <w:szCs w:val="24"/>
        </w:rPr>
        <w:t>.</w:t>
      </w:r>
      <w:r w:rsidR="008C6E68" w:rsidRPr="00762814">
        <w:rPr>
          <w:rFonts w:cstheme="minorHAnsi"/>
          <w:sz w:val="24"/>
          <w:szCs w:val="24"/>
        </w:rPr>
        <w:t xml:space="preserve"> Usługi realizowane wewnętrznie u Wnioskodawcy (przez pracowników Wnioskodawcy)</w:t>
      </w:r>
      <w:r w:rsidR="00AB343A" w:rsidRPr="00762814">
        <w:rPr>
          <w:rFonts w:cstheme="minorHAnsi"/>
          <w:sz w:val="24"/>
          <w:szCs w:val="24"/>
        </w:rPr>
        <w:t xml:space="preserve"> oraz przez osoby i podmioty z nim powiązane</w:t>
      </w:r>
      <w:r w:rsidR="00AB343A" w:rsidRPr="00762814">
        <w:rPr>
          <w:rStyle w:val="Odwoanieprzypisudolnego"/>
          <w:rFonts w:cstheme="minorHAnsi"/>
          <w:sz w:val="24"/>
          <w:szCs w:val="24"/>
        </w:rPr>
        <w:footnoteReference w:id="9"/>
      </w:r>
      <w:r w:rsidR="008C6E68" w:rsidRPr="00762814">
        <w:rPr>
          <w:rFonts w:cstheme="minorHAnsi"/>
          <w:sz w:val="24"/>
          <w:szCs w:val="24"/>
        </w:rPr>
        <w:t xml:space="preserve"> są niekwalifikowalne. Usługi doradcze nie mogą mieć charakteru ciągłego ani okresowego, nie mogą być też związane z bieżącą działalnością operacyjną, w szczególności w zakresie doradztwa podatkowego, księgowego, stałej obsługi prawnej lub reklamy.</w:t>
      </w:r>
    </w:p>
    <w:p w14:paraId="2C1FE48B" w14:textId="72BDD460" w:rsidR="008C6E68" w:rsidRPr="00762814" w:rsidRDefault="008C6E68" w:rsidP="00762814">
      <w:pPr>
        <w:spacing w:after="120" w:line="276" w:lineRule="auto"/>
        <w:rPr>
          <w:rFonts w:cstheme="minorHAnsi"/>
          <w:b/>
          <w:bCs/>
          <w:sz w:val="24"/>
          <w:szCs w:val="24"/>
        </w:rPr>
      </w:pPr>
      <w:r w:rsidRPr="00762814">
        <w:rPr>
          <w:rFonts w:cstheme="minorHAnsi"/>
          <w:b/>
          <w:bCs/>
          <w:sz w:val="24"/>
          <w:szCs w:val="24"/>
        </w:rPr>
        <w:t xml:space="preserve">Dla MŚP koszty te są objęte pomocą z art. 18 </w:t>
      </w:r>
      <w:r w:rsidR="009E79E5" w:rsidRPr="00762814">
        <w:rPr>
          <w:rFonts w:cstheme="minorHAnsi"/>
          <w:b/>
          <w:bCs/>
          <w:sz w:val="24"/>
          <w:szCs w:val="24"/>
        </w:rPr>
        <w:t>r</w:t>
      </w:r>
      <w:r w:rsidRPr="00762814">
        <w:rPr>
          <w:rFonts w:cstheme="minorHAnsi"/>
          <w:b/>
          <w:bCs/>
          <w:sz w:val="24"/>
          <w:szCs w:val="24"/>
        </w:rPr>
        <w:t>ozporządzenia</w:t>
      </w:r>
      <w:r w:rsidR="009E79E5" w:rsidRPr="00762814">
        <w:rPr>
          <w:rFonts w:cstheme="minorHAnsi"/>
          <w:sz w:val="24"/>
          <w:szCs w:val="24"/>
        </w:rPr>
        <w:t xml:space="preserve"> </w:t>
      </w:r>
      <w:r w:rsidR="009E79E5" w:rsidRPr="00762814">
        <w:rPr>
          <w:rFonts w:cstheme="minorHAnsi"/>
          <w:b/>
          <w:bCs/>
          <w:sz w:val="24"/>
          <w:szCs w:val="24"/>
        </w:rPr>
        <w:t xml:space="preserve">Komisji (UE) nr </w:t>
      </w:r>
      <w:r w:rsidRPr="00762814">
        <w:rPr>
          <w:rFonts w:cstheme="minorHAnsi"/>
          <w:b/>
          <w:bCs/>
          <w:sz w:val="24"/>
          <w:szCs w:val="24"/>
        </w:rPr>
        <w:t>651/2014, natomiast dla dużych przedsiębiorców – pomocą de minimis.</w:t>
      </w:r>
    </w:p>
    <w:p w14:paraId="7209F362" w14:textId="2A144D77" w:rsidR="00155CD5" w:rsidRPr="00762814" w:rsidRDefault="00155CD5" w:rsidP="00762814">
      <w:pPr>
        <w:spacing w:line="276" w:lineRule="auto"/>
        <w:rPr>
          <w:rFonts w:cstheme="minorHAnsi"/>
          <w:bCs/>
          <w:sz w:val="24"/>
          <w:szCs w:val="24"/>
        </w:rPr>
      </w:pPr>
      <w:r w:rsidRPr="00762814">
        <w:rPr>
          <w:rFonts w:cstheme="minorHAnsi"/>
          <w:bCs/>
          <w:sz w:val="24"/>
          <w:szCs w:val="24"/>
        </w:rPr>
        <w:br w:type="page"/>
      </w:r>
    </w:p>
    <w:p w14:paraId="4788EA88" w14:textId="33A76009" w:rsidR="00A23B26" w:rsidRPr="00930477" w:rsidRDefault="00722C21" w:rsidP="00BF47B4">
      <w:pPr>
        <w:pStyle w:val="Nagwek2"/>
        <w:numPr>
          <w:ilvl w:val="0"/>
          <w:numId w:val="38"/>
        </w:numPr>
        <w:spacing w:line="276" w:lineRule="auto"/>
        <w:ind w:left="714" w:hanging="357"/>
        <w:rPr>
          <w:rFonts w:asciiTheme="minorHAnsi" w:hAnsiTheme="minorHAnsi" w:cstheme="minorHAnsi"/>
          <w:b/>
          <w:color w:val="auto"/>
          <w:sz w:val="36"/>
          <w:szCs w:val="36"/>
        </w:rPr>
      </w:pPr>
      <w:bookmarkStart w:id="144" w:name="_Toc148716411"/>
      <w:r w:rsidRPr="00930477">
        <w:rPr>
          <w:rFonts w:asciiTheme="minorHAnsi" w:hAnsiTheme="minorHAnsi" w:cstheme="minorHAnsi"/>
          <w:b/>
          <w:color w:val="auto"/>
          <w:sz w:val="36"/>
          <w:szCs w:val="36"/>
        </w:rPr>
        <w:t>Wydatki kwalifikowalne modułu zazielenienie przedsiębiorstw</w:t>
      </w:r>
      <w:bookmarkEnd w:id="144"/>
    </w:p>
    <w:p w14:paraId="2B63BC65" w14:textId="2729CC65" w:rsidR="00A23B26" w:rsidRPr="00930477" w:rsidRDefault="00DA2630" w:rsidP="00930477">
      <w:pPr>
        <w:pStyle w:val="Nagwek3"/>
        <w:spacing w:before="360" w:line="276" w:lineRule="auto"/>
        <w:rPr>
          <w:rFonts w:asciiTheme="minorHAnsi" w:hAnsiTheme="minorHAnsi" w:cstheme="minorHAnsi"/>
          <w:color w:val="auto"/>
          <w:sz w:val="32"/>
        </w:rPr>
      </w:pPr>
      <w:bookmarkStart w:id="145" w:name="_Toc148716412"/>
      <w:r w:rsidRPr="00930477">
        <w:rPr>
          <w:rFonts w:asciiTheme="minorHAnsi" w:hAnsiTheme="minorHAnsi" w:cstheme="minorHAnsi"/>
          <w:color w:val="auto"/>
          <w:sz w:val="32"/>
        </w:rPr>
        <w:t>7</w:t>
      </w:r>
      <w:r w:rsidR="00750714" w:rsidRPr="00930477">
        <w:rPr>
          <w:rFonts w:asciiTheme="minorHAnsi" w:hAnsiTheme="minorHAnsi" w:cstheme="minorHAnsi"/>
          <w:color w:val="auto"/>
          <w:sz w:val="32"/>
        </w:rPr>
        <w:t xml:space="preserve">.1 </w:t>
      </w:r>
      <w:r w:rsidR="00A23B26" w:rsidRPr="00930477">
        <w:rPr>
          <w:rFonts w:asciiTheme="minorHAnsi" w:hAnsiTheme="minorHAnsi" w:cstheme="minorHAnsi"/>
          <w:color w:val="auto"/>
          <w:sz w:val="32"/>
        </w:rPr>
        <w:t>Pomoc publiczna</w:t>
      </w:r>
      <w:bookmarkEnd w:id="145"/>
    </w:p>
    <w:p w14:paraId="2C3F423D" w14:textId="5443B3F2" w:rsidR="00A23B26" w:rsidRPr="00762814" w:rsidRDefault="00A23B26" w:rsidP="00762814">
      <w:pPr>
        <w:spacing w:after="120" w:line="276" w:lineRule="auto"/>
        <w:rPr>
          <w:rFonts w:cstheme="minorHAnsi"/>
          <w:sz w:val="24"/>
          <w:szCs w:val="24"/>
        </w:rPr>
      </w:pPr>
      <w:r w:rsidRPr="00762814">
        <w:rPr>
          <w:rFonts w:cstheme="minorHAnsi"/>
          <w:sz w:val="24"/>
          <w:szCs w:val="24"/>
        </w:rPr>
        <w:t>Wnioskodawca może uzyskać wsparcie w module na podstawie:</w:t>
      </w:r>
    </w:p>
    <w:p w14:paraId="11DCE5F2" w14:textId="7CC4A8F7" w:rsidR="00A23B26" w:rsidRPr="00762814" w:rsidRDefault="00A23B26" w:rsidP="00762814">
      <w:pPr>
        <w:spacing w:after="120" w:line="276" w:lineRule="auto"/>
        <w:rPr>
          <w:rFonts w:cstheme="minorHAnsi"/>
          <w:sz w:val="24"/>
          <w:szCs w:val="24"/>
        </w:rPr>
      </w:pPr>
      <w:r w:rsidRPr="00762814">
        <w:rPr>
          <w:rFonts w:cstheme="minorHAnsi"/>
          <w:sz w:val="24"/>
          <w:szCs w:val="24"/>
        </w:rPr>
        <w:t>1.</w:t>
      </w:r>
      <w:r w:rsidRPr="00762814">
        <w:rPr>
          <w:rFonts w:cstheme="minorHAnsi"/>
          <w:sz w:val="24"/>
          <w:szCs w:val="24"/>
        </w:rPr>
        <w:tab/>
      </w:r>
      <w:r w:rsidRPr="00762814">
        <w:rPr>
          <w:rFonts w:cstheme="minorHAnsi"/>
          <w:bCs/>
          <w:sz w:val="24"/>
          <w:szCs w:val="24"/>
        </w:rPr>
        <w:t>Rozporządzenia Komisji (UE) nr 651/2014</w:t>
      </w:r>
      <w:r w:rsidRPr="00762814">
        <w:rPr>
          <w:rFonts w:cstheme="minorHAnsi"/>
          <w:sz w:val="24"/>
          <w:szCs w:val="24"/>
        </w:rPr>
        <w:t xml:space="preserve"> jako:</w:t>
      </w:r>
    </w:p>
    <w:p w14:paraId="626E28D6" w14:textId="283C852D" w:rsidR="00A23B26" w:rsidRPr="00762814" w:rsidRDefault="00A23B26" w:rsidP="00BF47B4">
      <w:pPr>
        <w:pStyle w:val="Akapitzlist"/>
        <w:numPr>
          <w:ilvl w:val="1"/>
          <w:numId w:val="18"/>
        </w:numPr>
        <w:spacing w:after="120" w:line="276" w:lineRule="auto"/>
        <w:rPr>
          <w:rFonts w:cstheme="minorHAnsi"/>
          <w:sz w:val="24"/>
          <w:szCs w:val="24"/>
        </w:rPr>
      </w:pPr>
      <w:r w:rsidRPr="00762814">
        <w:rPr>
          <w:rFonts w:cstheme="minorHAnsi"/>
          <w:sz w:val="24"/>
          <w:szCs w:val="24"/>
        </w:rPr>
        <w:t xml:space="preserve">regionalną pomoc inwestycyjną (art. 14); </w:t>
      </w:r>
    </w:p>
    <w:p w14:paraId="3721953A" w14:textId="3E692B8C" w:rsidR="00A23B26" w:rsidRPr="00762814" w:rsidRDefault="00A23B26" w:rsidP="00BF47B4">
      <w:pPr>
        <w:pStyle w:val="Akapitzlist"/>
        <w:numPr>
          <w:ilvl w:val="1"/>
          <w:numId w:val="18"/>
        </w:numPr>
        <w:spacing w:after="120" w:line="276" w:lineRule="auto"/>
        <w:rPr>
          <w:rFonts w:cstheme="minorHAnsi"/>
          <w:sz w:val="24"/>
          <w:szCs w:val="24"/>
        </w:rPr>
      </w:pPr>
      <w:r w:rsidRPr="00762814">
        <w:rPr>
          <w:rFonts w:cstheme="minorHAnsi"/>
          <w:sz w:val="24"/>
          <w:szCs w:val="24"/>
        </w:rPr>
        <w:t>pomoc na usługi doradcze na rzecz MŚP (art. 18);</w:t>
      </w:r>
    </w:p>
    <w:p w14:paraId="1E6692BC" w14:textId="18DFB7C6" w:rsidR="00A23B26" w:rsidRPr="00762814" w:rsidRDefault="00A23B26" w:rsidP="00BF47B4">
      <w:pPr>
        <w:pStyle w:val="Akapitzlist"/>
        <w:numPr>
          <w:ilvl w:val="1"/>
          <w:numId w:val="18"/>
        </w:numPr>
        <w:spacing w:after="120" w:line="276" w:lineRule="auto"/>
        <w:rPr>
          <w:rFonts w:cstheme="minorHAnsi"/>
          <w:sz w:val="24"/>
          <w:szCs w:val="24"/>
        </w:rPr>
      </w:pPr>
      <w:r w:rsidRPr="00762814">
        <w:rPr>
          <w:rFonts w:cstheme="minorHAnsi"/>
          <w:sz w:val="24"/>
          <w:szCs w:val="24"/>
        </w:rPr>
        <w:t>pomoc dla MŚP na wspieranie innowacyjności (art. 28);</w:t>
      </w:r>
    </w:p>
    <w:p w14:paraId="601806C5" w14:textId="61A035C9" w:rsidR="00A23B26" w:rsidRPr="00762814" w:rsidRDefault="00A23B26" w:rsidP="00BF47B4">
      <w:pPr>
        <w:pStyle w:val="Akapitzlist"/>
        <w:numPr>
          <w:ilvl w:val="1"/>
          <w:numId w:val="18"/>
        </w:numPr>
        <w:spacing w:after="120" w:line="276" w:lineRule="auto"/>
        <w:rPr>
          <w:rFonts w:cstheme="minorHAnsi"/>
          <w:sz w:val="24"/>
          <w:szCs w:val="24"/>
        </w:rPr>
      </w:pPr>
      <w:bookmarkStart w:id="146" w:name="_Hlk117773090"/>
      <w:r w:rsidRPr="00762814">
        <w:rPr>
          <w:rFonts w:cstheme="minorHAnsi"/>
          <w:sz w:val="24"/>
          <w:szCs w:val="24"/>
        </w:rPr>
        <w:t xml:space="preserve">pomoc inwestycyjną </w:t>
      </w:r>
      <w:r w:rsidR="00FE6E89">
        <w:rPr>
          <w:rFonts w:cstheme="minorHAnsi"/>
          <w:sz w:val="24"/>
          <w:szCs w:val="24"/>
        </w:rPr>
        <w:t xml:space="preserve">na ochronę środowiska, w tym obniżenie emisyjności </w:t>
      </w:r>
      <w:r w:rsidRPr="00762814">
        <w:rPr>
          <w:rFonts w:cstheme="minorHAnsi"/>
          <w:sz w:val="24"/>
          <w:szCs w:val="24"/>
        </w:rPr>
        <w:t>(art. 36);</w:t>
      </w:r>
    </w:p>
    <w:p w14:paraId="6D5E5B05" w14:textId="754E33B2" w:rsidR="00A23B26" w:rsidRDefault="00A23B26" w:rsidP="00BF47B4">
      <w:pPr>
        <w:pStyle w:val="Akapitzlist"/>
        <w:numPr>
          <w:ilvl w:val="1"/>
          <w:numId w:val="18"/>
        </w:numPr>
        <w:spacing w:after="120" w:line="276" w:lineRule="auto"/>
        <w:rPr>
          <w:rFonts w:cstheme="minorHAnsi"/>
          <w:sz w:val="24"/>
          <w:szCs w:val="24"/>
        </w:rPr>
      </w:pPr>
      <w:r w:rsidRPr="00762814">
        <w:rPr>
          <w:rFonts w:cstheme="minorHAnsi"/>
          <w:sz w:val="24"/>
          <w:szCs w:val="24"/>
        </w:rPr>
        <w:t xml:space="preserve">pomoc inwestycyjną na środki wspierające efektywność energetyczną </w:t>
      </w:r>
      <w:r w:rsidR="00FE6E89" w:rsidRPr="001733D2">
        <w:rPr>
          <w:rFonts w:cstheme="minorHAnsi"/>
          <w:sz w:val="24"/>
          <w:szCs w:val="24"/>
        </w:rPr>
        <w:t xml:space="preserve">inną niż w  budynkach </w:t>
      </w:r>
      <w:r w:rsidRPr="00762814">
        <w:rPr>
          <w:rFonts w:cstheme="minorHAnsi"/>
          <w:sz w:val="24"/>
          <w:szCs w:val="24"/>
        </w:rPr>
        <w:t>(art. 38);</w:t>
      </w:r>
    </w:p>
    <w:p w14:paraId="117B4FC3" w14:textId="542229E6" w:rsidR="00FE6E89" w:rsidRPr="000E38A9" w:rsidRDefault="00FE6E89" w:rsidP="00A31920">
      <w:pPr>
        <w:pStyle w:val="Akapitzlist"/>
        <w:numPr>
          <w:ilvl w:val="1"/>
          <w:numId w:val="18"/>
        </w:numPr>
        <w:rPr>
          <w:rFonts w:cstheme="minorHAnsi"/>
          <w:sz w:val="24"/>
          <w:szCs w:val="24"/>
        </w:rPr>
      </w:pPr>
      <w:r w:rsidRPr="000E6F74">
        <w:rPr>
          <w:rFonts w:cstheme="minorHAnsi"/>
          <w:sz w:val="24"/>
          <w:szCs w:val="24"/>
        </w:rPr>
        <w:t>pomoc inwestycyjn</w:t>
      </w:r>
      <w:r>
        <w:rPr>
          <w:rFonts w:cstheme="minorHAnsi"/>
          <w:sz w:val="24"/>
          <w:szCs w:val="24"/>
        </w:rPr>
        <w:t>ą</w:t>
      </w:r>
      <w:r w:rsidRPr="000E6F74">
        <w:rPr>
          <w:rFonts w:cstheme="minorHAnsi"/>
          <w:sz w:val="24"/>
          <w:szCs w:val="24"/>
        </w:rPr>
        <w:t xml:space="preserve"> na środki wspierające efektywność energetyczną w budynkach (art. 38a)</w:t>
      </w:r>
    </w:p>
    <w:p w14:paraId="63CE6738" w14:textId="3DAE4EAC" w:rsidR="00A23B26" w:rsidRPr="00762814" w:rsidRDefault="00A23B26" w:rsidP="00BF47B4">
      <w:pPr>
        <w:pStyle w:val="Akapitzlist"/>
        <w:numPr>
          <w:ilvl w:val="1"/>
          <w:numId w:val="18"/>
        </w:numPr>
        <w:spacing w:after="120" w:line="276" w:lineRule="auto"/>
        <w:rPr>
          <w:rFonts w:cstheme="minorHAnsi"/>
          <w:sz w:val="24"/>
          <w:szCs w:val="24"/>
        </w:rPr>
      </w:pPr>
      <w:r w:rsidRPr="00762814">
        <w:rPr>
          <w:rFonts w:cstheme="minorHAnsi"/>
          <w:sz w:val="24"/>
          <w:szCs w:val="24"/>
        </w:rPr>
        <w:t>pomoc inwestycyjną na propagowanie energii ze źródeł odnawialnych</w:t>
      </w:r>
      <w:r w:rsidR="00FE6E89">
        <w:rPr>
          <w:rFonts w:cstheme="minorHAnsi"/>
          <w:sz w:val="24"/>
          <w:szCs w:val="24"/>
        </w:rPr>
        <w:t xml:space="preserve">, </w:t>
      </w:r>
      <w:r w:rsidR="00FE6E89" w:rsidRPr="000E6F74">
        <w:rPr>
          <w:rFonts w:cstheme="minorHAnsi"/>
          <w:sz w:val="24"/>
          <w:szCs w:val="24"/>
        </w:rPr>
        <w:t>propagowanie wodoru odnawialnego i wysokosprawnej kogeneracji</w:t>
      </w:r>
      <w:r w:rsidRPr="00762814">
        <w:rPr>
          <w:rFonts w:cstheme="minorHAnsi"/>
          <w:sz w:val="24"/>
          <w:szCs w:val="24"/>
        </w:rPr>
        <w:t xml:space="preserve"> (art. 41);</w:t>
      </w:r>
    </w:p>
    <w:p w14:paraId="005ACDFA" w14:textId="630CE876" w:rsidR="00A23B26" w:rsidRPr="00762814" w:rsidRDefault="00A23B26" w:rsidP="00BF47B4">
      <w:pPr>
        <w:pStyle w:val="Akapitzlist"/>
        <w:numPr>
          <w:ilvl w:val="1"/>
          <w:numId w:val="18"/>
        </w:numPr>
        <w:spacing w:after="120" w:line="276" w:lineRule="auto"/>
        <w:rPr>
          <w:rFonts w:cstheme="minorHAnsi"/>
          <w:sz w:val="24"/>
          <w:szCs w:val="24"/>
        </w:rPr>
      </w:pPr>
      <w:r w:rsidRPr="00762814">
        <w:rPr>
          <w:rFonts w:cstheme="minorHAnsi"/>
          <w:sz w:val="24"/>
          <w:szCs w:val="24"/>
        </w:rPr>
        <w:t xml:space="preserve">pomoc inwestycyjną na efektywny energetycznie system ciepłowniczy </w:t>
      </w:r>
      <w:r w:rsidR="001A4FBA" w:rsidRPr="00762814">
        <w:rPr>
          <w:rFonts w:cstheme="minorHAnsi"/>
          <w:sz w:val="24"/>
          <w:szCs w:val="24"/>
        </w:rPr>
        <w:br/>
      </w:r>
      <w:r w:rsidR="00B37BD3">
        <w:rPr>
          <w:rFonts w:cstheme="minorHAnsi"/>
          <w:sz w:val="24"/>
          <w:szCs w:val="24"/>
        </w:rPr>
        <w:t>lub</w:t>
      </w:r>
      <w:r w:rsidR="00B37BD3" w:rsidRPr="00762814">
        <w:rPr>
          <w:rFonts w:cstheme="minorHAnsi"/>
          <w:sz w:val="24"/>
          <w:szCs w:val="24"/>
        </w:rPr>
        <w:t xml:space="preserve"> </w:t>
      </w:r>
      <w:r w:rsidRPr="00762814">
        <w:rPr>
          <w:rFonts w:cstheme="minorHAnsi"/>
          <w:sz w:val="24"/>
          <w:szCs w:val="24"/>
        </w:rPr>
        <w:t>chłodniczy (art. 46);</w:t>
      </w:r>
    </w:p>
    <w:p w14:paraId="369CA23F" w14:textId="62E7B544" w:rsidR="00A23B26" w:rsidRPr="00762814" w:rsidRDefault="00A23B26" w:rsidP="00BF47B4">
      <w:pPr>
        <w:pStyle w:val="Akapitzlist"/>
        <w:numPr>
          <w:ilvl w:val="1"/>
          <w:numId w:val="18"/>
        </w:numPr>
        <w:spacing w:after="120" w:line="276" w:lineRule="auto"/>
        <w:rPr>
          <w:rFonts w:cstheme="minorHAnsi"/>
          <w:sz w:val="24"/>
          <w:szCs w:val="24"/>
        </w:rPr>
      </w:pPr>
      <w:r w:rsidRPr="00762814">
        <w:rPr>
          <w:rFonts w:cstheme="minorHAnsi"/>
          <w:sz w:val="24"/>
          <w:szCs w:val="24"/>
        </w:rPr>
        <w:t>pomoc inwestycyjną</w:t>
      </w:r>
      <w:r w:rsidR="00FE6E89">
        <w:rPr>
          <w:rFonts w:cstheme="minorHAnsi"/>
          <w:sz w:val="24"/>
          <w:szCs w:val="24"/>
        </w:rPr>
        <w:t xml:space="preserve"> </w:t>
      </w:r>
      <w:r w:rsidR="00FE6E89" w:rsidRPr="000E6F74">
        <w:rPr>
          <w:rFonts w:cstheme="minorHAnsi"/>
          <w:sz w:val="24"/>
          <w:szCs w:val="24"/>
        </w:rPr>
        <w:t>na efektywne gospodarowanie zasobami i wspieranie przechodzenia na gospodarkę o obiegu zamkniętym</w:t>
      </w:r>
      <w:r w:rsidRPr="00762814">
        <w:rPr>
          <w:rFonts w:cstheme="minorHAnsi"/>
          <w:sz w:val="24"/>
          <w:szCs w:val="24"/>
        </w:rPr>
        <w:t xml:space="preserve"> (art.</w:t>
      </w:r>
      <w:r w:rsidR="001A4FBA" w:rsidRPr="00762814">
        <w:rPr>
          <w:rFonts w:cstheme="minorHAnsi"/>
          <w:sz w:val="24"/>
          <w:szCs w:val="24"/>
        </w:rPr>
        <w:t xml:space="preserve"> </w:t>
      </w:r>
      <w:r w:rsidRPr="00762814">
        <w:rPr>
          <w:rFonts w:cstheme="minorHAnsi"/>
          <w:sz w:val="24"/>
          <w:szCs w:val="24"/>
        </w:rPr>
        <w:t>47)</w:t>
      </w:r>
      <w:r w:rsidR="001A4FBA" w:rsidRPr="00762814">
        <w:rPr>
          <w:rFonts w:cstheme="minorHAnsi"/>
          <w:sz w:val="24"/>
          <w:szCs w:val="24"/>
        </w:rPr>
        <w:t>.</w:t>
      </w:r>
    </w:p>
    <w:bookmarkEnd w:id="146"/>
    <w:p w14:paraId="32092E18" w14:textId="1F309507" w:rsidR="00A23B26" w:rsidRPr="00762814" w:rsidRDefault="00A23B26" w:rsidP="00762814">
      <w:pPr>
        <w:spacing w:after="120" w:line="276" w:lineRule="auto"/>
        <w:rPr>
          <w:rFonts w:cstheme="minorHAnsi"/>
          <w:sz w:val="24"/>
          <w:szCs w:val="24"/>
        </w:rPr>
      </w:pPr>
      <w:r w:rsidRPr="00762814">
        <w:rPr>
          <w:rFonts w:cstheme="minorHAnsi"/>
          <w:sz w:val="24"/>
          <w:szCs w:val="24"/>
        </w:rPr>
        <w:t>2.</w:t>
      </w:r>
      <w:r w:rsidRPr="00762814">
        <w:rPr>
          <w:rFonts w:cstheme="minorHAnsi"/>
          <w:sz w:val="24"/>
          <w:szCs w:val="24"/>
        </w:rPr>
        <w:tab/>
        <w:t>Rozporządzenia 1407/2013 jako pomoc de minimis</w:t>
      </w:r>
      <w:r w:rsidR="00907457" w:rsidRPr="00762814">
        <w:rPr>
          <w:rFonts w:cstheme="minorHAnsi"/>
          <w:sz w:val="24"/>
          <w:szCs w:val="24"/>
        </w:rPr>
        <w:t>.</w:t>
      </w:r>
    </w:p>
    <w:p w14:paraId="7733170F" w14:textId="68DC63C2" w:rsidR="003167AD" w:rsidRPr="00930477" w:rsidRDefault="00892F12" w:rsidP="00930477">
      <w:pPr>
        <w:pStyle w:val="Nagwek3"/>
        <w:spacing w:before="360" w:line="276" w:lineRule="auto"/>
        <w:rPr>
          <w:rFonts w:asciiTheme="minorHAnsi" w:hAnsiTheme="minorHAnsi" w:cstheme="minorHAnsi"/>
          <w:color w:val="auto"/>
          <w:sz w:val="32"/>
        </w:rPr>
      </w:pPr>
      <w:bookmarkStart w:id="147" w:name="_Toc148716413"/>
      <w:r w:rsidRPr="00930477">
        <w:rPr>
          <w:rFonts w:asciiTheme="minorHAnsi" w:hAnsiTheme="minorHAnsi" w:cstheme="minorHAnsi"/>
          <w:color w:val="auto"/>
          <w:sz w:val="32"/>
        </w:rPr>
        <w:t>7</w:t>
      </w:r>
      <w:r w:rsidR="008104C0" w:rsidRPr="00930477">
        <w:rPr>
          <w:rFonts w:asciiTheme="minorHAnsi" w:hAnsiTheme="minorHAnsi" w:cstheme="minorHAnsi"/>
          <w:color w:val="auto"/>
          <w:sz w:val="32"/>
        </w:rPr>
        <w:t xml:space="preserve">.2 </w:t>
      </w:r>
      <w:r w:rsidR="00A23B26" w:rsidRPr="00930477">
        <w:rPr>
          <w:rFonts w:asciiTheme="minorHAnsi" w:hAnsiTheme="minorHAnsi" w:cstheme="minorHAnsi"/>
          <w:color w:val="auto"/>
          <w:sz w:val="32"/>
        </w:rPr>
        <w:t xml:space="preserve">Limity </w:t>
      </w:r>
      <w:r w:rsidR="003167AD" w:rsidRPr="00930477">
        <w:rPr>
          <w:rFonts w:asciiTheme="minorHAnsi" w:hAnsiTheme="minorHAnsi" w:cstheme="minorHAnsi"/>
          <w:color w:val="auto"/>
          <w:sz w:val="32"/>
        </w:rPr>
        <w:t>wydatków kwalifikowa</w:t>
      </w:r>
      <w:r w:rsidR="000B17FE" w:rsidRPr="00930477">
        <w:rPr>
          <w:rFonts w:asciiTheme="minorHAnsi" w:hAnsiTheme="minorHAnsi" w:cstheme="minorHAnsi"/>
          <w:color w:val="auto"/>
          <w:sz w:val="32"/>
        </w:rPr>
        <w:t>l</w:t>
      </w:r>
      <w:r w:rsidR="003167AD" w:rsidRPr="00930477">
        <w:rPr>
          <w:rFonts w:asciiTheme="minorHAnsi" w:hAnsiTheme="minorHAnsi" w:cstheme="minorHAnsi"/>
          <w:color w:val="auto"/>
          <w:sz w:val="32"/>
        </w:rPr>
        <w:t>nych w module oraz limity dofinansowania</w:t>
      </w:r>
      <w:bookmarkEnd w:id="147"/>
    </w:p>
    <w:p w14:paraId="42C7E6BC" w14:textId="4404AB04" w:rsidR="000C66C2" w:rsidRPr="00762814" w:rsidRDefault="000C66C2" w:rsidP="00762814">
      <w:pPr>
        <w:spacing w:after="120" w:line="276" w:lineRule="auto"/>
        <w:rPr>
          <w:rFonts w:cstheme="minorHAnsi"/>
          <w:sz w:val="24"/>
          <w:szCs w:val="24"/>
          <w:u w:val="single"/>
        </w:rPr>
      </w:pPr>
      <w:bookmarkStart w:id="148" w:name="_Hlk117084251"/>
      <w:r w:rsidRPr="00762814">
        <w:rPr>
          <w:rFonts w:cstheme="minorHAnsi"/>
          <w:sz w:val="24"/>
          <w:szCs w:val="24"/>
          <w:u w:val="single"/>
        </w:rPr>
        <w:t>Limity wynikające z przepisów pomocy publicznej:</w:t>
      </w:r>
    </w:p>
    <w:bookmarkEnd w:id="148"/>
    <w:p w14:paraId="2944CCCD" w14:textId="05372DDE" w:rsidR="00B43AD2" w:rsidRPr="00A31920" w:rsidRDefault="00B43AD2" w:rsidP="00A31920">
      <w:pPr>
        <w:pStyle w:val="Akapitzlist"/>
        <w:numPr>
          <w:ilvl w:val="0"/>
          <w:numId w:val="122"/>
        </w:numPr>
        <w:spacing w:after="120" w:line="276" w:lineRule="auto"/>
        <w:rPr>
          <w:rFonts w:cstheme="minorHAnsi"/>
          <w:b/>
          <w:bCs/>
          <w:sz w:val="24"/>
          <w:szCs w:val="24"/>
        </w:rPr>
      </w:pPr>
      <w:r w:rsidRPr="00A31920">
        <w:rPr>
          <w:rFonts w:cstheme="minorHAnsi"/>
          <w:b/>
          <w:bCs/>
          <w:sz w:val="24"/>
          <w:szCs w:val="24"/>
        </w:rPr>
        <w:t>Intensywność pomocy</w:t>
      </w:r>
      <w:r w:rsidRPr="00A31920">
        <w:rPr>
          <w:rFonts w:cstheme="minorHAnsi"/>
          <w:sz w:val="24"/>
          <w:szCs w:val="24"/>
        </w:rPr>
        <w:t xml:space="preserve"> na wydatki w ramach poszczególnych przeznaczeń pomocy nie może przekroczyć:</w:t>
      </w:r>
    </w:p>
    <w:p w14:paraId="5364D0D5" w14:textId="15E192F9" w:rsidR="00B43AD2" w:rsidRPr="00762814" w:rsidRDefault="00B43AD2" w:rsidP="00BF47B4">
      <w:pPr>
        <w:pStyle w:val="Akapitzlist"/>
        <w:numPr>
          <w:ilvl w:val="0"/>
          <w:numId w:val="23"/>
        </w:numPr>
        <w:spacing w:after="120" w:line="276" w:lineRule="auto"/>
        <w:ind w:left="284" w:hanging="284"/>
        <w:rPr>
          <w:rFonts w:cstheme="minorHAnsi"/>
          <w:sz w:val="24"/>
          <w:szCs w:val="24"/>
        </w:rPr>
      </w:pPr>
      <w:r w:rsidRPr="00762814">
        <w:rPr>
          <w:rFonts w:cstheme="minorHAnsi"/>
          <w:sz w:val="24"/>
          <w:szCs w:val="24"/>
        </w:rPr>
        <w:t xml:space="preserve">limitów intensywności wsparcia wskazanych w rozporządzeniu Rady Ministrów z dnia 14 grudnia 2021 r. w sprawie ustalenia mapy pomocy regionalnej na lata 2022-2027 (Dz. U. poz. 2422) w przypadku </w:t>
      </w:r>
      <w:r w:rsidR="001A4FBA" w:rsidRPr="00762814">
        <w:rPr>
          <w:rFonts w:cstheme="minorHAnsi"/>
          <w:b/>
          <w:bCs/>
          <w:sz w:val="24"/>
          <w:szCs w:val="24"/>
        </w:rPr>
        <w:t>r</w:t>
      </w:r>
      <w:r w:rsidRPr="00762814">
        <w:rPr>
          <w:rFonts w:cstheme="minorHAnsi"/>
          <w:b/>
          <w:bCs/>
          <w:sz w:val="24"/>
          <w:szCs w:val="24"/>
        </w:rPr>
        <w:t>egionalnej pomocy inwestycyjnej</w:t>
      </w:r>
      <w:r w:rsidRPr="00762814">
        <w:rPr>
          <w:rFonts w:cstheme="minorHAnsi"/>
          <w:sz w:val="24"/>
          <w:szCs w:val="24"/>
        </w:rPr>
        <w:t>.</w:t>
      </w:r>
      <w:r w:rsidR="00780181" w:rsidRPr="00762814">
        <w:rPr>
          <w:rFonts w:cstheme="minorHAnsi"/>
          <w:sz w:val="24"/>
          <w:szCs w:val="24"/>
        </w:rPr>
        <w:t xml:space="preserve"> </w:t>
      </w:r>
      <w:r w:rsidRPr="00762814">
        <w:rPr>
          <w:rFonts w:cstheme="minorHAnsi"/>
          <w:sz w:val="24"/>
          <w:szCs w:val="24"/>
        </w:rPr>
        <w:t>Intensywność wsparcia w regionalnej pomocy inwestycyjnej w poszczególnych regionach dla poszczególnych kategorii przedsiębiorców została przedstawiona w Tabeli nr 2;</w:t>
      </w:r>
    </w:p>
    <w:p w14:paraId="5DAC6CF8" w14:textId="74029802" w:rsidR="00B43AD2" w:rsidRPr="00762814" w:rsidRDefault="00B43AD2" w:rsidP="00BF47B4">
      <w:pPr>
        <w:pStyle w:val="Akapitzlist"/>
        <w:numPr>
          <w:ilvl w:val="0"/>
          <w:numId w:val="23"/>
        </w:numPr>
        <w:spacing w:after="120" w:line="276" w:lineRule="auto"/>
        <w:ind w:left="284" w:hanging="284"/>
        <w:rPr>
          <w:rFonts w:cstheme="minorHAnsi"/>
          <w:sz w:val="24"/>
          <w:szCs w:val="24"/>
        </w:rPr>
      </w:pPr>
      <w:r w:rsidRPr="00762814">
        <w:rPr>
          <w:rFonts w:cstheme="minorHAnsi"/>
          <w:sz w:val="24"/>
          <w:szCs w:val="24"/>
        </w:rPr>
        <w:t xml:space="preserve">50% w przypadku </w:t>
      </w:r>
      <w:r w:rsidRPr="00762814">
        <w:rPr>
          <w:rFonts w:cstheme="minorHAnsi"/>
          <w:b/>
          <w:bCs/>
          <w:sz w:val="24"/>
          <w:szCs w:val="24"/>
        </w:rPr>
        <w:t>pomocy na usługi doradcze na rzecz MŚP</w:t>
      </w:r>
      <w:r w:rsidRPr="00762814">
        <w:rPr>
          <w:rFonts w:cstheme="minorHAnsi"/>
          <w:bCs/>
          <w:sz w:val="24"/>
          <w:szCs w:val="24"/>
        </w:rPr>
        <w:t>;</w:t>
      </w:r>
    </w:p>
    <w:p w14:paraId="3ADD4E05" w14:textId="1A79C151" w:rsidR="00B43AD2" w:rsidRPr="00762814" w:rsidRDefault="00B43AD2" w:rsidP="00BF47B4">
      <w:pPr>
        <w:pStyle w:val="Akapitzlist"/>
        <w:numPr>
          <w:ilvl w:val="0"/>
          <w:numId w:val="23"/>
        </w:numPr>
        <w:spacing w:after="120" w:line="276" w:lineRule="auto"/>
        <w:ind w:left="284" w:hanging="284"/>
        <w:rPr>
          <w:rFonts w:cstheme="minorHAnsi"/>
          <w:sz w:val="24"/>
          <w:szCs w:val="24"/>
        </w:rPr>
      </w:pPr>
      <w:r w:rsidRPr="00762814">
        <w:rPr>
          <w:rFonts w:cstheme="minorHAnsi"/>
          <w:sz w:val="24"/>
          <w:szCs w:val="24"/>
        </w:rPr>
        <w:t xml:space="preserve">50% w przypadku </w:t>
      </w:r>
      <w:r w:rsidRPr="00762814">
        <w:rPr>
          <w:rFonts w:cstheme="minorHAnsi"/>
          <w:b/>
          <w:bCs/>
          <w:sz w:val="24"/>
          <w:szCs w:val="24"/>
        </w:rPr>
        <w:t>pomocy dla MŚP na wspieranie innowacyjności</w:t>
      </w:r>
      <w:r w:rsidRPr="00762814">
        <w:rPr>
          <w:rFonts w:cstheme="minorHAnsi"/>
          <w:sz w:val="24"/>
          <w:szCs w:val="24"/>
        </w:rPr>
        <w:t>;</w:t>
      </w:r>
    </w:p>
    <w:p w14:paraId="4BFA1039" w14:textId="35444EC8" w:rsidR="00B43AD2" w:rsidRPr="00762814" w:rsidRDefault="00B43AD2" w:rsidP="00BF47B4">
      <w:pPr>
        <w:pStyle w:val="Akapitzlist"/>
        <w:numPr>
          <w:ilvl w:val="0"/>
          <w:numId w:val="23"/>
        </w:numPr>
        <w:spacing w:after="120" w:line="276" w:lineRule="auto"/>
        <w:ind w:left="284" w:hanging="284"/>
        <w:rPr>
          <w:rFonts w:cstheme="minorHAnsi"/>
          <w:sz w:val="24"/>
          <w:szCs w:val="24"/>
        </w:rPr>
      </w:pPr>
      <w:r w:rsidRPr="00762814">
        <w:rPr>
          <w:rFonts w:cstheme="minorHAnsi"/>
          <w:sz w:val="24"/>
          <w:szCs w:val="24"/>
        </w:rPr>
        <w:t xml:space="preserve">w przypadku </w:t>
      </w:r>
      <w:r w:rsidRPr="00A31920">
        <w:rPr>
          <w:rFonts w:cstheme="minorHAnsi"/>
          <w:b/>
          <w:sz w:val="24"/>
          <w:szCs w:val="24"/>
        </w:rPr>
        <w:t xml:space="preserve">pomocy inwestycyjnej </w:t>
      </w:r>
      <w:r w:rsidR="00544828" w:rsidRPr="00A31920">
        <w:rPr>
          <w:rFonts w:cstheme="minorHAnsi"/>
          <w:b/>
          <w:sz w:val="24"/>
          <w:szCs w:val="24"/>
        </w:rPr>
        <w:t>na ochronę środowiska, w tym obniżenie emisyjności</w:t>
      </w:r>
      <w:r w:rsidR="00544828">
        <w:rPr>
          <w:rFonts w:cstheme="minorHAnsi"/>
          <w:sz w:val="24"/>
          <w:szCs w:val="24"/>
        </w:rPr>
        <w:t xml:space="preserve">: </w:t>
      </w:r>
    </w:p>
    <w:p w14:paraId="46750EBF" w14:textId="72BC2B18" w:rsidR="00495DDD" w:rsidRPr="00F42C6D" w:rsidRDefault="00495DDD" w:rsidP="00A31920">
      <w:pPr>
        <w:pStyle w:val="Akapitzlist"/>
        <w:numPr>
          <w:ilvl w:val="0"/>
          <w:numId w:val="43"/>
        </w:numPr>
        <w:spacing w:after="120" w:line="276" w:lineRule="auto"/>
        <w:ind w:hanging="731"/>
        <w:rPr>
          <w:rFonts w:cstheme="minorHAnsi"/>
          <w:sz w:val="24"/>
          <w:szCs w:val="24"/>
        </w:rPr>
      </w:pPr>
      <w:r w:rsidRPr="00495DDD">
        <w:rPr>
          <w:rFonts w:cstheme="minorHAnsi"/>
          <w:sz w:val="24"/>
          <w:szCs w:val="24"/>
        </w:rPr>
        <w:t>30% kosztów kwalifikowanych - w przypadku inwestycji związanych z „CCS” (czyli wychwytywanie i składowanie dwutlenku węgla, zgodnie z definicją w art. 2 ust. 131a Rozporządzenia Komisji (UE) nr 651/2014</w:t>
      </w:r>
      <w:r w:rsidR="007A3A5C">
        <w:rPr>
          <w:rFonts w:cstheme="minorHAnsi"/>
          <w:sz w:val="24"/>
          <w:szCs w:val="24"/>
        </w:rPr>
        <w:t>)</w:t>
      </w:r>
      <w:r w:rsidRPr="00495DDD">
        <w:rPr>
          <w:rFonts w:cstheme="minorHAnsi"/>
          <w:sz w:val="24"/>
          <w:szCs w:val="24"/>
        </w:rPr>
        <w:t xml:space="preserve"> lub „CCU” (czyli wychwytywanie i utylizacja dwutlenku węgla, zgodnie z definicją w art. 2 ust. 131b Rozporządzenia Komisji (UE) nr 651/2014);</w:t>
      </w:r>
    </w:p>
    <w:p w14:paraId="0037D369" w14:textId="4DF4B4F9" w:rsidR="00544828" w:rsidRPr="00954D55" w:rsidRDefault="00544828" w:rsidP="00BF47B4">
      <w:pPr>
        <w:pStyle w:val="Akapitzlist"/>
        <w:numPr>
          <w:ilvl w:val="0"/>
          <w:numId w:val="43"/>
        </w:numPr>
        <w:spacing w:after="120" w:line="276" w:lineRule="auto"/>
        <w:ind w:hanging="731"/>
        <w:rPr>
          <w:rFonts w:cstheme="minorHAnsi"/>
          <w:sz w:val="24"/>
          <w:szCs w:val="24"/>
        </w:rPr>
      </w:pPr>
      <w:r w:rsidRPr="00954D55">
        <w:rPr>
          <w:rFonts w:cstheme="minorHAnsi"/>
          <w:sz w:val="24"/>
          <w:szCs w:val="24"/>
        </w:rPr>
        <w:t>50% kosztów kwalifikowalnych - w przypadku</w:t>
      </w:r>
      <w:r w:rsidR="007A3A5C">
        <w:rPr>
          <w:rFonts w:cstheme="minorHAnsi"/>
          <w:sz w:val="24"/>
          <w:szCs w:val="24"/>
        </w:rPr>
        <w:t>,</w:t>
      </w:r>
      <w:r w:rsidRPr="00954D55">
        <w:rPr>
          <w:rFonts w:cstheme="minorHAnsi"/>
          <w:sz w:val="24"/>
          <w:szCs w:val="24"/>
        </w:rPr>
        <w:t xml:space="preserve"> gdy inwestycja prowadzi do pełnej redukcji emisji bezpośrednich, z wyjątkiem inwestycji opartych na wykorzystaniu biomasy;</w:t>
      </w:r>
    </w:p>
    <w:p w14:paraId="36099109" w14:textId="3B247FF7" w:rsidR="00544828" w:rsidRPr="00A31920" w:rsidRDefault="00544828" w:rsidP="00544828">
      <w:pPr>
        <w:pStyle w:val="Akapitzlist"/>
        <w:numPr>
          <w:ilvl w:val="3"/>
          <w:numId w:val="17"/>
        </w:numPr>
        <w:spacing w:after="120" w:line="276" w:lineRule="auto"/>
        <w:ind w:left="1418"/>
        <w:rPr>
          <w:rFonts w:cstheme="minorHAnsi"/>
          <w:sz w:val="24"/>
          <w:szCs w:val="24"/>
        </w:rPr>
      </w:pPr>
      <w:r w:rsidRPr="00954D55">
        <w:rPr>
          <w:rFonts w:cstheme="minorHAnsi"/>
          <w:sz w:val="24"/>
          <w:szCs w:val="24"/>
        </w:rPr>
        <w:t xml:space="preserve">40% kosztów kwalifikowalnych - w przypadku pozostałych </w:t>
      </w:r>
      <w:r w:rsidRPr="009E1C1B">
        <w:rPr>
          <w:rFonts w:cstheme="minorHAnsi"/>
          <w:sz w:val="24"/>
          <w:szCs w:val="24"/>
        </w:rPr>
        <w:t>inwestycji</w:t>
      </w:r>
      <w:r w:rsidRPr="006303FF">
        <w:rPr>
          <w:rFonts w:cstheme="minorHAnsi"/>
          <w:sz w:val="24"/>
          <w:szCs w:val="24"/>
        </w:rPr>
        <w:t xml:space="preserve"> wspieranych na zasadach określonych w art. 36 </w:t>
      </w:r>
      <w:r w:rsidRPr="009E1C1B">
        <w:rPr>
          <w:rFonts w:cstheme="minorHAnsi"/>
          <w:sz w:val="24"/>
          <w:szCs w:val="24"/>
        </w:rPr>
        <w:t xml:space="preserve">Rozporządzenia Komisji (UE) nr 651/2014 </w:t>
      </w:r>
    </w:p>
    <w:p w14:paraId="5D341FEB" w14:textId="4CE9573A" w:rsidR="004865DF" w:rsidRDefault="004865DF" w:rsidP="00BF47B4">
      <w:pPr>
        <w:pStyle w:val="Akapitzlist"/>
        <w:numPr>
          <w:ilvl w:val="0"/>
          <w:numId w:val="23"/>
        </w:numPr>
        <w:spacing w:after="120" w:line="276" w:lineRule="auto"/>
        <w:ind w:left="284" w:hanging="284"/>
        <w:rPr>
          <w:rFonts w:cstheme="minorHAnsi"/>
          <w:sz w:val="24"/>
          <w:szCs w:val="24"/>
        </w:rPr>
      </w:pPr>
      <w:r w:rsidRPr="00762814">
        <w:rPr>
          <w:rFonts w:cstheme="minorHAnsi"/>
          <w:bCs/>
          <w:sz w:val="24"/>
          <w:szCs w:val="24"/>
        </w:rPr>
        <w:t>30% w przypadku</w:t>
      </w:r>
      <w:r w:rsidRPr="00762814">
        <w:rPr>
          <w:rFonts w:cstheme="minorHAnsi"/>
          <w:b/>
          <w:bCs/>
          <w:sz w:val="24"/>
          <w:szCs w:val="24"/>
        </w:rPr>
        <w:t xml:space="preserve"> </w:t>
      </w:r>
      <w:r w:rsidRPr="00762814">
        <w:rPr>
          <w:rFonts w:cstheme="minorHAnsi"/>
          <w:sz w:val="24"/>
          <w:szCs w:val="24"/>
        </w:rPr>
        <w:t xml:space="preserve">pomocy inwestycyjnej na środki wspierające </w:t>
      </w:r>
      <w:r w:rsidRPr="00762814">
        <w:rPr>
          <w:rFonts w:cstheme="minorHAnsi"/>
          <w:b/>
          <w:sz w:val="24"/>
          <w:szCs w:val="24"/>
        </w:rPr>
        <w:t>efektywność energetyczną</w:t>
      </w:r>
      <w:r w:rsidR="00544828">
        <w:rPr>
          <w:rFonts w:cstheme="minorHAnsi"/>
          <w:b/>
          <w:sz w:val="24"/>
          <w:szCs w:val="24"/>
        </w:rPr>
        <w:t xml:space="preserve"> inną niż</w:t>
      </w:r>
      <w:r w:rsidR="00544828" w:rsidRPr="006C50AC">
        <w:rPr>
          <w:b/>
          <w:sz w:val="24"/>
        </w:rPr>
        <w:t xml:space="preserve"> w </w:t>
      </w:r>
      <w:r w:rsidR="00544828">
        <w:rPr>
          <w:rFonts w:cstheme="minorHAnsi"/>
          <w:b/>
          <w:sz w:val="24"/>
          <w:szCs w:val="24"/>
        </w:rPr>
        <w:t>budynkach</w:t>
      </w:r>
      <w:r w:rsidRPr="00762814">
        <w:rPr>
          <w:rFonts w:cstheme="minorHAnsi"/>
          <w:sz w:val="24"/>
          <w:szCs w:val="24"/>
        </w:rPr>
        <w:t>;</w:t>
      </w:r>
    </w:p>
    <w:p w14:paraId="152C8939" w14:textId="3681C6B9" w:rsidR="00544828" w:rsidRDefault="00544828" w:rsidP="00BF47B4">
      <w:pPr>
        <w:pStyle w:val="Akapitzlist"/>
        <w:numPr>
          <w:ilvl w:val="0"/>
          <w:numId w:val="23"/>
        </w:numPr>
        <w:spacing w:after="120" w:line="276" w:lineRule="auto"/>
        <w:ind w:left="284" w:hanging="284"/>
        <w:rPr>
          <w:rFonts w:cstheme="minorHAnsi"/>
          <w:sz w:val="24"/>
          <w:szCs w:val="24"/>
        </w:rPr>
      </w:pPr>
      <w:r>
        <w:rPr>
          <w:rFonts w:cstheme="minorHAnsi"/>
          <w:sz w:val="24"/>
          <w:szCs w:val="24"/>
        </w:rPr>
        <w:t xml:space="preserve">w przypadku </w:t>
      </w:r>
      <w:r w:rsidRPr="000E6F74">
        <w:rPr>
          <w:rFonts w:cstheme="minorHAnsi"/>
          <w:sz w:val="24"/>
          <w:szCs w:val="24"/>
        </w:rPr>
        <w:t>pomoc</w:t>
      </w:r>
      <w:r>
        <w:rPr>
          <w:rFonts w:cstheme="minorHAnsi"/>
          <w:sz w:val="24"/>
          <w:szCs w:val="24"/>
        </w:rPr>
        <w:t>y</w:t>
      </w:r>
      <w:r w:rsidRPr="000E6F74">
        <w:rPr>
          <w:rFonts w:cstheme="minorHAnsi"/>
          <w:sz w:val="24"/>
          <w:szCs w:val="24"/>
        </w:rPr>
        <w:t xml:space="preserve"> inwestycyjn</w:t>
      </w:r>
      <w:r>
        <w:rPr>
          <w:rFonts w:cstheme="minorHAnsi"/>
          <w:sz w:val="24"/>
          <w:szCs w:val="24"/>
        </w:rPr>
        <w:t>ej</w:t>
      </w:r>
      <w:r w:rsidRPr="000E6F74">
        <w:rPr>
          <w:rFonts w:cstheme="minorHAnsi"/>
          <w:sz w:val="24"/>
          <w:szCs w:val="24"/>
        </w:rPr>
        <w:t xml:space="preserve"> na środki </w:t>
      </w:r>
      <w:bookmarkStart w:id="149" w:name="_Hlk141786215"/>
      <w:r w:rsidRPr="000E6F74">
        <w:rPr>
          <w:rFonts w:cstheme="minorHAnsi"/>
          <w:sz w:val="24"/>
          <w:szCs w:val="24"/>
        </w:rPr>
        <w:t xml:space="preserve">wspierające </w:t>
      </w:r>
      <w:r w:rsidRPr="00A201D5">
        <w:rPr>
          <w:rFonts w:cstheme="minorHAnsi"/>
          <w:b/>
          <w:sz w:val="24"/>
          <w:szCs w:val="24"/>
        </w:rPr>
        <w:t>efektywność energetyczną w budynkach</w:t>
      </w:r>
      <w:bookmarkEnd w:id="149"/>
      <w:r>
        <w:rPr>
          <w:rFonts w:cstheme="minorHAnsi"/>
          <w:sz w:val="24"/>
          <w:szCs w:val="24"/>
        </w:rPr>
        <w:t>:</w:t>
      </w:r>
    </w:p>
    <w:p w14:paraId="68991D7B" w14:textId="6D38384E" w:rsidR="00544828" w:rsidRPr="002E26C5" w:rsidRDefault="00544828" w:rsidP="00BF47B4">
      <w:pPr>
        <w:pStyle w:val="Akapitzlist"/>
        <w:numPr>
          <w:ilvl w:val="1"/>
          <w:numId w:val="23"/>
        </w:numPr>
        <w:spacing w:after="120" w:line="276" w:lineRule="auto"/>
        <w:ind w:left="1134"/>
        <w:rPr>
          <w:rFonts w:cstheme="minorHAnsi"/>
          <w:sz w:val="24"/>
          <w:szCs w:val="24"/>
        </w:rPr>
      </w:pPr>
      <w:r w:rsidRPr="002E26C5">
        <w:rPr>
          <w:rFonts w:cstheme="minorHAnsi"/>
          <w:sz w:val="24"/>
          <w:szCs w:val="24"/>
        </w:rPr>
        <w:t>25% kosztów kwalifikowalnych - w przypadku inwestycji polegających na instalacji lub wymianie tylko jednego rodzaju elementów budynku w rozumieniu art. 2 pkt 9 dyrektywy 2010/31</w:t>
      </w:r>
      <w:r>
        <w:rPr>
          <w:rFonts w:cstheme="minorHAnsi"/>
          <w:sz w:val="24"/>
          <w:szCs w:val="24"/>
        </w:rPr>
        <w:t>/UE</w:t>
      </w:r>
      <w:r w:rsidRPr="002E26C5">
        <w:rPr>
          <w:rFonts w:cstheme="minorHAnsi"/>
          <w:sz w:val="24"/>
          <w:szCs w:val="24"/>
        </w:rPr>
        <w:t>;</w:t>
      </w:r>
    </w:p>
    <w:p w14:paraId="550CE65A" w14:textId="77777777" w:rsidR="00544828" w:rsidRPr="002E26C5" w:rsidRDefault="00544828" w:rsidP="00BF47B4">
      <w:pPr>
        <w:pStyle w:val="Akapitzlist"/>
        <w:numPr>
          <w:ilvl w:val="1"/>
          <w:numId w:val="23"/>
        </w:numPr>
        <w:spacing w:after="120" w:line="276" w:lineRule="auto"/>
        <w:ind w:left="1080"/>
        <w:rPr>
          <w:rFonts w:cstheme="minorHAnsi"/>
          <w:sz w:val="24"/>
          <w:szCs w:val="24"/>
        </w:rPr>
      </w:pPr>
      <w:r w:rsidRPr="002E26C5">
        <w:rPr>
          <w:rFonts w:cstheme="minorHAnsi"/>
          <w:sz w:val="24"/>
          <w:szCs w:val="24"/>
        </w:rPr>
        <w:t>15% kosztów kwalifikowalnych - w przypadku inwestycji polegającej na instalacji lub wymianie tylko jednego rodzaju elementów budynku w rozumieniu art. 2 pkt 9 dyrektywy 2010/31</w:t>
      </w:r>
      <w:r>
        <w:rPr>
          <w:rFonts w:cstheme="minorHAnsi"/>
          <w:sz w:val="24"/>
          <w:szCs w:val="24"/>
        </w:rPr>
        <w:t>/UE</w:t>
      </w:r>
      <w:r w:rsidRPr="002E26C5">
        <w:rPr>
          <w:rFonts w:cstheme="minorHAnsi"/>
          <w:sz w:val="24"/>
          <w:szCs w:val="24"/>
        </w:rPr>
        <w:t>, gdy jest ona podejmowana w celu spełnienia minimalnych norm charakterystyki energetycznej, które kwalifikują się jako normy unijne, a pomoc publiczna zostaje udzielona w okresie krótszym niż 18 miesięcy przed wejściem w życie norm unijnych;</w:t>
      </w:r>
    </w:p>
    <w:p w14:paraId="6AEDEF66" w14:textId="77777777" w:rsidR="00544828" w:rsidRPr="002E26C5" w:rsidRDefault="00544828" w:rsidP="00BF47B4">
      <w:pPr>
        <w:pStyle w:val="Akapitzlist"/>
        <w:numPr>
          <w:ilvl w:val="1"/>
          <w:numId w:val="23"/>
        </w:numPr>
        <w:spacing w:after="120" w:line="276" w:lineRule="auto"/>
        <w:ind w:left="1080"/>
        <w:rPr>
          <w:rFonts w:cstheme="minorHAnsi"/>
          <w:sz w:val="24"/>
          <w:szCs w:val="24"/>
        </w:rPr>
      </w:pPr>
      <w:r w:rsidRPr="002E26C5">
        <w:rPr>
          <w:rFonts w:cstheme="minorHAnsi"/>
          <w:sz w:val="24"/>
          <w:szCs w:val="24"/>
        </w:rPr>
        <w:t>20% kosztów kwalifikowalnych - w przypadku pozostałych inwestycji podejmowanych w celu spełnienia minimalnych norm charakterystyki energetycznej, które kwalifikują się jako normy unijne, a pomoc publiczna zostaje udzielona w okresie krótszym niż 18 miesięcy przed wejściem w życie norm unijnych;</w:t>
      </w:r>
    </w:p>
    <w:p w14:paraId="4505FAB0" w14:textId="77777777" w:rsidR="00544828" w:rsidRPr="00762814" w:rsidRDefault="00544828" w:rsidP="00BF47B4">
      <w:pPr>
        <w:pStyle w:val="Akapitzlist"/>
        <w:numPr>
          <w:ilvl w:val="1"/>
          <w:numId w:val="23"/>
        </w:numPr>
        <w:spacing w:after="120" w:line="276" w:lineRule="auto"/>
        <w:ind w:left="1080"/>
        <w:rPr>
          <w:rFonts w:cstheme="minorHAnsi"/>
          <w:sz w:val="24"/>
          <w:szCs w:val="24"/>
        </w:rPr>
      </w:pPr>
      <w:r w:rsidRPr="002E26C5">
        <w:rPr>
          <w:rFonts w:cstheme="minorHAnsi"/>
          <w:sz w:val="24"/>
          <w:szCs w:val="24"/>
        </w:rPr>
        <w:t>30% kosztów kwalifikowalnych - w przypadku pozostałych inwestycji</w:t>
      </w:r>
      <w:r w:rsidRPr="00890256">
        <w:t xml:space="preserve"> </w:t>
      </w:r>
      <w:r w:rsidRPr="00890256">
        <w:rPr>
          <w:rFonts w:cstheme="minorHAnsi"/>
          <w:sz w:val="24"/>
          <w:szCs w:val="24"/>
        </w:rPr>
        <w:t>wspierając</w:t>
      </w:r>
      <w:r>
        <w:rPr>
          <w:rFonts w:cstheme="minorHAnsi"/>
          <w:sz w:val="24"/>
          <w:szCs w:val="24"/>
        </w:rPr>
        <w:t>ych</w:t>
      </w:r>
      <w:r w:rsidRPr="00890256">
        <w:rPr>
          <w:rFonts w:cstheme="minorHAnsi"/>
          <w:sz w:val="24"/>
          <w:szCs w:val="24"/>
        </w:rPr>
        <w:t xml:space="preserve"> efektywność energetyczną w budynkach</w:t>
      </w:r>
      <w:r>
        <w:rPr>
          <w:rFonts w:cstheme="minorHAnsi"/>
          <w:sz w:val="24"/>
          <w:szCs w:val="24"/>
        </w:rPr>
        <w:t>.</w:t>
      </w:r>
    </w:p>
    <w:p w14:paraId="7A9AFDAA" w14:textId="48E6429F" w:rsidR="00780181" w:rsidRDefault="00780181" w:rsidP="00BF47B4">
      <w:pPr>
        <w:pStyle w:val="Akapitzlist"/>
        <w:numPr>
          <w:ilvl w:val="0"/>
          <w:numId w:val="23"/>
        </w:numPr>
        <w:spacing w:after="120" w:line="276" w:lineRule="auto"/>
        <w:ind w:left="284" w:hanging="284"/>
        <w:rPr>
          <w:rFonts w:cstheme="minorHAnsi"/>
          <w:sz w:val="24"/>
          <w:szCs w:val="24"/>
        </w:rPr>
      </w:pPr>
      <w:r w:rsidRPr="00125D2F">
        <w:rPr>
          <w:rFonts w:cstheme="minorHAnsi"/>
          <w:sz w:val="24"/>
          <w:szCs w:val="24"/>
        </w:rPr>
        <w:t xml:space="preserve">w przypadku pomocy inwestycyjnej na </w:t>
      </w:r>
      <w:r w:rsidRPr="00125D2F">
        <w:rPr>
          <w:rFonts w:cstheme="minorHAnsi"/>
          <w:b/>
          <w:bCs/>
          <w:sz w:val="24"/>
          <w:szCs w:val="24"/>
        </w:rPr>
        <w:t>propagowanie energii ze źródeł odnawialnych</w:t>
      </w:r>
      <w:r w:rsidRPr="00125D2F">
        <w:rPr>
          <w:rFonts w:cstheme="minorHAnsi"/>
          <w:sz w:val="24"/>
          <w:szCs w:val="24"/>
        </w:rPr>
        <w:t>,</w:t>
      </w:r>
      <w:r w:rsidR="00544828" w:rsidRPr="00125D2F">
        <w:rPr>
          <w:rFonts w:cstheme="minorHAnsi"/>
          <w:sz w:val="24"/>
          <w:szCs w:val="24"/>
        </w:rPr>
        <w:t xml:space="preserve"> </w:t>
      </w:r>
      <w:r w:rsidR="00544828" w:rsidRPr="00A201D5">
        <w:rPr>
          <w:rFonts w:cstheme="minorHAnsi"/>
          <w:b/>
          <w:sz w:val="24"/>
          <w:szCs w:val="24"/>
        </w:rPr>
        <w:t>propagowanie wodoru odnawialnego i wysokosprawnej kogeneracji</w:t>
      </w:r>
      <w:r w:rsidR="006C50AC">
        <w:rPr>
          <w:rFonts w:cstheme="minorHAnsi"/>
          <w:b/>
          <w:sz w:val="24"/>
          <w:szCs w:val="24"/>
        </w:rPr>
        <w:t>:</w:t>
      </w:r>
    </w:p>
    <w:p w14:paraId="63A1E1DE" w14:textId="6482DB47" w:rsidR="00544828" w:rsidRPr="00151161" w:rsidRDefault="00544828" w:rsidP="006C50AC">
      <w:pPr>
        <w:pStyle w:val="Akapitzlist"/>
        <w:numPr>
          <w:ilvl w:val="1"/>
          <w:numId w:val="23"/>
        </w:numPr>
        <w:spacing w:after="120" w:line="276" w:lineRule="auto"/>
        <w:ind w:left="1080"/>
        <w:rPr>
          <w:rFonts w:cstheme="minorHAnsi"/>
          <w:sz w:val="24"/>
          <w:szCs w:val="24"/>
        </w:rPr>
      </w:pPr>
      <w:r w:rsidRPr="00151161">
        <w:rPr>
          <w:rFonts w:cstheme="minorHAnsi"/>
          <w:sz w:val="24"/>
          <w:szCs w:val="24"/>
        </w:rPr>
        <w:t xml:space="preserve">45% kosztów kwalifikowalnych - w przypadku inwestycji dotyczących produkcji </w:t>
      </w:r>
      <w:r w:rsidRPr="006C50AC">
        <w:rPr>
          <w:sz w:val="24"/>
        </w:rPr>
        <w:t xml:space="preserve">energii </w:t>
      </w:r>
      <w:r w:rsidRPr="00151161">
        <w:rPr>
          <w:rFonts w:cstheme="minorHAnsi"/>
          <w:sz w:val="24"/>
          <w:szCs w:val="24"/>
        </w:rPr>
        <w:t>odnawialnej, z uwzględnieniem pomp ciepła w rozumieniu art. 2 pkt 108b rozporządzenia nr 651/2014 spełniających warunki określone w Załączniku VII do dyrektywy 2018/2001, wodoru odnawialnego oraz wysokosprawnej kogeneracji opartej na</w:t>
      </w:r>
      <w:r w:rsidRPr="006C50AC">
        <w:rPr>
          <w:sz w:val="24"/>
        </w:rPr>
        <w:t xml:space="preserve"> odnawialnych</w:t>
      </w:r>
      <w:r w:rsidRPr="00151161">
        <w:rPr>
          <w:rFonts w:cstheme="minorHAnsi"/>
          <w:sz w:val="24"/>
          <w:szCs w:val="24"/>
        </w:rPr>
        <w:t xml:space="preserve"> źródłach energii;</w:t>
      </w:r>
    </w:p>
    <w:p w14:paraId="1DCAF9CA" w14:textId="0B2316C0" w:rsidR="00544828" w:rsidRPr="00A31920" w:rsidRDefault="00544828" w:rsidP="00A31920">
      <w:pPr>
        <w:pStyle w:val="Akapitzlist"/>
        <w:numPr>
          <w:ilvl w:val="1"/>
          <w:numId w:val="23"/>
        </w:numPr>
        <w:spacing w:after="120" w:line="276" w:lineRule="auto"/>
        <w:ind w:left="1080"/>
        <w:rPr>
          <w:rFonts w:cstheme="minorHAnsi"/>
          <w:sz w:val="24"/>
          <w:szCs w:val="24"/>
        </w:rPr>
      </w:pPr>
      <w:r w:rsidRPr="00151161">
        <w:rPr>
          <w:rFonts w:cstheme="minorHAnsi"/>
          <w:sz w:val="24"/>
          <w:szCs w:val="24"/>
        </w:rPr>
        <w:t>30% kosztów kwalifikowalnych - w przypadku pozostałych inwestycji</w:t>
      </w:r>
      <w:r>
        <w:rPr>
          <w:rFonts w:cstheme="minorHAnsi"/>
          <w:sz w:val="24"/>
          <w:szCs w:val="24"/>
        </w:rPr>
        <w:t xml:space="preserve"> </w:t>
      </w:r>
      <w:r w:rsidRPr="00FC6117">
        <w:rPr>
          <w:rFonts w:cstheme="minorHAnsi"/>
          <w:sz w:val="24"/>
          <w:szCs w:val="24"/>
        </w:rPr>
        <w:t>objętych artykułem 41 rozporządzenia nr 651/2014.</w:t>
      </w:r>
    </w:p>
    <w:p w14:paraId="0EB8F2BB" w14:textId="65CA9DBE" w:rsidR="004865DF" w:rsidRPr="00762814" w:rsidRDefault="00544828" w:rsidP="00BF47B4">
      <w:pPr>
        <w:pStyle w:val="Akapitzlist"/>
        <w:numPr>
          <w:ilvl w:val="0"/>
          <w:numId w:val="23"/>
        </w:numPr>
        <w:spacing w:after="120" w:line="276" w:lineRule="auto"/>
        <w:ind w:left="284" w:hanging="284"/>
        <w:rPr>
          <w:rFonts w:cstheme="minorHAnsi"/>
          <w:sz w:val="24"/>
          <w:szCs w:val="24"/>
        </w:rPr>
      </w:pPr>
      <w:r>
        <w:rPr>
          <w:rFonts w:cstheme="minorHAnsi"/>
          <w:sz w:val="24"/>
          <w:szCs w:val="24"/>
        </w:rPr>
        <w:t xml:space="preserve">30% </w:t>
      </w:r>
      <w:r w:rsidR="004865DF" w:rsidRPr="00762814">
        <w:rPr>
          <w:rFonts w:cstheme="minorHAnsi"/>
          <w:sz w:val="24"/>
          <w:szCs w:val="24"/>
        </w:rPr>
        <w:t xml:space="preserve">w przypadku pomocy inwestycyjnej na </w:t>
      </w:r>
      <w:r w:rsidR="004865DF" w:rsidRPr="00762814">
        <w:rPr>
          <w:rFonts w:cstheme="minorHAnsi"/>
          <w:b/>
          <w:sz w:val="24"/>
          <w:szCs w:val="24"/>
        </w:rPr>
        <w:t>efektywny energetycznie system</w:t>
      </w:r>
      <w:r w:rsidR="004865DF" w:rsidRPr="00762814">
        <w:rPr>
          <w:rFonts w:cstheme="minorHAnsi"/>
          <w:sz w:val="24"/>
          <w:szCs w:val="24"/>
        </w:rPr>
        <w:t xml:space="preserve"> </w:t>
      </w:r>
      <w:r w:rsidR="004865DF" w:rsidRPr="00A31920">
        <w:rPr>
          <w:rFonts w:cstheme="minorHAnsi"/>
          <w:b/>
          <w:sz w:val="24"/>
          <w:szCs w:val="24"/>
        </w:rPr>
        <w:t xml:space="preserve">ciepłowniczy </w:t>
      </w:r>
      <w:r w:rsidRPr="00A31920">
        <w:rPr>
          <w:rFonts w:cstheme="minorHAnsi"/>
          <w:b/>
          <w:sz w:val="24"/>
          <w:szCs w:val="24"/>
        </w:rPr>
        <w:t xml:space="preserve">lub </w:t>
      </w:r>
      <w:r w:rsidR="004865DF" w:rsidRPr="00A31920">
        <w:rPr>
          <w:rFonts w:cstheme="minorHAnsi"/>
          <w:b/>
          <w:sz w:val="24"/>
          <w:szCs w:val="24"/>
        </w:rPr>
        <w:t>chłodniczy</w:t>
      </w:r>
      <w:r w:rsidR="004865DF" w:rsidRPr="00762814">
        <w:rPr>
          <w:rFonts w:cstheme="minorHAnsi"/>
          <w:sz w:val="24"/>
          <w:szCs w:val="24"/>
        </w:rPr>
        <w:t>;</w:t>
      </w:r>
    </w:p>
    <w:p w14:paraId="6921FA5A" w14:textId="42800642" w:rsidR="004865DF" w:rsidRPr="00762814" w:rsidRDefault="00544828" w:rsidP="00BF47B4">
      <w:pPr>
        <w:pStyle w:val="Akapitzlist"/>
        <w:numPr>
          <w:ilvl w:val="0"/>
          <w:numId w:val="23"/>
        </w:numPr>
        <w:spacing w:after="120" w:line="276" w:lineRule="auto"/>
        <w:ind w:left="284" w:hanging="284"/>
        <w:rPr>
          <w:rFonts w:cstheme="minorHAnsi"/>
          <w:sz w:val="24"/>
          <w:szCs w:val="24"/>
        </w:rPr>
      </w:pPr>
      <w:r>
        <w:rPr>
          <w:rFonts w:cstheme="minorHAnsi"/>
          <w:sz w:val="24"/>
          <w:szCs w:val="24"/>
        </w:rPr>
        <w:t xml:space="preserve">40% </w:t>
      </w:r>
      <w:r w:rsidR="004865DF" w:rsidRPr="00762814">
        <w:rPr>
          <w:rFonts w:cstheme="minorHAnsi"/>
          <w:sz w:val="24"/>
          <w:szCs w:val="24"/>
        </w:rPr>
        <w:t xml:space="preserve">w przypadku pomocy inwestycyjnej na </w:t>
      </w:r>
      <w:r w:rsidRPr="00F15B60">
        <w:rPr>
          <w:rFonts w:cstheme="minorHAnsi"/>
          <w:b/>
          <w:bCs/>
          <w:sz w:val="24"/>
          <w:szCs w:val="24"/>
        </w:rPr>
        <w:t>efektywne gospodarowanie zasobami i wspieranie przechodzenia na gospodarkę o obiegu zamkniętym</w:t>
      </w:r>
      <w:r w:rsidR="004865DF" w:rsidRPr="00762814">
        <w:rPr>
          <w:rFonts w:cstheme="minorHAnsi"/>
          <w:bCs/>
          <w:sz w:val="24"/>
          <w:szCs w:val="24"/>
        </w:rPr>
        <w:t>;</w:t>
      </w:r>
    </w:p>
    <w:p w14:paraId="7A546DBF" w14:textId="757859F7" w:rsidR="00B8224D" w:rsidRPr="00762814" w:rsidRDefault="00B43AD2" w:rsidP="00BF47B4">
      <w:pPr>
        <w:pStyle w:val="Akapitzlist"/>
        <w:numPr>
          <w:ilvl w:val="0"/>
          <w:numId w:val="23"/>
        </w:numPr>
        <w:spacing w:after="120" w:line="276" w:lineRule="auto"/>
        <w:ind w:left="284" w:hanging="284"/>
        <w:rPr>
          <w:rFonts w:cstheme="minorHAnsi"/>
          <w:sz w:val="24"/>
          <w:szCs w:val="24"/>
        </w:rPr>
      </w:pPr>
      <w:r w:rsidRPr="00762814">
        <w:rPr>
          <w:rFonts w:cstheme="minorHAnsi"/>
          <w:bCs/>
          <w:sz w:val="24"/>
          <w:szCs w:val="24"/>
        </w:rPr>
        <w:t xml:space="preserve">50% w przypadku </w:t>
      </w:r>
      <w:r w:rsidRPr="00762814">
        <w:rPr>
          <w:rFonts w:cstheme="minorHAnsi"/>
          <w:b/>
          <w:bCs/>
          <w:sz w:val="24"/>
          <w:szCs w:val="24"/>
        </w:rPr>
        <w:t>pomocy de minimis</w:t>
      </w:r>
      <w:r w:rsidR="003F0A3C" w:rsidRPr="00762814">
        <w:rPr>
          <w:rFonts w:cstheme="minorHAnsi"/>
          <w:b/>
          <w:bCs/>
          <w:sz w:val="24"/>
          <w:szCs w:val="24"/>
        </w:rPr>
        <w:t>.</w:t>
      </w:r>
      <w:r w:rsidRPr="00762814">
        <w:rPr>
          <w:rFonts w:cstheme="minorHAnsi"/>
          <w:sz w:val="24"/>
          <w:szCs w:val="24"/>
        </w:rPr>
        <w:t xml:space="preserve"> </w:t>
      </w:r>
    </w:p>
    <w:p w14:paraId="11404B93" w14:textId="77777777" w:rsidR="00A31920" w:rsidRDefault="00A31920" w:rsidP="00762814">
      <w:pPr>
        <w:spacing w:after="120" w:line="276" w:lineRule="auto"/>
        <w:rPr>
          <w:rFonts w:cstheme="minorHAnsi"/>
          <w:sz w:val="24"/>
          <w:szCs w:val="24"/>
        </w:rPr>
      </w:pPr>
    </w:p>
    <w:p w14:paraId="116E3CB3" w14:textId="2D4AEEDB" w:rsidR="00581680" w:rsidRPr="00A31920" w:rsidRDefault="00455993" w:rsidP="006C50AC">
      <w:pPr>
        <w:pStyle w:val="Akapitzlist"/>
        <w:numPr>
          <w:ilvl w:val="0"/>
          <w:numId w:val="122"/>
        </w:numPr>
        <w:spacing w:after="120" w:line="276" w:lineRule="auto"/>
        <w:ind w:left="142" w:hanging="142"/>
        <w:rPr>
          <w:rFonts w:cstheme="minorHAnsi"/>
          <w:sz w:val="24"/>
          <w:szCs w:val="24"/>
        </w:rPr>
      </w:pPr>
      <w:r w:rsidRPr="00A31920">
        <w:rPr>
          <w:rFonts w:cstheme="minorHAnsi"/>
          <w:sz w:val="24"/>
          <w:szCs w:val="24"/>
        </w:rPr>
        <w:t>D</w:t>
      </w:r>
      <w:r w:rsidR="00581680" w:rsidRPr="00A31920">
        <w:rPr>
          <w:rFonts w:cstheme="minorHAnsi"/>
          <w:sz w:val="24"/>
          <w:szCs w:val="24"/>
        </w:rPr>
        <w:t xml:space="preserve">la </w:t>
      </w:r>
      <w:r w:rsidR="00FF2C9A" w:rsidRPr="00A31920">
        <w:rPr>
          <w:rFonts w:cstheme="minorHAnsi"/>
          <w:sz w:val="24"/>
          <w:szCs w:val="24"/>
        </w:rPr>
        <w:t xml:space="preserve">rodzajów </w:t>
      </w:r>
      <w:r w:rsidR="00581680" w:rsidRPr="00A31920">
        <w:rPr>
          <w:rFonts w:cstheme="minorHAnsi"/>
          <w:sz w:val="24"/>
          <w:szCs w:val="24"/>
        </w:rPr>
        <w:t>pomoc</w:t>
      </w:r>
      <w:r w:rsidR="00FF2C9A" w:rsidRPr="00A31920">
        <w:rPr>
          <w:rFonts w:cstheme="minorHAnsi"/>
          <w:sz w:val="24"/>
          <w:szCs w:val="24"/>
        </w:rPr>
        <w:t>y</w:t>
      </w:r>
      <w:r w:rsidR="00581680" w:rsidRPr="00A31920">
        <w:rPr>
          <w:rFonts w:cstheme="minorHAnsi"/>
          <w:sz w:val="24"/>
          <w:szCs w:val="24"/>
        </w:rPr>
        <w:t xml:space="preserve"> wymienionych </w:t>
      </w:r>
      <w:r w:rsidR="006F1D28" w:rsidRPr="00A31920">
        <w:rPr>
          <w:rFonts w:cstheme="minorHAnsi"/>
          <w:sz w:val="24"/>
          <w:szCs w:val="24"/>
        </w:rPr>
        <w:t>w</w:t>
      </w:r>
      <w:r w:rsidR="00780181" w:rsidRPr="00A31920">
        <w:rPr>
          <w:rFonts w:cstheme="minorHAnsi"/>
          <w:sz w:val="24"/>
          <w:szCs w:val="24"/>
        </w:rPr>
        <w:t xml:space="preserve"> lit. </w:t>
      </w:r>
      <w:r w:rsidR="006F1D28" w:rsidRPr="00A31920">
        <w:rPr>
          <w:rFonts w:cstheme="minorHAnsi"/>
          <w:sz w:val="24"/>
          <w:szCs w:val="24"/>
        </w:rPr>
        <w:t>d</w:t>
      </w:r>
      <w:r w:rsidR="00780181" w:rsidRPr="00A31920">
        <w:rPr>
          <w:rFonts w:cstheme="minorHAnsi"/>
          <w:sz w:val="24"/>
          <w:szCs w:val="24"/>
        </w:rPr>
        <w:t>)</w:t>
      </w:r>
      <w:r w:rsidR="00544828" w:rsidRPr="00A31920">
        <w:rPr>
          <w:rFonts w:cstheme="minorHAnsi"/>
          <w:sz w:val="24"/>
          <w:szCs w:val="24"/>
        </w:rPr>
        <w:t>, e), f)</w:t>
      </w:r>
      <w:r w:rsidR="00780181" w:rsidRPr="00A31920">
        <w:rPr>
          <w:rFonts w:cstheme="minorHAnsi"/>
          <w:sz w:val="24"/>
          <w:szCs w:val="24"/>
        </w:rPr>
        <w:t xml:space="preserve"> </w:t>
      </w:r>
      <w:r w:rsidR="006F1D28" w:rsidRPr="00A31920">
        <w:rPr>
          <w:rFonts w:cstheme="minorHAnsi"/>
          <w:sz w:val="24"/>
          <w:szCs w:val="24"/>
        </w:rPr>
        <w:t xml:space="preserve"> g)</w:t>
      </w:r>
      <w:r w:rsidR="00544828" w:rsidRPr="00A31920">
        <w:rPr>
          <w:rFonts w:cstheme="minorHAnsi"/>
          <w:sz w:val="24"/>
          <w:szCs w:val="24"/>
        </w:rPr>
        <w:t>, h), i)</w:t>
      </w:r>
      <w:r w:rsidR="00581680" w:rsidRPr="00A31920">
        <w:rPr>
          <w:rFonts w:cstheme="minorHAnsi"/>
          <w:sz w:val="24"/>
          <w:szCs w:val="24"/>
        </w:rPr>
        <w:t xml:space="preserve"> </w:t>
      </w:r>
      <w:r w:rsidRPr="00A31920">
        <w:rPr>
          <w:rFonts w:cstheme="minorHAnsi"/>
          <w:sz w:val="24"/>
          <w:szCs w:val="24"/>
        </w:rPr>
        <w:t xml:space="preserve">intensywność </w:t>
      </w:r>
      <w:r w:rsidR="00581680" w:rsidRPr="00A31920">
        <w:rPr>
          <w:rFonts w:cstheme="minorHAnsi"/>
          <w:sz w:val="24"/>
          <w:szCs w:val="24"/>
        </w:rPr>
        <w:t xml:space="preserve">może zostać </w:t>
      </w:r>
      <w:r w:rsidR="00581680" w:rsidRPr="00A31920">
        <w:rPr>
          <w:rFonts w:cstheme="minorHAnsi"/>
          <w:b/>
          <w:bCs/>
          <w:sz w:val="24"/>
          <w:szCs w:val="24"/>
          <w:u w:val="single"/>
        </w:rPr>
        <w:t>zwiększona o:</w:t>
      </w:r>
    </w:p>
    <w:p w14:paraId="4D1B4C95" w14:textId="104A186B" w:rsidR="00581680" w:rsidRPr="00762814" w:rsidRDefault="003B2BA7" w:rsidP="00BF47B4">
      <w:pPr>
        <w:pStyle w:val="Akapitzlist"/>
        <w:numPr>
          <w:ilvl w:val="0"/>
          <w:numId w:val="9"/>
        </w:numPr>
        <w:spacing w:after="120" w:line="276" w:lineRule="auto"/>
        <w:ind w:left="1077" w:hanging="357"/>
        <w:rPr>
          <w:rFonts w:cstheme="minorHAnsi"/>
          <w:sz w:val="24"/>
          <w:szCs w:val="24"/>
        </w:rPr>
      </w:pPr>
      <w:r w:rsidRPr="00762814">
        <w:rPr>
          <w:rFonts w:cstheme="minorHAnsi"/>
          <w:sz w:val="24"/>
          <w:szCs w:val="24"/>
        </w:rPr>
        <w:t xml:space="preserve">10 % - </w:t>
      </w:r>
      <w:r w:rsidR="00581680" w:rsidRPr="00762814">
        <w:rPr>
          <w:rFonts w:cstheme="minorHAnsi"/>
          <w:sz w:val="24"/>
          <w:szCs w:val="24"/>
        </w:rPr>
        <w:t>dla średnich przedsiębiorców</w:t>
      </w:r>
      <w:r w:rsidR="003C05AD" w:rsidRPr="00762814">
        <w:rPr>
          <w:rFonts w:cstheme="minorHAnsi"/>
          <w:b/>
          <w:bCs/>
          <w:sz w:val="24"/>
          <w:szCs w:val="24"/>
        </w:rPr>
        <w:t>,</w:t>
      </w:r>
      <w:r w:rsidR="00581680" w:rsidRPr="00762814">
        <w:rPr>
          <w:rFonts w:cstheme="minorHAnsi"/>
          <w:sz w:val="24"/>
          <w:szCs w:val="24"/>
        </w:rPr>
        <w:t xml:space="preserve"> </w:t>
      </w:r>
    </w:p>
    <w:p w14:paraId="2B55DAC1" w14:textId="750E18E0" w:rsidR="00581680" w:rsidRPr="00762814" w:rsidRDefault="003B2BA7" w:rsidP="00BF47B4">
      <w:pPr>
        <w:pStyle w:val="Akapitzlist"/>
        <w:numPr>
          <w:ilvl w:val="0"/>
          <w:numId w:val="9"/>
        </w:numPr>
        <w:spacing w:after="120" w:line="276" w:lineRule="auto"/>
        <w:ind w:left="1077" w:hanging="357"/>
        <w:rPr>
          <w:rFonts w:cstheme="minorHAnsi"/>
          <w:sz w:val="24"/>
          <w:szCs w:val="24"/>
        </w:rPr>
      </w:pPr>
      <w:r w:rsidRPr="00762814">
        <w:rPr>
          <w:rFonts w:cstheme="minorHAnsi"/>
          <w:sz w:val="24"/>
          <w:szCs w:val="24"/>
        </w:rPr>
        <w:t>20</w:t>
      </w:r>
      <w:r w:rsidR="00D2536E">
        <w:rPr>
          <w:rFonts w:cstheme="minorHAnsi"/>
          <w:sz w:val="24"/>
          <w:szCs w:val="24"/>
        </w:rPr>
        <w:t> </w:t>
      </w:r>
      <w:r w:rsidRPr="00762814">
        <w:rPr>
          <w:rFonts w:cstheme="minorHAnsi"/>
          <w:sz w:val="24"/>
          <w:szCs w:val="24"/>
        </w:rPr>
        <w:t xml:space="preserve">% - </w:t>
      </w:r>
      <w:r w:rsidR="00581680" w:rsidRPr="00762814">
        <w:rPr>
          <w:rFonts w:cstheme="minorHAnsi"/>
          <w:sz w:val="24"/>
          <w:szCs w:val="24"/>
        </w:rPr>
        <w:t>dla mikro i małych przedsiębiorców</w:t>
      </w:r>
      <w:r w:rsidR="006F1D28" w:rsidRPr="00762814">
        <w:rPr>
          <w:rFonts w:cstheme="minorHAnsi"/>
          <w:bCs/>
          <w:sz w:val="24"/>
          <w:szCs w:val="24"/>
        </w:rPr>
        <w:t>.</w:t>
      </w:r>
    </w:p>
    <w:p w14:paraId="69942605" w14:textId="30FFCD03" w:rsidR="006F1D28" w:rsidRPr="00A31920" w:rsidRDefault="00455993" w:rsidP="006C50AC">
      <w:pPr>
        <w:pStyle w:val="Akapitzlist"/>
        <w:numPr>
          <w:ilvl w:val="0"/>
          <w:numId w:val="122"/>
        </w:numPr>
        <w:spacing w:after="120" w:line="276" w:lineRule="auto"/>
        <w:ind w:hanging="720"/>
        <w:rPr>
          <w:rFonts w:cstheme="minorHAnsi"/>
          <w:sz w:val="24"/>
          <w:szCs w:val="24"/>
        </w:rPr>
      </w:pPr>
      <w:r w:rsidRPr="00A31920">
        <w:rPr>
          <w:rFonts w:cstheme="minorHAnsi"/>
          <w:sz w:val="24"/>
          <w:szCs w:val="24"/>
        </w:rPr>
        <w:t xml:space="preserve">Dodatkowo </w:t>
      </w:r>
      <w:r w:rsidR="006F1D28" w:rsidRPr="00A31920">
        <w:rPr>
          <w:rFonts w:cstheme="minorHAnsi"/>
          <w:sz w:val="24"/>
          <w:szCs w:val="24"/>
        </w:rPr>
        <w:t xml:space="preserve">dla rodzajów pomocy wymienionych </w:t>
      </w:r>
      <w:r w:rsidR="00544828" w:rsidRPr="00A31920">
        <w:rPr>
          <w:rFonts w:cstheme="minorHAnsi"/>
          <w:sz w:val="24"/>
          <w:szCs w:val="24"/>
        </w:rPr>
        <w:t>w literze</w:t>
      </w:r>
      <w:r w:rsidR="006F1D28" w:rsidRPr="00A31920">
        <w:rPr>
          <w:rFonts w:cstheme="minorHAnsi"/>
          <w:sz w:val="24"/>
          <w:szCs w:val="24"/>
        </w:rPr>
        <w:t xml:space="preserve"> d)</w:t>
      </w:r>
      <w:r w:rsidR="00544828" w:rsidRPr="00A31920">
        <w:rPr>
          <w:rFonts w:cstheme="minorHAnsi"/>
          <w:sz w:val="24"/>
          <w:szCs w:val="24"/>
        </w:rPr>
        <w:t>, e), f), i)</w:t>
      </w:r>
      <w:r w:rsidR="006F1D28" w:rsidRPr="00A31920">
        <w:rPr>
          <w:rFonts w:cstheme="minorHAnsi"/>
          <w:sz w:val="24"/>
          <w:szCs w:val="24"/>
        </w:rPr>
        <w:t xml:space="preserve"> </w:t>
      </w:r>
      <w:r w:rsidRPr="00A31920">
        <w:rPr>
          <w:rFonts w:cstheme="minorHAnsi"/>
          <w:sz w:val="24"/>
          <w:szCs w:val="24"/>
        </w:rPr>
        <w:t xml:space="preserve">intensywność </w:t>
      </w:r>
      <w:r w:rsidR="006F1D28" w:rsidRPr="00A31920">
        <w:rPr>
          <w:rFonts w:cstheme="minorHAnsi"/>
          <w:sz w:val="24"/>
          <w:szCs w:val="24"/>
        </w:rPr>
        <w:t xml:space="preserve">może zostać </w:t>
      </w:r>
      <w:r w:rsidR="006F1D28" w:rsidRPr="00A31920">
        <w:rPr>
          <w:rFonts w:cstheme="minorHAnsi"/>
          <w:b/>
          <w:bCs/>
          <w:sz w:val="24"/>
          <w:szCs w:val="24"/>
          <w:u w:val="single"/>
        </w:rPr>
        <w:t>zwiększona o:</w:t>
      </w:r>
    </w:p>
    <w:p w14:paraId="3BCF038A" w14:textId="23995CB4" w:rsidR="00DB117E" w:rsidRPr="00762814" w:rsidRDefault="003B2BA7" w:rsidP="00BF47B4">
      <w:pPr>
        <w:pStyle w:val="Akapitzlist"/>
        <w:numPr>
          <w:ilvl w:val="0"/>
          <w:numId w:val="9"/>
        </w:numPr>
        <w:spacing w:after="120" w:line="276" w:lineRule="auto"/>
        <w:rPr>
          <w:rFonts w:cstheme="minorHAnsi"/>
          <w:sz w:val="24"/>
          <w:szCs w:val="24"/>
        </w:rPr>
      </w:pPr>
      <w:r w:rsidRPr="00762814">
        <w:rPr>
          <w:rFonts w:cstheme="minorHAnsi"/>
          <w:sz w:val="24"/>
          <w:szCs w:val="24"/>
        </w:rPr>
        <w:t xml:space="preserve">5 % - </w:t>
      </w:r>
      <w:r w:rsidR="00581680" w:rsidRPr="00762814">
        <w:rPr>
          <w:rFonts w:cstheme="minorHAnsi"/>
          <w:sz w:val="24"/>
          <w:szCs w:val="24"/>
        </w:rPr>
        <w:t>dla inwestycji usytuowanych na obszarze województw dolnośląskiego i wielkopolskiego</w:t>
      </w:r>
      <w:r w:rsidR="003C05AD" w:rsidRPr="00762814">
        <w:rPr>
          <w:rFonts w:cstheme="minorHAnsi"/>
          <w:sz w:val="24"/>
          <w:szCs w:val="24"/>
        </w:rPr>
        <w:t>,</w:t>
      </w:r>
      <w:r w:rsidR="00581680" w:rsidRPr="00762814">
        <w:rPr>
          <w:rFonts w:cstheme="minorHAnsi"/>
          <w:sz w:val="24"/>
          <w:szCs w:val="24"/>
        </w:rPr>
        <w:t xml:space="preserve"> a także następujących gmin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w:t>
      </w:r>
      <w:r w:rsidR="003C05AD" w:rsidRPr="00762814">
        <w:rPr>
          <w:rFonts w:cstheme="minorHAnsi"/>
          <w:b/>
          <w:bCs/>
          <w:sz w:val="24"/>
          <w:szCs w:val="24"/>
        </w:rPr>
        <w:t>,</w:t>
      </w:r>
      <w:r w:rsidR="00581680" w:rsidRPr="00762814">
        <w:rPr>
          <w:rFonts w:cstheme="minorHAnsi"/>
          <w:sz w:val="24"/>
          <w:szCs w:val="24"/>
        </w:rPr>
        <w:t xml:space="preserve"> </w:t>
      </w:r>
    </w:p>
    <w:p w14:paraId="3787C7EE" w14:textId="38DD3FFD" w:rsidR="004F6C77" w:rsidRPr="00762814" w:rsidRDefault="003B2BA7" w:rsidP="00BF47B4">
      <w:pPr>
        <w:pStyle w:val="Akapitzlist"/>
        <w:numPr>
          <w:ilvl w:val="0"/>
          <w:numId w:val="9"/>
        </w:numPr>
        <w:spacing w:after="120" w:line="276" w:lineRule="auto"/>
        <w:rPr>
          <w:rFonts w:cstheme="minorHAnsi"/>
          <w:sz w:val="24"/>
          <w:szCs w:val="24"/>
        </w:rPr>
      </w:pPr>
      <w:r w:rsidRPr="00762814">
        <w:rPr>
          <w:rFonts w:cstheme="minorHAnsi"/>
          <w:sz w:val="24"/>
          <w:szCs w:val="24"/>
        </w:rPr>
        <w:t>15</w:t>
      </w:r>
      <w:r w:rsidR="00D2536E">
        <w:rPr>
          <w:rFonts w:cstheme="minorHAnsi"/>
          <w:sz w:val="24"/>
          <w:szCs w:val="24"/>
        </w:rPr>
        <w:t> </w:t>
      </w:r>
      <w:r w:rsidRPr="00762814">
        <w:rPr>
          <w:rFonts w:cstheme="minorHAnsi"/>
          <w:sz w:val="24"/>
          <w:szCs w:val="24"/>
        </w:rPr>
        <w:t xml:space="preserve">% - </w:t>
      </w:r>
      <w:r w:rsidR="00581680" w:rsidRPr="00762814">
        <w:rPr>
          <w:rFonts w:cstheme="minorHAnsi"/>
          <w:sz w:val="24"/>
          <w:szCs w:val="24"/>
        </w:rPr>
        <w:t xml:space="preserve">dla inwestycji usytuowanych na </w:t>
      </w:r>
      <w:r w:rsidR="004F6C77" w:rsidRPr="00762814">
        <w:rPr>
          <w:rFonts w:cstheme="minorHAnsi"/>
          <w:sz w:val="24"/>
          <w:szCs w:val="24"/>
        </w:rPr>
        <w:t xml:space="preserve">obszarze województw: kujawsko-pomorskiego, lubelskiego, lubuskiego, łódzkiego, małopolskiego, opolskiego, podkarpackiego, podlaskiego, pomorskiego, śląskiego, świętokrzyskiego, warmińsko-mazurskiego lub zachodniopomorskiego </w:t>
      </w:r>
      <w:r w:rsidR="006F1D28" w:rsidRPr="00762814">
        <w:rPr>
          <w:rFonts w:cstheme="minorHAnsi"/>
          <w:sz w:val="24"/>
          <w:szCs w:val="24"/>
        </w:rPr>
        <w:t>i</w:t>
      </w:r>
      <w:r w:rsidR="004F6C77" w:rsidRPr="00762814">
        <w:rPr>
          <w:rFonts w:cstheme="minorHAnsi"/>
          <w:sz w:val="24"/>
          <w:szCs w:val="24"/>
        </w:rPr>
        <w:t xml:space="preserve"> regionu mazowieckiego regionalnego</w:t>
      </w:r>
      <w:r w:rsidRPr="00762814">
        <w:rPr>
          <w:rFonts w:cstheme="minorHAnsi"/>
          <w:b/>
          <w:bCs/>
          <w:sz w:val="24"/>
          <w:szCs w:val="24"/>
        </w:rPr>
        <w:t>.</w:t>
      </w:r>
    </w:p>
    <w:p w14:paraId="18194838" w14:textId="3391F1BF" w:rsidR="00CC53F4" w:rsidRDefault="00CC53F4" w:rsidP="00762814">
      <w:pPr>
        <w:spacing w:after="120" w:line="276" w:lineRule="auto"/>
        <w:rPr>
          <w:rFonts w:eastAsia="Calibri" w:cstheme="minorHAnsi"/>
          <w:b/>
          <w:bCs/>
          <w:sz w:val="24"/>
          <w:szCs w:val="24"/>
        </w:rPr>
      </w:pPr>
      <w:bookmarkStart w:id="150" w:name="_Hlk117619606"/>
      <w:r w:rsidRPr="00762814">
        <w:rPr>
          <w:rFonts w:eastAsia="Calibri" w:cstheme="minorHAnsi"/>
          <w:b/>
          <w:bCs/>
          <w:sz w:val="24"/>
          <w:szCs w:val="24"/>
        </w:rPr>
        <w:t>Projekty realizowane na obszarach gmin regionu warszawskiego stołecznego, innych niż wskazane powyżej, nie kwalifikują się w ogóle do zwiększenia intensywności pomocy związanej z lokalizacją inwestycji.</w:t>
      </w:r>
    </w:p>
    <w:p w14:paraId="67E33020" w14:textId="77777777" w:rsidR="00A31920" w:rsidRPr="00A31920" w:rsidRDefault="00544828" w:rsidP="006C50AC">
      <w:pPr>
        <w:pStyle w:val="Akapitzlist"/>
        <w:numPr>
          <w:ilvl w:val="0"/>
          <w:numId w:val="122"/>
        </w:numPr>
        <w:spacing w:after="120" w:line="276" w:lineRule="auto"/>
        <w:ind w:hanging="720"/>
        <w:rPr>
          <w:rFonts w:eastAsia="Calibri" w:cstheme="minorHAnsi"/>
          <w:bCs/>
          <w:sz w:val="24"/>
          <w:szCs w:val="24"/>
        </w:rPr>
      </w:pPr>
      <w:r w:rsidRPr="00A31920">
        <w:rPr>
          <w:rFonts w:eastAsia="Calibri" w:cstheme="minorHAnsi"/>
          <w:bCs/>
          <w:sz w:val="24"/>
          <w:szCs w:val="24"/>
        </w:rPr>
        <w:t>Ponadto dla pomocy wymienionej</w:t>
      </w:r>
      <w:r w:rsidR="00A31920" w:rsidRPr="00A31920">
        <w:rPr>
          <w:rFonts w:eastAsia="Calibri" w:cstheme="minorHAnsi"/>
          <w:bCs/>
          <w:sz w:val="24"/>
          <w:szCs w:val="24"/>
        </w:rPr>
        <w:t>:</w:t>
      </w:r>
    </w:p>
    <w:p w14:paraId="28F76D10" w14:textId="156E497F" w:rsidR="00544828" w:rsidRPr="00A31920" w:rsidRDefault="006C50AC" w:rsidP="00A31920">
      <w:pPr>
        <w:pStyle w:val="Akapitzlist"/>
        <w:spacing w:after="120" w:line="276" w:lineRule="auto"/>
        <w:rPr>
          <w:rFonts w:eastAsia="Calibri" w:cstheme="minorHAnsi"/>
          <w:b/>
          <w:bCs/>
          <w:sz w:val="24"/>
          <w:szCs w:val="24"/>
        </w:rPr>
      </w:pPr>
      <w:r>
        <w:rPr>
          <w:rFonts w:eastAsia="Calibri" w:cstheme="minorHAnsi"/>
          <w:bCs/>
          <w:sz w:val="24"/>
          <w:szCs w:val="24"/>
        </w:rPr>
        <w:t xml:space="preserve">- </w:t>
      </w:r>
      <w:r w:rsidR="00544828" w:rsidRPr="006C50AC">
        <w:rPr>
          <w:rFonts w:eastAsia="Calibri" w:cstheme="minorHAnsi"/>
          <w:bCs/>
          <w:sz w:val="24"/>
          <w:szCs w:val="24"/>
        </w:rPr>
        <w:t>w lit. f)  intensywność może zostać</w:t>
      </w:r>
      <w:r w:rsidR="00544828" w:rsidRPr="00A31920">
        <w:rPr>
          <w:rFonts w:eastAsia="Calibri" w:cstheme="minorHAnsi"/>
          <w:b/>
          <w:bCs/>
          <w:sz w:val="24"/>
          <w:szCs w:val="24"/>
        </w:rPr>
        <w:t xml:space="preserve"> zwiększona o</w:t>
      </w:r>
      <w:r w:rsidR="00A31920">
        <w:rPr>
          <w:rFonts w:eastAsia="Calibri" w:cstheme="minorHAnsi"/>
          <w:b/>
          <w:bCs/>
          <w:sz w:val="24"/>
          <w:szCs w:val="24"/>
        </w:rPr>
        <w:t xml:space="preserve"> </w:t>
      </w:r>
      <w:r w:rsidR="00544828" w:rsidRPr="00A31920">
        <w:rPr>
          <w:rFonts w:eastAsia="Calibri" w:cstheme="minorHAnsi"/>
          <w:sz w:val="24"/>
          <w:szCs w:val="24"/>
        </w:rPr>
        <w:t>15 punktów procentowych – w przypadku gdy inwestycja dotyczy poprawy efektywności energetycznej istniejących budynków prowadzącej do zmniejszenia zapotrzebowania na energię pierwotną o co najmniej 40 % w porównaniu z sytuacją sprzed inwestycji</w:t>
      </w:r>
      <w:r w:rsidR="00544828">
        <w:rPr>
          <w:rStyle w:val="Odwoanieprzypisudolnego"/>
          <w:rFonts w:eastAsia="Calibri" w:cstheme="minorHAnsi"/>
          <w:sz w:val="24"/>
          <w:szCs w:val="24"/>
        </w:rPr>
        <w:footnoteReference w:id="10"/>
      </w:r>
      <w:r w:rsidR="00544828" w:rsidRPr="00A31920">
        <w:rPr>
          <w:rFonts w:eastAsia="Calibri" w:cstheme="minorHAnsi"/>
          <w:sz w:val="24"/>
          <w:szCs w:val="24"/>
        </w:rPr>
        <w:t>.</w:t>
      </w:r>
    </w:p>
    <w:p w14:paraId="595D4C25" w14:textId="705C2AC2" w:rsidR="00544828" w:rsidRPr="00A31920" w:rsidRDefault="006C50AC" w:rsidP="006C50AC">
      <w:pPr>
        <w:spacing w:after="120" w:line="276" w:lineRule="auto"/>
        <w:ind w:left="708" w:firstLine="60"/>
        <w:rPr>
          <w:rFonts w:eastAsia="Calibri" w:cstheme="minorHAnsi"/>
          <w:b/>
          <w:bCs/>
          <w:sz w:val="24"/>
          <w:szCs w:val="24"/>
        </w:rPr>
      </w:pPr>
      <w:r>
        <w:rPr>
          <w:rFonts w:eastAsia="Calibri" w:cstheme="minorHAnsi"/>
          <w:sz w:val="24"/>
          <w:szCs w:val="24"/>
        </w:rPr>
        <w:t xml:space="preserve">- </w:t>
      </w:r>
      <w:r w:rsidR="00544828" w:rsidRPr="006C50AC">
        <w:rPr>
          <w:rFonts w:eastAsia="Calibri" w:cstheme="minorHAnsi"/>
          <w:sz w:val="24"/>
          <w:szCs w:val="24"/>
        </w:rPr>
        <w:t xml:space="preserve">w lit. </w:t>
      </w:r>
      <w:r w:rsidR="00544828" w:rsidRPr="006C50AC">
        <w:rPr>
          <w:rFonts w:eastAsia="Calibri" w:cstheme="minorHAnsi"/>
          <w:bCs/>
          <w:sz w:val="24"/>
          <w:szCs w:val="24"/>
        </w:rPr>
        <w:t>h</w:t>
      </w:r>
      <w:r w:rsidR="00544828" w:rsidRPr="006C50AC">
        <w:rPr>
          <w:rFonts w:eastAsia="Calibri" w:cstheme="minorHAnsi"/>
          <w:sz w:val="24"/>
          <w:szCs w:val="24"/>
        </w:rPr>
        <w:t>)  intensywność może zostać</w:t>
      </w:r>
      <w:r w:rsidR="00544828" w:rsidRPr="00A201D5">
        <w:rPr>
          <w:rFonts w:eastAsia="Calibri" w:cstheme="minorHAnsi"/>
          <w:b/>
          <w:sz w:val="24"/>
          <w:szCs w:val="24"/>
        </w:rPr>
        <w:t xml:space="preserve"> zwiększona o</w:t>
      </w:r>
      <w:r w:rsidR="00A31920">
        <w:rPr>
          <w:rFonts w:eastAsia="Calibri" w:cstheme="minorHAnsi"/>
          <w:b/>
          <w:sz w:val="24"/>
          <w:szCs w:val="24"/>
        </w:rPr>
        <w:t xml:space="preserve"> </w:t>
      </w:r>
      <w:r w:rsidR="00544828" w:rsidRPr="00A31920">
        <w:rPr>
          <w:rFonts w:eastAsia="Calibri" w:cstheme="minorHAnsi"/>
          <w:sz w:val="24"/>
          <w:szCs w:val="24"/>
        </w:rPr>
        <w:t>15 punktów procentowych – w przypadku gdy inwestycja zakłada wykorzystanie wyłącznie energii z odnawialnych źródeł energii, ciepła odpadowego lub kombinacji tych rodzajów energii, w tym wysokosprawnej kogeneracji opartej na odnawialnych źródłach energii.</w:t>
      </w:r>
    </w:p>
    <w:p w14:paraId="1BA7914F" w14:textId="4544771B" w:rsidR="00EE051C" w:rsidRPr="00762814" w:rsidRDefault="00CC53F4" w:rsidP="00762814">
      <w:pPr>
        <w:spacing w:after="120" w:line="276" w:lineRule="auto"/>
        <w:rPr>
          <w:rFonts w:eastAsia="Calibri" w:cstheme="minorHAnsi"/>
          <w:sz w:val="24"/>
          <w:szCs w:val="24"/>
        </w:rPr>
      </w:pPr>
      <w:r w:rsidRPr="00762814">
        <w:rPr>
          <w:rFonts w:eastAsia="Calibri" w:cstheme="minorHAnsi"/>
          <w:sz w:val="24"/>
          <w:szCs w:val="24"/>
        </w:rPr>
        <w:t>Intensywność wsparcia w poszczególnych regionach i dla poszczególnych kategorii przedsiębiorców w zakresie pomocy na ochronę środowiska (lit. d)</w:t>
      </w:r>
      <w:r w:rsidR="003A4297">
        <w:rPr>
          <w:rFonts w:eastAsia="Calibri" w:cstheme="minorHAnsi"/>
          <w:sz w:val="24"/>
          <w:szCs w:val="24"/>
        </w:rPr>
        <w:t xml:space="preserve"> </w:t>
      </w:r>
      <w:r w:rsidRPr="00762814">
        <w:rPr>
          <w:rFonts w:eastAsia="Calibri" w:cstheme="minorHAnsi"/>
          <w:sz w:val="24"/>
          <w:szCs w:val="24"/>
        </w:rPr>
        <w:t xml:space="preserve">- </w:t>
      </w:r>
      <w:r w:rsidR="00544828">
        <w:rPr>
          <w:rFonts w:eastAsia="Calibri" w:cstheme="minorHAnsi"/>
          <w:sz w:val="24"/>
          <w:szCs w:val="24"/>
        </w:rPr>
        <w:t>i</w:t>
      </w:r>
      <w:r w:rsidRPr="00762814">
        <w:rPr>
          <w:rFonts w:eastAsia="Calibri" w:cstheme="minorHAnsi"/>
          <w:sz w:val="24"/>
          <w:szCs w:val="24"/>
        </w:rPr>
        <w:t>) została przedstawiona w Tabeli nr 3.</w:t>
      </w:r>
    </w:p>
    <w:p w14:paraId="344C3A15" w14:textId="5A03BC8C" w:rsidR="00EE051C" w:rsidRPr="00762814" w:rsidRDefault="00CC53F4" w:rsidP="00930477">
      <w:pPr>
        <w:pStyle w:val="Nagwek3"/>
        <w:spacing w:before="360" w:line="276" w:lineRule="auto"/>
        <w:rPr>
          <w:rFonts w:asciiTheme="minorHAnsi" w:hAnsiTheme="minorHAnsi" w:cstheme="minorHAnsi"/>
          <w:b/>
          <w:bCs/>
        </w:rPr>
      </w:pPr>
      <w:bookmarkStart w:id="151" w:name="_Toc124499899"/>
      <w:bookmarkStart w:id="152" w:name="_Toc148716414"/>
      <w:r w:rsidRPr="00930477">
        <w:rPr>
          <w:rFonts w:asciiTheme="minorHAnsi" w:hAnsiTheme="minorHAnsi" w:cstheme="minorHAnsi"/>
          <w:color w:val="auto"/>
          <w:sz w:val="32"/>
        </w:rPr>
        <w:t>7.3 Kategorie wydatków kwalifikowalnych w ramach modułu zazielenienie</w:t>
      </w:r>
      <w:bookmarkEnd w:id="151"/>
      <w:bookmarkEnd w:id="152"/>
    </w:p>
    <w:p w14:paraId="1BA76982" w14:textId="7A90C7C4" w:rsidR="00CC53F4" w:rsidRPr="00762814" w:rsidRDefault="00CC53F4" w:rsidP="00762814">
      <w:pPr>
        <w:spacing w:after="120" w:line="276" w:lineRule="auto"/>
        <w:contextualSpacing/>
        <w:rPr>
          <w:rFonts w:eastAsia="Calibri" w:cstheme="minorHAnsi"/>
          <w:sz w:val="24"/>
          <w:szCs w:val="24"/>
        </w:rPr>
      </w:pPr>
      <w:r w:rsidRPr="00762814">
        <w:rPr>
          <w:rFonts w:eastAsia="Calibri" w:cstheme="minorHAnsi"/>
          <w:sz w:val="24"/>
          <w:szCs w:val="24"/>
        </w:rPr>
        <w:t xml:space="preserve">W </w:t>
      </w:r>
      <w:r w:rsidRPr="00762814">
        <w:rPr>
          <w:rFonts w:eastAsia="Calibri" w:cstheme="minorHAnsi"/>
          <w:b/>
          <w:bCs/>
          <w:sz w:val="24"/>
          <w:szCs w:val="24"/>
        </w:rPr>
        <w:t>ramach regionalnej pomocy inwestycyjnej</w:t>
      </w:r>
      <w:r w:rsidRPr="00762814">
        <w:rPr>
          <w:rFonts w:eastAsia="Calibri" w:cstheme="minorHAnsi"/>
          <w:sz w:val="24"/>
          <w:szCs w:val="24"/>
        </w:rPr>
        <w:t xml:space="preserve"> kwalifikowalne są koszty związane z realizacją inwestycji początkowej (o której mowa w art. 2 pkt. 49a lub 51a </w:t>
      </w:r>
      <w:r w:rsidRPr="00762814">
        <w:rPr>
          <w:rFonts w:eastAsia="Calibri" w:cstheme="minorHAnsi"/>
          <w:bCs/>
          <w:sz w:val="24"/>
          <w:szCs w:val="24"/>
        </w:rPr>
        <w:t>Rozporządzenia Komisji (UE) nr 651/2014</w:t>
      </w:r>
      <w:r w:rsidRPr="00762814">
        <w:rPr>
          <w:rFonts w:eastAsia="Calibri" w:cstheme="minorHAnsi"/>
          <w:sz w:val="24"/>
          <w:szCs w:val="24"/>
        </w:rPr>
        <w:t>) wymienione w punktach od 7.3.1 do 7.3.5:</w:t>
      </w:r>
    </w:p>
    <w:p w14:paraId="1F4CA95C" w14:textId="30281BFE" w:rsidR="00592267" w:rsidRPr="00762814" w:rsidRDefault="00592267" w:rsidP="00762814">
      <w:pPr>
        <w:spacing w:after="120" w:line="276" w:lineRule="auto"/>
        <w:contextualSpacing/>
        <w:rPr>
          <w:rFonts w:eastAsia="Calibri" w:cstheme="minorHAnsi"/>
          <w:sz w:val="24"/>
          <w:szCs w:val="24"/>
        </w:rPr>
      </w:pPr>
    </w:p>
    <w:p w14:paraId="2C70B019" w14:textId="77777777" w:rsidR="0043199D" w:rsidRPr="00762814" w:rsidRDefault="0043199D" w:rsidP="00762814">
      <w:pPr>
        <w:spacing w:after="120" w:line="276" w:lineRule="auto"/>
        <w:rPr>
          <w:rFonts w:eastAsia="Calibri" w:cstheme="minorHAnsi"/>
          <w:sz w:val="24"/>
          <w:szCs w:val="24"/>
        </w:rPr>
      </w:pPr>
      <w:r w:rsidRPr="00762814">
        <w:rPr>
          <w:rFonts w:eastAsia="Calibri"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trzech poprzednich lat obrotowych. </w:t>
      </w:r>
    </w:p>
    <w:p w14:paraId="7A208313" w14:textId="77777777" w:rsidR="0043199D" w:rsidRPr="00762814" w:rsidRDefault="0043199D" w:rsidP="00762814">
      <w:pPr>
        <w:spacing w:after="120" w:line="276" w:lineRule="auto"/>
        <w:rPr>
          <w:rFonts w:eastAsia="Calibri" w:cstheme="minorHAnsi"/>
          <w:sz w:val="24"/>
          <w:szCs w:val="24"/>
        </w:rPr>
      </w:pPr>
      <w:r w:rsidRPr="00762814">
        <w:rPr>
          <w:rFonts w:eastAsia="Calibri" w:cstheme="minorHAnsi"/>
          <w:sz w:val="24"/>
          <w:szCs w:val="24"/>
        </w:rPr>
        <w:t>W przypadku pomocy przyznanej na dywersyfikację istniejącego zakładu MŚP lub dużym przedsiębiorcom koszty kwalifikowalne muszą przekraczać o co najmniej 200% wartość księgową ponownie wykorzystywanych aktywów, odnotowaną w roku obrotowym poprzedzającym rozpoczęcie prac.</w:t>
      </w:r>
    </w:p>
    <w:p w14:paraId="4C51617E" w14:textId="7C622044" w:rsidR="0043199D" w:rsidRPr="00762814" w:rsidRDefault="0043199D" w:rsidP="00762814">
      <w:pPr>
        <w:spacing w:after="120" w:line="276" w:lineRule="auto"/>
        <w:rPr>
          <w:rFonts w:eastAsia="Calibri" w:cstheme="minorHAnsi"/>
          <w:sz w:val="24"/>
          <w:szCs w:val="24"/>
        </w:rPr>
      </w:pPr>
      <w:r w:rsidRPr="00762814">
        <w:rPr>
          <w:rFonts w:eastAsia="Calibri" w:cstheme="minorHAnsi"/>
          <w:sz w:val="24"/>
          <w:szCs w:val="24"/>
        </w:rPr>
        <w:t xml:space="preserve">Wnioskodawca jest zobowiązany do wniesienia wkładu własnego na poziomie co najmniej 25% wartości kosztów kwalifikowalnych </w:t>
      </w:r>
      <w:r w:rsidRPr="00762814">
        <w:rPr>
          <w:rFonts w:eastAsia="Calibri" w:cstheme="minorHAnsi"/>
          <w:b/>
          <w:bCs/>
          <w:sz w:val="24"/>
          <w:szCs w:val="24"/>
        </w:rPr>
        <w:t>objętych dofinansowaniem w ramach regionalnej pomocy inwestycyjnej</w:t>
      </w:r>
      <w:r w:rsidRPr="00762814">
        <w:rPr>
          <w:rFonts w:eastAsia="Calibri" w:cstheme="minorHAnsi"/>
          <w:sz w:val="24"/>
          <w:szCs w:val="24"/>
        </w:rPr>
        <w:t>, w formie środków finansowych</w:t>
      </w:r>
      <w:r w:rsidR="0006093B">
        <w:rPr>
          <w:rFonts w:eastAsia="Calibri" w:cstheme="minorHAnsi"/>
          <w:sz w:val="24"/>
          <w:szCs w:val="24"/>
        </w:rPr>
        <w:t xml:space="preserve"> </w:t>
      </w:r>
      <w:r w:rsidR="0006093B" w:rsidRPr="001D5147">
        <w:rPr>
          <w:rFonts w:eastAsia="Calibri" w:cstheme="minorHAnsi"/>
          <w:sz w:val="24"/>
          <w:szCs w:val="24"/>
        </w:rPr>
        <w:t>pochodzący ze środków własnych lub zewnętrznych źródeł finansowania</w:t>
      </w:r>
      <w:r w:rsidRPr="00762814">
        <w:rPr>
          <w:rFonts w:eastAsia="Calibri" w:cstheme="minorHAnsi"/>
          <w:sz w:val="24"/>
          <w:szCs w:val="24"/>
        </w:rPr>
        <w:t xml:space="preserve"> wolnych od publicznego wsparcia.</w:t>
      </w:r>
    </w:p>
    <w:p w14:paraId="0D9AB05D" w14:textId="5FB0E4A8" w:rsidR="00530320" w:rsidRPr="00ED6E26" w:rsidRDefault="00164FC1" w:rsidP="00164FC1">
      <w:pPr>
        <w:pStyle w:val="Nagwek4"/>
        <w:spacing w:before="120" w:line="276" w:lineRule="auto"/>
        <w:rPr>
          <w:rFonts w:asciiTheme="minorHAnsi" w:hAnsiTheme="minorHAnsi" w:cstheme="minorHAnsi"/>
          <w:i w:val="0"/>
          <w:color w:val="auto"/>
          <w:sz w:val="28"/>
          <w:szCs w:val="28"/>
        </w:rPr>
      </w:pPr>
      <w:bookmarkStart w:id="153" w:name="_Toc148716415"/>
      <w:bookmarkStart w:id="154" w:name="_Toc124499900"/>
      <w:r>
        <w:rPr>
          <w:rFonts w:asciiTheme="minorHAnsi" w:hAnsiTheme="minorHAnsi" w:cstheme="minorHAnsi"/>
          <w:i w:val="0"/>
          <w:color w:val="auto"/>
          <w:sz w:val="28"/>
          <w:szCs w:val="28"/>
        </w:rPr>
        <w:t xml:space="preserve">7.3.1 </w:t>
      </w:r>
      <w:r w:rsidR="00CC53F4" w:rsidRPr="00ED6E26">
        <w:rPr>
          <w:rFonts w:asciiTheme="minorHAnsi" w:hAnsiTheme="minorHAnsi" w:cstheme="minorHAnsi"/>
          <w:i w:val="0"/>
          <w:color w:val="auto"/>
          <w:sz w:val="28"/>
          <w:szCs w:val="28"/>
        </w:rPr>
        <w:t>Grunty</w:t>
      </w:r>
      <w:bookmarkEnd w:id="153"/>
      <w:r w:rsidR="00CC53F4" w:rsidRPr="00ED6E26">
        <w:rPr>
          <w:rFonts w:asciiTheme="minorHAnsi" w:hAnsiTheme="minorHAnsi" w:cstheme="minorHAnsi"/>
          <w:i w:val="0"/>
          <w:color w:val="auto"/>
          <w:sz w:val="28"/>
          <w:szCs w:val="28"/>
        </w:rPr>
        <w:t xml:space="preserve"> </w:t>
      </w:r>
      <w:bookmarkEnd w:id="154"/>
    </w:p>
    <w:p w14:paraId="623E5696" w14:textId="7CA5090F" w:rsidR="00CC53F4" w:rsidRDefault="00CC53F4" w:rsidP="00762814">
      <w:pPr>
        <w:spacing w:after="120" w:line="276" w:lineRule="auto"/>
        <w:contextualSpacing/>
        <w:rPr>
          <w:rFonts w:eastAsia="Calibri" w:cstheme="minorHAnsi"/>
          <w:sz w:val="24"/>
          <w:szCs w:val="24"/>
        </w:rPr>
      </w:pPr>
      <w:r w:rsidRPr="00762814">
        <w:rPr>
          <w:rFonts w:eastAsia="Calibri" w:cstheme="minorHAnsi"/>
          <w:sz w:val="24"/>
          <w:szCs w:val="24"/>
        </w:rPr>
        <w:t xml:space="preserve">W ramach tej kategorii kwalifikowalne są koszty nabycia prawa użytkowania wieczystego gruntu lub nabycia prawa własności gruntu, jeżeli nieruchomość jest niezbędna do realizacji modułu i kwalifikowana wyłącznie w zakresie, w jakim jest wykorzystana do celów realizacji modułu. </w:t>
      </w:r>
    </w:p>
    <w:p w14:paraId="496C2B30" w14:textId="241626CD" w:rsidR="00F14FCD" w:rsidRDefault="00F14FCD" w:rsidP="00F14FCD">
      <w:pPr>
        <w:spacing w:line="276" w:lineRule="auto"/>
        <w:rPr>
          <w:rFonts w:cstheme="minorHAnsi"/>
          <w:sz w:val="24"/>
          <w:szCs w:val="24"/>
        </w:rPr>
      </w:pPr>
      <w:r w:rsidRPr="00762814">
        <w:rPr>
          <w:rFonts w:cstheme="minorHAnsi"/>
          <w:sz w:val="24"/>
          <w:szCs w:val="24"/>
        </w:rPr>
        <w:t>Ponadto kwalifikowalne są raty spłaty kapitału gruntów, poniesione przez korzystającego do dnia zakończenia realizacji modułu, do wysokości kapitału z dnia zawarcia umowy leasingu albo spłaty kapitału nieruchomości niezabudowanych, należnej finansującemu z tytułu umowy leasingu, pod warunkiem, że we wniosku o udzielenie pomocy finansujący jest wskazany przez wnioskodawcę jako podmiot upoważniony do poniesienia kosztu, oraz pod warunkiem, że umowa leasingu będzie obejmowała okres co najmniej 5 lat od przewidywanego terminu zakończenia realizacji modułu, a w przypadku MŚP – okres co najmniej 3 lat.</w:t>
      </w:r>
    </w:p>
    <w:p w14:paraId="625982B4" w14:textId="77777777" w:rsidR="00F14FCD" w:rsidRPr="00762814" w:rsidRDefault="00F14FCD" w:rsidP="00762814">
      <w:pPr>
        <w:spacing w:after="120" w:line="276" w:lineRule="auto"/>
        <w:contextualSpacing/>
        <w:rPr>
          <w:rFonts w:eastAsia="Calibri" w:cstheme="minorHAnsi"/>
          <w:sz w:val="24"/>
          <w:szCs w:val="24"/>
        </w:rPr>
      </w:pPr>
    </w:p>
    <w:p w14:paraId="1AE1259A" w14:textId="41F53D3B" w:rsidR="00530320" w:rsidRPr="00ED6E26" w:rsidRDefault="00164FC1" w:rsidP="00164FC1">
      <w:pPr>
        <w:pStyle w:val="Nagwek4"/>
        <w:spacing w:before="120" w:line="276" w:lineRule="auto"/>
        <w:rPr>
          <w:rFonts w:asciiTheme="minorHAnsi" w:hAnsiTheme="minorHAnsi" w:cstheme="minorHAnsi"/>
          <w:i w:val="0"/>
          <w:color w:val="auto"/>
          <w:sz w:val="28"/>
          <w:szCs w:val="28"/>
        </w:rPr>
      </w:pPr>
      <w:bookmarkStart w:id="155" w:name="_Toc124499901"/>
      <w:bookmarkStart w:id="156" w:name="_Toc148716416"/>
      <w:r>
        <w:rPr>
          <w:rFonts w:asciiTheme="minorHAnsi" w:hAnsiTheme="minorHAnsi" w:cstheme="minorHAnsi"/>
          <w:i w:val="0"/>
          <w:color w:val="auto"/>
          <w:sz w:val="28"/>
          <w:szCs w:val="28"/>
        </w:rPr>
        <w:t xml:space="preserve">7.3.2. </w:t>
      </w:r>
      <w:r w:rsidR="00CC53F4" w:rsidRPr="00ED6E26">
        <w:rPr>
          <w:rFonts w:asciiTheme="minorHAnsi" w:hAnsiTheme="minorHAnsi" w:cstheme="minorHAnsi"/>
          <w:i w:val="0"/>
          <w:color w:val="auto"/>
          <w:sz w:val="28"/>
          <w:szCs w:val="28"/>
        </w:rPr>
        <w:t>Nieruchomości zabudowane</w:t>
      </w:r>
      <w:bookmarkEnd w:id="155"/>
      <w:bookmarkEnd w:id="156"/>
    </w:p>
    <w:p w14:paraId="0C23927D" w14:textId="79DD8E35" w:rsidR="00CC53F4" w:rsidRDefault="00CC53F4" w:rsidP="00762814">
      <w:pPr>
        <w:spacing w:after="120" w:line="276" w:lineRule="auto"/>
        <w:rPr>
          <w:rFonts w:eastAsia="Calibri" w:cstheme="minorHAnsi"/>
          <w:sz w:val="24"/>
          <w:szCs w:val="24"/>
        </w:rPr>
      </w:pPr>
      <w:r w:rsidRPr="00762814">
        <w:rPr>
          <w:rFonts w:eastAsia="Calibri" w:cstheme="minorHAnsi"/>
          <w:sz w:val="24"/>
          <w:szCs w:val="24"/>
        </w:rPr>
        <w:t>W ramach tej kategorii kwalifikowalne są koszty nabycia prawa własności nieruchomości zabudowanej, z wyłączeniem lokali mieszkalnych, jeżeli nieruchomość jest niezbędna do realizacji modułu i kwalifikowana wyłącznie w zakresie, w jakim jest wykorzystana do celów realizacji modułu.</w:t>
      </w:r>
    </w:p>
    <w:p w14:paraId="61EC70DB" w14:textId="27E06AD5" w:rsidR="00F14FCD" w:rsidRPr="00762814" w:rsidRDefault="00F14FCD" w:rsidP="00F14FCD">
      <w:pPr>
        <w:spacing w:line="276" w:lineRule="auto"/>
        <w:rPr>
          <w:rFonts w:cstheme="minorHAnsi"/>
          <w:sz w:val="24"/>
          <w:szCs w:val="24"/>
        </w:rPr>
      </w:pPr>
      <w:r w:rsidRPr="00762814">
        <w:rPr>
          <w:rFonts w:cstheme="minorHAnsi"/>
          <w:sz w:val="24"/>
          <w:szCs w:val="24"/>
        </w:rPr>
        <w:t>Ponadto kwalifikowalne są raty spłaty kapitału nieruchomości zabudowanych, poniesione przez korzystającego do dnia zakończenia realizacji modułu, do wysokości kapitału z dnia zawarcia umowy leasingu albo spłaty kapitału nieruchomości zabudowanych, należnej finansującemu z tytułu umowy leasingu, pod warunkiem, że we wniosku o udzielenie pomocy finansujący jest wskazany przez wnioskodawcę jako podmiot upoważniony do poniesienia kosztu</w:t>
      </w:r>
      <w:r w:rsidR="0006093B">
        <w:rPr>
          <w:rFonts w:cstheme="minorHAnsi"/>
          <w:sz w:val="24"/>
          <w:szCs w:val="24"/>
        </w:rPr>
        <w:t xml:space="preserve"> oraz </w:t>
      </w:r>
      <w:r w:rsidRPr="00762814">
        <w:rPr>
          <w:rFonts w:cstheme="minorHAnsi"/>
          <w:sz w:val="24"/>
          <w:szCs w:val="24"/>
        </w:rPr>
        <w:t>pod warunkiem, że umowa leasingu będzie obejmowała okres co najmniej 5 lat od przewidywanego terminu zakończenia realizacji modułu,  a w przypadku MŚP – okres co najmniej 3 lat.</w:t>
      </w:r>
    </w:p>
    <w:p w14:paraId="507D6E7D" w14:textId="74A29F69" w:rsidR="00DE5830" w:rsidRPr="00762814" w:rsidRDefault="00DE5830" w:rsidP="00762814">
      <w:pPr>
        <w:spacing w:after="120" w:line="276" w:lineRule="auto"/>
        <w:rPr>
          <w:rFonts w:eastAsia="Calibri" w:cstheme="minorHAnsi"/>
          <w:sz w:val="24"/>
          <w:szCs w:val="24"/>
        </w:rPr>
      </w:pPr>
      <w:r w:rsidRPr="00762814">
        <w:rPr>
          <w:rFonts w:eastAsia="Calibri" w:cstheme="minorHAnsi"/>
          <w:sz w:val="24"/>
          <w:szCs w:val="24"/>
        </w:rPr>
        <w:t>Suma kwalifikowalnych kosztów gruntów (7.3.1) oraz nieruchomości zabudowanych (7.3.2) nie może przekroczyć 10% całkowitych wydatków kwalifikowalnych, o których mowa w pkt 7.3.1 - 7.3.5; w przypadku terenów opuszczonych oraz poprzemysłowych</w:t>
      </w:r>
      <w:r w:rsidRPr="00762814">
        <w:rPr>
          <w:rStyle w:val="Odwoanieprzypisudolnego"/>
          <w:rFonts w:eastAsia="Calibri" w:cstheme="minorHAnsi"/>
          <w:sz w:val="24"/>
          <w:szCs w:val="24"/>
        </w:rPr>
        <w:footnoteReference w:id="11"/>
      </w:r>
      <w:r w:rsidRPr="00762814">
        <w:rPr>
          <w:rFonts w:eastAsia="Calibri" w:cstheme="minorHAnsi"/>
          <w:sz w:val="24"/>
          <w:szCs w:val="24"/>
        </w:rPr>
        <w:t xml:space="preserve">, na których znajdują się budynki, </w:t>
      </w:r>
      <w:r w:rsidR="002254C4" w:rsidRPr="005454F0">
        <w:rPr>
          <w:rFonts w:ascii="Arial" w:hAnsi="Arial" w:cs="Arial"/>
        </w:rPr>
        <w:t xml:space="preserve">dla MŚP </w:t>
      </w:r>
      <w:r w:rsidRPr="00762814">
        <w:rPr>
          <w:rFonts w:eastAsia="Calibri" w:cstheme="minorHAnsi"/>
          <w:sz w:val="24"/>
          <w:szCs w:val="24"/>
        </w:rPr>
        <w:t>limit ten zostaje podniesiony do 15% – na podstawie art. 64 ust 1 lit. b) Rozporządzenia Parlamentu i Rady UE nr 2021/1060 z dnia 24 czerwca 2021 r.</w:t>
      </w:r>
    </w:p>
    <w:p w14:paraId="5CC80921" w14:textId="302DBF1F" w:rsidR="00530320" w:rsidRPr="00ED6E26" w:rsidRDefault="002C01CF" w:rsidP="002C01CF">
      <w:pPr>
        <w:pStyle w:val="Nagwek4"/>
        <w:spacing w:before="120" w:line="276" w:lineRule="auto"/>
        <w:rPr>
          <w:rFonts w:asciiTheme="minorHAnsi" w:hAnsiTheme="minorHAnsi" w:cstheme="minorHAnsi"/>
          <w:i w:val="0"/>
          <w:color w:val="auto"/>
          <w:sz w:val="28"/>
          <w:szCs w:val="28"/>
        </w:rPr>
      </w:pPr>
      <w:bookmarkStart w:id="158" w:name="_Toc124499902"/>
      <w:bookmarkStart w:id="159" w:name="_Toc148716417"/>
      <w:r>
        <w:rPr>
          <w:rFonts w:asciiTheme="minorHAnsi" w:hAnsiTheme="minorHAnsi" w:cstheme="minorHAnsi"/>
          <w:i w:val="0"/>
          <w:color w:val="auto"/>
          <w:sz w:val="28"/>
          <w:szCs w:val="28"/>
        </w:rPr>
        <w:t xml:space="preserve">7.3.3 </w:t>
      </w:r>
      <w:r w:rsidR="00CC53F4" w:rsidRPr="00ED6E26">
        <w:rPr>
          <w:rFonts w:asciiTheme="minorHAnsi" w:hAnsiTheme="minorHAnsi" w:cstheme="minorHAnsi"/>
          <w:i w:val="0"/>
          <w:color w:val="auto"/>
          <w:sz w:val="28"/>
          <w:szCs w:val="28"/>
        </w:rPr>
        <w:t>Środki trwałe/dostawy</w:t>
      </w:r>
      <w:bookmarkEnd w:id="158"/>
      <w:bookmarkEnd w:id="159"/>
    </w:p>
    <w:p w14:paraId="568EC631" w14:textId="2D2A0EB7" w:rsidR="00CC53F4" w:rsidRDefault="00CC53F4" w:rsidP="00762814">
      <w:pPr>
        <w:spacing w:line="276" w:lineRule="auto"/>
        <w:rPr>
          <w:rFonts w:eastAsia="Calibri" w:cstheme="minorHAnsi"/>
          <w:sz w:val="24"/>
          <w:szCs w:val="24"/>
        </w:rPr>
      </w:pPr>
      <w:r w:rsidRPr="00762814">
        <w:rPr>
          <w:rFonts w:eastAsia="Calibri" w:cstheme="minorHAnsi"/>
          <w:sz w:val="24"/>
          <w:szCs w:val="24"/>
        </w:rPr>
        <w:t>W ramach tej kategorii kwalifikowalne są koszty nabycia środków trwałych innych niż nieruchomości, w tym koszty instalacji i uruchomienia</w:t>
      </w:r>
      <w:r w:rsidR="005D3E75">
        <w:rPr>
          <w:rFonts w:eastAsia="Calibri" w:cstheme="minorHAnsi"/>
          <w:sz w:val="24"/>
          <w:szCs w:val="24"/>
        </w:rPr>
        <w:t xml:space="preserve"> oraz leasing finansowy środków trwałych, innych niż nieruchomości</w:t>
      </w:r>
      <w:r w:rsidRPr="00762814">
        <w:rPr>
          <w:rFonts w:eastAsia="Calibri" w:cstheme="minorHAnsi"/>
          <w:sz w:val="24"/>
          <w:szCs w:val="24"/>
        </w:rPr>
        <w:t>.</w:t>
      </w:r>
    </w:p>
    <w:p w14:paraId="72382A3F" w14:textId="0B7DC626" w:rsidR="00F14FCD" w:rsidRPr="00762814" w:rsidRDefault="00F14FCD" w:rsidP="00F14FCD">
      <w:pPr>
        <w:spacing w:line="276" w:lineRule="auto"/>
        <w:rPr>
          <w:rFonts w:cstheme="minorHAnsi"/>
          <w:sz w:val="24"/>
          <w:szCs w:val="24"/>
        </w:rPr>
      </w:pPr>
      <w:r w:rsidRPr="00762814">
        <w:rPr>
          <w:rFonts w:cstheme="minorHAnsi"/>
          <w:sz w:val="24"/>
          <w:szCs w:val="24"/>
        </w:rPr>
        <w:t>Kwalifikowalne są raty spłaty kapitału środków trwałych, poniesione przez korzystającego do dnia zakończenia realizacji modułu, do wysokości kapitału z dnia zawarcia umowy leasingu albo spłaty kapitału środków trwałych, należnej finansującemu z tytułu umowy leasingu, o ile we wniosku o udzielenie pomocy finansujący jest wskazany przez wnioskodawcę jako podmiot upoważniony do poniesienia kosztu, przy czym umowa leasingu prowadzi do przeniesienia własności tych środków na korzystającego</w:t>
      </w:r>
      <w:r w:rsidR="00CF2651">
        <w:rPr>
          <w:rFonts w:cstheme="minorHAnsi"/>
          <w:sz w:val="24"/>
          <w:szCs w:val="24"/>
        </w:rPr>
        <w:t xml:space="preserve">. </w:t>
      </w:r>
    </w:p>
    <w:p w14:paraId="1757A46D" w14:textId="2B08B627" w:rsidR="00084C5D" w:rsidRPr="00762814" w:rsidRDefault="00084C5D" w:rsidP="00762814">
      <w:pPr>
        <w:spacing w:after="120" w:line="276" w:lineRule="auto"/>
        <w:rPr>
          <w:rFonts w:eastAsia="Calibri" w:cstheme="minorHAnsi"/>
          <w:b/>
          <w:sz w:val="24"/>
          <w:szCs w:val="24"/>
        </w:rPr>
      </w:pPr>
      <w:r w:rsidRPr="00762814">
        <w:rPr>
          <w:rFonts w:eastAsia="Calibri" w:cstheme="minorHAnsi"/>
          <w:b/>
          <w:sz w:val="24"/>
          <w:szCs w:val="24"/>
        </w:rPr>
        <w:t xml:space="preserve">Nabywane środki trwałe muszą być nowe, z wyjątkiem nabywanych przez MŚP. </w:t>
      </w:r>
    </w:p>
    <w:p w14:paraId="184B9968" w14:textId="77777777" w:rsidR="00084C5D" w:rsidRPr="00762814" w:rsidRDefault="00084C5D" w:rsidP="00762814">
      <w:pPr>
        <w:spacing w:after="120" w:line="276" w:lineRule="auto"/>
        <w:rPr>
          <w:rFonts w:cstheme="minorHAnsi"/>
          <w:sz w:val="24"/>
          <w:szCs w:val="24"/>
        </w:rPr>
      </w:pPr>
      <w:r w:rsidRPr="00762814">
        <w:rPr>
          <w:rFonts w:cstheme="minorHAnsi"/>
          <w:sz w:val="24"/>
          <w:szCs w:val="24"/>
        </w:rPr>
        <w:t xml:space="preserve">Nowe aktywa oznaczają aktywa które zostały nabyte po cenie rynkowej przez Wnioskodawcę po dniu złożenia wniosku o dofinansowanie oraz które nie były nigdy wcześniej wykorzystywane w procesie produkcji. </w:t>
      </w:r>
    </w:p>
    <w:p w14:paraId="548A7A67" w14:textId="4BBD03BE" w:rsidR="00530320" w:rsidRPr="00ED6E26" w:rsidRDefault="002C01CF" w:rsidP="002C01CF">
      <w:pPr>
        <w:pStyle w:val="Nagwek4"/>
        <w:spacing w:before="120" w:line="276" w:lineRule="auto"/>
        <w:rPr>
          <w:rFonts w:asciiTheme="minorHAnsi" w:hAnsiTheme="minorHAnsi" w:cstheme="minorHAnsi"/>
          <w:i w:val="0"/>
          <w:color w:val="auto"/>
          <w:sz w:val="28"/>
          <w:szCs w:val="28"/>
        </w:rPr>
      </w:pPr>
      <w:bookmarkStart w:id="160" w:name="_Toc124499903"/>
      <w:bookmarkStart w:id="161" w:name="_Toc148716418"/>
      <w:r>
        <w:rPr>
          <w:rFonts w:asciiTheme="minorHAnsi" w:hAnsiTheme="minorHAnsi" w:cstheme="minorHAnsi"/>
          <w:i w:val="0"/>
          <w:color w:val="auto"/>
          <w:sz w:val="28"/>
          <w:szCs w:val="28"/>
        </w:rPr>
        <w:t xml:space="preserve">7.3.4 </w:t>
      </w:r>
      <w:r w:rsidR="00CC53F4" w:rsidRPr="00ED6E26">
        <w:rPr>
          <w:rFonts w:asciiTheme="minorHAnsi" w:hAnsiTheme="minorHAnsi" w:cstheme="minorHAnsi"/>
          <w:i w:val="0"/>
          <w:color w:val="auto"/>
          <w:sz w:val="28"/>
          <w:szCs w:val="28"/>
        </w:rPr>
        <w:t>Roboty budowlane</w:t>
      </w:r>
      <w:bookmarkEnd w:id="160"/>
      <w:bookmarkEnd w:id="161"/>
    </w:p>
    <w:p w14:paraId="08DAAA53" w14:textId="011317F3" w:rsidR="00CC53F4" w:rsidRPr="00762814" w:rsidRDefault="00CC53F4" w:rsidP="00762814">
      <w:pPr>
        <w:spacing w:line="276" w:lineRule="auto"/>
        <w:rPr>
          <w:rFonts w:eastAsia="Calibri" w:cstheme="minorHAnsi"/>
          <w:sz w:val="24"/>
          <w:szCs w:val="24"/>
        </w:rPr>
      </w:pPr>
      <w:r w:rsidRPr="00762814">
        <w:rPr>
          <w:rFonts w:eastAsia="Calibri" w:cstheme="minorHAnsi"/>
          <w:sz w:val="24"/>
          <w:szCs w:val="24"/>
        </w:rPr>
        <w:t>W ramach tej kategorii kwalifikowalne są koszty nabycia robót i materiałów budowlanych.</w:t>
      </w:r>
    </w:p>
    <w:p w14:paraId="48BFFE78" w14:textId="4F701550" w:rsidR="00530320" w:rsidRPr="00ED6E26" w:rsidRDefault="002C01CF" w:rsidP="002C01CF">
      <w:pPr>
        <w:pStyle w:val="Nagwek4"/>
        <w:spacing w:before="120" w:line="276" w:lineRule="auto"/>
        <w:rPr>
          <w:rFonts w:asciiTheme="minorHAnsi" w:hAnsiTheme="minorHAnsi" w:cstheme="minorHAnsi"/>
          <w:i w:val="0"/>
          <w:color w:val="auto"/>
          <w:sz w:val="28"/>
          <w:szCs w:val="28"/>
        </w:rPr>
      </w:pPr>
      <w:bookmarkStart w:id="162" w:name="_Toc124499904"/>
      <w:bookmarkStart w:id="163" w:name="_Toc148716419"/>
      <w:r>
        <w:rPr>
          <w:rFonts w:asciiTheme="minorHAnsi" w:hAnsiTheme="minorHAnsi" w:cstheme="minorHAnsi"/>
          <w:i w:val="0"/>
          <w:color w:val="auto"/>
          <w:sz w:val="28"/>
          <w:szCs w:val="28"/>
        </w:rPr>
        <w:t xml:space="preserve">7.3.5 </w:t>
      </w:r>
      <w:r w:rsidR="00CC53F4" w:rsidRPr="00ED6E26">
        <w:rPr>
          <w:rFonts w:asciiTheme="minorHAnsi" w:hAnsiTheme="minorHAnsi" w:cstheme="minorHAnsi"/>
          <w:i w:val="0"/>
          <w:color w:val="auto"/>
          <w:sz w:val="28"/>
          <w:szCs w:val="28"/>
        </w:rPr>
        <w:t>Wartości niematerialne i prawne</w:t>
      </w:r>
      <w:bookmarkEnd w:id="162"/>
      <w:bookmarkEnd w:id="163"/>
    </w:p>
    <w:p w14:paraId="65FAF68F" w14:textId="5F8692F1" w:rsidR="00CC53F4" w:rsidRPr="00762814" w:rsidRDefault="00CC53F4" w:rsidP="00762814">
      <w:pPr>
        <w:spacing w:after="0" w:line="276" w:lineRule="auto"/>
        <w:rPr>
          <w:rFonts w:eastAsia="Calibri" w:cstheme="minorHAnsi"/>
          <w:sz w:val="24"/>
          <w:szCs w:val="24"/>
        </w:rPr>
      </w:pPr>
      <w:r w:rsidRPr="00762814">
        <w:rPr>
          <w:rFonts w:eastAsia="Calibri"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67D1A9AF" w14:textId="77777777" w:rsidR="00CC53F4" w:rsidRPr="00762814" w:rsidRDefault="00CC53F4" w:rsidP="00BF47B4">
      <w:pPr>
        <w:numPr>
          <w:ilvl w:val="0"/>
          <w:numId w:val="24"/>
        </w:numPr>
        <w:spacing w:after="120" w:line="276" w:lineRule="auto"/>
        <w:contextualSpacing/>
        <w:rPr>
          <w:rFonts w:eastAsia="Calibri" w:cstheme="minorHAnsi"/>
          <w:sz w:val="24"/>
          <w:szCs w:val="24"/>
        </w:rPr>
      </w:pPr>
      <w:r w:rsidRPr="00762814">
        <w:rPr>
          <w:rFonts w:eastAsia="Calibri" w:cstheme="minorHAnsi"/>
          <w:sz w:val="24"/>
          <w:szCs w:val="24"/>
        </w:rPr>
        <w:t>będą wykorzystywane wyłącznie w zakładzie otrzymującym pomoc,</w:t>
      </w:r>
    </w:p>
    <w:p w14:paraId="71678154" w14:textId="77777777" w:rsidR="00CC53F4" w:rsidRPr="00762814" w:rsidRDefault="00CC53F4" w:rsidP="00BF47B4">
      <w:pPr>
        <w:numPr>
          <w:ilvl w:val="0"/>
          <w:numId w:val="24"/>
        </w:numPr>
        <w:spacing w:after="120" w:line="276" w:lineRule="auto"/>
        <w:contextualSpacing/>
        <w:rPr>
          <w:rFonts w:eastAsia="Calibri" w:cstheme="minorHAnsi"/>
          <w:sz w:val="24"/>
          <w:szCs w:val="24"/>
        </w:rPr>
      </w:pPr>
      <w:r w:rsidRPr="00762814">
        <w:rPr>
          <w:rFonts w:eastAsia="Calibri" w:cstheme="minorHAnsi"/>
          <w:sz w:val="24"/>
          <w:szCs w:val="24"/>
        </w:rPr>
        <w:t>będą podlegać amortyzacji zgodnie z przepisami o rachunkowości,</w:t>
      </w:r>
    </w:p>
    <w:p w14:paraId="2AD95CCB" w14:textId="77777777" w:rsidR="00CC53F4" w:rsidRPr="00762814" w:rsidRDefault="00CC53F4" w:rsidP="00BF47B4">
      <w:pPr>
        <w:numPr>
          <w:ilvl w:val="0"/>
          <w:numId w:val="24"/>
        </w:numPr>
        <w:spacing w:after="120" w:line="276" w:lineRule="auto"/>
        <w:contextualSpacing/>
        <w:rPr>
          <w:rFonts w:eastAsia="Calibri" w:cstheme="minorHAnsi"/>
          <w:sz w:val="24"/>
          <w:szCs w:val="24"/>
        </w:rPr>
      </w:pPr>
      <w:r w:rsidRPr="00762814">
        <w:rPr>
          <w:rFonts w:eastAsia="Calibri" w:cstheme="minorHAnsi"/>
          <w:sz w:val="24"/>
          <w:szCs w:val="24"/>
        </w:rPr>
        <w:t>zostaną nabyte na warunkach rynkowych od osób trzecich niepowiązanych z przedsiębiorcą otrzymującym pomoc,</w:t>
      </w:r>
    </w:p>
    <w:p w14:paraId="6FC99329" w14:textId="77777777" w:rsidR="00CC53F4" w:rsidRPr="00762814" w:rsidRDefault="00CC53F4" w:rsidP="00BF47B4">
      <w:pPr>
        <w:numPr>
          <w:ilvl w:val="0"/>
          <w:numId w:val="24"/>
        </w:numPr>
        <w:spacing w:after="120" w:line="276" w:lineRule="auto"/>
        <w:contextualSpacing/>
        <w:rPr>
          <w:rFonts w:eastAsia="Calibri" w:cstheme="minorHAnsi"/>
          <w:sz w:val="24"/>
          <w:szCs w:val="24"/>
        </w:rPr>
      </w:pPr>
      <w:r w:rsidRPr="00762814">
        <w:rPr>
          <w:rFonts w:eastAsia="Calibri" w:cstheme="minorHAnsi"/>
          <w:sz w:val="24"/>
          <w:szCs w:val="24"/>
        </w:rPr>
        <w:t xml:space="preserve">będą stanowić aktywa przedsiębiorcy otrzymującego pomoc i pozostaną związane z projektem, na który przyznano pomoc, przez okres co najmniej 5 lat od dnia zakończenia realizacji projektu lub 3 lata w przypadku MŚP. </w:t>
      </w:r>
    </w:p>
    <w:p w14:paraId="142F491B" w14:textId="0DAC208B" w:rsidR="00CA032A" w:rsidRPr="00ED6E26" w:rsidRDefault="0043199D" w:rsidP="00ED6E26">
      <w:pPr>
        <w:spacing w:after="120" w:line="276" w:lineRule="auto"/>
        <w:rPr>
          <w:rFonts w:eastAsia="Calibri" w:cstheme="minorHAnsi"/>
          <w:sz w:val="24"/>
          <w:szCs w:val="24"/>
        </w:rPr>
      </w:pPr>
      <w:r w:rsidRPr="00762814">
        <w:rPr>
          <w:rFonts w:eastAsia="Calibri" w:cstheme="minorHAnsi"/>
          <w:sz w:val="24"/>
          <w:szCs w:val="24"/>
        </w:rPr>
        <w:t>W przypadku dużych przedsiębiorstw</w:t>
      </w:r>
      <w:r w:rsidR="00CF69A5" w:rsidRPr="00CF69A5">
        <w:rPr>
          <w:rFonts w:eastAsia="Calibri" w:cstheme="minorHAnsi"/>
          <w:sz w:val="24"/>
          <w:szCs w:val="24"/>
        </w:rPr>
        <w:t xml:space="preserve"> </w:t>
      </w:r>
      <w:r w:rsidRPr="00762814">
        <w:rPr>
          <w:rFonts w:eastAsia="Calibri" w:cstheme="minorHAnsi"/>
          <w:sz w:val="24"/>
          <w:szCs w:val="24"/>
        </w:rPr>
        <w:t>koszty wartości niematerialnych i prawnych są kwalifikowalne jedynie do wysokości 50% całkowitych kwalifikowalnych kosztów inwestycji początkowej</w:t>
      </w:r>
      <w:r w:rsidR="00ED6E26">
        <w:rPr>
          <w:rFonts w:eastAsia="Calibri" w:cstheme="minorHAnsi"/>
          <w:sz w:val="24"/>
          <w:szCs w:val="24"/>
        </w:rPr>
        <w:t>.</w:t>
      </w:r>
    </w:p>
    <w:p w14:paraId="048D5890" w14:textId="27E8E18F" w:rsidR="00EA1556" w:rsidRPr="00ED6E26" w:rsidRDefault="002C01CF" w:rsidP="002C01CF">
      <w:pPr>
        <w:pStyle w:val="Nagwek4"/>
        <w:spacing w:before="120" w:line="276" w:lineRule="auto"/>
        <w:rPr>
          <w:rFonts w:asciiTheme="minorHAnsi" w:hAnsiTheme="minorHAnsi" w:cstheme="minorHAnsi"/>
          <w:i w:val="0"/>
          <w:color w:val="auto"/>
          <w:sz w:val="28"/>
          <w:szCs w:val="28"/>
        </w:rPr>
      </w:pPr>
      <w:bookmarkStart w:id="164" w:name="_Toc124499905"/>
      <w:bookmarkStart w:id="165" w:name="_Toc148716420"/>
      <w:r>
        <w:rPr>
          <w:rFonts w:asciiTheme="minorHAnsi" w:hAnsiTheme="minorHAnsi" w:cstheme="minorHAnsi"/>
          <w:i w:val="0"/>
          <w:color w:val="auto"/>
          <w:sz w:val="28"/>
          <w:szCs w:val="28"/>
        </w:rPr>
        <w:t xml:space="preserve">7.3.6 </w:t>
      </w:r>
      <w:r w:rsidR="00CC53F4" w:rsidRPr="00ED6E26">
        <w:rPr>
          <w:rFonts w:asciiTheme="minorHAnsi" w:hAnsiTheme="minorHAnsi" w:cstheme="minorHAnsi"/>
          <w:i w:val="0"/>
          <w:color w:val="auto"/>
          <w:sz w:val="28"/>
          <w:szCs w:val="28"/>
        </w:rPr>
        <w:t>Usługi zewnętrzne (doradztwo)</w:t>
      </w:r>
      <w:bookmarkEnd w:id="164"/>
      <w:bookmarkEnd w:id="165"/>
    </w:p>
    <w:p w14:paraId="096CCA02" w14:textId="10DC3F5C" w:rsidR="00CC53F4" w:rsidRPr="00762814" w:rsidRDefault="00CC53F4" w:rsidP="00762814">
      <w:pPr>
        <w:spacing w:after="120" w:line="276" w:lineRule="auto"/>
        <w:rPr>
          <w:rFonts w:eastAsia="Calibri" w:cstheme="minorHAnsi"/>
          <w:sz w:val="24"/>
          <w:szCs w:val="24"/>
        </w:rPr>
      </w:pPr>
      <w:r w:rsidRPr="00762814">
        <w:rPr>
          <w:rFonts w:eastAsia="Calibri" w:cstheme="minorHAnsi"/>
          <w:sz w:val="24"/>
          <w:szCs w:val="24"/>
        </w:rPr>
        <w:t>W ramach tej kategorii kwalifikowalne są koszty usług doradczych niezbędnych do realizacji modułu, w szczególności przeprowadzenia środowiskowej oceny cyklu życia (LCA - Life Cycle Assessment), oceny</w:t>
      </w:r>
      <w:r w:rsidRPr="00762814">
        <w:rPr>
          <w:rFonts w:eastAsia="Calibri" w:cstheme="minorHAnsi"/>
          <w:b/>
          <w:bCs/>
          <w:sz w:val="24"/>
          <w:szCs w:val="24"/>
        </w:rPr>
        <w:t xml:space="preserve"> </w:t>
      </w:r>
      <w:r w:rsidRPr="00762814">
        <w:rPr>
          <w:rFonts w:eastAsia="Calibri" w:cstheme="minorHAnsi"/>
          <w:sz w:val="24"/>
          <w:szCs w:val="24"/>
        </w:rPr>
        <w:t>śladu środowiskowego produktu (PEF - Product Environmental Footprint) świadczonych przez doradców zewnętrznych</w:t>
      </w:r>
      <w:r w:rsidRPr="00762814" w:rsidDel="003C05AD">
        <w:rPr>
          <w:rFonts w:eastAsia="Calibri" w:cstheme="minorHAnsi"/>
          <w:sz w:val="24"/>
          <w:szCs w:val="24"/>
        </w:rPr>
        <w:t xml:space="preserve"> </w:t>
      </w:r>
      <w:r w:rsidRPr="00762814">
        <w:rPr>
          <w:rFonts w:eastAsia="Calibri" w:cstheme="minorHAnsi"/>
          <w:sz w:val="24"/>
          <w:szCs w:val="24"/>
        </w:rPr>
        <w:t xml:space="preserve">tj. osoby fizyczne niezatrudnione u Wnioskodawcy, osoby prawne lub jednostki organizacyjne nieposiadające osobowości prawnej, które oferują usługi doradztwa. </w:t>
      </w:r>
      <w:r w:rsidR="00E73E73" w:rsidRPr="00762814">
        <w:rPr>
          <w:rFonts w:cstheme="minorHAnsi"/>
          <w:sz w:val="24"/>
          <w:szCs w:val="24"/>
        </w:rPr>
        <w:t>Usługi realizowane wewnętrznie u Wnioskodawcy (przez pracowników Wnioskodawcy) oraz przez osoby i podmioty z nim powiązane</w:t>
      </w:r>
      <w:r w:rsidR="00E73E73" w:rsidRPr="00762814">
        <w:rPr>
          <w:rStyle w:val="Odwoanieprzypisudolnego"/>
          <w:rFonts w:cstheme="minorHAnsi"/>
          <w:sz w:val="24"/>
          <w:szCs w:val="24"/>
        </w:rPr>
        <w:footnoteReference w:id="12"/>
      </w:r>
      <w:r w:rsidR="00E73E73" w:rsidRPr="00762814">
        <w:rPr>
          <w:rFonts w:cstheme="minorHAnsi"/>
          <w:sz w:val="24"/>
          <w:szCs w:val="24"/>
        </w:rPr>
        <w:t xml:space="preserve"> są niekwalifikowalne</w:t>
      </w:r>
      <w:r w:rsidR="00E73E73">
        <w:rPr>
          <w:rFonts w:eastAsia="Calibri" w:cstheme="minorHAnsi"/>
          <w:sz w:val="24"/>
          <w:szCs w:val="24"/>
        </w:rPr>
        <w:t xml:space="preserve">. </w:t>
      </w:r>
      <w:r w:rsidRPr="00762814">
        <w:rPr>
          <w:rFonts w:eastAsia="Calibri" w:cstheme="minorHAnsi"/>
          <w:sz w:val="24"/>
          <w:szCs w:val="24"/>
        </w:rPr>
        <w:t>Usługi doradcze nie mogą mieć charakteru ciągłego ani okresowego, nie mogą być też związane z bieżącą działalnością operacyjną w szczególności w zakresie doradztwa podatkowego, księgowego, stałej obsługi prawnej lub reklamy.</w:t>
      </w:r>
    </w:p>
    <w:p w14:paraId="4CAD3BCB" w14:textId="77777777" w:rsidR="00CC53F4" w:rsidRPr="00762814" w:rsidRDefault="00CC53F4" w:rsidP="00762814">
      <w:pPr>
        <w:spacing w:after="120" w:line="276" w:lineRule="auto"/>
        <w:rPr>
          <w:rFonts w:eastAsia="Calibri" w:cstheme="minorHAnsi"/>
          <w:b/>
          <w:bCs/>
          <w:sz w:val="24"/>
          <w:szCs w:val="24"/>
        </w:rPr>
      </w:pPr>
      <w:r w:rsidRPr="00762814">
        <w:rPr>
          <w:rFonts w:eastAsia="Calibri" w:cstheme="minorHAnsi"/>
          <w:b/>
          <w:bCs/>
          <w:sz w:val="24"/>
          <w:szCs w:val="24"/>
        </w:rPr>
        <w:t>Dla MŚP koszty te są objęte pomocą z art. 18 rozporządzenia Komisji (UE) nr 651/2014, natomiast dla dużych przedsiębiorców – pomocą de minimis.</w:t>
      </w:r>
    </w:p>
    <w:p w14:paraId="2F4B76C1" w14:textId="31CA130B" w:rsidR="00892CD6" w:rsidRPr="00ED6E26" w:rsidRDefault="002C01CF" w:rsidP="002C01CF">
      <w:pPr>
        <w:pStyle w:val="Nagwek4"/>
        <w:spacing w:before="120" w:line="276" w:lineRule="auto"/>
        <w:rPr>
          <w:rFonts w:asciiTheme="minorHAnsi" w:hAnsiTheme="minorHAnsi" w:cstheme="minorHAnsi"/>
          <w:i w:val="0"/>
          <w:color w:val="auto"/>
          <w:sz w:val="28"/>
          <w:szCs w:val="28"/>
        </w:rPr>
      </w:pPr>
      <w:bookmarkStart w:id="166" w:name="_Toc124499906"/>
      <w:bookmarkStart w:id="167" w:name="_Toc148716421"/>
      <w:r>
        <w:rPr>
          <w:rFonts w:asciiTheme="minorHAnsi" w:hAnsiTheme="minorHAnsi" w:cstheme="minorHAnsi"/>
          <w:i w:val="0"/>
          <w:color w:val="auto"/>
          <w:sz w:val="28"/>
          <w:szCs w:val="28"/>
        </w:rPr>
        <w:t xml:space="preserve">7.3.7 </w:t>
      </w:r>
      <w:r w:rsidR="00CC53F4" w:rsidRPr="00ED6E26">
        <w:rPr>
          <w:rFonts w:asciiTheme="minorHAnsi" w:hAnsiTheme="minorHAnsi" w:cstheme="minorHAnsi"/>
          <w:i w:val="0"/>
          <w:color w:val="auto"/>
          <w:sz w:val="28"/>
          <w:szCs w:val="28"/>
        </w:rPr>
        <w:t>Usługi zewnętrzne (wsparcie innowacji)</w:t>
      </w:r>
      <w:bookmarkEnd w:id="166"/>
      <w:bookmarkEnd w:id="167"/>
    </w:p>
    <w:p w14:paraId="023EA098" w14:textId="623585AE" w:rsidR="00CC53F4" w:rsidRPr="00762814" w:rsidRDefault="00CC53F4" w:rsidP="00762814">
      <w:pPr>
        <w:spacing w:line="276" w:lineRule="auto"/>
        <w:rPr>
          <w:rFonts w:eastAsia="Calibri" w:cstheme="minorHAnsi"/>
          <w:sz w:val="24"/>
          <w:szCs w:val="24"/>
        </w:rPr>
      </w:pPr>
      <w:r w:rsidRPr="00762814">
        <w:rPr>
          <w:rFonts w:eastAsia="Calibri" w:cstheme="minorHAnsi"/>
          <w:sz w:val="24"/>
          <w:szCs w:val="24"/>
        </w:rPr>
        <w:t>W ramach tej kategorii kwalifikowalne są koszty udostępniania banków danych, zasobów bibliotecznych, usług w chmurze i usług przechowywania danych, znakowania, testowania i certyfikacji</w:t>
      </w:r>
      <w:r w:rsidR="00786CB9" w:rsidRPr="00762814">
        <w:rPr>
          <w:rFonts w:eastAsia="Calibri" w:cstheme="minorHAnsi"/>
          <w:sz w:val="24"/>
          <w:szCs w:val="24"/>
        </w:rPr>
        <w:t xml:space="preserve">, w tym weryfikacji technologii środowiskowych (ETV - Environmental Technology Verification), </w:t>
      </w:r>
      <w:r w:rsidRPr="00762814">
        <w:rPr>
          <w:rFonts w:eastAsia="Calibri" w:cstheme="minorHAnsi"/>
          <w:sz w:val="24"/>
          <w:szCs w:val="24"/>
        </w:rPr>
        <w:t>jakości w celu opracowania bardziej efektywnych produktów procesów i usług, poniesione po dniu złożenia wniosku.</w:t>
      </w:r>
    </w:p>
    <w:p w14:paraId="37A38C89" w14:textId="22C3F562" w:rsidR="00CC53F4" w:rsidRDefault="00CC53F4" w:rsidP="00762814">
      <w:pPr>
        <w:spacing w:after="120" w:line="276" w:lineRule="auto"/>
        <w:rPr>
          <w:rFonts w:eastAsia="Calibri" w:cstheme="minorHAnsi"/>
          <w:b/>
          <w:bCs/>
          <w:sz w:val="24"/>
          <w:szCs w:val="24"/>
        </w:rPr>
      </w:pPr>
      <w:r w:rsidRPr="00762814">
        <w:rPr>
          <w:rFonts w:eastAsia="Calibri" w:cstheme="minorHAnsi"/>
          <w:b/>
          <w:bCs/>
          <w:sz w:val="24"/>
          <w:szCs w:val="24"/>
        </w:rPr>
        <w:t>Dla MŚP koszty te są objęte pomocą z art. 28 rozporządzenia Komisji (UE) nr 651/2014 (usługi wsparcia innowacji, o których mowa w art. 2 pkt 95 ww. rozporządzenia), natomiast dla dużych przedsiębiorców – pomocą de minimis.</w:t>
      </w:r>
    </w:p>
    <w:p w14:paraId="629C9A32" w14:textId="3D8E22A4" w:rsidR="00CC53F4" w:rsidRPr="00762814" w:rsidRDefault="00CC53F4" w:rsidP="00762814">
      <w:pPr>
        <w:spacing w:after="120" w:line="276" w:lineRule="auto"/>
        <w:rPr>
          <w:rFonts w:eastAsia="Calibri" w:cstheme="minorHAnsi"/>
          <w:sz w:val="24"/>
          <w:szCs w:val="24"/>
        </w:rPr>
      </w:pPr>
      <w:r w:rsidRPr="00762814">
        <w:rPr>
          <w:rFonts w:eastAsia="Calibri" w:cstheme="minorHAnsi"/>
          <w:bCs/>
          <w:sz w:val="24"/>
          <w:szCs w:val="24"/>
        </w:rPr>
        <w:t>W ramach</w:t>
      </w:r>
      <w:r w:rsidRPr="00762814">
        <w:rPr>
          <w:rFonts w:eastAsia="Calibri" w:cstheme="minorHAnsi"/>
          <w:b/>
          <w:bCs/>
          <w:sz w:val="24"/>
          <w:szCs w:val="24"/>
        </w:rPr>
        <w:t xml:space="preserve"> pomocy </w:t>
      </w:r>
      <w:r w:rsidRPr="00762814">
        <w:rPr>
          <w:rFonts w:eastAsia="Calibri" w:cstheme="minorHAnsi"/>
          <w:b/>
          <w:sz w:val="24"/>
          <w:szCs w:val="24"/>
        </w:rPr>
        <w:t>inwestycyjnej</w:t>
      </w:r>
      <w:r w:rsidR="009142EC">
        <w:rPr>
          <w:rFonts w:eastAsia="Calibri" w:cstheme="minorHAnsi"/>
          <w:b/>
          <w:sz w:val="24"/>
          <w:szCs w:val="24"/>
        </w:rPr>
        <w:t xml:space="preserve"> </w:t>
      </w:r>
      <w:r w:rsidR="009142EC" w:rsidRPr="00CF2651">
        <w:rPr>
          <w:rFonts w:eastAsia="Calibri" w:cstheme="minorHAnsi"/>
          <w:b/>
          <w:sz w:val="24"/>
          <w:szCs w:val="24"/>
        </w:rPr>
        <w:t>na ochronę środowiska, w tym obniżenie emisyjności</w:t>
      </w:r>
      <w:r w:rsidR="009142EC" w:rsidRPr="00364D9F">
        <w:rPr>
          <w:rFonts w:eastAsia="Calibri" w:cstheme="minorHAnsi"/>
          <w:sz w:val="24"/>
          <w:szCs w:val="24"/>
        </w:rPr>
        <w:t xml:space="preserve">  </w:t>
      </w:r>
      <w:r w:rsidRPr="00762814">
        <w:rPr>
          <w:rFonts w:eastAsia="Calibri" w:cstheme="minorHAnsi"/>
          <w:b/>
          <w:sz w:val="24"/>
          <w:szCs w:val="24"/>
        </w:rPr>
        <w:t xml:space="preserve"> (art. 36 rozporządzenia Komisji (UE) nr 651/2014) </w:t>
      </w:r>
      <w:r w:rsidRPr="00762814">
        <w:rPr>
          <w:rFonts w:eastAsia="Calibri" w:cstheme="minorHAnsi"/>
          <w:sz w:val="24"/>
          <w:szCs w:val="24"/>
        </w:rPr>
        <w:t xml:space="preserve">kwalifikowalne są koszty wymienione w </w:t>
      </w:r>
      <w:r w:rsidR="00B103C1" w:rsidRPr="00762814">
        <w:rPr>
          <w:rFonts w:eastAsia="Calibri" w:cstheme="minorHAnsi"/>
          <w:sz w:val="24"/>
          <w:szCs w:val="24"/>
        </w:rPr>
        <w:t xml:space="preserve">pkt </w:t>
      </w:r>
      <w:r w:rsidRPr="00762814">
        <w:rPr>
          <w:rFonts w:eastAsia="Calibri" w:cstheme="minorHAnsi"/>
          <w:sz w:val="24"/>
          <w:szCs w:val="24"/>
        </w:rPr>
        <w:t>7.3.8 – 7.3.</w:t>
      </w:r>
      <w:r w:rsidR="001A5525">
        <w:rPr>
          <w:rFonts w:eastAsia="Calibri" w:cstheme="minorHAnsi"/>
          <w:sz w:val="24"/>
          <w:szCs w:val="24"/>
        </w:rPr>
        <w:t>1</w:t>
      </w:r>
      <w:r w:rsidR="00E879EB">
        <w:rPr>
          <w:rFonts w:eastAsia="Calibri" w:cstheme="minorHAnsi"/>
          <w:sz w:val="24"/>
          <w:szCs w:val="24"/>
        </w:rPr>
        <w:t>1</w:t>
      </w:r>
      <w:r w:rsidR="001A5525">
        <w:rPr>
          <w:rFonts w:eastAsia="Calibri" w:cstheme="minorHAnsi"/>
          <w:sz w:val="24"/>
          <w:szCs w:val="24"/>
        </w:rPr>
        <w:t xml:space="preserve">. </w:t>
      </w:r>
    </w:p>
    <w:p w14:paraId="53882CB7" w14:textId="43D3A319" w:rsidR="00CC53F4" w:rsidRPr="00762814" w:rsidRDefault="00CC53F4" w:rsidP="00762814">
      <w:pPr>
        <w:spacing w:after="120" w:line="276" w:lineRule="auto"/>
        <w:rPr>
          <w:rFonts w:eastAsia="Calibri" w:cstheme="minorHAnsi"/>
          <w:sz w:val="24"/>
          <w:szCs w:val="24"/>
        </w:rPr>
      </w:pPr>
      <w:r w:rsidRPr="00762814">
        <w:rPr>
          <w:rFonts w:eastAsia="Calibri" w:cstheme="minorHAnsi"/>
          <w:sz w:val="24"/>
          <w:szCs w:val="24"/>
        </w:rPr>
        <w:t>Normy unijne oznaczają normy, o których mowa w art. 2 ust. 102 rozporządzenia Komisji (UE) nr 651/2014.</w:t>
      </w:r>
    </w:p>
    <w:p w14:paraId="2A285DD2" w14:textId="77777777" w:rsidR="00CC53F4" w:rsidRPr="00762814" w:rsidRDefault="00CC53F4" w:rsidP="00762814">
      <w:pPr>
        <w:spacing w:after="120" w:line="276" w:lineRule="auto"/>
        <w:rPr>
          <w:rFonts w:eastAsia="Calibri" w:cstheme="minorHAnsi"/>
          <w:sz w:val="24"/>
          <w:szCs w:val="24"/>
        </w:rPr>
      </w:pPr>
      <w:r w:rsidRPr="00762814">
        <w:rPr>
          <w:rFonts w:eastAsia="Calibri" w:cstheme="minorHAnsi"/>
          <w:sz w:val="24"/>
          <w:szCs w:val="24"/>
        </w:rPr>
        <w:t>Wydatków, które nie są bezpośrednio związane z osiągnięciem wyższego poziomu ochrony środowiska, nie uznaje się za kwalifikowalne.</w:t>
      </w:r>
    </w:p>
    <w:p w14:paraId="099C7A32" w14:textId="5057F314" w:rsidR="00980E0E" w:rsidRPr="00ED6E26" w:rsidRDefault="00D240AF" w:rsidP="00D240AF">
      <w:pPr>
        <w:pStyle w:val="Nagwek4"/>
        <w:spacing w:before="120" w:line="276" w:lineRule="auto"/>
        <w:ind w:left="567" w:hanging="567"/>
        <w:rPr>
          <w:rFonts w:asciiTheme="minorHAnsi" w:hAnsiTheme="minorHAnsi" w:cstheme="minorHAnsi"/>
          <w:i w:val="0"/>
          <w:color w:val="auto"/>
          <w:sz w:val="28"/>
          <w:szCs w:val="28"/>
        </w:rPr>
      </w:pPr>
      <w:bookmarkStart w:id="168" w:name="_Toc148716422"/>
      <w:r>
        <w:rPr>
          <w:rFonts w:asciiTheme="minorHAnsi" w:hAnsiTheme="minorHAnsi" w:cstheme="minorHAnsi"/>
          <w:i w:val="0"/>
          <w:color w:val="auto"/>
          <w:sz w:val="28"/>
          <w:szCs w:val="28"/>
        </w:rPr>
        <w:t xml:space="preserve">7.3.8 </w:t>
      </w:r>
      <w:r w:rsidR="00600351">
        <w:rPr>
          <w:rFonts w:asciiTheme="minorHAnsi" w:hAnsiTheme="minorHAnsi" w:cstheme="minorHAnsi"/>
          <w:i w:val="0"/>
          <w:color w:val="auto"/>
          <w:sz w:val="28"/>
          <w:szCs w:val="28"/>
        </w:rPr>
        <w:t>Ochrona środowiska</w:t>
      </w:r>
      <w:r w:rsidR="00A8540D">
        <w:rPr>
          <w:rFonts w:asciiTheme="minorHAnsi" w:hAnsiTheme="minorHAnsi" w:cstheme="minorHAnsi"/>
          <w:i w:val="0"/>
          <w:color w:val="auto"/>
          <w:sz w:val="28"/>
          <w:szCs w:val="28"/>
        </w:rPr>
        <w:t xml:space="preserve">, </w:t>
      </w:r>
      <w:r w:rsidR="00A8540D" w:rsidRPr="00A8540D">
        <w:rPr>
          <w:rFonts w:asciiTheme="minorHAnsi" w:hAnsiTheme="minorHAnsi" w:cstheme="minorHAnsi"/>
          <w:i w:val="0"/>
          <w:color w:val="auto"/>
          <w:sz w:val="28"/>
          <w:szCs w:val="28"/>
        </w:rPr>
        <w:t>w tym obniżenie emisyjności</w:t>
      </w:r>
      <w:r w:rsidR="00600351">
        <w:rPr>
          <w:rFonts w:asciiTheme="minorHAnsi" w:hAnsiTheme="minorHAnsi" w:cstheme="minorHAnsi"/>
          <w:i w:val="0"/>
          <w:color w:val="auto"/>
          <w:sz w:val="28"/>
          <w:szCs w:val="28"/>
        </w:rPr>
        <w:t xml:space="preserve"> - d</w:t>
      </w:r>
      <w:r w:rsidR="00CC53F4" w:rsidRPr="00ED6E26">
        <w:rPr>
          <w:rFonts w:asciiTheme="minorHAnsi" w:hAnsiTheme="minorHAnsi" w:cstheme="minorHAnsi"/>
          <w:i w:val="0"/>
          <w:color w:val="auto"/>
          <w:sz w:val="28"/>
          <w:szCs w:val="28"/>
        </w:rPr>
        <w:t xml:space="preserve">odatkowe </w:t>
      </w:r>
      <w:r w:rsidR="002F3DB0">
        <w:rPr>
          <w:rFonts w:asciiTheme="minorHAnsi" w:hAnsiTheme="minorHAnsi" w:cstheme="minorHAnsi"/>
          <w:i w:val="0"/>
          <w:color w:val="auto"/>
          <w:sz w:val="28"/>
          <w:szCs w:val="28"/>
        </w:rPr>
        <w:t>komponenty w istniejącym zakładzie</w:t>
      </w:r>
      <w:r w:rsidR="007471F3">
        <w:rPr>
          <w:rFonts w:asciiTheme="minorHAnsi" w:hAnsiTheme="minorHAnsi" w:cstheme="minorHAnsi"/>
          <w:i w:val="0"/>
          <w:color w:val="auto"/>
          <w:sz w:val="28"/>
          <w:szCs w:val="28"/>
        </w:rPr>
        <w:t>.</w:t>
      </w:r>
      <w:bookmarkEnd w:id="168"/>
      <w:r w:rsidR="002F3DB0">
        <w:rPr>
          <w:rFonts w:asciiTheme="minorHAnsi" w:hAnsiTheme="minorHAnsi" w:cstheme="minorHAnsi"/>
          <w:i w:val="0"/>
          <w:color w:val="auto"/>
          <w:sz w:val="28"/>
          <w:szCs w:val="28"/>
        </w:rPr>
        <w:t xml:space="preserve"> </w:t>
      </w:r>
    </w:p>
    <w:p w14:paraId="00A88E3B" w14:textId="551F352F" w:rsidR="00D64749" w:rsidRPr="00C30590" w:rsidRDefault="00CC53F4" w:rsidP="00C30590">
      <w:pPr>
        <w:spacing w:after="120" w:line="276" w:lineRule="auto"/>
        <w:rPr>
          <w:rFonts w:eastAsia="Calibri" w:cstheme="minorHAnsi"/>
          <w:sz w:val="24"/>
          <w:szCs w:val="24"/>
        </w:rPr>
      </w:pPr>
      <w:r w:rsidRPr="00C30590">
        <w:rPr>
          <w:rFonts w:eastAsia="Calibri" w:cstheme="minorHAnsi"/>
          <w:bCs/>
          <w:sz w:val="24"/>
          <w:szCs w:val="24"/>
        </w:rPr>
        <w:t xml:space="preserve">W ramach tej kategorii </w:t>
      </w:r>
      <w:r w:rsidRPr="00C30590">
        <w:rPr>
          <w:rFonts w:eastAsia="Calibri" w:cstheme="minorHAnsi"/>
          <w:sz w:val="24"/>
          <w:szCs w:val="24"/>
        </w:rPr>
        <w:t xml:space="preserve">za koszty kwalifikowalne uznaje się </w:t>
      </w:r>
      <w:r w:rsidR="00A803E1" w:rsidRPr="00C30590">
        <w:rPr>
          <w:rFonts w:eastAsia="Calibri" w:cstheme="minorHAnsi"/>
          <w:sz w:val="24"/>
          <w:szCs w:val="24"/>
        </w:rPr>
        <w:t xml:space="preserve">całkowite </w:t>
      </w:r>
      <w:r w:rsidRPr="00C30590">
        <w:rPr>
          <w:rFonts w:eastAsia="Calibri" w:cstheme="minorHAnsi"/>
          <w:sz w:val="24"/>
          <w:szCs w:val="24"/>
        </w:rPr>
        <w:t>koszty</w:t>
      </w:r>
      <w:r w:rsidR="00A803E1" w:rsidRPr="00C30590">
        <w:rPr>
          <w:rFonts w:eastAsia="Calibri" w:cstheme="minorHAnsi"/>
          <w:sz w:val="24"/>
          <w:szCs w:val="24"/>
        </w:rPr>
        <w:t xml:space="preserve"> inwestycji</w:t>
      </w:r>
      <w:r w:rsidRPr="00C30590">
        <w:rPr>
          <w:rFonts w:eastAsia="Calibri" w:cstheme="minorHAnsi"/>
          <w:sz w:val="24"/>
          <w:szCs w:val="24"/>
        </w:rPr>
        <w:t xml:space="preserve">, </w:t>
      </w:r>
      <w:r w:rsidR="00A803E1" w:rsidRPr="00C30590">
        <w:rPr>
          <w:rFonts w:eastAsia="Calibri" w:cstheme="minorHAnsi"/>
          <w:sz w:val="24"/>
          <w:szCs w:val="24"/>
        </w:rPr>
        <w:t>polegającej na instalacji dodatkowych komponentów</w:t>
      </w:r>
      <w:r w:rsidR="00D64749" w:rsidRPr="00C30590">
        <w:rPr>
          <w:rFonts w:eastAsia="Calibri" w:cstheme="minorHAnsi"/>
          <w:sz w:val="24"/>
          <w:szCs w:val="24"/>
        </w:rPr>
        <w:t xml:space="preserve"> </w:t>
      </w:r>
      <w:r w:rsidR="00A803E1" w:rsidRPr="00C30590">
        <w:rPr>
          <w:rFonts w:eastAsia="Calibri" w:cstheme="minorHAnsi"/>
          <w:sz w:val="24"/>
          <w:szCs w:val="24"/>
        </w:rPr>
        <w:t>w już istniejącym zakładzie, dla której nie istnieje inwestycja alternatywna mniej przyjazna dla środowiska</w:t>
      </w:r>
      <w:r w:rsidR="00D64749" w:rsidRPr="00C30590">
        <w:rPr>
          <w:rFonts w:eastAsia="Calibri" w:cstheme="minorHAnsi"/>
          <w:sz w:val="24"/>
          <w:szCs w:val="24"/>
        </w:rPr>
        <w:t>.</w:t>
      </w:r>
      <w:r w:rsidR="00A803E1" w:rsidRPr="00C30590">
        <w:rPr>
          <w:rFonts w:eastAsia="Calibri" w:cstheme="minorHAnsi"/>
          <w:sz w:val="24"/>
          <w:szCs w:val="24"/>
        </w:rPr>
        <w:t xml:space="preserve"> </w:t>
      </w:r>
      <w:r w:rsidR="00C72E17" w:rsidRPr="00C30590">
        <w:rPr>
          <w:rFonts w:eastAsia="Calibri" w:cstheme="minorHAnsi"/>
          <w:sz w:val="24"/>
          <w:szCs w:val="24"/>
        </w:rPr>
        <w:t>(</w:t>
      </w:r>
      <w:r w:rsidR="00A803E1" w:rsidRPr="00C30590">
        <w:rPr>
          <w:rFonts w:eastAsia="Calibri" w:cstheme="minorHAnsi"/>
          <w:sz w:val="24"/>
          <w:szCs w:val="24"/>
        </w:rPr>
        <w:t xml:space="preserve">co </w:t>
      </w:r>
      <w:r w:rsidR="00C72E17" w:rsidRPr="00C30590">
        <w:rPr>
          <w:rFonts w:eastAsia="Calibri" w:cstheme="minorHAnsi"/>
          <w:sz w:val="24"/>
          <w:szCs w:val="24"/>
        </w:rPr>
        <w:t>w</w:t>
      </w:r>
      <w:r w:rsidR="00A803E1" w:rsidRPr="00C30590">
        <w:rPr>
          <w:rFonts w:eastAsia="Calibri" w:cstheme="minorHAnsi"/>
          <w:sz w:val="24"/>
          <w:szCs w:val="24"/>
        </w:rPr>
        <w:t>nioskodawca ma obowiązek uzasadnić i wykazać we wniosku o dofinansowanie</w:t>
      </w:r>
      <w:r w:rsidR="00C72E17" w:rsidRPr="00C30590">
        <w:rPr>
          <w:rFonts w:eastAsia="Calibri" w:cstheme="minorHAnsi"/>
          <w:sz w:val="24"/>
          <w:szCs w:val="24"/>
        </w:rPr>
        <w:t>)</w:t>
      </w:r>
      <w:r w:rsidR="00A803E1" w:rsidRPr="00C30590">
        <w:rPr>
          <w:rFonts w:eastAsia="Calibri" w:cstheme="minorHAnsi"/>
          <w:sz w:val="24"/>
          <w:szCs w:val="24"/>
        </w:rPr>
        <w:t xml:space="preserve">. </w:t>
      </w:r>
    </w:p>
    <w:p w14:paraId="3ECB7D53" w14:textId="20E9E70E" w:rsidR="008A311C" w:rsidRDefault="008A311C" w:rsidP="008A311C">
      <w:pPr>
        <w:rPr>
          <w:rFonts w:eastAsiaTheme="majorEastAsia" w:cstheme="minorHAnsi"/>
          <w:iCs/>
          <w:sz w:val="24"/>
          <w:szCs w:val="24"/>
        </w:rPr>
      </w:pPr>
      <w:r w:rsidRPr="00C03564">
        <w:rPr>
          <w:rFonts w:eastAsiaTheme="majorEastAsia" w:cstheme="minorHAnsi"/>
          <w:iCs/>
          <w:sz w:val="24"/>
          <w:szCs w:val="24"/>
        </w:rPr>
        <w:t>Za koszty inwestycji uznaje się koszty nabycia: gruntów; nieruchomości zabudowanych; środków trwałych innych niż nieruchomości; wartości niematerialnych i prawnych lub robót i materiałów budowlanych</w:t>
      </w:r>
      <w:r>
        <w:rPr>
          <w:rFonts w:eastAsiaTheme="majorEastAsia" w:cstheme="minorHAnsi"/>
          <w:iCs/>
          <w:sz w:val="24"/>
          <w:szCs w:val="24"/>
        </w:rPr>
        <w:t>.</w:t>
      </w:r>
    </w:p>
    <w:p w14:paraId="51994412" w14:textId="77777777" w:rsidR="00386462" w:rsidRDefault="00386462" w:rsidP="00386462">
      <w:pPr>
        <w:pStyle w:val="Nagwek4"/>
        <w:spacing w:before="120" w:line="276" w:lineRule="auto"/>
        <w:ind w:left="567" w:hanging="567"/>
        <w:rPr>
          <w:rFonts w:asciiTheme="minorHAnsi" w:hAnsiTheme="minorHAnsi" w:cstheme="minorHAnsi"/>
          <w:i w:val="0"/>
          <w:color w:val="auto"/>
          <w:sz w:val="28"/>
          <w:szCs w:val="28"/>
        </w:rPr>
      </w:pPr>
      <w:bookmarkStart w:id="169" w:name="_Toc148708519"/>
      <w:bookmarkStart w:id="170" w:name="_Toc148716423"/>
      <w:r w:rsidRPr="00E879EB">
        <w:rPr>
          <w:rFonts w:asciiTheme="minorHAnsi" w:hAnsiTheme="minorHAnsi" w:cstheme="minorHAnsi"/>
          <w:i w:val="0"/>
          <w:color w:val="auto"/>
          <w:sz w:val="28"/>
          <w:szCs w:val="28"/>
        </w:rPr>
        <w:t>7.3.9 Ochrona środowiska, w tym obniżenie emisyjności – wychwytywanie CO2</w:t>
      </w:r>
      <w:bookmarkEnd w:id="169"/>
      <w:bookmarkEnd w:id="170"/>
    </w:p>
    <w:p w14:paraId="7FD53FB3" w14:textId="77777777" w:rsidR="00386462" w:rsidRDefault="00386462" w:rsidP="00386462">
      <w:pPr>
        <w:spacing w:after="120" w:line="276" w:lineRule="auto"/>
        <w:rPr>
          <w:rFonts w:eastAsia="Calibri" w:cstheme="minorHAnsi"/>
          <w:sz w:val="24"/>
          <w:szCs w:val="24"/>
        </w:rPr>
      </w:pPr>
      <w:r>
        <w:rPr>
          <w:rFonts w:eastAsia="Calibri" w:cstheme="minorHAnsi"/>
          <w:sz w:val="24"/>
          <w:szCs w:val="24"/>
        </w:rPr>
        <w:t>W ramach tej kategorii za koszty kwalifikowane uznaje się dodatkowe koszty inwestycyjne wynikające z wychwytywania CO 2 z instalacji emitującej CO2 (instalacji przemysłowej lub elektrowni) lub bezpośrednio z powietrza atmosferycznego, a także wynikające z buforowego składowania i transportu wychwyconych emisji CO 2 .</w:t>
      </w:r>
    </w:p>
    <w:p w14:paraId="32F9BC13" w14:textId="77777777" w:rsidR="00386462" w:rsidRDefault="00386462" w:rsidP="00386462">
      <w:pPr>
        <w:rPr>
          <w:rFonts w:eastAsiaTheme="majorEastAsia" w:cstheme="minorHAnsi"/>
          <w:iCs/>
          <w:sz w:val="24"/>
          <w:szCs w:val="24"/>
        </w:rPr>
      </w:pPr>
      <w:bookmarkStart w:id="171" w:name="_Hlk148706927"/>
      <w:r>
        <w:rPr>
          <w:rFonts w:eastAsiaTheme="majorEastAsia" w:cstheme="minorHAnsi"/>
          <w:iCs/>
          <w:sz w:val="24"/>
          <w:szCs w:val="24"/>
        </w:rPr>
        <w:t>Za koszty inwestycji uznaje się koszty nabycia: gruntów; nieruchomości zabudowanych; środków trwałych innych niż nieruchomości; wartości niematerialnych i prawnych lub robót i materiałów budowlanych.</w:t>
      </w:r>
      <w:bookmarkEnd w:id="171"/>
    </w:p>
    <w:p w14:paraId="07F70488" w14:textId="13060DD7" w:rsidR="008A5159" w:rsidRDefault="00D240AF" w:rsidP="00D240AF">
      <w:pPr>
        <w:pStyle w:val="Nagwek4"/>
        <w:spacing w:before="120" w:line="276" w:lineRule="auto"/>
        <w:ind w:left="567" w:hanging="567"/>
        <w:rPr>
          <w:rFonts w:asciiTheme="minorHAnsi" w:hAnsiTheme="minorHAnsi" w:cstheme="minorHAnsi"/>
          <w:i w:val="0"/>
          <w:color w:val="auto"/>
          <w:sz w:val="28"/>
          <w:szCs w:val="28"/>
        </w:rPr>
      </w:pPr>
      <w:bookmarkStart w:id="172" w:name="_Toc148716424"/>
      <w:r>
        <w:rPr>
          <w:rFonts w:asciiTheme="minorHAnsi" w:hAnsiTheme="minorHAnsi" w:cstheme="minorHAnsi"/>
          <w:i w:val="0"/>
          <w:color w:val="auto"/>
          <w:sz w:val="28"/>
          <w:szCs w:val="28"/>
        </w:rPr>
        <w:t>7.3.</w:t>
      </w:r>
      <w:r w:rsidR="00E879EB" w:rsidRPr="00E879EB">
        <w:rPr>
          <w:rFonts w:asciiTheme="minorHAnsi" w:hAnsiTheme="minorHAnsi" w:cstheme="minorHAnsi"/>
          <w:i w:val="0"/>
          <w:color w:val="auto"/>
          <w:sz w:val="28"/>
          <w:szCs w:val="28"/>
        </w:rPr>
        <w:t>1</w:t>
      </w:r>
      <w:r w:rsidR="00E879EB">
        <w:rPr>
          <w:rFonts w:asciiTheme="minorHAnsi" w:hAnsiTheme="minorHAnsi" w:cstheme="minorHAnsi"/>
          <w:i w:val="0"/>
          <w:color w:val="auto"/>
          <w:sz w:val="28"/>
          <w:szCs w:val="28"/>
        </w:rPr>
        <w:t>0</w:t>
      </w:r>
      <w:r w:rsidRPr="00E879EB">
        <w:rPr>
          <w:rFonts w:asciiTheme="minorHAnsi" w:hAnsiTheme="minorHAnsi" w:cstheme="minorHAnsi"/>
          <w:i w:val="0"/>
          <w:color w:val="auto"/>
          <w:sz w:val="28"/>
          <w:szCs w:val="28"/>
        </w:rPr>
        <w:t xml:space="preserve"> </w:t>
      </w:r>
      <w:r w:rsidR="00600351" w:rsidRPr="00E879EB">
        <w:rPr>
          <w:rFonts w:asciiTheme="minorHAnsi" w:hAnsiTheme="minorHAnsi" w:cstheme="minorHAnsi"/>
          <w:i w:val="0"/>
          <w:color w:val="auto"/>
          <w:sz w:val="28"/>
          <w:szCs w:val="28"/>
        </w:rPr>
        <w:t>Ochrona środowiska</w:t>
      </w:r>
      <w:r w:rsidR="00A8540D" w:rsidRPr="00E879EB">
        <w:rPr>
          <w:rFonts w:asciiTheme="minorHAnsi" w:hAnsiTheme="minorHAnsi" w:cstheme="minorHAnsi"/>
          <w:i w:val="0"/>
          <w:color w:val="auto"/>
          <w:sz w:val="28"/>
          <w:szCs w:val="28"/>
        </w:rPr>
        <w:t>, w tym obniżenie emisyjności</w:t>
      </w:r>
      <w:r w:rsidR="00600351" w:rsidRPr="00E879EB">
        <w:rPr>
          <w:rFonts w:asciiTheme="minorHAnsi" w:hAnsiTheme="minorHAnsi" w:cstheme="minorHAnsi"/>
          <w:i w:val="0"/>
          <w:color w:val="auto"/>
          <w:sz w:val="28"/>
          <w:szCs w:val="28"/>
        </w:rPr>
        <w:t xml:space="preserve"> - k</w:t>
      </w:r>
      <w:r w:rsidR="00A803E1" w:rsidRPr="00E879EB">
        <w:rPr>
          <w:rFonts w:asciiTheme="minorHAnsi" w:hAnsiTheme="minorHAnsi" w:cstheme="minorHAnsi"/>
          <w:i w:val="0"/>
          <w:color w:val="auto"/>
          <w:sz w:val="28"/>
          <w:szCs w:val="28"/>
        </w:rPr>
        <w:t>oszty budowy infrastruktury</w:t>
      </w:r>
      <w:r w:rsidR="00A803E1">
        <w:rPr>
          <w:rFonts w:asciiTheme="minorHAnsi" w:hAnsiTheme="minorHAnsi" w:cstheme="minorHAnsi"/>
          <w:i w:val="0"/>
          <w:color w:val="auto"/>
          <w:sz w:val="28"/>
          <w:szCs w:val="28"/>
        </w:rPr>
        <w:t xml:space="preserve"> dedykowanej</w:t>
      </w:r>
      <w:r w:rsidR="007471F3">
        <w:rPr>
          <w:rFonts w:asciiTheme="minorHAnsi" w:hAnsiTheme="minorHAnsi" w:cstheme="minorHAnsi"/>
          <w:i w:val="0"/>
          <w:color w:val="auto"/>
          <w:sz w:val="28"/>
          <w:szCs w:val="28"/>
        </w:rPr>
        <w:t>.</w:t>
      </w:r>
      <w:bookmarkEnd w:id="172"/>
    </w:p>
    <w:p w14:paraId="47349480" w14:textId="6A82A0E7" w:rsidR="00A803E1" w:rsidRPr="00B004CC" w:rsidRDefault="00A803E1" w:rsidP="00B004CC">
      <w:pPr>
        <w:rPr>
          <w:strike/>
        </w:rPr>
      </w:pPr>
      <w:r>
        <w:rPr>
          <w:rFonts w:eastAsia="Calibri" w:cstheme="minorHAnsi"/>
          <w:sz w:val="24"/>
          <w:szCs w:val="24"/>
        </w:rPr>
        <w:t xml:space="preserve">W ramach tej kategorii za kwalifikowalne uznaje się całkowite koszty </w:t>
      </w:r>
      <w:r w:rsidRPr="00654481">
        <w:rPr>
          <w:rFonts w:eastAsia="Calibri" w:cstheme="minorHAnsi"/>
          <w:sz w:val="24"/>
          <w:szCs w:val="24"/>
        </w:rPr>
        <w:t>inwestycji polegając</w:t>
      </w:r>
      <w:r>
        <w:rPr>
          <w:rFonts w:eastAsia="Calibri" w:cstheme="minorHAnsi"/>
          <w:sz w:val="24"/>
          <w:szCs w:val="24"/>
        </w:rPr>
        <w:t>ej</w:t>
      </w:r>
      <w:r w:rsidRPr="00654481">
        <w:rPr>
          <w:rFonts w:eastAsia="Calibri" w:cstheme="minorHAnsi"/>
          <w:sz w:val="24"/>
          <w:szCs w:val="24"/>
        </w:rPr>
        <w:t xml:space="preserve"> na budowie infrastruktury dedykowanej, o której mowa w art. 2 pkt 130 </w:t>
      </w:r>
      <w:r w:rsidR="00B004CC">
        <w:rPr>
          <w:rFonts w:eastAsia="Calibri" w:cstheme="minorHAnsi"/>
          <w:sz w:val="24"/>
          <w:szCs w:val="24"/>
        </w:rPr>
        <w:t>ostatnie zdanie</w:t>
      </w:r>
      <w:r w:rsidRPr="00654481">
        <w:rPr>
          <w:rFonts w:eastAsia="Calibri" w:cstheme="minorHAnsi"/>
          <w:sz w:val="24"/>
          <w:szCs w:val="24"/>
        </w:rPr>
        <w:t xml:space="preserve"> </w:t>
      </w:r>
      <w:r w:rsidR="0023001A">
        <w:rPr>
          <w:rFonts w:eastAsia="Calibri" w:cstheme="minorHAnsi"/>
          <w:sz w:val="24"/>
          <w:szCs w:val="24"/>
        </w:rPr>
        <w:t>R</w:t>
      </w:r>
      <w:r w:rsidRPr="00654481">
        <w:rPr>
          <w:rFonts w:eastAsia="Calibri" w:cstheme="minorHAnsi"/>
          <w:sz w:val="24"/>
          <w:szCs w:val="24"/>
        </w:rPr>
        <w:t xml:space="preserve">ozporządzenia </w:t>
      </w:r>
      <w:r>
        <w:rPr>
          <w:rFonts w:eastAsia="Calibri" w:cstheme="minorHAnsi"/>
          <w:sz w:val="24"/>
          <w:szCs w:val="24"/>
        </w:rPr>
        <w:t xml:space="preserve">KE </w:t>
      </w:r>
      <w:r w:rsidRPr="00654481">
        <w:rPr>
          <w:rFonts w:eastAsia="Calibri" w:cstheme="minorHAnsi"/>
          <w:sz w:val="24"/>
          <w:szCs w:val="24"/>
        </w:rPr>
        <w:t>nr 651/2014, dla wodoru</w:t>
      </w:r>
      <w:r w:rsidR="0023001A">
        <w:rPr>
          <w:rFonts w:eastAsia="Calibri" w:cstheme="minorHAnsi"/>
          <w:sz w:val="24"/>
          <w:szCs w:val="24"/>
        </w:rPr>
        <w:t xml:space="preserve"> odnawialnego</w:t>
      </w:r>
      <w:r w:rsidRPr="00E879EB">
        <w:rPr>
          <w:rFonts w:eastAsia="Calibri" w:cstheme="minorHAnsi"/>
          <w:sz w:val="24"/>
          <w:szCs w:val="24"/>
        </w:rPr>
        <w:t>, ciepła</w:t>
      </w:r>
      <w:r w:rsidRPr="00654481">
        <w:rPr>
          <w:rFonts w:eastAsia="Calibri" w:cstheme="minorHAnsi"/>
          <w:sz w:val="24"/>
          <w:szCs w:val="24"/>
        </w:rPr>
        <w:t xml:space="preserve"> odpadowego lub dwutlenku węgla. </w:t>
      </w:r>
      <w:r w:rsidR="003F7429">
        <w:rPr>
          <w:rFonts w:eastAsia="Calibri" w:cstheme="minorHAnsi"/>
          <w:sz w:val="24"/>
          <w:szCs w:val="24"/>
        </w:rPr>
        <w:t>Kwalifikowalne są k</w:t>
      </w:r>
      <w:r w:rsidRPr="00654481">
        <w:rPr>
          <w:rFonts w:eastAsia="Calibri" w:cstheme="minorHAnsi"/>
          <w:sz w:val="24"/>
          <w:szCs w:val="24"/>
        </w:rPr>
        <w:t>oszty budowy lub modernizacji obiektów do magazynowania</w:t>
      </w:r>
      <w:r w:rsidR="003F7429">
        <w:rPr>
          <w:rFonts w:eastAsia="Calibri" w:cstheme="minorHAnsi"/>
          <w:sz w:val="24"/>
          <w:szCs w:val="24"/>
        </w:rPr>
        <w:t xml:space="preserve">  </w:t>
      </w:r>
      <w:r w:rsidRPr="00654481">
        <w:rPr>
          <w:rFonts w:eastAsia="Calibri" w:cstheme="minorHAnsi"/>
          <w:sz w:val="24"/>
          <w:szCs w:val="24"/>
        </w:rPr>
        <w:t xml:space="preserve">wodoru odnawialnego i wodoru spełniającego warunki określone w art. 36 ust. 1b akapit drugi rozporządzenia </w:t>
      </w:r>
      <w:r w:rsidR="00B004CC">
        <w:rPr>
          <w:rFonts w:eastAsia="Calibri" w:cstheme="minorHAnsi"/>
          <w:sz w:val="24"/>
          <w:szCs w:val="24"/>
        </w:rPr>
        <w:t xml:space="preserve">KE </w:t>
      </w:r>
      <w:r w:rsidRPr="00654481">
        <w:rPr>
          <w:rFonts w:eastAsia="Calibri" w:cstheme="minorHAnsi"/>
          <w:sz w:val="24"/>
          <w:szCs w:val="24"/>
        </w:rPr>
        <w:t>nr 651/2014</w:t>
      </w:r>
      <w:r w:rsidR="003F7429">
        <w:rPr>
          <w:rFonts w:eastAsia="Calibri" w:cstheme="minorHAnsi"/>
          <w:sz w:val="24"/>
          <w:szCs w:val="24"/>
        </w:rPr>
        <w:t xml:space="preserve">. </w:t>
      </w:r>
    </w:p>
    <w:p w14:paraId="266889A7" w14:textId="4105CA69" w:rsidR="0019541A" w:rsidRPr="008A311C" w:rsidRDefault="00270098" w:rsidP="00053C04">
      <w:pPr>
        <w:pStyle w:val="Nagwek4"/>
        <w:spacing w:before="120" w:line="276" w:lineRule="auto"/>
        <w:ind w:left="567" w:hanging="567"/>
        <w:rPr>
          <w:rFonts w:asciiTheme="minorHAnsi" w:hAnsiTheme="minorHAnsi" w:cstheme="minorHAnsi"/>
          <w:i w:val="0"/>
          <w:color w:val="auto"/>
          <w:sz w:val="28"/>
          <w:szCs w:val="28"/>
        </w:rPr>
      </w:pPr>
      <w:bookmarkStart w:id="173" w:name="_Toc148716425"/>
      <w:r w:rsidRPr="008A311C">
        <w:rPr>
          <w:rFonts w:asciiTheme="minorHAnsi" w:hAnsiTheme="minorHAnsi" w:cstheme="minorHAnsi"/>
          <w:i w:val="0"/>
          <w:color w:val="auto"/>
          <w:sz w:val="28"/>
          <w:szCs w:val="28"/>
        </w:rPr>
        <w:t>7.3.1</w:t>
      </w:r>
      <w:r w:rsidR="00E879EB">
        <w:rPr>
          <w:rFonts w:asciiTheme="minorHAnsi" w:hAnsiTheme="minorHAnsi" w:cstheme="minorHAnsi"/>
          <w:i w:val="0"/>
          <w:color w:val="auto"/>
          <w:sz w:val="28"/>
          <w:szCs w:val="28"/>
        </w:rPr>
        <w:t>1</w:t>
      </w:r>
      <w:r w:rsidRPr="008A311C">
        <w:rPr>
          <w:rFonts w:asciiTheme="minorHAnsi" w:hAnsiTheme="minorHAnsi" w:cstheme="minorHAnsi"/>
          <w:i w:val="0"/>
          <w:color w:val="auto"/>
          <w:sz w:val="28"/>
          <w:szCs w:val="28"/>
        </w:rPr>
        <w:t xml:space="preserve"> </w:t>
      </w:r>
      <w:r w:rsidR="00600351" w:rsidRPr="008A311C">
        <w:rPr>
          <w:rFonts w:asciiTheme="minorHAnsi" w:hAnsiTheme="minorHAnsi" w:cstheme="minorHAnsi"/>
          <w:i w:val="0"/>
          <w:color w:val="auto"/>
          <w:sz w:val="28"/>
          <w:szCs w:val="28"/>
        </w:rPr>
        <w:t>Ochrona środowiska</w:t>
      </w:r>
      <w:r w:rsidR="00A8540D" w:rsidRPr="008A311C">
        <w:rPr>
          <w:rFonts w:asciiTheme="minorHAnsi" w:hAnsiTheme="minorHAnsi" w:cstheme="minorHAnsi"/>
          <w:i w:val="0"/>
          <w:color w:val="auto"/>
          <w:sz w:val="28"/>
          <w:szCs w:val="28"/>
        </w:rPr>
        <w:t>, w tym obniżenie emisyjności</w:t>
      </w:r>
      <w:r w:rsidR="00600351" w:rsidRPr="008A311C">
        <w:rPr>
          <w:rFonts w:asciiTheme="minorHAnsi" w:hAnsiTheme="minorHAnsi" w:cstheme="minorHAnsi"/>
          <w:i w:val="0"/>
          <w:color w:val="auto"/>
          <w:sz w:val="28"/>
          <w:szCs w:val="28"/>
        </w:rPr>
        <w:t xml:space="preserve">  - c</w:t>
      </w:r>
      <w:r w:rsidRPr="008A311C">
        <w:rPr>
          <w:rFonts w:asciiTheme="minorHAnsi" w:hAnsiTheme="minorHAnsi" w:cstheme="minorHAnsi"/>
          <w:i w:val="0"/>
          <w:color w:val="auto"/>
          <w:sz w:val="28"/>
          <w:szCs w:val="28"/>
        </w:rPr>
        <w:t>ałkowite koszty inwestycji (obniżona intensywność pomocy)</w:t>
      </w:r>
      <w:bookmarkEnd w:id="173"/>
      <w:r w:rsidR="001F25E4" w:rsidRPr="008A311C">
        <w:rPr>
          <w:rFonts w:asciiTheme="minorHAnsi" w:hAnsiTheme="minorHAnsi" w:cstheme="minorHAnsi"/>
          <w:i w:val="0"/>
          <w:color w:val="auto"/>
          <w:sz w:val="28"/>
          <w:szCs w:val="28"/>
        </w:rPr>
        <w:t xml:space="preserve"> </w:t>
      </w:r>
    </w:p>
    <w:p w14:paraId="18B5CB14" w14:textId="40126BC0" w:rsidR="00270098" w:rsidRDefault="00270098" w:rsidP="00762814">
      <w:pPr>
        <w:spacing w:after="120" w:line="276" w:lineRule="auto"/>
        <w:rPr>
          <w:rFonts w:eastAsia="Calibri" w:cstheme="minorHAnsi"/>
          <w:sz w:val="24"/>
          <w:szCs w:val="24"/>
        </w:rPr>
      </w:pPr>
      <w:r>
        <w:rPr>
          <w:rFonts w:eastAsia="Calibri" w:cstheme="minorHAnsi"/>
          <w:sz w:val="24"/>
          <w:szCs w:val="24"/>
        </w:rPr>
        <w:t xml:space="preserve">W ramach tej kategorii </w:t>
      </w:r>
      <w:r w:rsidR="001F25E4">
        <w:rPr>
          <w:rFonts w:eastAsia="Calibri" w:cstheme="minorHAnsi"/>
          <w:sz w:val="24"/>
          <w:szCs w:val="24"/>
        </w:rPr>
        <w:t xml:space="preserve">za </w:t>
      </w:r>
      <w:r>
        <w:rPr>
          <w:rFonts w:eastAsia="Calibri" w:cstheme="minorHAnsi"/>
          <w:sz w:val="24"/>
          <w:szCs w:val="24"/>
        </w:rPr>
        <w:t xml:space="preserve">kwalifikowane </w:t>
      </w:r>
      <w:r w:rsidR="001F25E4" w:rsidRPr="001F25E4">
        <w:rPr>
          <w:rFonts w:eastAsia="Calibri" w:cstheme="minorHAnsi"/>
          <w:sz w:val="24"/>
          <w:szCs w:val="24"/>
        </w:rPr>
        <w:t>uznaje się całkowite koszty</w:t>
      </w:r>
      <w:r w:rsidR="001F25E4">
        <w:rPr>
          <w:rFonts w:eastAsia="Calibri" w:cstheme="minorHAnsi"/>
          <w:sz w:val="24"/>
          <w:szCs w:val="24"/>
        </w:rPr>
        <w:t xml:space="preserve"> </w:t>
      </w:r>
      <w:r>
        <w:rPr>
          <w:rFonts w:eastAsia="Calibri" w:cstheme="minorHAnsi"/>
          <w:sz w:val="24"/>
          <w:szCs w:val="24"/>
        </w:rPr>
        <w:t>inwestycji bezpośrednio związane z osiągnięciem wyższego poziomu ochrony środowiska</w:t>
      </w:r>
      <w:r w:rsidR="005C1325">
        <w:rPr>
          <w:rFonts w:eastAsia="Calibri" w:cstheme="minorHAnsi"/>
          <w:sz w:val="24"/>
          <w:szCs w:val="24"/>
        </w:rPr>
        <w:t>, inne</w:t>
      </w:r>
      <w:r w:rsidR="00411322">
        <w:rPr>
          <w:rFonts w:eastAsia="Calibri" w:cstheme="minorHAnsi"/>
          <w:sz w:val="24"/>
          <w:szCs w:val="24"/>
        </w:rPr>
        <w:t xml:space="preserve"> niż</w:t>
      </w:r>
      <w:r w:rsidR="005C1325">
        <w:rPr>
          <w:rFonts w:eastAsia="Calibri" w:cstheme="minorHAnsi"/>
          <w:sz w:val="24"/>
          <w:szCs w:val="24"/>
        </w:rPr>
        <w:t xml:space="preserve"> </w:t>
      </w:r>
      <w:r w:rsidR="008A218B">
        <w:rPr>
          <w:rFonts w:eastAsia="Calibri" w:cstheme="minorHAnsi"/>
          <w:sz w:val="24"/>
          <w:szCs w:val="24"/>
        </w:rPr>
        <w:t xml:space="preserve"> </w:t>
      </w:r>
      <w:r w:rsidR="005C1325">
        <w:rPr>
          <w:rFonts w:eastAsia="Calibri" w:cstheme="minorHAnsi"/>
          <w:sz w:val="24"/>
          <w:szCs w:val="24"/>
        </w:rPr>
        <w:t>wymienione w pkt. 7.3.8 oraz 7.3.</w:t>
      </w:r>
      <w:r w:rsidR="00E879EB">
        <w:rPr>
          <w:rFonts w:eastAsia="Calibri" w:cstheme="minorHAnsi"/>
          <w:sz w:val="24"/>
          <w:szCs w:val="24"/>
        </w:rPr>
        <w:t>10</w:t>
      </w:r>
      <w:r w:rsidR="005C1325">
        <w:rPr>
          <w:rFonts w:eastAsia="Calibri" w:cstheme="minorHAnsi"/>
          <w:sz w:val="24"/>
          <w:szCs w:val="24"/>
        </w:rPr>
        <w:t xml:space="preserve">. </w:t>
      </w:r>
      <w:r w:rsidR="00411322">
        <w:rPr>
          <w:rFonts w:eastAsia="Calibri" w:cstheme="minorHAnsi"/>
          <w:sz w:val="24"/>
          <w:szCs w:val="24"/>
        </w:rPr>
        <w:t>Jednocześnie p</w:t>
      </w:r>
      <w:r w:rsidR="005C1325">
        <w:rPr>
          <w:rFonts w:eastAsia="Calibri" w:cstheme="minorHAnsi"/>
          <w:sz w:val="24"/>
          <w:szCs w:val="24"/>
        </w:rPr>
        <w:t>oziomy intensywności</w:t>
      </w:r>
      <w:r w:rsidR="00411322">
        <w:rPr>
          <w:rFonts w:eastAsia="Calibri" w:cstheme="minorHAnsi"/>
          <w:sz w:val="24"/>
          <w:szCs w:val="24"/>
        </w:rPr>
        <w:t>,</w:t>
      </w:r>
      <w:r w:rsidR="005C1325">
        <w:rPr>
          <w:rFonts w:eastAsia="Calibri" w:cstheme="minorHAnsi"/>
          <w:sz w:val="24"/>
          <w:szCs w:val="24"/>
        </w:rPr>
        <w:t xml:space="preserve"> o których mowa w pkt. </w:t>
      </w:r>
      <w:r w:rsidR="00D41B29">
        <w:rPr>
          <w:rFonts w:eastAsia="Calibri" w:cstheme="minorHAnsi"/>
          <w:sz w:val="24"/>
          <w:szCs w:val="24"/>
        </w:rPr>
        <w:t>7.2 lit d) oraz premie z tytułu statusu przedsiębiorstwa oraz lokalizacji inwestycji są zmniejszone o 50%</w:t>
      </w:r>
      <w:r w:rsidR="00411322">
        <w:rPr>
          <w:rFonts w:eastAsia="Calibri" w:cstheme="minorHAnsi"/>
          <w:sz w:val="24"/>
          <w:szCs w:val="24"/>
        </w:rPr>
        <w:t>,</w:t>
      </w:r>
      <w:r w:rsidR="00D41B29">
        <w:rPr>
          <w:rFonts w:eastAsia="Calibri" w:cstheme="minorHAnsi"/>
          <w:sz w:val="24"/>
          <w:szCs w:val="24"/>
        </w:rPr>
        <w:t xml:space="preserve"> </w:t>
      </w:r>
      <w:r w:rsidR="00411322">
        <w:rPr>
          <w:rFonts w:eastAsia="Calibri" w:cstheme="minorHAnsi"/>
          <w:sz w:val="24"/>
          <w:szCs w:val="24"/>
        </w:rPr>
        <w:t xml:space="preserve">zgodnie z zasadą odstępstwa, o której mowa w art. 36 ust. 11 </w:t>
      </w:r>
      <w:r w:rsidR="00411322" w:rsidRPr="00654481">
        <w:rPr>
          <w:rFonts w:eastAsia="Calibri" w:cstheme="minorHAnsi"/>
          <w:sz w:val="24"/>
          <w:szCs w:val="24"/>
        </w:rPr>
        <w:t xml:space="preserve">rozporządzenia </w:t>
      </w:r>
      <w:r w:rsidR="00411322">
        <w:rPr>
          <w:rFonts w:eastAsia="Calibri" w:cstheme="minorHAnsi"/>
          <w:sz w:val="24"/>
          <w:szCs w:val="24"/>
        </w:rPr>
        <w:t xml:space="preserve">KE </w:t>
      </w:r>
      <w:r w:rsidR="00411322" w:rsidRPr="00654481">
        <w:rPr>
          <w:rFonts w:eastAsia="Calibri" w:cstheme="minorHAnsi"/>
          <w:sz w:val="24"/>
          <w:szCs w:val="24"/>
        </w:rPr>
        <w:t>nr 651/2014</w:t>
      </w:r>
      <w:r w:rsidR="00411322">
        <w:rPr>
          <w:rFonts w:eastAsia="Calibri" w:cstheme="minorHAnsi"/>
          <w:sz w:val="24"/>
          <w:szCs w:val="24"/>
        </w:rPr>
        <w:t>.</w:t>
      </w:r>
    </w:p>
    <w:p w14:paraId="2E317FFB" w14:textId="672779B7" w:rsidR="00B103C1" w:rsidRDefault="007F73CA" w:rsidP="00762814">
      <w:pPr>
        <w:spacing w:after="120" w:line="276" w:lineRule="auto"/>
        <w:rPr>
          <w:rFonts w:eastAsia="Calibri" w:cstheme="minorHAnsi"/>
          <w:sz w:val="24"/>
          <w:szCs w:val="24"/>
        </w:rPr>
      </w:pPr>
      <w:r w:rsidRPr="00762814">
        <w:rPr>
          <w:rFonts w:eastAsia="Calibri" w:cstheme="minorHAnsi"/>
          <w:sz w:val="24"/>
          <w:szCs w:val="24"/>
        </w:rPr>
        <w:t xml:space="preserve">Za koszty inwestycji uznaje się koszty nabycia: </w:t>
      </w:r>
      <w:r w:rsidR="009D123A" w:rsidRPr="00762814">
        <w:rPr>
          <w:rFonts w:eastAsia="Calibri" w:cstheme="minorHAnsi"/>
          <w:sz w:val="24"/>
          <w:szCs w:val="24"/>
        </w:rPr>
        <w:t xml:space="preserve">gruntów; nieruchomości zabudowanych; </w:t>
      </w:r>
      <w:r w:rsidRPr="00762814">
        <w:rPr>
          <w:rFonts w:eastAsia="Calibri" w:cstheme="minorHAnsi"/>
          <w:sz w:val="24"/>
          <w:szCs w:val="24"/>
        </w:rPr>
        <w:t>środków trwałych innych niż nieruchomości; wartości niematerialnych i prawnych lub robót i materiałów budowlanych.</w:t>
      </w:r>
    </w:p>
    <w:p w14:paraId="602FCB15" w14:textId="77777777" w:rsidR="003A4297" w:rsidRPr="00762814" w:rsidRDefault="003A4297" w:rsidP="00762814">
      <w:pPr>
        <w:spacing w:after="120" w:line="276" w:lineRule="auto"/>
        <w:rPr>
          <w:rFonts w:eastAsia="Calibri" w:cstheme="minorHAnsi"/>
          <w:sz w:val="24"/>
          <w:szCs w:val="24"/>
        </w:rPr>
      </w:pPr>
    </w:p>
    <w:p w14:paraId="2DC91D0D" w14:textId="20B97D36" w:rsidR="00CC53F4" w:rsidRPr="00053C04" w:rsidRDefault="00CC53F4" w:rsidP="00762814">
      <w:pPr>
        <w:spacing w:after="120" w:line="276" w:lineRule="auto"/>
        <w:contextualSpacing/>
        <w:rPr>
          <w:rFonts w:eastAsia="Calibri" w:cstheme="minorHAnsi"/>
          <w:b/>
          <w:sz w:val="24"/>
          <w:szCs w:val="24"/>
        </w:rPr>
      </w:pPr>
      <w:r w:rsidRPr="00762814">
        <w:rPr>
          <w:rFonts w:eastAsia="Calibri" w:cstheme="minorHAnsi"/>
          <w:bCs/>
          <w:sz w:val="24"/>
          <w:szCs w:val="24"/>
        </w:rPr>
        <w:t>W ramach</w:t>
      </w:r>
      <w:r w:rsidRPr="00762814">
        <w:rPr>
          <w:rFonts w:eastAsia="Calibri" w:cstheme="minorHAnsi"/>
          <w:b/>
          <w:bCs/>
          <w:sz w:val="24"/>
          <w:szCs w:val="24"/>
        </w:rPr>
        <w:t xml:space="preserve"> pomocy </w:t>
      </w:r>
      <w:r w:rsidRPr="00762814">
        <w:rPr>
          <w:rFonts w:eastAsia="Calibri" w:cstheme="minorHAnsi"/>
          <w:b/>
          <w:sz w:val="24"/>
          <w:szCs w:val="24"/>
        </w:rPr>
        <w:t>inwestycyjnej na środki wspierające efektywność energetyczną</w:t>
      </w:r>
      <w:r w:rsidR="00B246DA" w:rsidRPr="00D41B29">
        <w:rPr>
          <w:b/>
          <w:sz w:val="24"/>
        </w:rPr>
        <w:t xml:space="preserve"> </w:t>
      </w:r>
      <w:r w:rsidR="00B246DA" w:rsidRPr="002B5037">
        <w:rPr>
          <w:rFonts w:eastAsia="Calibri" w:cstheme="minorHAnsi"/>
          <w:b/>
          <w:sz w:val="24"/>
          <w:szCs w:val="24"/>
        </w:rPr>
        <w:t>inną niż w  budynkach</w:t>
      </w:r>
      <w:r w:rsidRPr="00762814">
        <w:rPr>
          <w:rFonts w:eastAsia="Calibri" w:cstheme="minorHAnsi"/>
          <w:sz w:val="24"/>
          <w:szCs w:val="24"/>
        </w:rPr>
        <w:t xml:space="preserve"> </w:t>
      </w:r>
      <w:r w:rsidRPr="00762814">
        <w:rPr>
          <w:rFonts w:eastAsia="Calibri" w:cstheme="minorHAnsi"/>
          <w:b/>
          <w:sz w:val="24"/>
          <w:szCs w:val="24"/>
        </w:rPr>
        <w:t>(art. 38 rozporządzenia Komisji (UE) nr 651/2014)</w:t>
      </w:r>
      <w:r w:rsidRPr="00762814">
        <w:rPr>
          <w:rFonts w:eastAsia="Calibri" w:cstheme="minorHAnsi"/>
          <w:sz w:val="24"/>
          <w:szCs w:val="24"/>
        </w:rPr>
        <w:t xml:space="preserve"> </w:t>
      </w:r>
      <w:r w:rsidRPr="00762814">
        <w:rPr>
          <w:rFonts w:eastAsia="Calibri" w:cstheme="minorHAnsi"/>
          <w:bCs/>
          <w:sz w:val="24"/>
          <w:szCs w:val="24"/>
        </w:rPr>
        <w:t xml:space="preserve">kwalifikowalne są koszty wymienione w pozycjach od </w:t>
      </w:r>
      <w:r w:rsidRPr="00053C04">
        <w:rPr>
          <w:rFonts w:eastAsia="Calibri" w:cstheme="minorHAnsi"/>
          <w:b/>
          <w:bCs/>
          <w:sz w:val="24"/>
          <w:szCs w:val="24"/>
        </w:rPr>
        <w:t>7</w:t>
      </w:r>
      <w:r w:rsidRPr="003B299A">
        <w:rPr>
          <w:rFonts w:eastAsia="Calibri" w:cstheme="minorHAnsi"/>
          <w:b/>
          <w:bCs/>
          <w:sz w:val="24"/>
          <w:szCs w:val="24"/>
        </w:rPr>
        <w:t>.3.1</w:t>
      </w:r>
      <w:r w:rsidR="00D72B3D">
        <w:rPr>
          <w:rFonts w:eastAsia="Calibri" w:cstheme="minorHAnsi"/>
          <w:b/>
          <w:bCs/>
          <w:sz w:val="24"/>
          <w:szCs w:val="24"/>
        </w:rPr>
        <w:t>2</w:t>
      </w:r>
      <w:r w:rsidRPr="00053C04">
        <w:rPr>
          <w:rFonts w:eastAsia="Calibri" w:cstheme="minorHAnsi"/>
          <w:b/>
          <w:bCs/>
          <w:sz w:val="24"/>
          <w:szCs w:val="24"/>
        </w:rPr>
        <w:t xml:space="preserve"> do </w:t>
      </w:r>
      <w:r w:rsidR="00980E0E" w:rsidRPr="00053C04">
        <w:rPr>
          <w:rFonts w:eastAsia="Calibri" w:cstheme="minorHAnsi"/>
          <w:b/>
          <w:bCs/>
          <w:sz w:val="24"/>
          <w:szCs w:val="24"/>
        </w:rPr>
        <w:t>7.3.1</w:t>
      </w:r>
      <w:r w:rsidR="00D72B3D">
        <w:rPr>
          <w:rFonts w:eastAsia="Calibri" w:cstheme="minorHAnsi"/>
          <w:b/>
          <w:bCs/>
          <w:sz w:val="24"/>
          <w:szCs w:val="24"/>
        </w:rPr>
        <w:t>3</w:t>
      </w:r>
      <w:r w:rsidR="002C1AD5" w:rsidRPr="00053C04">
        <w:rPr>
          <w:rFonts w:eastAsia="Calibri" w:cstheme="minorHAnsi"/>
          <w:b/>
          <w:bCs/>
          <w:sz w:val="24"/>
          <w:szCs w:val="24"/>
        </w:rPr>
        <w:t>.</w:t>
      </w:r>
    </w:p>
    <w:p w14:paraId="38E2765C" w14:textId="01C649C4" w:rsidR="00CC53F4" w:rsidRPr="00762814" w:rsidRDefault="00AB42D1" w:rsidP="00D41B29">
      <w:pPr>
        <w:spacing w:after="120" w:line="276" w:lineRule="auto"/>
        <w:contextualSpacing/>
        <w:rPr>
          <w:rFonts w:eastAsia="Calibri" w:cstheme="minorHAnsi"/>
          <w:sz w:val="24"/>
          <w:szCs w:val="24"/>
        </w:rPr>
      </w:pPr>
      <w:r w:rsidRPr="00762814">
        <w:rPr>
          <w:rFonts w:cstheme="minorHAnsi"/>
          <w:sz w:val="24"/>
          <w:szCs w:val="24"/>
        </w:rPr>
        <w:t>Kwalifikowane są tylko i wyłącznie koszty bezpośrednio związane z osiągnięciem wyższego poziomu</w:t>
      </w:r>
      <w:r w:rsidR="00D41B29">
        <w:rPr>
          <w:rFonts w:cstheme="minorHAnsi"/>
          <w:sz w:val="24"/>
          <w:szCs w:val="24"/>
        </w:rPr>
        <w:t xml:space="preserve"> </w:t>
      </w:r>
      <w:r w:rsidR="003B442B" w:rsidRPr="00053C04">
        <w:rPr>
          <w:rFonts w:eastAsia="Calibri" w:cstheme="minorHAnsi"/>
          <w:b/>
          <w:sz w:val="24"/>
          <w:szCs w:val="24"/>
        </w:rPr>
        <w:t>efektywności energetycznej</w:t>
      </w:r>
      <w:r w:rsidR="002F2D12" w:rsidRPr="002F2D12">
        <w:rPr>
          <w:rFonts w:eastAsia="Calibri" w:cstheme="minorHAnsi"/>
          <w:sz w:val="24"/>
          <w:szCs w:val="24"/>
        </w:rPr>
        <w:t xml:space="preserve"> </w:t>
      </w:r>
      <w:r w:rsidR="002F2D12" w:rsidRPr="00E1147F">
        <w:rPr>
          <w:rFonts w:eastAsia="Calibri" w:cstheme="minorHAnsi"/>
          <w:sz w:val="24"/>
          <w:szCs w:val="24"/>
        </w:rPr>
        <w:t>innej niż w budynkach</w:t>
      </w:r>
      <w:r w:rsidR="002F2D12">
        <w:rPr>
          <w:rFonts w:eastAsia="Calibri" w:cstheme="minorHAnsi"/>
          <w:sz w:val="24"/>
          <w:szCs w:val="24"/>
        </w:rPr>
        <w:t xml:space="preserve">, </w:t>
      </w:r>
      <w:r w:rsidRPr="00762814">
        <w:rPr>
          <w:rFonts w:cstheme="minorHAnsi"/>
          <w:sz w:val="24"/>
          <w:szCs w:val="24"/>
        </w:rPr>
        <w:t xml:space="preserve">o której mowa w art. </w:t>
      </w:r>
      <w:r w:rsidR="002F2D12">
        <w:rPr>
          <w:rFonts w:cstheme="minorHAnsi"/>
          <w:sz w:val="24"/>
          <w:szCs w:val="24"/>
        </w:rPr>
        <w:t xml:space="preserve">2 </w:t>
      </w:r>
      <w:r w:rsidR="00AE46D2" w:rsidRPr="00D41B29">
        <w:t xml:space="preserve">ust. 103 </w:t>
      </w:r>
      <w:r w:rsidR="00AE46D2" w:rsidRPr="00053C04">
        <w:rPr>
          <w:rFonts w:eastAsia="Calibri" w:cstheme="minorHAnsi"/>
          <w:sz w:val="24"/>
          <w:szCs w:val="24"/>
        </w:rPr>
        <w:t>ww. rozporządzenia</w:t>
      </w:r>
      <w:r w:rsidR="003B442B" w:rsidRPr="00E1147F">
        <w:rPr>
          <w:rFonts w:eastAsia="Calibri" w:cstheme="minorHAnsi"/>
          <w:sz w:val="24"/>
          <w:szCs w:val="24"/>
        </w:rPr>
        <w:t>.</w:t>
      </w:r>
      <w:r w:rsidR="003B442B">
        <w:rPr>
          <w:rFonts w:eastAsia="Calibri" w:cstheme="minorHAnsi"/>
          <w:sz w:val="24"/>
          <w:szCs w:val="24"/>
        </w:rPr>
        <w:t xml:space="preserve"> </w:t>
      </w:r>
      <w:bookmarkStart w:id="174" w:name="_Hlk122541794"/>
    </w:p>
    <w:p w14:paraId="5C706D23" w14:textId="7335124D" w:rsidR="00AB42D1" w:rsidRDefault="00AB42D1" w:rsidP="00762814">
      <w:pPr>
        <w:spacing w:after="120" w:line="276" w:lineRule="auto"/>
        <w:rPr>
          <w:rFonts w:cstheme="minorHAnsi"/>
          <w:sz w:val="24"/>
          <w:szCs w:val="24"/>
        </w:rPr>
      </w:pPr>
      <w:r w:rsidRPr="00762814">
        <w:rPr>
          <w:rFonts w:cstheme="minorHAnsi"/>
          <w:sz w:val="24"/>
          <w:szCs w:val="24"/>
        </w:rPr>
        <w:t>Wydatków, które nie są bezpośrednio związane z osiągnięciem wyższego poziomu efektywności energetycznej, nie uznaje się za kwalifikowalne.</w:t>
      </w:r>
    </w:p>
    <w:p w14:paraId="190EFD79" w14:textId="6BD85CC2" w:rsidR="00450858" w:rsidRDefault="00450858" w:rsidP="00762814">
      <w:pPr>
        <w:spacing w:after="120" w:line="276" w:lineRule="auto"/>
        <w:rPr>
          <w:rFonts w:eastAsia="Calibri" w:cstheme="minorHAnsi"/>
          <w:sz w:val="24"/>
          <w:szCs w:val="24"/>
        </w:rPr>
      </w:pPr>
      <w:r w:rsidRPr="00762814">
        <w:rPr>
          <w:rFonts w:eastAsia="Calibri" w:cstheme="minorHAnsi"/>
          <w:sz w:val="24"/>
          <w:szCs w:val="24"/>
        </w:rPr>
        <w:t>Za koszty inwestycji uznaje się koszty nabycia: gruntów; nieruchomości zabudowanych</w:t>
      </w:r>
      <w:r w:rsidR="00300D63" w:rsidRPr="00762814">
        <w:rPr>
          <w:rFonts w:eastAsia="Calibri" w:cstheme="minorHAnsi"/>
          <w:sz w:val="24"/>
          <w:szCs w:val="24"/>
        </w:rPr>
        <w:t>;</w:t>
      </w:r>
      <w:r w:rsidRPr="00762814">
        <w:rPr>
          <w:rFonts w:eastAsia="Calibri" w:cstheme="minorHAnsi"/>
          <w:sz w:val="24"/>
          <w:szCs w:val="24"/>
        </w:rPr>
        <w:t xml:space="preserve"> środków trwałych innych niż nieruchomości; wartości niematerialnych i prawnych lub robót i materiałów budowlanych.</w:t>
      </w:r>
    </w:p>
    <w:p w14:paraId="22C3F057" w14:textId="4E9EB6D7" w:rsidR="00DC2239" w:rsidRPr="0037181B" w:rsidRDefault="00D240AF" w:rsidP="00DC2239">
      <w:pPr>
        <w:pStyle w:val="Nagwek4"/>
        <w:spacing w:before="120" w:line="276" w:lineRule="auto"/>
        <w:ind w:left="709" w:hanging="709"/>
        <w:rPr>
          <w:rFonts w:asciiTheme="minorHAnsi" w:hAnsiTheme="minorHAnsi" w:cstheme="minorHAnsi"/>
          <w:i w:val="0"/>
          <w:color w:val="auto"/>
          <w:sz w:val="28"/>
          <w:szCs w:val="28"/>
        </w:rPr>
      </w:pPr>
      <w:bookmarkStart w:id="175" w:name="_Toc148716426"/>
      <w:r>
        <w:rPr>
          <w:rFonts w:asciiTheme="minorHAnsi" w:hAnsiTheme="minorHAnsi" w:cstheme="minorHAnsi"/>
          <w:i w:val="0"/>
          <w:color w:val="auto"/>
          <w:sz w:val="28"/>
          <w:szCs w:val="28"/>
        </w:rPr>
        <w:t>7.3.</w:t>
      </w:r>
      <w:r w:rsidR="0019541A">
        <w:rPr>
          <w:rFonts w:asciiTheme="minorHAnsi" w:hAnsiTheme="minorHAnsi" w:cstheme="minorHAnsi"/>
          <w:i w:val="0"/>
          <w:color w:val="auto"/>
          <w:sz w:val="28"/>
          <w:szCs w:val="28"/>
        </w:rPr>
        <w:t>1</w:t>
      </w:r>
      <w:r w:rsidR="00E879EB">
        <w:rPr>
          <w:rFonts w:asciiTheme="minorHAnsi" w:hAnsiTheme="minorHAnsi" w:cstheme="minorHAnsi"/>
          <w:i w:val="0"/>
          <w:color w:val="auto"/>
          <w:sz w:val="28"/>
          <w:szCs w:val="28"/>
        </w:rPr>
        <w:t>2</w:t>
      </w:r>
      <w:r w:rsidR="0019541A">
        <w:rPr>
          <w:rFonts w:asciiTheme="minorHAnsi" w:hAnsiTheme="minorHAnsi" w:cstheme="minorHAnsi"/>
          <w:i w:val="0"/>
          <w:color w:val="auto"/>
          <w:sz w:val="28"/>
          <w:szCs w:val="28"/>
        </w:rPr>
        <w:t xml:space="preserve"> </w:t>
      </w:r>
      <w:r w:rsidR="00600351">
        <w:rPr>
          <w:rFonts w:asciiTheme="minorHAnsi" w:hAnsiTheme="minorHAnsi" w:cstheme="minorHAnsi"/>
          <w:i w:val="0"/>
          <w:color w:val="auto"/>
          <w:sz w:val="28"/>
          <w:szCs w:val="28"/>
        </w:rPr>
        <w:t>Ef</w:t>
      </w:r>
      <w:r w:rsidR="00600351" w:rsidRPr="00A416FA">
        <w:rPr>
          <w:rFonts w:asciiTheme="minorHAnsi" w:hAnsiTheme="minorHAnsi" w:cstheme="minorHAnsi"/>
          <w:i w:val="0"/>
          <w:color w:val="auto"/>
          <w:sz w:val="28"/>
          <w:szCs w:val="28"/>
        </w:rPr>
        <w:t>ektywność energetyczna</w:t>
      </w:r>
      <w:r w:rsidR="00600351">
        <w:rPr>
          <w:rFonts w:asciiTheme="minorHAnsi" w:hAnsiTheme="minorHAnsi" w:cstheme="minorHAnsi"/>
          <w:i w:val="0"/>
          <w:color w:val="auto"/>
          <w:sz w:val="28"/>
          <w:szCs w:val="28"/>
        </w:rPr>
        <w:t xml:space="preserve"> - c</w:t>
      </w:r>
      <w:r w:rsidR="0019541A">
        <w:rPr>
          <w:rFonts w:asciiTheme="minorHAnsi" w:hAnsiTheme="minorHAnsi" w:cstheme="minorHAnsi"/>
          <w:i w:val="0"/>
          <w:color w:val="auto"/>
          <w:sz w:val="28"/>
          <w:szCs w:val="28"/>
        </w:rPr>
        <w:t xml:space="preserve">ałkowite </w:t>
      </w:r>
      <w:r w:rsidR="00DC2239" w:rsidRPr="0037181B">
        <w:rPr>
          <w:rFonts w:asciiTheme="minorHAnsi" w:hAnsiTheme="minorHAnsi" w:cstheme="minorHAnsi"/>
          <w:i w:val="0"/>
          <w:color w:val="auto"/>
          <w:sz w:val="28"/>
          <w:szCs w:val="28"/>
        </w:rPr>
        <w:t>koszty inwestycj</w:t>
      </w:r>
      <w:r w:rsidR="00DC2239" w:rsidRPr="005030A2">
        <w:rPr>
          <w:rFonts w:asciiTheme="minorHAnsi" w:hAnsiTheme="minorHAnsi" w:cstheme="minorHAnsi"/>
          <w:i w:val="0"/>
          <w:color w:val="auto"/>
          <w:sz w:val="28"/>
          <w:szCs w:val="28"/>
        </w:rPr>
        <w:t>i</w:t>
      </w:r>
      <w:bookmarkEnd w:id="175"/>
      <w:r w:rsidR="00891C05">
        <w:rPr>
          <w:rFonts w:asciiTheme="minorHAnsi" w:hAnsiTheme="minorHAnsi" w:cstheme="minorHAnsi"/>
          <w:i w:val="0"/>
          <w:color w:val="auto"/>
          <w:sz w:val="28"/>
          <w:szCs w:val="28"/>
        </w:rPr>
        <w:t xml:space="preserve"> </w:t>
      </w:r>
    </w:p>
    <w:p w14:paraId="3B3DC5C9" w14:textId="015C4D92" w:rsidR="00BF7716" w:rsidRPr="00A803E1" w:rsidRDefault="008A5159" w:rsidP="00BF7716">
      <w:pPr>
        <w:spacing w:after="120" w:line="276" w:lineRule="auto"/>
        <w:rPr>
          <w:rFonts w:eastAsia="Calibri" w:cstheme="minorHAnsi"/>
          <w:sz w:val="24"/>
          <w:szCs w:val="24"/>
        </w:rPr>
      </w:pPr>
      <w:r w:rsidRPr="00066E2B">
        <w:rPr>
          <w:rFonts w:eastAsia="Calibri" w:cstheme="minorHAnsi"/>
          <w:sz w:val="24"/>
          <w:szCs w:val="24"/>
        </w:rPr>
        <w:t xml:space="preserve">W ramach tej kategorii </w:t>
      </w:r>
      <w:r w:rsidRPr="00762814">
        <w:rPr>
          <w:rFonts w:eastAsia="Calibri" w:cstheme="minorHAnsi"/>
          <w:sz w:val="24"/>
          <w:szCs w:val="24"/>
        </w:rPr>
        <w:t xml:space="preserve">za koszty kwalifikowalne uznaje się </w:t>
      </w:r>
      <w:r w:rsidR="00257336">
        <w:rPr>
          <w:rFonts w:eastAsia="Calibri" w:cstheme="minorHAnsi"/>
          <w:sz w:val="24"/>
          <w:szCs w:val="24"/>
        </w:rPr>
        <w:t>całkowite</w:t>
      </w:r>
      <w:r w:rsidRPr="00762814">
        <w:rPr>
          <w:rFonts w:eastAsia="Calibri" w:cstheme="minorHAnsi"/>
          <w:sz w:val="24"/>
          <w:szCs w:val="24"/>
        </w:rPr>
        <w:t xml:space="preserve"> koszty </w:t>
      </w:r>
      <w:r w:rsidR="00257336">
        <w:rPr>
          <w:rFonts w:eastAsia="Calibri" w:cstheme="minorHAnsi"/>
          <w:sz w:val="24"/>
          <w:szCs w:val="24"/>
        </w:rPr>
        <w:t>inwestycji</w:t>
      </w:r>
      <w:r w:rsidR="00FC2470">
        <w:rPr>
          <w:rFonts w:eastAsia="Calibri" w:cstheme="minorHAnsi"/>
          <w:sz w:val="24"/>
          <w:szCs w:val="24"/>
        </w:rPr>
        <w:t xml:space="preserve"> łatwej do zidentyfikowania</w:t>
      </w:r>
      <w:r w:rsidR="00257336">
        <w:rPr>
          <w:rFonts w:eastAsia="Calibri" w:cstheme="minorHAnsi"/>
          <w:sz w:val="24"/>
          <w:szCs w:val="24"/>
        </w:rPr>
        <w:t xml:space="preserve">, </w:t>
      </w:r>
      <w:r w:rsidRPr="00762814">
        <w:rPr>
          <w:rFonts w:eastAsia="Calibri" w:cstheme="minorHAnsi"/>
          <w:sz w:val="24"/>
          <w:szCs w:val="24"/>
        </w:rPr>
        <w:t>któr</w:t>
      </w:r>
      <w:r w:rsidR="00FC2470">
        <w:rPr>
          <w:rFonts w:eastAsia="Calibri" w:cstheme="minorHAnsi"/>
          <w:sz w:val="24"/>
          <w:szCs w:val="24"/>
        </w:rPr>
        <w:t xml:space="preserve">ej celem </w:t>
      </w:r>
      <w:r w:rsidR="00257336">
        <w:rPr>
          <w:rFonts w:eastAsia="Calibri" w:cstheme="minorHAnsi"/>
          <w:sz w:val="24"/>
          <w:szCs w:val="24"/>
        </w:rPr>
        <w:t>jest</w:t>
      </w:r>
      <w:r w:rsidRPr="00762814">
        <w:rPr>
          <w:rFonts w:eastAsia="Calibri" w:cstheme="minorHAnsi"/>
          <w:sz w:val="24"/>
          <w:szCs w:val="24"/>
        </w:rPr>
        <w:t xml:space="preserve"> w</w:t>
      </w:r>
      <w:r w:rsidR="0019541A">
        <w:rPr>
          <w:rFonts w:eastAsia="Calibri" w:cstheme="minorHAnsi"/>
          <w:sz w:val="24"/>
          <w:szCs w:val="24"/>
        </w:rPr>
        <w:t>yłącznie popraw</w:t>
      </w:r>
      <w:r w:rsidR="00FC2470">
        <w:rPr>
          <w:rFonts w:eastAsia="Calibri" w:cstheme="minorHAnsi"/>
          <w:sz w:val="24"/>
          <w:szCs w:val="24"/>
        </w:rPr>
        <w:t>a</w:t>
      </w:r>
      <w:r w:rsidRPr="00762814">
        <w:rPr>
          <w:rFonts w:eastAsia="Calibri" w:cstheme="minorHAnsi"/>
          <w:sz w:val="24"/>
          <w:szCs w:val="24"/>
        </w:rPr>
        <w:t xml:space="preserve"> efektywności energetyczn</w:t>
      </w:r>
      <w:r w:rsidR="0019541A">
        <w:rPr>
          <w:rFonts w:eastAsia="Calibri" w:cstheme="minorHAnsi"/>
          <w:sz w:val="24"/>
          <w:szCs w:val="24"/>
        </w:rPr>
        <w:t>ej</w:t>
      </w:r>
      <w:r w:rsidR="00257336">
        <w:rPr>
          <w:rFonts w:eastAsia="Calibri" w:cstheme="minorHAnsi"/>
          <w:sz w:val="24"/>
          <w:szCs w:val="24"/>
        </w:rPr>
        <w:t xml:space="preserve"> </w:t>
      </w:r>
      <w:r w:rsidRPr="00762814">
        <w:rPr>
          <w:rFonts w:eastAsia="Calibri" w:cstheme="minorHAnsi"/>
          <w:sz w:val="24"/>
          <w:szCs w:val="24"/>
        </w:rPr>
        <w:t xml:space="preserve">i </w:t>
      </w:r>
      <w:r w:rsidR="00FC2470">
        <w:rPr>
          <w:rFonts w:eastAsia="Calibri" w:cstheme="minorHAnsi"/>
          <w:sz w:val="24"/>
          <w:szCs w:val="24"/>
        </w:rPr>
        <w:t xml:space="preserve">dla której </w:t>
      </w:r>
      <w:r w:rsidR="0019541A">
        <w:rPr>
          <w:rFonts w:eastAsia="Calibri" w:cstheme="minorHAnsi"/>
          <w:sz w:val="24"/>
          <w:szCs w:val="24"/>
        </w:rPr>
        <w:t>nie istnieje alternatywna inwestycja mniej energooszczędna</w:t>
      </w:r>
      <w:r w:rsidR="00BF7716">
        <w:rPr>
          <w:rFonts w:eastAsia="Calibri" w:cstheme="minorHAnsi"/>
          <w:sz w:val="24"/>
          <w:szCs w:val="24"/>
        </w:rPr>
        <w:t xml:space="preserve"> . </w:t>
      </w:r>
    </w:p>
    <w:p w14:paraId="24EAA7E3" w14:textId="5D6FD8CF" w:rsidR="00257336" w:rsidRDefault="00DC2239" w:rsidP="005D3E75">
      <w:pPr>
        <w:pStyle w:val="Nagwek4"/>
        <w:spacing w:before="120" w:line="276" w:lineRule="auto"/>
      </w:pPr>
      <w:bookmarkStart w:id="176" w:name="_Toc142307903"/>
      <w:bookmarkStart w:id="177" w:name="_Toc148716427"/>
      <w:r w:rsidRPr="000F3996">
        <w:rPr>
          <w:rFonts w:asciiTheme="minorHAnsi" w:hAnsiTheme="minorHAnsi" w:cstheme="minorHAnsi"/>
          <w:i w:val="0"/>
          <w:color w:val="auto"/>
          <w:sz w:val="28"/>
          <w:szCs w:val="28"/>
        </w:rPr>
        <w:t>7.3.</w:t>
      </w:r>
      <w:r w:rsidR="0019541A">
        <w:rPr>
          <w:rFonts w:asciiTheme="minorHAnsi" w:hAnsiTheme="minorHAnsi" w:cstheme="minorHAnsi"/>
          <w:i w:val="0"/>
          <w:color w:val="auto"/>
          <w:sz w:val="28"/>
          <w:szCs w:val="28"/>
        </w:rPr>
        <w:t>1</w:t>
      </w:r>
      <w:r w:rsidR="00E879EB">
        <w:rPr>
          <w:rFonts w:asciiTheme="minorHAnsi" w:hAnsiTheme="minorHAnsi" w:cstheme="minorHAnsi"/>
          <w:i w:val="0"/>
          <w:color w:val="auto"/>
          <w:sz w:val="28"/>
          <w:szCs w:val="28"/>
        </w:rPr>
        <w:t>3</w:t>
      </w:r>
      <w:r w:rsidRPr="000F3996">
        <w:rPr>
          <w:rFonts w:asciiTheme="minorHAnsi" w:hAnsiTheme="minorHAnsi" w:cstheme="minorHAnsi"/>
          <w:i w:val="0"/>
          <w:color w:val="auto"/>
          <w:sz w:val="28"/>
          <w:szCs w:val="28"/>
        </w:rPr>
        <w:t xml:space="preserve"> </w:t>
      </w:r>
      <w:r w:rsidR="00600351">
        <w:rPr>
          <w:rFonts w:asciiTheme="minorHAnsi" w:hAnsiTheme="minorHAnsi" w:cstheme="minorHAnsi"/>
          <w:i w:val="0"/>
          <w:color w:val="auto"/>
          <w:sz w:val="28"/>
          <w:szCs w:val="28"/>
        </w:rPr>
        <w:t>E</w:t>
      </w:r>
      <w:r w:rsidR="00600351" w:rsidRPr="000F3996">
        <w:rPr>
          <w:rFonts w:asciiTheme="minorHAnsi" w:hAnsiTheme="minorHAnsi" w:cstheme="minorHAnsi"/>
          <w:i w:val="0"/>
          <w:color w:val="auto"/>
          <w:sz w:val="28"/>
          <w:szCs w:val="28"/>
        </w:rPr>
        <w:t xml:space="preserve">fektywność energetyczna </w:t>
      </w:r>
      <w:r w:rsidR="00600351">
        <w:rPr>
          <w:rFonts w:asciiTheme="minorHAnsi" w:hAnsiTheme="minorHAnsi" w:cstheme="minorHAnsi"/>
          <w:i w:val="0"/>
          <w:color w:val="auto"/>
          <w:sz w:val="28"/>
          <w:szCs w:val="28"/>
        </w:rPr>
        <w:t>- c</w:t>
      </w:r>
      <w:r w:rsidRPr="000F3996">
        <w:rPr>
          <w:rFonts w:asciiTheme="minorHAnsi" w:hAnsiTheme="minorHAnsi" w:cstheme="minorHAnsi"/>
          <w:i w:val="0"/>
          <w:color w:val="auto"/>
          <w:sz w:val="28"/>
          <w:szCs w:val="28"/>
        </w:rPr>
        <w:t>ałkowite koszty inwestycji</w:t>
      </w:r>
      <w:r w:rsidR="00600351">
        <w:rPr>
          <w:rFonts w:asciiTheme="minorHAnsi" w:hAnsiTheme="minorHAnsi" w:cstheme="minorHAnsi"/>
          <w:i w:val="0"/>
          <w:color w:val="auto"/>
          <w:sz w:val="28"/>
          <w:szCs w:val="28"/>
        </w:rPr>
        <w:t xml:space="preserve"> </w:t>
      </w:r>
      <w:r w:rsidRPr="000F3996">
        <w:rPr>
          <w:rFonts w:asciiTheme="minorHAnsi" w:hAnsiTheme="minorHAnsi" w:cstheme="minorHAnsi"/>
          <w:i w:val="0"/>
          <w:color w:val="auto"/>
          <w:sz w:val="28"/>
          <w:szCs w:val="28"/>
        </w:rPr>
        <w:t>(obniżona intensywność)</w:t>
      </w:r>
      <w:bookmarkEnd w:id="176"/>
      <w:r w:rsidR="00FC2470">
        <w:rPr>
          <w:rFonts w:asciiTheme="minorHAnsi" w:hAnsiTheme="minorHAnsi" w:cstheme="minorHAnsi"/>
          <w:i w:val="0"/>
          <w:color w:val="auto"/>
          <w:sz w:val="28"/>
          <w:szCs w:val="28"/>
        </w:rPr>
        <w:t>.</w:t>
      </w:r>
      <w:bookmarkEnd w:id="177"/>
    </w:p>
    <w:p w14:paraId="2D74F5B0" w14:textId="48289847" w:rsidR="00813C6A" w:rsidRDefault="00257336" w:rsidP="00813C6A">
      <w:pPr>
        <w:spacing w:after="120" w:line="276" w:lineRule="auto"/>
        <w:rPr>
          <w:rFonts w:eastAsia="Calibri" w:cstheme="minorHAnsi"/>
          <w:sz w:val="24"/>
          <w:szCs w:val="24"/>
        </w:rPr>
      </w:pPr>
      <w:r>
        <w:rPr>
          <w:rFonts w:eastAsia="Calibri" w:cstheme="minorHAnsi"/>
          <w:sz w:val="24"/>
          <w:szCs w:val="24"/>
        </w:rPr>
        <w:t xml:space="preserve">W ramach tej kategorii </w:t>
      </w:r>
      <w:r w:rsidR="00813C6A">
        <w:rPr>
          <w:rFonts w:eastAsia="Calibri" w:cstheme="minorHAnsi"/>
          <w:sz w:val="24"/>
          <w:szCs w:val="24"/>
        </w:rPr>
        <w:t xml:space="preserve">za </w:t>
      </w:r>
      <w:r>
        <w:rPr>
          <w:rFonts w:eastAsia="Calibri" w:cstheme="minorHAnsi"/>
          <w:sz w:val="24"/>
          <w:szCs w:val="24"/>
        </w:rPr>
        <w:t xml:space="preserve">kwalifikowane </w:t>
      </w:r>
      <w:r w:rsidR="00813C6A">
        <w:rPr>
          <w:rFonts w:eastAsia="Calibri" w:cstheme="minorHAnsi"/>
          <w:sz w:val="24"/>
          <w:szCs w:val="24"/>
        </w:rPr>
        <w:t>uznaje się k</w:t>
      </w:r>
      <w:r>
        <w:rPr>
          <w:rFonts w:eastAsia="Calibri" w:cstheme="minorHAnsi"/>
          <w:sz w:val="24"/>
          <w:szCs w:val="24"/>
        </w:rPr>
        <w:t>oszty inwestycji bezpośrednio związane z poprawą efektywności energetycznej, inn</w:t>
      </w:r>
      <w:r w:rsidR="00FC2470">
        <w:rPr>
          <w:rFonts w:eastAsia="Calibri" w:cstheme="minorHAnsi"/>
          <w:sz w:val="24"/>
          <w:szCs w:val="24"/>
        </w:rPr>
        <w:t>e</w:t>
      </w:r>
      <w:r>
        <w:rPr>
          <w:rFonts w:eastAsia="Calibri" w:cstheme="minorHAnsi"/>
          <w:sz w:val="24"/>
          <w:szCs w:val="24"/>
        </w:rPr>
        <w:t xml:space="preserve"> niż określon</w:t>
      </w:r>
      <w:r w:rsidR="00FC2470">
        <w:rPr>
          <w:rFonts w:eastAsia="Calibri" w:cstheme="minorHAnsi"/>
          <w:sz w:val="24"/>
          <w:szCs w:val="24"/>
        </w:rPr>
        <w:t>e</w:t>
      </w:r>
      <w:r>
        <w:rPr>
          <w:rFonts w:eastAsia="Calibri" w:cstheme="minorHAnsi"/>
          <w:sz w:val="24"/>
          <w:szCs w:val="24"/>
        </w:rPr>
        <w:t xml:space="preserve"> w pkt. 7.3.1</w:t>
      </w:r>
      <w:r w:rsidR="00E879EB">
        <w:rPr>
          <w:rFonts w:eastAsia="Calibri" w:cstheme="minorHAnsi"/>
          <w:sz w:val="24"/>
          <w:szCs w:val="24"/>
        </w:rPr>
        <w:t>2</w:t>
      </w:r>
      <w:r w:rsidR="00813C6A">
        <w:rPr>
          <w:rFonts w:eastAsia="Calibri" w:cstheme="minorHAnsi"/>
          <w:sz w:val="24"/>
          <w:szCs w:val="24"/>
        </w:rPr>
        <w:t xml:space="preserve">. </w:t>
      </w:r>
      <w:r w:rsidR="00B8396B">
        <w:rPr>
          <w:rFonts w:eastAsia="Calibri" w:cstheme="minorHAnsi"/>
          <w:sz w:val="24"/>
          <w:szCs w:val="24"/>
        </w:rPr>
        <w:t xml:space="preserve">, </w:t>
      </w:r>
      <w:r w:rsidR="0037155B">
        <w:rPr>
          <w:rFonts w:eastAsia="Calibri" w:cstheme="minorHAnsi"/>
          <w:sz w:val="24"/>
          <w:szCs w:val="24"/>
        </w:rPr>
        <w:t xml:space="preserve">w przypadku inwestycji, </w:t>
      </w:r>
      <w:r w:rsidR="00B8396B">
        <w:rPr>
          <w:rFonts w:eastAsia="Calibri" w:cstheme="minorHAnsi"/>
          <w:sz w:val="24"/>
          <w:szCs w:val="24"/>
        </w:rPr>
        <w:t>dla któr</w:t>
      </w:r>
      <w:r w:rsidR="0037155B">
        <w:rPr>
          <w:rFonts w:eastAsia="Calibri" w:cstheme="minorHAnsi"/>
          <w:sz w:val="24"/>
          <w:szCs w:val="24"/>
        </w:rPr>
        <w:t>ej</w:t>
      </w:r>
      <w:r w:rsidR="00BF7716">
        <w:rPr>
          <w:rFonts w:eastAsia="Calibri" w:cstheme="minorHAnsi"/>
          <w:sz w:val="24"/>
          <w:szCs w:val="24"/>
        </w:rPr>
        <w:t xml:space="preserve"> istniałby scenariusz alternatywny</w:t>
      </w:r>
      <w:r w:rsidR="0037155B">
        <w:rPr>
          <w:rFonts w:eastAsia="Calibri" w:cstheme="minorHAnsi"/>
          <w:sz w:val="24"/>
          <w:szCs w:val="24"/>
        </w:rPr>
        <w:t>,</w:t>
      </w:r>
      <w:r w:rsidR="00BF7716">
        <w:rPr>
          <w:rFonts w:eastAsia="Calibri" w:cstheme="minorHAnsi"/>
          <w:sz w:val="24"/>
          <w:szCs w:val="24"/>
        </w:rPr>
        <w:t xml:space="preserve"> o którym mowa w art. 38 ust. 3</w:t>
      </w:r>
      <w:r>
        <w:rPr>
          <w:rFonts w:eastAsia="Calibri" w:cstheme="minorHAnsi"/>
          <w:sz w:val="24"/>
          <w:szCs w:val="24"/>
        </w:rPr>
        <w:t xml:space="preserve">. </w:t>
      </w:r>
      <w:r w:rsidR="0037155B">
        <w:rPr>
          <w:rFonts w:eastAsia="Calibri" w:cstheme="minorHAnsi"/>
          <w:sz w:val="24"/>
          <w:szCs w:val="24"/>
        </w:rPr>
        <w:t>J</w:t>
      </w:r>
      <w:r w:rsidR="00FC2470">
        <w:rPr>
          <w:rFonts w:eastAsia="Calibri" w:cstheme="minorHAnsi"/>
          <w:sz w:val="24"/>
          <w:szCs w:val="24"/>
        </w:rPr>
        <w:t>ednocześnie</w:t>
      </w:r>
      <w:r>
        <w:rPr>
          <w:rFonts w:eastAsia="Calibri" w:cstheme="minorHAnsi"/>
          <w:sz w:val="24"/>
          <w:szCs w:val="24"/>
        </w:rPr>
        <w:t xml:space="preserve"> poziomy intensywności</w:t>
      </w:r>
      <w:r w:rsidR="00FC2470">
        <w:rPr>
          <w:rFonts w:eastAsia="Calibri" w:cstheme="minorHAnsi"/>
          <w:sz w:val="24"/>
          <w:szCs w:val="24"/>
        </w:rPr>
        <w:t>,</w:t>
      </w:r>
      <w:r>
        <w:rPr>
          <w:rFonts w:eastAsia="Calibri" w:cstheme="minorHAnsi"/>
          <w:sz w:val="24"/>
          <w:szCs w:val="24"/>
        </w:rPr>
        <w:t xml:space="preserve"> o których mowa w pkt. 7.2 lit </w:t>
      </w:r>
      <w:r w:rsidR="00FC2470">
        <w:rPr>
          <w:rFonts w:eastAsia="Calibri" w:cstheme="minorHAnsi"/>
          <w:sz w:val="24"/>
          <w:szCs w:val="24"/>
        </w:rPr>
        <w:t>e</w:t>
      </w:r>
      <w:r>
        <w:rPr>
          <w:rFonts w:eastAsia="Calibri" w:cstheme="minorHAnsi"/>
          <w:sz w:val="24"/>
          <w:szCs w:val="24"/>
        </w:rPr>
        <w:t xml:space="preserve">) oraz premie z tytułu statusu przedsiębiorstwa </w:t>
      </w:r>
      <w:r w:rsidR="00FC2470">
        <w:rPr>
          <w:rFonts w:eastAsia="Calibri" w:cstheme="minorHAnsi"/>
          <w:sz w:val="24"/>
          <w:szCs w:val="24"/>
        </w:rPr>
        <w:t>i</w:t>
      </w:r>
      <w:r>
        <w:rPr>
          <w:rFonts w:eastAsia="Calibri" w:cstheme="minorHAnsi"/>
          <w:sz w:val="24"/>
          <w:szCs w:val="24"/>
        </w:rPr>
        <w:t xml:space="preserve"> lokalizacji inwestycji są zmniejszone o 50%</w:t>
      </w:r>
      <w:r w:rsidR="00813C6A">
        <w:rPr>
          <w:rFonts w:eastAsia="Calibri" w:cstheme="minorHAnsi"/>
          <w:sz w:val="24"/>
          <w:szCs w:val="24"/>
        </w:rPr>
        <w:t xml:space="preserve"> zgodnie z zasadą odstępstwa, o której mowa w art. 38 ust. 8 R</w:t>
      </w:r>
      <w:r w:rsidR="00813C6A" w:rsidRPr="00654481">
        <w:rPr>
          <w:rFonts w:eastAsia="Calibri" w:cstheme="minorHAnsi"/>
          <w:sz w:val="24"/>
          <w:szCs w:val="24"/>
        </w:rPr>
        <w:t xml:space="preserve">ozporządzenia </w:t>
      </w:r>
      <w:r w:rsidR="00813C6A">
        <w:rPr>
          <w:rFonts w:eastAsia="Calibri" w:cstheme="minorHAnsi"/>
          <w:sz w:val="24"/>
          <w:szCs w:val="24"/>
        </w:rPr>
        <w:t xml:space="preserve">KE </w:t>
      </w:r>
      <w:r w:rsidR="00813C6A" w:rsidRPr="00654481">
        <w:rPr>
          <w:rFonts w:eastAsia="Calibri" w:cstheme="minorHAnsi"/>
          <w:sz w:val="24"/>
          <w:szCs w:val="24"/>
        </w:rPr>
        <w:t>nr 651/2014</w:t>
      </w:r>
      <w:r w:rsidR="00813C6A">
        <w:rPr>
          <w:rFonts w:eastAsia="Calibri" w:cstheme="minorHAnsi"/>
          <w:sz w:val="24"/>
          <w:szCs w:val="24"/>
        </w:rPr>
        <w:t>.</w:t>
      </w:r>
    </w:p>
    <w:p w14:paraId="15BDE136" w14:textId="6BCC64FD" w:rsidR="00546BB5" w:rsidRDefault="00546BB5" w:rsidP="00762814">
      <w:pPr>
        <w:spacing w:after="120" w:line="276" w:lineRule="auto"/>
        <w:rPr>
          <w:rFonts w:eastAsia="Calibri" w:cstheme="minorHAnsi"/>
          <w:sz w:val="24"/>
          <w:szCs w:val="24"/>
        </w:rPr>
      </w:pPr>
    </w:p>
    <w:p w14:paraId="7D60AFDD" w14:textId="13B47411" w:rsidR="00546BB5" w:rsidRPr="006E62C2" w:rsidRDefault="00546BB5" w:rsidP="00546BB5">
      <w:pPr>
        <w:pStyle w:val="Nagwek4"/>
        <w:spacing w:before="120" w:line="276" w:lineRule="auto"/>
        <w:ind w:left="709" w:hanging="709"/>
        <w:rPr>
          <w:rFonts w:asciiTheme="minorHAnsi" w:hAnsiTheme="minorHAnsi" w:cstheme="minorHAnsi"/>
          <w:i w:val="0"/>
          <w:color w:val="auto"/>
          <w:sz w:val="28"/>
          <w:szCs w:val="28"/>
        </w:rPr>
      </w:pPr>
      <w:bookmarkStart w:id="178" w:name="_Toc142307904"/>
      <w:bookmarkStart w:id="179" w:name="_Toc148716428"/>
      <w:r w:rsidRPr="006E62C2">
        <w:rPr>
          <w:rFonts w:asciiTheme="minorHAnsi" w:hAnsiTheme="minorHAnsi" w:cstheme="minorHAnsi"/>
          <w:i w:val="0"/>
          <w:color w:val="auto"/>
          <w:sz w:val="28"/>
          <w:szCs w:val="28"/>
        </w:rPr>
        <w:t>7.3.1</w:t>
      </w:r>
      <w:r w:rsidR="00E879EB">
        <w:rPr>
          <w:rFonts w:asciiTheme="minorHAnsi" w:hAnsiTheme="minorHAnsi" w:cstheme="minorHAnsi"/>
          <w:i w:val="0"/>
          <w:color w:val="auto"/>
          <w:sz w:val="28"/>
          <w:szCs w:val="28"/>
        </w:rPr>
        <w:t>4</w:t>
      </w:r>
      <w:r w:rsidRPr="006E62C2">
        <w:rPr>
          <w:rFonts w:asciiTheme="minorHAnsi" w:hAnsiTheme="minorHAnsi" w:cstheme="minorHAnsi"/>
          <w:i w:val="0"/>
          <w:color w:val="auto"/>
          <w:sz w:val="28"/>
          <w:szCs w:val="28"/>
        </w:rPr>
        <w:t xml:space="preserve">. </w:t>
      </w:r>
      <w:r w:rsidR="00637E7F">
        <w:rPr>
          <w:rFonts w:asciiTheme="minorHAnsi" w:hAnsiTheme="minorHAnsi" w:cstheme="minorHAnsi"/>
          <w:i w:val="0"/>
          <w:color w:val="auto"/>
          <w:sz w:val="28"/>
          <w:szCs w:val="28"/>
        </w:rPr>
        <w:t>E</w:t>
      </w:r>
      <w:r w:rsidR="00637E7F" w:rsidRPr="006E62C2">
        <w:rPr>
          <w:rFonts w:asciiTheme="minorHAnsi" w:hAnsiTheme="minorHAnsi" w:cstheme="minorHAnsi"/>
          <w:i w:val="0"/>
          <w:color w:val="auto"/>
          <w:sz w:val="28"/>
          <w:szCs w:val="28"/>
        </w:rPr>
        <w:t>fektywność energetyczna w budynkach</w:t>
      </w:r>
      <w:r w:rsidR="00637E7F" w:rsidRPr="006E62C2" w:rsidDel="00066E2B">
        <w:rPr>
          <w:rFonts w:asciiTheme="minorHAnsi" w:hAnsiTheme="minorHAnsi" w:cstheme="minorHAnsi"/>
          <w:i w:val="0"/>
          <w:color w:val="auto"/>
          <w:sz w:val="28"/>
          <w:szCs w:val="28"/>
        </w:rPr>
        <w:t xml:space="preserve"> </w:t>
      </w:r>
      <w:r w:rsidR="00637E7F">
        <w:rPr>
          <w:rFonts w:asciiTheme="minorHAnsi" w:hAnsiTheme="minorHAnsi" w:cstheme="minorHAnsi"/>
          <w:i w:val="0"/>
          <w:color w:val="auto"/>
          <w:sz w:val="28"/>
          <w:szCs w:val="28"/>
        </w:rPr>
        <w:t xml:space="preserve">- </w:t>
      </w:r>
      <w:r w:rsidRPr="006E62C2">
        <w:rPr>
          <w:rFonts w:asciiTheme="minorHAnsi" w:hAnsiTheme="minorHAnsi" w:cstheme="minorHAnsi"/>
          <w:i w:val="0"/>
          <w:color w:val="auto"/>
          <w:sz w:val="28"/>
          <w:szCs w:val="28"/>
        </w:rPr>
        <w:t>Całkowite koszty inwestycji.</w:t>
      </w:r>
      <w:bookmarkEnd w:id="178"/>
      <w:bookmarkEnd w:id="179"/>
      <w:r w:rsidRPr="006E62C2">
        <w:rPr>
          <w:rFonts w:asciiTheme="minorHAnsi" w:hAnsiTheme="minorHAnsi" w:cstheme="minorHAnsi"/>
          <w:i w:val="0"/>
          <w:color w:val="auto"/>
          <w:sz w:val="28"/>
          <w:szCs w:val="28"/>
        </w:rPr>
        <w:t xml:space="preserve"> </w:t>
      </w:r>
    </w:p>
    <w:p w14:paraId="0147ADE5" w14:textId="13E20A7B" w:rsidR="00546BB5" w:rsidRPr="00C03564" w:rsidRDefault="004A7826" w:rsidP="00546BB5">
      <w:pPr>
        <w:rPr>
          <w:rFonts w:eastAsiaTheme="majorEastAsia" w:cstheme="minorHAnsi"/>
          <w:iCs/>
          <w:sz w:val="24"/>
          <w:szCs w:val="24"/>
        </w:rPr>
      </w:pPr>
      <w:r>
        <w:rPr>
          <w:rFonts w:eastAsiaTheme="majorEastAsia" w:cstheme="minorHAnsi"/>
          <w:sz w:val="24"/>
          <w:szCs w:val="24"/>
        </w:rPr>
        <w:t xml:space="preserve">Koszty te objęte są </w:t>
      </w:r>
      <w:r w:rsidR="00546BB5" w:rsidRPr="0019541A">
        <w:rPr>
          <w:b/>
          <w:sz w:val="24"/>
        </w:rPr>
        <w:t>pomoc</w:t>
      </w:r>
      <w:r>
        <w:rPr>
          <w:b/>
          <w:sz w:val="24"/>
        </w:rPr>
        <w:t>ą</w:t>
      </w:r>
      <w:r w:rsidR="00546BB5" w:rsidRPr="00CA563B">
        <w:rPr>
          <w:rFonts w:eastAsiaTheme="majorEastAsia" w:cstheme="minorHAnsi"/>
          <w:b/>
          <w:sz w:val="24"/>
          <w:szCs w:val="24"/>
        </w:rPr>
        <w:t xml:space="preserve"> </w:t>
      </w:r>
      <w:r w:rsidR="00546BB5" w:rsidRPr="0019541A">
        <w:rPr>
          <w:b/>
          <w:sz w:val="24"/>
        </w:rPr>
        <w:t>inwestycyjn</w:t>
      </w:r>
      <w:r>
        <w:rPr>
          <w:b/>
          <w:sz w:val="24"/>
        </w:rPr>
        <w:t xml:space="preserve">ą </w:t>
      </w:r>
      <w:r w:rsidR="00546BB5" w:rsidRPr="00CA563B">
        <w:rPr>
          <w:rFonts w:eastAsiaTheme="majorEastAsia" w:cstheme="minorHAnsi"/>
          <w:b/>
          <w:sz w:val="24"/>
          <w:szCs w:val="24"/>
        </w:rPr>
        <w:t xml:space="preserve">na środki wspierające efektywność energetyczną </w:t>
      </w:r>
      <w:r w:rsidR="00546BB5" w:rsidRPr="0019541A">
        <w:rPr>
          <w:b/>
          <w:sz w:val="24"/>
        </w:rPr>
        <w:t xml:space="preserve">w </w:t>
      </w:r>
      <w:r w:rsidR="00546BB5" w:rsidRPr="00CA563B">
        <w:rPr>
          <w:rFonts w:eastAsiaTheme="majorEastAsia" w:cstheme="minorHAnsi"/>
          <w:b/>
          <w:sz w:val="24"/>
          <w:szCs w:val="24"/>
        </w:rPr>
        <w:t xml:space="preserve"> budynkach</w:t>
      </w:r>
      <w:r w:rsidR="00546BB5" w:rsidRPr="00CA563B">
        <w:rPr>
          <w:sz w:val="24"/>
        </w:rPr>
        <w:t xml:space="preserve"> (art. </w:t>
      </w:r>
      <w:r w:rsidR="00546BB5" w:rsidRPr="00033DD9">
        <w:rPr>
          <w:rFonts w:eastAsiaTheme="majorEastAsia" w:cstheme="minorHAnsi"/>
          <w:sz w:val="24"/>
          <w:szCs w:val="24"/>
        </w:rPr>
        <w:t>38</w:t>
      </w:r>
      <w:r w:rsidR="00546BB5" w:rsidRPr="00C03564">
        <w:rPr>
          <w:rFonts w:eastAsiaTheme="majorEastAsia" w:cstheme="minorHAnsi"/>
          <w:iCs/>
          <w:sz w:val="24"/>
          <w:szCs w:val="24"/>
        </w:rPr>
        <w:t>a</w:t>
      </w:r>
      <w:r w:rsidR="00546BB5" w:rsidRPr="00CA563B">
        <w:rPr>
          <w:sz w:val="24"/>
        </w:rPr>
        <w:t xml:space="preserve"> </w:t>
      </w:r>
      <w:r w:rsidR="00E879EB">
        <w:rPr>
          <w:sz w:val="24"/>
        </w:rPr>
        <w:t>r</w:t>
      </w:r>
      <w:r w:rsidR="00546BB5" w:rsidRPr="00CA563B">
        <w:rPr>
          <w:sz w:val="24"/>
        </w:rPr>
        <w:t>ozporządzenia Komisji (UE) nr 651/2014)</w:t>
      </w:r>
      <w:r>
        <w:rPr>
          <w:sz w:val="24"/>
        </w:rPr>
        <w:t xml:space="preserve">. </w:t>
      </w:r>
      <w:r w:rsidR="00546BB5" w:rsidRPr="008A2E5E">
        <w:rPr>
          <w:rFonts w:eastAsiaTheme="majorEastAsia" w:cstheme="minorHAnsi"/>
          <w:sz w:val="24"/>
          <w:szCs w:val="24"/>
        </w:rPr>
        <w:t xml:space="preserve"> </w:t>
      </w:r>
    </w:p>
    <w:p w14:paraId="082A255A" w14:textId="2260EAA6" w:rsidR="0072788C" w:rsidRDefault="00546BB5" w:rsidP="0037155B">
      <w:pPr>
        <w:rPr>
          <w:sz w:val="24"/>
          <w:szCs w:val="24"/>
        </w:rPr>
      </w:pPr>
      <w:r w:rsidRPr="00CA563B">
        <w:rPr>
          <w:sz w:val="24"/>
          <w:szCs w:val="24"/>
        </w:rPr>
        <w:t>Kosztami kwalifikowalnymi są całkowite koszty inwestycji bezpośrednio związane z osiągnięciem wyższego poziomu efektywności energetycznej</w:t>
      </w:r>
      <w:r w:rsidR="00AC1C75" w:rsidRPr="00AC1C75">
        <w:rPr>
          <w:sz w:val="24"/>
          <w:szCs w:val="24"/>
        </w:rPr>
        <w:t xml:space="preserve"> </w:t>
      </w:r>
      <w:r w:rsidR="00AC1C75">
        <w:rPr>
          <w:sz w:val="24"/>
          <w:szCs w:val="24"/>
        </w:rPr>
        <w:t>budynku</w:t>
      </w:r>
      <w:r w:rsidR="0037155B">
        <w:rPr>
          <w:sz w:val="24"/>
          <w:szCs w:val="24"/>
        </w:rPr>
        <w:t xml:space="preserve">, </w:t>
      </w:r>
      <w:r w:rsidR="0037155B" w:rsidRPr="00C03564">
        <w:rPr>
          <w:sz w:val="24"/>
          <w:szCs w:val="24"/>
        </w:rPr>
        <w:t>o której mowa w art. 2 ust. 103 ww. rozporządzenia</w:t>
      </w:r>
      <w:r w:rsidR="0037155B">
        <w:rPr>
          <w:sz w:val="24"/>
          <w:szCs w:val="24"/>
        </w:rPr>
        <w:t xml:space="preserve">, </w:t>
      </w:r>
      <w:r w:rsidR="004A7826">
        <w:rPr>
          <w:sz w:val="24"/>
          <w:szCs w:val="24"/>
        </w:rPr>
        <w:t>poniesione przez wnioskodawcę będącego właścicielem lub najemcą budynku</w:t>
      </w:r>
      <w:r w:rsidR="0037155B">
        <w:rPr>
          <w:sz w:val="24"/>
          <w:szCs w:val="24"/>
        </w:rPr>
        <w:t>.</w:t>
      </w:r>
      <w:r w:rsidR="00F8326C">
        <w:rPr>
          <w:sz w:val="24"/>
          <w:szCs w:val="24"/>
        </w:rPr>
        <w:t xml:space="preserve"> </w:t>
      </w:r>
    </w:p>
    <w:p w14:paraId="7A14B3D9" w14:textId="58236BE2" w:rsidR="0072788C" w:rsidRDefault="00F8326C" w:rsidP="0037155B">
      <w:pPr>
        <w:rPr>
          <w:sz w:val="24"/>
          <w:szCs w:val="24"/>
        </w:rPr>
      </w:pPr>
      <w:r>
        <w:rPr>
          <w:sz w:val="24"/>
          <w:szCs w:val="24"/>
        </w:rPr>
        <w:t>Jednocześnie,</w:t>
      </w:r>
      <w:r w:rsidR="00EB0550">
        <w:rPr>
          <w:sz w:val="24"/>
          <w:szCs w:val="24"/>
        </w:rPr>
        <w:t xml:space="preserve"> w ramach inwestycji w poprawę </w:t>
      </w:r>
      <w:r w:rsidR="00EB0550" w:rsidRPr="00EB0550">
        <w:rPr>
          <w:sz w:val="24"/>
          <w:szCs w:val="24"/>
        </w:rPr>
        <w:t>efektywności energetycznej</w:t>
      </w:r>
      <w:r w:rsidR="00EB0550">
        <w:rPr>
          <w:sz w:val="24"/>
          <w:szCs w:val="24"/>
        </w:rPr>
        <w:t xml:space="preserve"> budynku można uwzględnić jako dodatkowe następujące koszty wymienione w a</w:t>
      </w:r>
      <w:r w:rsidR="00BF48A5">
        <w:rPr>
          <w:sz w:val="24"/>
          <w:szCs w:val="24"/>
        </w:rPr>
        <w:t>rt. 38a ust. 7 R</w:t>
      </w:r>
      <w:r w:rsidR="00BF48A5" w:rsidRPr="00BF48A5">
        <w:rPr>
          <w:sz w:val="24"/>
          <w:szCs w:val="24"/>
        </w:rPr>
        <w:t>ozporządzenia Komisji (UE) nr 651/2014</w:t>
      </w:r>
      <w:r w:rsidR="0072788C">
        <w:rPr>
          <w:sz w:val="24"/>
          <w:szCs w:val="24"/>
        </w:rPr>
        <w:t xml:space="preserve"> tj.:</w:t>
      </w:r>
    </w:p>
    <w:p w14:paraId="6F450A12" w14:textId="77777777" w:rsidR="0072788C" w:rsidRPr="0072788C" w:rsidRDefault="0072788C" w:rsidP="0072788C">
      <w:pPr>
        <w:rPr>
          <w:sz w:val="24"/>
          <w:szCs w:val="24"/>
        </w:rPr>
      </w:pPr>
      <w:r w:rsidRPr="0072788C">
        <w:rPr>
          <w:sz w:val="24"/>
          <w:szCs w:val="24"/>
        </w:rPr>
        <w:t>a) montaż zintegrowanych urządzeń wytwarzających na miejscu energię elektryczną, cieplną lub chłodniczą z odnawialnych źródeł energii, w tym między innymi paneli fotowoltaicznych i pomp ciepła;</w:t>
      </w:r>
    </w:p>
    <w:p w14:paraId="46A03BDD" w14:textId="77777777" w:rsidR="0072788C" w:rsidRPr="0072788C" w:rsidRDefault="0072788C" w:rsidP="0072788C">
      <w:pPr>
        <w:rPr>
          <w:sz w:val="24"/>
          <w:szCs w:val="24"/>
        </w:rPr>
      </w:pPr>
      <w:r w:rsidRPr="0072788C">
        <w:rPr>
          <w:sz w:val="24"/>
          <w:szCs w:val="24"/>
        </w:rPr>
        <w:t>b) instalacja urządzeń do magazynowania energii wytworzonej przez miejscowe instalacje wytwarzające energię ze źródeł odnawialnych. Urządzenia do magazynowania muszą odbierać co najmniej 75 % energii z bezpośrednio podłączonej instalacji wytwarzania energii ze źródeł odnawialnych w skali roku;</w:t>
      </w:r>
    </w:p>
    <w:p w14:paraId="0C2579B6" w14:textId="77777777" w:rsidR="0072788C" w:rsidRPr="0072788C" w:rsidRDefault="0072788C" w:rsidP="0072788C">
      <w:pPr>
        <w:rPr>
          <w:sz w:val="24"/>
          <w:szCs w:val="24"/>
        </w:rPr>
      </w:pPr>
      <w:r w:rsidRPr="0072788C">
        <w:rPr>
          <w:sz w:val="24"/>
          <w:szCs w:val="24"/>
        </w:rPr>
        <w:t>c) połączenie z efektywnym energetycznie systemem ciepłowniczym lub chłodniczym oraz powiązanymi z nim urządzeniami;</w:t>
      </w:r>
    </w:p>
    <w:p w14:paraId="14BAE83A" w14:textId="77777777" w:rsidR="0072788C" w:rsidRPr="0072788C" w:rsidRDefault="0072788C" w:rsidP="0072788C">
      <w:pPr>
        <w:rPr>
          <w:sz w:val="24"/>
          <w:szCs w:val="24"/>
        </w:rPr>
      </w:pPr>
      <w:r w:rsidRPr="0072788C">
        <w:rPr>
          <w:sz w:val="24"/>
          <w:szCs w:val="24"/>
        </w:rPr>
        <w:t>d) budowa i instalacja infrastruktury ładowania przeznaczonej do użytku przez użytkowników budynku oraz infrastruktury powiązanej, takiej jak kanały, jeżeli obiekty parkingowe znajdują się wewnątrz budynku lub fizycznie sąsiadują z budynkiem;</w:t>
      </w:r>
    </w:p>
    <w:p w14:paraId="616BB9E2" w14:textId="015900D6" w:rsidR="0072788C" w:rsidRPr="0072788C" w:rsidRDefault="0072788C" w:rsidP="0072788C">
      <w:pPr>
        <w:rPr>
          <w:sz w:val="24"/>
          <w:szCs w:val="24"/>
        </w:rPr>
      </w:pPr>
      <w:r w:rsidRPr="0072788C">
        <w:rPr>
          <w:sz w:val="24"/>
          <w:szCs w:val="24"/>
        </w:rPr>
        <w:t>e) instalacja urządzeń do cyfryzacji budynku, w szczególności na rzecz zwiększenia jego gotowości do obsługi inteligentnych sieci, w tym oprzewodowania pasywnego wewnątrz budynków lub okablowania strukturalnego na potrzeby sieci danych oraz dodatkowej części infrastruktury szerokopasmowej znajdującej się na terenie nieruchomości, do której budynek należy, z wyjątkiem oprzewodowania lub okablowania na potrzeby sieci danych poza nieruchomością;</w:t>
      </w:r>
    </w:p>
    <w:p w14:paraId="674C92E7" w14:textId="18D3D0B8" w:rsidR="00F8326C" w:rsidRDefault="0072788C" w:rsidP="0072788C">
      <w:pPr>
        <w:rPr>
          <w:sz w:val="24"/>
          <w:szCs w:val="24"/>
        </w:rPr>
      </w:pPr>
      <w:r w:rsidRPr="0072788C">
        <w:rPr>
          <w:sz w:val="24"/>
          <w:szCs w:val="24"/>
        </w:rPr>
        <w:t>f) inwestycje w zielone dachy i wyposażenie do zatrzymywania i wykorzystywania wód deszczowych.</w:t>
      </w:r>
    </w:p>
    <w:p w14:paraId="1C6D7AEE" w14:textId="73DAF2A0" w:rsidR="00546BB5" w:rsidRPr="00C703C7" w:rsidRDefault="00546BB5" w:rsidP="00546BB5">
      <w:pPr>
        <w:pStyle w:val="Nagwek4"/>
        <w:spacing w:before="120" w:line="276" w:lineRule="auto"/>
        <w:ind w:left="709" w:hanging="709"/>
        <w:rPr>
          <w:rFonts w:asciiTheme="minorHAnsi" w:hAnsiTheme="minorHAnsi" w:cstheme="minorHAnsi"/>
          <w:i w:val="0"/>
          <w:color w:val="auto"/>
          <w:sz w:val="28"/>
          <w:szCs w:val="28"/>
        </w:rPr>
      </w:pPr>
      <w:bookmarkStart w:id="180" w:name="_Toc148716429"/>
      <w:bookmarkStart w:id="181" w:name="_Toc142307905"/>
      <w:r w:rsidRPr="00C703C7">
        <w:rPr>
          <w:rFonts w:asciiTheme="minorHAnsi" w:hAnsiTheme="minorHAnsi" w:cstheme="minorHAnsi"/>
          <w:i w:val="0"/>
          <w:color w:val="auto"/>
          <w:sz w:val="28"/>
          <w:szCs w:val="28"/>
        </w:rPr>
        <w:t>7.3.1</w:t>
      </w:r>
      <w:r w:rsidR="00E879EB">
        <w:rPr>
          <w:rFonts w:asciiTheme="minorHAnsi" w:hAnsiTheme="minorHAnsi" w:cstheme="minorHAnsi"/>
          <w:i w:val="0"/>
          <w:color w:val="auto"/>
          <w:sz w:val="28"/>
          <w:szCs w:val="28"/>
        </w:rPr>
        <w:t>5</w:t>
      </w:r>
      <w:r w:rsidRPr="00C703C7">
        <w:rPr>
          <w:rFonts w:asciiTheme="minorHAnsi" w:hAnsiTheme="minorHAnsi" w:cstheme="minorHAnsi"/>
          <w:i w:val="0"/>
          <w:color w:val="auto"/>
          <w:sz w:val="28"/>
          <w:szCs w:val="28"/>
        </w:rPr>
        <w:t>.</w:t>
      </w:r>
      <w:r w:rsidR="00637E7F" w:rsidRPr="00637E7F">
        <w:rPr>
          <w:rFonts w:asciiTheme="minorHAnsi" w:hAnsiTheme="minorHAnsi" w:cstheme="minorHAnsi"/>
          <w:i w:val="0"/>
          <w:color w:val="auto"/>
          <w:sz w:val="28"/>
          <w:szCs w:val="28"/>
        </w:rPr>
        <w:t xml:space="preserve"> </w:t>
      </w:r>
      <w:r w:rsidR="006E5AF3">
        <w:rPr>
          <w:rFonts w:asciiTheme="minorHAnsi" w:hAnsiTheme="minorHAnsi" w:cstheme="minorHAnsi"/>
          <w:i w:val="0"/>
          <w:color w:val="auto"/>
          <w:sz w:val="28"/>
          <w:szCs w:val="28"/>
        </w:rPr>
        <w:t>OZE, wodór i kogeneracja</w:t>
      </w:r>
      <w:r w:rsidR="00637E7F" w:rsidRPr="00C703C7" w:rsidDel="00891C05">
        <w:rPr>
          <w:rFonts w:asciiTheme="minorHAnsi" w:hAnsiTheme="minorHAnsi" w:cstheme="minorHAnsi"/>
          <w:i w:val="0"/>
          <w:color w:val="auto"/>
          <w:sz w:val="28"/>
          <w:szCs w:val="28"/>
        </w:rPr>
        <w:t xml:space="preserve"> </w:t>
      </w:r>
      <w:r w:rsidR="00637E7F">
        <w:rPr>
          <w:rFonts w:asciiTheme="minorHAnsi" w:hAnsiTheme="minorHAnsi" w:cstheme="minorHAnsi"/>
          <w:i w:val="0"/>
          <w:color w:val="auto"/>
          <w:sz w:val="28"/>
          <w:szCs w:val="28"/>
        </w:rPr>
        <w:t>– całkowite koszty inwestycji</w:t>
      </w:r>
      <w:bookmarkEnd w:id="180"/>
      <w:r w:rsidR="00637E7F">
        <w:rPr>
          <w:rFonts w:asciiTheme="minorHAnsi" w:hAnsiTheme="minorHAnsi" w:cstheme="minorHAnsi"/>
          <w:i w:val="0"/>
          <w:color w:val="auto"/>
          <w:sz w:val="28"/>
          <w:szCs w:val="28"/>
        </w:rPr>
        <w:t xml:space="preserve"> </w:t>
      </w:r>
      <w:r w:rsidRPr="00C703C7">
        <w:rPr>
          <w:rFonts w:asciiTheme="minorHAnsi" w:hAnsiTheme="minorHAnsi" w:cstheme="minorHAnsi"/>
          <w:i w:val="0"/>
          <w:color w:val="auto"/>
          <w:sz w:val="28"/>
          <w:szCs w:val="28"/>
        </w:rPr>
        <w:t xml:space="preserve"> </w:t>
      </w:r>
      <w:bookmarkEnd w:id="181"/>
    </w:p>
    <w:p w14:paraId="305EA767" w14:textId="4F2E701B" w:rsidR="006E5AF3" w:rsidRPr="0043250B" w:rsidRDefault="006E5AF3" w:rsidP="006E5AF3">
      <w:pPr>
        <w:rPr>
          <w:rFonts w:eastAsiaTheme="majorEastAsia" w:cstheme="minorHAnsi"/>
          <w:iCs/>
          <w:sz w:val="24"/>
          <w:szCs w:val="24"/>
        </w:rPr>
      </w:pPr>
      <w:r>
        <w:rPr>
          <w:rFonts w:eastAsiaTheme="majorEastAsia" w:cstheme="minorHAnsi"/>
          <w:iCs/>
          <w:sz w:val="24"/>
          <w:szCs w:val="24"/>
        </w:rPr>
        <w:t xml:space="preserve">Koszty te objęte są </w:t>
      </w:r>
      <w:r w:rsidRPr="0043250B">
        <w:rPr>
          <w:rFonts w:eastAsiaTheme="majorEastAsia" w:cstheme="minorHAnsi"/>
          <w:iCs/>
          <w:sz w:val="24"/>
          <w:szCs w:val="24"/>
        </w:rPr>
        <w:t>pomoc</w:t>
      </w:r>
      <w:r>
        <w:rPr>
          <w:rFonts w:eastAsiaTheme="majorEastAsia" w:cstheme="minorHAnsi"/>
          <w:iCs/>
          <w:sz w:val="24"/>
          <w:szCs w:val="24"/>
        </w:rPr>
        <w:t>ą</w:t>
      </w:r>
      <w:r w:rsidRPr="0043250B">
        <w:rPr>
          <w:rFonts w:eastAsiaTheme="majorEastAsia" w:cstheme="minorHAnsi"/>
          <w:iCs/>
          <w:sz w:val="24"/>
          <w:szCs w:val="24"/>
        </w:rPr>
        <w:t xml:space="preserve"> inwestycyjn</w:t>
      </w:r>
      <w:r>
        <w:rPr>
          <w:rFonts w:eastAsiaTheme="majorEastAsia" w:cstheme="minorHAnsi"/>
          <w:iCs/>
          <w:sz w:val="24"/>
          <w:szCs w:val="24"/>
        </w:rPr>
        <w:t>ą</w:t>
      </w:r>
      <w:r w:rsidRPr="0043250B">
        <w:rPr>
          <w:rFonts w:eastAsiaTheme="majorEastAsia" w:cstheme="minorHAnsi"/>
          <w:iCs/>
          <w:sz w:val="24"/>
          <w:szCs w:val="24"/>
        </w:rPr>
        <w:t xml:space="preserve"> </w:t>
      </w:r>
      <w:r w:rsidRPr="0043250B">
        <w:rPr>
          <w:rFonts w:eastAsiaTheme="majorEastAsia" w:cstheme="minorHAnsi"/>
          <w:b/>
          <w:iCs/>
          <w:sz w:val="24"/>
          <w:szCs w:val="24"/>
        </w:rPr>
        <w:t>na propagowanie energii ze źródeł odnawialnych, propagowanie wodoru odnawialnego i wysokosprawnej kogeneracji</w:t>
      </w:r>
      <w:r w:rsidRPr="0043250B">
        <w:rPr>
          <w:rFonts w:eastAsiaTheme="majorEastAsia" w:cstheme="minorHAnsi"/>
          <w:iCs/>
          <w:sz w:val="24"/>
          <w:szCs w:val="24"/>
        </w:rPr>
        <w:t xml:space="preserve"> (art. 41 rozporządzenia Komisji (UE) nr 651/2014)</w:t>
      </w:r>
      <w:r>
        <w:rPr>
          <w:rFonts w:eastAsiaTheme="majorEastAsia" w:cstheme="minorHAnsi"/>
          <w:iCs/>
          <w:sz w:val="24"/>
          <w:szCs w:val="24"/>
        </w:rPr>
        <w:t xml:space="preserve">. </w:t>
      </w:r>
    </w:p>
    <w:p w14:paraId="22474D01" w14:textId="427CAF83" w:rsidR="00C703C7" w:rsidRPr="00227BB1" w:rsidRDefault="00631BE8" w:rsidP="00300C21">
      <w:pPr>
        <w:spacing w:after="120" w:line="276" w:lineRule="auto"/>
        <w:rPr>
          <w:rFonts w:eastAsia="Calibri" w:cstheme="minorHAnsi"/>
          <w:sz w:val="24"/>
          <w:szCs w:val="24"/>
        </w:rPr>
      </w:pPr>
      <w:r w:rsidRPr="000E421A">
        <w:rPr>
          <w:sz w:val="24"/>
          <w:szCs w:val="24"/>
        </w:rPr>
        <w:t>Kosztami kwalifikowalnymi są całkowite koszty inwestycji bezpośrednio związane z</w:t>
      </w:r>
      <w:r>
        <w:rPr>
          <w:sz w:val="24"/>
          <w:szCs w:val="24"/>
        </w:rPr>
        <w:t xml:space="preserve"> </w:t>
      </w:r>
      <w:r w:rsidR="00C703C7" w:rsidRPr="00300C21">
        <w:rPr>
          <w:rFonts w:eastAsia="Calibri" w:cstheme="minorHAnsi"/>
          <w:sz w:val="24"/>
          <w:szCs w:val="24"/>
        </w:rPr>
        <w:t>propagowaniem energii z odnawialnych źródeł energii, propagowaniem wodoru odnawialnego i wysokosprawnej kogeneracji</w:t>
      </w:r>
      <w:r w:rsidR="009D0185">
        <w:rPr>
          <w:rFonts w:eastAsia="Calibri" w:cstheme="minorHAnsi"/>
          <w:sz w:val="24"/>
          <w:szCs w:val="24"/>
        </w:rPr>
        <w:t xml:space="preserve">. </w:t>
      </w:r>
      <w:r>
        <w:rPr>
          <w:rFonts w:eastAsia="Calibri" w:cstheme="minorHAnsi"/>
          <w:sz w:val="24"/>
          <w:szCs w:val="24"/>
        </w:rPr>
        <w:t>.</w:t>
      </w:r>
    </w:p>
    <w:p w14:paraId="2FC54A14" w14:textId="52DA2BBF" w:rsidR="00CC53F4" w:rsidRPr="00762814" w:rsidRDefault="0096495D" w:rsidP="00762814">
      <w:pPr>
        <w:spacing w:after="120" w:line="276" w:lineRule="auto"/>
        <w:rPr>
          <w:rFonts w:eastAsia="Calibri" w:cstheme="minorHAnsi"/>
          <w:bCs/>
          <w:sz w:val="24"/>
          <w:szCs w:val="24"/>
        </w:rPr>
      </w:pPr>
      <w:r w:rsidRPr="00762814">
        <w:rPr>
          <w:rFonts w:eastAsia="Calibri" w:cstheme="minorHAnsi"/>
          <w:sz w:val="24"/>
          <w:szCs w:val="24"/>
        </w:rPr>
        <w:t xml:space="preserve">Pomoc przyznawana jest wyłącznie na </w:t>
      </w:r>
      <w:r>
        <w:rPr>
          <w:rFonts w:eastAsia="Calibri" w:cstheme="minorHAnsi"/>
          <w:sz w:val="24"/>
          <w:szCs w:val="24"/>
        </w:rPr>
        <w:t xml:space="preserve">moce </w:t>
      </w:r>
      <w:r w:rsidRPr="00762814">
        <w:rPr>
          <w:rFonts w:eastAsia="Calibri" w:cstheme="minorHAnsi"/>
          <w:sz w:val="24"/>
          <w:szCs w:val="24"/>
        </w:rPr>
        <w:t>now</w:t>
      </w:r>
      <w:r>
        <w:rPr>
          <w:rFonts w:eastAsia="Calibri" w:cstheme="minorHAnsi"/>
          <w:sz w:val="24"/>
          <w:szCs w:val="24"/>
        </w:rPr>
        <w:t>o zainstalowane lub odnowione.</w:t>
      </w:r>
    </w:p>
    <w:bookmarkEnd w:id="174"/>
    <w:p w14:paraId="312C8AFA" w14:textId="77777777" w:rsidR="00FF498E" w:rsidRPr="00762814" w:rsidRDefault="00FF498E" w:rsidP="00FF498E">
      <w:pPr>
        <w:spacing w:after="120" w:line="276" w:lineRule="auto"/>
        <w:rPr>
          <w:rFonts w:eastAsia="Calibri" w:cstheme="minorHAnsi"/>
          <w:bCs/>
          <w:sz w:val="24"/>
          <w:szCs w:val="24"/>
        </w:rPr>
      </w:pPr>
      <w:r w:rsidRPr="008B611F">
        <w:rPr>
          <w:rFonts w:eastAsia="Calibri" w:cstheme="minorHAnsi"/>
          <w:bCs/>
          <w:sz w:val="24"/>
          <w:szCs w:val="24"/>
        </w:rPr>
        <w:t>Za koszty inwestycji uznaje się koszty nabycia: gruntów; nieruchomości zabudowanych; środków trwałych innych niż nieruchomości; wartości niematerialnych i prawnych lub robót i materiałów budowlanych.</w:t>
      </w:r>
    </w:p>
    <w:p w14:paraId="62C4DA8F" w14:textId="1F0532F4" w:rsidR="000875B2" w:rsidRPr="00ED6E26" w:rsidRDefault="00D240AF" w:rsidP="00D240AF">
      <w:pPr>
        <w:pStyle w:val="Nagwek4"/>
        <w:spacing w:before="120" w:line="276" w:lineRule="auto"/>
        <w:rPr>
          <w:rFonts w:asciiTheme="minorHAnsi" w:hAnsiTheme="minorHAnsi" w:cstheme="minorHAnsi"/>
          <w:i w:val="0"/>
          <w:color w:val="auto"/>
          <w:sz w:val="28"/>
          <w:szCs w:val="28"/>
        </w:rPr>
      </w:pPr>
      <w:bookmarkStart w:id="182" w:name="_Toc148716430"/>
      <w:r>
        <w:rPr>
          <w:rFonts w:asciiTheme="minorHAnsi" w:hAnsiTheme="minorHAnsi" w:cstheme="minorHAnsi"/>
          <w:i w:val="0"/>
          <w:color w:val="auto"/>
          <w:sz w:val="28"/>
          <w:szCs w:val="28"/>
        </w:rPr>
        <w:t>7.3.</w:t>
      </w:r>
      <w:r w:rsidR="007A1F82">
        <w:rPr>
          <w:rFonts w:asciiTheme="minorHAnsi" w:hAnsiTheme="minorHAnsi" w:cstheme="minorHAnsi"/>
          <w:i w:val="0"/>
          <w:color w:val="auto"/>
          <w:sz w:val="28"/>
          <w:szCs w:val="28"/>
        </w:rPr>
        <w:t>1</w:t>
      </w:r>
      <w:r w:rsidR="00E879EB">
        <w:rPr>
          <w:rFonts w:asciiTheme="minorHAnsi" w:hAnsiTheme="minorHAnsi" w:cstheme="minorHAnsi"/>
          <w:i w:val="0"/>
          <w:color w:val="auto"/>
          <w:sz w:val="28"/>
          <w:szCs w:val="28"/>
        </w:rPr>
        <w:t>6</w:t>
      </w:r>
      <w:r w:rsidR="007E1AF4">
        <w:rPr>
          <w:rFonts w:asciiTheme="minorHAnsi" w:hAnsiTheme="minorHAnsi" w:cstheme="minorHAnsi"/>
          <w:i w:val="0"/>
          <w:color w:val="auto"/>
          <w:sz w:val="28"/>
          <w:szCs w:val="28"/>
        </w:rPr>
        <w:t xml:space="preserve"> </w:t>
      </w:r>
      <w:r w:rsidR="00652675">
        <w:rPr>
          <w:rFonts w:asciiTheme="minorHAnsi" w:hAnsiTheme="minorHAnsi" w:cstheme="minorHAnsi"/>
          <w:i w:val="0"/>
          <w:color w:val="auto"/>
          <w:sz w:val="28"/>
          <w:szCs w:val="28"/>
        </w:rPr>
        <w:t>E</w:t>
      </w:r>
      <w:r w:rsidR="008470F2">
        <w:rPr>
          <w:rFonts w:asciiTheme="minorHAnsi" w:hAnsiTheme="minorHAnsi" w:cstheme="minorHAnsi"/>
          <w:i w:val="0"/>
          <w:color w:val="auto"/>
          <w:sz w:val="28"/>
          <w:szCs w:val="28"/>
        </w:rPr>
        <w:t xml:space="preserve">fektywny energetycznie </w:t>
      </w:r>
      <w:r w:rsidR="008470F2" w:rsidRPr="00864F7C">
        <w:rPr>
          <w:rFonts w:asciiTheme="minorHAnsi" w:hAnsiTheme="minorHAnsi" w:cstheme="minorHAnsi"/>
          <w:i w:val="0"/>
          <w:color w:val="auto"/>
          <w:sz w:val="28"/>
          <w:szCs w:val="28"/>
        </w:rPr>
        <w:t>system ciepłowniczy lub chłodniczy</w:t>
      </w:r>
      <w:r w:rsidR="00652675" w:rsidRPr="00652675">
        <w:rPr>
          <w:rFonts w:asciiTheme="minorHAnsi" w:hAnsiTheme="minorHAnsi" w:cstheme="minorHAnsi"/>
          <w:i w:val="0"/>
          <w:color w:val="auto"/>
          <w:sz w:val="28"/>
          <w:szCs w:val="28"/>
        </w:rPr>
        <w:t xml:space="preserve"> </w:t>
      </w:r>
      <w:r w:rsidR="00652675">
        <w:rPr>
          <w:rFonts w:asciiTheme="minorHAnsi" w:hAnsiTheme="minorHAnsi" w:cstheme="minorHAnsi"/>
          <w:i w:val="0"/>
          <w:color w:val="auto"/>
          <w:sz w:val="28"/>
          <w:szCs w:val="28"/>
        </w:rPr>
        <w:t>– całkowite k</w:t>
      </w:r>
      <w:r w:rsidR="00652675" w:rsidRPr="00864F7C">
        <w:rPr>
          <w:rFonts w:asciiTheme="minorHAnsi" w:hAnsiTheme="minorHAnsi" w:cstheme="minorHAnsi"/>
          <w:i w:val="0"/>
          <w:color w:val="auto"/>
          <w:sz w:val="28"/>
          <w:szCs w:val="28"/>
        </w:rPr>
        <w:t>oszty inwestycji</w:t>
      </w:r>
      <w:r w:rsidR="008470F2">
        <w:rPr>
          <w:rFonts w:asciiTheme="minorHAnsi" w:hAnsiTheme="minorHAnsi" w:cstheme="minorHAnsi"/>
          <w:i w:val="0"/>
          <w:color w:val="auto"/>
          <w:sz w:val="28"/>
          <w:szCs w:val="28"/>
        </w:rPr>
        <w:t>.</w:t>
      </w:r>
      <w:bookmarkEnd w:id="182"/>
      <w:r w:rsidR="008470F2">
        <w:rPr>
          <w:rFonts w:asciiTheme="minorHAnsi" w:hAnsiTheme="minorHAnsi" w:cstheme="minorHAnsi"/>
          <w:i w:val="0"/>
          <w:color w:val="auto"/>
          <w:sz w:val="28"/>
          <w:szCs w:val="28"/>
        </w:rPr>
        <w:t xml:space="preserve"> </w:t>
      </w:r>
    </w:p>
    <w:p w14:paraId="54D53AB8" w14:textId="59BC4B9B" w:rsidR="00A2310F" w:rsidRDefault="000875B2" w:rsidP="007E1AF4">
      <w:pPr>
        <w:spacing w:line="276" w:lineRule="auto"/>
        <w:contextualSpacing/>
        <w:rPr>
          <w:rFonts w:eastAsia="Calibri" w:cstheme="minorHAnsi"/>
          <w:sz w:val="24"/>
          <w:szCs w:val="24"/>
        </w:rPr>
      </w:pPr>
      <w:r w:rsidRPr="00762814">
        <w:rPr>
          <w:rFonts w:eastAsia="Calibri" w:cstheme="minorHAnsi"/>
          <w:bCs/>
          <w:sz w:val="24"/>
          <w:szCs w:val="24"/>
        </w:rPr>
        <w:t xml:space="preserve">Koszty te </w:t>
      </w:r>
      <w:r w:rsidRPr="00762814">
        <w:rPr>
          <w:rFonts w:eastAsia="Calibri" w:cstheme="minorHAnsi"/>
          <w:b/>
          <w:bCs/>
          <w:sz w:val="24"/>
          <w:szCs w:val="24"/>
        </w:rPr>
        <w:t xml:space="preserve">objęte są pomocą z art. 46 rozporządzenia </w:t>
      </w:r>
      <w:r w:rsidR="00E3166F" w:rsidRPr="00762814">
        <w:rPr>
          <w:rFonts w:eastAsia="Calibri" w:cstheme="minorHAnsi"/>
          <w:b/>
          <w:bCs/>
          <w:sz w:val="24"/>
          <w:szCs w:val="24"/>
        </w:rPr>
        <w:t>nr 651/2014)</w:t>
      </w:r>
      <w:r w:rsidR="00E3166F" w:rsidRPr="00762814">
        <w:rPr>
          <w:rFonts w:eastAsia="Calibri" w:cstheme="minorHAnsi"/>
          <w:sz w:val="24"/>
          <w:szCs w:val="24"/>
        </w:rPr>
        <w:t xml:space="preserve"> </w:t>
      </w:r>
      <w:r w:rsidRPr="00762814">
        <w:rPr>
          <w:rFonts w:eastAsia="Calibri" w:cstheme="minorHAnsi"/>
          <w:b/>
          <w:bCs/>
          <w:sz w:val="24"/>
          <w:szCs w:val="24"/>
        </w:rPr>
        <w:t>Komisji (UE</w:t>
      </w:r>
      <w:r w:rsidR="00E3166F" w:rsidRPr="00762814">
        <w:rPr>
          <w:rFonts w:eastAsia="Calibri" w:cstheme="minorHAnsi"/>
          <w:bCs/>
          <w:sz w:val="24"/>
          <w:szCs w:val="24"/>
        </w:rPr>
        <w:t xml:space="preserve">). </w:t>
      </w:r>
      <w:r w:rsidR="00305059" w:rsidRPr="00AA4991">
        <w:rPr>
          <w:rFonts w:eastAsia="Calibri" w:cstheme="minorHAnsi"/>
          <w:sz w:val="24"/>
          <w:szCs w:val="24"/>
        </w:rPr>
        <w:t xml:space="preserve">Kosztami kwalifikowalnymi są </w:t>
      </w:r>
      <w:r w:rsidR="008470F2">
        <w:rPr>
          <w:rFonts w:eastAsia="Calibri" w:cstheme="minorHAnsi"/>
          <w:sz w:val="24"/>
          <w:szCs w:val="24"/>
        </w:rPr>
        <w:t xml:space="preserve">całkowite </w:t>
      </w:r>
      <w:r w:rsidR="00305059" w:rsidRPr="00AA4991">
        <w:rPr>
          <w:rFonts w:eastAsia="Calibri" w:cstheme="minorHAnsi"/>
          <w:sz w:val="24"/>
          <w:szCs w:val="24"/>
        </w:rPr>
        <w:t xml:space="preserve">koszty inwestycji </w:t>
      </w:r>
      <w:r w:rsidR="00652675">
        <w:rPr>
          <w:rFonts w:eastAsia="Calibri" w:cstheme="minorHAnsi"/>
          <w:sz w:val="24"/>
          <w:szCs w:val="24"/>
        </w:rPr>
        <w:t>związane z budową lub modernizacją efektywnego energetycznie systemu ciepłowniczego lub chłodniczego</w:t>
      </w:r>
      <w:r w:rsidR="00A2310F">
        <w:rPr>
          <w:rFonts w:eastAsia="Calibri" w:cstheme="minorHAnsi"/>
          <w:sz w:val="24"/>
          <w:szCs w:val="24"/>
        </w:rPr>
        <w:t xml:space="preserve">, w tym koszty związane z </w:t>
      </w:r>
      <w:r w:rsidR="00A2310F" w:rsidRPr="00A2310F">
        <w:rPr>
          <w:rFonts w:eastAsia="Calibri" w:cstheme="minorHAnsi"/>
          <w:sz w:val="24"/>
          <w:szCs w:val="24"/>
        </w:rPr>
        <w:t>budow</w:t>
      </w:r>
      <w:r w:rsidR="00A2310F">
        <w:rPr>
          <w:rFonts w:eastAsia="Calibri" w:cstheme="minorHAnsi"/>
          <w:sz w:val="24"/>
          <w:szCs w:val="24"/>
        </w:rPr>
        <w:t>ą</w:t>
      </w:r>
      <w:r w:rsidR="00A2310F" w:rsidRPr="00A2310F">
        <w:rPr>
          <w:rFonts w:eastAsia="Calibri" w:cstheme="minorHAnsi"/>
          <w:sz w:val="24"/>
          <w:szCs w:val="24"/>
        </w:rPr>
        <w:t>, rozbudow</w:t>
      </w:r>
      <w:r w:rsidR="00A2310F">
        <w:rPr>
          <w:rFonts w:eastAsia="Calibri" w:cstheme="minorHAnsi"/>
          <w:sz w:val="24"/>
          <w:szCs w:val="24"/>
        </w:rPr>
        <w:t>ą</w:t>
      </w:r>
      <w:r w:rsidR="00A2310F" w:rsidRPr="00A2310F">
        <w:rPr>
          <w:rFonts w:eastAsia="Calibri" w:cstheme="minorHAnsi"/>
          <w:sz w:val="24"/>
          <w:szCs w:val="24"/>
        </w:rPr>
        <w:t xml:space="preserve"> lub modernizacj</w:t>
      </w:r>
      <w:r w:rsidR="00A2310F">
        <w:rPr>
          <w:rFonts w:eastAsia="Calibri" w:cstheme="minorHAnsi"/>
          <w:sz w:val="24"/>
          <w:szCs w:val="24"/>
        </w:rPr>
        <w:t>ą</w:t>
      </w:r>
      <w:r w:rsidR="00A2310F" w:rsidRPr="00A2310F">
        <w:rPr>
          <w:rFonts w:eastAsia="Calibri" w:cstheme="minorHAnsi"/>
          <w:sz w:val="24"/>
          <w:szCs w:val="24"/>
        </w:rPr>
        <w:t xml:space="preserve"> instalacji wytwarzających energię cieplną lub chłodniczą, rozwiązań w zakresie magazynowania energii cieplnej lub sieci dystrybucji,  instalacji do wytwarzanie energii ze źródeł odnawialnych, w tym pompy ciepła zgodne z załącznikiem VII do dyrektywy (UE) 2018/2001, ciepło odpadowe lub wysokosprawną kogenerację, a także rozwiązania w zakresie magazynowania energii cieplnej.</w:t>
      </w:r>
      <w:r w:rsidR="00A2310F">
        <w:rPr>
          <w:rFonts w:eastAsia="Calibri" w:cstheme="minorHAnsi"/>
          <w:sz w:val="24"/>
          <w:szCs w:val="24"/>
        </w:rPr>
        <w:t xml:space="preserve"> </w:t>
      </w:r>
    </w:p>
    <w:p w14:paraId="3297A094" w14:textId="6FD058CC" w:rsidR="007A7DC9" w:rsidRPr="00E93DD3" w:rsidRDefault="007A7DC9" w:rsidP="00E93DD3">
      <w:pPr>
        <w:spacing w:line="276" w:lineRule="auto"/>
        <w:contextualSpacing/>
        <w:rPr>
          <w:rFonts w:eastAsia="Calibri" w:cstheme="minorHAnsi"/>
          <w:bCs/>
          <w:sz w:val="24"/>
          <w:szCs w:val="24"/>
        </w:rPr>
      </w:pPr>
    </w:p>
    <w:p w14:paraId="11EE966B" w14:textId="46A1CA14" w:rsidR="000875B2" w:rsidRDefault="000875B2" w:rsidP="00A46D38">
      <w:pPr>
        <w:spacing w:line="276" w:lineRule="auto"/>
        <w:contextualSpacing/>
        <w:rPr>
          <w:rFonts w:eastAsia="Calibri" w:cstheme="minorHAnsi"/>
          <w:sz w:val="24"/>
          <w:szCs w:val="24"/>
        </w:rPr>
      </w:pPr>
      <w:r w:rsidRPr="00762814">
        <w:rPr>
          <w:rFonts w:eastAsia="Calibri" w:cstheme="minorHAnsi"/>
          <w:sz w:val="24"/>
          <w:szCs w:val="24"/>
        </w:rPr>
        <w:t>Za koszty inwestycji uznaje się koszty nabycia: gruntów; nieruchomości zabudowanych</w:t>
      </w:r>
      <w:r w:rsidR="00300D63" w:rsidRPr="00762814">
        <w:rPr>
          <w:rFonts w:eastAsia="Calibri" w:cstheme="minorHAnsi"/>
          <w:sz w:val="24"/>
          <w:szCs w:val="24"/>
        </w:rPr>
        <w:t>;</w:t>
      </w:r>
      <w:r w:rsidRPr="00762814">
        <w:rPr>
          <w:rFonts w:eastAsia="Calibri" w:cstheme="minorHAnsi"/>
          <w:sz w:val="24"/>
          <w:szCs w:val="24"/>
        </w:rPr>
        <w:t xml:space="preserve"> środków trwałych innych niż nieruchomości; wartości niematerialnych i prawnych lub robót </w:t>
      </w:r>
      <w:r w:rsidR="00CC6020" w:rsidRPr="00762814">
        <w:rPr>
          <w:rFonts w:eastAsia="Calibri" w:cstheme="minorHAnsi"/>
          <w:sz w:val="24"/>
          <w:szCs w:val="24"/>
        </w:rPr>
        <w:br/>
      </w:r>
      <w:r w:rsidRPr="00762814">
        <w:rPr>
          <w:rFonts w:eastAsia="Calibri" w:cstheme="minorHAnsi"/>
          <w:sz w:val="24"/>
          <w:szCs w:val="24"/>
        </w:rPr>
        <w:t>i materiałów budowlanych.</w:t>
      </w:r>
    </w:p>
    <w:p w14:paraId="0B230E5C" w14:textId="77777777" w:rsidR="007D02AD" w:rsidRDefault="007D02AD" w:rsidP="00E93DD3">
      <w:pPr>
        <w:pStyle w:val="Nagwek4"/>
        <w:spacing w:before="120" w:line="276" w:lineRule="auto"/>
        <w:rPr>
          <w:rFonts w:asciiTheme="minorHAnsi" w:hAnsiTheme="minorHAnsi" w:cstheme="minorHAnsi"/>
          <w:i w:val="0"/>
          <w:color w:val="auto"/>
          <w:sz w:val="28"/>
          <w:szCs w:val="28"/>
        </w:rPr>
      </w:pPr>
    </w:p>
    <w:p w14:paraId="71E78C2F" w14:textId="77777777" w:rsidR="007D02AD" w:rsidRDefault="007D02AD" w:rsidP="00D240AF">
      <w:pPr>
        <w:pStyle w:val="Nagwek4"/>
        <w:spacing w:before="120" w:line="276" w:lineRule="auto"/>
        <w:ind w:left="709" w:hanging="709"/>
        <w:rPr>
          <w:rFonts w:asciiTheme="minorHAnsi" w:hAnsiTheme="minorHAnsi" w:cstheme="minorHAnsi"/>
          <w:i w:val="0"/>
          <w:color w:val="auto"/>
          <w:sz w:val="28"/>
          <w:szCs w:val="28"/>
        </w:rPr>
      </w:pPr>
    </w:p>
    <w:p w14:paraId="25E62260" w14:textId="07055404" w:rsidR="00E27D61" w:rsidRPr="00CA563B" w:rsidRDefault="005C4185" w:rsidP="00C30590">
      <w:pPr>
        <w:spacing w:line="276" w:lineRule="auto"/>
        <w:rPr>
          <w:rFonts w:eastAsia="Calibri" w:cstheme="minorHAnsi"/>
          <w:b/>
          <w:bCs/>
          <w:sz w:val="24"/>
          <w:szCs w:val="24"/>
        </w:rPr>
      </w:pPr>
      <w:r>
        <w:rPr>
          <w:rFonts w:eastAsia="Calibri" w:cstheme="minorHAnsi"/>
          <w:sz w:val="24"/>
          <w:szCs w:val="24"/>
        </w:rPr>
        <w:t xml:space="preserve">W ramach </w:t>
      </w:r>
      <w:r w:rsidR="00475F03" w:rsidRPr="00CA563B">
        <w:rPr>
          <w:rFonts w:eastAsia="Calibri" w:cstheme="minorHAnsi"/>
          <w:b/>
          <w:sz w:val="24"/>
          <w:szCs w:val="24"/>
        </w:rPr>
        <w:t>pomocy inwestycyjnej na efektywne gospodarowanie zasobami i wspieranie przechodzenia na gospodarkę o obiegu zamkniętym</w:t>
      </w:r>
      <w:r w:rsidR="00475F03">
        <w:rPr>
          <w:rFonts w:eastAsia="Calibri" w:cstheme="minorHAnsi"/>
          <w:sz w:val="24"/>
          <w:szCs w:val="24"/>
        </w:rPr>
        <w:t xml:space="preserve"> </w:t>
      </w:r>
      <w:r w:rsidR="00475F03">
        <w:rPr>
          <w:rFonts w:eastAsia="Calibri" w:cstheme="minorHAnsi"/>
          <w:b/>
          <w:bCs/>
          <w:sz w:val="24"/>
          <w:szCs w:val="24"/>
        </w:rPr>
        <w:t>(</w:t>
      </w:r>
      <w:r w:rsidR="00CC53F4" w:rsidRPr="00762814">
        <w:rPr>
          <w:rFonts w:eastAsia="Calibri" w:cstheme="minorHAnsi"/>
          <w:b/>
          <w:bCs/>
          <w:sz w:val="24"/>
          <w:szCs w:val="24"/>
        </w:rPr>
        <w:t>art. 47 rozporządzenia Komisji (UE) nr 651/2014</w:t>
      </w:r>
      <w:r w:rsidR="00475F03">
        <w:rPr>
          <w:rFonts w:eastAsia="Calibri" w:cstheme="minorHAnsi"/>
          <w:b/>
          <w:bCs/>
          <w:sz w:val="24"/>
          <w:szCs w:val="24"/>
        </w:rPr>
        <w:t xml:space="preserve">) </w:t>
      </w:r>
      <w:r w:rsidR="00475F03">
        <w:rPr>
          <w:rFonts w:eastAsia="Calibri" w:cstheme="minorHAnsi"/>
          <w:bCs/>
          <w:sz w:val="24"/>
          <w:szCs w:val="24"/>
        </w:rPr>
        <w:t>k</w:t>
      </w:r>
      <w:r w:rsidR="00475F03" w:rsidRPr="00CA563B">
        <w:rPr>
          <w:rFonts w:eastAsia="Calibri" w:cstheme="minorHAnsi"/>
          <w:bCs/>
          <w:sz w:val="24"/>
          <w:szCs w:val="24"/>
        </w:rPr>
        <w:t>walifikowane są wydatki wymienione w pozycjach od 7.3.1</w:t>
      </w:r>
      <w:r w:rsidR="00D72B3D">
        <w:rPr>
          <w:rFonts w:eastAsia="Calibri" w:cstheme="minorHAnsi"/>
          <w:bCs/>
          <w:sz w:val="24"/>
          <w:szCs w:val="24"/>
        </w:rPr>
        <w:t>7</w:t>
      </w:r>
      <w:r w:rsidR="00475F03" w:rsidRPr="00CA563B">
        <w:rPr>
          <w:rFonts w:eastAsia="Calibri" w:cstheme="minorHAnsi"/>
          <w:bCs/>
          <w:sz w:val="24"/>
          <w:szCs w:val="24"/>
        </w:rPr>
        <w:t xml:space="preserve"> </w:t>
      </w:r>
      <w:r w:rsidR="00475F03" w:rsidRPr="00E879EB">
        <w:rPr>
          <w:rFonts w:eastAsia="Calibri" w:cstheme="minorHAnsi"/>
          <w:bCs/>
          <w:sz w:val="24"/>
          <w:szCs w:val="24"/>
        </w:rPr>
        <w:t>do 7.3.1</w:t>
      </w:r>
      <w:r w:rsidR="00E879EB">
        <w:rPr>
          <w:rFonts w:eastAsia="Calibri" w:cstheme="minorHAnsi"/>
          <w:bCs/>
          <w:sz w:val="24"/>
          <w:szCs w:val="24"/>
        </w:rPr>
        <w:t>8.</w:t>
      </w:r>
      <w:r w:rsidR="0031151F">
        <w:rPr>
          <w:rFonts w:eastAsia="Calibri" w:cstheme="minorHAnsi"/>
          <w:bCs/>
          <w:sz w:val="24"/>
          <w:szCs w:val="24"/>
        </w:rPr>
        <w:t xml:space="preserve"> </w:t>
      </w:r>
    </w:p>
    <w:p w14:paraId="60D3F15D" w14:textId="6788182F" w:rsidR="00A902C5" w:rsidRDefault="00A902C5" w:rsidP="00A902C5">
      <w:pPr>
        <w:spacing w:after="120" w:line="276" w:lineRule="auto"/>
        <w:rPr>
          <w:rFonts w:eastAsia="Calibri" w:cstheme="minorHAnsi"/>
          <w:sz w:val="24"/>
          <w:szCs w:val="24"/>
        </w:rPr>
      </w:pPr>
      <w:r w:rsidRPr="00CA563B">
        <w:rPr>
          <w:rFonts w:eastAsia="Calibri" w:cstheme="minorHAnsi"/>
          <w:sz w:val="24"/>
          <w:szCs w:val="24"/>
        </w:rPr>
        <w:t xml:space="preserve">Za koszty inwestycji uznaje się koszty nabycia: gruntów; nieruchomości zabudowanych; środków trwałych innych niż nieruchomości; wartości niematerialnych i prawnych lub robót </w:t>
      </w:r>
      <w:r w:rsidRPr="00CA563B">
        <w:rPr>
          <w:rFonts w:eastAsia="Calibri" w:cstheme="minorHAnsi"/>
          <w:sz w:val="24"/>
          <w:szCs w:val="24"/>
        </w:rPr>
        <w:br/>
        <w:t xml:space="preserve">i materiałów budowlanych. </w:t>
      </w:r>
    </w:p>
    <w:p w14:paraId="6B149F9C" w14:textId="408F7A5B" w:rsidR="00C069B6" w:rsidRPr="00CA563B" w:rsidRDefault="00C069B6" w:rsidP="00CA563B">
      <w:pPr>
        <w:spacing w:after="120" w:line="276" w:lineRule="auto"/>
        <w:rPr>
          <w:rFonts w:eastAsia="Calibri" w:cstheme="minorHAnsi"/>
          <w:sz w:val="24"/>
          <w:szCs w:val="24"/>
        </w:rPr>
      </w:pPr>
      <w:r>
        <w:rPr>
          <w:rFonts w:eastAsia="Calibri" w:cstheme="minorHAnsi"/>
          <w:sz w:val="24"/>
          <w:szCs w:val="24"/>
        </w:rPr>
        <w:t xml:space="preserve">Wydatki kwalifikowane ustala się na dwa sposoby: poprzez porównanie kosztów planowanej inwestycji do kosztów inwestycji wg tzw. scenariusza alternatywnego (dodatkowe koszty – scenariusz alternatywny) oraz </w:t>
      </w:r>
      <w:r w:rsidR="00B13628">
        <w:rPr>
          <w:rFonts w:eastAsia="Calibri" w:cstheme="minorHAnsi"/>
          <w:sz w:val="24"/>
          <w:szCs w:val="24"/>
        </w:rPr>
        <w:t>poprzez wskazanie całkowitych kosztów</w:t>
      </w:r>
    </w:p>
    <w:p w14:paraId="27D42F3E" w14:textId="77777777" w:rsidR="00A902C5" w:rsidRPr="00CA563B" w:rsidRDefault="00A902C5" w:rsidP="00CA563B">
      <w:pPr>
        <w:jc w:val="both"/>
        <w:rPr>
          <w:rFonts w:eastAsia="Calibri" w:cstheme="minorHAnsi"/>
          <w:b/>
          <w:bCs/>
          <w:sz w:val="24"/>
          <w:szCs w:val="24"/>
        </w:rPr>
      </w:pPr>
    </w:p>
    <w:p w14:paraId="79FA6762" w14:textId="4D8E49BB" w:rsidR="00475F03" w:rsidRDefault="00475F03" w:rsidP="00CA563B">
      <w:pPr>
        <w:pStyle w:val="Nagwek4"/>
        <w:spacing w:before="120" w:line="276" w:lineRule="auto"/>
        <w:rPr>
          <w:rFonts w:asciiTheme="minorHAnsi" w:hAnsiTheme="minorHAnsi" w:cstheme="minorHAnsi"/>
          <w:i w:val="0"/>
          <w:iCs w:val="0"/>
          <w:color w:val="auto"/>
          <w:sz w:val="28"/>
          <w:szCs w:val="28"/>
        </w:rPr>
      </w:pPr>
      <w:bookmarkStart w:id="183" w:name="_Toc148716431"/>
      <w:r w:rsidRPr="002C789E">
        <w:rPr>
          <w:rFonts w:asciiTheme="minorHAnsi" w:hAnsiTheme="minorHAnsi" w:cstheme="minorHAnsi"/>
          <w:i w:val="0"/>
          <w:iCs w:val="0"/>
          <w:color w:val="auto"/>
          <w:sz w:val="28"/>
          <w:szCs w:val="28"/>
        </w:rPr>
        <w:t>7.3.1</w:t>
      </w:r>
      <w:r w:rsidR="00E879EB">
        <w:rPr>
          <w:rFonts w:asciiTheme="minorHAnsi" w:hAnsiTheme="minorHAnsi" w:cstheme="minorHAnsi"/>
          <w:i w:val="0"/>
          <w:iCs w:val="0"/>
          <w:color w:val="auto"/>
          <w:sz w:val="28"/>
          <w:szCs w:val="28"/>
        </w:rPr>
        <w:t>7</w:t>
      </w:r>
      <w:r w:rsidRPr="002C789E">
        <w:rPr>
          <w:rFonts w:asciiTheme="minorHAnsi" w:hAnsiTheme="minorHAnsi" w:cstheme="minorHAnsi"/>
          <w:i w:val="0"/>
          <w:iCs w:val="0"/>
          <w:color w:val="auto"/>
          <w:sz w:val="28"/>
          <w:szCs w:val="28"/>
        </w:rPr>
        <w:t>.</w:t>
      </w:r>
      <w:r w:rsidR="00AD5CA1" w:rsidRPr="00AD5CA1">
        <w:t xml:space="preserve"> </w:t>
      </w:r>
      <w:r w:rsidR="00AD5CA1">
        <w:rPr>
          <w:rFonts w:asciiTheme="minorHAnsi" w:hAnsiTheme="minorHAnsi" w:cstheme="minorHAnsi"/>
          <w:i w:val="0"/>
          <w:iCs w:val="0"/>
          <w:color w:val="auto"/>
          <w:sz w:val="28"/>
          <w:szCs w:val="28"/>
        </w:rPr>
        <w:t>Go</w:t>
      </w:r>
      <w:r w:rsidR="00AD5CA1" w:rsidRPr="00B955A5">
        <w:rPr>
          <w:rFonts w:asciiTheme="minorHAnsi" w:hAnsiTheme="minorHAnsi" w:cstheme="minorHAnsi"/>
          <w:i w:val="0"/>
          <w:iCs w:val="0"/>
          <w:color w:val="auto"/>
          <w:sz w:val="28"/>
          <w:szCs w:val="28"/>
        </w:rPr>
        <w:t xml:space="preserve">spodarowanie zasobami i </w:t>
      </w:r>
      <w:r w:rsidR="00AD5CA1" w:rsidRPr="008B548F">
        <w:rPr>
          <w:rFonts w:cstheme="minorHAnsi"/>
          <w:b/>
          <w:i w:val="0"/>
          <w:color w:val="auto"/>
          <w:sz w:val="28"/>
          <w:szCs w:val="28"/>
        </w:rPr>
        <w:t>GOZ</w:t>
      </w:r>
      <w:r w:rsidR="00AD5CA1" w:rsidRPr="00B955A5">
        <w:rPr>
          <w:rFonts w:cstheme="minorHAnsi"/>
          <w:i w:val="0"/>
          <w:iCs w:val="0"/>
          <w:sz w:val="28"/>
          <w:szCs w:val="28"/>
        </w:rPr>
        <w:t xml:space="preserve"> </w:t>
      </w:r>
      <w:r w:rsidR="00AD5CA1">
        <w:rPr>
          <w:rFonts w:asciiTheme="minorHAnsi" w:hAnsiTheme="minorHAnsi" w:cstheme="minorHAnsi"/>
          <w:i w:val="0"/>
          <w:iCs w:val="0"/>
          <w:color w:val="auto"/>
          <w:sz w:val="28"/>
          <w:szCs w:val="28"/>
        </w:rPr>
        <w:t xml:space="preserve">- </w:t>
      </w:r>
      <w:r w:rsidRPr="00B955A5">
        <w:rPr>
          <w:rFonts w:asciiTheme="minorHAnsi" w:hAnsiTheme="minorHAnsi" w:cstheme="minorHAnsi"/>
          <w:i w:val="0"/>
          <w:iCs w:val="0"/>
          <w:color w:val="auto"/>
          <w:sz w:val="28"/>
          <w:szCs w:val="28"/>
        </w:rPr>
        <w:t>Dodatkowe koszty (</w:t>
      </w:r>
      <w:r w:rsidR="00C069B6">
        <w:rPr>
          <w:rFonts w:asciiTheme="minorHAnsi" w:hAnsiTheme="minorHAnsi" w:cstheme="minorHAnsi"/>
          <w:i w:val="0"/>
          <w:iCs w:val="0"/>
          <w:color w:val="auto"/>
          <w:sz w:val="28"/>
          <w:szCs w:val="28"/>
        </w:rPr>
        <w:t>scenariusz alternatywny</w:t>
      </w:r>
      <w:r w:rsidRPr="00B955A5">
        <w:rPr>
          <w:rFonts w:asciiTheme="minorHAnsi" w:hAnsiTheme="minorHAnsi" w:cstheme="minorHAnsi"/>
          <w:i w:val="0"/>
          <w:iCs w:val="0"/>
          <w:color w:val="auto"/>
          <w:sz w:val="28"/>
          <w:szCs w:val="28"/>
        </w:rPr>
        <w:t>)</w:t>
      </w:r>
      <w:bookmarkEnd w:id="183"/>
    </w:p>
    <w:p w14:paraId="3B0E9457" w14:textId="5C1422F9" w:rsidR="00C53F39" w:rsidRPr="00CA563B" w:rsidRDefault="004D6B98" w:rsidP="00CA563B">
      <w:pPr>
        <w:spacing w:after="120" w:line="276" w:lineRule="auto"/>
        <w:rPr>
          <w:rFonts w:eastAsia="Calibri" w:cstheme="minorHAnsi"/>
          <w:sz w:val="24"/>
          <w:szCs w:val="24"/>
        </w:rPr>
      </w:pPr>
      <w:r>
        <w:rPr>
          <w:rFonts w:eastAsia="Calibri" w:cstheme="minorHAnsi"/>
          <w:sz w:val="24"/>
          <w:szCs w:val="24"/>
        </w:rPr>
        <w:t>W ramach tej kategorii k</w:t>
      </w:r>
      <w:r w:rsidR="00C53F39" w:rsidRPr="00CA563B">
        <w:rPr>
          <w:rFonts w:eastAsia="Calibri" w:cstheme="minorHAnsi"/>
          <w:sz w:val="24"/>
          <w:szCs w:val="24"/>
        </w:rPr>
        <w:t>osztami kwalifikowalnymi są dodatkowe koszty inwestycji określane przez porównanie całkowitych kosztów inwestycji (rodzaje inwestycji wskazan</w:t>
      </w:r>
      <w:r w:rsidR="00AD5CA1">
        <w:rPr>
          <w:rFonts w:eastAsia="Calibri" w:cstheme="minorHAnsi"/>
          <w:sz w:val="24"/>
          <w:szCs w:val="24"/>
        </w:rPr>
        <w:t xml:space="preserve">ych w </w:t>
      </w:r>
      <w:r w:rsidR="00AD5CA1" w:rsidRPr="00AD5CA1">
        <w:rPr>
          <w:rFonts w:eastAsia="Calibri" w:cstheme="minorHAnsi"/>
          <w:sz w:val="24"/>
          <w:szCs w:val="24"/>
        </w:rPr>
        <w:t>art. 47 ust. 2 ww. rozporządzenia</w:t>
      </w:r>
      <w:r w:rsidR="00AD5CA1">
        <w:rPr>
          <w:rFonts w:eastAsia="Calibri" w:cstheme="minorHAnsi"/>
          <w:sz w:val="24"/>
          <w:szCs w:val="24"/>
        </w:rPr>
        <w:t xml:space="preserve"> 651/2014</w:t>
      </w:r>
      <w:r w:rsidR="00C53F39" w:rsidRPr="00CA563B">
        <w:rPr>
          <w:rFonts w:eastAsia="Calibri" w:cstheme="minorHAnsi"/>
          <w:sz w:val="24"/>
          <w:szCs w:val="24"/>
        </w:rPr>
        <w:t>) z  kosztami projektu lub działania mniej przyjaznego dla środowiska, mogącego stanowić jeden z poniższych scenariuszy alternatywnych:</w:t>
      </w:r>
    </w:p>
    <w:p w14:paraId="395D9E4E" w14:textId="77777777" w:rsidR="00C53F39" w:rsidRPr="00767A60" w:rsidRDefault="00C53F39" w:rsidP="00CA563B">
      <w:pPr>
        <w:pStyle w:val="Akapitzlist"/>
        <w:numPr>
          <w:ilvl w:val="3"/>
          <w:numId w:val="53"/>
        </w:numPr>
        <w:spacing w:after="0" w:line="276" w:lineRule="auto"/>
        <w:rPr>
          <w:rFonts w:eastAsia="Times New Roman" w:cstheme="minorHAnsi"/>
          <w:sz w:val="24"/>
          <w:szCs w:val="20"/>
          <w:lang w:eastAsia="pl-PL"/>
        </w:rPr>
      </w:pPr>
      <w:r w:rsidRPr="00767A60">
        <w:rPr>
          <w:rFonts w:eastAsia="Times New Roman" w:cstheme="minorHAnsi"/>
          <w:sz w:val="24"/>
          <w:szCs w:val="20"/>
          <w:lang w:eastAsia="pl-PL"/>
        </w:rPr>
        <w:t>przeprowadzenie porównywalnej inwestycji, która w wiarygodny sposób zostałaby zrealizowana bez pomocy i która nie umożliwia osiągnięcia tego samego poziomu efektywnej gospodarki zasobami;</w:t>
      </w:r>
    </w:p>
    <w:p w14:paraId="578EE1DD" w14:textId="77777777" w:rsidR="00C53F39" w:rsidRPr="00767A60" w:rsidRDefault="00C53F39" w:rsidP="00CA563B">
      <w:pPr>
        <w:pStyle w:val="Akapitzlist"/>
        <w:numPr>
          <w:ilvl w:val="3"/>
          <w:numId w:val="53"/>
        </w:numPr>
        <w:spacing w:after="0" w:line="276" w:lineRule="auto"/>
        <w:rPr>
          <w:rFonts w:eastAsia="Times New Roman" w:cstheme="minorHAnsi"/>
          <w:sz w:val="24"/>
          <w:szCs w:val="20"/>
          <w:lang w:eastAsia="pl-PL"/>
        </w:rPr>
      </w:pPr>
      <w:r w:rsidRPr="00767A60">
        <w:rPr>
          <w:rFonts w:eastAsia="Times New Roman" w:cstheme="minorHAnsi"/>
          <w:sz w:val="24"/>
          <w:szCs w:val="20"/>
          <w:lang w:eastAsia="pl-PL"/>
        </w:rPr>
        <w:t>przeprowadzenie inwestycji zakładającej przetwarzanie odpadów zgodnie ze sposobem przetwarzania, który znajduje się niżej hierarchii postępowania z odpadami określonej w art. 4 ust. 1 dyrektywy 2008/98</w:t>
      </w:r>
      <w:r>
        <w:rPr>
          <w:rFonts w:eastAsia="Times New Roman" w:cstheme="minorHAnsi"/>
          <w:bCs/>
          <w:sz w:val="24"/>
          <w:szCs w:val="20"/>
          <w:lang w:eastAsia="pl-PL"/>
        </w:rPr>
        <w:t>/WE</w:t>
      </w:r>
      <w:r w:rsidRPr="00767A60">
        <w:rPr>
          <w:rFonts w:eastAsia="Times New Roman" w:cstheme="minorHAnsi"/>
          <w:sz w:val="24"/>
          <w:szCs w:val="20"/>
          <w:lang w:eastAsia="pl-PL"/>
        </w:rPr>
        <w:t>, lub przetwarzanie odpadów, innych produktów, materiałów lub substancji w mniej zasobooszczędny sposób;</w:t>
      </w:r>
    </w:p>
    <w:p w14:paraId="1F7BB8B9" w14:textId="77777777" w:rsidR="00C53F39" w:rsidRPr="00767A60" w:rsidRDefault="00C53F39" w:rsidP="00CA563B">
      <w:pPr>
        <w:pStyle w:val="Akapitzlist"/>
        <w:numPr>
          <w:ilvl w:val="3"/>
          <w:numId w:val="53"/>
        </w:numPr>
        <w:spacing w:after="0" w:line="276" w:lineRule="auto"/>
        <w:rPr>
          <w:rFonts w:eastAsia="Times New Roman" w:cstheme="minorHAnsi"/>
          <w:sz w:val="24"/>
          <w:szCs w:val="20"/>
          <w:lang w:eastAsia="pl-PL"/>
        </w:rPr>
      </w:pPr>
      <w:r w:rsidRPr="00767A60">
        <w:rPr>
          <w:rFonts w:eastAsia="Times New Roman" w:cstheme="minorHAnsi"/>
          <w:sz w:val="24"/>
          <w:szCs w:val="20"/>
          <w:lang w:eastAsia="pl-PL"/>
        </w:rPr>
        <w:t>przeprowadzenie inwestycji zakładającej konwencjonalny proces produkcji związany z surowcem lub produktem pierwotnym, jeżeli produkt wtórny (ponownie użyty lub odzyskany) można uznać za technicznie i ekonomicznie wymienny z surowcem lub produktem pierwotnym.;</w:t>
      </w:r>
    </w:p>
    <w:p w14:paraId="686A5816" w14:textId="6D13D4EC" w:rsidR="00C53F39" w:rsidRDefault="004D6B98" w:rsidP="004D6B98">
      <w:pPr>
        <w:spacing w:after="0" w:line="276" w:lineRule="auto"/>
        <w:rPr>
          <w:rFonts w:eastAsia="Times New Roman" w:cstheme="minorHAnsi"/>
          <w:sz w:val="24"/>
          <w:szCs w:val="20"/>
          <w:lang w:eastAsia="pl-PL"/>
        </w:rPr>
      </w:pPr>
      <w:r>
        <w:rPr>
          <w:rFonts w:eastAsia="Times New Roman" w:cstheme="minorHAnsi"/>
          <w:sz w:val="24"/>
          <w:szCs w:val="20"/>
          <w:lang w:eastAsia="pl-PL"/>
        </w:rPr>
        <w:t>S</w:t>
      </w:r>
      <w:r w:rsidR="00C53F39" w:rsidRPr="00CA563B">
        <w:rPr>
          <w:rFonts w:eastAsia="Times New Roman" w:cstheme="minorHAnsi"/>
          <w:sz w:val="24"/>
          <w:szCs w:val="20"/>
          <w:lang w:eastAsia="pl-PL"/>
        </w:rPr>
        <w:t>cenariusz alternatywny</w:t>
      </w:r>
      <w:r w:rsidR="00E82DA5">
        <w:rPr>
          <w:rFonts w:eastAsia="Times New Roman" w:cstheme="minorHAnsi"/>
          <w:sz w:val="24"/>
          <w:szCs w:val="20"/>
          <w:lang w:eastAsia="pl-PL"/>
        </w:rPr>
        <w:t xml:space="preserve"> dot. lit. i oraz iii </w:t>
      </w:r>
      <w:r w:rsidR="00A8461F">
        <w:rPr>
          <w:rFonts w:eastAsia="Times New Roman" w:cstheme="minorHAnsi"/>
          <w:sz w:val="24"/>
          <w:szCs w:val="20"/>
          <w:lang w:eastAsia="pl-PL"/>
        </w:rPr>
        <w:t xml:space="preserve">musi </w:t>
      </w:r>
      <w:r w:rsidR="00C53F39" w:rsidRPr="00CA563B">
        <w:rPr>
          <w:rFonts w:eastAsia="Times New Roman" w:cstheme="minorHAnsi"/>
          <w:sz w:val="24"/>
          <w:szCs w:val="20"/>
          <w:lang w:eastAsia="pl-PL"/>
        </w:rPr>
        <w:t>stanowi</w:t>
      </w:r>
      <w:r w:rsidR="00A8461F">
        <w:rPr>
          <w:rFonts w:eastAsia="Times New Roman" w:cstheme="minorHAnsi"/>
          <w:sz w:val="24"/>
          <w:szCs w:val="20"/>
          <w:lang w:eastAsia="pl-PL"/>
        </w:rPr>
        <w:t>ć</w:t>
      </w:r>
      <w:r w:rsidR="00C53F39" w:rsidRPr="00CA563B">
        <w:rPr>
          <w:rFonts w:eastAsia="Times New Roman" w:cstheme="minorHAnsi"/>
          <w:sz w:val="24"/>
          <w:szCs w:val="20"/>
          <w:lang w:eastAsia="pl-PL"/>
        </w:rPr>
        <w:t xml:space="preserve"> inwestycję o porównywalnej zdolności produkcyjnej i porównywalnym cyklu życia, zgodną z już obowiązującymi normami unijnymi. Scenariusz alternatywny powinien być wiarygodny w kontekście wymogów prawnych, warunków rynko</w:t>
      </w:r>
      <w:r w:rsidR="00C53F39" w:rsidRPr="00E879EB">
        <w:rPr>
          <w:rFonts w:eastAsia="Times New Roman" w:cstheme="minorHAnsi"/>
          <w:sz w:val="24"/>
          <w:szCs w:val="20"/>
          <w:lang w:eastAsia="pl-PL"/>
        </w:rPr>
        <w:t>wych</w:t>
      </w:r>
      <w:r w:rsidR="0023001A" w:rsidRPr="00E879EB">
        <w:rPr>
          <w:rFonts w:eastAsia="Times New Roman" w:cstheme="minorHAnsi"/>
          <w:sz w:val="24"/>
          <w:szCs w:val="20"/>
          <w:lang w:eastAsia="pl-PL"/>
        </w:rPr>
        <w:t>.</w:t>
      </w:r>
    </w:p>
    <w:p w14:paraId="39C4B47A" w14:textId="77777777" w:rsidR="00A8461F" w:rsidRPr="00CA563B" w:rsidRDefault="00A8461F" w:rsidP="00CA563B">
      <w:pPr>
        <w:spacing w:after="0" w:line="276" w:lineRule="auto"/>
        <w:rPr>
          <w:rFonts w:eastAsia="Times New Roman" w:cstheme="minorHAnsi"/>
          <w:sz w:val="24"/>
          <w:szCs w:val="20"/>
          <w:lang w:eastAsia="pl-PL"/>
        </w:rPr>
      </w:pPr>
    </w:p>
    <w:p w14:paraId="165D1E07" w14:textId="74740E6F" w:rsidR="00475F03" w:rsidRPr="00CA563B" w:rsidRDefault="00475F03" w:rsidP="00CA563B">
      <w:pPr>
        <w:rPr>
          <w:rFonts w:eastAsia="Calibri" w:cstheme="minorHAnsi"/>
          <w:sz w:val="24"/>
          <w:szCs w:val="24"/>
        </w:rPr>
      </w:pPr>
      <w:r w:rsidRPr="00CA563B">
        <w:rPr>
          <w:rFonts w:eastAsia="Calibri" w:cstheme="minorHAnsi"/>
          <w:sz w:val="24"/>
          <w:szCs w:val="24"/>
        </w:rPr>
        <w:t>Koszt</w:t>
      </w:r>
      <w:r w:rsidR="00C53F39" w:rsidRPr="00CA563B">
        <w:rPr>
          <w:rFonts w:eastAsia="Calibri" w:cstheme="minorHAnsi"/>
          <w:sz w:val="24"/>
          <w:szCs w:val="24"/>
        </w:rPr>
        <w:t>ami</w:t>
      </w:r>
      <w:r w:rsidRPr="00CA563B">
        <w:rPr>
          <w:rFonts w:eastAsia="Calibri" w:cstheme="minorHAnsi"/>
          <w:sz w:val="24"/>
          <w:szCs w:val="24"/>
        </w:rPr>
        <w:t xml:space="preserve"> kwalifikowaln</w:t>
      </w:r>
      <w:r w:rsidR="00C53F39" w:rsidRPr="00CA563B">
        <w:rPr>
          <w:rFonts w:eastAsia="Calibri" w:cstheme="minorHAnsi"/>
          <w:sz w:val="24"/>
          <w:szCs w:val="24"/>
        </w:rPr>
        <w:t>ymi</w:t>
      </w:r>
      <w:r w:rsidRPr="00CA563B">
        <w:rPr>
          <w:rFonts w:eastAsia="Calibri" w:cstheme="minorHAnsi"/>
          <w:sz w:val="24"/>
          <w:szCs w:val="24"/>
        </w:rPr>
        <w:t xml:space="preserve"> </w:t>
      </w:r>
      <w:r w:rsidR="00C53F39" w:rsidRPr="00CA563B">
        <w:rPr>
          <w:rFonts w:eastAsia="Calibri" w:cstheme="minorHAnsi"/>
          <w:sz w:val="24"/>
          <w:szCs w:val="24"/>
        </w:rPr>
        <w:t xml:space="preserve">będą koszty </w:t>
      </w:r>
      <w:r w:rsidRPr="00CA563B">
        <w:rPr>
          <w:rFonts w:eastAsia="Calibri" w:cstheme="minorHAnsi"/>
          <w:sz w:val="24"/>
          <w:szCs w:val="24"/>
        </w:rPr>
        <w:t xml:space="preserve">stanowiące różnicę wynikającą z porównania </w:t>
      </w:r>
      <w:r w:rsidR="004D6B98" w:rsidRPr="00CA563B">
        <w:rPr>
          <w:rFonts w:eastAsia="Calibri" w:cstheme="minorHAnsi"/>
          <w:sz w:val="24"/>
          <w:szCs w:val="24"/>
        </w:rPr>
        <w:t xml:space="preserve">planowanej w ramach wniosku o dofinansowanie inwestycji </w:t>
      </w:r>
      <w:r w:rsidRPr="00CA563B">
        <w:rPr>
          <w:rFonts w:eastAsia="Calibri" w:cstheme="minorHAnsi"/>
          <w:sz w:val="24"/>
          <w:szCs w:val="24"/>
        </w:rPr>
        <w:t>do kosztów inwestycji alternatywnej. Intensywność pomocy, o której mowa w pkt. 7.2 lit i) dotyczy w tym przypadku wskazanej wyżej różnicy w kosztach.</w:t>
      </w:r>
    </w:p>
    <w:p w14:paraId="0D55BD1A" w14:textId="71EAAF66" w:rsidR="00475F03" w:rsidRPr="004404FD" w:rsidRDefault="00475F03" w:rsidP="00CA563B">
      <w:pPr>
        <w:pStyle w:val="Nagwek4"/>
        <w:spacing w:before="120" w:line="276" w:lineRule="auto"/>
        <w:rPr>
          <w:rFonts w:cstheme="minorHAnsi"/>
          <w:sz w:val="28"/>
          <w:szCs w:val="28"/>
        </w:rPr>
      </w:pPr>
      <w:bookmarkStart w:id="184" w:name="_Toc148716432"/>
      <w:r w:rsidRPr="004404FD">
        <w:rPr>
          <w:rFonts w:asciiTheme="minorHAnsi" w:hAnsiTheme="minorHAnsi" w:cstheme="minorHAnsi"/>
          <w:i w:val="0"/>
          <w:iCs w:val="0"/>
          <w:color w:val="auto"/>
          <w:sz w:val="28"/>
          <w:szCs w:val="28"/>
        </w:rPr>
        <w:t>7.3.1</w:t>
      </w:r>
      <w:r w:rsidR="00E879EB">
        <w:rPr>
          <w:rFonts w:asciiTheme="minorHAnsi" w:hAnsiTheme="minorHAnsi" w:cstheme="minorHAnsi"/>
          <w:i w:val="0"/>
          <w:iCs w:val="0"/>
          <w:color w:val="auto"/>
          <w:sz w:val="28"/>
          <w:szCs w:val="28"/>
        </w:rPr>
        <w:t>8</w:t>
      </w:r>
      <w:r w:rsidR="004D6B98">
        <w:rPr>
          <w:rFonts w:asciiTheme="minorHAnsi" w:hAnsiTheme="minorHAnsi" w:cstheme="minorHAnsi"/>
          <w:i w:val="0"/>
          <w:iCs w:val="0"/>
          <w:color w:val="auto"/>
          <w:sz w:val="28"/>
          <w:szCs w:val="28"/>
        </w:rPr>
        <w:t xml:space="preserve">. </w:t>
      </w:r>
      <w:r w:rsidR="00BE6D93">
        <w:rPr>
          <w:rFonts w:asciiTheme="minorHAnsi" w:hAnsiTheme="minorHAnsi" w:cstheme="minorHAnsi"/>
          <w:i w:val="0"/>
          <w:iCs w:val="0"/>
          <w:color w:val="auto"/>
          <w:sz w:val="28"/>
          <w:szCs w:val="28"/>
        </w:rPr>
        <w:t>G</w:t>
      </w:r>
      <w:r w:rsidRPr="004404FD">
        <w:rPr>
          <w:rFonts w:asciiTheme="minorHAnsi" w:hAnsiTheme="minorHAnsi" w:cstheme="minorHAnsi"/>
          <w:i w:val="0"/>
          <w:iCs w:val="0"/>
          <w:color w:val="auto"/>
          <w:sz w:val="28"/>
          <w:szCs w:val="28"/>
        </w:rPr>
        <w:t xml:space="preserve">ospodarowanie zasobami i GOZ </w:t>
      </w:r>
      <w:r w:rsidR="00BE6D93">
        <w:rPr>
          <w:rFonts w:asciiTheme="minorHAnsi" w:hAnsiTheme="minorHAnsi" w:cstheme="minorHAnsi"/>
          <w:i w:val="0"/>
          <w:iCs w:val="0"/>
          <w:color w:val="auto"/>
          <w:sz w:val="28"/>
          <w:szCs w:val="28"/>
        </w:rPr>
        <w:t xml:space="preserve"> - </w:t>
      </w:r>
      <w:r w:rsidR="00BE6D93" w:rsidRPr="00BE6D93">
        <w:rPr>
          <w:rFonts w:asciiTheme="minorHAnsi" w:hAnsiTheme="minorHAnsi" w:cstheme="minorHAnsi"/>
          <w:i w:val="0"/>
          <w:iCs w:val="0"/>
          <w:color w:val="auto"/>
          <w:sz w:val="28"/>
          <w:szCs w:val="28"/>
        </w:rPr>
        <w:t>Dodatkowe komponenty w istniejącym zakładzie</w:t>
      </w:r>
      <w:bookmarkEnd w:id="184"/>
      <w:r w:rsidR="00BE6D93" w:rsidRPr="00BE6D93">
        <w:rPr>
          <w:rFonts w:asciiTheme="minorHAnsi" w:hAnsiTheme="minorHAnsi" w:cstheme="minorHAnsi"/>
          <w:i w:val="0"/>
          <w:iCs w:val="0"/>
          <w:color w:val="auto"/>
          <w:sz w:val="28"/>
          <w:szCs w:val="28"/>
        </w:rPr>
        <w:t xml:space="preserve"> </w:t>
      </w:r>
    </w:p>
    <w:p w14:paraId="0936F1CE" w14:textId="1B6CDF8B" w:rsidR="004D6B98" w:rsidRDefault="004D6B98" w:rsidP="004D6B98">
      <w:pPr>
        <w:spacing w:after="120" w:line="276" w:lineRule="auto"/>
        <w:rPr>
          <w:rFonts w:eastAsia="Calibri" w:cstheme="minorHAnsi"/>
          <w:sz w:val="24"/>
          <w:szCs w:val="24"/>
        </w:rPr>
      </w:pPr>
      <w:r w:rsidRPr="00066E2B">
        <w:rPr>
          <w:rFonts w:eastAsia="Calibri" w:cstheme="minorHAnsi"/>
          <w:sz w:val="24"/>
          <w:szCs w:val="24"/>
        </w:rPr>
        <w:t xml:space="preserve">W ramach tej kategorii </w:t>
      </w:r>
      <w:r w:rsidRPr="00762814">
        <w:rPr>
          <w:rFonts w:eastAsia="Calibri" w:cstheme="minorHAnsi"/>
          <w:sz w:val="24"/>
          <w:szCs w:val="24"/>
        </w:rPr>
        <w:t xml:space="preserve">za koszty kwalifikowalne uznaje się </w:t>
      </w:r>
      <w:r>
        <w:rPr>
          <w:rFonts w:eastAsia="Calibri" w:cstheme="minorHAnsi"/>
          <w:sz w:val="24"/>
          <w:szCs w:val="24"/>
        </w:rPr>
        <w:t>całkowite</w:t>
      </w:r>
      <w:r w:rsidRPr="00762814">
        <w:rPr>
          <w:rFonts w:eastAsia="Calibri" w:cstheme="minorHAnsi"/>
          <w:sz w:val="24"/>
          <w:szCs w:val="24"/>
        </w:rPr>
        <w:t xml:space="preserve"> koszty </w:t>
      </w:r>
      <w:r>
        <w:rPr>
          <w:rFonts w:eastAsia="Calibri" w:cstheme="minorHAnsi"/>
          <w:sz w:val="24"/>
          <w:szCs w:val="24"/>
        </w:rPr>
        <w:t xml:space="preserve">inwestycji </w:t>
      </w:r>
      <w:r w:rsidRPr="00A803E1">
        <w:rPr>
          <w:rFonts w:eastAsia="Calibri" w:cstheme="minorHAnsi"/>
          <w:sz w:val="24"/>
          <w:szCs w:val="24"/>
        </w:rPr>
        <w:t>polega</w:t>
      </w:r>
      <w:r>
        <w:rPr>
          <w:rFonts w:eastAsia="Calibri" w:cstheme="minorHAnsi"/>
          <w:sz w:val="24"/>
          <w:szCs w:val="24"/>
        </w:rPr>
        <w:t>jącej</w:t>
      </w:r>
      <w:r w:rsidRPr="00A803E1">
        <w:rPr>
          <w:rFonts w:eastAsia="Calibri" w:cstheme="minorHAnsi"/>
          <w:sz w:val="24"/>
          <w:szCs w:val="24"/>
        </w:rPr>
        <w:t xml:space="preserve"> na instalacji dodatkowych komponentów w już istniejącym zakładzie, dla które</w:t>
      </w:r>
      <w:r>
        <w:rPr>
          <w:rFonts w:eastAsia="Calibri" w:cstheme="minorHAnsi"/>
          <w:sz w:val="24"/>
          <w:szCs w:val="24"/>
        </w:rPr>
        <w:t>j</w:t>
      </w:r>
      <w:r w:rsidRPr="00A803E1">
        <w:rPr>
          <w:rFonts w:eastAsia="Calibri" w:cstheme="minorHAnsi"/>
          <w:sz w:val="24"/>
          <w:szCs w:val="24"/>
        </w:rPr>
        <w:t xml:space="preserve"> nie istnieje inwestycja alternatywna mniej przyjazna dla środowiska</w:t>
      </w:r>
      <w:r w:rsidR="00D64749">
        <w:rPr>
          <w:rFonts w:eastAsia="Calibri" w:cstheme="minorHAnsi"/>
          <w:sz w:val="24"/>
          <w:szCs w:val="24"/>
        </w:rPr>
        <w:t xml:space="preserve">. </w:t>
      </w:r>
    </w:p>
    <w:p w14:paraId="5A83BF97" w14:textId="021F08C6" w:rsidR="004D6B98" w:rsidRPr="00BF1B29" w:rsidRDefault="004D6B98" w:rsidP="004D6B98">
      <w:pPr>
        <w:spacing w:after="120" w:line="276" w:lineRule="auto"/>
        <w:rPr>
          <w:rFonts w:eastAsia="Calibri" w:cstheme="minorHAnsi"/>
          <w:sz w:val="24"/>
          <w:szCs w:val="24"/>
        </w:rPr>
      </w:pPr>
      <w:r>
        <w:rPr>
          <w:rFonts w:eastAsia="Calibri" w:cstheme="minorHAnsi"/>
          <w:sz w:val="24"/>
          <w:szCs w:val="24"/>
        </w:rPr>
        <w:t xml:space="preserve">Całkowite koszty inwestycji </w:t>
      </w:r>
      <w:r w:rsidR="00A8461F">
        <w:rPr>
          <w:rFonts w:eastAsia="Calibri" w:cstheme="minorHAnsi"/>
          <w:sz w:val="24"/>
          <w:szCs w:val="24"/>
        </w:rPr>
        <w:t xml:space="preserve">będą uznane za kwalifikowane w ramach tej kategorii również w sytuacji, gdy wnioskodawca może wykazać we wniosku o dofinansowanie, że w przypadku braku pomocy  publicznej udzielanej zgodnie z art. </w:t>
      </w:r>
      <w:r w:rsidR="00A8461F" w:rsidRPr="00BF1B29">
        <w:rPr>
          <w:rFonts w:eastAsia="Calibri" w:cstheme="minorHAnsi"/>
          <w:sz w:val="24"/>
          <w:szCs w:val="24"/>
        </w:rPr>
        <w:t xml:space="preserve">47 </w:t>
      </w:r>
      <w:r w:rsidR="00A8461F" w:rsidRPr="00CA563B">
        <w:rPr>
          <w:rFonts w:eastAsia="Calibri" w:cstheme="minorHAnsi"/>
          <w:bCs/>
          <w:sz w:val="24"/>
          <w:szCs w:val="24"/>
        </w:rPr>
        <w:t>rozporządzenia Komisji (UE) nr 651/2014</w:t>
      </w:r>
      <w:r w:rsidR="00A8461F">
        <w:rPr>
          <w:rFonts w:eastAsia="Calibri" w:cstheme="minorHAnsi"/>
          <w:bCs/>
          <w:sz w:val="24"/>
          <w:szCs w:val="24"/>
        </w:rPr>
        <w:t xml:space="preserve">, inwestycja nie zostałaby zrealizowana. </w:t>
      </w:r>
    </w:p>
    <w:p w14:paraId="6E64906F" w14:textId="77777777" w:rsidR="00C34301" w:rsidRDefault="00C34301" w:rsidP="00762814">
      <w:pPr>
        <w:spacing w:after="120" w:line="276" w:lineRule="auto"/>
        <w:contextualSpacing/>
        <w:rPr>
          <w:rFonts w:eastAsia="Calibri" w:cstheme="minorHAnsi"/>
          <w:sz w:val="24"/>
          <w:szCs w:val="24"/>
        </w:rPr>
      </w:pPr>
    </w:p>
    <w:p w14:paraId="1DA12C89" w14:textId="654589DC" w:rsidR="00E1317D" w:rsidRPr="00762814" w:rsidRDefault="008B60F4" w:rsidP="00762814">
      <w:pPr>
        <w:spacing w:after="120" w:line="276" w:lineRule="auto"/>
        <w:contextualSpacing/>
        <w:rPr>
          <w:rFonts w:eastAsia="Calibri" w:cstheme="minorHAnsi"/>
          <w:sz w:val="24"/>
          <w:szCs w:val="24"/>
        </w:rPr>
      </w:pPr>
      <w:r w:rsidRPr="00E879EB">
        <w:rPr>
          <w:rFonts w:eastAsia="Calibri" w:cstheme="minorHAnsi"/>
          <w:b/>
          <w:bCs/>
          <w:sz w:val="24"/>
          <w:szCs w:val="24"/>
        </w:rPr>
        <w:t>Uwaga</w:t>
      </w:r>
      <w:r>
        <w:rPr>
          <w:rFonts w:eastAsia="Calibri" w:cstheme="minorHAnsi"/>
          <w:sz w:val="24"/>
          <w:szCs w:val="24"/>
        </w:rPr>
        <w:t>:</w:t>
      </w:r>
      <w:r w:rsidR="00E879EB">
        <w:rPr>
          <w:rFonts w:eastAsia="Calibri" w:cstheme="minorHAnsi"/>
          <w:sz w:val="24"/>
          <w:szCs w:val="24"/>
        </w:rPr>
        <w:t xml:space="preserve"> </w:t>
      </w:r>
      <w:r w:rsidR="000F5AC0" w:rsidRPr="00762814">
        <w:rPr>
          <w:rFonts w:eastAsia="Calibri" w:cstheme="minorHAnsi"/>
          <w:sz w:val="24"/>
          <w:szCs w:val="24"/>
        </w:rPr>
        <w:t>W ramach kategorii od 7.3.8 do 7.3.</w:t>
      </w:r>
      <w:r>
        <w:rPr>
          <w:rFonts w:eastAsia="Calibri" w:cstheme="minorHAnsi"/>
          <w:sz w:val="24"/>
          <w:szCs w:val="24"/>
        </w:rPr>
        <w:t>1</w:t>
      </w:r>
      <w:r w:rsidR="00E879EB">
        <w:rPr>
          <w:rFonts w:eastAsia="Calibri" w:cstheme="minorHAnsi"/>
          <w:sz w:val="24"/>
          <w:szCs w:val="24"/>
        </w:rPr>
        <w:t>8</w:t>
      </w:r>
      <w:r w:rsidR="000F5AC0" w:rsidRPr="00762814">
        <w:rPr>
          <w:rFonts w:eastAsia="Calibri" w:cstheme="minorHAnsi"/>
          <w:sz w:val="24"/>
          <w:szCs w:val="24"/>
        </w:rPr>
        <w:t xml:space="preserve"> suma kosztów gruntów i nieruchomości zabudowanych nie może przekroczyć 10% całkowitych wydatków kwalifikowalnych modułu; w przypadku terenów opuszczonych oraz poprzemysłowych</w:t>
      </w:r>
      <w:r w:rsidR="009953D1" w:rsidRPr="00762814">
        <w:rPr>
          <w:rStyle w:val="Odwoanieprzypisudolnego"/>
          <w:rFonts w:eastAsia="Calibri" w:cstheme="minorHAnsi"/>
          <w:sz w:val="24"/>
          <w:szCs w:val="24"/>
        </w:rPr>
        <w:footnoteReference w:id="13"/>
      </w:r>
      <w:r w:rsidR="000F5AC0" w:rsidRPr="00762814">
        <w:rPr>
          <w:rFonts w:eastAsia="Calibri" w:cstheme="minorHAnsi"/>
          <w:sz w:val="24"/>
          <w:szCs w:val="24"/>
        </w:rPr>
        <w:t xml:space="preserve"> , na których znajdują się budynki, </w:t>
      </w:r>
      <w:r w:rsidR="002254C4" w:rsidRPr="005454F0">
        <w:rPr>
          <w:rFonts w:ascii="Arial" w:hAnsi="Arial" w:cs="Arial"/>
        </w:rPr>
        <w:t xml:space="preserve">dla MŚP </w:t>
      </w:r>
      <w:r w:rsidR="000F5AC0" w:rsidRPr="00762814">
        <w:rPr>
          <w:rFonts w:eastAsia="Calibri" w:cstheme="minorHAnsi"/>
          <w:sz w:val="24"/>
          <w:szCs w:val="24"/>
        </w:rPr>
        <w:t>limit ten zostaje podniesiony do 15% – na podstawie art. 64 ust 1 lit. b) Rozporządzenia Parlamentu i Rady UE nr 2021/1060 z dnia 24 czerwca 2021 r.</w:t>
      </w:r>
    </w:p>
    <w:p w14:paraId="2F3EDDF1" w14:textId="6D983710" w:rsidR="00B25F09" w:rsidRPr="00ED6E26" w:rsidRDefault="00D240AF" w:rsidP="00D240AF">
      <w:pPr>
        <w:pStyle w:val="Nagwek4"/>
        <w:spacing w:before="120" w:line="276" w:lineRule="auto"/>
        <w:rPr>
          <w:rFonts w:asciiTheme="minorHAnsi" w:hAnsiTheme="minorHAnsi" w:cstheme="minorHAnsi"/>
          <w:i w:val="0"/>
          <w:color w:val="auto"/>
          <w:sz w:val="28"/>
          <w:szCs w:val="28"/>
        </w:rPr>
      </w:pPr>
      <w:bookmarkStart w:id="185" w:name="_Toc124499907"/>
      <w:bookmarkStart w:id="186" w:name="_Toc148716433"/>
      <w:r>
        <w:rPr>
          <w:rFonts w:asciiTheme="minorHAnsi" w:hAnsiTheme="minorHAnsi" w:cstheme="minorHAnsi"/>
          <w:i w:val="0"/>
          <w:color w:val="auto"/>
          <w:sz w:val="28"/>
          <w:szCs w:val="28"/>
        </w:rPr>
        <w:t>7.3.</w:t>
      </w:r>
      <w:r w:rsidR="00A8461F">
        <w:rPr>
          <w:rFonts w:asciiTheme="minorHAnsi" w:hAnsiTheme="minorHAnsi" w:cstheme="minorHAnsi"/>
          <w:i w:val="0"/>
          <w:color w:val="auto"/>
          <w:sz w:val="28"/>
          <w:szCs w:val="28"/>
        </w:rPr>
        <w:t>1</w:t>
      </w:r>
      <w:r w:rsidR="00E879EB">
        <w:rPr>
          <w:rFonts w:asciiTheme="minorHAnsi" w:hAnsiTheme="minorHAnsi" w:cstheme="minorHAnsi"/>
          <w:i w:val="0"/>
          <w:color w:val="auto"/>
          <w:sz w:val="28"/>
          <w:szCs w:val="28"/>
        </w:rPr>
        <w:t>9</w:t>
      </w:r>
      <w:r>
        <w:rPr>
          <w:rFonts w:asciiTheme="minorHAnsi" w:hAnsiTheme="minorHAnsi" w:cstheme="minorHAnsi"/>
          <w:i w:val="0"/>
          <w:color w:val="auto"/>
          <w:sz w:val="28"/>
          <w:szCs w:val="28"/>
        </w:rPr>
        <w:t xml:space="preserve"> </w:t>
      </w:r>
      <w:r w:rsidR="00CC53F4" w:rsidRPr="00ED6E26">
        <w:rPr>
          <w:rFonts w:asciiTheme="minorHAnsi" w:hAnsiTheme="minorHAnsi" w:cstheme="minorHAnsi"/>
          <w:i w:val="0"/>
          <w:color w:val="auto"/>
          <w:sz w:val="28"/>
          <w:szCs w:val="28"/>
        </w:rPr>
        <w:t>Usługi zewnętrzne (de minimis)</w:t>
      </w:r>
      <w:bookmarkEnd w:id="185"/>
      <w:bookmarkEnd w:id="186"/>
    </w:p>
    <w:p w14:paraId="3E78B97D" w14:textId="3718032E" w:rsidR="00CC53F4" w:rsidRPr="00762814" w:rsidRDefault="00CC53F4" w:rsidP="00762814">
      <w:pPr>
        <w:spacing w:after="120" w:line="276" w:lineRule="auto"/>
        <w:rPr>
          <w:rFonts w:eastAsia="Calibri" w:cstheme="minorHAnsi"/>
          <w:sz w:val="24"/>
          <w:szCs w:val="24"/>
        </w:rPr>
      </w:pPr>
      <w:r w:rsidRPr="00762814">
        <w:rPr>
          <w:rFonts w:eastAsia="Calibri" w:cstheme="minorHAnsi"/>
          <w:sz w:val="24"/>
          <w:szCs w:val="24"/>
        </w:rPr>
        <w:t>W ramach kategorii kwalifikowane są następujące koszty usług zewnętrznych:</w:t>
      </w:r>
    </w:p>
    <w:p w14:paraId="3870C275" w14:textId="77777777" w:rsidR="00CC53F4" w:rsidRPr="00762814" w:rsidRDefault="00CC53F4" w:rsidP="00BF47B4">
      <w:pPr>
        <w:numPr>
          <w:ilvl w:val="1"/>
          <w:numId w:val="10"/>
        </w:numPr>
        <w:spacing w:after="120" w:line="276" w:lineRule="auto"/>
        <w:ind w:left="1066" w:hanging="357"/>
        <w:contextualSpacing/>
        <w:rPr>
          <w:rFonts w:eastAsia="Calibri" w:cstheme="minorHAnsi"/>
          <w:sz w:val="24"/>
          <w:szCs w:val="24"/>
        </w:rPr>
      </w:pPr>
      <w:r w:rsidRPr="00762814">
        <w:rPr>
          <w:rFonts w:eastAsia="Calibri" w:cstheme="minorHAnsi"/>
          <w:sz w:val="24"/>
          <w:szCs w:val="24"/>
        </w:rPr>
        <w:t>przeprowadzenia środowiskowej oceny cyklu życia (LCA, Life Cycle Assessment) lub oceny</w:t>
      </w:r>
      <w:r w:rsidRPr="00762814">
        <w:rPr>
          <w:rFonts w:eastAsia="Calibri" w:cstheme="minorHAnsi"/>
          <w:b/>
          <w:bCs/>
          <w:sz w:val="24"/>
          <w:szCs w:val="24"/>
        </w:rPr>
        <w:t xml:space="preserve"> </w:t>
      </w:r>
      <w:r w:rsidRPr="00762814">
        <w:rPr>
          <w:rFonts w:eastAsia="Calibri" w:cstheme="minorHAnsi"/>
          <w:sz w:val="24"/>
          <w:szCs w:val="24"/>
        </w:rPr>
        <w:t xml:space="preserve">śladu środowiskowego produktu </w:t>
      </w:r>
      <w:bookmarkStart w:id="187" w:name="_Hlk120199645"/>
      <w:r w:rsidRPr="00762814">
        <w:rPr>
          <w:rFonts w:eastAsia="Calibri" w:cstheme="minorHAnsi"/>
          <w:sz w:val="24"/>
          <w:szCs w:val="24"/>
        </w:rPr>
        <w:t>(PEF</w:t>
      </w:r>
      <w:bookmarkEnd w:id="187"/>
      <w:r w:rsidRPr="00762814">
        <w:rPr>
          <w:rFonts w:eastAsia="Calibri" w:cstheme="minorHAnsi"/>
          <w:sz w:val="24"/>
          <w:szCs w:val="24"/>
        </w:rPr>
        <w:t xml:space="preserve">, Product Environmental Footprint), </w:t>
      </w:r>
    </w:p>
    <w:p w14:paraId="58E0D85F" w14:textId="77777777" w:rsidR="00CC53F4" w:rsidRPr="00762814" w:rsidRDefault="00CC53F4" w:rsidP="00BF47B4">
      <w:pPr>
        <w:numPr>
          <w:ilvl w:val="1"/>
          <w:numId w:val="10"/>
        </w:numPr>
        <w:spacing w:after="120" w:line="276" w:lineRule="auto"/>
        <w:ind w:left="1066" w:hanging="357"/>
        <w:contextualSpacing/>
        <w:rPr>
          <w:rFonts w:eastAsia="Calibri" w:cstheme="minorHAnsi"/>
          <w:sz w:val="24"/>
          <w:szCs w:val="24"/>
        </w:rPr>
      </w:pPr>
      <w:r w:rsidRPr="00762814">
        <w:rPr>
          <w:rFonts w:eastAsia="Calibri" w:cstheme="minorHAnsi"/>
          <w:sz w:val="24"/>
          <w:szCs w:val="24"/>
        </w:rPr>
        <w:t>koszty audytu energetycznego</w:t>
      </w:r>
    </w:p>
    <w:p w14:paraId="44D9947F" w14:textId="77777777" w:rsidR="00CC53F4" w:rsidRPr="00762814" w:rsidRDefault="00CC53F4" w:rsidP="00762814">
      <w:pPr>
        <w:spacing w:after="120" w:line="276" w:lineRule="auto"/>
        <w:rPr>
          <w:rFonts w:eastAsia="Calibri" w:cstheme="minorHAnsi"/>
          <w:sz w:val="24"/>
          <w:szCs w:val="24"/>
        </w:rPr>
      </w:pPr>
      <w:r w:rsidRPr="00762814">
        <w:rPr>
          <w:rFonts w:eastAsia="Calibri" w:cstheme="minorHAnsi"/>
          <w:sz w:val="24"/>
          <w:szCs w:val="24"/>
        </w:rPr>
        <w:t>poniesione przez Wnioskodawcę nie wcześniej niż 12 miesięcy przed dniem złożenia wniosku.</w:t>
      </w:r>
    </w:p>
    <w:p w14:paraId="6A2299C3" w14:textId="77777777" w:rsidR="00CC53F4" w:rsidRPr="00762814" w:rsidRDefault="00CC53F4" w:rsidP="00762814">
      <w:pPr>
        <w:spacing w:after="120" w:line="276" w:lineRule="auto"/>
        <w:rPr>
          <w:rFonts w:eastAsia="Calibri" w:cstheme="minorHAnsi"/>
          <w:b/>
          <w:bCs/>
          <w:sz w:val="24"/>
          <w:szCs w:val="24"/>
        </w:rPr>
      </w:pPr>
      <w:r w:rsidRPr="00762814">
        <w:rPr>
          <w:rFonts w:eastAsia="Calibri" w:cstheme="minorHAnsi"/>
          <w:b/>
          <w:bCs/>
          <w:sz w:val="24"/>
          <w:szCs w:val="24"/>
        </w:rPr>
        <w:t>Koszty objęte literą a) są objęte pomocą de minimis zarówno dla MŚP, jak i dla dużych przedsiębiorców. Koszty objęte literą b) są objęte pomocą de minimis dla MŚP.</w:t>
      </w:r>
    </w:p>
    <w:p w14:paraId="592EBAB4" w14:textId="4B363BAA" w:rsidR="00E1317D" w:rsidRPr="00762814" w:rsidRDefault="00E1317D" w:rsidP="00762814">
      <w:pPr>
        <w:spacing w:line="276" w:lineRule="auto"/>
        <w:rPr>
          <w:rFonts w:cstheme="minorHAnsi"/>
          <w:b/>
          <w:bCs/>
          <w:sz w:val="24"/>
          <w:szCs w:val="24"/>
        </w:rPr>
      </w:pPr>
      <w:r w:rsidRPr="00762814">
        <w:rPr>
          <w:rFonts w:cstheme="minorHAnsi"/>
          <w:b/>
          <w:bCs/>
          <w:sz w:val="24"/>
          <w:szCs w:val="24"/>
        </w:rPr>
        <w:br w:type="page"/>
      </w:r>
    </w:p>
    <w:p w14:paraId="50BD249D" w14:textId="544C3964" w:rsidR="00A23B26" w:rsidRPr="00930477" w:rsidRDefault="00722C21" w:rsidP="00BF47B4">
      <w:pPr>
        <w:pStyle w:val="Nagwek2"/>
        <w:numPr>
          <w:ilvl w:val="0"/>
          <w:numId w:val="38"/>
        </w:numPr>
        <w:spacing w:line="276" w:lineRule="auto"/>
        <w:ind w:left="714" w:hanging="357"/>
        <w:rPr>
          <w:rFonts w:asciiTheme="minorHAnsi" w:hAnsiTheme="minorHAnsi" w:cstheme="minorHAnsi"/>
          <w:b/>
          <w:color w:val="auto"/>
          <w:sz w:val="36"/>
          <w:szCs w:val="36"/>
        </w:rPr>
      </w:pPr>
      <w:bookmarkStart w:id="188" w:name="_Toc148716434"/>
      <w:bookmarkEnd w:id="150"/>
      <w:r w:rsidRPr="00930477">
        <w:rPr>
          <w:rFonts w:asciiTheme="minorHAnsi" w:hAnsiTheme="minorHAnsi" w:cstheme="minorHAnsi"/>
          <w:b/>
          <w:color w:val="auto"/>
          <w:sz w:val="36"/>
          <w:szCs w:val="36"/>
        </w:rPr>
        <w:t>Wydatki</w:t>
      </w:r>
      <w:r w:rsidR="008C2F3E" w:rsidRPr="00930477">
        <w:rPr>
          <w:rFonts w:asciiTheme="minorHAnsi" w:hAnsiTheme="minorHAnsi" w:cstheme="minorHAnsi"/>
          <w:b/>
          <w:color w:val="auto"/>
          <w:sz w:val="36"/>
          <w:szCs w:val="36"/>
        </w:rPr>
        <w:t xml:space="preserve"> </w:t>
      </w:r>
      <w:r w:rsidRPr="00930477">
        <w:rPr>
          <w:rFonts w:asciiTheme="minorHAnsi" w:hAnsiTheme="minorHAnsi" w:cstheme="minorHAnsi"/>
          <w:b/>
          <w:color w:val="auto"/>
          <w:sz w:val="36"/>
          <w:szCs w:val="36"/>
        </w:rPr>
        <w:t>kwalifikowalne modułu kompetencje</w:t>
      </w:r>
      <w:bookmarkEnd w:id="188"/>
    </w:p>
    <w:p w14:paraId="043D6517" w14:textId="090098C6" w:rsidR="00A23B26" w:rsidRPr="00930477" w:rsidRDefault="00A23B26" w:rsidP="00BF47B4">
      <w:pPr>
        <w:pStyle w:val="Nagwek3"/>
        <w:numPr>
          <w:ilvl w:val="1"/>
          <w:numId w:val="40"/>
        </w:numPr>
        <w:spacing w:before="360" w:line="276" w:lineRule="auto"/>
        <w:rPr>
          <w:rFonts w:asciiTheme="minorHAnsi" w:hAnsiTheme="minorHAnsi" w:cstheme="minorHAnsi"/>
          <w:color w:val="auto"/>
          <w:sz w:val="32"/>
          <w:szCs w:val="32"/>
        </w:rPr>
      </w:pPr>
      <w:bookmarkStart w:id="189" w:name="_Toc148716435"/>
      <w:r w:rsidRPr="00930477">
        <w:rPr>
          <w:rFonts w:asciiTheme="minorHAnsi" w:hAnsiTheme="minorHAnsi" w:cstheme="minorHAnsi"/>
          <w:color w:val="auto"/>
          <w:sz w:val="32"/>
          <w:szCs w:val="32"/>
        </w:rPr>
        <w:t>Pomoc publiczna</w:t>
      </w:r>
      <w:bookmarkEnd w:id="189"/>
    </w:p>
    <w:p w14:paraId="0723888B" w14:textId="01CBF8CF" w:rsidR="00365EED" w:rsidRPr="00762814" w:rsidRDefault="00A23B26" w:rsidP="00762814">
      <w:pPr>
        <w:spacing w:after="120" w:line="276" w:lineRule="auto"/>
        <w:rPr>
          <w:rFonts w:cstheme="minorHAnsi"/>
          <w:sz w:val="24"/>
          <w:szCs w:val="24"/>
        </w:rPr>
      </w:pPr>
      <w:r w:rsidRPr="00762814">
        <w:rPr>
          <w:rFonts w:cstheme="minorHAnsi"/>
          <w:sz w:val="24"/>
          <w:szCs w:val="24"/>
        </w:rPr>
        <w:t>Wnioskodawca może uzyskać wsparcie w module na podstawie</w:t>
      </w:r>
      <w:r w:rsidR="003C3453" w:rsidRPr="00762814">
        <w:rPr>
          <w:rFonts w:cstheme="minorHAnsi"/>
          <w:sz w:val="24"/>
          <w:szCs w:val="24"/>
        </w:rPr>
        <w:t xml:space="preserve"> </w:t>
      </w:r>
      <w:r w:rsidRPr="00762814">
        <w:rPr>
          <w:rFonts w:cstheme="minorHAnsi"/>
          <w:sz w:val="24"/>
          <w:szCs w:val="24"/>
        </w:rPr>
        <w:t>Rozporządzenia Komisji (UE) nr 651/2014</w:t>
      </w:r>
      <w:r w:rsidR="003C3453" w:rsidRPr="00762814">
        <w:rPr>
          <w:rFonts w:cstheme="minorHAnsi"/>
          <w:sz w:val="24"/>
          <w:szCs w:val="24"/>
        </w:rPr>
        <w:t>,</w:t>
      </w:r>
      <w:r w:rsidRPr="00762814">
        <w:rPr>
          <w:rFonts w:cstheme="minorHAnsi"/>
          <w:sz w:val="24"/>
          <w:szCs w:val="24"/>
        </w:rPr>
        <w:t xml:space="preserve"> jako</w:t>
      </w:r>
      <w:r w:rsidR="003C3453" w:rsidRPr="00762814">
        <w:rPr>
          <w:rFonts w:cstheme="minorHAnsi"/>
          <w:sz w:val="24"/>
          <w:szCs w:val="24"/>
        </w:rPr>
        <w:t xml:space="preserve"> </w:t>
      </w:r>
      <w:r w:rsidRPr="00762814">
        <w:rPr>
          <w:rFonts w:cstheme="minorHAnsi"/>
          <w:b/>
          <w:sz w:val="24"/>
          <w:szCs w:val="24"/>
        </w:rPr>
        <w:t>pomoc szkoleniową</w:t>
      </w:r>
      <w:r w:rsidR="0094237F" w:rsidRPr="00762814">
        <w:rPr>
          <w:rFonts w:cstheme="minorHAnsi"/>
          <w:sz w:val="24"/>
          <w:szCs w:val="24"/>
        </w:rPr>
        <w:t xml:space="preserve"> </w:t>
      </w:r>
      <w:r w:rsidRPr="00762814">
        <w:rPr>
          <w:rFonts w:cstheme="minorHAnsi"/>
          <w:sz w:val="24"/>
          <w:szCs w:val="24"/>
        </w:rPr>
        <w:t>(art. 31)</w:t>
      </w:r>
      <w:r w:rsidR="003C3453" w:rsidRPr="00762814">
        <w:rPr>
          <w:rFonts w:cstheme="minorHAnsi"/>
          <w:sz w:val="24"/>
          <w:szCs w:val="24"/>
        </w:rPr>
        <w:t>.</w:t>
      </w:r>
      <w:r w:rsidRPr="00762814">
        <w:rPr>
          <w:rFonts w:cstheme="minorHAnsi"/>
          <w:sz w:val="24"/>
          <w:szCs w:val="24"/>
        </w:rPr>
        <w:t xml:space="preserve"> </w:t>
      </w:r>
    </w:p>
    <w:p w14:paraId="7D41B64D" w14:textId="787E44C9" w:rsidR="00A23B26" w:rsidRPr="00930477" w:rsidRDefault="00A23B26" w:rsidP="00BF47B4">
      <w:pPr>
        <w:pStyle w:val="Nagwek3"/>
        <w:numPr>
          <w:ilvl w:val="1"/>
          <w:numId w:val="40"/>
        </w:numPr>
        <w:spacing w:before="360" w:line="276" w:lineRule="auto"/>
        <w:rPr>
          <w:rFonts w:asciiTheme="minorHAnsi" w:hAnsiTheme="minorHAnsi" w:cstheme="minorHAnsi"/>
          <w:color w:val="auto"/>
          <w:sz w:val="32"/>
          <w:szCs w:val="32"/>
        </w:rPr>
      </w:pPr>
      <w:bookmarkStart w:id="190" w:name="_Toc148716436"/>
      <w:r w:rsidRPr="00930477">
        <w:rPr>
          <w:rFonts w:asciiTheme="minorHAnsi" w:hAnsiTheme="minorHAnsi" w:cstheme="minorHAnsi"/>
          <w:color w:val="auto"/>
          <w:sz w:val="32"/>
          <w:szCs w:val="32"/>
        </w:rPr>
        <w:t>Limity</w:t>
      </w:r>
      <w:r w:rsidR="003167AD" w:rsidRPr="00930477">
        <w:rPr>
          <w:rFonts w:asciiTheme="minorHAnsi" w:hAnsiTheme="minorHAnsi" w:cstheme="minorHAnsi"/>
          <w:color w:val="auto"/>
          <w:sz w:val="32"/>
          <w:szCs w:val="32"/>
        </w:rPr>
        <w:t xml:space="preserve"> wydatków kwalifikowa</w:t>
      </w:r>
      <w:r w:rsidR="000B17FE" w:rsidRPr="00930477">
        <w:rPr>
          <w:rFonts w:asciiTheme="minorHAnsi" w:hAnsiTheme="minorHAnsi" w:cstheme="minorHAnsi"/>
          <w:color w:val="auto"/>
          <w:sz w:val="32"/>
          <w:szCs w:val="32"/>
        </w:rPr>
        <w:t>l</w:t>
      </w:r>
      <w:r w:rsidR="003167AD" w:rsidRPr="00930477">
        <w:rPr>
          <w:rFonts w:asciiTheme="minorHAnsi" w:hAnsiTheme="minorHAnsi" w:cstheme="minorHAnsi"/>
          <w:color w:val="auto"/>
          <w:sz w:val="32"/>
          <w:szCs w:val="32"/>
        </w:rPr>
        <w:t>nych w module oraz limity dofinansowania</w:t>
      </w:r>
      <w:bookmarkEnd w:id="190"/>
    </w:p>
    <w:p w14:paraId="5CFBACE5" w14:textId="06B5043C" w:rsidR="00A23B26" w:rsidRPr="00762814" w:rsidRDefault="00A23B26" w:rsidP="00762814">
      <w:pPr>
        <w:spacing w:after="120" w:line="276" w:lineRule="auto"/>
        <w:rPr>
          <w:rFonts w:cstheme="minorHAnsi"/>
          <w:sz w:val="24"/>
          <w:szCs w:val="24"/>
        </w:rPr>
      </w:pPr>
      <w:r w:rsidRPr="00762814">
        <w:rPr>
          <w:rFonts w:cstheme="minorHAnsi"/>
          <w:sz w:val="24"/>
          <w:szCs w:val="24"/>
          <w:u w:val="single"/>
        </w:rPr>
        <w:t xml:space="preserve">Limit </w:t>
      </w:r>
      <w:r w:rsidR="00562534" w:rsidRPr="00762814">
        <w:rPr>
          <w:rFonts w:cstheme="minorHAnsi"/>
          <w:sz w:val="24"/>
          <w:szCs w:val="24"/>
          <w:u w:val="single"/>
        </w:rPr>
        <w:t>wydatków</w:t>
      </w:r>
      <w:r w:rsidRPr="00762814">
        <w:rPr>
          <w:rFonts w:cstheme="minorHAnsi"/>
          <w:sz w:val="24"/>
          <w:szCs w:val="24"/>
          <w:u w:val="single"/>
        </w:rPr>
        <w:t xml:space="preserve"> kwalifikowa</w:t>
      </w:r>
      <w:r w:rsidR="008C2F3E" w:rsidRPr="00762814">
        <w:rPr>
          <w:rFonts w:cstheme="minorHAnsi"/>
          <w:sz w:val="24"/>
          <w:szCs w:val="24"/>
          <w:u w:val="single"/>
        </w:rPr>
        <w:t>l</w:t>
      </w:r>
      <w:r w:rsidRPr="00762814">
        <w:rPr>
          <w:rFonts w:cstheme="minorHAnsi"/>
          <w:sz w:val="24"/>
          <w:szCs w:val="24"/>
          <w:u w:val="single"/>
        </w:rPr>
        <w:t>nych</w:t>
      </w:r>
      <w:r w:rsidRPr="00762814">
        <w:rPr>
          <w:rFonts w:cstheme="minorHAnsi"/>
          <w:sz w:val="24"/>
          <w:szCs w:val="24"/>
        </w:rPr>
        <w:t xml:space="preserve"> w module </w:t>
      </w:r>
      <w:r w:rsidR="002E1266" w:rsidRPr="00762814">
        <w:rPr>
          <w:rFonts w:cstheme="minorHAnsi"/>
          <w:sz w:val="24"/>
          <w:szCs w:val="24"/>
        </w:rPr>
        <w:t>K</w:t>
      </w:r>
      <w:r w:rsidRPr="00762814">
        <w:rPr>
          <w:rFonts w:cstheme="minorHAnsi"/>
          <w:sz w:val="24"/>
          <w:szCs w:val="24"/>
        </w:rPr>
        <w:t>ompetencje wynosi</w:t>
      </w:r>
      <w:r w:rsidRPr="00762814">
        <w:rPr>
          <w:rFonts w:cstheme="minorHAnsi"/>
          <w:b/>
          <w:bCs/>
          <w:sz w:val="24"/>
          <w:szCs w:val="24"/>
        </w:rPr>
        <w:t xml:space="preserve"> 15% kosztów </w:t>
      </w:r>
      <w:r w:rsidRPr="00762814">
        <w:rPr>
          <w:rFonts w:cstheme="minorHAnsi"/>
          <w:sz w:val="24"/>
          <w:szCs w:val="24"/>
        </w:rPr>
        <w:t xml:space="preserve">kwalifikowanych modułu </w:t>
      </w:r>
      <w:r w:rsidR="008C2F3E" w:rsidRPr="00762814">
        <w:rPr>
          <w:rFonts w:cstheme="minorHAnsi"/>
          <w:sz w:val="24"/>
          <w:szCs w:val="24"/>
        </w:rPr>
        <w:t>obligatoryjnego</w:t>
      </w:r>
      <w:r w:rsidRPr="00762814">
        <w:rPr>
          <w:rFonts w:cstheme="minorHAnsi"/>
          <w:sz w:val="24"/>
          <w:szCs w:val="24"/>
        </w:rPr>
        <w:t>.</w:t>
      </w:r>
      <w:r w:rsidR="00DE0E6C" w:rsidRPr="00762814">
        <w:rPr>
          <w:rFonts w:cstheme="minorHAnsi"/>
          <w:sz w:val="24"/>
          <w:szCs w:val="24"/>
        </w:rPr>
        <w:t xml:space="preserve"> W przypadku</w:t>
      </w:r>
      <w:r w:rsidR="00215C6B" w:rsidRPr="00762814">
        <w:rPr>
          <w:rFonts w:cstheme="minorHAnsi"/>
          <w:sz w:val="24"/>
          <w:szCs w:val="24"/>
        </w:rPr>
        <w:t>,</w:t>
      </w:r>
      <w:r w:rsidR="00DE0E6C" w:rsidRPr="00762814">
        <w:rPr>
          <w:rFonts w:cstheme="minorHAnsi"/>
          <w:sz w:val="24"/>
          <w:szCs w:val="24"/>
        </w:rPr>
        <w:t xml:space="preserve"> gdy w ramach projektu Wnioskodawca będący MŚP planuje realizację dwóch modułów </w:t>
      </w:r>
      <w:r w:rsidR="008C2F3E" w:rsidRPr="00762814">
        <w:rPr>
          <w:rFonts w:cstheme="minorHAnsi"/>
          <w:sz w:val="24"/>
          <w:szCs w:val="24"/>
        </w:rPr>
        <w:t xml:space="preserve">obligatoryjnych </w:t>
      </w:r>
      <w:r w:rsidR="00DE0E6C" w:rsidRPr="00762814">
        <w:rPr>
          <w:rFonts w:cstheme="minorHAnsi"/>
          <w:sz w:val="24"/>
          <w:szCs w:val="24"/>
        </w:rPr>
        <w:t xml:space="preserve">(B+R i Wdrożenie innowacji) wybiera </w:t>
      </w:r>
      <w:r w:rsidR="00185E50" w:rsidRPr="00762814">
        <w:rPr>
          <w:rFonts w:cstheme="minorHAnsi"/>
          <w:sz w:val="24"/>
          <w:szCs w:val="24"/>
        </w:rPr>
        <w:t xml:space="preserve">jeden </w:t>
      </w:r>
      <w:r w:rsidR="00DE0E6C" w:rsidRPr="00762814">
        <w:rPr>
          <w:rFonts w:cstheme="minorHAnsi"/>
          <w:sz w:val="24"/>
          <w:szCs w:val="24"/>
        </w:rPr>
        <w:t xml:space="preserve">moduł </w:t>
      </w:r>
      <w:r w:rsidR="008C2F3E" w:rsidRPr="00762814">
        <w:rPr>
          <w:rFonts w:cstheme="minorHAnsi"/>
          <w:sz w:val="24"/>
          <w:szCs w:val="24"/>
        </w:rPr>
        <w:t>obligatoryjny</w:t>
      </w:r>
      <w:r w:rsidR="00DE0E6C" w:rsidRPr="00762814">
        <w:rPr>
          <w:rFonts w:cstheme="minorHAnsi"/>
          <w:sz w:val="24"/>
          <w:szCs w:val="24"/>
        </w:rPr>
        <w:t>, który będzie podstawą wyliczenia 15%.</w:t>
      </w:r>
    </w:p>
    <w:p w14:paraId="49AE9462" w14:textId="3598A3B1" w:rsidR="00914648" w:rsidRPr="00762814" w:rsidRDefault="00914648" w:rsidP="00762814">
      <w:pPr>
        <w:spacing w:after="120" w:line="276" w:lineRule="auto"/>
        <w:rPr>
          <w:rFonts w:cstheme="minorHAnsi"/>
          <w:b/>
          <w:bCs/>
          <w:sz w:val="24"/>
          <w:szCs w:val="24"/>
        </w:rPr>
      </w:pPr>
      <w:bookmarkStart w:id="191" w:name="_Hlk117084463"/>
      <w:r w:rsidRPr="00762814">
        <w:rPr>
          <w:rFonts w:cstheme="minorHAnsi"/>
          <w:sz w:val="24"/>
          <w:szCs w:val="24"/>
          <w:u w:val="single"/>
        </w:rPr>
        <w:t>Limity wynikające z przepisów pomocy publicznej</w:t>
      </w:r>
      <w:r w:rsidRPr="00762814">
        <w:rPr>
          <w:rFonts w:cstheme="minorHAnsi"/>
          <w:b/>
          <w:bCs/>
          <w:sz w:val="24"/>
          <w:szCs w:val="24"/>
        </w:rPr>
        <w:t>:</w:t>
      </w:r>
    </w:p>
    <w:p w14:paraId="12F5EE27" w14:textId="02511460" w:rsidR="00C620CE" w:rsidRPr="00762814" w:rsidRDefault="008F782F" w:rsidP="00762814">
      <w:pPr>
        <w:spacing w:after="120" w:line="276" w:lineRule="auto"/>
        <w:rPr>
          <w:rFonts w:cstheme="minorHAnsi"/>
          <w:b/>
          <w:bCs/>
          <w:sz w:val="24"/>
          <w:szCs w:val="24"/>
        </w:rPr>
      </w:pPr>
      <w:bookmarkStart w:id="192" w:name="_Hlk117600367"/>
      <w:r w:rsidRPr="00762814">
        <w:rPr>
          <w:rFonts w:cstheme="minorHAnsi"/>
          <w:sz w:val="24"/>
          <w:szCs w:val="24"/>
        </w:rPr>
        <w:t>I</w:t>
      </w:r>
      <w:r w:rsidR="00C620CE" w:rsidRPr="00762814">
        <w:rPr>
          <w:rFonts w:cstheme="minorHAnsi"/>
          <w:sz w:val="24"/>
          <w:szCs w:val="24"/>
        </w:rPr>
        <w:t>ntensywność pomocy na zadania dedykowane do realizacji w ramach poszczególnych przeznaczeń pomocy nie może przekroczyć:</w:t>
      </w:r>
    </w:p>
    <w:p w14:paraId="727A5A5F" w14:textId="5238AA44" w:rsidR="00C620CE" w:rsidRPr="003A4297" w:rsidRDefault="00185E50" w:rsidP="003A4297">
      <w:pPr>
        <w:spacing w:after="120" w:line="276" w:lineRule="auto"/>
        <w:rPr>
          <w:rFonts w:cstheme="minorHAnsi"/>
          <w:sz w:val="24"/>
          <w:szCs w:val="24"/>
        </w:rPr>
      </w:pPr>
      <w:r w:rsidRPr="003A4297">
        <w:rPr>
          <w:rFonts w:cstheme="minorHAnsi"/>
          <w:b/>
          <w:bCs/>
          <w:sz w:val="24"/>
          <w:szCs w:val="24"/>
        </w:rPr>
        <w:t xml:space="preserve">50% - </w:t>
      </w:r>
      <w:r w:rsidR="000A7189" w:rsidRPr="003A4297">
        <w:rPr>
          <w:rFonts w:cstheme="minorHAnsi"/>
          <w:sz w:val="24"/>
          <w:szCs w:val="24"/>
        </w:rPr>
        <w:t>w przypadku</w:t>
      </w:r>
      <w:r w:rsidR="000A7189" w:rsidRPr="003A4297">
        <w:rPr>
          <w:rFonts w:cstheme="minorHAnsi"/>
          <w:b/>
          <w:bCs/>
          <w:sz w:val="24"/>
          <w:szCs w:val="24"/>
        </w:rPr>
        <w:t xml:space="preserve"> p</w:t>
      </w:r>
      <w:r w:rsidR="00C620CE" w:rsidRPr="003A4297">
        <w:rPr>
          <w:rFonts w:cstheme="minorHAnsi"/>
          <w:b/>
          <w:bCs/>
          <w:sz w:val="24"/>
          <w:szCs w:val="24"/>
        </w:rPr>
        <w:t>omoc</w:t>
      </w:r>
      <w:r w:rsidR="000A7189" w:rsidRPr="003A4297">
        <w:rPr>
          <w:rFonts w:cstheme="minorHAnsi"/>
          <w:b/>
          <w:bCs/>
          <w:sz w:val="24"/>
          <w:szCs w:val="24"/>
        </w:rPr>
        <w:t>y</w:t>
      </w:r>
      <w:r w:rsidR="00C620CE" w:rsidRPr="003A4297">
        <w:rPr>
          <w:rFonts w:cstheme="minorHAnsi"/>
          <w:b/>
          <w:bCs/>
          <w:sz w:val="24"/>
          <w:szCs w:val="24"/>
        </w:rPr>
        <w:t xml:space="preserve"> szkoleniow</w:t>
      </w:r>
      <w:r w:rsidR="000A7189" w:rsidRPr="003A4297">
        <w:rPr>
          <w:rFonts w:cstheme="minorHAnsi"/>
          <w:b/>
          <w:bCs/>
          <w:sz w:val="24"/>
          <w:szCs w:val="24"/>
        </w:rPr>
        <w:t>ej</w:t>
      </w:r>
      <w:bookmarkEnd w:id="192"/>
      <w:r w:rsidR="00F228B7" w:rsidRPr="003A4297">
        <w:rPr>
          <w:rFonts w:cstheme="minorHAnsi"/>
          <w:sz w:val="24"/>
          <w:szCs w:val="24"/>
        </w:rPr>
        <w:t>, która</w:t>
      </w:r>
      <w:r w:rsidR="00C620CE" w:rsidRPr="003A4297">
        <w:rPr>
          <w:rFonts w:cstheme="minorHAnsi"/>
          <w:sz w:val="24"/>
          <w:szCs w:val="24"/>
        </w:rPr>
        <w:t xml:space="preserve"> może zostać zwiększona:</w:t>
      </w:r>
    </w:p>
    <w:p w14:paraId="16B87953" w14:textId="0090560C" w:rsidR="00C620CE" w:rsidRPr="00762814" w:rsidRDefault="000A7189" w:rsidP="00BF47B4">
      <w:pPr>
        <w:pStyle w:val="Akapitzlist"/>
        <w:numPr>
          <w:ilvl w:val="0"/>
          <w:numId w:val="11"/>
        </w:numPr>
        <w:spacing w:after="120" w:line="276" w:lineRule="auto"/>
        <w:rPr>
          <w:rFonts w:cstheme="minorHAnsi"/>
          <w:sz w:val="24"/>
          <w:szCs w:val="24"/>
        </w:rPr>
      </w:pPr>
      <w:r w:rsidRPr="00762814">
        <w:rPr>
          <w:rFonts w:cstheme="minorHAnsi"/>
          <w:sz w:val="24"/>
          <w:szCs w:val="24"/>
        </w:rPr>
        <w:t xml:space="preserve">o </w:t>
      </w:r>
      <w:r w:rsidRPr="00762814">
        <w:rPr>
          <w:rFonts w:cstheme="minorHAnsi"/>
          <w:b/>
          <w:bCs/>
          <w:sz w:val="24"/>
          <w:szCs w:val="24"/>
        </w:rPr>
        <w:t xml:space="preserve">10% </w:t>
      </w:r>
      <w:r w:rsidR="00C620CE" w:rsidRPr="00762814">
        <w:rPr>
          <w:rFonts w:cstheme="minorHAnsi"/>
          <w:sz w:val="24"/>
          <w:szCs w:val="24"/>
        </w:rPr>
        <w:t>dla średnich przedsiębiorców</w:t>
      </w:r>
      <w:r w:rsidRPr="00762814">
        <w:rPr>
          <w:rFonts w:cstheme="minorHAnsi"/>
          <w:sz w:val="24"/>
          <w:szCs w:val="24"/>
        </w:rPr>
        <w:t>;</w:t>
      </w:r>
    </w:p>
    <w:p w14:paraId="7DED6C8C" w14:textId="1990B11D" w:rsidR="00C620CE" w:rsidRPr="00762814" w:rsidRDefault="000A7189" w:rsidP="00BF47B4">
      <w:pPr>
        <w:pStyle w:val="Akapitzlist"/>
        <w:numPr>
          <w:ilvl w:val="0"/>
          <w:numId w:val="11"/>
        </w:numPr>
        <w:spacing w:after="120" w:line="276" w:lineRule="auto"/>
        <w:rPr>
          <w:rFonts w:cstheme="minorHAnsi"/>
          <w:sz w:val="24"/>
          <w:szCs w:val="24"/>
        </w:rPr>
      </w:pPr>
      <w:r w:rsidRPr="00762814">
        <w:rPr>
          <w:rFonts w:cstheme="minorHAnsi"/>
          <w:sz w:val="24"/>
          <w:szCs w:val="24"/>
        </w:rPr>
        <w:t xml:space="preserve">o </w:t>
      </w:r>
      <w:r w:rsidRPr="00762814">
        <w:rPr>
          <w:rFonts w:cstheme="minorHAnsi"/>
          <w:b/>
          <w:bCs/>
          <w:sz w:val="24"/>
          <w:szCs w:val="24"/>
        </w:rPr>
        <w:t>20%</w:t>
      </w:r>
      <w:r w:rsidRPr="00762814">
        <w:rPr>
          <w:rFonts w:cstheme="minorHAnsi"/>
          <w:sz w:val="24"/>
          <w:szCs w:val="24"/>
        </w:rPr>
        <w:t xml:space="preserve"> </w:t>
      </w:r>
      <w:r w:rsidR="00C620CE" w:rsidRPr="00762814">
        <w:rPr>
          <w:rFonts w:cstheme="minorHAnsi"/>
          <w:sz w:val="24"/>
          <w:szCs w:val="24"/>
        </w:rPr>
        <w:t>dla mikro- i małych przedsiębiorców</w:t>
      </w:r>
      <w:r w:rsidR="003A4297">
        <w:rPr>
          <w:rFonts w:cstheme="minorHAnsi"/>
          <w:sz w:val="24"/>
          <w:szCs w:val="24"/>
        </w:rPr>
        <w:t>.</w:t>
      </w:r>
    </w:p>
    <w:p w14:paraId="3E24B006" w14:textId="1D48C05E" w:rsidR="00A23B26" w:rsidRPr="00930477" w:rsidRDefault="00A23B26" w:rsidP="00BF47B4">
      <w:pPr>
        <w:pStyle w:val="Nagwek3"/>
        <w:numPr>
          <w:ilvl w:val="1"/>
          <w:numId w:val="40"/>
        </w:numPr>
        <w:spacing w:before="360" w:line="276" w:lineRule="auto"/>
        <w:rPr>
          <w:rFonts w:asciiTheme="minorHAnsi" w:hAnsiTheme="minorHAnsi" w:cstheme="minorHAnsi"/>
          <w:color w:val="auto"/>
          <w:sz w:val="32"/>
          <w:szCs w:val="32"/>
        </w:rPr>
      </w:pPr>
      <w:bookmarkStart w:id="193" w:name="_Toc148716437"/>
      <w:bookmarkEnd w:id="191"/>
      <w:r w:rsidRPr="00930477">
        <w:rPr>
          <w:rFonts w:asciiTheme="minorHAnsi" w:hAnsiTheme="minorHAnsi" w:cstheme="minorHAnsi"/>
          <w:color w:val="auto"/>
          <w:sz w:val="32"/>
          <w:szCs w:val="32"/>
        </w:rPr>
        <w:t xml:space="preserve">Kategorie </w:t>
      </w:r>
      <w:r w:rsidR="00562534" w:rsidRPr="00930477">
        <w:rPr>
          <w:rFonts w:asciiTheme="minorHAnsi" w:hAnsiTheme="minorHAnsi" w:cstheme="minorHAnsi"/>
          <w:color w:val="auto"/>
          <w:sz w:val="32"/>
          <w:szCs w:val="32"/>
        </w:rPr>
        <w:t>wydatków kwalifikowalnych</w:t>
      </w:r>
      <w:r w:rsidRPr="00930477">
        <w:rPr>
          <w:rFonts w:asciiTheme="minorHAnsi" w:hAnsiTheme="minorHAnsi" w:cstheme="minorHAnsi"/>
          <w:color w:val="auto"/>
          <w:sz w:val="32"/>
          <w:szCs w:val="32"/>
        </w:rPr>
        <w:t xml:space="preserve"> w ramach modułu </w:t>
      </w:r>
      <w:r w:rsidR="00B340CB" w:rsidRPr="00930477">
        <w:rPr>
          <w:rFonts w:asciiTheme="minorHAnsi" w:hAnsiTheme="minorHAnsi" w:cstheme="minorHAnsi"/>
          <w:color w:val="auto"/>
          <w:sz w:val="32"/>
          <w:szCs w:val="32"/>
        </w:rPr>
        <w:t>K</w:t>
      </w:r>
      <w:r w:rsidRPr="00930477">
        <w:rPr>
          <w:rFonts w:asciiTheme="minorHAnsi" w:hAnsiTheme="minorHAnsi" w:cstheme="minorHAnsi"/>
          <w:color w:val="auto"/>
          <w:sz w:val="32"/>
          <w:szCs w:val="32"/>
        </w:rPr>
        <w:t>ompetencje</w:t>
      </w:r>
      <w:bookmarkEnd w:id="193"/>
    </w:p>
    <w:p w14:paraId="0C424548" w14:textId="38358660" w:rsidR="00982DAE" w:rsidRPr="003A4297" w:rsidRDefault="00526E4A" w:rsidP="00BF47B4">
      <w:pPr>
        <w:pStyle w:val="Nagwek4"/>
        <w:numPr>
          <w:ilvl w:val="2"/>
          <w:numId w:val="40"/>
        </w:numPr>
        <w:tabs>
          <w:tab w:val="left" w:pos="851"/>
        </w:tabs>
        <w:spacing w:before="120" w:after="120" w:line="276" w:lineRule="auto"/>
        <w:ind w:left="992" w:hanging="992"/>
        <w:rPr>
          <w:rFonts w:asciiTheme="minorHAnsi" w:hAnsiTheme="minorHAnsi" w:cstheme="minorHAnsi"/>
          <w:i w:val="0"/>
          <w:color w:val="auto"/>
          <w:sz w:val="28"/>
          <w:szCs w:val="28"/>
        </w:rPr>
      </w:pPr>
      <w:bookmarkStart w:id="194" w:name="_Hlk124497400"/>
      <w:bookmarkStart w:id="195" w:name="_Toc148716438"/>
      <w:r w:rsidRPr="003A4297">
        <w:rPr>
          <w:rFonts w:asciiTheme="minorHAnsi" w:hAnsiTheme="minorHAnsi" w:cstheme="minorHAnsi"/>
          <w:i w:val="0"/>
          <w:color w:val="auto"/>
          <w:sz w:val="28"/>
          <w:szCs w:val="28"/>
        </w:rPr>
        <w:t xml:space="preserve">Koszty wsparcia uczestników projektu </w:t>
      </w:r>
      <w:bookmarkEnd w:id="194"/>
      <w:r w:rsidR="00D57E6B" w:rsidRPr="003A4297">
        <w:rPr>
          <w:rFonts w:asciiTheme="minorHAnsi" w:hAnsiTheme="minorHAnsi" w:cstheme="minorHAnsi"/>
          <w:i w:val="0"/>
          <w:color w:val="auto"/>
          <w:sz w:val="28"/>
          <w:szCs w:val="28"/>
        </w:rPr>
        <w:t>(</w:t>
      </w:r>
      <w:r w:rsidR="004A0653" w:rsidRPr="003A4297">
        <w:rPr>
          <w:rFonts w:asciiTheme="minorHAnsi" w:hAnsiTheme="minorHAnsi" w:cstheme="minorHAnsi"/>
          <w:i w:val="0"/>
          <w:color w:val="auto"/>
          <w:sz w:val="28"/>
          <w:szCs w:val="28"/>
        </w:rPr>
        <w:t>Koszty szkoleniowe</w:t>
      </w:r>
      <w:r w:rsidR="001235E1" w:rsidRPr="003A4297">
        <w:rPr>
          <w:rFonts w:asciiTheme="minorHAnsi" w:hAnsiTheme="minorHAnsi" w:cstheme="minorHAnsi"/>
          <w:i w:val="0"/>
          <w:color w:val="auto"/>
          <w:sz w:val="28"/>
          <w:szCs w:val="28"/>
        </w:rPr>
        <w:t xml:space="preserve"> </w:t>
      </w:r>
      <w:r w:rsidR="00A01BF0" w:rsidRPr="003A4297">
        <w:rPr>
          <w:rFonts w:asciiTheme="minorHAnsi" w:hAnsiTheme="minorHAnsi" w:cstheme="minorHAnsi"/>
          <w:i w:val="0"/>
          <w:color w:val="auto"/>
          <w:sz w:val="28"/>
          <w:szCs w:val="28"/>
        </w:rPr>
        <w:t>uproszczone</w:t>
      </w:r>
      <w:r w:rsidR="00D57E6B" w:rsidRPr="003A4297">
        <w:rPr>
          <w:rFonts w:asciiTheme="minorHAnsi" w:hAnsiTheme="minorHAnsi" w:cstheme="minorHAnsi"/>
          <w:i w:val="0"/>
          <w:color w:val="auto"/>
          <w:sz w:val="28"/>
          <w:szCs w:val="28"/>
        </w:rPr>
        <w:t>)</w:t>
      </w:r>
      <w:bookmarkStart w:id="196" w:name="_Hlk119323777"/>
      <w:bookmarkEnd w:id="195"/>
    </w:p>
    <w:p w14:paraId="3463A349" w14:textId="6BFFA82C" w:rsidR="000316E4" w:rsidRPr="00762814" w:rsidRDefault="000316E4" w:rsidP="00762814">
      <w:pPr>
        <w:spacing w:after="120" w:line="276" w:lineRule="auto"/>
        <w:rPr>
          <w:rFonts w:cstheme="minorHAnsi"/>
          <w:sz w:val="24"/>
          <w:szCs w:val="24"/>
        </w:rPr>
      </w:pPr>
      <w:r w:rsidRPr="00762814">
        <w:rPr>
          <w:rFonts w:cstheme="minorHAnsi"/>
          <w:sz w:val="24"/>
          <w:szCs w:val="24"/>
        </w:rPr>
        <w:t xml:space="preserve">W ramach </w:t>
      </w:r>
      <w:r w:rsidR="00996AB8" w:rsidRPr="00762814">
        <w:rPr>
          <w:rFonts w:cstheme="minorHAnsi"/>
          <w:sz w:val="24"/>
          <w:szCs w:val="24"/>
        </w:rPr>
        <w:t xml:space="preserve">tej </w:t>
      </w:r>
      <w:r w:rsidRPr="00762814">
        <w:rPr>
          <w:rFonts w:cstheme="minorHAnsi"/>
          <w:sz w:val="24"/>
          <w:szCs w:val="24"/>
        </w:rPr>
        <w:t>kategorii kwalifikowalne</w:t>
      </w:r>
      <w:r w:rsidR="00996AB8" w:rsidRPr="00762814">
        <w:rPr>
          <w:rFonts w:cstheme="minorHAnsi"/>
          <w:sz w:val="24"/>
          <w:szCs w:val="24"/>
        </w:rPr>
        <w:t xml:space="preserve"> są </w:t>
      </w:r>
      <w:r w:rsidRPr="00762814">
        <w:rPr>
          <w:rFonts w:cstheme="minorHAnsi"/>
          <w:b/>
          <w:bCs/>
          <w:sz w:val="24"/>
          <w:szCs w:val="24"/>
        </w:rPr>
        <w:t xml:space="preserve">koszty bezpośrednio związane z usługami szkoleniowymi świadczonymi na terenie </w:t>
      </w:r>
      <w:r w:rsidR="00F25A6F" w:rsidRPr="00762814">
        <w:rPr>
          <w:rFonts w:cstheme="minorHAnsi"/>
          <w:b/>
          <w:bCs/>
          <w:sz w:val="24"/>
          <w:szCs w:val="24"/>
        </w:rPr>
        <w:t xml:space="preserve">Rzeczypospolitej </w:t>
      </w:r>
      <w:r w:rsidRPr="00762814">
        <w:rPr>
          <w:rFonts w:cstheme="minorHAnsi"/>
          <w:b/>
          <w:bCs/>
          <w:sz w:val="24"/>
          <w:szCs w:val="24"/>
        </w:rPr>
        <w:t>Polski</w:t>
      </w:r>
      <w:r w:rsidR="00F25A6F" w:rsidRPr="00762814">
        <w:rPr>
          <w:rFonts w:cstheme="minorHAnsi"/>
          <w:b/>
          <w:bCs/>
          <w:sz w:val="24"/>
          <w:szCs w:val="24"/>
        </w:rPr>
        <w:t>ej</w:t>
      </w:r>
      <w:r w:rsidRPr="00762814">
        <w:rPr>
          <w:rFonts w:cstheme="minorHAnsi"/>
          <w:b/>
          <w:bCs/>
          <w:sz w:val="24"/>
          <w:szCs w:val="24"/>
        </w:rPr>
        <w:t xml:space="preserve"> rozliczane na podstawie stawki jednostkowej, tj.:</w:t>
      </w:r>
    </w:p>
    <w:p w14:paraId="6D7BF12C" w14:textId="62E05FB4" w:rsidR="000316E4" w:rsidRPr="00762814" w:rsidRDefault="000316E4" w:rsidP="00BF47B4">
      <w:pPr>
        <w:pStyle w:val="Akapitzlist"/>
        <w:numPr>
          <w:ilvl w:val="1"/>
          <w:numId w:val="15"/>
        </w:numPr>
        <w:spacing w:after="120" w:line="276" w:lineRule="auto"/>
        <w:rPr>
          <w:rFonts w:cstheme="minorHAnsi"/>
          <w:sz w:val="24"/>
          <w:szCs w:val="24"/>
        </w:rPr>
      </w:pPr>
      <w:r w:rsidRPr="00762814">
        <w:rPr>
          <w:rFonts w:cstheme="minorHAnsi"/>
          <w:sz w:val="24"/>
          <w:szCs w:val="24"/>
        </w:rPr>
        <w:t>wynagrodzenia</w:t>
      </w:r>
      <w:r w:rsidR="00A64077" w:rsidRPr="00762814">
        <w:rPr>
          <w:rFonts w:cstheme="minorHAnsi"/>
          <w:sz w:val="24"/>
          <w:szCs w:val="24"/>
        </w:rPr>
        <w:t xml:space="preserve"> wykładowców </w:t>
      </w:r>
      <w:r w:rsidRPr="00762814">
        <w:rPr>
          <w:rFonts w:cstheme="minorHAnsi"/>
          <w:sz w:val="24"/>
          <w:szCs w:val="24"/>
        </w:rPr>
        <w:t xml:space="preserve">(za czas przeprowadzenia szkolenia oraz ewentualnych konsultacji po </w:t>
      </w:r>
      <w:r w:rsidR="00A64077" w:rsidRPr="00762814">
        <w:rPr>
          <w:rFonts w:cstheme="minorHAnsi"/>
          <w:sz w:val="24"/>
          <w:szCs w:val="24"/>
        </w:rPr>
        <w:t>szkoleniu</w:t>
      </w:r>
      <w:r w:rsidRPr="00762814">
        <w:rPr>
          <w:rFonts w:cstheme="minorHAnsi"/>
          <w:sz w:val="24"/>
          <w:szCs w:val="24"/>
        </w:rPr>
        <w:t>, o ile są one wliczone w czas przeprowadzenia szkolenia),</w:t>
      </w:r>
      <w:bookmarkStart w:id="197" w:name="_Hlk118378197"/>
      <w:r w:rsidR="00A64077" w:rsidRPr="00762814">
        <w:rPr>
          <w:rFonts w:cstheme="minorHAnsi"/>
          <w:sz w:val="24"/>
          <w:szCs w:val="24"/>
        </w:rPr>
        <w:t xml:space="preserve"> koszty operacyjne wykładowców takie jak koszty podróży, koszty zakwaterowania, koszty amortyzacji narzędzi i wyposażenia </w:t>
      </w:r>
      <w:r w:rsidR="0083410E" w:rsidRPr="00762814">
        <w:rPr>
          <w:rFonts w:cstheme="minorHAnsi"/>
          <w:sz w:val="24"/>
          <w:szCs w:val="24"/>
        </w:rPr>
        <w:br/>
      </w:r>
      <w:r w:rsidR="00A64077" w:rsidRPr="00762814">
        <w:rPr>
          <w:rFonts w:cstheme="minorHAnsi"/>
          <w:sz w:val="24"/>
          <w:szCs w:val="24"/>
        </w:rPr>
        <w:t xml:space="preserve">w zakresie, </w:t>
      </w:r>
      <w:r w:rsidRPr="00762814">
        <w:rPr>
          <w:rFonts w:cstheme="minorHAnsi"/>
          <w:sz w:val="24"/>
          <w:szCs w:val="24"/>
        </w:rPr>
        <w:t>w jakim są wykorzystywane podczas szkolenia;</w:t>
      </w:r>
    </w:p>
    <w:p w14:paraId="46E01407" w14:textId="54C4722D" w:rsidR="000316E4" w:rsidRPr="00762814" w:rsidRDefault="000316E4" w:rsidP="00BF47B4">
      <w:pPr>
        <w:pStyle w:val="Akapitzlist"/>
        <w:numPr>
          <w:ilvl w:val="1"/>
          <w:numId w:val="15"/>
        </w:numPr>
        <w:spacing w:after="120" w:line="276" w:lineRule="auto"/>
        <w:rPr>
          <w:rFonts w:cstheme="minorHAnsi"/>
          <w:sz w:val="24"/>
          <w:szCs w:val="24"/>
        </w:rPr>
      </w:pPr>
      <w:r w:rsidRPr="00762814">
        <w:rPr>
          <w:rFonts w:cstheme="minorHAnsi"/>
          <w:sz w:val="24"/>
          <w:szCs w:val="24"/>
        </w:rPr>
        <w:t xml:space="preserve">koszty wynajmu sal szkoleniowych z adekwatnymi narzędziami i wyposażeniem </w:t>
      </w:r>
      <w:r w:rsidR="0083410E" w:rsidRPr="00762814">
        <w:rPr>
          <w:rFonts w:cstheme="minorHAnsi"/>
          <w:sz w:val="24"/>
          <w:szCs w:val="24"/>
        </w:rPr>
        <w:br/>
      </w:r>
      <w:r w:rsidRPr="00762814">
        <w:rPr>
          <w:rFonts w:cstheme="minorHAnsi"/>
          <w:sz w:val="24"/>
          <w:szCs w:val="24"/>
        </w:rPr>
        <w:t>w jakim są wykorzystywane podczas szkolenia;</w:t>
      </w:r>
    </w:p>
    <w:p w14:paraId="1D6D31E1" w14:textId="77777777" w:rsidR="000316E4" w:rsidRPr="00762814" w:rsidRDefault="000316E4" w:rsidP="00BF47B4">
      <w:pPr>
        <w:pStyle w:val="Akapitzlist"/>
        <w:numPr>
          <w:ilvl w:val="1"/>
          <w:numId w:val="15"/>
        </w:numPr>
        <w:spacing w:after="120" w:line="276" w:lineRule="auto"/>
        <w:rPr>
          <w:rFonts w:cstheme="minorHAnsi"/>
          <w:sz w:val="24"/>
          <w:szCs w:val="24"/>
        </w:rPr>
      </w:pPr>
      <w:r w:rsidRPr="00762814">
        <w:rPr>
          <w:rFonts w:cstheme="minorHAnsi"/>
          <w:sz w:val="24"/>
          <w:szCs w:val="24"/>
        </w:rPr>
        <w:t xml:space="preserve">koszty materiałów szkoleniowych, w tym koszty tłumaczeń związanych ze szkoleniem; </w:t>
      </w:r>
    </w:p>
    <w:p w14:paraId="011F3658" w14:textId="73C08F0C" w:rsidR="000316E4" w:rsidRPr="00762814" w:rsidRDefault="000316E4" w:rsidP="00BF47B4">
      <w:pPr>
        <w:pStyle w:val="Akapitzlist"/>
        <w:numPr>
          <w:ilvl w:val="1"/>
          <w:numId w:val="15"/>
        </w:numPr>
        <w:spacing w:after="120" w:line="276" w:lineRule="auto"/>
        <w:rPr>
          <w:rFonts w:cstheme="minorHAnsi"/>
          <w:sz w:val="24"/>
          <w:szCs w:val="24"/>
        </w:rPr>
      </w:pPr>
      <w:r w:rsidRPr="00762814">
        <w:rPr>
          <w:rFonts w:cstheme="minorHAnsi"/>
          <w:sz w:val="24"/>
          <w:szCs w:val="24"/>
        </w:rPr>
        <w:t>koszty administracyjne związane z organizacją i obsługą szkolenia, w tym przerwy kawowe i lunche / posiłki serwowane w czasie szkolenia</w:t>
      </w:r>
      <w:r w:rsidR="001235E1" w:rsidRPr="00762814">
        <w:rPr>
          <w:rFonts w:cstheme="minorHAnsi"/>
          <w:sz w:val="24"/>
          <w:szCs w:val="24"/>
        </w:rPr>
        <w:t>.</w:t>
      </w:r>
    </w:p>
    <w:p w14:paraId="3D3CC209" w14:textId="77777777" w:rsidR="00E1317D" w:rsidRPr="00762814" w:rsidRDefault="00E1317D" w:rsidP="00762814">
      <w:pPr>
        <w:pStyle w:val="Akapitzlist"/>
        <w:spacing w:after="120" w:line="276" w:lineRule="auto"/>
        <w:ind w:left="794"/>
        <w:rPr>
          <w:rFonts w:cstheme="minorHAnsi"/>
          <w:sz w:val="24"/>
          <w:szCs w:val="24"/>
        </w:rPr>
      </w:pPr>
    </w:p>
    <w:tbl>
      <w:tblPr>
        <w:tblW w:w="9049" w:type="dxa"/>
        <w:jc w:val="center"/>
        <w:tblCellMar>
          <w:left w:w="70" w:type="dxa"/>
          <w:right w:w="70" w:type="dxa"/>
        </w:tblCellMar>
        <w:tblLook w:val="04A0" w:firstRow="1" w:lastRow="0" w:firstColumn="1" w:lastColumn="0" w:noHBand="0" w:noVBand="1"/>
      </w:tblPr>
      <w:tblGrid>
        <w:gridCol w:w="4725"/>
        <w:gridCol w:w="4324"/>
      </w:tblGrid>
      <w:tr w:rsidR="00B37C30" w:rsidRPr="00762814" w14:paraId="0E297072" w14:textId="77777777" w:rsidTr="00091243">
        <w:trPr>
          <w:trHeight w:val="315"/>
          <w:tblHeader/>
          <w:jc w:val="center"/>
        </w:trPr>
        <w:tc>
          <w:tcPr>
            <w:tcW w:w="4725" w:type="dxa"/>
            <w:tcBorders>
              <w:top w:val="double" w:sz="6" w:space="0" w:color="3F3F3F"/>
              <w:left w:val="double" w:sz="6" w:space="0" w:color="3F3F3F"/>
              <w:bottom w:val="nil"/>
              <w:right w:val="double" w:sz="6" w:space="0" w:color="3F3F3F"/>
            </w:tcBorders>
            <w:shd w:val="clear" w:color="auto" w:fill="D9E2F3" w:themeFill="accent1" w:themeFillTint="33"/>
            <w:noWrap/>
            <w:vAlign w:val="bottom"/>
            <w:hideMark/>
          </w:tcPr>
          <w:p w14:paraId="0300F3CC" w14:textId="49E3A103" w:rsidR="00B37C30" w:rsidRPr="00762814" w:rsidRDefault="002E1266" w:rsidP="00762814">
            <w:pPr>
              <w:spacing w:after="120" w:line="276" w:lineRule="auto"/>
              <w:ind w:left="142" w:firstLine="142"/>
              <w:jc w:val="center"/>
              <w:rPr>
                <w:rFonts w:eastAsia="Times New Roman" w:cstheme="minorHAnsi"/>
                <w:b/>
                <w:bCs/>
                <w:sz w:val="24"/>
                <w:szCs w:val="24"/>
                <w:lang w:eastAsia="pl-PL"/>
              </w:rPr>
            </w:pPr>
            <w:r w:rsidRPr="00762814">
              <w:rPr>
                <w:rFonts w:eastAsia="Times New Roman" w:cstheme="minorHAnsi"/>
                <w:b/>
                <w:bCs/>
                <w:sz w:val="24"/>
                <w:szCs w:val="24"/>
                <w:lang w:eastAsia="pl-PL"/>
              </w:rPr>
              <w:t>Rodzaj szkolenia</w:t>
            </w:r>
          </w:p>
        </w:tc>
        <w:tc>
          <w:tcPr>
            <w:tcW w:w="4324" w:type="dxa"/>
            <w:tcBorders>
              <w:top w:val="double" w:sz="6" w:space="0" w:color="3F3F3F"/>
              <w:left w:val="nil"/>
              <w:bottom w:val="nil"/>
              <w:right w:val="double" w:sz="6" w:space="0" w:color="3F3F3F"/>
            </w:tcBorders>
            <w:shd w:val="clear" w:color="auto" w:fill="D9E2F3" w:themeFill="accent1" w:themeFillTint="33"/>
            <w:noWrap/>
            <w:vAlign w:val="bottom"/>
            <w:hideMark/>
          </w:tcPr>
          <w:p w14:paraId="5695831B" w14:textId="31654909" w:rsidR="00B37C30" w:rsidRPr="00762814" w:rsidRDefault="00A01856" w:rsidP="00762814">
            <w:pPr>
              <w:spacing w:after="120" w:line="276" w:lineRule="auto"/>
              <w:ind w:left="142"/>
              <w:rPr>
                <w:rFonts w:eastAsia="Times New Roman" w:cstheme="minorHAnsi"/>
                <w:b/>
                <w:bCs/>
                <w:sz w:val="24"/>
                <w:szCs w:val="24"/>
                <w:lang w:eastAsia="pl-PL"/>
              </w:rPr>
            </w:pPr>
            <w:r w:rsidRPr="00762814">
              <w:rPr>
                <w:rFonts w:eastAsia="Times New Roman" w:cstheme="minorHAnsi"/>
                <w:b/>
                <w:bCs/>
                <w:sz w:val="24"/>
                <w:szCs w:val="24"/>
                <w:lang w:eastAsia="pl-PL"/>
              </w:rPr>
              <w:t xml:space="preserve">Stawka </w:t>
            </w:r>
            <w:r w:rsidR="00B37C30" w:rsidRPr="00762814">
              <w:rPr>
                <w:rFonts w:eastAsia="Times New Roman" w:cstheme="minorHAnsi"/>
                <w:b/>
                <w:bCs/>
                <w:sz w:val="24"/>
                <w:szCs w:val="24"/>
                <w:lang w:eastAsia="pl-PL"/>
              </w:rPr>
              <w:t xml:space="preserve">za godzinę </w:t>
            </w:r>
            <w:r w:rsidR="00DD5C1F" w:rsidRPr="00762814">
              <w:rPr>
                <w:rFonts w:eastAsia="Times New Roman" w:cstheme="minorHAnsi"/>
                <w:b/>
                <w:bCs/>
                <w:sz w:val="24"/>
                <w:szCs w:val="24"/>
                <w:lang w:eastAsia="pl-PL"/>
              </w:rPr>
              <w:t xml:space="preserve">zegarową </w:t>
            </w:r>
            <w:r w:rsidR="00B37C30" w:rsidRPr="00762814">
              <w:rPr>
                <w:rFonts w:eastAsia="Times New Roman" w:cstheme="minorHAnsi"/>
                <w:b/>
                <w:bCs/>
                <w:sz w:val="24"/>
                <w:szCs w:val="24"/>
                <w:lang w:eastAsia="pl-PL"/>
              </w:rPr>
              <w:t>(netto)</w:t>
            </w:r>
            <w:r w:rsidR="001E7767" w:rsidRPr="00762814">
              <w:rPr>
                <w:rFonts w:eastAsia="Times New Roman" w:cstheme="minorHAnsi"/>
                <w:b/>
                <w:bCs/>
                <w:sz w:val="24"/>
                <w:szCs w:val="24"/>
                <w:lang w:eastAsia="pl-PL"/>
              </w:rPr>
              <w:t xml:space="preserve"> na osobę </w:t>
            </w:r>
          </w:p>
        </w:tc>
      </w:tr>
      <w:tr w:rsidR="00B37C30" w:rsidRPr="00762814" w14:paraId="526689F4"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B913D" w14:textId="77777777" w:rsidR="00B37C30" w:rsidRPr="00762814" w:rsidRDefault="00B37C30" w:rsidP="00762814">
            <w:pPr>
              <w:spacing w:after="120" w:line="276" w:lineRule="auto"/>
              <w:ind w:left="142" w:firstLine="142"/>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Szkolenie otwarte stacjonarne</w:t>
            </w:r>
          </w:p>
        </w:tc>
        <w:tc>
          <w:tcPr>
            <w:tcW w:w="4324" w:type="dxa"/>
            <w:tcBorders>
              <w:top w:val="single" w:sz="4" w:space="0" w:color="auto"/>
              <w:left w:val="nil"/>
              <w:bottom w:val="single" w:sz="4" w:space="0" w:color="auto"/>
              <w:right w:val="single" w:sz="4" w:space="0" w:color="auto"/>
            </w:tcBorders>
            <w:shd w:val="clear" w:color="auto" w:fill="auto"/>
            <w:noWrap/>
            <w:hideMark/>
          </w:tcPr>
          <w:p w14:paraId="2A8FCA78" w14:textId="79FE11C9" w:rsidR="00B37C30" w:rsidRPr="00762814" w:rsidRDefault="00B37C30" w:rsidP="00762814">
            <w:pPr>
              <w:spacing w:after="120" w:line="276" w:lineRule="auto"/>
              <w:ind w:left="142" w:firstLine="142"/>
              <w:jc w:val="right"/>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 xml:space="preserve"> 98,00</w:t>
            </w:r>
            <w:r w:rsidR="00EC6B5C" w:rsidRPr="00762814">
              <w:rPr>
                <w:rFonts w:eastAsia="Times New Roman" w:cstheme="minorHAnsi"/>
                <w:color w:val="000000" w:themeColor="text1"/>
                <w:sz w:val="24"/>
                <w:szCs w:val="24"/>
                <w:lang w:eastAsia="pl-PL"/>
              </w:rPr>
              <w:t xml:space="preserve"> zł</w:t>
            </w:r>
          </w:p>
        </w:tc>
      </w:tr>
      <w:tr w:rsidR="00B37C30" w:rsidRPr="00762814" w14:paraId="53D5FC44"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727C3" w14:textId="77777777" w:rsidR="00B37C30" w:rsidRPr="00762814" w:rsidRDefault="00B37C30" w:rsidP="00762814">
            <w:pPr>
              <w:spacing w:after="120" w:line="276" w:lineRule="auto"/>
              <w:ind w:left="142" w:firstLine="142"/>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Szkolenie otwarte zdalne</w:t>
            </w:r>
          </w:p>
        </w:tc>
        <w:tc>
          <w:tcPr>
            <w:tcW w:w="4324" w:type="dxa"/>
            <w:tcBorders>
              <w:top w:val="single" w:sz="4" w:space="0" w:color="auto"/>
              <w:left w:val="nil"/>
              <w:bottom w:val="single" w:sz="4" w:space="0" w:color="auto"/>
              <w:right w:val="single" w:sz="4" w:space="0" w:color="auto"/>
            </w:tcBorders>
            <w:shd w:val="clear" w:color="auto" w:fill="auto"/>
            <w:noWrap/>
          </w:tcPr>
          <w:p w14:paraId="6D4D40AC" w14:textId="29DC32F1" w:rsidR="00B37C30" w:rsidRPr="00762814" w:rsidRDefault="00B37C30" w:rsidP="00762814">
            <w:pPr>
              <w:spacing w:after="120" w:line="276" w:lineRule="auto"/>
              <w:ind w:left="142" w:firstLine="142"/>
              <w:jc w:val="right"/>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 xml:space="preserve"> 79,00</w:t>
            </w:r>
            <w:r w:rsidR="00EC6B5C" w:rsidRPr="00762814">
              <w:rPr>
                <w:rFonts w:eastAsia="Times New Roman" w:cstheme="minorHAnsi"/>
                <w:color w:val="000000" w:themeColor="text1"/>
                <w:sz w:val="24"/>
                <w:szCs w:val="24"/>
                <w:lang w:eastAsia="pl-PL"/>
              </w:rPr>
              <w:t xml:space="preserve"> zł</w:t>
            </w:r>
            <w:r w:rsidRPr="00762814">
              <w:rPr>
                <w:rFonts w:eastAsia="Times New Roman" w:cstheme="minorHAnsi"/>
                <w:color w:val="000000" w:themeColor="text1"/>
                <w:sz w:val="24"/>
                <w:szCs w:val="24"/>
                <w:lang w:eastAsia="pl-PL"/>
              </w:rPr>
              <w:t xml:space="preserve"> </w:t>
            </w:r>
          </w:p>
        </w:tc>
      </w:tr>
      <w:tr w:rsidR="00B37C30" w:rsidRPr="00762814" w14:paraId="16612328"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BA7DA" w14:textId="77777777" w:rsidR="00B37C30" w:rsidRPr="00762814" w:rsidRDefault="00B37C30" w:rsidP="00762814">
            <w:pPr>
              <w:spacing w:after="120" w:line="276" w:lineRule="auto"/>
              <w:ind w:left="142" w:firstLine="142"/>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Szkolenie zamknięte stacjonarne</w:t>
            </w:r>
          </w:p>
        </w:tc>
        <w:tc>
          <w:tcPr>
            <w:tcW w:w="4324" w:type="dxa"/>
            <w:tcBorders>
              <w:top w:val="single" w:sz="4" w:space="0" w:color="auto"/>
              <w:left w:val="nil"/>
              <w:bottom w:val="single" w:sz="4" w:space="0" w:color="auto"/>
              <w:right w:val="single" w:sz="4" w:space="0" w:color="auto"/>
            </w:tcBorders>
            <w:shd w:val="clear" w:color="auto" w:fill="auto"/>
            <w:noWrap/>
          </w:tcPr>
          <w:p w14:paraId="32A3264B" w14:textId="005EDE77" w:rsidR="00B37C30" w:rsidRPr="00762814" w:rsidRDefault="00B37C30" w:rsidP="00762814">
            <w:pPr>
              <w:spacing w:after="120" w:line="276" w:lineRule="auto"/>
              <w:ind w:left="142" w:firstLine="142"/>
              <w:jc w:val="right"/>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 xml:space="preserve"> 176,00</w:t>
            </w:r>
            <w:r w:rsidR="00EC6B5C" w:rsidRPr="00762814">
              <w:rPr>
                <w:rFonts w:eastAsia="Times New Roman" w:cstheme="minorHAnsi"/>
                <w:color w:val="000000" w:themeColor="text1"/>
                <w:sz w:val="24"/>
                <w:szCs w:val="24"/>
                <w:lang w:eastAsia="pl-PL"/>
              </w:rPr>
              <w:t xml:space="preserve"> zł</w:t>
            </w:r>
          </w:p>
        </w:tc>
      </w:tr>
      <w:tr w:rsidR="00B37C30" w:rsidRPr="00762814" w14:paraId="54ED750B"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E796B" w14:textId="77777777" w:rsidR="00B37C30" w:rsidRPr="00762814" w:rsidRDefault="00B37C30" w:rsidP="00762814">
            <w:pPr>
              <w:spacing w:after="120" w:line="276" w:lineRule="auto"/>
              <w:ind w:left="142" w:firstLine="142"/>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Szkolenie zamknięte zdalne</w:t>
            </w:r>
          </w:p>
        </w:tc>
        <w:tc>
          <w:tcPr>
            <w:tcW w:w="4324" w:type="dxa"/>
            <w:tcBorders>
              <w:top w:val="single" w:sz="4" w:space="0" w:color="auto"/>
              <w:left w:val="nil"/>
              <w:bottom w:val="single" w:sz="4" w:space="0" w:color="auto"/>
              <w:right w:val="single" w:sz="4" w:space="0" w:color="auto"/>
            </w:tcBorders>
            <w:shd w:val="clear" w:color="auto" w:fill="auto"/>
            <w:noWrap/>
          </w:tcPr>
          <w:p w14:paraId="1FD4C714" w14:textId="2F90A290" w:rsidR="00B37C30" w:rsidRPr="00762814" w:rsidRDefault="00B37C30" w:rsidP="00762814">
            <w:pPr>
              <w:spacing w:after="120" w:line="276" w:lineRule="auto"/>
              <w:ind w:left="142" w:firstLine="142"/>
              <w:jc w:val="right"/>
              <w:rPr>
                <w:rFonts w:eastAsia="Times New Roman" w:cstheme="minorHAnsi"/>
                <w:color w:val="000000" w:themeColor="text1"/>
                <w:sz w:val="24"/>
                <w:szCs w:val="24"/>
                <w:lang w:eastAsia="pl-PL"/>
              </w:rPr>
            </w:pPr>
            <w:r w:rsidRPr="00762814">
              <w:rPr>
                <w:rFonts w:eastAsia="Times New Roman" w:cstheme="minorHAnsi"/>
                <w:color w:val="000000" w:themeColor="text1"/>
                <w:sz w:val="24"/>
                <w:szCs w:val="24"/>
                <w:lang w:eastAsia="pl-PL"/>
              </w:rPr>
              <w:t xml:space="preserve"> 141,00</w:t>
            </w:r>
            <w:r w:rsidR="00EC6B5C" w:rsidRPr="00762814">
              <w:rPr>
                <w:rFonts w:eastAsia="Times New Roman" w:cstheme="minorHAnsi"/>
                <w:color w:val="000000" w:themeColor="text1"/>
                <w:sz w:val="24"/>
                <w:szCs w:val="24"/>
                <w:lang w:eastAsia="pl-PL"/>
              </w:rPr>
              <w:t xml:space="preserve"> zł</w:t>
            </w:r>
          </w:p>
        </w:tc>
      </w:tr>
    </w:tbl>
    <w:p w14:paraId="6227E05D" w14:textId="77A88FFE" w:rsidR="000316E4" w:rsidRPr="00762814" w:rsidRDefault="00F945CC" w:rsidP="00762814">
      <w:pPr>
        <w:spacing w:after="120" w:line="276" w:lineRule="auto"/>
        <w:rPr>
          <w:rFonts w:cstheme="minorHAnsi"/>
          <w:strike/>
          <w:sz w:val="24"/>
          <w:szCs w:val="24"/>
        </w:rPr>
      </w:pPr>
      <w:r w:rsidRPr="00762814">
        <w:rPr>
          <w:rStyle w:val="markedcontent"/>
          <w:rFonts w:cstheme="minorHAnsi"/>
          <w:sz w:val="24"/>
          <w:szCs w:val="24"/>
        </w:rPr>
        <w:t xml:space="preserve">Koszty wsparcia uczestników projektu (Koszty szkoleniowe </w:t>
      </w:r>
      <w:r w:rsidR="00A01BF0" w:rsidRPr="00762814">
        <w:rPr>
          <w:rStyle w:val="markedcontent"/>
          <w:rFonts w:cstheme="minorHAnsi"/>
          <w:sz w:val="24"/>
          <w:szCs w:val="24"/>
        </w:rPr>
        <w:t>uproszczone</w:t>
      </w:r>
      <w:r w:rsidRPr="00762814">
        <w:rPr>
          <w:rStyle w:val="markedcontent"/>
          <w:rFonts w:cstheme="minorHAnsi"/>
          <w:sz w:val="24"/>
          <w:szCs w:val="24"/>
        </w:rPr>
        <w:t xml:space="preserve">) </w:t>
      </w:r>
      <w:r w:rsidRPr="00762814">
        <w:rPr>
          <w:rFonts w:cstheme="minorHAnsi"/>
          <w:sz w:val="24"/>
          <w:szCs w:val="24"/>
        </w:rPr>
        <w:t>obliczone</w:t>
      </w:r>
      <w:r w:rsidR="000316E4" w:rsidRPr="00762814">
        <w:rPr>
          <w:rFonts w:cstheme="minorHAnsi"/>
          <w:sz w:val="24"/>
          <w:szCs w:val="24"/>
        </w:rPr>
        <w:t xml:space="preserve"> </w:t>
      </w:r>
      <w:r w:rsidR="0083410E" w:rsidRPr="00762814">
        <w:rPr>
          <w:rFonts w:cstheme="minorHAnsi"/>
          <w:sz w:val="24"/>
          <w:szCs w:val="24"/>
        </w:rPr>
        <w:br/>
      </w:r>
      <w:r w:rsidR="000316E4" w:rsidRPr="00762814">
        <w:rPr>
          <w:rFonts w:cstheme="minorHAnsi"/>
          <w:sz w:val="24"/>
          <w:szCs w:val="24"/>
        </w:rPr>
        <w:t xml:space="preserve">w oparciu o stawkę jednostkową </w:t>
      </w:r>
      <w:r w:rsidRPr="00762814">
        <w:rPr>
          <w:rFonts w:cstheme="minorHAnsi"/>
          <w:sz w:val="24"/>
          <w:szCs w:val="24"/>
        </w:rPr>
        <w:t>będą uznane za kwalifikowa</w:t>
      </w:r>
      <w:r w:rsidR="000B17FE" w:rsidRPr="00762814">
        <w:rPr>
          <w:rFonts w:cstheme="minorHAnsi"/>
          <w:sz w:val="24"/>
          <w:szCs w:val="24"/>
        </w:rPr>
        <w:t>l</w:t>
      </w:r>
      <w:r w:rsidRPr="00762814">
        <w:rPr>
          <w:rFonts w:cstheme="minorHAnsi"/>
          <w:sz w:val="24"/>
          <w:szCs w:val="24"/>
        </w:rPr>
        <w:t xml:space="preserve">ne pod warunkiem, </w:t>
      </w:r>
      <w:r w:rsidR="000316E4" w:rsidRPr="00762814">
        <w:rPr>
          <w:rFonts w:cstheme="minorHAnsi"/>
          <w:sz w:val="24"/>
          <w:szCs w:val="24"/>
        </w:rPr>
        <w:t xml:space="preserve">że osoba, która jest zgłaszana na szkolenie, na dzień rozpoczęcia szkolenia </w:t>
      </w:r>
      <w:r w:rsidR="002E1266" w:rsidRPr="00762814">
        <w:rPr>
          <w:rFonts w:cstheme="minorHAnsi"/>
          <w:sz w:val="24"/>
          <w:szCs w:val="24"/>
        </w:rPr>
        <w:t>ma</w:t>
      </w:r>
      <w:r w:rsidR="000316E4" w:rsidRPr="00762814">
        <w:rPr>
          <w:rFonts w:cstheme="minorHAnsi"/>
          <w:sz w:val="24"/>
          <w:szCs w:val="24"/>
        </w:rPr>
        <w:t xml:space="preserve"> m.in. zawartą umowę o pracę, powołanie, wybór, mianowanie lub spółdzielczą umow</w:t>
      </w:r>
      <w:r w:rsidR="007E16C2" w:rsidRPr="00762814">
        <w:rPr>
          <w:rFonts w:cstheme="minorHAnsi"/>
          <w:sz w:val="24"/>
          <w:szCs w:val="24"/>
        </w:rPr>
        <w:t>ę</w:t>
      </w:r>
      <w:r w:rsidR="000316E4" w:rsidRPr="00762814">
        <w:rPr>
          <w:rFonts w:cstheme="minorHAnsi"/>
          <w:sz w:val="24"/>
          <w:szCs w:val="24"/>
        </w:rPr>
        <w:t xml:space="preserve"> o pracę lub umowę cywilnoprawną lub być zatrudniona na innej podstawie. Nie musi ona stanowić personelu projektu w module B+R.</w:t>
      </w:r>
    </w:p>
    <w:p w14:paraId="4498D304" w14:textId="18A8F850" w:rsidR="005C1BFD" w:rsidRPr="00762814" w:rsidRDefault="007B6AF2" w:rsidP="00762814">
      <w:pPr>
        <w:spacing w:after="120" w:line="276" w:lineRule="auto"/>
        <w:rPr>
          <w:rFonts w:cstheme="minorHAnsi"/>
          <w:sz w:val="24"/>
          <w:szCs w:val="24"/>
        </w:rPr>
      </w:pPr>
      <w:r w:rsidRPr="00762814">
        <w:rPr>
          <w:rFonts w:cstheme="minorHAnsi"/>
          <w:sz w:val="24"/>
          <w:szCs w:val="24"/>
        </w:rPr>
        <w:t>Wydatki związane z</w:t>
      </w:r>
      <w:r w:rsidR="004F1D85" w:rsidRPr="00762814">
        <w:rPr>
          <w:rFonts w:cstheme="minorHAnsi"/>
          <w:sz w:val="24"/>
          <w:szCs w:val="24"/>
        </w:rPr>
        <w:t>e</w:t>
      </w:r>
      <w:r w:rsidRPr="00762814">
        <w:rPr>
          <w:rFonts w:cstheme="minorHAnsi"/>
          <w:sz w:val="24"/>
          <w:szCs w:val="24"/>
        </w:rPr>
        <w:t xml:space="preserve"> </w:t>
      </w:r>
      <w:r w:rsidR="000316E4" w:rsidRPr="00762814">
        <w:rPr>
          <w:rFonts w:cstheme="minorHAnsi"/>
          <w:sz w:val="24"/>
          <w:szCs w:val="24"/>
        </w:rPr>
        <w:t>szkolenia</w:t>
      </w:r>
      <w:r w:rsidRPr="00762814">
        <w:rPr>
          <w:rFonts w:cstheme="minorHAnsi"/>
          <w:sz w:val="24"/>
          <w:szCs w:val="24"/>
        </w:rPr>
        <w:t>mi</w:t>
      </w:r>
      <w:r w:rsidR="000316E4" w:rsidRPr="00762814">
        <w:rPr>
          <w:rFonts w:cstheme="minorHAnsi"/>
          <w:sz w:val="24"/>
          <w:szCs w:val="24"/>
        </w:rPr>
        <w:t xml:space="preserve"> prowadzon</w:t>
      </w:r>
      <w:r w:rsidRPr="00762814">
        <w:rPr>
          <w:rFonts w:cstheme="minorHAnsi"/>
          <w:sz w:val="24"/>
          <w:szCs w:val="24"/>
        </w:rPr>
        <w:t>ymi</w:t>
      </w:r>
      <w:r w:rsidR="000316E4" w:rsidRPr="00762814">
        <w:rPr>
          <w:rFonts w:cstheme="minorHAnsi"/>
          <w:sz w:val="24"/>
          <w:szCs w:val="24"/>
        </w:rPr>
        <w:t xml:space="preserve"> w celu przestrzegania obowiązkowych przepisów krajowych w zakresie szkoleń (w rozumieniu art. 31 ust. 2 rozporządzenia Komisji (UE) nr 651/2014), w szczególności obowiązkowych szkoleń z zakresu bezpieczeństwa </w:t>
      </w:r>
      <w:r w:rsidR="0083410E" w:rsidRPr="00762814">
        <w:rPr>
          <w:rFonts w:cstheme="minorHAnsi"/>
          <w:sz w:val="24"/>
          <w:szCs w:val="24"/>
        </w:rPr>
        <w:br/>
      </w:r>
      <w:r w:rsidR="000316E4" w:rsidRPr="00762814">
        <w:rPr>
          <w:rFonts w:cstheme="minorHAnsi"/>
          <w:sz w:val="24"/>
          <w:szCs w:val="24"/>
        </w:rPr>
        <w:t>i higieny pracy</w:t>
      </w:r>
      <w:r w:rsidRPr="00762814">
        <w:rPr>
          <w:rFonts w:cstheme="minorHAnsi"/>
          <w:sz w:val="24"/>
          <w:szCs w:val="24"/>
        </w:rPr>
        <w:t xml:space="preserve"> są wydatkami niekwalifikowanymi w module Kompetencje</w:t>
      </w:r>
      <w:r w:rsidR="000316E4" w:rsidRPr="00762814">
        <w:rPr>
          <w:rFonts w:cstheme="minorHAnsi"/>
          <w:sz w:val="24"/>
          <w:szCs w:val="24"/>
        </w:rPr>
        <w:t xml:space="preserve">. </w:t>
      </w:r>
    </w:p>
    <w:p w14:paraId="08C90A6B" w14:textId="4202AF70" w:rsidR="0083410E" w:rsidRPr="00ED6E26" w:rsidRDefault="006A74D8" w:rsidP="00BF47B4">
      <w:pPr>
        <w:pStyle w:val="Nagwek4"/>
        <w:numPr>
          <w:ilvl w:val="2"/>
          <w:numId w:val="40"/>
        </w:numPr>
        <w:tabs>
          <w:tab w:val="left" w:pos="851"/>
        </w:tabs>
        <w:spacing w:before="120" w:after="120" w:line="276" w:lineRule="auto"/>
        <w:ind w:left="992" w:hanging="992"/>
        <w:rPr>
          <w:rFonts w:asciiTheme="minorHAnsi" w:hAnsiTheme="minorHAnsi" w:cstheme="minorHAnsi"/>
          <w:i w:val="0"/>
          <w:color w:val="auto"/>
          <w:sz w:val="28"/>
          <w:szCs w:val="28"/>
        </w:rPr>
      </w:pPr>
      <w:bookmarkStart w:id="198" w:name="_Toc148716439"/>
      <w:r w:rsidRPr="00ED6E26">
        <w:rPr>
          <w:rFonts w:asciiTheme="minorHAnsi" w:hAnsiTheme="minorHAnsi" w:cstheme="minorHAnsi"/>
          <w:i w:val="0"/>
          <w:color w:val="auto"/>
          <w:sz w:val="28"/>
          <w:szCs w:val="28"/>
        </w:rPr>
        <w:t xml:space="preserve">Koszty wsparcia uczestników projektu (Koszty szkoleniowe </w:t>
      </w:r>
      <w:r w:rsidR="00A01BF0" w:rsidRPr="00ED6E26">
        <w:rPr>
          <w:rFonts w:asciiTheme="minorHAnsi" w:hAnsiTheme="minorHAnsi" w:cstheme="minorHAnsi"/>
          <w:i w:val="0"/>
          <w:color w:val="auto"/>
          <w:sz w:val="28"/>
          <w:szCs w:val="28"/>
        </w:rPr>
        <w:t>rzeczywiste</w:t>
      </w:r>
      <w:r w:rsidRPr="00ED6E26">
        <w:rPr>
          <w:rFonts w:asciiTheme="minorHAnsi" w:hAnsiTheme="minorHAnsi" w:cstheme="minorHAnsi"/>
          <w:i w:val="0"/>
          <w:color w:val="auto"/>
          <w:sz w:val="28"/>
          <w:szCs w:val="28"/>
        </w:rPr>
        <w:t>)</w:t>
      </w:r>
      <w:bookmarkEnd w:id="198"/>
    </w:p>
    <w:p w14:paraId="146F56BC" w14:textId="59AA5F48" w:rsidR="000316E4" w:rsidRPr="00762814" w:rsidRDefault="00A01BF0" w:rsidP="00762814">
      <w:pPr>
        <w:spacing w:after="120" w:line="276" w:lineRule="auto"/>
        <w:rPr>
          <w:rFonts w:cstheme="minorHAnsi"/>
          <w:b/>
          <w:bCs/>
          <w:sz w:val="24"/>
          <w:szCs w:val="24"/>
        </w:rPr>
      </w:pPr>
      <w:r w:rsidRPr="00762814">
        <w:rPr>
          <w:rFonts w:cstheme="minorHAnsi"/>
          <w:sz w:val="24"/>
          <w:szCs w:val="24"/>
        </w:rPr>
        <w:t xml:space="preserve">W ramach kategorii kwalifikowalne </w:t>
      </w:r>
      <w:r w:rsidR="000B17FE" w:rsidRPr="00762814">
        <w:rPr>
          <w:rFonts w:cstheme="minorHAnsi"/>
          <w:sz w:val="24"/>
          <w:szCs w:val="24"/>
        </w:rPr>
        <w:t>są</w:t>
      </w:r>
      <w:r w:rsidRPr="00762814">
        <w:rPr>
          <w:rFonts w:cstheme="minorHAnsi"/>
          <w:sz w:val="24"/>
          <w:szCs w:val="24"/>
        </w:rPr>
        <w:t xml:space="preserve"> </w:t>
      </w:r>
      <w:r w:rsidRPr="00762814">
        <w:rPr>
          <w:rFonts w:cstheme="minorHAnsi"/>
          <w:b/>
          <w:bCs/>
          <w:sz w:val="24"/>
          <w:szCs w:val="24"/>
        </w:rPr>
        <w:t>k</w:t>
      </w:r>
      <w:r w:rsidR="000316E4" w:rsidRPr="00762814">
        <w:rPr>
          <w:rFonts w:cstheme="minorHAnsi"/>
          <w:b/>
          <w:bCs/>
          <w:sz w:val="24"/>
          <w:szCs w:val="24"/>
        </w:rPr>
        <w:t xml:space="preserve">oszty bezpośrednio związane z usługami szkoleniowymi świadczonymi na terenie </w:t>
      </w:r>
      <w:r w:rsidR="007E16C2" w:rsidRPr="00762814">
        <w:rPr>
          <w:rFonts w:cstheme="minorHAnsi"/>
          <w:b/>
          <w:bCs/>
          <w:sz w:val="24"/>
          <w:szCs w:val="24"/>
        </w:rPr>
        <w:t xml:space="preserve">Rzeczypospolitej </w:t>
      </w:r>
      <w:r w:rsidR="000316E4" w:rsidRPr="00762814">
        <w:rPr>
          <w:rFonts w:cstheme="minorHAnsi"/>
          <w:b/>
          <w:bCs/>
          <w:sz w:val="24"/>
          <w:szCs w:val="24"/>
        </w:rPr>
        <w:t>Polski</w:t>
      </w:r>
      <w:r w:rsidR="007E16C2" w:rsidRPr="00762814">
        <w:rPr>
          <w:rFonts w:cstheme="minorHAnsi"/>
          <w:b/>
          <w:bCs/>
          <w:sz w:val="24"/>
          <w:szCs w:val="24"/>
        </w:rPr>
        <w:t>ej</w:t>
      </w:r>
      <w:r w:rsidR="00DD5C1F" w:rsidRPr="00762814">
        <w:rPr>
          <w:rFonts w:cstheme="minorHAnsi"/>
          <w:b/>
          <w:bCs/>
          <w:sz w:val="24"/>
          <w:szCs w:val="24"/>
        </w:rPr>
        <w:t xml:space="preserve"> </w:t>
      </w:r>
      <w:r w:rsidR="000316E4" w:rsidRPr="00762814">
        <w:rPr>
          <w:rFonts w:cstheme="minorHAnsi"/>
          <w:b/>
          <w:bCs/>
          <w:sz w:val="24"/>
          <w:szCs w:val="24"/>
        </w:rPr>
        <w:t>rozliczane na podstawie kosztów rzeczywistych, tj.:</w:t>
      </w:r>
    </w:p>
    <w:p w14:paraId="0E5F1469" w14:textId="323636AD" w:rsidR="000316E4" w:rsidRPr="00762814" w:rsidRDefault="000316E4" w:rsidP="00BF47B4">
      <w:pPr>
        <w:pStyle w:val="Akapitzlist"/>
        <w:numPr>
          <w:ilvl w:val="1"/>
          <w:numId w:val="14"/>
        </w:numPr>
        <w:tabs>
          <w:tab w:val="left" w:pos="851"/>
        </w:tabs>
        <w:spacing w:after="120" w:line="276" w:lineRule="auto"/>
        <w:ind w:left="851" w:hanging="284"/>
        <w:contextualSpacing w:val="0"/>
        <w:rPr>
          <w:rFonts w:cstheme="minorHAnsi"/>
          <w:sz w:val="24"/>
          <w:szCs w:val="24"/>
        </w:rPr>
      </w:pPr>
      <w:r w:rsidRPr="00762814">
        <w:rPr>
          <w:rFonts w:cstheme="minorHAnsi"/>
          <w:sz w:val="24"/>
          <w:szCs w:val="24"/>
        </w:rPr>
        <w:t xml:space="preserve">koszty uczestników szkolenia bezpośrednio związane ze szkoleniem, </w:t>
      </w:r>
      <w:r w:rsidR="00760374" w:rsidRPr="00762814">
        <w:rPr>
          <w:rFonts w:cstheme="minorHAnsi"/>
          <w:sz w:val="24"/>
          <w:szCs w:val="24"/>
        </w:rPr>
        <w:t>tj.</w:t>
      </w:r>
      <w:r w:rsidR="0083410E" w:rsidRPr="00762814">
        <w:rPr>
          <w:rFonts w:cstheme="minorHAnsi"/>
          <w:sz w:val="24"/>
          <w:szCs w:val="24"/>
        </w:rPr>
        <w:t xml:space="preserve"> </w:t>
      </w:r>
      <w:r w:rsidRPr="00762814">
        <w:rPr>
          <w:rFonts w:cstheme="minorHAnsi"/>
          <w:sz w:val="24"/>
          <w:szCs w:val="24"/>
        </w:rPr>
        <w:t>koszty podróży i zakwaterowania</w:t>
      </w:r>
      <w:r w:rsidR="00742982" w:rsidRPr="00762814">
        <w:rPr>
          <w:rFonts w:cstheme="minorHAnsi"/>
          <w:sz w:val="24"/>
          <w:szCs w:val="24"/>
        </w:rPr>
        <w:t>,</w:t>
      </w:r>
    </w:p>
    <w:p w14:paraId="233A5720" w14:textId="7160CFA5" w:rsidR="000316E4" w:rsidRPr="00762814" w:rsidRDefault="000316E4" w:rsidP="00BF47B4">
      <w:pPr>
        <w:pStyle w:val="Akapitzlist"/>
        <w:numPr>
          <w:ilvl w:val="1"/>
          <w:numId w:val="14"/>
        </w:numPr>
        <w:tabs>
          <w:tab w:val="left" w:pos="851"/>
        </w:tabs>
        <w:spacing w:after="120" w:line="276" w:lineRule="auto"/>
        <w:ind w:left="567" w:firstLine="0"/>
        <w:contextualSpacing w:val="0"/>
        <w:rPr>
          <w:rFonts w:cstheme="minorHAnsi"/>
          <w:sz w:val="24"/>
          <w:szCs w:val="24"/>
        </w:rPr>
      </w:pPr>
      <w:r w:rsidRPr="00762814">
        <w:rPr>
          <w:rFonts w:cstheme="minorHAnsi"/>
          <w:sz w:val="24"/>
          <w:szCs w:val="24"/>
        </w:rPr>
        <w:t>koszty usług doradczych związanych ze szkoleniem</w:t>
      </w:r>
      <w:r w:rsidR="00176553" w:rsidRPr="00762814">
        <w:rPr>
          <w:rFonts w:cstheme="minorHAnsi"/>
          <w:sz w:val="24"/>
          <w:szCs w:val="24"/>
        </w:rPr>
        <w:t>.</w:t>
      </w:r>
      <w:r w:rsidRPr="00762814">
        <w:rPr>
          <w:rFonts w:cstheme="minorHAnsi"/>
          <w:sz w:val="24"/>
          <w:szCs w:val="24"/>
        </w:rPr>
        <w:t xml:space="preserve"> </w:t>
      </w:r>
    </w:p>
    <w:p w14:paraId="2B461569" w14:textId="29EDAB0B" w:rsidR="0083410E" w:rsidRPr="00D61896" w:rsidRDefault="00A01BF0" w:rsidP="00BF47B4">
      <w:pPr>
        <w:pStyle w:val="Nagwek4"/>
        <w:numPr>
          <w:ilvl w:val="2"/>
          <w:numId w:val="40"/>
        </w:numPr>
        <w:tabs>
          <w:tab w:val="left" w:pos="851"/>
        </w:tabs>
        <w:spacing w:before="120" w:after="120" w:line="276" w:lineRule="auto"/>
        <w:ind w:left="992" w:hanging="992"/>
        <w:rPr>
          <w:rFonts w:asciiTheme="minorHAnsi" w:hAnsiTheme="minorHAnsi" w:cstheme="minorHAnsi"/>
          <w:i w:val="0"/>
          <w:color w:val="auto"/>
          <w:sz w:val="28"/>
          <w:szCs w:val="28"/>
        </w:rPr>
      </w:pPr>
      <w:bookmarkStart w:id="199" w:name="_Toc148716440"/>
      <w:r w:rsidRPr="00D61896">
        <w:rPr>
          <w:rFonts w:asciiTheme="minorHAnsi" w:hAnsiTheme="minorHAnsi" w:cstheme="minorHAnsi"/>
          <w:i w:val="0"/>
          <w:color w:val="auto"/>
          <w:sz w:val="28"/>
          <w:szCs w:val="28"/>
        </w:rPr>
        <w:t>Koszty wsparcia uczestników projektu (Koszty szkoleniowe zagraniczne)</w:t>
      </w:r>
      <w:bookmarkEnd w:id="199"/>
    </w:p>
    <w:p w14:paraId="102D1E3A" w14:textId="7F5E9177" w:rsidR="000316E4" w:rsidRPr="00762814" w:rsidRDefault="00A01BF0" w:rsidP="00762814">
      <w:pPr>
        <w:pStyle w:val="Akapitzlist"/>
        <w:spacing w:after="120" w:line="276" w:lineRule="auto"/>
        <w:ind w:left="0"/>
        <w:rPr>
          <w:rStyle w:val="markedcontent"/>
          <w:rFonts w:cstheme="minorHAnsi"/>
          <w:sz w:val="24"/>
          <w:szCs w:val="24"/>
        </w:rPr>
      </w:pPr>
      <w:r w:rsidRPr="00762814">
        <w:rPr>
          <w:rFonts w:cstheme="minorHAnsi"/>
          <w:sz w:val="24"/>
          <w:szCs w:val="24"/>
        </w:rPr>
        <w:t xml:space="preserve">W ramach </w:t>
      </w:r>
      <w:r w:rsidR="00996AB8" w:rsidRPr="00762814">
        <w:rPr>
          <w:rFonts w:cstheme="minorHAnsi"/>
          <w:sz w:val="24"/>
          <w:szCs w:val="24"/>
        </w:rPr>
        <w:t xml:space="preserve">tej </w:t>
      </w:r>
      <w:r w:rsidRPr="00762814">
        <w:rPr>
          <w:rFonts w:cstheme="minorHAnsi"/>
          <w:sz w:val="24"/>
          <w:szCs w:val="24"/>
        </w:rPr>
        <w:t xml:space="preserve">kategorii kwalifikowalne </w:t>
      </w:r>
      <w:r w:rsidR="00996AB8" w:rsidRPr="00762814">
        <w:rPr>
          <w:rFonts w:cstheme="minorHAnsi"/>
          <w:sz w:val="24"/>
          <w:szCs w:val="24"/>
        </w:rPr>
        <w:t>są</w:t>
      </w:r>
      <w:r w:rsidRPr="00762814">
        <w:rPr>
          <w:rFonts w:cstheme="minorHAnsi"/>
          <w:sz w:val="24"/>
          <w:szCs w:val="24"/>
        </w:rPr>
        <w:t xml:space="preserve"> </w:t>
      </w:r>
      <w:r w:rsidR="000316E4" w:rsidRPr="00762814">
        <w:rPr>
          <w:rFonts w:cstheme="minorHAnsi"/>
          <w:b/>
          <w:bCs/>
          <w:sz w:val="24"/>
          <w:szCs w:val="24"/>
        </w:rPr>
        <w:t xml:space="preserve">koszty szkoleń </w:t>
      </w:r>
      <w:r w:rsidR="00AE3489" w:rsidRPr="00762814">
        <w:rPr>
          <w:rFonts w:cstheme="minorHAnsi"/>
          <w:b/>
          <w:bCs/>
          <w:sz w:val="24"/>
          <w:szCs w:val="24"/>
        </w:rPr>
        <w:t xml:space="preserve">realizowanych poza Rzeczpospolitą Polską </w:t>
      </w:r>
      <w:r w:rsidR="000316E4" w:rsidRPr="00762814">
        <w:rPr>
          <w:rFonts w:cstheme="minorHAnsi"/>
          <w:bCs/>
          <w:sz w:val="24"/>
          <w:szCs w:val="24"/>
        </w:rPr>
        <w:t xml:space="preserve">rozliczane na podstawie kosztów rzeczywistych, zgodnie z kategoriami kosztów wymienionymi w </w:t>
      </w:r>
      <w:r w:rsidRPr="00762814">
        <w:rPr>
          <w:rFonts w:cstheme="minorHAnsi"/>
          <w:bCs/>
          <w:sz w:val="24"/>
          <w:szCs w:val="24"/>
        </w:rPr>
        <w:t>kategorii 8.3.1 oraz 8.3.2</w:t>
      </w:r>
      <w:r w:rsidR="000316E4" w:rsidRPr="00762814">
        <w:rPr>
          <w:rFonts w:cstheme="minorHAnsi"/>
          <w:bCs/>
          <w:sz w:val="24"/>
          <w:szCs w:val="24"/>
        </w:rPr>
        <w:t>.</w:t>
      </w:r>
    </w:p>
    <w:bookmarkEnd w:id="196"/>
    <w:bookmarkEnd w:id="197"/>
    <w:p w14:paraId="23D9D350" w14:textId="70D861F2" w:rsidR="009841F3" w:rsidRPr="00762814" w:rsidRDefault="004A0653" w:rsidP="00762814">
      <w:pPr>
        <w:spacing w:line="276" w:lineRule="auto"/>
        <w:rPr>
          <w:rFonts w:cstheme="minorHAnsi"/>
          <w:b/>
          <w:bCs/>
          <w:sz w:val="24"/>
          <w:szCs w:val="24"/>
        </w:rPr>
      </w:pPr>
      <w:r w:rsidRPr="00762814">
        <w:rPr>
          <w:rFonts w:cstheme="minorHAnsi"/>
          <w:b/>
          <w:bCs/>
          <w:sz w:val="24"/>
          <w:szCs w:val="24"/>
        </w:rPr>
        <w:t>Zarówno dla M</w:t>
      </w:r>
      <w:r w:rsidR="0083410E" w:rsidRPr="00762814">
        <w:rPr>
          <w:rFonts w:cstheme="minorHAnsi"/>
          <w:b/>
          <w:bCs/>
          <w:sz w:val="24"/>
          <w:szCs w:val="24"/>
        </w:rPr>
        <w:t>Ś</w:t>
      </w:r>
      <w:r w:rsidRPr="00762814">
        <w:rPr>
          <w:rFonts w:cstheme="minorHAnsi"/>
          <w:b/>
          <w:bCs/>
          <w:sz w:val="24"/>
          <w:szCs w:val="24"/>
        </w:rPr>
        <w:t>P</w:t>
      </w:r>
      <w:r w:rsidR="001E34E4" w:rsidRPr="00762814">
        <w:rPr>
          <w:rFonts w:cstheme="minorHAnsi"/>
          <w:b/>
          <w:bCs/>
          <w:sz w:val="24"/>
          <w:szCs w:val="24"/>
        </w:rPr>
        <w:t>,</w:t>
      </w:r>
      <w:r w:rsidRPr="00762814">
        <w:rPr>
          <w:rFonts w:cstheme="minorHAnsi"/>
          <w:b/>
          <w:bCs/>
          <w:sz w:val="24"/>
          <w:szCs w:val="24"/>
        </w:rPr>
        <w:t xml:space="preserve"> jak i dla dużych przedsiębiorców koszty </w:t>
      </w:r>
      <w:r w:rsidR="004D4455" w:rsidRPr="00762814">
        <w:rPr>
          <w:rFonts w:cstheme="minorHAnsi"/>
          <w:b/>
          <w:bCs/>
          <w:sz w:val="24"/>
          <w:szCs w:val="24"/>
        </w:rPr>
        <w:t xml:space="preserve">wskazane w pkt 8.3.1 – 8.3.3 </w:t>
      </w:r>
      <w:r w:rsidR="00B340CB" w:rsidRPr="00762814">
        <w:rPr>
          <w:rFonts w:cstheme="minorHAnsi"/>
          <w:b/>
          <w:bCs/>
          <w:sz w:val="24"/>
          <w:szCs w:val="24"/>
        </w:rPr>
        <w:t xml:space="preserve">są objęte </w:t>
      </w:r>
      <w:r w:rsidRPr="00762814">
        <w:rPr>
          <w:rFonts w:cstheme="minorHAnsi"/>
          <w:b/>
          <w:bCs/>
          <w:sz w:val="24"/>
          <w:szCs w:val="24"/>
        </w:rPr>
        <w:t>pomoc</w:t>
      </w:r>
      <w:r w:rsidR="00B340CB" w:rsidRPr="00762814">
        <w:rPr>
          <w:rFonts w:cstheme="minorHAnsi"/>
          <w:b/>
          <w:bCs/>
          <w:sz w:val="24"/>
          <w:szCs w:val="24"/>
        </w:rPr>
        <w:t>ą</w:t>
      </w:r>
      <w:r w:rsidRPr="00762814">
        <w:rPr>
          <w:rFonts w:cstheme="minorHAnsi"/>
          <w:b/>
          <w:bCs/>
          <w:sz w:val="24"/>
          <w:szCs w:val="24"/>
        </w:rPr>
        <w:t xml:space="preserve"> z art. 31</w:t>
      </w:r>
      <w:r w:rsidR="0083410E" w:rsidRPr="00762814">
        <w:rPr>
          <w:rFonts w:cstheme="minorHAnsi"/>
          <w:b/>
          <w:bCs/>
          <w:sz w:val="24"/>
          <w:szCs w:val="24"/>
        </w:rPr>
        <w:t xml:space="preserve"> </w:t>
      </w:r>
      <w:bookmarkStart w:id="200" w:name="_Hlk125543638"/>
      <w:r w:rsidR="0083410E" w:rsidRPr="00762814">
        <w:rPr>
          <w:rFonts w:cstheme="minorHAnsi"/>
          <w:b/>
          <w:bCs/>
          <w:sz w:val="24"/>
          <w:szCs w:val="24"/>
        </w:rPr>
        <w:t>Rozporządzenia Komisji (UE) nr 651/2014</w:t>
      </w:r>
      <w:r w:rsidR="00F222BB" w:rsidRPr="00762814">
        <w:rPr>
          <w:rFonts w:cstheme="minorHAnsi"/>
          <w:b/>
          <w:bCs/>
          <w:sz w:val="24"/>
          <w:szCs w:val="24"/>
        </w:rPr>
        <w:t>.</w:t>
      </w:r>
      <w:bookmarkEnd w:id="200"/>
    </w:p>
    <w:p w14:paraId="67E91297" w14:textId="77777777" w:rsidR="00ED6E26" w:rsidRDefault="00ED6E26">
      <w:pPr>
        <w:rPr>
          <w:rFonts w:eastAsiaTheme="majorEastAsia" w:cstheme="minorHAnsi"/>
          <w:b/>
          <w:sz w:val="36"/>
          <w:szCs w:val="36"/>
        </w:rPr>
      </w:pPr>
      <w:r>
        <w:rPr>
          <w:rFonts w:cstheme="minorHAnsi"/>
          <w:b/>
          <w:sz w:val="36"/>
          <w:szCs w:val="36"/>
        </w:rPr>
        <w:br w:type="page"/>
      </w:r>
    </w:p>
    <w:p w14:paraId="57396E6E" w14:textId="7C62BFC9" w:rsidR="00A23B26" w:rsidRPr="00930477" w:rsidRDefault="00722C21" w:rsidP="00BF47B4">
      <w:pPr>
        <w:pStyle w:val="Nagwek2"/>
        <w:numPr>
          <w:ilvl w:val="0"/>
          <w:numId w:val="38"/>
        </w:numPr>
        <w:spacing w:line="276" w:lineRule="auto"/>
        <w:ind w:left="714" w:hanging="357"/>
        <w:rPr>
          <w:rFonts w:asciiTheme="minorHAnsi" w:hAnsiTheme="minorHAnsi" w:cstheme="minorHAnsi"/>
          <w:b/>
          <w:color w:val="auto"/>
          <w:sz w:val="36"/>
          <w:szCs w:val="36"/>
        </w:rPr>
      </w:pPr>
      <w:bookmarkStart w:id="201" w:name="_Toc148716441"/>
      <w:r w:rsidRPr="00930477">
        <w:rPr>
          <w:rFonts w:asciiTheme="minorHAnsi" w:hAnsiTheme="minorHAnsi" w:cstheme="minorHAnsi"/>
          <w:b/>
          <w:color w:val="auto"/>
          <w:sz w:val="36"/>
          <w:szCs w:val="36"/>
        </w:rPr>
        <w:t>Wydatki</w:t>
      </w:r>
      <w:r w:rsidR="00760374" w:rsidRPr="00930477">
        <w:rPr>
          <w:rFonts w:asciiTheme="minorHAnsi" w:hAnsiTheme="minorHAnsi" w:cstheme="minorHAnsi"/>
          <w:b/>
          <w:color w:val="auto"/>
          <w:sz w:val="36"/>
          <w:szCs w:val="36"/>
        </w:rPr>
        <w:t xml:space="preserve"> </w:t>
      </w:r>
      <w:r w:rsidRPr="00930477">
        <w:rPr>
          <w:rFonts w:asciiTheme="minorHAnsi" w:hAnsiTheme="minorHAnsi" w:cstheme="minorHAnsi"/>
          <w:b/>
          <w:color w:val="auto"/>
          <w:sz w:val="36"/>
          <w:szCs w:val="36"/>
        </w:rPr>
        <w:t>kwalifikowalne modułu internacjonalizacja</w:t>
      </w:r>
      <w:bookmarkEnd w:id="201"/>
    </w:p>
    <w:p w14:paraId="61A232AC" w14:textId="1B7D1320" w:rsidR="00EC6B5C" w:rsidRPr="00930477" w:rsidRDefault="00A23B26" w:rsidP="00BF47B4">
      <w:pPr>
        <w:pStyle w:val="Nagwek3"/>
        <w:numPr>
          <w:ilvl w:val="1"/>
          <w:numId w:val="41"/>
        </w:numPr>
        <w:spacing w:before="360" w:line="276" w:lineRule="auto"/>
        <w:rPr>
          <w:rFonts w:asciiTheme="minorHAnsi" w:hAnsiTheme="minorHAnsi" w:cstheme="minorHAnsi"/>
          <w:color w:val="auto"/>
          <w:sz w:val="32"/>
          <w:szCs w:val="32"/>
        </w:rPr>
      </w:pPr>
      <w:bookmarkStart w:id="202" w:name="_Toc148716442"/>
      <w:r w:rsidRPr="00930477">
        <w:rPr>
          <w:rFonts w:asciiTheme="minorHAnsi" w:hAnsiTheme="minorHAnsi" w:cstheme="minorHAnsi"/>
          <w:color w:val="auto"/>
          <w:sz w:val="32"/>
          <w:szCs w:val="32"/>
        </w:rPr>
        <w:t>Pomoc publiczna</w:t>
      </w:r>
      <w:bookmarkEnd w:id="202"/>
    </w:p>
    <w:p w14:paraId="7DF7AB73" w14:textId="77777777" w:rsidR="00A23B26" w:rsidRPr="00762814" w:rsidRDefault="00A23B26" w:rsidP="00762814">
      <w:pPr>
        <w:spacing w:after="120" w:line="276" w:lineRule="auto"/>
        <w:rPr>
          <w:rFonts w:cstheme="minorHAnsi"/>
          <w:sz w:val="24"/>
          <w:szCs w:val="24"/>
        </w:rPr>
      </w:pPr>
      <w:r w:rsidRPr="00762814">
        <w:rPr>
          <w:rFonts w:cstheme="minorHAnsi"/>
          <w:sz w:val="24"/>
          <w:szCs w:val="24"/>
        </w:rPr>
        <w:t>Wnioskodawca może uzyskać wsparcie w module na podstawie:</w:t>
      </w:r>
    </w:p>
    <w:p w14:paraId="2179469A" w14:textId="14849A26" w:rsidR="00A23B26" w:rsidRPr="00762814" w:rsidRDefault="00A23B26" w:rsidP="00BF47B4">
      <w:pPr>
        <w:pStyle w:val="Akapitzlist"/>
        <w:numPr>
          <w:ilvl w:val="0"/>
          <w:numId w:val="2"/>
        </w:numPr>
        <w:spacing w:after="120" w:line="276" w:lineRule="auto"/>
        <w:rPr>
          <w:rFonts w:cstheme="minorHAnsi"/>
          <w:sz w:val="24"/>
          <w:szCs w:val="24"/>
        </w:rPr>
      </w:pPr>
      <w:r w:rsidRPr="00762814">
        <w:rPr>
          <w:rFonts w:cstheme="minorHAnsi"/>
          <w:sz w:val="24"/>
          <w:szCs w:val="24"/>
        </w:rPr>
        <w:t xml:space="preserve">Rozporządzenia Komisji (UE) nr 651/2014 jako: </w:t>
      </w:r>
    </w:p>
    <w:p w14:paraId="4496441B" w14:textId="6C542E6D" w:rsidR="00A23B26" w:rsidRPr="00762814" w:rsidRDefault="00A23B26" w:rsidP="00BF47B4">
      <w:pPr>
        <w:pStyle w:val="Akapitzlist"/>
        <w:numPr>
          <w:ilvl w:val="1"/>
          <w:numId w:val="25"/>
        </w:numPr>
        <w:spacing w:after="120" w:line="276" w:lineRule="auto"/>
        <w:rPr>
          <w:rFonts w:cstheme="minorHAnsi"/>
          <w:sz w:val="24"/>
          <w:szCs w:val="24"/>
        </w:rPr>
      </w:pPr>
      <w:bookmarkStart w:id="203" w:name="_Hlk116566823"/>
      <w:r w:rsidRPr="00762814">
        <w:rPr>
          <w:rFonts w:cstheme="minorHAnsi"/>
          <w:sz w:val="24"/>
          <w:szCs w:val="24"/>
        </w:rPr>
        <w:t xml:space="preserve">pomoc dla MSP na udział w targach (art. 19), </w:t>
      </w:r>
    </w:p>
    <w:p w14:paraId="53BFA88F" w14:textId="1A5D099F" w:rsidR="00A23B26" w:rsidRPr="00762814" w:rsidRDefault="00A23B26" w:rsidP="00BF47B4">
      <w:pPr>
        <w:pStyle w:val="Akapitzlist"/>
        <w:numPr>
          <w:ilvl w:val="1"/>
          <w:numId w:val="25"/>
        </w:numPr>
        <w:spacing w:after="120" w:line="276" w:lineRule="auto"/>
        <w:rPr>
          <w:rFonts w:cstheme="minorHAnsi"/>
          <w:sz w:val="24"/>
          <w:szCs w:val="24"/>
        </w:rPr>
      </w:pPr>
      <w:bookmarkStart w:id="204" w:name="_Hlk116566804"/>
      <w:r w:rsidRPr="00762814">
        <w:rPr>
          <w:rFonts w:cstheme="minorHAnsi"/>
          <w:sz w:val="24"/>
          <w:szCs w:val="24"/>
        </w:rPr>
        <w:t xml:space="preserve">pomoc na usługi doradcze na rzecz MŚP (art. 18), </w:t>
      </w:r>
    </w:p>
    <w:bookmarkEnd w:id="204"/>
    <w:p w14:paraId="7AB24D3D" w14:textId="21E231A2" w:rsidR="00A23B26" w:rsidRPr="00762814" w:rsidRDefault="00A23B26" w:rsidP="00BF47B4">
      <w:pPr>
        <w:pStyle w:val="Akapitzlist"/>
        <w:numPr>
          <w:ilvl w:val="1"/>
          <w:numId w:val="25"/>
        </w:numPr>
        <w:spacing w:after="120" w:line="276" w:lineRule="auto"/>
        <w:rPr>
          <w:rFonts w:cstheme="minorHAnsi"/>
          <w:sz w:val="24"/>
          <w:szCs w:val="24"/>
        </w:rPr>
      </w:pPr>
      <w:r w:rsidRPr="00762814">
        <w:rPr>
          <w:rFonts w:cstheme="minorHAnsi"/>
          <w:sz w:val="24"/>
          <w:szCs w:val="24"/>
        </w:rPr>
        <w:t>pomoc dla MŚP na wspieranie innowacyjności (art. 28).</w:t>
      </w:r>
    </w:p>
    <w:p w14:paraId="25194432" w14:textId="267ED9B0" w:rsidR="00A23B26" w:rsidRPr="00762814" w:rsidRDefault="00A23B26" w:rsidP="00BF47B4">
      <w:pPr>
        <w:pStyle w:val="Akapitzlist"/>
        <w:numPr>
          <w:ilvl w:val="0"/>
          <w:numId w:val="2"/>
        </w:numPr>
        <w:spacing w:after="120" w:line="276" w:lineRule="auto"/>
        <w:rPr>
          <w:rFonts w:cstheme="minorHAnsi"/>
          <w:sz w:val="24"/>
          <w:szCs w:val="24"/>
        </w:rPr>
      </w:pPr>
      <w:r w:rsidRPr="00762814">
        <w:rPr>
          <w:rFonts w:cstheme="minorHAnsi"/>
          <w:sz w:val="24"/>
          <w:szCs w:val="24"/>
        </w:rPr>
        <w:t>Rozporządzenia 1407/2013 jako pomoc de minimis.</w:t>
      </w:r>
    </w:p>
    <w:p w14:paraId="2F6B4CE7" w14:textId="0C55DF26" w:rsidR="003167AD" w:rsidRPr="00930477" w:rsidRDefault="00A23B26" w:rsidP="00BF47B4">
      <w:pPr>
        <w:pStyle w:val="Nagwek3"/>
        <w:numPr>
          <w:ilvl w:val="1"/>
          <w:numId w:val="41"/>
        </w:numPr>
        <w:spacing w:before="360" w:line="276" w:lineRule="auto"/>
        <w:rPr>
          <w:rFonts w:asciiTheme="minorHAnsi" w:hAnsiTheme="minorHAnsi" w:cstheme="minorHAnsi"/>
          <w:color w:val="auto"/>
          <w:sz w:val="32"/>
          <w:szCs w:val="32"/>
        </w:rPr>
      </w:pPr>
      <w:bookmarkStart w:id="205" w:name="_Toc148716443"/>
      <w:bookmarkEnd w:id="203"/>
      <w:r w:rsidRPr="00930477">
        <w:rPr>
          <w:rFonts w:asciiTheme="minorHAnsi" w:hAnsiTheme="minorHAnsi" w:cstheme="minorHAnsi"/>
          <w:color w:val="auto"/>
          <w:sz w:val="32"/>
          <w:szCs w:val="32"/>
        </w:rPr>
        <w:t>Limity</w:t>
      </w:r>
      <w:r w:rsidR="003167AD" w:rsidRPr="00930477">
        <w:rPr>
          <w:rFonts w:asciiTheme="minorHAnsi" w:hAnsiTheme="minorHAnsi" w:cstheme="minorHAnsi"/>
          <w:color w:val="auto"/>
          <w:sz w:val="32"/>
          <w:szCs w:val="32"/>
        </w:rPr>
        <w:t xml:space="preserve"> wydatków kwalifikowa</w:t>
      </w:r>
      <w:r w:rsidR="000B17FE" w:rsidRPr="00930477">
        <w:rPr>
          <w:rFonts w:asciiTheme="minorHAnsi" w:hAnsiTheme="minorHAnsi" w:cstheme="minorHAnsi"/>
          <w:color w:val="auto"/>
          <w:sz w:val="32"/>
          <w:szCs w:val="32"/>
        </w:rPr>
        <w:t>l</w:t>
      </w:r>
      <w:r w:rsidR="003167AD" w:rsidRPr="00930477">
        <w:rPr>
          <w:rFonts w:asciiTheme="minorHAnsi" w:hAnsiTheme="minorHAnsi" w:cstheme="minorHAnsi"/>
          <w:color w:val="auto"/>
          <w:sz w:val="32"/>
          <w:szCs w:val="32"/>
        </w:rPr>
        <w:t>nych w module oraz limity dofinansowania</w:t>
      </w:r>
      <w:bookmarkEnd w:id="205"/>
    </w:p>
    <w:p w14:paraId="5D09A256" w14:textId="533ABF98" w:rsidR="009F35EB" w:rsidRPr="00762814" w:rsidRDefault="00A23B26" w:rsidP="00762814">
      <w:pPr>
        <w:spacing w:after="120" w:line="276" w:lineRule="auto"/>
        <w:rPr>
          <w:rFonts w:cstheme="minorHAnsi"/>
          <w:sz w:val="24"/>
          <w:szCs w:val="24"/>
        </w:rPr>
      </w:pPr>
      <w:r w:rsidRPr="00762814">
        <w:rPr>
          <w:rFonts w:cstheme="minorHAnsi"/>
          <w:sz w:val="24"/>
          <w:szCs w:val="24"/>
          <w:u w:val="single"/>
        </w:rPr>
        <w:t xml:space="preserve">Limit </w:t>
      </w:r>
      <w:r w:rsidR="00DC79EB" w:rsidRPr="00762814">
        <w:rPr>
          <w:rFonts w:cstheme="minorHAnsi"/>
          <w:sz w:val="24"/>
          <w:szCs w:val="24"/>
          <w:u w:val="single"/>
        </w:rPr>
        <w:t>wydatków</w:t>
      </w:r>
      <w:r w:rsidRPr="00762814">
        <w:rPr>
          <w:rFonts w:cstheme="minorHAnsi"/>
          <w:sz w:val="24"/>
          <w:szCs w:val="24"/>
          <w:u w:val="single"/>
        </w:rPr>
        <w:t xml:space="preserve"> kwalifikowa</w:t>
      </w:r>
      <w:r w:rsidR="00193351" w:rsidRPr="00762814">
        <w:rPr>
          <w:rFonts w:cstheme="minorHAnsi"/>
          <w:sz w:val="24"/>
          <w:szCs w:val="24"/>
          <w:u w:val="single"/>
        </w:rPr>
        <w:t>l</w:t>
      </w:r>
      <w:r w:rsidRPr="00762814">
        <w:rPr>
          <w:rFonts w:cstheme="minorHAnsi"/>
          <w:sz w:val="24"/>
          <w:szCs w:val="24"/>
          <w:u w:val="single"/>
        </w:rPr>
        <w:t>nych</w:t>
      </w:r>
      <w:r w:rsidRPr="00762814">
        <w:rPr>
          <w:rFonts w:cstheme="minorHAnsi"/>
          <w:sz w:val="24"/>
          <w:szCs w:val="24"/>
        </w:rPr>
        <w:t xml:space="preserve"> w module </w:t>
      </w:r>
      <w:r w:rsidR="00317F66" w:rsidRPr="00762814">
        <w:rPr>
          <w:rFonts w:cstheme="minorHAnsi"/>
          <w:sz w:val="24"/>
          <w:szCs w:val="24"/>
        </w:rPr>
        <w:t>I</w:t>
      </w:r>
      <w:r w:rsidRPr="00762814">
        <w:rPr>
          <w:rFonts w:cstheme="minorHAnsi"/>
          <w:sz w:val="24"/>
          <w:szCs w:val="24"/>
        </w:rPr>
        <w:t xml:space="preserve">nternacjonalizacja wynosi </w:t>
      </w:r>
      <w:r w:rsidRPr="00762814">
        <w:rPr>
          <w:rFonts w:cstheme="minorHAnsi"/>
          <w:b/>
          <w:bCs/>
          <w:sz w:val="24"/>
          <w:szCs w:val="24"/>
        </w:rPr>
        <w:t>20% kosztów</w:t>
      </w:r>
      <w:r w:rsidRPr="00762814">
        <w:rPr>
          <w:rFonts w:cstheme="minorHAnsi"/>
          <w:sz w:val="24"/>
          <w:szCs w:val="24"/>
        </w:rPr>
        <w:t xml:space="preserve"> kwalifikowanych wybranego przez Wnioskodawcę </w:t>
      </w:r>
      <w:r w:rsidR="00317F66" w:rsidRPr="00762814">
        <w:rPr>
          <w:rFonts w:cstheme="minorHAnsi"/>
          <w:sz w:val="24"/>
          <w:szCs w:val="24"/>
        </w:rPr>
        <w:t xml:space="preserve">we wniosku o dofinansowanie </w:t>
      </w:r>
      <w:r w:rsidRPr="00762814">
        <w:rPr>
          <w:rFonts w:cstheme="minorHAnsi"/>
          <w:sz w:val="24"/>
          <w:szCs w:val="24"/>
        </w:rPr>
        <w:t>modułu obowiązkowego .</w:t>
      </w:r>
      <w:r w:rsidR="009F35EB" w:rsidRPr="00762814">
        <w:rPr>
          <w:rFonts w:cstheme="minorHAnsi"/>
          <w:sz w:val="24"/>
          <w:szCs w:val="24"/>
        </w:rPr>
        <w:t xml:space="preserve"> W przypadku</w:t>
      </w:r>
      <w:r w:rsidR="00193351" w:rsidRPr="00762814">
        <w:rPr>
          <w:rFonts w:cstheme="minorHAnsi"/>
          <w:sz w:val="24"/>
          <w:szCs w:val="24"/>
        </w:rPr>
        <w:t>,</w:t>
      </w:r>
      <w:r w:rsidR="009F35EB" w:rsidRPr="00762814">
        <w:rPr>
          <w:rFonts w:cstheme="minorHAnsi"/>
          <w:sz w:val="24"/>
          <w:szCs w:val="24"/>
        </w:rPr>
        <w:t xml:space="preserve"> gdy w ramach projektu Wnioskodawca będący MŚP planuje realizację dwóch modułów obligatoryjnych (B+R i Wdrożenie innowacji) wybiera jeden moduł obligatoryjny, który będzie podstawą wyliczenia 20%.</w:t>
      </w:r>
    </w:p>
    <w:p w14:paraId="51ABD2AB" w14:textId="45FF63AA" w:rsidR="003170B1" w:rsidRPr="00762814" w:rsidRDefault="003170B1" w:rsidP="00762814">
      <w:pPr>
        <w:spacing w:after="120" w:line="276" w:lineRule="auto"/>
        <w:rPr>
          <w:rFonts w:cstheme="minorHAnsi"/>
          <w:sz w:val="24"/>
          <w:szCs w:val="24"/>
        </w:rPr>
      </w:pPr>
      <w:r w:rsidRPr="00762814">
        <w:rPr>
          <w:rFonts w:cstheme="minorHAnsi"/>
          <w:sz w:val="24"/>
          <w:szCs w:val="24"/>
          <w:u w:val="single"/>
        </w:rPr>
        <w:t>Limity wynikające z przepisów pomocy publicznej</w:t>
      </w:r>
      <w:r w:rsidRPr="00762814">
        <w:rPr>
          <w:rFonts w:cstheme="minorHAnsi"/>
          <w:sz w:val="24"/>
          <w:szCs w:val="24"/>
        </w:rPr>
        <w:t>:</w:t>
      </w:r>
    </w:p>
    <w:p w14:paraId="60D5611E" w14:textId="6BFE49BB" w:rsidR="009841F3" w:rsidRPr="00762814" w:rsidRDefault="008F782F" w:rsidP="00762814">
      <w:pPr>
        <w:spacing w:after="120" w:line="276" w:lineRule="auto"/>
        <w:rPr>
          <w:rFonts w:cstheme="minorHAnsi"/>
          <w:b/>
          <w:bCs/>
          <w:sz w:val="24"/>
          <w:szCs w:val="24"/>
        </w:rPr>
      </w:pPr>
      <w:r w:rsidRPr="00762814">
        <w:rPr>
          <w:rFonts w:cstheme="minorHAnsi"/>
          <w:sz w:val="24"/>
          <w:szCs w:val="24"/>
        </w:rPr>
        <w:t>I</w:t>
      </w:r>
      <w:r w:rsidR="009841F3" w:rsidRPr="00762814">
        <w:rPr>
          <w:rFonts w:cstheme="minorHAnsi"/>
          <w:sz w:val="24"/>
          <w:szCs w:val="24"/>
        </w:rPr>
        <w:t xml:space="preserve">ntensywność pomocy na zadania dedykowane do realizacji w ramach poszczególnych przeznaczeń pomocy </w:t>
      </w:r>
      <w:r w:rsidRPr="00762814">
        <w:rPr>
          <w:rFonts w:cstheme="minorHAnsi"/>
          <w:sz w:val="24"/>
          <w:szCs w:val="24"/>
        </w:rPr>
        <w:t>nie może przekroczyć</w:t>
      </w:r>
      <w:r w:rsidR="009841F3" w:rsidRPr="00762814">
        <w:rPr>
          <w:rFonts w:cstheme="minorHAnsi"/>
          <w:sz w:val="24"/>
          <w:szCs w:val="24"/>
        </w:rPr>
        <w:t>:</w:t>
      </w:r>
    </w:p>
    <w:p w14:paraId="002D8E01" w14:textId="6333CF8B" w:rsidR="001A12B6" w:rsidRPr="00762814" w:rsidRDefault="001A12B6" w:rsidP="00BF47B4">
      <w:pPr>
        <w:pStyle w:val="Akapitzlist"/>
        <w:numPr>
          <w:ilvl w:val="1"/>
          <w:numId w:val="12"/>
        </w:numPr>
        <w:spacing w:after="120" w:line="276" w:lineRule="auto"/>
        <w:ind w:left="1066" w:hanging="357"/>
        <w:rPr>
          <w:rFonts w:cstheme="minorHAnsi"/>
          <w:sz w:val="24"/>
          <w:szCs w:val="24"/>
        </w:rPr>
      </w:pPr>
      <w:r w:rsidRPr="00762814">
        <w:rPr>
          <w:rFonts w:cstheme="minorHAnsi"/>
          <w:b/>
          <w:bCs/>
          <w:sz w:val="24"/>
          <w:szCs w:val="24"/>
        </w:rPr>
        <w:t>50%</w:t>
      </w:r>
      <w:r w:rsidR="005C1BFD" w:rsidRPr="00762814">
        <w:rPr>
          <w:rFonts w:cstheme="minorHAnsi"/>
          <w:b/>
          <w:bCs/>
          <w:sz w:val="24"/>
          <w:szCs w:val="24"/>
        </w:rPr>
        <w:t xml:space="preserve"> </w:t>
      </w:r>
      <w:r w:rsidR="005C1BFD" w:rsidRPr="00762814">
        <w:rPr>
          <w:rFonts w:cstheme="minorHAnsi"/>
          <w:sz w:val="24"/>
          <w:szCs w:val="24"/>
        </w:rPr>
        <w:t>- w przypadku</w:t>
      </w:r>
      <w:r w:rsidR="005C1BFD" w:rsidRPr="00762814">
        <w:rPr>
          <w:rFonts w:cstheme="minorHAnsi"/>
          <w:b/>
          <w:bCs/>
          <w:sz w:val="24"/>
          <w:szCs w:val="24"/>
        </w:rPr>
        <w:t xml:space="preserve"> </w:t>
      </w:r>
      <w:r w:rsidR="005C1BFD" w:rsidRPr="00762814">
        <w:rPr>
          <w:rFonts w:cstheme="minorHAnsi"/>
          <w:sz w:val="24"/>
          <w:szCs w:val="24"/>
        </w:rPr>
        <w:t>p</w:t>
      </w:r>
      <w:r w:rsidRPr="00762814">
        <w:rPr>
          <w:rFonts w:cstheme="minorHAnsi"/>
          <w:sz w:val="24"/>
          <w:szCs w:val="24"/>
        </w:rPr>
        <w:t>omoc</w:t>
      </w:r>
      <w:r w:rsidR="005C1BFD" w:rsidRPr="00762814">
        <w:rPr>
          <w:rFonts w:cstheme="minorHAnsi"/>
          <w:sz w:val="24"/>
          <w:szCs w:val="24"/>
        </w:rPr>
        <w:t>y</w:t>
      </w:r>
      <w:r w:rsidRPr="00762814">
        <w:rPr>
          <w:rFonts w:cstheme="minorHAnsi"/>
          <w:sz w:val="24"/>
          <w:szCs w:val="24"/>
        </w:rPr>
        <w:t xml:space="preserve"> na udział MŚP w targach</w:t>
      </w:r>
      <w:r w:rsidR="005C1BFD" w:rsidRPr="00762814">
        <w:rPr>
          <w:rFonts w:cstheme="minorHAnsi"/>
          <w:sz w:val="24"/>
          <w:szCs w:val="24"/>
        </w:rPr>
        <w:t>;</w:t>
      </w:r>
      <w:r w:rsidRPr="00762814">
        <w:rPr>
          <w:rFonts w:cstheme="minorHAnsi"/>
          <w:b/>
          <w:bCs/>
          <w:sz w:val="24"/>
          <w:szCs w:val="24"/>
        </w:rPr>
        <w:t xml:space="preserve"> </w:t>
      </w:r>
    </w:p>
    <w:p w14:paraId="0CEC47D7" w14:textId="0B6DE920" w:rsidR="009841F3" w:rsidRPr="00762814" w:rsidRDefault="001A12B6" w:rsidP="00BF47B4">
      <w:pPr>
        <w:pStyle w:val="Akapitzlist"/>
        <w:numPr>
          <w:ilvl w:val="1"/>
          <w:numId w:val="12"/>
        </w:numPr>
        <w:spacing w:after="120" w:line="276" w:lineRule="auto"/>
        <w:ind w:left="1066" w:hanging="357"/>
        <w:rPr>
          <w:rFonts w:cstheme="minorHAnsi"/>
          <w:sz w:val="24"/>
          <w:szCs w:val="24"/>
        </w:rPr>
      </w:pPr>
      <w:r w:rsidRPr="00762814">
        <w:rPr>
          <w:rFonts w:cstheme="minorHAnsi"/>
          <w:b/>
          <w:bCs/>
          <w:sz w:val="24"/>
          <w:szCs w:val="24"/>
        </w:rPr>
        <w:t>50%</w:t>
      </w:r>
      <w:r w:rsidR="005C1BFD" w:rsidRPr="00762814">
        <w:rPr>
          <w:rFonts w:cstheme="minorHAnsi"/>
          <w:sz w:val="24"/>
          <w:szCs w:val="24"/>
        </w:rPr>
        <w:t xml:space="preserve"> - w przypadku p</w:t>
      </w:r>
      <w:r w:rsidR="009841F3" w:rsidRPr="00762814">
        <w:rPr>
          <w:rFonts w:cstheme="minorHAnsi"/>
          <w:sz w:val="24"/>
          <w:szCs w:val="24"/>
        </w:rPr>
        <w:t>omoc</w:t>
      </w:r>
      <w:r w:rsidR="005C1BFD" w:rsidRPr="00762814">
        <w:rPr>
          <w:rFonts w:cstheme="minorHAnsi"/>
          <w:sz w:val="24"/>
          <w:szCs w:val="24"/>
        </w:rPr>
        <w:t>y</w:t>
      </w:r>
      <w:r w:rsidR="009841F3" w:rsidRPr="00762814">
        <w:rPr>
          <w:rFonts w:cstheme="minorHAnsi"/>
          <w:sz w:val="24"/>
          <w:szCs w:val="24"/>
        </w:rPr>
        <w:t xml:space="preserve"> na usługi doradcze na rzecz</w:t>
      </w:r>
      <w:r w:rsidRPr="00762814">
        <w:rPr>
          <w:rFonts w:cstheme="minorHAnsi"/>
          <w:sz w:val="24"/>
          <w:szCs w:val="24"/>
        </w:rPr>
        <w:t xml:space="preserve"> MSP;</w:t>
      </w:r>
    </w:p>
    <w:p w14:paraId="2DC92B40" w14:textId="129517F7" w:rsidR="009841F3" w:rsidRPr="00762814" w:rsidRDefault="001A12B6" w:rsidP="00BF47B4">
      <w:pPr>
        <w:pStyle w:val="Akapitzlist"/>
        <w:numPr>
          <w:ilvl w:val="1"/>
          <w:numId w:val="12"/>
        </w:numPr>
        <w:spacing w:after="120" w:line="276" w:lineRule="auto"/>
        <w:ind w:left="1066" w:hanging="357"/>
        <w:rPr>
          <w:rFonts w:cstheme="minorHAnsi"/>
          <w:sz w:val="24"/>
          <w:szCs w:val="24"/>
        </w:rPr>
      </w:pPr>
      <w:bookmarkStart w:id="206" w:name="_Hlk117604066"/>
      <w:r w:rsidRPr="00762814">
        <w:rPr>
          <w:rFonts w:cstheme="minorHAnsi"/>
          <w:b/>
          <w:bCs/>
          <w:sz w:val="24"/>
          <w:szCs w:val="24"/>
        </w:rPr>
        <w:t>50%</w:t>
      </w:r>
      <w:r w:rsidR="005C1BFD" w:rsidRPr="00762814">
        <w:rPr>
          <w:rFonts w:cstheme="minorHAnsi"/>
          <w:sz w:val="24"/>
          <w:szCs w:val="24"/>
        </w:rPr>
        <w:t xml:space="preserve"> -</w:t>
      </w:r>
      <w:r w:rsidR="005C1BFD" w:rsidRPr="00762814">
        <w:rPr>
          <w:rFonts w:cstheme="minorHAnsi"/>
          <w:b/>
          <w:bCs/>
          <w:sz w:val="24"/>
          <w:szCs w:val="24"/>
        </w:rPr>
        <w:t xml:space="preserve"> </w:t>
      </w:r>
      <w:r w:rsidR="005C1BFD" w:rsidRPr="00762814">
        <w:rPr>
          <w:rFonts w:cstheme="minorHAnsi"/>
          <w:sz w:val="24"/>
          <w:szCs w:val="24"/>
        </w:rPr>
        <w:t>w przypadku</w:t>
      </w:r>
      <w:r w:rsidR="005C1BFD" w:rsidRPr="00762814">
        <w:rPr>
          <w:rFonts w:cstheme="minorHAnsi"/>
          <w:b/>
          <w:bCs/>
          <w:sz w:val="24"/>
          <w:szCs w:val="24"/>
        </w:rPr>
        <w:t xml:space="preserve"> </w:t>
      </w:r>
      <w:r w:rsidR="005C1BFD" w:rsidRPr="00762814">
        <w:rPr>
          <w:rFonts w:cstheme="minorHAnsi"/>
          <w:sz w:val="24"/>
          <w:szCs w:val="24"/>
        </w:rPr>
        <w:t>p</w:t>
      </w:r>
      <w:r w:rsidR="009841F3" w:rsidRPr="00762814">
        <w:rPr>
          <w:rFonts w:cstheme="minorHAnsi"/>
          <w:sz w:val="24"/>
          <w:szCs w:val="24"/>
        </w:rPr>
        <w:t>omoc</w:t>
      </w:r>
      <w:r w:rsidR="005C1BFD" w:rsidRPr="00762814">
        <w:rPr>
          <w:rFonts w:cstheme="minorHAnsi"/>
          <w:sz w:val="24"/>
          <w:szCs w:val="24"/>
        </w:rPr>
        <w:t>y</w:t>
      </w:r>
      <w:r w:rsidR="009841F3" w:rsidRPr="00762814">
        <w:rPr>
          <w:rFonts w:cstheme="minorHAnsi"/>
          <w:sz w:val="24"/>
          <w:szCs w:val="24"/>
        </w:rPr>
        <w:t xml:space="preserve"> dla MŚP na wspieranie innowacyjności</w:t>
      </w:r>
      <w:bookmarkEnd w:id="206"/>
      <w:r w:rsidR="00E205AB" w:rsidRPr="00762814">
        <w:rPr>
          <w:rFonts w:cstheme="minorHAnsi"/>
          <w:sz w:val="24"/>
          <w:szCs w:val="24"/>
        </w:rPr>
        <w:t>;</w:t>
      </w:r>
    </w:p>
    <w:p w14:paraId="1C0293D2" w14:textId="5F09FD3A" w:rsidR="009841F3" w:rsidRPr="00762814" w:rsidRDefault="001A12B6" w:rsidP="00BF47B4">
      <w:pPr>
        <w:pStyle w:val="Akapitzlist"/>
        <w:numPr>
          <w:ilvl w:val="1"/>
          <w:numId w:val="12"/>
        </w:numPr>
        <w:spacing w:after="120" w:line="276" w:lineRule="auto"/>
        <w:ind w:left="1066" w:hanging="357"/>
        <w:rPr>
          <w:rFonts w:cstheme="minorHAnsi"/>
          <w:sz w:val="24"/>
          <w:szCs w:val="24"/>
        </w:rPr>
      </w:pPr>
      <w:r w:rsidRPr="00762814">
        <w:rPr>
          <w:rFonts w:cstheme="minorHAnsi"/>
          <w:b/>
          <w:bCs/>
          <w:sz w:val="24"/>
          <w:szCs w:val="24"/>
        </w:rPr>
        <w:t>50%</w:t>
      </w:r>
      <w:r w:rsidR="005C1BFD" w:rsidRPr="00762814">
        <w:rPr>
          <w:rFonts w:cstheme="minorHAnsi"/>
          <w:b/>
          <w:bCs/>
          <w:sz w:val="24"/>
          <w:szCs w:val="24"/>
        </w:rPr>
        <w:t xml:space="preserve"> </w:t>
      </w:r>
      <w:r w:rsidR="005C1BFD" w:rsidRPr="00762814">
        <w:rPr>
          <w:rFonts w:cstheme="minorHAnsi"/>
          <w:sz w:val="24"/>
          <w:szCs w:val="24"/>
        </w:rPr>
        <w:t>- w przypadku</w:t>
      </w:r>
      <w:r w:rsidR="005C1BFD" w:rsidRPr="00762814">
        <w:rPr>
          <w:rFonts w:cstheme="minorHAnsi"/>
          <w:b/>
          <w:bCs/>
          <w:sz w:val="24"/>
          <w:szCs w:val="24"/>
        </w:rPr>
        <w:t xml:space="preserve"> </w:t>
      </w:r>
      <w:r w:rsidR="005C1BFD" w:rsidRPr="00762814">
        <w:rPr>
          <w:rFonts w:cstheme="minorHAnsi"/>
          <w:sz w:val="24"/>
          <w:szCs w:val="24"/>
        </w:rPr>
        <w:t>p</w:t>
      </w:r>
      <w:r w:rsidR="009841F3" w:rsidRPr="00762814">
        <w:rPr>
          <w:rFonts w:cstheme="minorHAnsi"/>
          <w:sz w:val="24"/>
          <w:szCs w:val="24"/>
        </w:rPr>
        <w:t>omoc</w:t>
      </w:r>
      <w:r w:rsidR="005C1BFD" w:rsidRPr="00762814">
        <w:rPr>
          <w:rFonts w:cstheme="minorHAnsi"/>
          <w:sz w:val="24"/>
          <w:szCs w:val="24"/>
        </w:rPr>
        <w:t>y de</w:t>
      </w:r>
      <w:r w:rsidR="009841F3" w:rsidRPr="00762814">
        <w:rPr>
          <w:rFonts w:cstheme="minorHAnsi"/>
          <w:sz w:val="24"/>
          <w:szCs w:val="24"/>
        </w:rPr>
        <w:t xml:space="preserve"> minimis</w:t>
      </w:r>
      <w:r w:rsidR="00E205AB" w:rsidRPr="00762814">
        <w:rPr>
          <w:rFonts w:cstheme="minorHAnsi"/>
          <w:b/>
          <w:bCs/>
          <w:sz w:val="24"/>
          <w:szCs w:val="24"/>
        </w:rPr>
        <w:t>.</w:t>
      </w:r>
    </w:p>
    <w:p w14:paraId="0FD2CC15" w14:textId="4C068EDD" w:rsidR="00EC6B5C" w:rsidRPr="00930477" w:rsidRDefault="00A23B26" w:rsidP="00BF47B4">
      <w:pPr>
        <w:pStyle w:val="Nagwek3"/>
        <w:numPr>
          <w:ilvl w:val="1"/>
          <w:numId w:val="41"/>
        </w:numPr>
        <w:spacing w:before="360" w:line="276" w:lineRule="auto"/>
        <w:rPr>
          <w:rFonts w:asciiTheme="minorHAnsi" w:hAnsiTheme="minorHAnsi" w:cstheme="minorHAnsi"/>
          <w:color w:val="auto"/>
          <w:sz w:val="32"/>
          <w:szCs w:val="32"/>
        </w:rPr>
      </w:pPr>
      <w:bookmarkStart w:id="207" w:name="_Toc148716444"/>
      <w:r w:rsidRPr="00930477">
        <w:rPr>
          <w:rFonts w:asciiTheme="minorHAnsi" w:hAnsiTheme="minorHAnsi" w:cstheme="minorHAnsi"/>
          <w:color w:val="auto"/>
          <w:sz w:val="32"/>
          <w:szCs w:val="32"/>
        </w:rPr>
        <w:t xml:space="preserve">Kategorie </w:t>
      </w:r>
      <w:r w:rsidR="00DC79EB" w:rsidRPr="00930477">
        <w:rPr>
          <w:rFonts w:asciiTheme="minorHAnsi" w:hAnsiTheme="minorHAnsi" w:cstheme="minorHAnsi"/>
          <w:color w:val="auto"/>
          <w:sz w:val="32"/>
          <w:szCs w:val="32"/>
        </w:rPr>
        <w:t>wydatków</w:t>
      </w:r>
      <w:r w:rsidRPr="00930477">
        <w:rPr>
          <w:rFonts w:asciiTheme="minorHAnsi" w:hAnsiTheme="minorHAnsi" w:cstheme="minorHAnsi"/>
          <w:color w:val="auto"/>
          <w:sz w:val="32"/>
          <w:szCs w:val="32"/>
        </w:rPr>
        <w:t xml:space="preserve"> w ramach modułu </w:t>
      </w:r>
      <w:r w:rsidR="00D267CA" w:rsidRPr="00930477">
        <w:rPr>
          <w:rFonts w:asciiTheme="minorHAnsi" w:hAnsiTheme="minorHAnsi" w:cstheme="minorHAnsi"/>
          <w:color w:val="auto"/>
          <w:sz w:val="32"/>
          <w:szCs w:val="32"/>
        </w:rPr>
        <w:t>I</w:t>
      </w:r>
      <w:r w:rsidRPr="00930477">
        <w:rPr>
          <w:rFonts w:asciiTheme="minorHAnsi" w:hAnsiTheme="minorHAnsi" w:cstheme="minorHAnsi"/>
          <w:color w:val="auto"/>
          <w:sz w:val="32"/>
          <w:szCs w:val="32"/>
        </w:rPr>
        <w:t>nternacjonalizacja</w:t>
      </w:r>
      <w:bookmarkEnd w:id="207"/>
    </w:p>
    <w:p w14:paraId="70982381" w14:textId="5B395F78" w:rsidR="000E7A52" w:rsidRPr="00762814" w:rsidRDefault="000E7A52" w:rsidP="00762814">
      <w:pPr>
        <w:pStyle w:val="Tekstpodstawowywcity21"/>
        <w:spacing w:line="276" w:lineRule="auto"/>
        <w:ind w:left="0"/>
        <w:rPr>
          <w:rFonts w:asciiTheme="minorHAnsi" w:eastAsia="Arial" w:hAnsiTheme="minorHAnsi" w:cstheme="minorHAnsi"/>
          <w:lang w:eastAsia="en-US"/>
        </w:rPr>
      </w:pPr>
      <w:r w:rsidRPr="00762814">
        <w:rPr>
          <w:rFonts w:asciiTheme="minorHAnsi" w:eastAsia="Arial" w:hAnsiTheme="minorHAnsi" w:cstheme="minorHAnsi"/>
          <w:lang w:eastAsia="en-US"/>
        </w:rPr>
        <w:t xml:space="preserve">W przypadku realizacji w module działań dotyczących </w:t>
      </w:r>
      <w:r w:rsidRPr="00762814">
        <w:rPr>
          <w:rFonts w:asciiTheme="minorHAnsi" w:eastAsia="Arial" w:hAnsiTheme="minorHAnsi" w:cstheme="minorHAnsi"/>
          <w:b/>
          <w:bCs/>
          <w:lang w:eastAsia="en-US"/>
        </w:rPr>
        <w:t>umiędzynarodowienia produktów</w:t>
      </w:r>
      <w:r w:rsidRPr="00762814">
        <w:rPr>
          <w:rFonts w:asciiTheme="minorHAnsi" w:eastAsia="Arial" w:hAnsiTheme="minorHAnsi" w:cstheme="minorHAnsi"/>
          <w:lang w:eastAsia="en-US"/>
        </w:rPr>
        <w:t>, kwalifikowalnymi są kategorie wydatków wskazane w pkt 9.3.1-9.3.</w:t>
      </w:r>
      <w:r w:rsidR="005348CA" w:rsidRPr="00762814">
        <w:rPr>
          <w:rFonts w:asciiTheme="minorHAnsi" w:eastAsia="Arial" w:hAnsiTheme="minorHAnsi" w:cstheme="minorHAnsi"/>
          <w:lang w:eastAsia="en-US"/>
        </w:rPr>
        <w:t>8</w:t>
      </w:r>
      <w:r w:rsidRPr="00762814">
        <w:rPr>
          <w:rFonts w:asciiTheme="minorHAnsi" w:eastAsia="Arial" w:hAnsiTheme="minorHAnsi" w:cstheme="minorHAnsi"/>
          <w:lang w:eastAsia="en-US"/>
        </w:rPr>
        <w:t>.</w:t>
      </w:r>
    </w:p>
    <w:p w14:paraId="0141A98B" w14:textId="4098E926" w:rsidR="000E7A52" w:rsidRPr="00762814" w:rsidRDefault="000E7A52" w:rsidP="00762814">
      <w:pPr>
        <w:pStyle w:val="Tekstpodstawowywcity21"/>
        <w:spacing w:line="276" w:lineRule="auto"/>
        <w:ind w:left="0"/>
        <w:rPr>
          <w:rFonts w:asciiTheme="minorHAnsi" w:eastAsia="Arial" w:hAnsiTheme="minorHAnsi" w:cstheme="minorHAnsi"/>
          <w:lang w:eastAsia="en-US"/>
        </w:rPr>
      </w:pPr>
      <w:r w:rsidRPr="00762814">
        <w:rPr>
          <w:rFonts w:asciiTheme="minorHAnsi" w:eastAsia="Arial" w:hAnsiTheme="minorHAnsi" w:cstheme="minorHAnsi"/>
          <w:lang w:eastAsia="en-US"/>
        </w:rPr>
        <w:t xml:space="preserve">W przypadku realizacji w module działań dotyczących uzyskania ochrony </w:t>
      </w:r>
      <w:r w:rsidRPr="00762814">
        <w:rPr>
          <w:rFonts w:asciiTheme="minorHAnsi" w:eastAsia="Arial" w:hAnsiTheme="minorHAnsi" w:cstheme="minorHAnsi"/>
          <w:b/>
          <w:bCs/>
          <w:lang w:eastAsia="en-US"/>
        </w:rPr>
        <w:t>praw własności przemysłowej</w:t>
      </w:r>
      <w:r w:rsidRPr="00762814">
        <w:rPr>
          <w:rFonts w:asciiTheme="minorHAnsi" w:eastAsia="Arial" w:hAnsiTheme="minorHAnsi" w:cstheme="minorHAnsi"/>
          <w:lang w:eastAsia="en-US"/>
        </w:rPr>
        <w:t xml:space="preserve"> lub jego obrony w przypadku naruszenia, kwalifikowalnymi są kategorie wydatków wskazane w pkt 9.3.</w:t>
      </w:r>
      <w:r w:rsidR="005348CA" w:rsidRPr="00762814">
        <w:rPr>
          <w:rFonts w:asciiTheme="minorHAnsi" w:eastAsia="Arial" w:hAnsiTheme="minorHAnsi" w:cstheme="minorHAnsi"/>
          <w:lang w:eastAsia="en-US"/>
        </w:rPr>
        <w:t xml:space="preserve">9 </w:t>
      </w:r>
      <w:r w:rsidRPr="00762814">
        <w:rPr>
          <w:rFonts w:asciiTheme="minorHAnsi" w:eastAsia="Arial" w:hAnsiTheme="minorHAnsi" w:cstheme="minorHAnsi"/>
          <w:lang w:eastAsia="en-US"/>
        </w:rPr>
        <w:t>-</w:t>
      </w:r>
      <w:r w:rsidR="005348CA" w:rsidRPr="00762814">
        <w:rPr>
          <w:rFonts w:asciiTheme="minorHAnsi" w:eastAsia="Arial" w:hAnsiTheme="minorHAnsi" w:cstheme="minorHAnsi"/>
          <w:lang w:eastAsia="en-US"/>
        </w:rPr>
        <w:t xml:space="preserve"> </w:t>
      </w:r>
      <w:r w:rsidRPr="00762814">
        <w:rPr>
          <w:rFonts w:asciiTheme="minorHAnsi" w:eastAsia="Arial" w:hAnsiTheme="minorHAnsi" w:cstheme="minorHAnsi"/>
          <w:lang w:eastAsia="en-US"/>
        </w:rPr>
        <w:t>9.3</w:t>
      </w:r>
      <w:r w:rsidR="005348CA" w:rsidRPr="00762814">
        <w:rPr>
          <w:rFonts w:asciiTheme="minorHAnsi" w:eastAsia="Arial" w:hAnsiTheme="minorHAnsi" w:cstheme="minorHAnsi"/>
          <w:lang w:eastAsia="en-US"/>
        </w:rPr>
        <w:t>.11</w:t>
      </w:r>
      <w:r w:rsidRPr="00762814">
        <w:rPr>
          <w:rFonts w:asciiTheme="minorHAnsi" w:eastAsia="Arial" w:hAnsiTheme="minorHAnsi" w:cstheme="minorHAnsi"/>
          <w:lang w:eastAsia="en-US"/>
        </w:rPr>
        <w:t>.</w:t>
      </w:r>
    </w:p>
    <w:p w14:paraId="279C55C6" w14:textId="6AF31F40" w:rsidR="00EC6B5C" w:rsidRPr="00930477" w:rsidRDefault="007472C3"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08" w:name="_Toc148716445"/>
      <w:r w:rsidRPr="00930477">
        <w:rPr>
          <w:rFonts w:asciiTheme="minorHAnsi" w:hAnsiTheme="minorHAnsi" w:cstheme="minorHAnsi"/>
          <w:i w:val="0"/>
          <w:color w:val="auto"/>
          <w:sz w:val="28"/>
          <w:szCs w:val="28"/>
        </w:rPr>
        <w:t>Dostawy (inne niż środki trwałe) (</w:t>
      </w:r>
      <w:r w:rsidR="00A23B26" w:rsidRPr="00930477">
        <w:rPr>
          <w:rFonts w:asciiTheme="minorHAnsi" w:hAnsiTheme="minorHAnsi" w:cstheme="minorHAnsi"/>
          <w:i w:val="0"/>
          <w:color w:val="auto"/>
          <w:sz w:val="28"/>
          <w:szCs w:val="28"/>
        </w:rPr>
        <w:t>udział w targach</w:t>
      </w:r>
      <w:r w:rsidR="000F2AFA" w:rsidRPr="00930477">
        <w:rPr>
          <w:rFonts w:asciiTheme="minorHAnsi" w:hAnsiTheme="minorHAnsi" w:cstheme="minorHAnsi"/>
          <w:i w:val="0"/>
          <w:color w:val="auto"/>
          <w:sz w:val="28"/>
          <w:szCs w:val="28"/>
        </w:rPr>
        <w:t>)</w:t>
      </w:r>
      <w:bookmarkEnd w:id="208"/>
    </w:p>
    <w:p w14:paraId="09AF3E14" w14:textId="77777777" w:rsidR="00D61896" w:rsidRDefault="00D61896" w:rsidP="00762814">
      <w:pPr>
        <w:spacing w:after="120" w:line="276" w:lineRule="auto"/>
        <w:rPr>
          <w:rFonts w:cstheme="minorHAnsi"/>
          <w:sz w:val="24"/>
          <w:szCs w:val="24"/>
        </w:rPr>
      </w:pPr>
    </w:p>
    <w:p w14:paraId="33DBCF16" w14:textId="10AAF615" w:rsidR="00812D82" w:rsidRPr="00762814" w:rsidRDefault="00812D82" w:rsidP="00762814">
      <w:pPr>
        <w:spacing w:after="120" w:line="276" w:lineRule="auto"/>
        <w:rPr>
          <w:rFonts w:cstheme="minorHAnsi"/>
          <w:sz w:val="24"/>
          <w:szCs w:val="24"/>
        </w:rPr>
      </w:pPr>
      <w:r w:rsidRPr="00762814">
        <w:rPr>
          <w:rFonts w:cstheme="minorHAnsi"/>
          <w:sz w:val="24"/>
          <w:szCs w:val="24"/>
        </w:rPr>
        <w:t xml:space="preserve">W ramach kategorii </w:t>
      </w:r>
      <w:r w:rsidR="000B17FE" w:rsidRPr="00762814">
        <w:rPr>
          <w:rFonts w:cstheme="minorHAnsi"/>
          <w:sz w:val="24"/>
          <w:szCs w:val="24"/>
        </w:rPr>
        <w:t xml:space="preserve">kwalifikowalne </w:t>
      </w:r>
      <w:r w:rsidRPr="00762814">
        <w:rPr>
          <w:rFonts w:cstheme="minorHAnsi"/>
          <w:sz w:val="24"/>
          <w:szCs w:val="24"/>
        </w:rPr>
        <w:t xml:space="preserve">są koszty organizacji stoiska wystawowego podczas udziału Wnioskodawcy w danych targach, imprezach targowo-konferencyjnych, </w:t>
      </w:r>
      <w:r w:rsidR="00C45FC4" w:rsidRPr="00762814">
        <w:rPr>
          <w:rFonts w:cstheme="minorHAnsi"/>
          <w:sz w:val="24"/>
          <w:szCs w:val="24"/>
        </w:rPr>
        <w:t>tj.</w:t>
      </w:r>
      <w:r w:rsidR="006A12DC" w:rsidRPr="00762814">
        <w:rPr>
          <w:rFonts w:cstheme="minorHAnsi"/>
          <w:sz w:val="24"/>
          <w:szCs w:val="24"/>
        </w:rPr>
        <w:t xml:space="preserve"> </w:t>
      </w:r>
      <w:r w:rsidRPr="00762814">
        <w:rPr>
          <w:rFonts w:cstheme="minorHAnsi"/>
          <w:sz w:val="24"/>
          <w:szCs w:val="24"/>
        </w:rPr>
        <w:t>zakup gotowych, zindywidualizowanych elementów zabudowy stoiska wystawowego oraz nabycia lub wytworzenia oraz instalacji na stoisku wystawienniczym i widocznego elementu dekoracyjnego uwzględniającego założenia wizualizacji</w:t>
      </w:r>
      <w:r w:rsidR="006A12DC" w:rsidRPr="00762814">
        <w:rPr>
          <w:rFonts w:cstheme="minorHAnsi"/>
          <w:sz w:val="24"/>
          <w:szCs w:val="24"/>
        </w:rPr>
        <w:t>.</w:t>
      </w:r>
      <w:r w:rsidRPr="00762814">
        <w:rPr>
          <w:rFonts w:cstheme="minorHAnsi"/>
          <w:sz w:val="24"/>
          <w:szCs w:val="24"/>
        </w:rPr>
        <w:t xml:space="preserve"> </w:t>
      </w:r>
    </w:p>
    <w:p w14:paraId="76237E24" w14:textId="77777777" w:rsidR="00DD6E27" w:rsidRPr="00762814" w:rsidRDefault="00DD6E27" w:rsidP="00762814">
      <w:pPr>
        <w:spacing w:after="120" w:line="276" w:lineRule="auto"/>
        <w:rPr>
          <w:rFonts w:cstheme="minorHAnsi"/>
          <w:b/>
          <w:bCs/>
          <w:sz w:val="24"/>
          <w:szCs w:val="24"/>
        </w:rPr>
      </w:pPr>
      <w:r w:rsidRPr="00762814">
        <w:rPr>
          <w:rFonts w:cstheme="minorHAnsi"/>
          <w:b/>
          <w:bCs/>
          <w:sz w:val="24"/>
          <w:szCs w:val="24"/>
        </w:rPr>
        <w:t xml:space="preserve">Dla MŚP koszty te są objęte pomocą z art. 19 rozporządzenia Komisji (UE) nr  651/2014, natomiast dla dużych przedsiębiorców - pomocą de minimis zgodnie z Rozporządzeniem 1407/2013. </w:t>
      </w:r>
    </w:p>
    <w:p w14:paraId="1990E792" w14:textId="24C5F98C" w:rsidR="00EC6B5C" w:rsidRPr="00930477" w:rsidRDefault="000F2AFA"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09" w:name="_Toc148716446"/>
      <w:r w:rsidRPr="00930477">
        <w:rPr>
          <w:rFonts w:asciiTheme="minorHAnsi" w:hAnsiTheme="minorHAnsi" w:cstheme="minorHAnsi"/>
          <w:i w:val="0"/>
          <w:color w:val="auto"/>
          <w:sz w:val="28"/>
          <w:szCs w:val="28"/>
        </w:rPr>
        <w:t>Usługi zewnętrzne (</w:t>
      </w:r>
      <w:r w:rsidR="00812D82" w:rsidRPr="00930477">
        <w:rPr>
          <w:rFonts w:asciiTheme="minorHAnsi" w:hAnsiTheme="minorHAnsi" w:cstheme="minorHAnsi"/>
          <w:i w:val="0"/>
          <w:color w:val="auto"/>
          <w:sz w:val="28"/>
          <w:szCs w:val="28"/>
        </w:rPr>
        <w:t>udział w targach</w:t>
      </w:r>
      <w:r w:rsidRPr="00930477">
        <w:rPr>
          <w:rFonts w:asciiTheme="minorHAnsi" w:hAnsiTheme="minorHAnsi" w:cstheme="minorHAnsi"/>
          <w:i w:val="0"/>
          <w:color w:val="auto"/>
          <w:sz w:val="28"/>
          <w:szCs w:val="28"/>
        </w:rPr>
        <w:t>)</w:t>
      </w:r>
      <w:bookmarkEnd w:id="209"/>
      <w:r w:rsidR="00812D82" w:rsidRPr="00930477">
        <w:rPr>
          <w:rFonts w:asciiTheme="minorHAnsi" w:hAnsiTheme="minorHAnsi" w:cstheme="minorHAnsi"/>
          <w:i w:val="0"/>
          <w:color w:val="auto"/>
          <w:sz w:val="28"/>
          <w:szCs w:val="28"/>
        </w:rPr>
        <w:t xml:space="preserve"> </w:t>
      </w:r>
    </w:p>
    <w:p w14:paraId="070CEE7A" w14:textId="22ED2C75" w:rsidR="00812D82" w:rsidRPr="00762814" w:rsidRDefault="00812D82" w:rsidP="00762814">
      <w:pPr>
        <w:spacing w:after="120" w:line="276" w:lineRule="auto"/>
        <w:rPr>
          <w:rFonts w:cstheme="minorHAnsi"/>
          <w:sz w:val="24"/>
          <w:szCs w:val="24"/>
        </w:rPr>
      </w:pPr>
      <w:r w:rsidRPr="00762814">
        <w:rPr>
          <w:rFonts w:cstheme="minorHAnsi"/>
          <w:sz w:val="24"/>
          <w:szCs w:val="24"/>
        </w:rPr>
        <w:t xml:space="preserve">W ramach kategorii </w:t>
      </w:r>
      <w:r w:rsidR="000B17FE" w:rsidRPr="00762814">
        <w:rPr>
          <w:rFonts w:cstheme="minorHAnsi"/>
          <w:sz w:val="24"/>
          <w:szCs w:val="24"/>
        </w:rPr>
        <w:t xml:space="preserve">kwalifikowalne </w:t>
      </w:r>
      <w:r w:rsidRPr="00762814">
        <w:rPr>
          <w:rFonts w:cstheme="minorHAnsi"/>
          <w:sz w:val="24"/>
          <w:szCs w:val="24"/>
        </w:rPr>
        <w:t>są koszty organizacji stoiska wystawowego podczas udziału Wnioskodawcy w danych targach, imprezach targowo-konferencyjnych, takie jak:</w:t>
      </w:r>
    </w:p>
    <w:p w14:paraId="03DDBF0E" w14:textId="76420F80" w:rsidR="00812D82" w:rsidRPr="00762814" w:rsidRDefault="00812D82" w:rsidP="00BF47B4">
      <w:pPr>
        <w:pStyle w:val="Akapitzlist"/>
        <w:numPr>
          <w:ilvl w:val="1"/>
          <w:numId w:val="13"/>
        </w:numPr>
        <w:spacing w:after="120" w:line="276" w:lineRule="auto"/>
        <w:ind w:left="426" w:hanging="426"/>
        <w:rPr>
          <w:rFonts w:cstheme="minorHAnsi"/>
          <w:sz w:val="24"/>
          <w:szCs w:val="24"/>
        </w:rPr>
      </w:pPr>
      <w:r w:rsidRPr="00762814">
        <w:rPr>
          <w:rFonts w:cstheme="minorHAnsi"/>
          <w:sz w:val="24"/>
          <w:szCs w:val="24"/>
        </w:rPr>
        <w:t xml:space="preserve">koszty transportu i ubezpieczenia osób i eksponatów w związku z udziałem w targach lub imprezach targowo-konferencyjnych, tj. koszty: zakupu usług w zakresie transportu </w:t>
      </w:r>
      <w:r w:rsidR="00EC6B5C" w:rsidRPr="00762814">
        <w:rPr>
          <w:rFonts w:cstheme="minorHAnsi"/>
          <w:sz w:val="24"/>
          <w:szCs w:val="24"/>
        </w:rPr>
        <w:br/>
      </w:r>
      <w:r w:rsidRPr="00762814">
        <w:rPr>
          <w:rFonts w:cstheme="minorHAnsi"/>
          <w:sz w:val="24"/>
          <w:szCs w:val="24"/>
        </w:rPr>
        <w:t>i ubezpieczenia za granicą oraz na terytorium RP osób oraz eksponatów, odprawy celnej i spedycji oraz bagażu i nadbagażu, inne niż uwzględnione w kategorii kosztów</w:t>
      </w:r>
      <w:r w:rsidR="00DF7D72" w:rsidRPr="00762814">
        <w:rPr>
          <w:rFonts w:cstheme="minorHAnsi"/>
          <w:sz w:val="24"/>
          <w:szCs w:val="24"/>
        </w:rPr>
        <w:t xml:space="preserve"> w pozycji 9.3.3</w:t>
      </w:r>
      <w:r w:rsidR="00EC6B5C" w:rsidRPr="00762814">
        <w:rPr>
          <w:rFonts w:cstheme="minorHAnsi"/>
          <w:sz w:val="24"/>
          <w:szCs w:val="24"/>
        </w:rPr>
        <w:t>;</w:t>
      </w:r>
      <w:r w:rsidRPr="00762814">
        <w:rPr>
          <w:rFonts w:cstheme="minorHAnsi"/>
          <w:sz w:val="24"/>
          <w:szCs w:val="24"/>
        </w:rPr>
        <w:t xml:space="preserve"> </w:t>
      </w:r>
    </w:p>
    <w:p w14:paraId="4BD5FEE0" w14:textId="01180430" w:rsidR="00841A35" w:rsidRPr="00762814" w:rsidRDefault="00812D82" w:rsidP="00BF47B4">
      <w:pPr>
        <w:pStyle w:val="Akapitzlist"/>
        <w:numPr>
          <w:ilvl w:val="1"/>
          <w:numId w:val="13"/>
        </w:numPr>
        <w:spacing w:after="120" w:line="276" w:lineRule="auto"/>
        <w:contextualSpacing w:val="0"/>
        <w:rPr>
          <w:rFonts w:cstheme="minorHAnsi"/>
          <w:sz w:val="24"/>
          <w:szCs w:val="24"/>
        </w:rPr>
      </w:pPr>
      <w:r w:rsidRPr="00762814">
        <w:rPr>
          <w:rFonts w:cstheme="minorHAnsi"/>
          <w:sz w:val="24"/>
          <w:szCs w:val="24"/>
        </w:rPr>
        <w:t>koszt</w:t>
      </w:r>
      <w:r w:rsidR="00D22F1E" w:rsidRPr="00762814">
        <w:rPr>
          <w:rFonts w:cstheme="minorHAnsi"/>
          <w:sz w:val="24"/>
          <w:szCs w:val="24"/>
        </w:rPr>
        <w:t>y</w:t>
      </w:r>
      <w:r w:rsidRPr="00762814">
        <w:rPr>
          <w:rFonts w:cstheme="minorHAnsi"/>
          <w:sz w:val="24"/>
          <w:szCs w:val="24"/>
        </w:rPr>
        <w:t xml:space="preserve"> wynajmu i obsługi stoiska wystawowego podczas udziału </w:t>
      </w:r>
      <w:r w:rsidR="00B340CB" w:rsidRPr="00762814">
        <w:rPr>
          <w:rFonts w:cstheme="minorHAnsi"/>
          <w:sz w:val="24"/>
          <w:szCs w:val="24"/>
        </w:rPr>
        <w:t>W</w:t>
      </w:r>
      <w:r w:rsidRPr="00762814">
        <w:rPr>
          <w:rFonts w:cstheme="minorHAnsi"/>
          <w:sz w:val="24"/>
          <w:szCs w:val="24"/>
        </w:rPr>
        <w:t xml:space="preserve">nioskodawcy </w:t>
      </w:r>
      <w:r w:rsidR="00EC6B5C" w:rsidRPr="00762814">
        <w:rPr>
          <w:rFonts w:cstheme="minorHAnsi"/>
          <w:sz w:val="24"/>
          <w:szCs w:val="24"/>
        </w:rPr>
        <w:br/>
      </w:r>
      <w:r w:rsidRPr="00762814">
        <w:rPr>
          <w:rFonts w:cstheme="minorHAnsi"/>
          <w:sz w:val="24"/>
          <w:szCs w:val="24"/>
        </w:rPr>
        <w:t>w targach lub imprez</w:t>
      </w:r>
      <w:r w:rsidR="000B5326" w:rsidRPr="00762814">
        <w:rPr>
          <w:rFonts w:cstheme="minorHAnsi"/>
          <w:sz w:val="24"/>
          <w:szCs w:val="24"/>
        </w:rPr>
        <w:t xml:space="preserve">ach </w:t>
      </w:r>
      <w:r w:rsidR="00573FE6" w:rsidRPr="00762814">
        <w:rPr>
          <w:rFonts w:cstheme="minorHAnsi"/>
          <w:sz w:val="24"/>
          <w:szCs w:val="24"/>
        </w:rPr>
        <w:t>targowo-konferencyjn</w:t>
      </w:r>
      <w:r w:rsidR="000B5326" w:rsidRPr="00762814">
        <w:rPr>
          <w:rFonts w:cstheme="minorHAnsi"/>
          <w:sz w:val="24"/>
          <w:szCs w:val="24"/>
        </w:rPr>
        <w:t>ych</w:t>
      </w:r>
      <w:r w:rsidR="00EC6B5C" w:rsidRPr="00762814">
        <w:rPr>
          <w:rFonts w:cstheme="minorHAnsi"/>
          <w:sz w:val="24"/>
          <w:szCs w:val="24"/>
        </w:rPr>
        <w:t>;</w:t>
      </w:r>
    </w:p>
    <w:p w14:paraId="245036BB" w14:textId="4ED2FC2F" w:rsidR="00812D82" w:rsidRPr="00762814" w:rsidRDefault="00841A35" w:rsidP="00BF47B4">
      <w:pPr>
        <w:pStyle w:val="Akapitzlist"/>
        <w:numPr>
          <w:ilvl w:val="1"/>
          <w:numId w:val="13"/>
        </w:numPr>
        <w:spacing w:after="120" w:line="276" w:lineRule="auto"/>
        <w:contextualSpacing w:val="0"/>
        <w:rPr>
          <w:rFonts w:cstheme="minorHAnsi"/>
          <w:sz w:val="24"/>
          <w:szCs w:val="24"/>
        </w:rPr>
      </w:pPr>
      <w:r w:rsidRPr="00762814">
        <w:rPr>
          <w:rFonts w:cstheme="minorHAnsi"/>
          <w:sz w:val="24"/>
          <w:szCs w:val="24"/>
        </w:rPr>
        <w:t>koszty utylizacji odpadów związanych z utylizacją stoiska wystawowego</w:t>
      </w:r>
      <w:r w:rsidR="000E537E" w:rsidRPr="00762814">
        <w:rPr>
          <w:rFonts w:cstheme="minorHAnsi"/>
          <w:sz w:val="24"/>
          <w:szCs w:val="24"/>
        </w:rPr>
        <w:t>.</w:t>
      </w:r>
      <w:r w:rsidR="00812D82" w:rsidRPr="00762814">
        <w:rPr>
          <w:rFonts w:cstheme="minorHAnsi"/>
          <w:sz w:val="24"/>
          <w:szCs w:val="24"/>
        </w:rPr>
        <w:t xml:space="preserve"> </w:t>
      </w:r>
    </w:p>
    <w:p w14:paraId="2AE4A0E7" w14:textId="7ADD5842" w:rsidR="00DD6E27" w:rsidRPr="00762814" w:rsidRDefault="00DD6E27" w:rsidP="00762814">
      <w:pPr>
        <w:spacing w:after="120" w:line="276" w:lineRule="auto"/>
        <w:rPr>
          <w:rFonts w:cstheme="minorHAnsi"/>
          <w:b/>
          <w:bCs/>
          <w:sz w:val="24"/>
          <w:szCs w:val="24"/>
        </w:rPr>
      </w:pPr>
      <w:r w:rsidRPr="00762814">
        <w:rPr>
          <w:rFonts w:cstheme="minorHAnsi"/>
          <w:b/>
          <w:bCs/>
          <w:sz w:val="24"/>
          <w:szCs w:val="24"/>
        </w:rPr>
        <w:t xml:space="preserve">Dla MŚP koszty te są objęte pomocą z art. 19 rozporządzenia Komisji (UE) nr 651/2014, natomiast dla dużych przedsiębiorców - pomocą de minimis zgodnie </w:t>
      </w:r>
      <w:r w:rsidR="00300D63" w:rsidRPr="00762814">
        <w:rPr>
          <w:rFonts w:cstheme="minorHAnsi"/>
          <w:b/>
          <w:bCs/>
          <w:sz w:val="24"/>
          <w:szCs w:val="24"/>
        </w:rPr>
        <w:br/>
      </w:r>
      <w:r w:rsidRPr="00762814">
        <w:rPr>
          <w:rFonts w:cstheme="minorHAnsi"/>
          <w:b/>
          <w:bCs/>
          <w:sz w:val="24"/>
          <w:szCs w:val="24"/>
        </w:rPr>
        <w:t xml:space="preserve">z Rozporządzeniem 1407/2013. </w:t>
      </w:r>
    </w:p>
    <w:p w14:paraId="0A3793B7" w14:textId="46FC1A11" w:rsidR="00EC6B5C" w:rsidRPr="00930477" w:rsidRDefault="00573FE6"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10" w:name="_Toc148716447"/>
      <w:r w:rsidRPr="00930477">
        <w:rPr>
          <w:rFonts w:asciiTheme="minorHAnsi" w:hAnsiTheme="minorHAnsi" w:cstheme="minorHAnsi"/>
          <w:i w:val="0"/>
          <w:color w:val="auto"/>
          <w:sz w:val="28"/>
          <w:szCs w:val="28"/>
        </w:rPr>
        <w:t>Koszty wsparcia uczestników projektu (</w:t>
      </w:r>
      <w:r w:rsidR="00812D82" w:rsidRPr="00930477">
        <w:rPr>
          <w:rFonts w:asciiTheme="minorHAnsi" w:hAnsiTheme="minorHAnsi" w:cstheme="minorHAnsi"/>
          <w:i w:val="0"/>
          <w:color w:val="auto"/>
          <w:sz w:val="28"/>
          <w:szCs w:val="28"/>
        </w:rPr>
        <w:t>udział w targach</w:t>
      </w:r>
      <w:r w:rsidRPr="00930477">
        <w:rPr>
          <w:rFonts w:asciiTheme="minorHAnsi" w:hAnsiTheme="minorHAnsi" w:cstheme="minorHAnsi"/>
          <w:i w:val="0"/>
          <w:color w:val="auto"/>
          <w:sz w:val="28"/>
          <w:szCs w:val="28"/>
        </w:rPr>
        <w:t>)</w:t>
      </w:r>
      <w:bookmarkEnd w:id="210"/>
    </w:p>
    <w:p w14:paraId="56D6B0FE" w14:textId="0915D036" w:rsidR="00D11C7B" w:rsidRPr="00762814" w:rsidRDefault="00572174" w:rsidP="00762814">
      <w:pPr>
        <w:spacing w:line="276" w:lineRule="auto"/>
        <w:rPr>
          <w:rFonts w:cstheme="minorHAnsi"/>
          <w:sz w:val="24"/>
          <w:szCs w:val="24"/>
        </w:rPr>
      </w:pPr>
      <w:r w:rsidRPr="00762814">
        <w:rPr>
          <w:rFonts w:cstheme="minorHAnsi"/>
          <w:sz w:val="24"/>
          <w:szCs w:val="24"/>
        </w:rPr>
        <w:t xml:space="preserve">W ramach kategorii </w:t>
      </w:r>
      <w:r w:rsidR="000B17FE" w:rsidRPr="00762814">
        <w:rPr>
          <w:rFonts w:cstheme="minorHAnsi"/>
          <w:sz w:val="24"/>
          <w:szCs w:val="24"/>
        </w:rPr>
        <w:t xml:space="preserve">kwalifikowalne </w:t>
      </w:r>
      <w:r w:rsidRPr="00762814">
        <w:rPr>
          <w:rFonts w:cstheme="minorHAnsi"/>
          <w:sz w:val="24"/>
          <w:szCs w:val="24"/>
        </w:rPr>
        <w:t>są koszty</w:t>
      </w:r>
      <w:r w:rsidR="00B9569C" w:rsidRPr="00762814">
        <w:rPr>
          <w:rFonts w:cstheme="minorHAnsi"/>
          <w:sz w:val="24"/>
          <w:szCs w:val="24"/>
        </w:rPr>
        <w:t xml:space="preserve"> </w:t>
      </w:r>
      <w:r w:rsidR="00A23B26" w:rsidRPr="00762814">
        <w:rPr>
          <w:rFonts w:cstheme="minorHAnsi"/>
          <w:sz w:val="24"/>
          <w:szCs w:val="24"/>
        </w:rPr>
        <w:t xml:space="preserve">podróży służbowych pracowników </w:t>
      </w:r>
      <w:r w:rsidR="00B9569C" w:rsidRPr="00762814">
        <w:rPr>
          <w:rFonts w:cstheme="minorHAnsi"/>
          <w:sz w:val="24"/>
          <w:szCs w:val="24"/>
        </w:rPr>
        <w:t>W</w:t>
      </w:r>
      <w:r w:rsidR="00A23B26" w:rsidRPr="00762814">
        <w:rPr>
          <w:rFonts w:cstheme="minorHAnsi"/>
          <w:sz w:val="24"/>
          <w:szCs w:val="24"/>
        </w:rPr>
        <w:t>nioskodawcy uczestnicząc</w:t>
      </w:r>
      <w:r w:rsidRPr="00762814">
        <w:rPr>
          <w:rFonts w:cstheme="minorHAnsi"/>
          <w:sz w:val="24"/>
          <w:szCs w:val="24"/>
        </w:rPr>
        <w:t>ych</w:t>
      </w:r>
      <w:r w:rsidR="00A23B26" w:rsidRPr="00762814">
        <w:rPr>
          <w:rFonts w:cstheme="minorHAnsi"/>
          <w:sz w:val="24"/>
          <w:szCs w:val="24"/>
        </w:rPr>
        <w:t xml:space="preserve"> w targach</w:t>
      </w:r>
      <w:r w:rsidR="000B1C6B" w:rsidRPr="00762814">
        <w:rPr>
          <w:rFonts w:cstheme="minorHAnsi"/>
          <w:sz w:val="24"/>
          <w:szCs w:val="24"/>
        </w:rPr>
        <w:t>,</w:t>
      </w:r>
      <w:r w:rsidR="00A23B26" w:rsidRPr="00762814">
        <w:rPr>
          <w:rFonts w:cstheme="minorHAnsi"/>
          <w:sz w:val="24"/>
          <w:szCs w:val="24"/>
        </w:rPr>
        <w:t xml:space="preserve"> imprezach targowo-konferencyjnych</w:t>
      </w:r>
      <w:r w:rsidRPr="00762814">
        <w:rPr>
          <w:rFonts w:cstheme="minorHAnsi"/>
          <w:sz w:val="24"/>
          <w:szCs w:val="24"/>
        </w:rPr>
        <w:t>.</w:t>
      </w:r>
    </w:p>
    <w:p w14:paraId="4440994A" w14:textId="4A5563D2" w:rsidR="009D43B5" w:rsidRPr="00762814" w:rsidRDefault="00E60B5F" w:rsidP="00762814">
      <w:pPr>
        <w:spacing w:line="276" w:lineRule="auto"/>
        <w:rPr>
          <w:rFonts w:cstheme="minorHAnsi"/>
          <w:sz w:val="24"/>
          <w:szCs w:val="24"/>
        </w:rPr>
      </w:pPr>
      <w:r w:rsidRPr="00762814">
        <w:rPr>
          <w:rFonts w:cstheme="minorHAnsi"/>
          <w:sz w:val="24"/>
          <w:szCs w:val="24"/>
          <w:u w:val="single"/>
        </w:rPr>
        <w:t xml:space="preserve">Koszty będą rozliczane </w:t>
      </w:r>
      <w:r w:rsidR="00A83791" w:rsidRPr="00762814">
        <w:rPr>
          <w:rFonts w:cstheme="minorHAnsi"/>
          <w:sz w:val="24"/>
          <w:szCs w:val="24"/>
          <w:u w:val="single"/>
        </w:rPr>
        <w:t xml:space="preserve">na podstawie </w:t>
      </w:r>
      <w:r w:rsidRPr="00762814">
        <w:rPr>
          <w:rFonts w:cstheme="minorHAnsi"/>
          <w:sz w:val="24"/>
          <w:szCs w:val="24"/>
          <w:u w:val="single"/>
        </w:rPr>
        <w:t>stawek jednostkowych</w:t>
      </w:r>
      <w:r w:rsidR="00121646" w:rsidRPr="00762814">
        <w:rPr>
          <w:rFonts w:cstheme="minorHAnsi"/>
          <w:sz w:val="24"/>
          <w:szCs w:val="24"/>
          <w:u w:val="single"/>
        </w:rPr>
        <w:t xml:space="preserve"> wskazanych pkt 9.3.4</w:t>
      </w:r>
      <w:r w:rsidR="00BC551C" w:rsidRPr="00762814">
        <w:rPr>
          <w:rFonts w:cstheme="minorHAnsi"/>
          <w:sz w:val="24"/>
          <w:szCs w:val="24"/>
          <w:u w:val="single"/>
        </w:rPr>
        <w:t>.</w:t>
      </w:r>
      <w:r w:rsidR="00BB53FA" w:rsidRPr="00762814">
        <w:rPr>
          <w:rFonts w:cstheme="minorHAnsi"/>
          <w:sz w:val="24"/>
          <w:szCs w:val="24"/>
          <w:u w:val="single"/>
        </w:rPr>
        <w:t xml:space="preserve"> </w:t>
      </w:r>
    </w:p>
    <w:p w14:paraId="0D0641D1" w14:textId="4AA1CEAE" w:rsidR="00AE0145" w:rsidRPr="00762814" w:rsidRDefault="009E42FB" w:rsidP="00762814">
      <w:pPr>
        <w:spacing w:after="120" w:line="276" w:lineRule="auto"/>
        <w:rPr>
          <w:rFonts w:cstheme="minorHAnsi"/>
          <w:b/>
          <w:bCs/>
          <w:sz w:val="24"/>
          <w:szCs w:val="24"/>
        </w:rPr>
      </w:pPr>
      <w:r w:rsidRPr="00762814">
        <w:rPr>
          <w:rFonts w:cstheme="minorHAnsi"/>
          <w:b/>
          <w:bCs/>
          <w:sz w:val="24"/>
          <w:szCs w:val="24"/>
        </w:rPr>
        <w:t xml:space="preserve">Dla MŚP koszty te są objęte </w:t>
      </w:r>
      <w:r w:rsidR="00AE0145" w:rsidRPr="00762814">
        <w:rPr>
          <w:rFonts w:cstheme="minorHAnsi"/>
          <w:b/>
          <w:bCs/>
          <w:sz w:val="24"/>
          <w:szCs w:val="24"/>
        </w:rPr>
        <w:t>pomoc</w:t>
      </w:r>
      <w:r w:rsidRPr="00762814">
        <w:rPr>
          <w:rFonts w:cstheme="minorHAnsi"/>
          <w:b/>
          <w:bCs/>
          <w:sz w:val="24"/>
          <w:szCs w:val="24"/>
        </w:rPr>
        <w:t>ą</w:t>
      </w:r>
      <w:r w:rsidR="00AE0145" w:rsidRPr="00762814">
        <w:rPr>
          <w:rFonts w:cstheme="minorHAnsi"/>
          <w:b/>
          <w:bCs/>
          <w:sz w:val="24"/>
          <w:szCs w:val="24"/>
        </w:rPr>
        <w:t xml:space="preserve"> z art. 19 </w:t>
      </w:r>
      <w:r w:rsidR="0032788F" w:rsidRPr="00762814">
        <w:rPr>
          <w:rFonts w:cstheme="minorHAnsi"/>
          <w:b/>
          <w:bCs/>
          <w:sz w:val="24"/>
          <w:szCs w:val="24"/>
        </w:rPr>
        <w:t>r</w:t>
      </w:r>
      <w:r w:rsidR="000C178D" w:rsidRPr="00762814">
        <w:rPr>
          <w:rFonts w:cstheme="minorHAnsi"/>
          <w:b/>
          <w:bCs/>
          <w:sz w:val="24"/>
          <w:szCs w:val="24"/>
        </w:rPr>
        <w:t>ozporządzenia</w:t>
      </w:r>
      <w:r w:rsidR="0032788F" w:rsidRPr="00762814">
        <w:rPr>
          <w:rFonts w:cstheme="minorHAnsi"/>
          <w:b/>
          <w:bCs/>
          <w:sz w:val="24"/>
          <w:szCs w:val="24"/>
        </w:rPr>
        <w:t xml:space="preserve"> Komisji (UE) nr </w:t>
      </w:r>
      <w:r w:rsidR="000C178D" w:rsidRPr="00762814">
        <w:rPr>
          <w:rFonts w:cstheme="minorHAnsi"/>
          <w:b/>
          <w:bCs/>
          <w:sz w:val="24"/>
          <w:szCs w:val="24"/>
        </w:rPr>
        <w:t>651/2014</w:t>
      </w:r>
      <w:r w:rsidR="00AE0145" w:rsidRPr="00762814">
        <w:rPr>
          <w:rFonts w:cstheme="minorHAnsi"/>
          <w:b/>
          <w:bCs/>
          <w:sz w:val="24"/>
          <w:szCs w:val="24"/>
        </w:rPr>
        <w:t xml:space="preserve">, natomiast dla dużych przedsiębiorców </w:t>
      </w:r>
      <w:r w:rsidRPr="00762814">
        <w:rPr>
          <w:rFonts w:cstheme="minorHAnsi"/>
          <w:b/>
          <w:bCs/>
          <w:sz w:val="24"/>
          <w:szCs w:val="24"/>
        </w:rPr>
        <w:t xml:space="preserve">- </w:t>
      </w:r>
      <w:r w:rsidR="00AE0145" w:rsidRPr="00762814">
        <w:rPr>
          <w:rFonts w:cstheme="minorHAnsi"/>
          <w:b/>
          <w:bCs/>
          <w:sz w:val="24"/>
          <w:szCs w:val="24"/>
        </w:rPr>
        <w:t>pomoc</w:t>
      </w:r>
      <w:r w:rsidRPr="00762814">
        <w:rPr>
          <w:rFonts w:cstheme="minorHAnsi"/>
          <w:b/>
          <w:bCs/>
          <w:sz w:val="24"/>
          <w:szCs w:val="24"/>
        </w:rPr>
        <w:t>ą</w:t>
      </w:r>
      <w:r w:rsidR="00AE0145" w:rsidRPr="00762814">
        <w:rPr>
          <w:rFonts w:cstheme="minorHAnsi"/>
          <w:b/>
          <w:bCs/>
          <w:sz w:val="24"/>
          <w:szCs w:val="24"/>
        </w:rPr>
        <w:t xml:space="preserve"> de minimis zgodnie z </w:t>
      </w:r>
      <w:r w:rsidR="00E82358" w:rsidRPr="00762814">
        <w:rPr>
          <w:rFonts w:cstheme="minorHAnsi"/>
          <w:b/>
          <w:bCs/>
          <w:sz w:val="24"/>
          <w:szCs w:val="24"/>
        </w:rPr>
        <w:t>R</w:t>
      </w:r>
      <w:r w:rsidR="00AE0145" w:rsidRPr="00762814">
        <w:rPr>
          <w:rFonts w:cstheme="minorHAnsi"/>
          <w:b/>
          <w:bCs/>
          <w:sz w:val="24"/>
          <w:szCs w:val="24"/>
        </w:rPr>
        <w:t xml:space="preserve">ozporządzeniem 1407/2013. </w:t>
      </w:r>
    </w:p>
    <w:p w14:paraId="1FE1A2CD" w14:textId="188FDAD5" w:rsidR="004C1274" w:rsidRPr="00930477" w:rsidRDefault="00D22F1E"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11" w:name="_Toc148716448"/>
      <w:r w:rsidRPr="00930477">
        <w:rPr>
          <w:rFonts w:asciiTheme="minorHAnsi" w:hAnsiTheme="minorHAnsi" w:cstheme="minorHAnsi"/>
          <w:i w:val="0"/>
          <w:color w:val="auto"/>
          <w:sz w:val="28"/>
          <w:szCs w:val="28"/>
        </w:rPr>
        <w:t xml:space="preserve">Koszty wsparcia uczestników projektu </w:t>
      </w:r>
      <w:r w:rsidR="00E43087" w:rsidRPr="00930477">
        <w:rPr>
          <w:rFonts w:asciiTheme="minorHAnsi" w:hAnsiTheme="minorHAnsi" w:cstheme="minorHAnsi"/>
          <w:i w:val="0"/>
          <w:color w:val="auto"/>
          <w:sz w:val="28"/>
          <w:szCs w:val="28"/>
        </w:rPr>
        <w:t>(</w:t>
      </w:r>
      <w:r w:rsidR="004C1274" w:rsidRPr="00930477">
        <w:rPr>
          <w:rFonts w:asciiTheme="minorHAnsi" w:hAnsiTheme="minorHAnsi" w:cstheme="minorHAnsi"/>
          <w:i w:val="0"/>
          <w:color w:val="auto"/>
          <w:sz w:val="28"/>
          <w:szCs w:val="28"/>
        </w:rPr>
        <w:t>udział w zagranicznych gospodarczych misjach wyjazdowych</w:t>
      </w:r>
      <w:r w:rsidR="00E43087" w:rsidRPr="00930477">
        <w:rPr>
          <w:rFonts w:asciiTheme="minorHAnsi" w:hAnsiTheme="minorHAnsi" w:cstheme="minorHAnsi"/>
          <w:i w:val="0"/>
          <w:color w:val="auto"/>
          <w:sz w:val="28"/>
          <w:szCs w:val="28"/>
        </w:rPr>
        <w:t>)</w:t>
      </w:r>
      <w:bookmarkEnd w:id="211"/>
    </w:p>
    <w:p w14:paraId="6DC32ECD" w14:textId="41C83691" w:rsidR="004C1274" w:rsidRPr="00762814" w:rsidRDefault="004C1274" w:rsidP="00762814">
      <w:pPr>
        <w:spacing w:after="120" w:line="276" w:lineRule="auto"/>
        <w:rPr>
          <w:rFonts w:cstheme="minorHAnsi"/>
          <w:sz w:val="24"/>
          <w:szCs w:val="24"/>
        </w:rPr>
      </w:pPr>
      <w:r w:rsidRPr="00762814">
        <w:rPr>
          <w:rFonts w:cstheme="minorHAnsi"/>
          <w:sz w:val="24"/>
          <w:szCs w:val="24"/>
        </w:rPr>
        <w:t xml:space="preserve">W ramach kategorii </w:t>
      </w:r>
      <w:r w:rsidR="000B17FE" w:rsidRPr="00762814">
        <w:rPr>
          <w:rFonts w:cstheme="minorHAnsi"/>
          <w:sz w:val="24"/>
          <w:szCs w:val="24"/>
        </w:rPr>
        <w:t xml:space="preserve">kwalifikowalne </w:t>
      </w:r>
      <w:r w:rsidRPr="00762814">
        <w:rPr>
          <w:rFonts w:cstheme="minorHAnsi"/>
          <w:sz w:val="24"/>
          <w:szCs w:val="24"/>
        </w:rPr>
        <w:t>są koszty</w:t>
      </w:r>
      <w:r w:rsidR="006F0725" w:rsidRPr="00762814">
        <w:rPr>
          <w:rFonts w:cstheme="minorHAnsi"/>
          <w:sz w:val="24"/>
          <w:szCs w:val="24"/>
        </w:rPr>
        <w:t xml:space="preserve"> </w:t>
      </w:r>
      <w:r w:rsidRPr="00762814">
        <w:rPr>
          <w:rFonts w:cstheme="minorHAnsi"/>
          <w:sz w:val="24"/>
          <w:szCs w:val="24"/>
        </w:rPr>
        <w:t>podróży służbowych pracowników Wnioskodawcy uczestnicząc</w:t>
      </w:r>
      <w:r w:rsidR="00E43087" w:rsidRPr="00762814">
        <w:rPr>
          <w:rFonts w:cstheme="minorHAnsi"/>
          <w:sz w:val="24"/>
          <w:szCs w:val="24"/>
        </w:rPr>
        <w:t>ych</w:t>
      </w:r>
      <w:r w:rsidRPr="00762814">
        <w:rPr>
          <w:rFonts w:cstheme="minorHAnsi"/>
          <w:sz w:val="24"/>
          <w:szCs w:val="24"/>
        </w:rPr>
        <w:t xml:space="preserve"> w zagranicznych</w:t>
      </w:r>
      <w:r w:rsidR="00E43087" w:rsidRPr="00762814">
        <w:rPr>
          <w:rFonts w:cstheme="minorHAnsi"/>
          <w:sz w:val="24"/>
          <w:szCs w:val="24"/>
        </w:rPr>
        <w:t xml:space="preserve"> gospodarczych</w:t>
      </w:r>
      <w:r w:rsidR="00E43087" w:rsidRPr="00762814">
        <w:rPr>
          <w:rFonts w:cstheme="minorHAnsi"/>
          <w:b/>
          <w:sz w:val="24"/>
          <w:szCs w:val="24"/>
        </w:rPr>
        <w:t xml:space="preserve"> </w:t>
      </w:r>
      <w:r w:rsidRPr="00762814">
        <w:rPr>
          <w:rFonts w:cstheme="minorHAnsi"/>
          <w:sz w:val="24"/>
          <w:szCs w:val="24"/>
        </w:rPr>
        <w:t>misjach wyjazdowych</w:t>
      </w:r>
      <w:r w:rsidR="006F0725" w:rsidRPr="00762814">
        <w:rPr>
          <w:rFonts w:cstheme="minorHAnsi"/>
          <w:sz w:val="24"/>
          <w:szCs w:val="24"/>
        </w:rPr>
        <w:t>.</w:t>
      </w:r>
    </w:p>
    <w:p w14:paraId="1FF6B0C5" w14:textId="3B86F53B" w:rsidR="00E43087" w:rsidRPr="00762814" w:rsidRDefault="00E43087" w:rsidP="00762814">
      <w:pPr>
        <w:spacing w:line="276" w:lineRule="auto"/>
        <w:rPr>
          <w:rFonts w:cstheme="minorHAnsi"/>
          <w:sz w:val="24"/>
          <w:szCs w:val="24"/>
          <w:u w:val="single"/>
        </w:rPr>
      </w:pPr>
      <w:r w:rsidRPr="00762814">
        <w:rPr>
          <w:rFonts w:cstheme="minorHAnsi"/>
          <w:sz w:val="24"/>
          <w:szCs w:val="24"/>
          <w:u w:val="single"/>
        </w:rPr>
        <w:t xml:space="preserve">Koszty będą rozliczane </w:t>
      </w:r>
      <w:r w:rsidR="00A83791" w:rsidRPr="00762814">
        <w:rPr>
          <w:rFonts w:cstheme="minorHAnsi"/>
          <w:sz w:val="24"/>
          <w:szCs w:val="24"/>
          <w:u w:val="single"/>
        </w:rPr>
        <w:t>na podstawie</w:t>
      </w:r>
      <w:r w:rsidRPr="00762814">
        <w:rPr>
          <w:rFonts w:cstheme="minorHAnsi"/>
          <w:sz w:val="24"/>
          <w:szCs w:val="24"/>
          <w:u w:val="single"/>
        </w:rPr>
        <w:t xml:space="preserve"> stawek jednostkowych</w:t>
      </w:r>
      <w:r w:rsidR="00BC551C" w:rsidRPr="00762814">
        <w:rPr>
          <w:rFonts w:cstheme="minorHAnsi"/>
          <w:sz w:val="24"/>
          <w:szCs w:val="24"/>
          <w:u w:val="single"/>
        </w:rPr>
        <w:t>.</w:t>
      </w:r>
      <w:r w:rsidR="006F0725" w:rsidRPr="00762814">
        <w:rPr>
          <w:rFonts w:cstheme="minorHAnsi"/>
          <w:sz w:val="24"/>
          <w:szCs w:val="24"/>
          <w:u w:val="single"/>
        </w:rPr>
        <w:t xml:space="preserve"> </w:t>
      </w:r>
    </w:p>
    <w:p w14:paraId="0911C788" w14:textId="4D213C9C" w:rsidR="00271AE9" w:rsidRPr="00762814" w:rsidRDefault="00271AE9" w:rsidP="00762814">
      <w:pPr>
        <w:spacing w:after="120" w:line="276" w:lineRule="auto"/>
        <w:rPr>
          <w:rFonts w:cstheme="minorHAnsi"/>
          <w:sz w:val="24"/>
          <w:szCs w:val="24"/>
        </w:rPr>
      </w:pPr>
      <w:r w:rsidRPr="00762814">
        <w:rPr>
          <w:rFonts w:cstheme="minorHAnsi"/>
          <w:sz w:val="24"/>
          <w:szCs w:val="24"/>
        </w:rPr>
        <w:t xml:space="preserve">Kosztami kwalifikowalnymi </w:t>
      </w:r>
      <w:r w:rsidR="0020260B" w:rsidRPr="00762814">
        <w:rPr>
          <w:rFonts w:cstheme="minorHAnsi"/>
          <w:sz w:val="24"/>
          <w:szCs w:val="24"/>
        </w:rPr>
        <w:t xml:space="preserve">rozliczanymi </w:t>
      </w:r>
      <w:r w:rsidR="000A4332" w:rsidRPr="00762814">
        <w:rPr>
          <w:rFonts w:cstheme="minorHAnsi"/>
          <w:sz w:val="24"/>
          <w:szCs w:val="24"/>
        </w:rPr>
        <w:t xml:space="preserve">na podstawie </w:t>
      </w:r>
      <w:r w:rsidRPr="00762814">
        <w:rPr>
          <w:rFonts w:cstheme="minorHAnsi"/>
          <w:b/>
          <w:bCs/>
          <w:sz w:val="24"/>
          <w:szCs w:val="24"/>
        </w:rPr>
        <w:t>stawek jednostkowych</w:t>
      </w:r>
      <w:r w:rsidR="0020260B" w:rsidRPr="00762814">
        <w:rPr>
          <w:rFonts w:cstheme="minorHAnsi"/>
          <w:sz w:val="24"/>
          <w:szCs w:val="24"/>
        </w:rPr>
        <w:t xml:space="preserve">, o których mowa w punkcie </w:t>
      </w:r>
      <w:r w:rsidR="0020260B" w:rsidRPr="00762814">
        <w:rPr>
          <w:rFonts w:cstheme="minorHAnsi"/>
          <w:b/>
          <w:bCs/>
          <w:sz w:val="24"/>
          <w:szCs w:val="24"/>
        </w:rPr>
        <w:t>9.3.3 i 9.3.4</w:t>
      </w:r>
      <w:r w:rsidR="00215311" w:rsidRPr="00762814">
        <w:rPr>
          <w:rFonts w:cstheme="minorHAnsi"/>
          <w:sz w:val="24"/>
          <w:szCs w:val="24"/>
        </w:rPr>
        <w:t>,</w:t>
      </w:r>
      <w:r w:rsidRPr="00762814">
        <w:rPr>
          <w:rFonts w:cstheme="minorHAnsi"/>
          <w:sz w:val="24"/>
          <w:szCs w:val="24"/>
        </w:rPr>
        <w:t xml:space="preserve"> są koszty bezpośrednio związane z wyjazdami służbowymi dotyczącymi </w:t>
      </w:r>
      <w:r w:rsidR="0022781A" w:rsidRPr="00762814">
        <w:rPr>
          <w:rFonts w:cstheme="minorHAnsi"/>
          <w:sz w:val="24"/>
          <w:szCs w:val="24"/>
        </w:rPr>
        <w:t xml:space="preserve">udziału w targach, imprezach </w:t>
      </w:r>
      <w:r w:rsidR="00066ED2" w:rsidRPr="00762814">
        <w:rPr>
          <w:rFonts w:cstheme="minorHAnsi"/>
          <w:sz w:val="24"/>
          <w:szCs w:val="24"/>
        </w:rPr>
        <w:t xml:space="preserve">targowo-konferencyjnych oraz zagranicznych gospodarczych misjach wyjazdowych, </w:t>
      </w:r>
      <w:r w:rsidRPr="00762814">
        <w:rPr>
          <w:rFonts w:cstheme="minorHAnsi"/>
          <w:sz w:val="24"/>
          <w:szCs w:val="24"/>
        </w:rPr>
        <w:t>tzn. koszty:</w:t>
      </w:r>
    </w:p>
    <w:p w14:paraId="0A206E32" w14:textId="7EBEFFBC" w:rsidR="00271AE9" w:rsidRPr="00762814" w:rsidRDefault="00271AE9" w:rsidP="00BF47B4">
      <w:pPr>
        <w:pStyle w:val="Akapitzlist"/>
        <w:numPr>
          <w:ilvl w:val="2"/>
          <w:numId w:val="37"/>
        </w:numPr>
        <w:spacing w:after="120" w:line="276" w:lineRule="auto"/>
        <w:ind w:left="426" w:hanging="426"/>
        <w:rPr>
          <w:rFonts w:cstheme="minorHAnsi"/>
          <w:sz w:val="24"/>
          <w:szCs w:val="24"/>
        </w:rPr>
      </w:pPr>
      <w:r w:rsidRPr="00762814">
        <w:rPr>
          <w:rFonts w:cstheme="minorHAnsi"/>
          <w:sz w:val="24"/>
          <w:szCs w:val="24"/>
        </w:rPr>
        <w:t xml:space="preserve">transportu, w tym zakupu biletów lotniczych, kolejowych, autobusowych, promowych lub wynajem lub wykorzystanie samochodu jako środka umożliwiającego dojazd na miejsce docelowe (np. targów, misji, czy imprez targowo - konferencyjnych), oraz wymagane opłaty dodatkowe, w tym za bagaż, wybór miejsca w samolocie, parking, winiety, przejazd autostradą lub inną płatną drogą, </w:t>
      </w:r>
    </w:p>
    <w:p w14:paraId="19303A13" w14:textId="72D54F90" w:rsidR="00271AE9" w:rsidRPr="00762814" w:rsidRDefault="00271AE9" w:rsidP="00BF47B4">
      <w:pPr>
        <w:pStyle w:val="Akapitzlist"/>
        <w:numPr>
          <w:ilvl w:val="2"/>
          <w:numId w:val="37"/>
        </w:numPr>
        <w:spacing w:after="120" w:line="276" w:lineRule="auto"/>
        <w:ind w:left="426" w:hanging="426"/>
        <w:rPr>
          <w:rFonts w:cstheme="minorHAnsi"/>
          <w:sz w:val="24"/>
          <w:szCs w:val="24"/>
        </w:rPr>
      </w:pPr>
      <w:r w:rsidRPr="00762814">
        <w:rPr>
          <w:rFonts w:cstheme="minorHAnsi"/>
          <w:sz w:val="24"/>
          <w:szCs w:val="24"/>
        </w:rPr>
        <w:t>zakupu noclegów,</w:t>
      </w:r>
    </w:p>
    <w:p w14:paraId="6A30B06F" w14:textId="6B75C580" w:rsidR="00271AE9" w:rsidRPr="00762814" w:rsidRDefault="00271AE9" w:rsidP="00BF47B4">
      <w:pPr>
        <w:pStyle w:val="Akapitzlist"/>
        <w:numPr>
          <w:ilvl w:val="2"/>
          <w:numId w:val="37"/>
        </w:numPr>
        <w:spacing w:after="120" w:line="276" w:lineRule="auto"/>
        <w:ind w:left="426" w:hanging="426"/>
        <w:rPr>
          <w:rFonts w:cstheme="minorHAnsi"/>
          <w:sz w:val="24"/>
          <w:szCs w:val="24"/>
        </w:rPr>
      </w:pPr>
      <w:r w:rsidRPr="00762814">
        <w:rPr>
          <w:rFonts w:cstheme="minorHAnsi"/>
          <w:sz w:val="24"/>
          <w:szCs w:val="24"/>
        </w:rPr>
        <w:t>dojazdów środkami komunikacji miejscowej lub wynajmu lub wykorzystania samochodu jako środka umożliwiającego komunikację miejscową,</w:t>
      </w:r>
    </w:p>
    <w:p w14:paraId="4B907ECE" w14:textId="7007B918" w:rsidR="00271AE9" w:rsidRPr="00762814" w:rsidRDefault="00271AE9" w:rsidP="00BF47B4">
      <w:pPr>
        <w:pStyle w:val="Akapitzlist"/>
        <w:numPr>
          <w:ilvl w:val="2"/>
          <w:numId w:val="37"/>
        </w:numPr>
        <w:spacing w:after="120" w:line="276" w:lineRule="auto"/>
        <w:ind w:left="426" w:hanging="426"/>
        <w:rPr>
          <w:rFonts w:cstheme="minorHAnsi"/>
          <w:sz w:val="24"/>
          <w:szCs w:val="24"/>
        </w:rPr>
      </w:pPr>
      <w:r w:rsidRPr="00762814">
        <w:rPr>
          <w:rFonts w:cstheme="minorHAnsi"/>
          <w:sz w:val="24"/>
          <w:szCs w:val="24"/>
        </w:rPr>
        <w:t>diet, ubezpieczenia uczestników podróży na czas wyjazdu służbowego, uzyskania niezbędnych wiz.</w:t>
      </w:r>
    </w:p>
    <w:tbl>
      <w:tblPr>
        <w:tblW w:w="8908" w:type="dxa"/>
        <w:jc w:val="center"/>
        <w:tblCellMar>
          <w:left w:w="70" w:type="dxa"/>
          <w:right w:w="70" w:type="dxa"/>
        </w:tblCellMar>
        <w:tblLook w:val="04A0" w:firstRow="1" w:lastRow="0" w:firstColumn="1" w:lastColumn="0" w:noHBand="0" w:noVBand="1"/>
      </w:tblPr>
      <w:tblGrid>
        <w:gridCol w:w="2529"/>
        <w:gridCol w:w="6379"/>
      </w:tblGrid>
      <w:tr w:rsidR="001E347A" w:rsidRPr="00762814" w14:paraId="39EC7AD3" w14:textId="77777777" w:rsidTr="00091243">
        <w:trPr>
          <w:trHeight w:val="315"/>
          <w:tblHeader/>
          <w:jc w:val="center"/>
        </w:trPr>
        <w:tc>
          <w:tcPr>
            <w:tcW w:w="2529" w:type="dxa"/>
            <w:tcBorders>
              <w:top w:val="double" w:sz="6" w:space="0" w:color="3F3F3F"/>
              <w:left w:val="double" w:sz="6" w:space="0" w:color="3F3F3F"/>
              <w:bottom w:val="nil"/>
              <w:right w:val="double" w:sz="6" w:space="0" w:color="3F3F3F"/>
            </w:tcBorders>
            <w:shd w:val="clear" w:color="auto" w:fill="D9E2F3" w:themeFill="accent1" w:themeFillTint="33"/>
            <w:noWrap/>
            <w:vAlign w:val="bottom"/>
            <w:hideMark/>
          </w:tcPr>
          <w:p w14:paraId="702F61DC" w14:textId="77777777" w:rsidR="001E347A" w:rsidRPr="00762814" w:rsidRDefault="001E347A" w:rsidP="00762814">
            <w:pPr>
              <w:spacing w:after="120" w:line="276" w:lineRule="auto"/>
              <w:jc w:val="center"/>
              <w:rPr>
                <w:rFonts w:eastAsia="Times New Roman" w:cstheme="minorHAnsi"/>
                <w:b/>
                <w:bCs/>
                <w:sz w:val="24"/>
                <w:szCs w:val="24"/>
              </w:rPr>
            </w:pPr>
            <w:r w:rsidRPr="00762814">
              <w:rPr>
                <w:rFonts w:eastAsia="Times New Roman" w:cstheme="minorHAnsi"/>
                <w:b/>
                <w:bCs/>
                <w:sz w:val="24"/>
                <w:szCs w:val="24"/>
              </w:rPr>
              <w:t>Obszar</w:t>
            </w:r>
          </w:p>
        </w:tc>
        <w:tc>
          <w:tcPr>
            <w:tcW w:w="6379" w:type="dxa"/>
            <w:tcBorders>
              <w:top w:val="double" w:sz="6" w:space="0" w:color="3F3F3F"/>
              <w:left w:val="nil"/>
              <w:bottom w:val="nil"/>
              <w:right w:val="double" w:sz="6" w:space="0" w:color="3F3F3F"/>
            </w:tcBorders>
            <w:shd w:val="clear" w:color="auto" w:fill="D9E2F3" w:themeFill="accent1" w:themeFillTint="33"/>
            <w:noWrap/>
            <w:vAlign w:val="bottom"/>
            <w:hideMark/>
          </w:tcPr>
          <w:p w14:paraId="64CA24A3" w14:textId="2DCDFBF8" w:rsidR="001E347A" w:rsidRPr="00762814" w:rsidRDefault="004E290B" w:rsidP="00762814">
            <w:pPr>
              <w:spacing w:after="120" w:line="276" w:lineRule="auto"/>
              <w:jc w:val="center"/>
              <w:rPr>
                <w:rFonts w:eastAsia="Times New Roman" w:cstheme="minorHAnsi"/>
                <w:b/>
                <w:bCs/>
                <w:sz w:val="24"/>
                <w:szCs w:val="24"/>
              </w:rPr>
            </w:pPr>
            <w:r w:rsidRPr="00762814">
              <w:rPr>
                <w:rFonts w:eastAsia="Times New Roman" w:cstheme="minorHAnsi"/>
                <w:b/>
                <w:bCs/>
                <w:sz w:val="24"/>
                <w:szCs w:val="24"/>
              </w:rPr>
              <w:t>S</w:t>
            </w:r>
            <w:r w:rsidR="001E347A" w:rsidRPr="00762814">
              <w:rPr>
                <w:rFonts w:eastAsia="Times New Roman" w:cstheme="minorHAnsi"/>
                <w:b/>
                <w:bCs/>
                <w:sz w:val="24"/>
                <w:szCs w:val="24"/>
              </w:rPr>
              <w:t>tawki jednostkowe</w:t>
            </w:r>
            <w:r w:rsidR="00905BAD" w:rsidRPr="00762814">
              <w:rPr>
                <w:rFonts w:eastAsia="Times New Roman" w:cstheme="minorHAnsi"/>
                <w:b/>
                <w:bCs/>
                <w:sz w:val="24"/>
                <w:szCs w:val="24"/>
              </w:rPr>
              <w:t xml:space="preserve"> na osobę </w:t>
            </w:r>
          </w:p>
        </w:tc>
      </w:tr>
      <w:tr w:rsidR="001E347A" w:rsidRPr="00762814" w14:paraId="2E878E1B" w14:textId="77777777"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1FB95" w14:textId="38935C5C" w:rsidR="001E347A" w:rsidRPr="00762814" w:rsidRDefault="001E347A" w:rsidP="00762814">
            <w:pPr>
              <w:spacing w:after="120" w:line="276" w:lineRule="auto"/>
              <w:rPr>
                <w:rFonts w:cstheme="minorHAnsi"/>
                <w:sz w:val="24"/>
                <w:szCs w:val="24"/>
              </w:rPr>
            </w:pPr>
            <w:r w:rsidRPr="00762814">
              <w:rPr>
                <w:rFonts w:cstheme="minorHAnsi"/>
                <w:sz w:val="24"/>
                <w:szCs w:val="24"/>
              </w:rPr>
              <w:t>E</w:t>
            </w:r>
            <w:r w:rsidR="007E001F" w:rsidRPr="00762814">
              <w:rPr>
                <w:rFonts w:cstheme="minorHAnsi"/>
                <w:sz w:val="24"/>
                <w:szCs w:val="24"/>
              </w:rPr>
              <w:t>uropa</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6AED594B" w14:textId="04073C76" w:rsidR="001E347A" w:rsidRPr="00762814" w:rsidRDefault="001E347A" w:rsidP="00762814">
            <w:pPr>
              <w:spacing w:after="120" w:line="276" w:lineRule="auto"/>
              <w:jc w:val="right"/>
              <w:rPr>
                <w:rFonts w:cstheme="minorHAnsi"/>
                <w:sz w:val="24"/>
                <w:szCs w:val="24"/>
              </w:rPr>
            </w:pPr>
            <w:r w:rsidRPr="00762814">
              <w:rPr>
                <w:rFonts w:cstheme="minorHAnsi"/>
                <w:sz w:val="24"/>
                <w:szCs w:val="24"/>
              </w:rPr>
              <w:t>4 59</w:t>
            </w:r>
            <w:r w:rsidR="0089155E" w:rsidRPr="00762814">
              <w:rPr>
                <w:rFonts w:cstheme="minorHAnsi"/>
                <w:sz w:val="24"/>
                <w:szCs w:val="24"/>
              </w:rPr>
              <w:t>1</w:t>
            </w:r>
            <w:r w:rsidRPr="00762814">
              <w:rPr>
                <w:rFonts w:cstheme="minorHAnsi"/>
                <w:sz w:val="24"/>
                <w:szCs w:val="24"/>
              </w:rPr>
              <w:t>,00</w:t>
            </w:r>
            <w:r w:rsidR="006A5BCB" w:rsidRPr="00762814">
              <w:rPr>
                <w:rFonts w:cstheme="minorHAnsi"/>
                <w:sz w:val="24"/>
                <w:szCs w:val="24"/>
              </w:rPr>
              <w:t xml:space="preserve"> zł</w:t>
            </w:r>
          </w:p>
        </w:tc>
      </w:tr>
      <w:tr w:rsidR="001E347A" w:rsidRPr="00762814" w14:paraId="71022DF9" w14:textId="77777777"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35F07" w14:textId="084B11AA" w:rsidR="001E347A" w:rsidRPr="00762814" w:rsidRDefault="001E347A" w:rsidP="00762814">
            <w:pPr>
              <w:spacing w:after="120" w:line="276" w:lineRule="auto"/>
              <w:rPr>
                <w:rFonts w:cstheme="minorHAnsi"/>
                <w:sz w:val="24"/>
                <w:szCs w:val="24"/>
              </w:rPr>
            </w:pPr>
            <w:r w:rsidRPr="00762814">
              <w:rPr>
                <w:rFonts w:cstheme="minorHAnsi"/>
                <w:sz w:val="24"/>
                <w:szCs w:val="24"/>
              </w:rPr>
              <w:t>US</w:t>
            </w:r>
            <w:r w:rsidR="007E001F" w:rsidRPr="00762814">
              <w:rPr>
                <w:rFonts w:cstheme="minorHAnsi"/>
                <w:sz w:val="24"/>
                <w:szCs w:val="24"/>
              </w:rPr>
              <w:t>A</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7C415260" w14:textId="5EAA4A28" w:rsidR="001E347A" w:rsidRPr="00762814" w:rsidRDefault="001E347A" w:rsidP="00762814">
            <w:pPr>
              <w:spacing w:after="120" w:line="276" w:lineRule="auto"/>
              <w:jc w:val="right"/>
              <w:rPr>
                <w:rFonts w:cstheme="minorHAnsi"/>
                <w:sz w:val="24"/>
                <w:szCs w:val="24"/>
              </w:rPr>
            </w:pPr>
            <w:r w:rsidRPr="00762814">
              <w:rPr>
                <w:rFonts w:cstheme="minorHAnsi"/>
                <w:sz w:val="24"/>
                <w:szCs w:val="24"/>
              </w:rPr>
              <w:t>9 33</w:t>
            </w:r>
            <w:r w:rsidR="00BD6096" w:rsidRPr="00762814">
              <w:rPr>
                <w:rFonts w:cstheme="minorHAnsi"/>
                <w:sz w:val="24"/>
                <w:szCs w:val="24"/>
              </w:rPr>
              <w:t>1</w:t>
            </w:r>
            <w:r w:rsidRPr="00762814">
              <w:rPr>
                <w:rFonts w:cstheme="minorHAnsi"/>
                <w:sz w:val="24"/>
                <w:szCs w:val="24"/>
              </w:rPr>
              <w:t>,00</w:t>
            </w:r>
            <w:r w:rsidR="006A5BCB" w:rsidRPr="00762814">
              <w:rPr>
                <w:rFonts w:cstheme="minorHAnsi"/>
                <w:sz w:val="24"/>
                <w:szCs w:val="24"/>
              </w:rPr>
              <w:t xml:space="preserve"> zł </w:t>
            </w:r>
          </w:p>
        </w:tc>
      </w:tr>
      <w:tr w:rsidR="001E347A" w:rsidRPr="00762814" w14:paraId="6BC8C942" w14:textId="77777777"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A875" w14:textId="5E1F2675" w:rsidR="001E347A" w:rsidRPr="00762814" w:rsidRDefault="007E001F" w:rsidP="00762814">
            <w:pPr>
              <w:spacing w:after="120" w:line="276" w:lineRule="auto"/>
              <w:rPr>
                <w:rFonts w:cstheme="minorHAnsi"/>
                <w:sz w:val="24"/>
                <w:szCs w:val="24"/>
              </w:rPr>
            </w:pPr>
            <w:r w:rsidRPr="00762814">
              <w:rPr>
                <w:rFonts w:cstheme="minorHAnsi"/>
                <w:sz w:val="24"/>
                <w:szCs w:val="24"/>
              </w:rPr>
              <w:t xml:space="preserve">Świat </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5D0D8C36" w14:textId="3011AF7C" w:rsidR="001E347A" w:rsidRPr="00762814" w:rsidRDefault="001E347A" w:rsidP="00762814">
            <w:pPr>
              <w:spacing w:after="120" w:line="276" w:lineRule="auto"/>
              <w:jc w:val="right"/>
              <w:rPr>
                <w:rFonts w:cstheme="minorHAnsi"/>
                <w:sz w:val="24"/>
                <w:szCs w:val="24"/>
              </w:rPr>
            </w:pPr>
            <w:r w:rsidRPr="00762814">
              <w:rPr>
                <w:rFonts w:cstheme="minorHAnsi"/>
                <w:sz w:val="24"/>
                <w:szCs w:val="24"/>
              </w:rPr>
              <w:t>7 2</w:t>
            </w:r>
            <w:r w:rsidR="00BD6096" w:rsidRPr="00762814">
              <w:rPr>
                <w:rFonts w:cstheme="minorHAnsi"/>
                <w:sz w:val="24"/>
                <w:szCs w:val="24"/>
              </w:rPr>
              <w:t>74</w:t>
            </w:r>
            <w:r w:rsidRPr="00762814">
              <w:rPr>
                <w:rFonts w:cstheme="minorHAnsi"/>
                <w:sz w:val="24"/>
                <w:szCs w:val="24"/>
              </w:rPr>
              <w:t>,00</w:t>
            </w:r>
            <w:r w:rsidR="006A5BCB" w:rsidRPr="00762814">
              <w:rPr>
                <w:rFonts w:cstheme="minorHAnsi"/>
                <w:sz w:val="24"/>
                <w:szCs w:val="24"/>
              </w:rPr>
              <w:t xml:space="preserve"> zł</w:t>
            </w:r>
          </w:p>
        </w:tc>
      </w:tr>
      <w:tr w:rsidR="009046C3" w:rsidRPr="00762814" w14:paraId="7F38F730" w14:textId="60B915FA"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E8B0" w14:textId="6046A8EC" w:rsidR="009046C3" w:rsidRPr="00762814" w:rsidRDefault="009046C3" w:rsidP="00762814">
            <w:pPr>
              <w:spacing w:after="120" w:line="276" w:lineRule="auto"/>
              <w:rPr>
                <w:rFonts w:cstheme="minorHAnsi"/>
                <w:sz w:val="24"/>
                <w:szCs w:val="24"/>
              </w:rPr>
            </w:pPr>
            <w:r w:rsidRPr="00762814">
              <w:rPr>
                <w:rFonts w:cstheme="minorHAnsi"/>
                <w:sz w:val="24"/>
                <w:szCs w:val="24"/>
              </w:rPr>
              <w:t xml:space="preserve">Polska </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5DED99FA" w14:textId="7A7474FD" w:rsidR="009046C3" w:rsidRPr="00762814" w:rsidRDefault="009046C3" w:rsidP="00762814">
            <w:pPr>
              <w:spacing w:after="120" w:line="276" w:lineRule="auto"/>
              <w:jc w:val="right"/>
              <w:rPr>
                <w:rFonts w:cstheme="minorHAnsi"/>
                <w:sz w:val="24"/>
                <w:szCs w:val="24"/>
              </w:rPr>
            </w:pPr>
            <w:r w:rsidRPr="00762814">
              <w:rPr>
                <w:rFonts w:cstheme="minorHAnsi"/>
                <w:sz w:val="24"/>
                <w:szCs w:val="24"/>
              </w:rPr>
              <w:t>1</w:t>
            </w:r>
            <w:r w:rsidR="006A5BCB" w:rsidRPr="00762814">
              <w:rPr>
                <w:rFonts w:cstheme="minorHAnsi"/>
                <w:sz w:val="24"/>
                <w:szCs w:val="24"/>
              </w:rPr>
              <w:t xml:space="preserve"> </w:t>
            </w:r>
            <w:r w:rsidRPr="00762814">
              <w:rPr>
                <w:rFonts w:cstheme="minorHAnsi"/>
                <w:sz w:val="24"/>
                <w:szCs w:val="24"/>
              </w:rPr>
              <w:t>01</w:t>
            </w:r>
            <w:r w:rsidR="00BD6096" w:rsidRPr="00762814">
              <w:rPr>
                <w:rFonts w:cstheme="minorHAnsi"/>
                <w:sz w:val="24"/>
                <w:szCs w:val="24"/>
              </w:rPr>
              <w:t>6</w:t>
            </w:r>
            <w:r w:rsidRPr="00762814">
              <w:rPr>
                <w:rFonts w:cstheme="minorHAnsi"/>
                <w:sz w:val="24"/>
                <w:szCs w:val="24"/>
              </w:rPr>
              <w:t>,00</w:t>
            </w:r>
            <w:r w:rsidR="006A5BCB" w:rsidRPr="00762814">
              <w:rPr>
                <w:rFonts w:cstheme="minorHAnsi"/>
                <w:sz w:val="24"/>
                <w:szCs w:val="24"/>
              </w:rPr>
              <w:t xml:space="preserve"> zł</w:t>
            </w:r>
          </w:p>
        </w:tc>
      </w:tr>
    </w:tbl>
    <w:p w14:paraId="1CF78EDB" w14:textId="77777777" w:rsidR="00B97E8A" w:rsidRPr="00762814" w:rsidRDefault="00B97E8A" w:rsidP="00762814">
      <w:pPr>
        <w:spacing w:after="120" w:line="276" w:lineRule="auto"/>
        <w:rPr>
          <w:rFonts w:cstheme="minorHAnsi"/>
          <w:sz w:val="24"/>
          <w:szCs w:val="24"/>
        </w:rPr>
      </w:pPr>
    </w:p>
    <w:p w14:paraId="2B2C8C7B" w14:textId="191D1208" w:rsidR="00CA65C4" w:rsidRPr="00762814" w:rsidRDefault="008C6FB2" w:rsidP="00762814">
      <w:pPr>
        <w:spacing w:after="120" w:line="276" w:lineRule="auto"/>
        <w:rPr>
          <w:rFonts w:cstheme="minorHAnsi"/>
          <w:sz w:val="24"/>
          <w:szCs w:val="24"/>
        </w:rPr>
      </w:pPr>
      <w:r w:rsidRPr="00762814">
        <w:rPr>
          <w:rFonts w:cstheme="minorHAnsi"/>
          <w:sz w:val="24"/>
          <w:szCs w:val="24"/>
        </w:rPr>
        <w:t>W</w:t>
      </w:r>
      <w:r w:rsidR="00CA65C4" w:rsidRPr="00762814">
        <w:rPr>
          <w:rFonts w:cstheme="minorHAnsi"/>
          <w:sz w:val="24"/>
          <w:szCs w:val="24"/>
        </w:rPr>
        <w:t xml:space="preserve"> przypadku targ</w:t>
      </w:r>
      <w:r w:rsidRPr="00762814">
        <w:rPr>
          <w:rFonts w:cstheme="minorHAnsi"/>
          <w:sz w:val="24"/>
          <w:szCs w:val="24"/>
        </w:rPr>
        <w:t>ów</w:t>
      </w:r>
      <w:r w:rsidR="00656F1F" w:rsidRPr="00762814">
        <w:rPr>
          <w:rFonts w:cstheme="minorHAnsi"/>
          <w:sz w:val="24"/>
          <w:szCs w:val="24"/>
        </w:rPr>
        <w:t>/</w:t>
      </w:r>
      <w:r w:rsidRPr="00762814">
        <w:rPr>
          <w:rFonts w:cstheme="minorHAnsi"/>
          <w:sz w:val="24"/>
          <w:szCs w:val="24"/>
        </w:rPr>
        <w:t>imprez targowo-konferencyjnych/ zagranicznych gospodarczych misji</w:t>
      </w:r>
      <w:r w:rsidRPr="00762814">
        <w:rPr>
          <w:rFonts w:eastAsiaTheme="majorEastAsia" w:cstheme="minorHAnsi"/>
          <w:color w:val="1F3763" w:themeColor="accent1" w:themeShade="7F"/>
          <w:sz w:val="24"/>
          <w:szCs w:val="24"/>
        </w:rPr>
        <w:t xml:space="preserve"> </w:t>
      </w:r>
      <w:r w:rsidRPr="00762814">
        <w:rPr>
          <w:rFonts w:cstheme="minorHAnsi"/>
          <w:sz w:val="24"/>
          <w:szCs w:val="24"/>
        </w:rPr>
        <w:t xml:space="preserve">wyjazdowych </w:t>
      </w:r>
      <w:r w:rsidR="00CA65C4" w:rsidRPr="00762814">
        <w:rPr>
          <w:rFonts w:cstheme="minorHAnsi"/>
          <w:sz w:val="24"/>
          <w:szCs w:val="24"/>
        </w:rPr>
        <w:t>odbywających się w miejscu, w którym znajduje się siedziba, główne miejsce prowadzenia działalności lub oddział beneficjenta</w:t>
      </w:r>
      <w:r w:rsidRPr="00762814">
        <w:rPr>
          <w:rFonts w:cstheme="minorHAnsi"/>
          <w:sz w:val="24"/>
          <w:szCs w:val="24"/>
        </w:rPr>
        <w:t>, koszty podróży służbowych są niekwalifikowalne.</w:t>
      </w:r>
    </w:p>
    <w:p w14:paraId="0B497E79" w14:textId="46F7A0C3" w:rsidR="005F63DE" w:rsidRPr="00762814" w:rsidRDefault="008A24B5" w:rsidP="00762814">
      <w:pPr>
        <w:spacing w:after="120" w:line="276" w:lineRule="auto"/>
        <w:rPr>
          <w:rFonts w:cstheme="minorHAnsi"/>
          <w:b/>
          <w:bCs/>
          <w:sz w:val="24"/>
          <w:szCs w:val="24"/>
        </w:rPr>
      </w:pPr>
      <w:r w:rsidRPr="00762814">
        <w:rPr>
          <w:rFonts w:cstheme="minorHAnsi"/>
          <w:b/>
          <w:sz w:val="24"/>
          <w:szCs w:val="24"/>
        </w:rPr>
        <w:t>Koszty te zarówno dla MŚP, jak i dużych przedsiębiorców, są objęte pomocą de minimis</w:t>
      </w:r>
      <w:r w:rsidRPr="00762814">
        <w:rPr>
          <w:rFonts w:cstheme="minorHAnsi"/>
          <w:b/>
          <w:bCs/>
          <w:sz w:val="24"/>
          <w:szCs w:val="24"/>
        </w:rPr>
        <w:t>.</w:t>
      </w:r>
    </w:p>
    <w:p w14:paraId="2949E744" w14:textId="3FB7D0D5" w:rsidR="005F63DE" w:rsidRPr="00930477" w:rsidRDefault="00BC551C"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12" w:name="_Toc148716449"/>
      <w:r w:rsidRPr="00930477">
        <w:rPr>
          <w:rFonts w:asciiTheme="minorHAnsi" w:hAnsiTheme="minorHAnsi" w:cstheme="minorHAnsi"/>
          <w:i w:val="0"/>
          <w:color w:val="auto"/>
          <w:sz w:val="28"/>
          <w:szCs w:val="28"/>
        </w:rPr>
        <w:t>Usługi zewnętrzne (udział w zagranicznych gospodarczych misjach wyjazdowych)</w:t>
      </w:r>
      <w:bookmarkEnd w:id="212"/>
    </w:p>
    <w:p w14:paraId="224A7ABD" w14:textId="5F4F5E0D" w:rsidR="00BC551C" w:rsidRPr="00762814" w:rsidRDefault="00BC551C" w:rsidP="00762814">
      <w:pPr>
        <w:spacing w:after="120" w:line="276" w:lineRule="auto"/>
        <w:rPr>
          <w:rFonts w:cstheme="minorHAnsi"/>
          <w:sz w:val="24"/>
          <w:szCs w:val="24"/>
        </w:rPr>
      </w:pPr>
      <w:r w:rsidRPr="00762814">
        <w:rPr>
          <w:rFonts w:cstheme="minorHAnsi"/>
          <w:sz w:val="24"/>
          <w:szCs w:val="24"/>
        </w:rPr>
        <w:t xml:space="preserve">W ramach kategorii </w:t>
      </w:r>
      <w:r w:rsidR="000B17FE" w:rsidRPr="00762814">
        <w:rPr>
          <w:rFonts w:cstheme="minorHAnsi"/>
          <w:sz w:val="24"/>
          <w:szCs w:val="24"/>
        </w:rPr>
        <w:t xml:space="preserve">kwalifikowalne </w:t>
      </w:r>
      <w:r w:rsidRPr="00762814">
        <w:rPr>
          <w:rFonts w:cstheme="minorHAnsi"/>
          <w:sz w:val="24"/>
          <w:szCs w:val="24"/>
        </w:rPr>
        <w:t xml:space="preserve">są koszty organizacji pokazów, prezentacji i degustacji produktów w zakresie promocji marki produktowej, w tym zakupu usług w tym zakresie: wynajmu niezbędnych pomieszczeń oraz sprzętu, zakupu usług tłumaczenia, zakupu usług </w:t>
      </w:r>
      <w:r w:rsidR="005F468E" w:rsidRPr="00762814">
        <w:rPr>
          <w:rFonts w:cstheme="minorHAnsi"/>
          <w:sz w:val="24"/>
          <w:szCs w:val="24"/>
        </w:rPr>
        <w:t>c</w:t>
      </w:r>
      <w:r w:rsidRPr="00762814">
        <w:rPr>
          <w:rFonts w:cstheme="minorHAnsi"/>
          <w:sz w:val="24"/>
          <w:szCs w:val="24"/>
        </w:rPr>
        <w:t xml:space="preserve">ateringowych. </w:t>
      </w:r>
    </w:p>
    <w:p w14:paraId="6A74F082" w14:textId="1A7EAF1B" w:rsidR="005F63DE" w:rsidRPr="00762814" w:rsidRDefault="008A24B5" w:rsidP="00762814">
      <w:pPr>
        <w:spacing w:after="120" w:line="276" w:lineRule="auto"/>
        <w:rPr>
          <w:rFonts w:cstheme="minorHAnsi"/>
          <w:b/>
          <w:bCs/>
          <w:sz w:val="24"/>
          <w:szCs w:val="24"/>
        </w:rPr>
      </w:pPr>
      <w:r w:rsidRPr="00762814">
        <w:rPr>
          <w:rFonts w:cstheme="minorHAnsi"/>
          <w:b/>
          <w:sz w:val="24"/>
          <w:szCs w:val="24"/>
        </w:rPr>
        <w:t>Koszty te zarówno dla MŚP, jak i dużych przedsiębiorców, są objęte pomocą de minimis</w:t>
      </w:r>
      <w:r w:rsidRPr="00762814">
        <w:rPr>
          <w:rFonts w:cstheme="minorHAnsi"/>
          <w:b/>
          <w:bCs/>
          <w:sz w:val="24"/>
          <w:szCs w:val="24"/>
        </w:rPr>
        <w:t>.</w:t>
      </w:r>
    </w:p>
    <w:p w14:paraId="7646793E" w14:textId="088276DC" w:rsidR="005F63DE" w:rsidRPr="00930477" w:rsidRDefault="00BC551C"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13" w:name="_Toc148716450"/>
      <w:r w:rsidRPr="00930477">
        <w:rPr>
          <w:rFonts w:asciiTheme="minorHAnsi" w:hAnsiTheme="minorHAnsi" w:cstheme="minorHAnsi"/>
          <w:i w:val="0"/>
          <w:color w:val="auto"/>
          <w:sz w:val="28"/>
          <w:szCs w:val="28"/>
        </w:rPr>
        <w:t>Usługi zewnętrzne (organizacja przyjazdowych misji gospodarczych o randze międzynarodowej)</w:t>
      </w:r>
      <w:bookmarkEnd w:id="213"/>
    </w:p>
    <w:p w14:paraId="587D419D" w14:textId="02D7F377" w:rsidR="00BC551C" w:rsidRPr="00762814" w:rsidRDefault="00BC551C" w:rsidP="00762814">
      <w:pPr>
        <w:spacing w:after="120" w:line="276" w:lineRule="auto"/>
        <w:rPr>
          <w:rFonts w:cstheme="minorHAnsi"/>
          <w:sz w:val="24"/>
          <w:szCs w:val="24"/>
        </w:rPr>
      </w:pPr>
      <w:r w:rsidRPr="00762814">
        <w:rPr>
          <w:rFonts w:cstheme="minorHAnsi"/>
          <w:sz w:val="24"/>
          <w:szCs w:val="24"/>
        </w:rPr>
        <w:t xml:space="preserve">W ramach kategorii </w:t>
      </w:r>
      <w:r w:rsidR="000B17FE" w:rsidRPr="00762814">
        <w:rPr>
          <w:rFonts w:cstheme="minorHAnsi"/>
          <w:sz w:val="24"/>
          <w:szCs w:val="24"/>
        </w:rPr>
        <w:t xml:space="preserve">kwalifikowalne </w:t>
      </w:r>
      <w:r w:rsidRPr="00762814">
        <w:rPr>
          <w:rFonts w:cstheme="minorHAnsi"/>
          <w:sz w:val="24"/>
          <w:szCs w:val="24"/>
        </w:rPr>
        <w:t xml:space="preserve">są koszty organizacji pokazów, prezentacji i degustacji produktów w zakresie promocji marki produktowej, w tym zakupu usług w tym zakresie: wynajmu niezbędnych pomieszczeń oraz sprzętu, zakupu usług tłumaczenia, zakupu usług </w:t>
      </w:r>
      <w:r w:rsidR="00A01856" w:rsidRPr="00762814">
        <w:rPr>
          <w:rFonts w:cstheme="minorHAnsi"/>
          <w:sz w:val="24"/>
          <w:szCs w:val="24"/>
        </w:rPr>
        <w:t>c</w:t>
      </w:r>
      <w:r w:rsidRPr="00762814">
        <w:rPr>
          <w:rFonts w:cstheme="minorHAnsi"/>
          <w:sz w:val="24"/>
          <w:szCs w:val="24"/>
        </w:rPr>
        <w:t xml:space="preserve">ateringowych, zakupu usług hotelowych i transportowych dla uczestników przyjazdowej misji gospodarczej. </w:t>
      </w:r>
    </w:p>
    <w:p w14:paraId="0EAEC185" w14:textId="3AA3FAF0" w:rsidR="00BC551C" w:rsidRPr="00762814" w:rsidRDefault="008A24B5" w:rsidP="00762814">
      <w:pPr>
        <w:spacing w:after="120" w:line="276" w:lineRule="auto"/>
        <w:rPr>
          <w:rFonts w:cstheme="minorHAnsi"/>
          <w:b/>
          <w:bCs/>
          <w:sz w:val="24"/>
          <w:szCs w:val="24"/>
        </w:rPr>
      </w:pPr>
      <w:r w:rsidRPr="00762814">
        <w:rPr>
          <w:rFonts w:cstheme="minorHAnsi"/>
          <w:b/>
          <w:sz w:val="24"/>
          <w:szCs w:val="24"/>
        </w:rPr>
        <w:t>Koszty te zarówno dla MŚP, jak i dużych przedsiębiorców, są objęte pomocą de minimis</w:t>
      </w:r>
      <w:r w:rsidRPr="00762814">
        <w:rPr>
          <w:rFonts w:cstheme="minorHAnsi"/>
          <w:b/>
          <w:bCs/>
          <w:sz w:val="24"/>
          <w:szCs w:val="24"/>
        </w:rPr>
        <w:t>.</w:t>
      </w:r>
    </w:p>
    <w:p w14:paraId="1ED0A8A8" w14:textId="3B2B7D7D" w:rsidR="005F63DE" w:rsidRPr="00930477" w:rsidRDefault="000125D8"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14" w:name="_Toc148716451"/>
      <w:r w:rsidRPr="00930477">
        <w:rPr>
          <w:rFonts w:asciiTheme="minorHAnsi" w:hAnsiTheme="minorHAnsi" w:cstheme="minorHAnsi"/>
          <w:i w:val="0"/>
          <w:color w:val="auto"/>
          <w:sz w:val="28"/>
          <w:szCs w:val="28"/>
        </w:rPr>
        <w:t>Usługi zewnętrzne (</w:t>
      </w:r>
      <w:r w:rsidR="00A23B26" w:rsidRPr="00930477">
        <w:rPr>
          <w:rFonts w:asciiTheme="minorHAnsi" w:hAnsiTheme="minorHAnsi" w:cstheme="minorHAnsi"/>
          <w:i w:val="0"/>
          <w:color w:val="auto"/>
          <w:sz w:val="28"/>
          <w:szCs w:val="28"/>
        </w:rPr>
        <w:t>doradz</w:t>
      </w:r>
      <w:r w:rsidRPr="00930477">
        <w:rPr>
          <w:rFonts w:asciiTheme="minorHAnsi" w:hAnsiTheme="minorHAnsi" w:cstheme="minorHAnsi"/>
          <w:i w:val="0"/>
          <w:color w:val="auto"/>
          <w:sz w:val="28"/>
          <w:szCs w:val="28"/>
        </w:rPr>
        <w:t>two)</w:t>
      </w:r>
      <w:bookmarkEnd w:id="214"/>
      <w:r w:rsidR="00A23B26" w:rsidRPr="00930477">
        <w:rPr>
          <w:rFonts w:asciiTheme="minorHAnsi" w:hAnsiTheme="minorHAnsi" w:cstheme="minorHAnsi"/>
          <w:i w:val="0"/>
          <w:color w:val="auto"/>
          <w:sz w:val="28"/>
          <w:szCs w:val="28"/>
        </w:rPr>
        <w:t xml:space="preserve"> </w:t>
      </w:r>
    </w:p>
    <w:p w14:paraId="36E5E42D" w14:textId="5E28BD13" w:rsidR="008A24B5" w:rsidRPr="00762814" w:rsidRDefault="008A24B5" w:rsidP="00762814">
      <w:pPr>
        <w:spacing w:after="120" w:line="276" w:lineRule="auto"/>
        <w:rPr>
          <w:rFonts w:cstheme="minorHAnsi"/>
          <w:sz w:val="24"/>
          <w:szCs w:val="24"/>
        </w:rPr>
      </w:pPr>
      <w:r w:rsidRPr="00762814">
        <w:rPr>
          <w:rFonts w:cstheme="minorHAnsi"/>
          <w:sz w:val="24"/>
          <w:szCs w:val="24"/>
        </w:rPr>
        <w:t xml:space="preserve">W ramach tej kategorii kwalifikowalne są </w:t>
      </w:r>
      <w:r w:rsidR="00A23B26" w:rsidRPr="00762814">
        <w:rPr>
          <w:rFonts w:cstheme="minorHAnsi"/>
          <w:sz w:val="24"/>
          <w:szCs w:val="24"/>
        </w:rPr>
        <w:t>koszty usługi doradczej w zakresie internacjonalizacji produktu.</w:t>
      </w:r>
      <w:r w:rsidR="009841F3" w:rsidRPr="00762814">
        <w:rPr>
          <w:rFonts w:cstheme="minorHAnsi"/>
          <w:sz w:val="24"/>
          <w:szCs w:val="24"/>
        </w:rPr>
        <w:t xml:space="preserve"> </w:t>
      </w:r>
      <w:r w:rsidR="00E205AB" w:rsidRPr="00762814">
        <w:rPr>
          <w:rFonts w:cstheme="minorHAnsi"/>
          <w:sz w:val="24"/>
          <w:szCs w:val="24"/>
        </w:rPr>
        <w:t xml:space="preserve">Kwalifikowalne są koszty usług doradczych świadczonych przez doradców zewnętrznych. Usługi realizowane wewnętrznie u </w:t>
      </w:r>
      <w:r w:rsidR="00F755EC" w:rsidRPr="00762814">
        <w:rPr>
          <w:rFonts w:cstheme="minorHAnsi"/>
          <w:sz w:val="24"/>
          <w:szCs w:val="24"/>
        </w:rPr>
        <w:t>Wnioskodawcy</w:t>
      </w:r>
      <w:r w:rsidR="00E205AB" w:rsidRPr="00762814">
        <w:rPr>
          <w:rFonts w:cstheme="minorHAnsi"/>
          <w:sz w:val="24"/>
          <w:szCs w:val="24"/>
        </w:rPr>
        <w:t xml:space="preserve"> (przez pracowników </w:t>
      </w:r>
      <w:r w:rsidR="00F755EC" w:rsidRPr="00762814">
        <w:rPr>
          <w:rFonts w:cstheme="minorHAnsi"/>
          <w:sz w:val="24"/>
          <w:szCs w:val="24"/>
        </w:rPr>
        <w:t>Wnioskodawcy</w:t>
      </w:r>
      <w:r w:rsidR="00E205AB" w:rsidRPr="00762814">
        <w:rPr>
          <w:rFonts w:cstheme="minorHAnsi"/>
          <w:sz w:val="24"/>
          <w:szCs w:val="24"/>
        </w:rPr>
        <w:t xml:space="preserve">) </w:t>
      </w:r>
      <w:r w:rsidRPr="00762814">
        <w:rPr>
          <w:rFonts w:cstheme="minorHAnsi"/>
          <w:sz w:val="24"/>
          <w:szCs w:val="24"/>
        </w:rPr>
        <w:t>oraz przez osoby i podmioty z nim powiązane</w:t>
      </w:r>
      <w:r w:rsidRPr="00762814">
        <w:rPr>
          <w:rStyle w:val="Odwoanieprzypisudolnego"/>
          <w:rFonts w:cstheme="minorHAnsi"/>
          <w:sz w:val="24"/>
          <w:szCs w:val="24"/>
        </w:rPr>
        <w:footnoteReference w:id="14"/>
      </w:r>
      <w:r w:rsidRPr="00762814">
        <w:rPr>
          <w:rFonts w:cstheme="minorHAnsi"/>
          <w:sz w:val="24"/>
          <w:szCs w:val="24"/>
        </w:rPr>
        <w:t xml:space="preserve">  </w:t>
      </w:r>
      <w:r w:rsidR="00E205AB" w:rsidRPr="00762814">
        <w:rPr>
          <w:rFonts w:cstheme="minorHAnsi"/>
          <w:sz w:val="24"/>
          <w:szCs w:val="24"/>
        </w:rPr>
        <w:t xml:space="preserve">są niekwalifikowalne. Usługi doradcze nie mogą mieć charakteru ciągłego ani okresowego, nie mogą być też związane z bieżącą działalnością operacyjną, w szczególności w zakresie doradztwa podatkowego, księgowego, stałej obsługi prawnej lub reklamy. </w:t>
      </w:r>
    </w:p>
    <w:p w14:paraId="6B8619D9" w14:textId="02B3F41F" w:rsidR="00E205AB" w:rsidRPr="00762814" w:rsidRDefault="00E205AB" w:rsidP="00762814">
      <w:pPr>
        <w:spacing w:after="120" w:line="276" w:lineRule="auto"/>
        <w:rPr>
          <w:rFonts w:cstheme="minorHAnsi"/>
          <w:b/>
          <w:bCs/>
          <w:sz w:val="24"/>
          <w:szCs w:val="24"/>
        </w:rPr>
      </w:pPr>
      <w:r w:rsidRPr="00762814">
        <w:rPr>
          <w:rFonts w:cstheme="minorHAnsi"/>
          <w:b/>
          <w:bCs/>
          <w:sz w:val="24"/>
          <w:szCs w:val="24"/>
        </w:rPr>
        <w:t xml:space="preserve">Dla MŚP koszty te </w:t>
      </w:r>
      <w:r w:rsidR="007E5401" w:rsidRPr="00762814">
        <w:rPr>
          <w:rFonts w:cstheme="minorHAnsi"/>
          <w:b/>
          <w:bCs/>
          <w:sz w:val="24"/>
          <w:szCs w:val="24"/>
        </w:rPr>
        <w:t xml:space="preserve">są objęte </w:t>
      </w:r>
      <w:r w:rsidRPr="00762814">
        <w:rPr>
          <w:rFonts w:cstheme="minorHAnsi"/>
          <w:b/>
          <w:bCs/>
          <w:sz w:val="24"/>
          <w:szCs w:val="24"/>
        </w:rPr>
        <w:t>pomoc</w:t>
      </w:r>
      <w:r w:rsidR="007E5401" w:rsidRPr="00762814">
        <w:rPr>
          <w:rFonts w:cstheme="minorHAnsi"/>
          <w:b/>
          <w:bCs/>
          <w:sz w:val="24"/>
          <w:szCs w:val="24"/>
        </w:rPr>
        <w:t>ą</w:t>
      </w:r>
      <w:r w:rsidRPr="00762814">
        <w:rPr>
          <w:rFonts w:cstheme="minorHAnsi"/>
          <w:b/>
          <w:bCs/>
          <w:sz w:val="24"/>
          <w:szCs w:val="24"/>
        </w:rPr>
        <w:t xml:space="preserve"> z art. 18 </w:t>
      </w:r>
      <w:r w:rsidR="00F97153" w:rsidRPr="00762814">
        <w:rPr>
          <w:rFonts w:cstheme="minorHAnsi"/>
          <w:b/>
          <w:bCs/>
          <w:sz w:val="24"/>
          <w:szCs w:val="24"/>
        </w:rPr>
        <w:t>r</w:t>
      </w:r>
      <w:r w:rsidR="000C178D" w:rsidRPr="00762814">
        <w:rPr>
          <w:rFonts w:cstheme="minorHAnsi"/>
          <w:b/>
          <w:bCs/>
          <w:sz w:val="24"/>
          <w:szCs w:val="24"/>
        </w:rPr>
        <w:t xml:space="preserve">ozporządzenia </w:t>
      </w:r>
      <w:r w:rsidR="00F97153" w:rsidRPr="00762814">
        <w:rPr>
          <w:rFonts w:cstheme="minorHAnsi"/>
          <w:b/>
          <w:bCs/>
          <w:sz w:val="24"/>
          <w:szCs w:val="24"/>
        </w:rPr>
        <w:t xml:space="preserve">Komisji (UE) nr </w:t>
      </w:r>
      <w:r w:rsidR="000C178D" w:rsidRPr="00762814">
        <w:rPr>
          <w:rFonts w:cstheme="minorHAnsi"/>
          <w:b/>
          <w:bCs/>
          <w:sz w:val="24"/>
          <w:szCs w:val="24"/>
        </w:rPr>
        <w:t>651/2014</w:t>
      </w:r>
      <w:r w:rsidRPr="00762814">
        <w:rPr>
          <w:rFonts w:cstheme="minorHAnsi"/>
          <w:b/>
          <w:bCs/>
          <w:sz w:val="24"/>
          <w:szCs w:val="24"/>
        </w:rPr>
        <w:t xml:space="preserve">, natomiast dla dużych przedsiębiorców </w:t>
      </w:r>
      <w:r w:rsidR="007E5401" w:rsidRPr="00762814">
        <w:rPr>
          <w:rFonts w:cstheme="minorHAnsi"/>
          <w:b/>
          <w:bCs/>
          <w:sz w:val="24"/>
          <w:szCs w:val="24"/>
        </w:rPr>
        <w:t xml:space="preserve">- </w:t>
      </w:r>
      <w:r w:rsidRPr="00762814">
        <w:rPr>
          <w:rFonts w:cstheme="minorHAnsi"/>
          <w:b/>
          <w:bCs/>
          <w:sz w:val="24"/>
          <w:szCs w:val="24"/>
        </w:rPr>
        <w:t>pomoc</w:t>
      </w:r>
      <w:r w:rsidR="007E5401" w:rsidRPr="00762814">
        <w:rPr>
          <w:rFonts w:cstheme="minorHAnsi"/>
          <w:b/>
          <w:bCs/>
          <w:sz w:val="24"/>
          <w:szCs w:val="24"/>
        </w:rPr>
        <w:t>ą</w:t>
      </w:r>
      <w:r w:rsidRPr="00762814">
        <w:rPr>
          <w:rFonts w:cstheme="minorHAnsi"/>
          <w:b/>
          <w:bCs/>
          <w:sz w:val="24"/>
          <w:szCs w:val="24"/>
        </w:rPr>
        <w:t xml:space="preserve"> de minimis.</w:t>
      </w:r>
    </w:p>
    <w:p w14:paraId="7F9DD22E" w14:textId="4C2A7F7B" w:rsidR="005F63DE" w:rsidRPr="00930477" w:rsidRDefault="00372F4D"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15" w:name="_Toc148716452"/>
      <w:r w:rsidRPr="00930477">
        <w:rPr>
          <w:rFonts w:asciiTheme="minorHAnsi" w:hAnsiTheme="minorHAnsi" w:cstheme="minorHAnsi"/>
          <w:i w:val="0"/>
          <w:color w:val="auto"/>
          <w:sz w:val="28"/>
          <w:szCs w:val="28"/>
        </w:rPr>
        <w:t>Usługi zewnętrzne</w:t>
      </w:r>
      <w:r w:rsidR="004553F9" w:rsidRPr="00930477">
        <w:rPr>
          <w:rFonts w:asciiTheme="minorHAnsi" w:hAnsiTheme="minorHAnsi" w:cstheme="minorHAnsi"/>
          <w:i w:val="0"/>
          <w:color w:val="auto"/>
          <w:sz w:val="28"/>
          <w:szCs w:val="28"/>
        </w:rPr>
        <w:t xml:space="preserve"> rezerwacja targów </w:t>
      </w:r>
      <w:r w:rsidRPr="00930477">
        <w:rPr>
          <w:rFonts w:asciiTheme="minorHAnsi" w:hAnsiTheme="minorHAnsi" w:cstheme="minorHAnsi"/>
          <w:i w:val="0"/>
          <w:color w:val="auto"/>
          <w:sz w:val="28"/>
          <w:szCs w:val="28"/>
        </w:rPr>
        <w:t>(de minimis)</w:t>
      </w:r>
      <w:bookmarkEnd w:id="215"/>
    </w:p>
    <w:p w14:paraId="2751E630" w14:textId="01CB0CC6" w:rsidR="00372F4D" w:rsidRPr="00762814" w:rsidRDefault="000B17FE" w:rsidP="00762814">
      <w:pPr>
        <w:spacing w:after="120" w:line="276" w:lineRule="auto"/>
        <w:rPr>
          <w:rFonts w:cstheme="minorHAnsi"/>
          <w:sz w:val="24"/>
          <w:szCs w:val="24"/>
        </w:rPr>
      </w:pPr>
      <w:r w:rsidRPr="00762814">
        <w:rPr>
          <w:rFonts w:cstheme="minorHAnsi"/>
          <w:sz w:val="24"/>
          <w:szCs w:val="24"/>
        </w:rPr>
        <w:t xml:space="preserve">W ramach kategorii </w:t>
      </w:r>
      <w:r w:rsidR="00372F4D" w:rsidRPr="00762814">
        <w:rPr>
          <w:rFonts w:cstheme="minorHAnsi"/>
          <w:sz w:val="24"/>
          <w:szCs w:val="24"/>
        </w:rPr>
        <w:t>kwalifikowaln</w:t>
      </w:r>
      <w:r w:rsidRPr="00762814">
        <w:rPr>
          <w:rFonts w:cstheme="minorHAnsi"/>
          <w:sz w:val="24"/>
          <w:szCs w:val="24"/>
        </w:rPr>
        <w:t xml:space="preserve">e są </w:t>
      </w:r>
      <w:r w:rsidR="00372F4D" w:rsidRPr="00762814">
        <w:rPr>
          <w:rFonts w:cstheme="minorHAnsi"/>
          <w:sz w:val="24"/>
          <w:szCs w:val="24"/>
        </w:rPr>
        <w:t>koszty rezerwacji miejsca wystawowego na targach, imprezach targowo-konferencyjnych, opłaty rejestracyjnej za udział w targach oraz wpisu do katalogu targowego.</w:t>
      </w:r>
    </w:p>
    <w:p w14:paraId="6C262B6B" w14:textId="77777777" w:rsidR="00B051B3" w:rsidRPr="00762814" w:rsidRDefault="00B051B3" w:rsidP="00762814">
      <w:pPr>
        <w:spacing w:after="120" w:line="276" w:lineRule="auto"/>
        <w:rPr>
          <w:rFonts w:cstheme="minorHAnsi"/>
          <w:b/>
          <w:bCs/>
          <w:sz w:val="24"/>
          <w:szCs w:val="24"/>
          <w:u w:val="single"/>
        </w:rPr>
      </w:pPr>
      <w:r w:rsidRPr="00762814">
        <w:rPr>
          <w:rFonts w:cstheme="minorHAnsi"/>
          <w:b/>
          <w:sz w:val="24"/>
          <w:szCs w:val="24"/>
        </w:rPr>
        <w:t>Koszty te zarówno dla MŚP, jak i dużych przedsiębiorców, są objęte pomocą de minimis</w:t>
      </w:r>
      <w:r w:rsidRPr="00762814">
        <w:rPr>
          <w:rFonts w:cstheme="minorHAnsi"/>
          <w:b/>
          <w:bCs/>
          <w:sz w:val="24"/>
          <w:szCs w:val="24"/>
        </w:rPr>
        <w:t xml:space="preserve">. </w:t>
      </w:r>
      <w:r w:rsidRPr="00762814">
        <w:rPr>
          <w:rFonts w:cstheme="minorHAnsi"/>
          <w:b/>
          <w:bCs/>
          <w:sz w:val="24"/>
          <w:szCs w:val="24"/>
          <w:u w:val="single"/>
        </w:rPr>
        <w:t>Koszty mogą zostać poniesione nie wcześniej niż 12 miesięcy przed dniem złożenia wniosku o dofinansowanie.</w:t>
      </w:r>
    </w:p>
    <w:p w14:paraId="229A1C8E" w14:textId="3B4F4545" w:rsidR="005F63DE" w:rsidRPr="00930477" w:rsidRDefault="00835C3E"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16" w:name="_Toc148716453"/>
      <w:bookmarkStart w:id="217" w:name="_Hlk122553184"/>
      <w:r w:rsidRPr="00930477">
        <w:rPr>
          <w:rFonts w:asciiTheme="minorHAnsi" w:hAnsiTheme="minorHAnsi" w:cstheme="minorHAnsi"/>
          <w:i w:val="0"/>
          <w:color w:val="auto"/>
          <w:sz w:val="28"/>
          <w:szCs w:val="28"/>
        </w:rPr>
        <w:t>Podatki i opłaty (prawa własności przemysłowej)</w:t>
      </w:r>
      <w:bookmarkEnd w:id="216"/>
    </w:p>
    <w:p w14:paraId="334D7365" w14:textId="4FE6B423" w:rsidR="00835C3E" w:rsidRPr="00762814" w:rsidRDefault="000B17FE" w:rsidP="00762814">
      <w:pPr>
        <w:spacing w:after="120" w:line="276" w:lineRule="auto"/>
        <w:rPr>
          <w:rFonts w:cstheme="minorHAnsi"/>
          <w:sz w:val="24"/>
          <w:szCs w:val="24"/>
        </w:rPr>
      </w:pPr>
      <w:r w:rsidRPr="00762814">
        <w:rPr>
          <w:rFonts w:cstheme="minorHAnsi"/>
          <w:sz w:val="24"/>
          <w:szCs w:val="24"/>
        </w:rPr>
        <w:t xml:space="preserve">W ramach kategorii </w:t>
      </w:r>
      <w:r w:rsidR="00835C3E" w:rsidRPr="00762814">
        <w:rPr>
          <w:rFonts w:cstheme="minorHAnsi"/>
          <w:sz w:val="24"/>
          <w:szCs w:val="24"/>
        </w:rPr>
        <w:t>kwalifikowaln</w:t>
      </w:r>
      <w:r w:rsidRPr="00762814">
        <w:rPr>
          <w:rFonts w:cstheme="minorHAnsi"/>
          <w:sz w:val="24"/>
          <w:szCs w:val="24"/>
        </w:rPr>
        <w:t xml:space="preserve">e są </w:t>
      </w:r>
      <w:r w:rsidR="00835C3E" w:rsidRPr="00762814">
        <w:rPr>
          <w:rFonts w:cstheme="minorHAnsi"/>
          <w:sz w:val="24"/>
          <w:szCs w:val="24"/>
        </w:rPr>
        <w:t>koszty opłat urzędowych związanych z uzyskaniem lub obroną patentu, prawa ochronnego na wzór użytkowy lub praw z rejestracji wzoru przemysłowego.</w:t>
      </w:r>
    </w:p>
    <w:p w14:paraId="1E9975A8" w14:textId="38CF7422" w:rsidR="00835C3E" w:rsidRPr="00762814" w:rsidRDefault="00835C3E" w:rsidP="00762814">
      <w:pPr>
        <w:spacing w:after="120" w:line="276" w:lineRule="auto"/>
        <w:rPr>
          <w:rFonts w:cstheme="minorHAnsi"/>
          <w:b/>
          <w:bCs/>
          <w:sz w:val="24"/>
          <w:szCs w:val="24"/>
        </w:rPr>
      </w:pPr>
      <w:r w:rsidRPr="00762814">
        <w:rPr>
          <w:rFonts w:cstheme="minorHAnsi"/>
          <w:b/>
          <w:bCs/>
          <w:sz w:val="24"/>
          <w:szCs w:val="24"/>
        </w:rPr>
        <w:t xml:space="preserve">Dla MŚP koszty te są objęte pomocą z art. 28, natomiast dla dużych przedsiębiorców - pomocą de minimis. </w:t>
      </w:r>
    </w:p>
    <w:p w14:paraId="116EDFA1" w14:textId="2CF76D07" w:rsidR="005F63DE" w:rsidRPr="00930477" w:rsidRDefault="00D61896"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r>
        <w:rPr>
          <w:rFonts w:asciiTheme="minorHAnsi" w:hAnsiTheme="minorHAnsi" w:cstheme="minorHAnsi"/>
          <w:i w:val="0"/>
          <w:color w:val="auto"/>
          <w:sz w:val="28"/>
          <w:szCs w:val="28"/>
        </w:rPr>
        <w:t xml:space="preserve"> </w:t>
      </w:r>
      <w:bookmarkStart w:id="218" w:name="_Toc148716454"/>
      <w:r w:rsidR="00835C3E" w:rsidRPr="00930477">
        <w:rPr>
          <w:rFonts w:asciiTheme="minorHAnsi" w:hAnsiTheme="minorHAnsi" w:cstheme="minorHAnsi"/>
          <w:i w:val="0"/>
          <w:color w:val="auto"/>
          <w:sz w:val="28"/>
          <w:szCs w:val="28"/>
        </w:rPr>
        <w:t>Usługi zewnętrzne (prawa własności przemysłowej)</w:t>
      </w:r>
      <w:bookmarkEnd w:id="218"/>
    </w:p>
    <w:bookmarkEnd w:id="217"/>
    <w:p w14:paraId="012E99D0" w14:textId="314A71AE" w:rsidR="00A23B26" w:rsidRPr="00762814" w:rsidRDefault="000B17FE" w:rsidP="00762814">
      <w:pPr>
        <w:spacing w:after="120" w:line="276" w:lineRule="auto"/>
        <w:rPr>
          <w:rFonts w:cstheme="minorHAnsi"/>
          <w:sz w:val="24"/>
          <w:szCs w:val="24"/>
        </w:rPr>
      </w:pPr>
      <w:r w:rsidRPr="00762814">
        <w:rPr>
          <w:rFonts w:cstheme="minorHAnsi"/>
          <w:sz w:val="24"/>
          <w:szCs w:val="24"/>
        </w:rPr>
        <w:t xml:space="preserve">W ramach kategorii </w:t>
      </w:r>
      <w:r w:rsidR="00A23B26" w:rsidRPr="00762814">
        <w:rPr>
          <w:rFonts w:cstheme="minorHAnsi"/>
          <w:sz w:val="24"/>
          <w:szCs w:val="24"/>
        </w:rPr>
        <w:t>kwalifikowaln</w:t>
      </w:r>
      <w:r w:rsidRPr="00762814">
        <w:rPr>
          <w:rFonts w:cstheme="minorHAnsi"/>
          <w:sz w:val="24"/>
          <w:szCs w:val="24"/>
        </w:rPr>
        <w:t>e</w:t>
      </w:r>
      <w:r w:rsidR="00A23B26" w:rsidRPr="00762814">
        <w:rPr>
          <w:rFonts w:cstheme="minorHAnsi"/>
          <w:sz w:val="24"/>
          <w:szCs w:val="24"/>
        </w:rPr>
        <w:t xml:space="preserve"> </w:t>
      </w:r>
      <w:r w:rsidR="00EC41BD" w:rsidRPr="00762814">
        <w:rPr>
          <w:rFonts w:cstheme="minorHAnsi"/>
          <w:sz w:val="24"/>
          <w:szCs w:val="24"/>
        </w:rPr>
        <w:t>jest</w:t>
      </w:r>
      <w:r w:rsidR="00A23B26" w:rsidRPr="00762814">
        <w:rPr>
          <w:rFonts w:cstheme="minorHAnsi"/>
          <w:sz w:val="24"/>
          <w:szCs w:val="24"/>
        </w:rPr>
        <w:t>:</w:t>
      </w:r>
    </w:p>
    <w:p w14:paraId="777B62A0" w14:textId="194EF7EE" w:rsidR="00A23B26" w:rsidRPr="00762814" w:rsidRDefault="00A23B26" w:rsidP="00BF47B4">
      <w:pPr>
        <w:pStyle w:val="Akapitzlist"/>
        <w:numPr>
          <w:ilvl w:val="0"/>
          <w:numId w:val="26"/>
        </w:numPr>
        <w:spacing w:line="276" w:lineRule="auto"/>
        <w:ind w:left="426" w:hanging="426"/>
        <w:rPr>
          <w:rFonts w:cstheme="minorHAnsi"/>
          <w:sz w:val="24"/>
          <w:szCs w:val="24"/>
        </w:rPr>
      </w:pPr>
      <w:r w:rsidRPr="00762814">
        <w:rPr>
          <w:rFonts w:cstheme="minorHAnsi"/>
          <w:sz w:val="24"/>
          <w:szCs w:val="24"/>
        </w:rPr>
        <w:t xml:space="preserve">pokrycie kosztów usług zawodowego pełnomocnika </w:t>
      </w:r>
      <w:r w:rsidR="001102BB" w:rsidRPr="00762814">
        <w:rPr>
          <w:rFonts w:cstheme="minorHAnsi"/>
          <w:sz w:val="24"/>
          <w:szCs w:val="24"/>
        </w:rPr>
        <w:t xml:space="preserve">obejmujących </w:t>
      </w:r>
      <w:r w:rsidRPr="00762814">
        <w:rPr>
          <w:rFonts w:cstheme="minorHAnsi"/>
          <w:sz w:val="24"/>
          <w:szCs w:val="24"/>
        </w:rPr>
        <w:t>przygotowanie dokumentacji zgłoszeniowej wynalazku, wzoru użytkowego lub wzoru przemysłowego oraz reprezentację przed organem ochrony własności przemysłowej;</w:t>
      </w:r>
    </w:p>
    <w:p w14:paraId="762996F0" w14:textId="73BFB0A7" w:rsidR="00A23B26" w:rsidRPr="00762814" w:rsidRDefault="00A23B26" w:rsidP="00BF47B4">
      <w:pPr>
        <w:pStyle w:val="Akapitzlist"/>
        <w:numPr>
          <w:ilvl w:val="0"/>
          <w:numId w:val="26"/>
        </w:numPr>
        <w:spacing w:line="276" w:lineRule="auto"/>
        <w:ind w:left="426" w:hanging="426"/>
        <w:rPr>
          <w:rFonts w:cstheme="minorHAnsi"/>
          <w:sz w:val="24"/>
          <w:szCs w:val="24"/>
        </w:rPr>
      </w:pPr>
      <w:r w:rsidRPr="00762814">
        <w:rPr>
          <w:rFonts w:cstheme="minorHAnsi"/>
          <w:sz w:val="24"/>
          <w:szCs w:val="24"/>
        </w:rPr>
        <w:t>pokrycie kosztów tłumaczenia, w tym tłumaczenia przysięgłego</w:t>
      </w:r>
      <w:r w:rsidR="001102BB" w:rsidRPr="00762814">
        <w:rPr>
          <w:rFonts w:cstheme="minorHAnsi"/>
          <w:sz w:val="24"/>
          <w:szCs w:val="24"/>
        </w:rPr>
        <w:t xml:space="preserve">, </w:t>
      </w:r>
      <w:bookmarkStart w:id="219" w:name="_Hlk122553273"/>
      <w:r w:rsidRPr="00762814">
        <w:rPr>
          <w:rFonts w:cstheme="minorHAnsi"/>
          <w:sz w:val="24"/>
          <w:szCs w:val="24"/>
        </w:rPr>
        <w:t>dokumentacji niezbędnej do zgłoszenia wynalazku, wzoru użytkowego lub wzoru przemysłowego oraz prowadzenia postępowania przed właściwym krajowym, regionalnym, unijnym lub międzynarodowym organem ochrony własności przemysłowej.</w:t>
      </w:r>
    </w:p>
    <w:p w14:paraId="10889746" w14:textId="32E95D10" w:rsidR="009841F3" w:rsidRPr="00762814" w:rsidRDefault="00EE1575" w:rsidP="00762814">
      <w:pPr>
        <w:spacing w:after="120" w:line="276" w:lineRule="auto"/>
        <w:rPr>
          <w:rFonts w:cstheme="minorHAnsi"/>
          <w:b/>
          <w:bCs/>
          <w:sz w:val="24"/>
          <w:szCs w:val="24"/>
        </w:rPr>
      </w:pPr>
      <w:bookmarkStart w:id="220" w:name="_Hlk117604505"/>
      <w:bookmarkEnd w:id="219"/>
      <w:r w:rsidRPr="00762814">
        <w:rPr>
          <w:rFonts w:cstheme="minorHAnsi"/>
          <w:b/>
          <w:bCs/>
          <w:sz w:val="24"/>
          <w:szCs w:val="24"/>
        </w:rPr>
        <w:t xml:space="preserve">Dla MŚP koszty te są objęte </w:t>
      </w:r>
      <w:r w:rsidR="009841F3" w:rsidRPr="00762814">
        <w:rPr>
          <w:rFonts w:cstheme="minorHAnsi"/>
          <w:b/>
          <w:bCs/>
          <w:sz w:val="24"/>
          <w:szCs w:val="24"/>
        </w:rPr>
        <w:t>pomoc</w:t>
      </w:r>
      <w:r w:rsidRPr="00762814">
        <w:rPr>
          <w:rFonts w:cstheme="minorHAnsi"/>
          <w:b/>
          <w:bCs/>
          <w:sz w:val="24"/>
          <w:szCs w:val="24"/>
        </w:rPr>
        <w:t>ą</w:t>
      </w:r>
      <w:r w:rsidR="009841F3" w:rsidRPr="00762814">
        <w:rPr>
          <w:rFonts w:cstheme="minorHAnsi"/>
          <w:b/>
          <w:bCs/>
          <w:sz w:val="24"/>
          <w:szCs w:val="24"/>
        </w:rPr>
        <w:t xml:space="preserve"> z art. 28</w:t>
      </w:r>
      <w:r w:rsidR="00E205AB" w:rsidRPr="00762814">
        <w:rPr>
          <w:rFonts w:cstheme="minorHAnsi"/>
          <w:b/>
          <w:bCs/>
          <w:sz w:val="24"/>
          <w:szCs w:val="24"/>
        </w:rPr>
        <w:t>,</w:t>
      </w:r>
      <w:r w:rsidR="009841F3" w:rsidRPr="00762814">
        <w:rPr>
          <w:rFonts w:cstheme="minorHAnsi"/>
          <w:b/>
          <w:bCs/>
          <w:sz w:val="24"/>
          <w:szCs w:val="24"/>
        </w:rPr>
        <w:t xml:space="preserve"> natomiast dla dużych przedsiębiorców </w:t>
      </w:r>
      <w:r w:rsidRPr="00762814">
        <w:rPr>
          <w:rFonts w:cstheme="minorHAnsi"/>
          <w:b/>
          <w:bCs/>
          <w:sz w:val="24"/>
          <w:szCs w:val="24"/>
        </w:rPr>
        <w:t xml:space="preserve">- </w:t>
      </w:r>
      <w:r w:rsidR="009841F3" w:rsidRPr="00762814">
        <w:rPr>
          <w:rFonts w:cstheme="minorHAnsi"/>
          <w:b/>
          <w:bCs/>
          <w:sz w:val="24"/>
          <w:szCs w:val="24"/>
        </w:rPr>
        <w:t>pomoc</w:t>
      </w:r>
      <w:r w:rsidRPr="00762814">
        <w:rPr>
          <w:rFonts w:cstheme="minorHAnsi"/>
          <w:b/>
          <w:bCs/>
          <w:sz w:val="24"/>
          <w:szCs w:val="24"/>
        </w:rPr>
        <w:t>ą</w:t>
      </w:r>
      <w:r w:rsidR="009841F3" w:rsidRPr="00762814">
        <w:rPr>
          <w:rFonts w:cstheme="minorHAnsi"/>
          <w:b/>
          <w:bCs/>
          <w:sz w:val="24"/>
          <w:szCs w:val="24"/>
        </w:rPr>
        <w:t xml:space="preserve"> de minimis</w:t>
      </w:r>
      <w:r w:rsidR="00F222BB" w:rsidRPr="00762814">
        <w:rPr>
          <w:rFonts w:cstheme="minorHAnsi"/>
          <w:b/>
          <w:bCs/>
          <w:sz w:val="24"/>
          <w:szCs w:val="24"/>
        </w:rPr>
        <w:t xml:space="preserve">. </w:t>
      </w:r>
    </w:p>
    <w:p w14:paraId="6008A904" w14:textId="3B3AF957" w:rsidR="00300D63" w:rsidRPr="00930477" w:rsidRDefault="00D61896" w:rsidP="00BF47B4">
      <w:pPr>
        <w:pStyle w:val="Nagwek4"/>
        <w:numPr>
          <w:ilvl w:val="2"/>
          <w:numId w:val="41"/>
        </w:numPr>
        <w:tabs>
          <w:tab w:val="left" w:pos="851"/>
        </w:tabs>
        <w:spacing w:before="120" w:after="120" w:line="276" w:lineRule="auto"/>
        <w:rPr>
          <w:rFonts w:asciiTheme="minorHAnsi" w:hAnsiTheme="minorHAnsi" w:cstheme="minorHAnsi"/>
          <w:i w:val="0"/>
          <w:color w:val="auto"/>
          <w:sz w:val="28"/>
          <w:szCs w:val="28"/>
        </w:rPr>
      </w:pPr>
      <w:bookmarkStart w:id="221" w:name="_Hlk125319279"/>
      <w:bookmarkEnd w:id="220"/>
      <w:r>
        <w:rPr>
          <w:rFonts w:asciiTheme="minorHAnsi" w:hAnsiTheme="minorHAnsi" w:cstheme="minorHAnsi"/>
          <w:i w:val="0"/>
          <w:color w:val="auto"/>
          <w:sz w:val="28"/>
          <w:szCs w:val="28"/>
        </w:rPr>
        <w:t xml:space="preserve"> </w:t>
      </w:r>
      <w:bookmarkStart w:id="222" w:name="_Toc148716455"/>
      <w:r w:rsidR="00313118" w:rsidRPr="00930477">
        <w:rPr>
          <w:rFonts w:asciiTheme="minorHAnsi" w:hAnsiTheme="minorHAnsi" w:cstheme="minorHAnsi"/>
          <w:i w:val="0"/>
          <w:color w:val="auto"/>
          <w:sz w:val="28"/>
          <w:szCs w:val="28"/>
        </w:rPr>
        <w:t xml:space="preserve">Usługi zewnętrzne </w:t>
      </w:r>
      <w:r w:rsidR="004553F9" w:rsidRPr="00930477">
        <w:rPr>
          <w:rFonts w:asciiTheme="minorHAnsi" w:hAnsiTheme="minorHAnsi" w:cstheme="minorHAnsi"/>
          <w:i w:val="0"/>
          <w:color w:val="auto"/>
          <w:sz w:val="28"/>
          <w:szCs w:val="28"/>
        </w:rPr>
        <w:t xml:space="preserve">– wstępne orzeczenie </w:t>
      </w:r>
      <w:r w:rsidR="00313118" w:rsidRPr="00930477">
        <w:rPr>
          <w:rFonts w:asciiTheme="minorHAnsi" w:hAnsiTheme="minorHAnsi" w:cstheme="minorHAnsi"/>
          <w:i w:val="0"/>
          <w:color w:val="auto"/>
          <w:sz w:val="28"/>
          <w:szCs w:val="28"/>
        </w:rPr>
        <w:t>(de minimis)</w:t>
      </w:r>
      <w:bookmarkEnd w:id="222"/>
    </w:p>
    <w:bookmarkEnd w:id="221"/>
    <w:p w14:paraId="2C51850E" w14:textId="76E193FF" w:rsidR="00372F4D" w:rsidRPr="00762814" w:rsidRDefault="000B17FE" w:rsidP="00762814">
      <w:pPr>
        <w:spacing w:after="120" w:line="276" w:lineRule="auto"/>
        <w:rPr>
          <w:rFonts w:cstheme="minorHAnsi"/>
          <w:sz w:val="24"/>
          <w:szCs w:val="24"/>
        </w:rPr>
      </w:pPr>
      <w:r w:rsidRPr="00762814">
        <w:rPr>
          <w:rFonts w:cstheme="minorHAnsi"/>
          <w:sz w:val="24"/>
          <w:szCs w:val="24"/>
        </w:rPr>
        <w:t>W ramach kategorii</w:t>
      </w:r>
      <w:r w:rsidR="00313118" w:rsidRPr="00762814">
        <w:rPr>
          <w:rFonts w:cstheme="minorHAnsi"/>
          <w:sz w:val="24"/>
          <w:szCs w:val="24"/>
        </w:rPr>
        <w:t xml:space="preserve"> kwalifikowaln</w:t>
      </w:r>
      <w:r w:rsidRPr="00762814">
        <w:rPr>
          <w:rFonts w:cstheme="minorHAnsi"/>
          <w:sz w:val="24"/>
          <w:szCs w:val="24"/>
        </w:rPr>
        <w:t xml:space="preserve">e są </w:t>
      </w:r>
      <w:r w:rsidR="00372F4D" w:rsidRPr="00762814">
        <w:rPr>
          <w:rFonts w:cstheme="minorHAnsi"/>
          <w:sz w:val="24"/>
          <w:szCs w:val="24"/>
        </w:rPr>
        <w:t>koszty wstępnego orzeczenia rzecznika patentowego o zdolności patentowej wynalazku lub zdolności ochronnej wzoru użytkowego. O tym, czy wydatek ten będzie uznany za kwalifikowalny decyduje pozytywny wynik orzeczenia potwierdzający zdolność patentową wynalazku lub zdolność ochronną wzoru użytkowego.</w:t>
      </w:r>
    </w:p>
    <w:p w14:paraId="575CF484" w14:textId="0B726984" w:rsidR="006309AD" w:rsidRPr="00762814" w:rsidRDefault="00B77425" w:rsidP="00762814">
      <w:pPr>
        <w:spacing w:after="120" w:line="276" w:lineRule="auto"/>
        <w:rPr>
          <w:rFonts w:cstheme="minorHAnsi"/>
          <w:b/>
          <w:bCs/>
          <w:sz w:val="24"/>
          <w:szCs w:val="24"/>
          <w:u w:val="single"/>
        </w:rPr>
      </w:pPr>
      <w:bookmarkStart w:id="223" w:name="_Hlk124868058"/>
      <w:bookmarkStart w:id="224" w:name="_Hlk118378788"/>
      <w:r w:rsidRPr="00762814">
        <w:rPr>
          <w:rFonts w:cstheme="minorHAnsi"/>
          <w:b/>
          <w:sz w:val="24"/>
          <w:szCs w:val="24"/>
        </w:rPr>
        <w:t>Koszty te zarówno dla MŚP, jak i dużych przedsiębiorców</w:t>
      </w:r>
      <w:r w:rsidR="00B051B3" w:rsidRPr="00762814">
        <w:rPr>
          <w:rFonts w:cstheme="minorHAnsi"/>
          <w:b/>
          <w:sz w:val="24"/>
          <w:szCs w:val="24"/>
        </w:rPr>
        <w:t>,</w:t>
      </w:r>
      <w:r w:rsidRPr="00762814">
        <w:rPr>
          <w:rFonts w:cstheme="minorHAnsi"/>
          <w:b/>
          <w:sz w:val="24"/>
          <w:szCs w:val="24"/>
        </w:rPr>
        <w:t xml:space="preserve"> są objęte pomocą de minimis</w:t>
      </w:r>
      <w:r w:rsidR="006309AD" w:rsidRPr="00762814">
        <w:rPr>
          <w:rFonts w:cstheme="minorHAnsi"/>
          <w:b/>
          <w:bCs/>
          <w:sz w:val="24"/>
          <w:szCs w:val="24"/>
        </w:rPr>
        <w:t>.</w:t>
      </w:r>
      <w:r w:rsidR="004A1DAD" w:rsidRPr="00762814">
        <w:rPr>
          <w:rFonts w:cstheme="minorHAnsi"/>
          <w:b/>
          <w:bCs/>
          <w:sz w:val="24"/>
          <w:szCs w:val="24"/>
        </w:rPr>
        <w:t xml:space="preserve"> </w:t>
      </w:r>
      <w:r w:rsidR="004A1DAD" w:rsidRPr="00762814">
        <w:rPr>
          <w:rFonts w:cstheme="minorHAnsi"/>
          <w:b/>
          <w:bCs/>
          <w:sz w:val="24"/>
          <w:szCs w:val="24"/>
          <w:u w:val="single"/>
        </w:rPr>
        <w:t xml:space="preserve">Koszty mogą zostać poniesione nie wcześniej niż 12 miesięcy przed dniem złożenia wniosku o </w:t>
      </w:r>
      <w:r w:rsidRPr="00762814">
        <w:rPr>
          <w:rFonts w:cstheme="minorHAnsi"/>
          <w:b/>
          <w:bCs/>
          <w:sz w:val="24"/>
          <w:szCs w:val="24"/>
          <w:u w:val="single"/>
        </w:rPr>
        <w:t>dofinansowanie</w:t>
      </w:r>
      <w:r w:rsidR="00E205AB" w:rsidRPr="00762814">
        <w:rPr>
          <w:rFonts w:cstheme="minorHAnsi"/>
          <w:b/>
          <w:bCs/>
          <w:sz w:val="24"/>
          <w:szCs w:val="24"/>
          <w:u w:val="single"/>
        </w:rPr>
        <w:t>.</w:t>
      </w:r>
    </w:p>
    <w:bookmarkEnd w:id="223"/>
    <w:p w14:paraId="5BD2CA8A" w14:textId="3E911D81" w:rsidR="00BC37B4" w:rsidRPr="00762814" w:rsidRDefault="00BC37B4" w:rsidP="00762814">
      <w:pPr>
        <w:spacing w:after="120" w:line="276" w:lineRule="auto"/>
        <w:rPr>
          <w:rFonts w:cstheme="minorHAnsi"/>
          <w:sz w:val="24"/>
          <w:szCs w:val="24"/>
        </w:rPr>
      </w:pPr>
    </w:p>
    <w:bookmarkEnd w:id="224"/>
    <w:p w14:paraId="7D1355C9" w14:textId="533C6619" w:rsidR="00E1317D" w:rsidRPr="00762814" w:rsidRDefault="00E1317D" w:rsidP="00762814">
      <w:pPr>
        <w:spacing w:line="276" w:lineRule="auto"/>
        <w:rPr>
          <w:rFonts w:cstheme="minorHAnsi"/>
          <w:b/>
          <w:bCs/>
          <w:sz w:val="24"/>
          <w:szCs w:val="24"/>
        </w:rPr>
      </w:pPr>
      <w:r w:rsidRPr="00762814">
        <w:rPr>
          <w:rFonts w:cstheme="minorHAnsi"/>
          <w:b/>
          <w:bCs/>
          <w:sz w:val="24"/>
          <w:szCs w:val="24"/>
        </w:rPr>
        <w:br w:type="page"/>
      </w:r>
    </w:p>
    <w:p w14:paraId="3D9A4643" w14:textId="4D3A40F2" w:rsidR="0032407F" w:rsidRDefault="00722C21" w:rsidP="00930477">
      <w:pPr>
        <w:pStyle w:val="Nagwek2"/>
        <w:spacing w:line="276" w:lineRule="auto"/>
        <w:rPr>
          <w:rFonts w:asciiTheme="minorHAnsi" w:hAnsiTheme="minorHAnsi" w:cstheme="minorHAnsi"/>
          <w:b/>
          <w:bCs/>
          <w:sz w:val="24"/>
          <w:szCs w:val="24"/>
        </w:rPr>
      </w:pPr>
      <w:bookmarkStart w:id="225" w:name="_Toc148716456"/>
      <w:r w:rsidRPr="00930477">
        <w:rPr>
          <w:rFonts w:asciiTheme="minorHAnsi" w:hAnsiTheme="minorHAnsi" w:cstheme="minorHAnsi"/>
          <w:b/>
          <w:color w:val="auto"/>
          <w:sz w:val="36"/>
          <w:szCs w:val="36"/>
        </w:rPr>
        <w:t>Tabele intensywności wsparcia</w:t>
      </w:r>
      <w:bookmarkEnd w:id="225"/>
      <w:r w:rsidR="002115AB" w:rsidRPr="00762814">
        <w:rPr>
          <w:rFonts w:asciiTheme="minorHAnsi" w:hAnsiTheme="minorHAnsi" w:cstheme="minorHAnsi"/>
          <w:b/>
          <w:bCs/>
          <w:sz w:val="24"/>
          <w:szCs w:val="24"/>
        </w:rPr>
        <w:t xml:space="preserve"> </w:t>
      </w:r>
    </w:p>
    <w:p w14:paraId="0A3438F5" w14:textId="5749C526" w:rsidR="00BD41FF" w:rsidRPr="00BD41FF" w:rsidRDefault="00BD41FF" w:rsidP="00BD41FF">
      <w:r w:rsidRPr="00762814">
        <w:rPr>
          <w:rFonts w:cstheme="minorHAnsi"/>
          <w:b/>
          <w:bCs/>
          <w:sz w:val="24"/>
          <w:szCs w:val="24"/>
        </w:rPr>
        <w:t>Tabela nr 1. Intensywności wsparcia dla projektów badawczo-rozwojowych</w:t>
      </w:r>
    </w:p>
    <w:tbl>
      <w:tblPr>
        <w:tblStyle w:val="Tabela-Siatka"/>
        <w:tblW w:w="9082" w:type="dxa"/>
        <w:tblInd w:w="-15" w:type="dxa"/>
        <w:tblLook w:val="04A0" w:firstRow="1" w:lastRow="0" w:firstColumn="1" w:lastColumn="0" w:noHBand="0" w:noVBand="1"/>
      </w:tblPr>
      <w:tblGrid>
        <w:gridCol w:w="1667"/>
        <w:gridCol w:w="1543"/>
        <w:gridCol w:w="2154"/>
        <w:gridCol w:w="1592"/>
        <w:gridCol w:w="2126"/>
      </w:tblGrid>
      <w:tr w:rsidR="00F26898" w:rsidRPr="00762814" w14:paraId="1C2B2CF0" w14:textId="77777777" w:rsidTr="00BD41FF">
        <w:trPr>
          <w:trHeight w:val="1001"/>
          <w:tblHeader/>
        </w:trPr>
        <w:tc>
          <w:tcPr>
            <w:tcW w:w="1667" w:type="dxa"/>
            <w:shd w:val="clear" w:color="auto" w:fill="DEEAF6" w:themeFill="accent5" w:themeFillTint="33"/>
            <w:vAlign w:val="center"/>
          </w:tcPr>
          <w:p w14:paraId="6F6937AA" w14:textId="34A27405" w:rsidR="00F26898" w:rsidRPr="00762814" w:rsidRDefault="00F26898" w:rsidP="00762814">
            <w:pPr>
              <w:spacing w:after="120" w:line="276" w:lineRule="auto"/>
              <w:jc w:val="center"/>
              <w:rPr>
                <w:rFonts w:cstheme="minorHAnsi"/>
                <w:b/>
                <w:bCs/>
                <w:sz w:val="24"/>
                <w:szCs w:val="24"/>
              </w:rPr>
            </w:pPr>
            <w:r w:rsidRPr="00762814">
              <w:rPr>
                <w:rFonts w:cstheme="minorHAnsi"/>
                <w:b/>
                <w:bCs/>
                <w:sz w:val="24"/>
                <w:szCs w:val="24"/>
              </w:rPr>
              <w:t>Status przedsiębiorcy</w:t>
            </w:r>
          </w:p>
        </w:tc>
        <w:tc>
          <w:tcPr>
            <w:tcW w:w="1543" w:type="dxa"/>
            <w:shd w:val="clear" w:color="auto" w:fill="DEEAF6" w:themeFill="accent5" w:themeFillTint="33"/>
            <w:vAlign w:val="center"/>
          </w:tcPr>
          <w:p w14:paraId="3289714A" w14:textId="77777777" w:rsidR="00F26898" w:rsidRPr="00762814" w:rsidRDefault="00F26898" w:rsidP="00762814">
            <w:pPr>
              <w:spacing w:after="120" w:line="276" w:lineRule="auto"/>
              <w:jc w:val="center"/>
              <w:rPr>
                <w:rFonts w:cstheme="minorHAnsi"/>
                <w:b/>
                <w:bCs/>
                <w:sz w:val="24"/>
                <w:szCs w:val="24"/>
              </w:rPr>
            </w:pPr>
            <w:r w:rsidRPr="00762814">
              <w:rPr>
                <w:rStyle w:val="markedcontent"/>
                <w:rFonts w:cstheme="minorHAnsi"/>
                <w:b/>
                <w:bCs/>
                <w:sz w:val="24"/>
                <w:szCs w:val="24"/>
              </w:rPr>
              <w:t>Badania przemysłowe</w:t>
            </w:r>
          </w:p>
        </w:tc>
        <w:tc>
          <w:tcPr>
            <w:tcW w:w="2154" w:type="dxa"/>
            <w:shd w:val="clear" w:color="auto" w:fill="DEEAF6" w:themeFill="accent5" w:themeFillTint="33"/>
            <w:vAlign w:val="center"/>
          </w:tcPr>
          <w:p w14:paraId="5DCBF986" w14:textId="77777777" w:rsidR="00F26898" w:rsidRPr="00762814" w:rsidRDefault="00F26898" w:rsidP="00762814">
            <w:pPr>
              <w:spacing w:after="120" w:line="276" w:lineRule="auto"/>
              <w:jc w:val="center"/>
              <w:rPr>
                <w:rFonts w:cstheme="minorHAnsi"/>
                <w:b/>
                <w:bCs/>
                <w:sz w:val="24"/>
                <w:szCs w:val="24"/>
              </w:rPr>
            </w:pPr>
            <w:r w:rsidRPr="00762814">
              <w:rPr>
                <w:rFonts w:cstheme="minorHAnsi"/>
                <w:b/>
                <w:bCs/>
                <w:sz w:val="24"/>
                <w:szCs w:val="24"/>
              </w:rPr>
              <w:t>Badania przemysłowe (z uwzględnieniem premii)</w:t>
            </w:r>
          </w:p>
        </w:tc>
        <w:tc>
          <w:tcPr>
            <w:tcW w:w="1592" w:type="dxa"/>
            <w:shd w:val="clear" w:color="auto" w:fill="DEEAF6" w:themeFill="accent5" w:themeFillTint="33"/>
            <w:vAlign w:val="center"/>
          </w:tcPr>
          <w:p w14:paraId="75307B1E" w14:textId="77777777" w:rsidR="00F26898" w:rsidRPr="00762814" w:rsidRDefault="00F26898" w:rsidP="00762814">
            <w:pPr>
              <w:spacing w:after="120" w:line="276" w:lineRule="auto"/>
              <w:jc w:val="center"/>
              <w:rPr>
                <w:rFonts w:cstheme="minorHAnsi"/>
                <w:b/>
                <w:bCs/>
                <w:sz w:val="24"/>
                <w:szCs w:val="24"/>
              </w:rPr>
            </w:pPr>
            <w:r w:rsidRPr="00762814">
              <w:rPr>
                <w:rStyle w:val="markedcontent"/>
                <w:rFonts w:cstheme="minorHAnsi"/>
                <w:b/>
                <w:bCs/>
                <w:sz w:val="24"/>
                <w:szCs w:val="24"/>
              </w:rPr>
              <w:t>Prace rozwojowe</w:t>
            </w:r>
          </w:p>
        </w:tc>
        <w:tc>
          <w:tcPr>
            <w:tcW w:w="2126" w:type="dxa"/>
            <w:shd w:val="clear" w:color="auto" w:fill="DEEAF6" w:themeFill="accent5" w:themeFillTint="33"/>
            <w:vAlign w:val="center"/>
          </w:tcPr>
          <w:p w14:paraId="5FF02E40" w14:textId="77777777" w:rsidR="00F26898" w:rsidRPr="00762814" w:rsidRDefault="00F26898" w:rsidP="00762814">
            <w:pPr>
              <w:spacing w:after="120" w:line="276" w:lineRule="auto"/>
              <w:jc w:val="center"/>
              <w:rPr>
                <w:rFonts w:cstheme="minorHAnsi"/>
                <w:b/>
                <w:bCs/>
                <w:sz w:val="24"/>
                <w:szCs w:val="24"/>
              </w:rPr>
            </w:pPr>
            <w:r w:rsidRPr="00762814">
              <w:rPr>
                <w:rFonts w:cstheme="minorHAnsi"/>
                <w:b/>
                <w:bCs/>
                <w:sz w:val="24"/>
                <w:szCs w:val="24"/>
              </w:rPr>
              <w:t>Prace rozwojowe</w:t>
            </w:r>
            <w:r w:rsidRPr="00762814">
              <w:rPr>
                <w:rFonts w:cstheme="minorHAnsi"/>
                <w:b/>
                <w:bCs/>
                <w:sz w:val="24"/>
                <w:szCs w:val="24"/>
              </w:rPr>
              <w:br/>
              <w:t>(z uwzględnieniem premii)</w:t>
            </w:r>
          </w:p>
        </w:tc>
      </w:tr>
      <w:tr w:rsidR="00F26898" w:rsidRPr="00762814" w14:paraId="1F12158B" w14:textId="77777777" w:rsidTr="00BD41FF">
        <w:trPr>
          <w:trHeight w:val="621"/>
        </w:trPr>
        <w:tc>
          <w:tcPr>
            <w:tcW w:w="1667" w:type="dxa"/>
            <w:vAlign w:val="center"/>
          </w:tcPr>
          <w:p w14:paraId="3F67A4F1" w14:textId="77777777" w:rsidR="00F26898" w:rsidRPr="00762814" w:rsidRDefault="00F26898" w:rsidP="00762814">
            <w:pPr>
              <w:spacing w:after="120" w:line="276" w:lineRule="auto"/>
              <w:jc w:val="center"/>
              <w:rPr>
                <w:rFonts w:cstheme="minorHAnsi"/>
                <w:b/>
                <w:bCs/>
                <w:sz w:val="24"/>
                <w:szCs w:val="24"/>
              </w:rPr>
            </w:pPr>
            <w:r w:rsidRPr="00762814">
              <w:rPr>
                <w:rFonts w:cstheme="minorHAnsi"/>
                <w:b/>
                <w:bCs/>
                <w:sz w:val="24"/>
                <w:szCs w:val="24"/>
              </w:rPr>
              <w:t>Mikro</w:t>
            </w:r>
          </w:p>
        </w:tc>
        <w:tc>
          <w:tcPr>
            <w:tcW w:w="1543" w:type="dxa"/>
            <w:vAlign w:val="center"/>
          </w:tcPr>
          <w:p w14:paraId="062F7C68"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70%</w:t>
            </w:r>
          </w:p>
        </w:tc>
        <w:tc>
          <w:tcPr>
            <w:tcW w:w="2154" w:type="dxa"/>
            <w:vAlign w:val="center"/>
          </w:tcPr>
          <w:p w14:paraId="66C466DD"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80%</w:t>
            </w:r>
          </w:p>
        </w:tc>
        <w:tc>
          <w:tcPr>
            <w:tcW w:w="1592" w:type="dxa"/>
            <w:vAlign w:val="center"/>
          </w:tcPr>
          <w:p w14:paraId="17AB1842"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45%</w:t>
            </w:r>
          </w:p>
        </w:tc>
        <w:tc>
          <w:tcPr>
            <w:tcW w:w="2126" w:type="dxa"/>
            <w:vAlign w:val="center"/>
          </w:tcPr>
          <w:p w14:paraId="19CE6C01"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60%</w:t>
            </w:r>
          </w:p>
        </w:tc>
      </w:tr>
      <w:tr w:rsidR="00F26898" w:rsidRPr="00762814" w14:paraId="26B5D9C7" w14:textId="77777777" w:rsidTr="00BD41FF">
        <w:trPr>
          <w:trHeight w:val="621"/>
        </w:trPr>
        <w:tc>
          <w:tcPr>
            <w:tcW w:w="1667" w:type="dxa"/>
            <w:shd w:val="clear" w:color="auto" w:fill="DEEAF6" w:themeFill="accent5" w:themeFillTint="33"/>
            <w:vAlign w:val="center"/>
          </w:tcPr>
          <w:p w14:paraId="13D12B4C" w14:textId="77777777" w:rsidR="00F26898" w:rsidRPr="00762814" w:rsidRDefault="00F26898" w:rsidP="00762814">
            <w:pPr>
              <w:spacing w:after="120" w:line="276" w:lineRule="auto"/>
              <w:jc w:val="center"/>
              <w:rPr>
                <w:rFonts w:cstheme="minorHAnsi"/>
                <w:b/>
                <w:bCs/>
                <w:sz w:val="24"/>
                <w:szCs w:val="24"/>
              </w:rPr>
            </w:pPr>
            <w:r w:rsidRPr="00762814">
              <w:rPr>
                <w:rFonts w:cstheme="minorHAnsi"/>
                <w:b/>
                <w:bCs/>
                <w:sz w:val="24"/>
                <w:szCs w:val="24"/>
              </w:rPr>
              <w:t>Małe</w:t>
            </w:r>
          </w:p>
        </w:tc>
        <w:tc>
          <w:tcPr>
            <w:tcW w:w="1543" w:type="dxa"/>
            <w:shd w:val="clear" w:color="auto" w:fill="DEEAF6" w:themeFill="accent5" w:themeFillTint="33"/>
            <w:vAlign w:val="center"/>
          </w:tcPr>
          <w:p w14:paraId="5A76C61E"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70%</w:t>
            </w:r>
          </w:p>
        </w:tc>
        <w:tc>
          <w:tcPr>
            <w:tcW w:w="2154" w:type="dxa"/>
            <w:shd w:val="clear" w:color="auto" w:fill="DEEAF6" w:themeFill="accent5" w:themeFillTint="33"/>
            <w:vAlign w:val="center"/>
          </w:tcPr>
          <w:p w14:paraId="199B5FFE"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80%</w:t>
            </w:r>
          </w:p>
        </w:tc>
        <w:tc>
          <w:tcPr>
            <w:tcW w:w="1592" w:type="dxa"/>
            <w:shd w:val="clear" w:color="auto" w:fill="DEEAF6" w:themeFill="accent5" w:themeFillTint="33"/>
            <w:vAlign w:val="center"/>
          </w:tcPr>
          <w:p w14:paraId="78BE46BF"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45%</w:t>
            </w:r>
          </w:p>
        </w:tc>
        <w:tc>
          <w:tcPr>
            <w:tcW w:w="2126" w:type="dxa"/>
            <w:shd w:val="clear" w:color="auto" w:fill="DEEAF6" w:themeFill="accent5" w:themeFillTint="33"/>
            <w:vAlign w:val="center"/>
          </w:tcPr>
          <w:p w14:paraId="36AD056C"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60%</w:t>
            </w:r>
          </w:p>
        </w:tc>
      </w:tr>
      <w:tr w:rsidR="00F26898" w:rsidRPr="00762814" w14:paraId="3850C37C" w14:textId="77777777" w:rsidTr="00BD41FF">
        <w:trPr>
          <w:trHeight w:val="621"/>
        </w:trPr>
        <w:tc>
          <w:tcPr>
            <w:tcW w:w="1667" w:type="dxa"/>
            <w:vAlign w:val="center"/>
          </w:tcPr>
          <w:p w14:paraId="29705D18" w14:textId="77777777" w:rsidR="00F26898" w:rsidRPr="00762814" w:rsidRDefault="00F26898" w:rsidP="00762814">
            <w:pPr>
              <w:spacing w:after="120" w:line="276" w:lineRule="auto"/>
              <w:jc w:val="center"/>
              <w:rPr>
                <w:rFonts w:cstheme="minorHAnsi"/>
                <w:b/>
                <w:bCs/>
                <w:sz w:val="24"/>
                <w:szCs w:val="24"/>
              </w:rPr>
            </w:pPr>
            <w:r w:rsidRPr="00762814">
              <w:rPr>
                <w:rFonts w:cstheme="minorHAnsi"/>
                <w:b/>
                <w:bCs/>
                <w:sz w:val="24"/>
                <w:szCs w:val="24"/>
              </w:rPr>
              <w:t>Średnie</w:t>
            </w:r>
          </w:p>
        </w:tc>
        <w:tc>
          <w:tcPr>
            <w:tcW w:w="1543" w:type="dxa"/>
            <w:vAlign w:val="center"/>
          </w:tcPr>
          <w:p w14:paraId="56B0253A"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60%</w:t>
            </w:r>
          </w:p>
        </w:tc>
        <w:tc>
          <w:tcPr>
            <w:tcW w:w="2154" w:type="dxa"/>
            <w:vAlign w:val="center"/>
          </w:tcPr>
          <w:p w14:paraId="3E911529"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75%</w:t>
            </w:r>
          </w:p>
        </w:tc>
        <w:tc>
          <w:tcPr>
            <w:tcW w:w="1592" w:type="dxa"/>
            <w:vAlign w:val="center"/>
          </w:tcPr>
          <w:p w14:paraId="5EE59FBB"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35%</w:t>
            </w:r>
          </w:p>
        </w:tc>
        <w:tc>
          <w:tcPr>
            <w:tcW w:w="2126" w:type="dxa"/>
            <w:vAlign w:val="center"/>
          </w:tcPr>
          <w:p w14:paraId="2A2DC0F8"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50%</w:t>
            </w:r>
          </w:p>
        </w:tc>
      </w:tr>
      <w:tr w:rsidR="00F26898" w:rsidRPr="00762814" w14:paraId="0423AD72" w14:textId="77777777" w:rsidTr="00BD41FF">
        <w:trPr>
          <w:trHeight w:val="621"/>
        </w:trPr>
        <w:tc>
          <w:tcPr>
            <w:tcW w:w="1667" w:type="dxa"/>
            <w:shd w:val="clear" w:color="auto" w:fill="DEEAF6" w:themeFill="accent5" w:themeFillTint="33"/>
            <w:vAlign w:val="center"/>
          </w:tcPr>
          <w:p w14:paraId="0D683A47" w14:textId="77777777" w:rsidR="00F26898" w:rsidRPr="00762814" w:rsidRDefault="00F26898" w:rsidP="00762814">
            <w:pPr>
              <w:spacing w:after="120" w:line="276" w:lineRule="auto"/>
              <w:jc w:val="center"/>
              <w:rPr>
                <w:rFonts w:cstheme="minorHAnsi"/>
                <w:b/>
                <w:bCs/>
                <w:sz w:val="24"/>
                <w:szCs w:val="24"/>
              </w:rPr>
            </w:pPr>
            <w:r w:rsidRPr="00762814">
              <w:rPr>
                <w:rFonts w:cstheme="minorHAnsi"/>
                <w:b/>
                <w:bCs/>
                <w:sz w:val="24"/>
                <w:szCs w:val="24"/>
              </w:rPr>
              <w:t>Duże</w:t>
            </w:r>
          </w:p>
        </w:tc>
        <w:tc>
          <w:tcPr>
            <w:tcW w:w="1543" w:type="dxa"/>
            <w:shd w:val="clear" w:color="auto" w:fill="DEEAF6" w:themeFill="accent5" w:themeFillTint="33"/>
            <w:vAlign w:val="center"/>
          </w:tcPr>
          <w:p w14:paraId="72905B2E"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50%</w:t>
            </w:r>
          </w:p>
        </w:tc>
        <w:tc>
          <w:tcPr>
            <w:tcW w:w="2154" w:type="dxa"/>
            <w:shd w:val="clear" w:color="auto" w:fill="DEEAF6" w:themeFill="accent5" w:themeFillTint="33"/>
            <w:vAlign w:val="center"/>
          </w:tcPr>
          <w:p w14:paraId="2706E60E"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65%</w:t>
            </w:r>
          </w:p>
        </w:tc>
        <w:tc>
          <w:tcPr>
            <w:tcW w:w="1592" w:type="dxa"/>
            <w:shd w:val="clear" w:color="auto" w:fill="DEEAF6" w:themeFill="accent5" w:themeFillTint="33"/>
            <w:vAlign w:val="center"/>
          </w:tcPr>
          <w:p w14:paraId="4EB461C1"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25%</w:t>
            </w:r>
          </w:p>
        </w:tc>
        <w:tc>
          <w:tcPr>
            <w:tcW w:w="2126" w:type="dxa"/>
            <w:shd w:val="clear" w:color="auto" w:fill="DEEAF6" w:themeFill="accent5" w:themeFillTint="33"/>
            <w:vAlign w:val="center"/>
          </w:tcPr>
          <w:p w14:paraId="79170B91" w14:textId="77777777" w:rsidR="00F26898" w:rsidRPr="00762814" w:rsidRDefault="00F26898" w:rsidP="00762814">
            <w:pPr>
              <w:spacing w:after="120" w:line="276" w:lineRule="auto"/>
              <w:jc w:val="center"/>
              <w:rPr>
                <w:rFonts w:cstheme="minorHAnsi"/>
                <w:sz w:val="24"/>
                <w:szCs w:val="24"/>
              </w:rPr>
            </w:pPr>
            <w:r w:rsidRPr="00762814">
              <w:rPr>
                <w:rFonts w:cstheme="minorHAnsi"/>
                <w:sz w:val="24"/>
                <w:szCs w:val="24"/>
              </w:rPr>
              <w:t>40%</w:t>
            </w:r>
          </w:p>
        </w:tc>
      </w:tr>
    </w:tbl>
    <w:p w14:paraId="4718B7A9" w14:textId="14821AB0" w:rsidR="00D44E12" w:rsidRDefault="00EC4C4C" w:rsidP="00BD41FF">
      <w:pPr>
        <w:spacing w:before="120" w:after="120" w:line="276" w:lineRule="auto"/>
        <w:rPr>
          <w:rFonts w:cstheme="minorHAnsi"/>
          <w:b/>
          <w:bCs/>
          <w:sz w:val="24"/>
          <w:szCs w:val="24"/>
        </w:rPr>
      </w:pPr>
      <w:bookmarkStart w:id="226" w:name="_Hlk126662263"/>
      <w:r w:rsidRPr="00762814">
        <w:rPr>
          <w:rFonts w:cstheme="minorHAnsi"/>
          <w:b/>
          <w:bCs/>
          <w:sz w:val="24"/>
          <w:szCs w:val="24"/>
        </w:rPr>
        <w:t xml:space="preserve">Tabela nr </w:t>
      </w:r>
      <w:r w:rsidR="00D44E12" w:rsidRPr="00762814">
        <w:rPr>
          <w:rFonts w:cstheme="minorHAnsi"/>
          <w:b/>
          <w:bCs/>
          <w:sz w:val="24"/>
          <w:szCs w:val="24"/>
        </w:rPr>
        <w:t xml:space="preserve">2. Intensywności wsparcia </w:t>
      </w:r>
      <w:r w:rsidR="00A5516B" w:rsidRPr="00762814">
        <w:rPr>
          <w:rFonts w:cstheme="minorHAnsi"/>
          <w:b/>
          <w:bCs/>
          <w:sz w:val="24"/>
          <w:szCs w:val="24"/>
        </w:rPr>
        <w:t>dla</w:t>
      </w:r>
      <w:r w:rsidR="00D44E12" w:rsidRPr="00762814">
        <w:rPr>
          <w:rFonts w:cstheme="minorHAnsi"/>
          <w:b/>
          <w:bCs/>
          <w:sz w:val="24"/>
          <w:szCs w:val="24"/>
        </w:rPr>
        <w:t xml:space="preserve"> regionalnej pomocy inwestycyjnej</w:t>
      </w:r>
    </w:p>
    <w:p w14:paraId="3AD6502C" w14:textId="77777777" w:rsidR="004F3B32" w:rsidRPr="00CA563B" w:rsidRDefault="004F3B32" w:rsidP="00BD41FF">
      <w:pPr>
        <w:spacing w:before="120" w:after="120" w:line="276" w:lineRule="auto"/>
        <w:rPr>
          <w:b/>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2265"/>
        <w:gridCol w:w="1134"/>
        <w:gridCol w:w="1276"/>
        <w:gridCol w:w="1275"/>
      </w:tblGrid>
      <w:tr w:rsidR="00D61896" w:rsidRPr="00274367" w14:paraId="3AECB0F9" w14:textId="77777777" w:rsidTr="00BD41FF">
        <w:trPr>
          <w:tblHeader/>
        </w:trPr>
        <w:tc>
          <w:tcPr>
            <w:tcW w:w="5387" w:type="dxa"/>
            <w:gridSpan w:val="2"/>
            <w:vMerge w:val="restart"/>
            <w:shd w:val="clear" w:color="auto" w:fill="D9E2F3" w:themeFill="accent1" w:themeFillTint="33"/>
            <w:vAlign w:val="center"/>
          </w:tcPr>
          <w:bookmarkEnd w:id="226"/>
          <w:p w14:paraId="59CB033E" w14:textId="77777777" w:rsidR="00D61896" w:rsidRPr="00274367" w:rsidRDefault="00D61896" w:rsidP="00762814">
            <w:pPr>
              <w:pStyle w:val="Wtabeli"/>
              <w:spacing w:line="276" w:lineRule="auto"/>
              <w:rPr>
                <w:rFonts w:cstheme="minorHAnsi"/>
                <w:b/>
                <w:bCs/>
                <w:sz w:val="24"/>
                <w:szCs w:val="24"/>
              </w:rPr>
            </w:pPr>
            <w:r w:rsidRPr="00274367">
              <w:rPr>
                <w:rFonts w:cstheme="minorHAnsi"/>
                <w:b/>
                <w:bCs/>
                <w:sz w:val="24"/>
                <w:szCs w:val="24"/>
              </w:rPr>
              <w:t>Województwa (regiony)</w:t>
            </w:r>
          </w:p>
        </w:tc>
        <w:tc>
          <w:tcPr>
            <w:tcW w:w="3685" w:type="dxa"/>
            <w:gridSpan w:val="3"/>
            <w:shd w:val="clear" w:color="auto" w:fill="D9E2F3" w:themeFill="accent1" w:themeFillTint="33"/>
            <w:vAlign w:val="center"/>
          </w:tcPr>
          <w:p w14:paraId="5A744E4C" w14:textId="408ECE61" w:rsidR="00D61896" w:rsidRPr="00274367" w:rsidRDefault="00D61896" w:rsidP="00D61896">
            <w:pPr>
              <w:pStyle w:val="Wtabeli"/>
              <w:spacing w:line="276" w:lineRule="auto"/>
              <w:jc w:val="center"/>
              <w:rPr>
                <w:rFonts w:cstheme="minorHAnsi"/>
                <w:b/>
                <w:bCs/>
                <w:sz w:val="24"/>
                <w:szCs w:val="24"/>
              </w:rPr>
            </w:pPr>
            <w:r w:rsidRPr="00274367">
              <w:rPr>
                <w:rFonts w:cstheme="minorHAnsi"/>
                <w:b/>
                <w:bCs/>
                <w:sz w:val="24"/>
                <w:szCs w:val="24"/>
              </w:rPr>
              <w:t>Przedsiębiorstwa</w:t>
            </w:r>
          </w:p>
        </w:tc>
      </w:tr>
      <w:tr w:rsidR="00D61896" w:rsidRPr="00274367" w14:paraId="32E71EAD" w14:textId="77777777" w:rsidTr="00BD41FF">
        <w:trPr>
          <w:tblHeader/>
        </w:trPr>
        <w:tc>
          <w:tcPr>
            <w:tcW w:w="5387" w:type="dxa"/>
            <w:gridSpan w:val="2"/>
            <w:vMerge/>
            <w:shd w:val="clear" w:color="auto" w:fill="D9E2F3" w:themeFill="accent1" w:themeFillTint="33"/>
            <w:vAlign w:val="center"/>
          </w:tcPr>
          <w:p w14:paraId="0FE744DE" w14:textId="77777777" w:rsidR="00D61896" w:rsidRPr="00274367" w:rsidRDefault="00D61896" w:rsidP="00762814">
            <w:pPr>
              <w:pStyle w:val="Wtabeli"/>
              <w:spacing w:line="276" w:lineRule="auto"/>
              <w:rPr>
                <w:rFonts w:cstheme="minorHAnsi"/>
                <w:b/>
                <w:bCs/>
                <w:sz w:val="24"/>
                <w:szCs w:val="24"/>
              </w:rPr>
            </w:pPr>
          </w:p>
        </w:tc>
        <w:tc>
          <w:tcPr>
            <w:tcW w:w="1134" w:type="dxa"/>
            <w:shd w:val="clear" w:color="auto" w:fill="D9E2F3" w:themeFill="accent1" w:themeFillTint="33"/>
            <w:vAlign w:val="center"/>
          </w:tcPr>
          <w:p w14:paraId="3649A2AF" w14:textId="4A58290A" w:rsidR="00D61896" w:rsidRPr="00274367" w:rsidRDefault="00D61896" w:rsidP="00762814">
            <w:pPr>
              <w:pStyle w:val="Wtabeli"/>
              <w:spacing w:line="276" w:lineRule="auto"/>
              <w:jc w:val="center"/>
              <w:rPr>
                <w:rFonts w:cstheme="minorHAnsi"/>
                <w:b/>
                <w:bCs/>
                <w:sz w:val="24"/>
                <w:szCs w:val="24"/>
              </w:rPr>
            </w:pPr>
            <w:r w:rsidRPr="00274367">
              <w:rPr>
                <w:rFonts w:cstheme="minorHAnsi"/>
                <w:b/>
                <w:bCs/>
                <w:sz w:val="24"/>
                <w:szCs w:val="24"/>
              </w:rPr>
              <w:t>Małe</w:t>
            </w:r>
          </w:p>
        </w:tc>
        <w:tc>
          <w:tcPr>
            <w:tcW w:w="1276" w:type="dxa"/>
            <w:shd w:val="clear" w:color="auto" w:fill="D9E2F3" w:themeFill="accent1" w:themeFillTint="33"/>
            <w:vAlign w:val="center"/>
          </w:tcPr>
          <w:p w14:paraId="41F2E998" w14:textId="1E58A9AC" w:rsidR="00D61896" w:rsidRPr="00274367" w:rsidRDefault="00D61896" w:rsidP="00762814">
            <w:pPr>
              <w:pStyle w:val="Wtabeli"/>
              <w:spacing w:line="276" w:lineRule="auto"/>
              <w:jc w:val="center"/>
              <w:rPr>
                <w:rFonts w:cstheme="minorHAnsi"/>
                <w:b/>
                <w:bCs/>
                <w:sz w:val="24"/>
                <w:szCs w:val="24"/>
              </w:rPr>
            </w:pPr>
            <w:r w:rsidRPr="00274367">
              <w:rPr>
                <w:rFonts w:cstheme="minorHAnsi"/>
                <w:b/>
                <w:bCs/>
                <w:sz w:val="24"/>
                <w:szCs w:val="24"/>
              </w:rPr>
              <w:t>Średnie</w:t>
            </w:r>
          </w:p>
        </w:tc>
        <w:tc>
          <w:tcPr>
            <w:tcW w:w="1275" w:type="dxa"/>
            <w:shd w:val="clear" w:color="auto" w:fill="D9E2F3" w:themeFill="accent1" w:themeFillTint="33"/>
          </w:tcPr>
          <w:p w14:paraId="1EF833C7" w14:textId="0A15462B" w:rsidR="00D61896" w:rsidRPr="00274367" w:rsidRDefault="00D61896" w:rsidP="00762814">
            <w:pPr>
              <w:pStyle w:val="Wtabeli"/>
              <w:spacing w:line="276" w:lineRule="auto"/>
              <w:jc w:val="center"/>
              <w:rPr>
                <w:rFonts w:cstheme="minorHAnsi"/>
                <w:b/>
                <w:bCs/>
                <w:sz w:val="24"/>
                <w:szCs w:val="24"/>
              </w:rPr>
            </w:pPr>
            <w:r w:rsidRPr="00274367">
              <w:rPr>
                <w:rFonts w:cstheme="minorHAnsi"/>
                <w:b/>
                <w:bCs/>
                <w:sz w:val="24"/>
                <w:szCs w:val="24"/>
              </w:rPr>
              <w:t>Duże</w:t>
            </w:r>
          </w:p>
        </w:tc>
      </w:tr>
      <w:tr w:rsidR="00D208C9" w:rsidRPr="00274367" w14:paraId="51699B55" w14:textId="77777777" w:rsidTr="00BD41FF">
        <w:tc>
          <w:tcPr>
            <w:tcW w:w="5387" w:type="dxa"/>
            <w:gridSpan w:val="2"/>
            <w:vAlign w:val="center"/>
          </w:tcPr>
          <w:p w14:paraId="254E017F" w14:textId="79C23427" w:rsidR="004142E5" w:rsidRPr="00274367" w:rsidRDefault="004142E5" w:rsidP="00BD41FF">
            <w:pPr>
              <w:pStyle w:val="Wtabeli"/>
              <w:spacing w:after="0"/>
              <w:jc w:val="left"/>
              <w:rPr>
                <w:rFonts w:cstheme="minorHAnsi"/>
                <w:sz w:val="24"/>
                <w:szCs w:val="24"/>
              </w:rPr>
            </w:pPr>
            <w:r w:rsidRPr="00274367">
              <w:rPr>
                <w:rFonts w:cstheme="minorHAnsi"/>
                <w:sz w:val="24"/>
                <w:szCs w:val="24"/>
              </w:rPr>
              <w:t>lubelskie, podkarpackie, podlaskie, świętokrzyskie, warmińsko-mazurskie;</w:t>
            </w:r>
          </w:p>
          <w:p w14:paraId="3C9C3217" w14:textId="77777777" w:rsidR="004142E5" w:rsidRPr="00274367" w:rsidRDefault="004142E5" w:rsidP="00BD41FF">
            <w:pPr>
              <w:pStyle w:val="Wtabeli"/>
              <w:spacing w:after="0"/>
              <w:jc w:val="left"/>
              <w:rPr>
                <w:rFonts w:cstheme="minorHAnsi"/>
                <w:sz w:val="24"/>
                <w:szCs w:val="24"/>
              </w:rPr>
            </w:pPr>
            <w:r w:rsidRPr="00274367">
              <w:rPr>
                <w:rFonts w:cstheme="minorHAnsi"/>
                <w:sz w:val="24"/>
                <w:szCs w:val="24"/>
              </w:rPr>
              <w:t>mazowieckie (podregion siedlecki)</w:t>
            </w:r>
          </w:p>
        </w:tc>
        <w:tc>
          <w:tcPr>
            <w:tcW w:w="1134" w:type="dxa"/>
            <w:vAlign w:val="center"/>
          </w:tcPr>
          <w:p w14:paraId="4F3A64BC" w14:textId="77777777" w:rsidR="004142E5" w:rsidRPr="00274367" w:rsidRDefault="004142E5" w:rsidP="00D61896">
            <w:pPr>
              <w:pStyle w:val="Wtabeli"/>
              <w:spacing w:line="276" w:lineRule="auto"/>
              <w:jc w:val="center"/>
              <w:rPr>
                <w:rFonts w:cstheme="minorHAnsi"/>
                <w:sz w:val="24"/>
                <w:szCs w:val="24"/>
              </w:rPr>
            </w:pPr>
            <w:r w:rsidRPr="00274367">
              <w:rPr>
                <w:rFonts w:cstheme="minorHAnsi"/>
                <w:sz w:val="24"/>
                <w:szCs w:val="24"/>
              </w:rPr>
              <w:t>70%</w:t>
            </w:r>
          </w:p>
        </w:tc>
        <w:tc>
          <w:tcPr>
            <w:tcW w:w="1276" w:type="dxa"/>
            <w:vAlign w:val="center"/>
          </w:tcPr>
          <w:p w14:paraId="0E376BF9" w14:textId="77777777" w:rsidR="004142E5" w:rsidRPr="00274367" w:rsidRDefault="004142E5" w:rsidP="00D61896">
            <w:pPr>
              <w:pStyle w:val="Wtabeli"/>
              <w:spacing w:line="276" w:lineRule="auto"/>
              <w:jc w:val="center"/>
              <w:rPr>
                <w:rFonts w:cstheme="minorHAnsi"/>
                <w:sz w:val="24"/>
                <w:szCs w:val="24"/>
              </w:rPr>
            </w:pPr>
            <w:r w:rsidRPr="00274367">
              <w:rPr>
                <w:rFonts w:cstheme="minorHAnsi"/>
                <w:sz w:val="24"/>
                <w:szCs w:val="24"/>
              </w:rPr>
              <w:t>60%</w:t>
            </w:r>
          </w:p>
        </w:tc>
        <w:tc>
          <w:tcPr>
            <w:tcW w:w="1275" w:type="dxa"/>
            <w:vAlign w:val="center"/>
          </w:tcPr>
          <w:p w14:paraId="7F35E39B" w14:textId="255D122D" w:rsidR="004142E5" w:rsidRPr="00274367" w:rsidRDefault="004142E5" w:rsidP="00D61896">
            <w:pPr>
              <w:pStyle w:val="Wtabeli"/>
              <w:spacing w:line="276" w:lineRule="auto"/>
              <w:jc w:val="center"/>
              <w:rPr>
                <w:rFonts w:cstheme="minorHAnsi"/>
                <w:sz w:val="24"/>
                <w:szCs w:val="24"/>
              </w:rPr>
            </w:pPr>
            <w:r w:rsidRPr="00274367">
              <w:rPr>
                <w:rFonts w:cstheme="minorHAnsi"/>
                <w:sz w:val="24"/>
                <w:szCs w:val="24"/>
              </w:rPr>
              <w:t>50%</w:t>
            </w:r>
          </w:p>
        </w:tc>
      </w:tr>
      <w:tr w:rsidR="00D208C9" w:rsidRPr="00274367" w14:paraId="14D6E33B" w14:textId="77777777" w:rsidTr="00BD41FF">
        <w:tc>
          <w:tcPr>
            <w:tcW w:w="5387" w:type="dxa"/>
            <w:gridSpan w:val="2"/>
            <w:vAlign w:val="center"/>
          </w:tcPr>
          <w:p w14:paraId="5B78E69E" w14:textId="77777777" w:rsidR="004142E5" w:rsidRPr="00274367" w:rsidRDefault="004142E5" w:rsidP="00BD41FF">
            <w:pPr>
              <w:pStyle w:val="Wtabeli"/>
              <w:spacing w:after="0"/>
              <w:jc w:val="left"/>
              <w:rPr>
                <w:rFonts w:cstheme="minorHAnsi"/>
                <w:sz w:val="24"/>
                <w:szCs w:val="24"/>
              </w:rPr>
            </w:pPr>
            <w:r w:rsidRPr="00274367">
              <w:rPr>
                <w:rFonts w:cstheme="minorHAnsi"/>
                <w:sz w:val="24"/>
                <w:szCs w:val="24"/>
              </w:rPr>
              <w:t>kujawsko-pomorskie, lubuskie, łódzkie, małopolskie, opolskie, zachodniopomorskie;</w:t>
            </w:r>
          </w:p>
          <w:p w14:paraId="483413F7" w14:textId="1BE5FF9C" w:rsidR="004142E5" w:rsidRPr="00274367" w:rsidRDefault="004142E5" w:rsidP="00BD41FF">
            <w:pPr>
              <w:pStyle w:val="Wtabeli"/>
              <w:spacing w:after="0"/>
              <w:jc w:val="left"/>
              <w:rPr>
                <w:rFonts w:cstheme="minorHAnsi"/>
                <w:sz w:val="24"/>
                <w:szCs w:val="24"/>
              </w:rPr>
            </w:pPr>
            <w:r w:rsidRPr="00274367">
              <w:rPr>
                <w:rFonts w:cstheme="minorHAnsi"/>
                <w:sz w:val="24"/>
                <w:szCs w:val="24"/>
              </w:rPr>
              <w:t>region mazowiecki (podregiony</w:t>
            </w:r>
            <w:r w:rsidR="000515B6" w:rsidRPr="00274367">
              <w:rPr>
                <w:rFonts w:cstheme="minorHAnsi"/>
                <w:sz w:val="24"/>
                <w:szCs w:val="24"/>
              </w:rPr>
              <w:t>: ciechanowski, ostrołęcki, płocki, radomski, żyrardowski</w:t>
            </w:r>
            <w:r w:rsidRPr="00274367">
              <w:rPr>
                <w:rFonts w:cstheme="minorHAnsi"/>
                <w:sz w:val="24"/>
                <w:szCs w:val="24"/>
              </w:rPr>
              <w:t>)</w:t>
            </w:r>
          </w:p>
        </w:tc>
        <w:tc>
          <w:tcPr>
            <w:tcW w:w="1134" w:type="dxa"/>
            <w:vAlign w:val="center"/>
          </w:tcPr>
          <w:p w14:paraId="10EEB909" w14:textId="77777777" w:rsidR="004142E5" w:rsidRPr="00274367" w:rsidRDefault="004142E5" w:rsidP="00D61896">
            <w:pPr>
              <w:pStyle w:val="Wtabeli"/>
              <w:spacing w:line="276" w:lineRule="auto"/>
              <w:jc w:val="center"/>
              <w:rPr>
                <w:rFonts w:cstheme="minorHAnsi"/>
                <w:sz w:val="24"/>
                <w:szCs w:val="24"/>
              </w:rPr>
            </w:pPr>
            <w:r w:rsidRPr="00274367">
              <w:rPr>
                <w:rFonts w:cstheme="minorHAnsi"/>
                <w:sz w:val="24"/>
                <w:szCs w:val="24"/>
              </w:rPr>
              <w:t>60%</w:t>
            </w:r>
          </w:p>
        </w:tc>
        <w:tc>
          <w:tcPr>
            <w:tcW w:w="1276" w:type="dxa"/>
            <w:vAlign w:val="center"/>
          </w:tcPr>
          <w:p w14:paraId="313D3AA1" w14:textId="77777777" w:rsidR="004142E5" w:rsidRPr="00274367" w:rsidRDefault="004142E5" w:rsidP="00D61896">
            <w:pPr>
              <w:pStyle w:val="Wtabeli"/>
              <w:spacing w:line="276" w:lineRule="auto"/>
              <w:jc w:val="center"/>
              <w:rPr>
                <w:rFonts w:cstheme="minorHAnsi"/>
                <w:sz w:val="24"/>
                <w:szCs w:val="24"/>
              </w:rPr>
            </w:pPr>
            <w:r w:rsidRPr="00274367">
              <w:rPr>
                <w:rFonts w:cstheme="minorHAnsi"/>
                <w:sz w:val="24"/>
                <w:szCs w:val="24"/>
              </w:rPr>
              <w:t>50%</w:t>
            </w:r>
          </w:p>
        </w:tc>
        <w:tc>
          <w:tcPr>
            <w:tcW w:w="1275" w:type="dxa"/>
            <w:vAlign w:val="center"/>
          </w:tcPr>
          <w:p w14:paraId="14FEFA59" w14:textId="518BAACA" w:rsidR="004142E5" w:rsidRPr="00274367" w:rsidRDefault="004142E5" w:rsidP="00D61896">
            <w:pPr>
              <w:pStyle w:val="Wtabeli"/>
              <w:spacing w:line="276" w:lineRule="auto"/>
              <w:jc w:val="center"/>
              <w:rPr>
                <w:rFonts w:cstheme="minorHAnsi"/>
                <w:sz w:val="24"/>
                <w:szCs w:val="24"/>
              </w:rPr>
            </w:pPr>
            <w:r w:rsidRPr="00274367">
              <w:rPr>
                <w:rFonts w:cstheme="minorHAnsi"/>
                <w:sz w:val="24"/>
                <w:szCs w:val="24"/>
              </w:rPr>
              <w:t>40%</w:t>
            </w:r>
          </w:p>
        </w:tc>
      </w:tr>
      <w:tr w:rsidR="00D208C9" w:rsidRPr="00274367" w14:paraId="17E6AFE6" w14:textId="77777777" w:rsidTr="00BD41FF">
        <w:tc>
          <w:tcPr>
            <w:tcW w:w="5387" w:type="dxa"/>
            <w:gridSpan w:val="2"/>
            <w:vAlign w:val="center"/>
          </w:tcPr>
          <w:p w14:paraId="3F23695E" w14:textId="25DAFC2E" w:rsidR="00B24802" w:rsidRPr="00274367" w:rsidRDefault="00B24802" w:rsidP="00BD41FF">
            <w:pPr>
              <w:pStyle w:val="Wtabeli"/>
              <w:spacing w:after="0"/>
              <w:jc w:val="left"/>
              <w:rPr>
                <w:rFonts w:cstheme="minorHAnsi"/>
                <w:sz w:val="24"/>
                <w:szCs w:val="24"/>
              </w:rPr>
            </w:pPr>
            <w:r w:rsidRPr="00274367">
              <w:rPr>
                <w:rFonts w:cstheme="minorHAnsi"/>
                <w:sz w:val="24"/>
                <w:szCs w:val="24"/>
              </w:rPr>
              <w:t>region warszawski stołeczny (obszary należące do gmin: Dąbrówka, Dobre, Jadów, Kałuszyn, Kołbiel, Latowicz, Mrozy, Osieck, Serock, Siennica, Sobienie-Jeziory, Strachówka i Tłuszcz)</w:t>
            </w:r>
          </w:p>
        </w:tc>
        <w:tc>
          <w:tcPr>
            <w:tcW w:w="1134" w:type="dxa"/>
            <w:vAlign w:val="center"/>
          </w:tcPr>
          <w:p w14:paraId="4C8E0CB5" w14:textId="7C807942"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55%</w:t>
            </w:r>
          </w:p>
        </w:tc>
        <w:tc>
          <w:tcPr>
            <w:tcW w:w="1276" w:type="dxa"/>
            <w:vAlign w:val="center"/>
          </w:tcPr>
          <w:p w14:paraId="008A5DEA" w14:textId="67B8E04C"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45%</w:t>
            </w:r>
          </w:p>
        </w:tc>
        <w:tc>
          <w:tcPr>
            <w:tcW w:w="1275" w:type="dxa"/>
            <w:vAlign w:val="center"/>
          </w:tcPr>
          <w:p w14:paraId="57418B89" w14:textId="5A58CFCF"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35%</w:t>
            </w:r>
          </w:p>
        </w:tc>
      </w:tr>
      <w:tr w:rsidR="00D208C9" w:rsidRPr="00274367" w14:paraId="66EF6E61" w14:textId="77777777" w:rsidTr="00BD41FF">
        <w:tc>
          <w:tcPr>
            <w:tcW w:w="5387" w:type="dxa"/>
            <w:gridSpan w:val="2"/>
            <w:vAlign w:val="center"/>
          </w:tcPr>
          <w:p w14:paraId="12D7F912" w14:textId="77777777" w:rsidR="00B24802" w:rsidRPr="00274367" w:rsidRDefault="00B24802" w:rsidP="00BD41FF">
            <w:pPr>
              <w:pStyle w:val="Wtabeli"/>
              <w:spacing w:after="0"/>
              <w:jc w:val="left"/>
              <w:rPr>
                <w:rFonts w:cstheme="minorHAnsi"/>
                <w:sz w:val="24"/>
                <w:szCs w:val="24"/>
              </w:rPr>
            </w:pPr>
            <w:r w:rsidRPr="00274367">
              <w:rPr>
                <w:rFonts w:cstheme="minorHAnsi"/>
                <w:sz w:val="24"/>
                <w:szCs w:val="24"/>
              </w:rPr>
              <w:t>pomorskie, śląskie</w:t>
            </w:r>
          </w:p>
        </w:tc>
        <w:tc>
          <w:tcPr>
            <w:tcW w:w="1134" w:type="dxa"/>
            <w:vAlign w:val="center"/>
          </w:tcPr>
          <w:p w14:paraId="027AE895" w14:textId="77777777"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50%</w:t>
            </w:r>
          </w:p>
        </w:tc>
        <w:tc>
          <w:tcPr>
            <w:tcW w:w="1276" w:type="dxa"/>
            <w:vAlign w:val="center"/>
          </w:tcPr>
          <w:p w14:paraId="403942B8" w14:textId="77777777"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40%</w:t>
            </w:r>
          </w:p>
        </w:tc>
        <w:tc>
          <w:tcPr>
            <w:tcW w:w="1275" w:type="dxa"/>
            <w:vAlign w:val="center"/>
          </w:tcPr>
          <w:p w14:paraId="6FC15539" w14:textId="77777777"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30%</w:t>
            </w:r>
          </w:p>
        </w:tc>
      </w:tr>
      <w:tr w:rsidR="00D208C9" w:rsidRPr="00274367" w14:paraId="5A9BA718" w14:textId="77777777" w:rsidTr="00BD41FF">
        <w:tc>
          <w:tcPr>
            <w:tcW w:w="5387" w:type="dxa"/>
            <w:gridSpan w:val="2"/>
            <w:vAlign w:val="center"/>
          </w:tcPr>
          <w:p w14:paraId="0A6A770D" w14:textId="266B4AE1" w:rsidR="00B24802" w:rsidRPr="00274367" w:rsidRDefault="00B24802" w:rsidP="00BD41FF">
            <w:pPr>
              <w:pStyle w:val="Wtabeli"/>
              <w:spacing w:after="0"/>
              <w:jc w:val="left"/>
              <w:rPr>
                <w:rFonts w:cstheme="minorHAnsi"/>
                <w:sz w:val="24"/>
                <w:szCs w:val="24"/>
              </w:rPr>
            </w:pPr>
            <w:r w:rsidRPr="00274367">
              <w:rPr>
                <w:rFonts w:cstheme="minorHAnsi"/>
                <w:sz w:val="24"/>
                <w:szCs w:val="24"/>
              </w:rPr>
              <w:t>dolnośląskie, wielkopolskie z wyłączeniem podregionu poznańskiego i miasta Poznań;</w:t>
            </w:r>
          </w:p>
          <w:p w14:paraId="3165F235" w14:textId="2A234356" w:rsidR="00B24802" w:rsidRPr="00274367" w:rsidRDefault="00B24802" w:rsidP="00BD41FF">
            <w:pPr>
              <w:pStyle w:val="Wtabeli"/>
              <w:spacing w:after="0"/>
              <w:jc w:val="left"/>
              <w:rPr>
                <w:rFonts w:cstheme="minorHAnsi"/>
                <w:sz w:val="24"/>
                <w:szCs w:val="24"/>
              </w:rPr>
            </w:pPr>
            <w:r w:rsidRPr="00274367">
              <w:rPr>
                <w:rFonts w:cstheme="minorHAnsi"/>
                <w:sz w:val="24"/>
                <w:szCs w:val="24"/>
              </w:rPr>
              <w:t>region warszawski stołeczny (obszary należące do gmin:</w:t>
            </w:r>
            <w:r w:rsidR="00D61896" w:rsidRPr="00274367">
              <w:rPr>
                <w:rFonts w:cstheme="minorHAnsi"/>
                <w:sz w:val="24"/>
                <w:szCs w:val="24"/>
              </w:rPr>
              <w:t xml:space="preserve"> </w:t>
            </w:r>
            <w:r w:rsidRPr="00274367">
              <w:rPr>
                <w:rFonts w:cstheme="minorHAnsi"/>
                <w:sz w:val="24"/>
                <w:szCs w:val="24"/>
              </w:rPr>
              <w:t>Baranów, Błonie, Góra Kalwaria, Grodzisk Mazowiecki, Jaktorów, Kampinos, Leoncin, Leszno, Nasielsk, Prażmów, Tarczyn, Zakroczym i Żabia Wola)</w:t>
            </w:r>
          </w:p>
        </w:tc>
        <w:tc>
          <w:tcPr>
            <w:tcW w:w="1134" w:type="dxa"/>
            <w:vAlign w:val="center"/>
          </w:tcPr>
          <w:p w14:paraId="2F09B5D8" w14:textId="77777777"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45%</w:t>
            </w:r>
          </w:p>
        </w:tc>
        <w:tc>
          <w:tcPr>
            <w:tcW w:w="1276" w:type="dxa"/>
            <w:vAlign w:val="center"/>
          </w:tcPr>
          <w:p w14:paraId="2291EA19" w14:textId="77777777"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35%</w:t>
            </w:r>
          </w:p>
        </w:tc>
        <w:tc>
          <w:tcPr>
            <w:tcW w:w="1275" w:type="dxa"/>
            <w:vAlign w:val="center"/>
          </w:tcPr>
          <w:p w14:paraId="52CE97A0" w14:textId="04503056" w:rsidR="00B24802" w:rsidRPr="00274367" w:rsidRDefault="00B24802" w:rsidP="00D61896">
            <w:pPr>
              <w:pStyle w:val="Wtabeli"/>
              <w:spacing w:line="276" w:lineRule="auto"/>
              <w:jc w:val="center"/>
              <w:rPr>
                <w:rFonts w:cstheme="minorHAnsi"/>
                <w:sz w:val="24"/>
                <w:szCs w:val="24"/>
              </w:rPr>
            </w:pPr>
            <w:r w:rsidRPr="00274367">
              <w:rPr>
                <w:rFonts w:cstheme="minorHAnsi"/>
                <w:sz w:val="24"/>
                <w:szCs w:val="24"/>
              </w:rPr>
              <w:t>25%</w:t>
            </w:r>
          </w:p>
        </w:tc>
      </w:tr>
      <w:tr w:rsidR="00D208C9" w:rsidRPr="00274367" w14:paraId="2CC98824" w14:textId="77777777" w:rsidTr="00BD41FF">
        <w:trPr>
          <w:trHeight w:val="195"/>
        </w:trPr>
        <w:tc>
          <w:tcPr>
            <w:tcW w:w="3122" w:type="dxa"/>
            <w:vMerge w:val="restart"/>
            <w:vAlign w:val="center"/>
          </w:tcPr>
          <w:p w14:paraId="41FFFE26" w14:textId="2B98DAD9" w:rsidR="00B24802" w:rsidRPr="00274367" w:rsidRDefault="00BD41FF" w:rsidP="00BD41FF">
            <w:pPr>
              <w:pStyle w:val="Wtabeli"/>
              <w:spacing w:after="0"/>
              <w:jc w:val="left"/>
              <w:rPr>
                <w:rFonts w:cstheme="minorHAnsi"/>
                <w:sz w:val="24"/>
                <w:szCs w:val="24"/>
              </w:rPr>
            </w:pPr>
            <w:r w:rsidRPr="00274367">
              <w:rPr>
                <w:rFonts w:cstheme="minorHAnsi"/>
                <w:sz w:val="24"/>
                <w:szCs w:val="24"/>
              </w:rPr>
              <w:t>O</w:t>
            </w:r>
            <w:r w:rsidR="00B24802" w:rsidRPr="00274367">
              <w:rPr>
                <w:rFonts w:cstheme="minorHAnsi"/>
                <w:sz w:val="24"/>
                <w:szCs w:val="24"/>
              </w:rPr>
              <w:t>bszar miast Poznań i Wrocław, podregion poznański</w:t>
            </w:r>
          </w:p>
        </w:tc>
        <w:tc>
          <w:tcPr>
            <w:tcW w:w="2265" w:type="dxa"/>
            <w:vAlign w:val="center"/>
          </w:tcPr>
          <w:p w14:paraId="14C5D3BF" w14:textId="77777777" w:rsidR="00B24802" w:rsidRPr="00274367" w:rsidRDefault="00B24802" w:rsidP="00762814">
            <w:pPr>
              <w:pStyle w:val="Wtabeli"/>
              <w:spacing w:line="276" w:lineRule="auto"/>
              <w:rPr>
                <w:rFonts w:cstheme="minorHAnsi"/>
                <w:sz w:val="24"/>
                <w:szCs w:val="24"/>
              </w:rPr>
            </w:pPr>
            <w:r w:rsidRPr="00274367">
              <w:rPr>
                <w:rFonts w:cstheme="minorHAnsi"/>
                <w:sz w:val="24"/>
                <w:szCs w:val="24"/>
              </w:rPr>
              <w:t>od 01.01.2022 r.</w:t>
            </w:r>
          </w:p>
          <w:p w14:paraId="0458F4FF" w14:textId="77777777" w:rsidR="00B24802" w:rsidRPr="00274367" w:rsidRDefault="00B24802" w:rsidP="00762814">
            <w:pPr>
              <w:pStyle w:val="Wtabeli"/>
              <w:spacing w:line="276" w:lineRule="auto"/>
              <w:rPr>
                <w:rFonts w:cstheme="minorHAnsi"/>
                <w:sz w:val="24"/>
                <w:szCs w:val="24"/>
              </w:rPr>
            </w:pPr>
            <w:r w:rsidRPr="00274367">
              <w:rPr>
                <w:rFonts w:cstheme="minorHAnsi"/>
                <w:sz w:val="24"/>
                <w:szCs w:val="24"/>
              </w:rPr>
              <w:t>do 31.12.2024 r.</w:t>
            </w:r>
          </w:p>
        </w:tc>
        <w:tc>
          <w:tcPr>
            <w:tcW w:w="1134" w:type="dxa"/>
            <w:vAlign w:val="center"/>
          </w:tcPr>
          <w:p w14:paraId="63BB8D5C" w14:textId="7777777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40%</w:t>
            </w:r>
          </w:p>
        </w:tc>
        <w:tc>
          <w:tcPr>
            <w:tcW w:w="1276" w:type="dxa"/>
            <w:vAlign w:val="center"/>
          </w:tcPr>
          <w:p w14:paraId="2D2B0180" w14:textId="7777777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30%</w:t>
            </w:r>
          </w:p>
        </w:tc>
        <w:tc>
          <w:tcPr>
            <w:tcW w:w="1275" w:type="dxa"/>
            <w:vAlign w:val="center"/>
          </w:tcPr>
          <w:p w14:paraId="65E567BC" w14:textId="6EDF58B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20%</w:t>
            </w:r>
          </w:p>
        </w:tc>
      </w:tr>
      <w:tr w:rsidR="00D208C9" w:rsidRPr="00274367" w14:paraId="3D397574" w14:textId="77777777" w:rsidTr="00BD41FF">
        <w:trPr>
          <w:trHeight w:val="180"/>
        </w:trPr>
        <w:tc>
          <w:tcPr>
            <w:tcW w:w="3122" w:type="dxa"/>
            <w:vMerge/>
            <w:vAlign w:val="center"/>
          </w:tcPr>
          <w:p w14:paraId="4A7895AF" w14:textId="77777777" w:rsidR="00B24802" w:rsidRPr="00274367" w:rsidRDefault="00B24802" w:rsidP="00762814">
            <w:pPr>
              <w:pStyle w:val="Wtabeli"/>
              <w:spacing w:line="276" w:lineRule="auto"/>
              <w:rPr>
                <w:rFonts w:cstheme="minorHAnsi"/>
                <w:sz w:val="24"/>
                <w:szCs w:val="24"/>
              </w:rPr>
            </w:pPr>
          </w:p>
        </w:tc>
        <w:tc>
          <w:tcPr>
            <w:tcW w:w="2265" w:type="dxa"/>
            <w:vAlign w:val="center"/>
          </w:tcPr>
          <w:p w14:paraId="0F1334CB" w14:textId="77777777" w:rsidR="00B24802" w:rsidRPr="00274367" w:rsidRDefault="00B24802" w:rsidP="00762814">
            <w:pPr>
              <w:pStyle w:val="Wtabeli"/>
              <w:spacing w:line="276" w:lineRule="auto"/>
              <w:rPr>
                <w:rFonts w:cstheme="minorHAnsi"/>
                <w:sz w:val="24"/>
                <w:szCs w:val="24"/>
              </w:rPr>
            </w:pPr>
            <w:r w:rsidRPr="00274367">
              <w:rPr>
                <w:rFonts w:cstheme="minorHAnsi"/>
                <w:sz w:val="24"/>
                <w:szCs w:val="24"/>
              </w:rPr>
              <w:t>od 01.01.2025 r.</w:t>
            </w:r>
          </w:p>
          <w:p w14:paraId="6EDCF788" w14:textId="77777777" w:rsidR="00B24802" w:rsidRPr="00274367" w:rsidRDefault="00B24802" w:rsidP="00762814">
            <w:pPr>
              <w:pStyle w:val="Wtabeli"/>
              <w:spacing w:line="276" w:lineRule="auto"/>
              <w:rPr>
                <w:rFonts w:cstheme="minorHAnsi"/>
                <w:sz w:val="24"/>
                <w:szCs w:val="24"/>
              </w:rPr>
            </w:pPr>
            <w:r w:rsidRPr="00274367">
              <w:rPr>
                <w:rFonts w:cstheme="minorHAnsi"/>
                <w:sz w:val="24"/>
                <w:szCs w:val="24"/>
              </w:rPr>
              <w:t>do 31.12.2027 r.</w:t>
            </w:r>
          </w:p>
        </w:tc>
        <w:tc>
          <w:tcPr>
            <w:tcW w:w="1134" w:type="dxa"/>
            <w:vAlign w:val="center"/>
          </w:tcPr>
          <w:p w14:paraId="2E11078E" w14:textId="7777777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35%</w:t>
            </w:r>
          </w:p>
        </w:tc>
        <w:tc>
          <w:tcPr>
            <w:tcW w:w="1276" w:type="dxa"/>
            <w:vAlign w:val="center"/>
          </w:tcPr>
          <w:p w14:paraId="5E5BA2D5" w14:textId="7777777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25%</w:t>
            </w:r>
          </w:p>
        </w:tc>
        <w:tc>
          <w:tcPr>
            <w:tcW w:w="1275" w:type="dxa"/>
            <w:vAlign w:val="center"/>
          </w:tcPr>
          <w:p w14:paraId="7C82B3D2" w14:textId="7777777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15%</w:t>
            </w:r>
          </w:p>
        </w:tc>
      </w:tr>
      <w:tr w:rsidR="00D208C9" w:rsidRPr="00274367" w14:paraId="0BF55690" w14:textId="77777777" w:rsidTr="00BD41FF">
        <w:trPr>
          <w:trHeight w:val="180"/>
        </w:trPr>
        <w:tc>
          <w:tcPr>
            <w:tcW w:w="5387" w:type="dxa"/>
            <w:gridSpan w:val="2"/>
            <w:vAlign w:val="center"/>
          </w:tcPr>
          <w:p w14:paraId="187840D5" w14:textId="77777777" w:rsidR="00BD41FF" w:rsidRPr="00274367" w:rsidRDefault="00B24802" w:rsidP="00BD41FF">
            <w:pPr>
              <w:pStyle w:val="Wtabeli"/>
              <w:spacing w:after="0"/>
              <w:jc w:val="left"/>
              <w:rPr>
                <w:rFonts w:cstheme="minorHAnsi"/>
                <w:sz w:val="24"/>
                <w:szCs w:val="24"/>
              </w:rPr>
            </w:pPr>
            <w:r w:rsidRPr="00274367">
              <w:rPr>
                <w:rFonts w:cstheme="minorHAnsi"/>
                <w:sz w:val="24"/>
                <w:szCs w:val="24"/>
              </w:rPr>
              <w:t>Warszawa</w:t>
            </w:r>
            <w:r w:rsidR="00310ACB" w:rsidRPr="00274367">
              <w:rPr>
                <w:rFonts w:cstheme="minorHAnsi"/>
                <w:sz w:val="24"/>
                <w:szCs w:val="24"/>
              </w:rPr>
              <w:t xml:space="preserve"> oraz</w:t>
            </w:r>
            <w:r w:rsidR="00BD41FF" w:rsidRPr="00274367">
              <w:rPr>
                <w:rFonts w:cstheme="minorHAnsi"/>
                <w:sz w:val="24"/>
                <w:szCs w:val="24"/>
              </w:rPr>
              <w:t>:</w:t>
            </w:r>
          </w:p>
          <w:p w14:paraId="7437D08F" w14:textId="77777777" w:rsidR="00BD41FF"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legionowski (gminy: Legionowo, Jabłonna, Nieporęt, Wieliszew),</w:t>
            </w:r>
          </w:p>
          <w:p w14:paraId="5713E4FC" w14:textId="77777777" w:rsidR="00BD41FF"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miński (gminy: Mińsk Mazowiecki, Sulejówek, Cegłów, Dębe Wielkie, Halinów, Jakubów, Stanisławów),</w:t>
            </w:r>
          </w:p>
          <w:p w14:paraId="084A7110" w14:textId="35960393" w:rsidR="00310ACB"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otwocki (gminy: Józefów, Otwock, Celestynów, Karczew, Wiązowna),</w:t>
            </w:r>
          </w:p>
          <w:p w14:paraId="2AE01C40" w14:textId="6A682FA7" w:rsidR="00310ACB"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wołomiński (gminy: Kobyłka, Marki, Ząbki, Zielonka, Klembów, Poświętne, Radzymin, Wołomin),</w:t>
            </w:r>
          </w:p>
          <w:p w14:paraId="72A887E2" w14:textId="77777777" w:rsidR="00310ACB"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grodziski (gminy: Milanówek, Podkowa Leśna),</w:t>
            </w:r>
          </w:p>
          <w:p w14:paraId="4671D1A0" w14:textId="77777777" w:rsidR="00310ACB"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nowodworski (gminy: Nowy Dwór Mazowiecki, Czosnów, Pomiechówek),</w:t>
            </w:r>
          </w:p>
          <w:p w14:paraId="1783CFF4" w14:textId="77777777" w:rsidR="00310ACB"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piaseczyński (gminy: Konstancin-Jeziorna, Lesznowola, Piaseczno),</w:t>
            </w:r>
          </w:p>
          <w:p w14:paraId="36CD7B8A" w14:textId="77777777" w:rsidR="00310ACB"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warszawski zachodni (gminy: Izabelin, Łomianki, Ożarów Mazowiecki, Stare Babice),</w:t>
            </w:r>
          </w:p>
          <w:p w14:paraId="605BA7D9" w14:textId="1EBEB067" w:rsidR="00B24802" w:rsidRPr="00274367" w:rsidRDefault="00310ACB" w:rsidP="00BF47B4">
            <w:pPr>
              <w:pStyle w:val="Wtabeli"/>
              <w:numPr>
                <w:ilvl w:val="0"/>
                <w:numId w:val="42"/>
              </w:numPr>
              <w:spacing w:after="0"/>
              <w:ind w:left="313" w:hanging="142"/>
              <w:jc w:val="left"/>
              <w:rPr>
                <w:rFonts w:cstheme="minorHAnsi"/>
                <w:sz w:val="24"/>
                <w:szCs w:val="24"/>
              </w:rPr>
            </w:pPr>
            <w:r w:rsidRPr="00274367">
              <w:rPr>
                <w:rFonts w:cstheme="minorHAnsi"/>
                <w:sz w:val="24"/>
                <w:szCs w:val="24"/>
              </w:rPr>
              <w:t>powiat pruszkowski (cały).</w:t>
            </w:r>
            <w:r w:rsidRPr="00274367">
              <w:rPr>
                <w:rStyle w:val="Odwoaniedokomentarza"/>
                <w:rFonts w:cstheme="minorHAnsi"/>
                <w:sz w:val="24"/>
                <w:szCs w:val="24"/>
              </w:rPr>
              <w:t xml:space="preserve"> </w:t>
            </w:r>
          </w:p>
        </w:tc>
        <w:tc>
          <w:tcPr>
            <w:tcW w:w="1134" w:type="dxa"/>
            <w:vAlign w:val="center"/>
          </w:tcPr>
          <w:p w14:paraId="37431F54" w14:textId="7777777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0%</w:t>
            </w:r>
          </w:p>
        </w:tc>
        <w:tc>
          <w:tcPr>
            <w:tcW w:w="1276" w:type="dxa"/>
            <w:vAlign w:val="center"/>
          </w:tcPr>
          <w:p w14:paraId="251597C8" w14:textId="77777777"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0%</w:t>
            </w:r>
          </w:p>
        </w:tc>
        <w:tc>
          <w:tcPr>
            <w:tcW w:w="1275" w:type="dxa"/>
            <w:vAlign w:val="center"/>
          </w:tcPr>
          <w:p w14:paraId="486CAB52" w14:textId="1146A9EE" w:rsidR="00B24802" w:rsidRPr="00274367" w:rsidRDefault="00B24802" w:rsidP="00BD41FF">
            <w:pPr>
              <w:pStyle w:val="Wtabeli"/>
              <w:spacing w:line="276" w:lineRule="auto"/>
              <w:jc w:val="center"/>
              <w:rPr>
                <w:rFonts w:cstheme="minorHAnsi"/>
                <w:sz w:val="24"/>
                <w:szCs w:val="24"/>
              </w:rPr>
            </w:pPr>
            <w:r w:rsidRPr="00274367">
              <w:rPr>
                <w:rFonts w:cstheme="minorHAnsi"/>
                <w:sz w:val="24"/>
                <w:szCs w:val="24"/>
              </w:rPr>
              <w:t>0%</w:t>
            </w:r>
          </w:p>
        </w:tc>
      </w:tr>
    </w:tbl>
    <w:p w14:paraId="04B4287A" w14:textId="0E818872" w:rsidR="00743082" w:rsidRPr="00274367" w:rsidRDefault="00743082" w:rsidP="00762814">
      <w:pPr>
        <w:spacing w:after="120" w:line="276" w:lineRule="auto"/>
        <w:rPr>
          <w:rFonts w:cstheme="minorHAnsi"/>
          <w:sz w:val="24"/>
          <w:szCs w:val="24"/>
        </w:rPr>
      </w:pPr>
    </w:p>
    <w:p w14:paraId="4207D25F" w14:textId="77777777" w:rsidR="00743082" w:rsidRPr="00762814" w:rsidRDefault="00743082" w:rsidP="00762814">
      <w:pPr>
        <w:spacing w:after="120" w:line="276" w:lineRule="auto"/>
        <w:rPr>
          <w:rFonts w:cstheme="minorHAnsi"/>
          <w:sz w:val="24"/>
          <w:szCs w:val="24"/>
        </w:rPr>
        <w:sectPr w:rsidR="00743082" w:rsidRPr="00762814" w:rsidSect="0076281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663522D9" w14:textId="77777777" w:rsidR="00D72B3D" w:rsidRDefault="00D72B3D" w:rsidP="00D72B3D">
      <w:pPr>
        <w:spacing w:after="120" w:line="276" w:lineRule="auto"/>
        <w:rPr>
          <w:rFonts w:cstheme="minorHAnsi"/>
          <w:b/>
          <w:bCs/>
          <w:sz w:val="24"/>
          <w:szCs w:val="24"/>
        </w:rPr>
      </w:pPr>
      <w:r w:rsidRPr="00762814">
        <w:rPr>
          <w:rFonts w:cstheme="minorHAnsi"/>
          <w:b/>
          <w:bCs/>
          <w:sz w:val="24"/>
          <w:szCs w:val="24"/>
        </w:rPr>
        <w:t>Tabela nr 3. Intensywności wsparcia w ramach art. 36-47 rozporządzenia Komisji (UE) nr 651/2014</w:t>
      </w:r>
    </w:p>
    <w:tbl>
      <w:tblPr>
        <w:tblStyle w:val="Tabela-Siatka"/>
        <w:tblW w:w="9493" w:type="dxa"/>
        <w:tblLayout w:type="fixed"/>
        <w:tblLook w:val="04A0" w:firstRow="1" w:lastRow="0" w:firstColumn="1" w:lastColumn="0" w:noHBand="0" w:noVBand="1"/>
      </w:tblPr>
      <w:tblGrid>
        <w:gridCol w:w="3397"/>
        <w:gridCol w:w="1985"/>
        <w:gridCol w:w="10"/>
        <w:gridCol w:w="1974"/>
        <w:gridCol w:w="2127"/>
      </w:tblGrid>
      <w:tr w:rsidR="00D72B3D" w:rsidRPr="00762814" w14:paraId="5EA37733" w14:textId="77777777" w:rsidTr="00550797">
        <w:trPr>
          <w:cantSplit/>
          <w:trHeight w:val="529"/>
          <w:tblHeader/>
        </w:trPr>
        <w:tc>
          <w:tcPr>
            <w:tcW w:w="3397" w:type="dxa"/>
            <w:shd w:val="clear" w:color="auto" w:fill="D9E2F3" w:themeFill="accent1" w:themeFillTint="33"/>
            <w:vAlign w:val="center"/>
          </w:tcPr>
          <w:p w14:paraId="1F86B980" w14:textId="77777777" w:rsidR="00D72B3D" w:rsidRPr="00762814" w:rsidRDefault="00D72B3D" w:rsidP="00550797">
            <w:pPr>
              <w:spacing w:line="276" w:lineRule="auto"/>
              <w:jc w:val="center"/>
              <w:rPr>
                <w:rFonts w:cstheme="minorHAnsi"/>
                <w:b/>
                <w:sz w:val="24"/>
                <w:szCs w:val="24"/>
              </w:rPr>
            </w:pPr>
            <w:r w:rsidRPr="00762814">
              <w:rPr>
                <w:rFonts w:cstheme="minorHAnsi"/>
                <w:b/>
                <w:sz w:val="24"/>
                <w:szCs w:val="24"/>
              </w:rPr>
              <w:t>Lokalizacja</w:t>
            </w:r>
          </w:p>
        </w:tc>
        <w:tc>
          <w:tcPr>
            <w:tcW w:w="1995" w:type="dxa"/>
            <w:gridSpan w:val="2"/>
            <w:shd w:val="clear" w:color="auto" w:fill="D9E2F3" w:themeFill="accent1" w:themeFillTint="33"/>
          </w:tcPr>
          <w:p w14:paraId="0E871A33" w14:textId="77777777" w:rsidR="00D72B3D" w:rsidRPr="00762814" w:rsidRDefault="00D72B3D" w:rsidP="00550797">
            <w:pPr>
              <w:spacing w:before="120" w:line="276" w:lineRule="auto"/>
              <w:jc w:val="center"/>
              <w:rPr>
                <w:rFonts w:cstheme="minorHAnsi"/>
                <w:b/>
                <w:sz w:val="24"/>
                <w:szCs w:val="24"/>
              </w:rPr>
            </w:pPr>
            <w:r w:rsidRPr="00762814">
              <w:rPr>
                <w:rFonts w:cstheme="minorHAnsi"/>
                <w:b/>
                <w:sz w:val="24"/>
                <w:szCs w:val="24"/>
              </w:rPr>
              <w:t xml:space="preserve">Przedsiębiorstwa </w:t>
            </w:r>
            <w:r>
              <w:rPr>
                <w:rFonts w:cstheme="minorHAnsi"/>
                <w:b/>
                <w:sz w:val="24"/>
                <w:szCs w:val="24"/>
              </w:rPr>
              <w:t>d</w:t>
            </w:r>
            <w:r w:rsidRPr="00762814">
              <w:rPr>
                <w:rFonts w:cstheme="minorHAnsi"/>
                <w:b/>
                <w:sz w:val="24"/>
                <w:szCs w:val="24"/>
              </w:rPr>
              <w:t>uże</w:t>
            </w:r>
          </w:p>
        </w:tc>
        <w:tc>
          <w:tcPr>
            <w:tcW w:w="1974" w:type="dxa"/>
            <w:shd w:val="clear" w:color="auto" w:fill="D9E2F3" w:themeFill="accent1" w:themeFillTint="33"/>
          </w:tcPr>
          <w:p w14:paraId="7004E0EE" w14:textId="77777777" w:rsidR="00D72B3D" w:rsidRPr="00762814" w:rsidRDefault="00D72B3D" w:rsidP="00550797">
            <w:pPr>
              <w:spacing w:before="120" w:line="276" w:lineRule="auto"/>
              <w:jc w:val="center"/>
              <w:rPr>
                <w:rFonts w:cstheme="minorHAnsi"/>
                <w:b/>
                <w:sz w:val="24"/>
                <w:szCs w:val="24"/>
              </w:rPr>
            </w:pPr>
            <w:r w:rsidRPr="00762814">
              <w:rPr>
                <w:rFonts w:cstheme="minorHAnsi"/>
                <w:b/>
                <w:sz w:val="24"/>
                <w:szCs w:val="24"/>
              </w:rPr>
              <w:t xml:space="preserve">Przedsiębiorstwa </w:t>
            </w:r>
            <w:r>
              <w:rPr>
                <w:rFonts w:cstheme="minorHAnsi"/>
                <w:b/>
                <w:sz w:val="24"/>
                <w:szCs w:val="24"/>
              </w:rPr>
              <w:t>ś</w:t>
            </w:r>
            <w:r w:rsidRPr="00762814">
              <w:rPr>
                <w:rFonts w:cstheme="minorHAnsi"/>
                <w:b/>
                <w:sz w:val="24"/>
                <w:szCs w:val="24"/>
              </w:rPr>
              <w:t>rednie</w:t>
            </w:r>
          </w:p>
        </w:tc>
        <w:tc>
          <w:tcPr>
            <w:tcW w:w="2127" w:type="dxa"/>
            <w:shd w:val="clear" w:color="auto" w:fill="D9E2F3" w:themeFill="accent1" w:themeFillTint="33"/>
          </w:tcPr>
          <w:p w14:paraId="0635F277" w14:textId="77777777" w:rsidR="00D72B3D" w:rsidRPr="00762814" w:rsidRDefault="00D72B3D" w:rsidP="00550797">
            <w:pPr>
              <w:spacing w:before="120" w:line="276" w:lineRule="auto"/>
              <w:jc w:val="center"/>
              <w:rPr>
                <w:rFonts w:cstheme="minorHAnsi"/>
                <w:b/>
                <w:sz w:val="24"/>
                <w:szCs w:val="24"/>
              </w:rPr>
            </w:pPr>
            <w:r w:rsidRPr="00762814">
              <w:rPr>
                <w:rFonts w:cstheme="minorHAnsi"/>
                <w:b/>
                <w:sz w:val="24"/>
                <w:szCs w:val="24"/>
              </w:rPr>
              <w:t xml:space="preserve">Przedsiębiorstwa </w:t>
            </w:r>
            <w:r>
              <w:rPr>
                <w:rFonts w:cstheme="minorHAnsi"/>
                <w:b/>
                <w:sz w:val="24"/>
                <w:szCs w:val="24"/>
              </w:rPr>
              <w:t>m</w:t>
            </w:r>
            <w:r w:rsidRPr="00762814">
              <w:rPr>
                <w:rFonts w:cstheme="minorHAnsi"/>
                <w:b/>
                <w:sz w:val="24"/>
                <w:szCs w:val="24"/>
              </w:rPr>
              <w:t>ikro i małe</w:t>
            </w:r>
          </w:p>
        </w:tc>
      </w:tr>
      <w:tr w:rsidR="00D72B3D" w14:paraId="46650F6D" w14:textId="77777777" w:rsidTr="00550797">
        <w:trPr>
          <w:trHeight w:val="564"/>
        </w:trPr>
        <w:tc>
          <w:tcPr>
            <w:tcW w:w="9493" w:type="dxa"/>
            <w:gridSpan w:val="5"/>
            <w:shd w:val="clear" w:color="auto" w:fill="D9E2F3" w:themeFill="accent1" w:themeFillTint="33"/>
          </w:tcPr>
          <w:p w14:paraId="4020D3AB" w14:textId="74A68E74" w:rsidR="00D72B3D" w:rsidRDefault="00D72B3D" w:rsidP="00D72B3D">
            <w:pPr>
              <w:pStyle w:val="Bezodstpw"/>
              <w:numPr>
                <w:ilvl w:val="2"/>
                <w:numId w:val="13"/>
              </w:numPr>
              <w:spacing w:line="276" w:lineRule="auto"/>
              <w:ind w:left="741"/>
              <w:rPr>
                <w:rFonts w:cstheme="minorHAnsi"/>
                <w:b/>
                <w:sz w:val="24"/>
                <w:szCs w:val="24"/>
                <w:lang w:eastAsia="pl-PL"/>
              </w:rPr>
            </w:pPr>
            <w:r>
              <w:rPr>
                <w:rFonts w:cstheme="minorHAnsi"/>
                <w:b/>
                <w:sz w:val="24"/>
                <w:szCs w:val="24"/>
                <w:lang w:eastAsia="pl-PL"/>
              </w:rPr>
              <w:t xml:space="preserve">Art. 36 </w:t>
            </w:r>
            <w:r w:rsidRPr="008B548F">
              <w:rPr>
                <w:rFonts w:cstheme="minorHAnsi"/>
                <w:b/>
                <w:sz w:val="24"/>
                <w:szCs w:val="24"/>
              </w:rPr>
              <w:t>rozporządzenia Komisji (UE) nr 651/2014</w:t>
            </w:r>
            <w:r w:rsidRPr="00762814">
              <w:rPr>
                <w:rFonts w:cstheme="minorHAnsi"/>
                <w:bCs/>
                <w:sz w:val="24"/>
                <w:szCs w:val="24"/>
              </w:rPr>
              <w:t xml:space="preserve"> </w:t>
            </w:r>
            <w:r>
              <w:rPr>
                <w:rFonts w:cstheme="minorHAnsi"/>
                <w:bCs/>
                <w:sz w:val="24"/>
                <w:szCs w:val="24"/>
              </w:rPr>
              <w:t>-</w:t>
            </w:r>
            <w:r w:rsidRPr="003271A2">
              <w:rPr>
                <w:rFonts w:cstheme="minorHAnsi"/>
                <w:b/>
                <w:sz w:val="24"/>
                <w:szCs w:val="24"/>
                <w:lang w:eastAsia="pl-PL"/>
              </w:rPr>
              <w:t>Pomoc inwestycyjna na ochronę środowiska, w tym obniżenie emisyjności</w:t>
            </w:r>
            <w:r>
              <w:rPr>
                <w:rFonts w:cstheme="minorHAnsi"/>
                <w:b/>
                <w:sz w:val="24"/>
                <w:szCs w:val="24"/>
                <w:lang w:eastAsia="pl-PL"/>
              </w:rPr>
              <w:t xml:space="preserve"> </w:t>
            </w:r>
            <w:r w:rsidRPr="008B548F">
              <w:rPr>
                <w:rFonts w:cstheme="minorHAnsi"/>
                <w:sz w:val="24"/>
                <w:szCs w:val="24"/>
                <w:lang w:eastAsia="pl-PL"/>
              </w:rPr>
              <w:t>(</w:t>
            </w:r>
            <w:r>
              <w:rPr>
                <w:rFonts w:cstheme="minorHAnsi"/>
                <w:sz w:val="24"/>
                <w:szCs w:val="24"/>
                <w:lang w:eastAsia="pl-PL"/>
              </w:rPr>
              <w:t xml:space="preserve">w przypadku kategorii wydatku 7.3.8, 7.3.9 i 7.3.10 zastosuj </w:t>
            </w:r>
            <w:r w:rsidRPr="00C10DA9">
              <w:rPr>
                <w:rFonts w:cstheme="minorHAnsi"/>
                <w:sz w:val="24"/>
                <w:szCs w:val="24"/>
                <w:lang w:eastAsia="pl-PL"/>
              </w:rPr>
              <w:t xml:space="preserve">intensywności z </w:t>
            </w:r>
            <w:r>
              <w:rPr>
                <w:rFonts w:cstheme="minorHAnsi"/>
                <w:sz w:val="24"/>
                <w:szCs w:val="24"/>
                <w:lang w:eastAsia="pl-PL"/>
              </w:rPr>
              <w:t xml:space="preserve">lit. a), b) lub c), natomiast w przypadku kategorii wydatku </w:t>
            </w:r>
            <w:r w:rsidRPr="00CA563B">
              <w:rPr>
                <w:rFonts w:cstheme="minorHAnsi"/>
                <w:sz w:val="24"/>
                <w:szCs w:val="24"/>
                <w:lang w:eastAsia="pl-PL"/>
              </w:rPr>
              <w:t>7.3.1</w:t>
            </w:r>
            <w:r>
              <w:rPr>
                <w:rFonts w:cstheme="minorHAnsi"/>
                <w:sz w:val="24"/>
                <w:szCs w:val="24"/>
                <w:lang w:eastAsia="pl-PL"/>
              </w:rPr>
              <w:t>1</w:t>
            </w:r>
            <w:r w:rsidRPr="00CA563B">
              <w:rPr>
                <w:rFonts w:cstheme="minorHAnsi"/>
                <w:sz w:val="24"/>
                <w:szCs w:val="24"/>
                <w:lang w:eastAsia="pl-PL"/>
              </w:rPr>
              <w:t xml:space="preserve"> </w:t>
            </w:r>
            <w:r w:rsidRPr="00CA563B">
              <w:rPr>
                <w:rFonts w:cstheme="minorHAnsi"/>
                <w:i/>
                <w:sz w:val="24"/>
                <w:szCs w:val="24"/>
                <w:lang w:eastAsia="pl-PL"/>
              </w:rPr>
              <w:t>Ochrona środowiska  - całkowite koszty inwestycji (obniżona intensywność pomocy)</w:t>
            </w:r>
            <w:r>
              <w:rPr>
                <w:rFonts w:cstheme="minorHAnsi"/>
                <w:sz w:val="24"/>
                <w:szCs w:val="24"/>
                <w:lang w:eastAsia="pl-PL"/>
              </w:rPr>
              <w:t xml:space="preserve"> wskazane w lit. b) i c) poniżej maksymalne </w:t>
            </w:r>
            <w:r w:rsidRPr="00246A62">
              <w:rPr>
                <w:rFonts w:cstheme="minorHAnsi"/>
                <w:sz w:val="24"/>
                <w:szCs w:val="24"/>
                <w:lang w:eastAsia="pl-PL"/>
              </w:rPr>
              <w:t>intensywności pomocy publicznej</w:t>
            </w:r>
            <w:r>
              <w:rPr>
                <w:rFonts w:cstheme="minorHAnsi"/>
                <w:sz w:val="24"/>
                <w:szCs w:val="24"/>
                <w:lang w:eastAsia="pl-PL"/>
              </w:rPr>
              <w:t xml:space="preserve"> </w:t>
            </w:r>
            <w:r>
              <w:rPr>
                <w:rFonts w:cstheme="minorHAnsi"/>
                <w:bCs/>
                <w:sz w:val="24"/>
                <w:szCs w:val="24"/>
                <w:lang w:eastAsia="pl-PL"/>
              </w:rPr>
              <w:t xml:space="preserve">należy </w:t>
            </w:r>
            <w:r w:rsidRPr="00246A62">
              <w:rPr>
                <w:rFonts w:cstheme="minorHAnsi"/>
                <w:sz w:val="24"/>
                <w:szCs w:val="24"/>
                <w:lang w:eastAsia="pl-PL"/>
              </w:rPr>
              <w:t>zmniejsz</w:t>
            </w:r>
            <w:r>
              <w:rPr>
                <w:rFonts w:cstheme="minorHAnsi"/>
                <w:sz w:val="24"/>
                <w:szCs w:val="24"/>
                <w:lang w:eastAsia="pl-PL"/>
              </w:rPr>
              <w:t>yć</w:t>
            </w:r>
            <w:r w:rsidRPr="00246A62">
              <w:rPr>
                <w:rFonts w:cstheme="minorHAnsi"/>
                <w:sz w:val="24"/>
                <w:szCs w:val="24"/>
                <w:lang w:eastAsia="pl-PL"/>
              </w:rPr>
              <w:t xml:space="preserve"> o 50%</w:t>
            </w:r>
            <w:r>
              <w:rPr>
                <w:rFonts w:cstheme="minorHAnsi"/>
                <w:bCs/>
                <w:sz w:val="24"/>
                <w:szCs w:val="24"/>
                <w:lang w:eastAsia="pl-PL"/>
              </w:rPr>
              <w:t xml:space="preserve"> </w:t>
            </w:r>
          </w:p>
        </w:tc>
      </w:tr>
      <w:tr w:rsidR="00D72B3D" w:rsidRPr="00762814" w14:paraId="5DBE419B" w14:textId="77777777" w:rsidTr="00550797">
        <w:trPr>
          <w:trHeight w:val="564"/>
        </w:trPr>
        <w:tc>
          <w:tcPr>
            <w:tcW w:w="9493" w:type="dxa"/>
            <w:gridSpan w:val="5"/>
            <w:shd w:val="clear" w:color="auto" w:fill="D9E2F3" w:themeFill="accent1" w:themeFillTint="33"/>
          </w:tcPr>
          <w:p w14:paraId="2E0DAD4D" w14:textId="77777777" w:rsidR="00D72B3D" w:rsidRPr="00274367" w:rsidRDefault="00D72B3D" w:rsidP="00D72B3D">
            <w:pPr>
              <w:pStyle w:val="Bezodstpw"/>
              <w:numPr>
                <w:ilvl w:val="2"/>
                <w:numId w:val="35"/>
              </w:numPr>
              <w:spacing w:line="276" w:lineRule="auto"/>
              <w:ind w:left="599" w:hanging="425"/>
              <w:rPr>
                <w:rFonts w:cstheme="minorHAnsi"/>
                <w:sz w:val="24"/>
                <w:szCs w:val="24"/>
                <w:lang w:eastAsia="pl-PL"/>
              </w:rPr>
            </w:pPr>
            <w:r w:rsidRPr="00274367">
              <w:rPr>
                <w:rFonts w:cstheme="minorHAnsi"/>
                <w:b/>
                <w:sz w:val="24"/>
                <w:szCs w:val="24"/>
                <w:lang w:eastAsia="pl-PL"/>
              </w:rPr>
              <w:t>Art. 36</w:t>
            </w:r>
            <w:r w:rsidRPr="00274367">
              <w:rPr>
                <w:rFonts w:cstheme="minorHAnsi"/>
                <w:sz w:val="24"/>
                <w:szCs w:val="24"/>
                <w:lang w:eastAsia="pl-PL"/>
              </w:rPr>
              <w:t xml:space="preserve"> </w:t>
            </w:r>
            <w:r w:rsidRPr="00274367">
              <w:rPr>
                <w:rFonts w:cstheme="minorHAnsi"/>
                <w:bCs/>
                <w:sz w:val="24"/>
                <w:szCs w:val="24"/>
              </w:rPr>
              <w:t>rozporządzenia Komisji (UE) nr 651/2014 –</w:t>
            </w:r>
            <w:r w:rsidRPr="00274367">
              <w:rPr>
                <w:rFonts w:cstheme="minorHAnsi"/>
                <w:sz w:val="24"/>
                <w:szCs w:val="24"/>
                <w:lang w:eastAsia="pl-PL"/>
              </w:rPr>
              <w:t xml:space="preserve"> inwestycje związane z CCS lub CCU</w:t>
            </w:r>
            <w:r>
              <w:rPr>
                <w:rFonts w:cstheme="minorHAnsi"/>
                <w:sz w:val="24"/>
                <w:szCs w:val="24"/>
                <w:lang w:eastAsia="pl-PL"/>
              </w:rPr>
              <w:t xml:space="preserve"> </w:t>
            </w:r>
          </w:p>
        </w:tc>
      </w:tr>
      <w:tr w:rsidR="00D72B3D" w:rsidRPr="00762814" w14:paraId="1A13BBA8" w14:textId="77777777" w:rsidTr="00550797">
        <w:trPr>
          <w:trHeight w:val="397"/>
        </w:trPr>
        <w:tc>
          <w:tcPr>
            <w:tcW w:w="3397" w:type="dxa"/>
            <w:shd w:val="clear" w:color="auto" w:fill="auto"/>
          </w:tcPr>
          <w:p w14:paraId="66E7C0F5" w14:textId="77777777" w:rsidR="00D72B3D" w:rsidRPr="00274367" w:rsidRDefault="00D72B3D" w:rsidP="00550797">
            <w:pPr>
              <w:pStyle w:val="Bezodstpw"/>
              <w:spacing w:line="276" w:lineRule="auto"/>
              <w:rPr>
                <w:rFonts w:cstheme="minorHAnsi"/>
                <w:b/>
                <w:sz w:val="24"/>
                <w:szCs w:val="24"/>
                <w:lang w:eastAsia="pl-PL"/>
              </w:rPr>
            </w:pPr>
            <w:r w:rsidRPr="00274367">
              <w:rPr>
                <w:rFonts w:cstheme="minorHAnsi"/>
                <w:b/>
                <w:sz w:val="24"/>
                <w:szCs w:val="24"/>
              </w:rPr>
              <w:t>Obszar a*</w:t>
            </w:r>
            <w:r w:rsidRPr="00274367">
              <w:rPr>
                <w:rFonts w:cstheme="minorHAnsi"/>
                <w:sz w:val="24"/>
                <w:szCs w:val="24"/>
                <w:lang w:eastAsia="pl-PL"/>
              </w:rPr>
              <w:t xml:space="preserve"> </w:t>
            </w:r>
          </w:p>
        </w:tc>
        <w:tc>
          <w:tcPr>
            <w:tcW w:w="1995" w:type="dxa"/>
            <w:gridSpan w:val="2"/>
            <w:shd w:val="clear" w:color="auto" w:fill="auto"/>
          </w:tcPr>
          <w:p w14:paraId="63E25530"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45%</w:t>
            </w:r>
          </w:p>
        </w:tc>
        <w:tc>
          <w:tcPr>
            <w:tcW w:w="1974" w:type="dxa"/>
            <w:shd w:val="clear" w:color="auto" w:fill="auto"/>
          </w:tcPr>
          <w:p w14:paraId="7CEAF8A3"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55%</w:t>
            </w:r>
          </w:p>
        </w:tc>
        <w:tc>
          <w:tcPr>
            <w:tcW w:w="2127" w:type="dxa"/>
            <w:shd w:val="clear" w:color="auto" w:fill="auto"/>
          </w:tcPr>
          <w:p w14:paraId="5D517C20"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65%</w:t>
            </w:r>
          </w:p>
        </w:tc>
      </w:tr>
      <w:tr w:rsidR="00D72B3D" w:rsidRPr="00762814" w14:paraId="4792A7BF" w14:textId="77777777" w:rsidTr="00550797">
        <w:trPr>
          <w:trHeight w:val="397"/>
        </w:trPr>
        <w:tc>
          <w:tcPr>
            <w:tcW w:w="3397" w:type="dxa"/>
            <w:shd w:val="clear" w:color="auto" w:fill="auto"/>
          </w:tcPr>
          <w:p w14:paraId="0212E251" w14:textId="77777777" w:rsidR="00D72B3D" w:rsidRPr="00274367" w:rsidRDefault="00D72B3D" w:rsidP="00550797">
            <w:pPr>
              <w:pStyle w:val="Bezodstpw"/>
              <w:spacing w:line="276" w:lineRule="auto"/>
              <w:rPr>
                <w:rFonts w:cstheme="minorHAnsi"/>
                <w:b/>
                <w:sz w:val="24"/>
                <w:szCs w:val="24"/>
                <w:lang w:eastAsia="pl-PL"/>
              </w:rPr>
            </w:pPr>
            <w:r w:rsidRPr="00274367">
              <w:rPr>
                <w:rFonts w:cstheme="minorHAnsi"/>
                <w:b/>
                <w:sz w:val="24"/>
                <w:szCs w:val="24"/>
              </w:rPr>
              <w:t>Obszar c**</w:t>
            </w:r>
          </w:p>
        </w:tc>
        <w:tc>
          <w:tcPr>
            <w:tcW w:w="1995" w:type="dxa"/>
            <w:gridSpan w:val="2"/>
            <w:shd w:val="clear" w:color="auto" w:fill="auto"/>
          </w:tcPr>
          <w:p w14:paraId="2980FF70"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35%</w:t>
            </w:r>
          </w:p>
        </w:tc>
        <w:tc>
          <w:tcPr>
            <w:tcW w:w="1974" w:type="dxa"/>
            <w:shd w:val="clear" w:color="auto" w:fill="auto"/>
          </w:tcPr>
          <w:p w14:paraId="54D44681"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45%</w:t>
            </w:r>
          </w:p>
        </w:tc>
        <w:tc>
          <w:tcPr>
            <w:tcW w:w="2127" w:type="dxa"/>
            <w:shd w:val="clear" w:color="auto" w:fill="auto"/>
          </w:tcPr>
          <w:p w14:paraId="6EA19309"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55%</w:t>
            </w:r>
          </w:p>
        </w:tc>
      </w:tr>
      <w:tr w:rsidR="00D72B3D" w:rsidRPr="00762814" w14:paraId="239D9945" w14:textId="77777777" w:rsidTr="00550797">
        <w:trPr>
          <w:trHeight w:val="397"/>
        </w:trPr>
        <w:tc>
          <w:tcPr>
            <w:tcW w:w="3397" w:type="dxa"/>
            <w:shd w:val="clear" w:color="auto" w:fill="auto"/>
          </w:tcPr>
          <w:p w14:paraId="603A1E61" w14:textId="77777777" w:rsidR="00D72B3D" w:rsidRPr="00274367" w:rsidRDefault="00D72B3D" w:rsidP="00550797">
            <w:pPr>
              <w:pStyle w:val="Bezodstpw"/>
              <w:spacing w:line="276" w:lineRule="auto"/>
              <w:rPr>
                <w:rFonts w:cstheme="minorHAnsi"/>
                <w:b/>
                <w:sz w:val="24"/>
                <w:szCs w:val="24"/>
                <w:lang w:eastAsia="pl-PL"/>
              </w:rPr>
            </w:pPr>
            <w:r w:rsidRPr="00274367">
              <w:rPr>
                <w:rFonts w:cstheme="minorHAnsi"/>
                <w:b/>
                <w:sz w:val="24"/>
                <w:szCs w:val="24"/>
              </w:rPr>
              <w:t>Poza obszarem „a” i „c”***</w:t>
            </w:r>
          </w:p>
        </w:tc>
        <w:tc>
          <w:tcPr>
            <w:tcW w:w="1995" w:type="dxa"/>
            <w:gridSpan w:val="2"/>
            <w:shd w:val="clear" w:color="auto" w:fill="auto"/>
          </w:tcPr>
          <w:p w14:paraId="30AC60D5"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30%</w:t>
            </w:r>
          </w:p>
        </w:tc>
        <w:tc>
          <w:tcPr>
            <w:tcW w:w="1974" w:type="dxa"/>
            <w:shd w:val="clear" w:color="auto" w:fill="auto"/>
          </w:tcPr>
          <w:p w14:paraId="600B8CF1"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40%</w:t>
            </w:r>
          </w:p>
        </w:tc>
        <w:tc>
          <w:tcPr>
            <w:tcW w:w="2127" w:type="dxa"/>
            <w:shd w:val="clear" w:color="auto" w:fill="auto"/>
          </w:tcPr>
          <w:p w14:paraId="362AD0EB" w14:textId="77777777" w:rsidR="00D72B3D" w:rsidRPr="00274367" w:rsidRDefault="00D72B3D" w:rsidP="00550797">
            <w:pPr>
              <w:spacing w:line="276" w:lineRule="auto"/>
              <w:jc w:val="center"/>
              <w:rPr>
                <w:rFonts w:cstheme="minorHAnsi"/>
                <w:sz w:val="24"/>
                <w:szCs w:val="24"/>
              </w:rPr>
            </w:pPr>
            <w:r w:rsidRPr="00274367">
              <w:rPr>
                <w:rFonts w:cstheme="minorHAnsi"/>
                <w:sz w:val="24"/>
                <w:szCs w:val="24"/>
              </w:rPr>
              <w:t>50%</w:t>
            </w:r>
          </w:p>
        </w:tc>
      </w:tr>
      <w:tr w:rsidR="00D72B3D" w:rsidRPr="00FF3370" w14:paraId="58BF25DC" w14:textId="77777777" w:rsidTr="00550797">
        <w:trPr>
          <w:trHeight w:val="755"/>
        </w:trPr>
        <w:tc>
          <w:tcPr>
            <w:tcW w:w="9493" w:type="dxa"/>
            <w:gridSpan w:val="5"/>
            <w:tcBorders>
              <w:bottom w:val="single" w:sz="4" w:space="0" w:color="auto"/>
            </w:tcBorders>
            <w:shd w:val="clear" w:color="auto" w:fill="D9E2F3" w:themeFill="accent1" w:themeFillTint="33"/>
          </w:tcPr>
          <w:p w14:paraId="700DB3FF" w14:textId="77777777" w:rsidR="00D72B3D" w:rsidRPr="00FF3370" w:rsidRDefault="00D72B3D" w:rsidP="00D72B3D">
            <w:pPr>
              <w:pStyle w:val="Bezodstpw"/>
              <w:numPr>
                <w:ilvl w:val="2"/>
                <w:numId w:val="35"/>
              </w:numPr>
              <w:shd w:val="clear" w:color="auto" w:fill="D9E2F3" w:themeFill="accent1" w:themeFillTint="33"/>
              <w:spacing w:line="276" w:lineRule="auto"/>
              <w:ind w:left="599"/>
              <w:rPr>
                <w:rFonts w:cstheme="minorHAnsi"/>
                <w:sz w:val="24"/>
                <w:szCs w:val="24"/>
              </w:rPr>
            </w:pPr>
            <w:r w:rsidRPr="00762814">
              <w:rPr>
                <w:rFonts w:cstheme="minorHAnsi"/>
                <w:b/>
                <w:sz w:val="24"/>
                <w:szCs w:val="24"/>
                <w:lang w:eastAsia="pl-PL"/>
              </w:rPr>
              <w:t>Art. 36</w:t>
            </w:r>
            <w:r w:rsidRPr="00762814">
              <w:rPr>
                <w:rFonts w:cstheme="minorHAnsi"/>
                <w:sz w:val="24"/>
                <w:szCs w:val="24"/>
                <w:lang w:eastAsia="pl-PL"/>
              </w:rPr>
              <w:t xml:space="preserve"> </w:t>
            </w:r>
            <w:r w:rsidRPr="00762814">
              <w:rPr>
                <w:rFonts w:cstheme="minorHAnsi"/>
                <w:bCs/>
                <w:sz w:val="24"/>
                <w:szCs w:val="24"/>
              </w:rPr>
              <w:t>rozporządzenia Komisji (UE) nr 651/2014</w:t>
            </w:r>
            <w:r>
              <w:rPr>
                <w:rFonts w:cstheme="minorHAnsi"/>
                <w:bCs/>
                <w:sz w:val="24"/>
                <w:szCs w:val="24"/>
              </w:rPr>
              <w:t xml:space="preserve"> - </w:t>
            </w:r>
            <w:r w:rsidRPr="00954D55">
              <w:rPr>
                <w:rFonts w:cstheme="minorHAnsi"/>
                <w:sz w:val="24"/>
                <w:szCs w:val="24"/>
              </w:rPr>
              <w:t>inwestycj</w:t>
            </w:r>
            <w:r>
              <w:rPr>
                <w:rFonts w:cstheme="minorHAnsi"/>
                <w:sz w:val="24"/>
                <w:szCs w:val="24"/>
              </w:rPr>
              <w:t>e</w:t>
            </w:r>
            <w:r w:rsidRPr="00954D55">
              <w:rPr>
                <w:rFonts w:cstheme="minorHAnsi"/>
                <w:sz w:val="24"/>
                <w:szCs w:val="24"/>
              </w:rPr>
              <w:t xml:space="preserve"> prowadz</w:t>
            </w:r>
            <w:r>
              <w:rPr>
                <w:rFonts w:cstheme="minorHAnsi"/>
                <w:sz w:val="24"/>
                <w:szCs w:val="24"/>
              </w:rPr>
              <w:t>ące</w:t>
            </w:r>
            <w:r w:rsidRPr="00954D55">
              <w:rPr>
                <w:rFonts w:cstheme="minorHAnsi"/>
                <w:sz w:val="24"/>
                <w:szCs w:val="24"/>
              </w:rPr>
              <w:t xml:space="preserve"> do pełnej redukcji emisji bezpośrednich, z wyjątkiem inwestycji opartych na wykorzystaniu biomasy</w:t>
            </w:r>
            <w:r>
              <w:rPr>
                <w:rFonts w:cstheme="minorHAnsi"/>
                <w:sz w:val="24"/>
                <w:szCs w:val="24"/>
              </w:rPr>
              <w:t xml:space="preserve"> </w:t>
            </w:r>
          </w:p>
        </w:tc>
      </w:tr>
      <w:tr w:rsidR="00D72B3D" w:rsidRPr="00762814" w14:paraId="1DC14E5C" w14:textId="77777777" w:rsidTr="00550797">
        <w:trPr>
          <w:trHeight w:val="371"/>
        </w:trPr>
        <w:tc>
          <w:tcPr>
            <w:tcW w:w="3397" w:type="dxa"/>
            <w:shd w:val="clear" w:color="auto" w:fill="FFFFFF" w:themeFill="background1"/>
          </w:tcPr>
          <w:p w14:paraId="381C5C3D"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a*</w:t>
            </w:r>
          </w:p>
        </w:tc>
        <w:tc>
          <w:tcPr>
            <w:tcW w:w="1985" w:type="dxa"/>
            <w:shd w:val="clear" w:color="auto" w:fill="FFFFFF" w:themeFill="background1"/>
          </w:tcPr>
          <w:p w14:paraId="330B588B"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c>
          <w:tcPr>
            <w:tcW w:w="1984" w:type="dxa"/>
            <w:gridSpan w:val="2"/>
            <w:shd w:val="clear" w:color="auto" w:fill="FFFFFF" w:themeFill="background1"/>
          </w:tcPr>
          <w:p w14:paraId="555091CE"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75%</w:t>
            </w:r>
          </w:p>
        </w:tc>
        <w:tc>
          <w:tcPr>
            <w:tcW w:w="2127" w:type="dxa"/>
            <w:shd w:val="clear" w:color="auto" w:fill="FFFFFF" w:themeFill="background1"/>
          </w:tcPr>
          <w:p w14:paraId="0EF6665A"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85%</w:t>
            </w:r>
          </w:p>
        </w:tc>
      </w:tr>
      <w:tr w:rsidR="00D72B3D" w:rsidRPr="00762814" w14:paraId="571B479B" w14:textId="77777777" w:rsidTr="00550797">
        <w:trPr>
          <w:trHeight w:val="418"/>
        </w:trPr>
        <w:tc>
          <w:tcPr>
            <w:tcW w:w="3397" w:type="dxa"/>
            <w:shd w:val="clear" w:color="auto" w:fill="FFFFFF" w:themeFill="background1"/>
          </w:tcPr>
          <w:p w14:paraId="1BE7D3B9"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c**</w:t>
            </w:r>
          </w:p>
        </w:tc>
        <w:tc>
          <w:tcPr>
            <w:tcW w:w="1985" w:type="dxa"/>
            <w:shd w:val="clear" w:color="auto" w:fill="FFFFFF" w:themeFill="background1"/>
          </w:tcPr>
          <w:p w14:paraId="27B231CE"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1984" w:type="dxa"/>
            <w:gridSpan w:val="2"/>
            <w:shd w:val="clear" w:color="auto" w:fill="FFFFFF" w:themeFill="background1"/>
          </w:tcPr>
          <w:p w14:paraId="7A2D7E41"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c>
          <w:tcPr>
            <w:tcW w:w="2127" w:type="dxa"/>
            <w:shd w:val="clear" w:color="auto" w:fill="FFFFFF" w:themeFill="background1"/>
          </w:tcPr>
          <w:p w14:paraId="3E517C53"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75%</w:t>
            </w:r>
          </w:p>
        </w:tc>
      </w:tr>
      <w:tr w:rsidR="00D72B3D" w:rsidRPr="00762814" w14:paraId="38C2EB1E" w14:textId="77777777" w:rsidTr="00550797">
        <w:trPr>
          <w:trHeight w:val="566"/>
        </w:trPr>
        <w:tc>
          <w:tcPr>
            <w:tcW w:w="3397" w:type="dxa"/>
            <w:shd w:val="clear" w:color="auto" w:fill="FFFFFF" w:themeFill="background1"/>
          </w:tcPr>
          <w:p w14:paraId="4C96DBC7"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Poza obszarem „a” i „c”***</w:t>
            </w:r>
          </w:p>
        </w:tc>
        <w:tc>
          <w:tcPr>
            <w:tcW w:w="1985" w:type="dxa"/>
            <w:shd w:val="clear" w:color="auto" w:fill="FFFFFF" w:themeFill="background1"/>
          </w:tcPr>
          <w:p w14:paraId="527A2C4C" w14:textId="77777777" w:rsidR="00D72B3D" w:rsidRDefault="00D72B3D" w:rsidP="00550797">
            <w:pPr>
              <w:pStyle w:val="Bezodstpw"/>
              <w:spacing w:line="276" w:lineRule="auto"/>
              <w:jc w:val="center"/>
              <w:rPr>
                <w:rFonts w:cstheme="minorHAnsi"/>
                <w:b/>
                <w:sz w:val="24"/>
                <w:szCs w:val="24"/>
              </w:rPr>
            </w:pPr>
            <w:r>
              <w:rPr>
                <w:rFonts w:cstheme="minorHAnsi"/>
                <w:b/>
                <w:sz w:val="24"/>
                <w:szCs w:val="24"/>
              </w:rPr>
              <w:t>50%</w:t>
            </w:r>
          </w:p>
        </w:tc>
        <w:tc>
          <w:tcPr>
            <w:tcW w:w="1984" w:type="dxa"/>
            <w:gridSpan w:val="2"/>
            <w:shd w:val="clear" w:color="auto" w:fill="FFFFFF" w:themeFill="background1"/>
          </w:tcPr>
          <w:p w14:paraId="340232A2" w14:textId="77777777" w:rsidR="00D72B3D" w:rsidRDefault="00D72B3D" w:rsidP="00550797">
            <w:pPr>
              <w:pStyle w:val="Bezodstpw"/>
              <w:spacing w:line="276" w:lineRule="auto"/>
              <w:jc w:val="center"/>
              <w:rPr>
                <w:rFonts w:cstheme="minorHAnsi"/>
                <w:b/>
                <w:sz w:val="24"/>
                <w:szCs w:val="24"/>
              </w:rPr>
            </w:pPr>
            <w:r>
              <w:rPr>
                <w:rFonts w:cstheme="minorHAnsi"/>
                <w:b/>
                <w:sz w:val="24"/>
                <w:szCs w:val="24"/>
              </w:rPr>
              <w:t>60%</w:t>
            </w:r>
          </w:p>
        </w:tc>
        <w:tc>
          <w:tcPr>
            <w:tcW w:w="2127" w:type="dxa"/>
            <w:shd w:val="clear" w:color="auto" w:fill="FFFFFF" w:themeFill="background1"/>
          </w:tcPr>
          <w:p w14:paraId="535D2E38"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70%</w:t>
            </w:r>
          </w:p>
        </w:tc>
      </w:tr>
      <w:tr w:rsidR="00D72B3D" w:rsidRPr="00762814" w14:paraId="4FF5EC01" w14:textId="77777777" w:rsidTr="00550797">
        <w:trPr>
          <w:trHeight w:val="714"/>
        </w:trPr>
        <w:tc>
          <w:tcPr>
            <w:tcW w:w="9493" w:type="dxa"/>
            <w:gridSpan w:val="5"/>
            <w:tcBorders>
              <w:bottom w:val="single" w:sz="4" w:space="0" w:color="auto"/>
            </w:tcBorders>
            <w:shd w:val="clear" w:color="auto" w:fill="D9E2F3" w:themeFill="accent1" w:themeFillTint="33"/>
          </w:tcPr>
          <w:p w14:paraId="28C2B065" w14:textId="77777777" w:rsidR="00D72B3D" w:rsidRPr="00762814" w:rsidRDefault="00D72B3D" w:rsidP="00D72B3D">
            <w:pPr>
              <w:pStyle w:val="Bezodstpw"/>
              <w:numPr>
                <w:ilvl w:val="2"/>
                <w:numId w:val="35"/>
              </w:numPr>
              <w:shd w:val="clear" w:color="auto" w:fill="D9E2F3" w:themeFill="accent1" w:themeFillTint="33"/>
              <w:spacing w:line="276" w:lineRule="auto"/>
              <w:ind w:left="599"/>
              <w:rPr>
                <w:rFonts w:cstheme="minorHAnsi"/>
                <w:b/>
                <w:sz w:val="24"/>
                <w:szCs w:val="24"/>
                <w:lang w:eastAsia="pl-PL"/>
              </w:rPr>
            </w:pPr>
            <w:r w:rsidRPr="00762814">
              <w:rPr>
                <w:rFonts w:cstheme="minorHAnsi"/>
                <w:b/>
                <w:sz w:val="24"/>
                <w:szCs w:val="24"/>
                <w:lang w:eastAsia="pl-PL"/>
              </w:rPr>
              <w:t>Art. 36</w:t>
            </w:r>
            <w:r w:rsidRPr="00762814">
              <w:rPr>
                <w:rFonts w:cstheme="minorHAnsi"/>
                <w:sz w:val="24"/>
                <w:szCs w:val="24"/>
                <w:lang w:eastAsia="pl-PL"/>
              </w:rPr>
              <w:t xml:space="preserve"> </w:t>
            </w:r>
            <w:r w:rsidRPr="00762814">
              <w:rPr>
                <w:rFonts w:cstheme="minorHAnsi"/>
                <w:bCs/>
                <w:sz w:val="24"/>
                <w:szCs w:val="24"/>
              </w:rPr>
              <w:t>rozporządzenia Komisji (UE) nr 651/2014</w:t>
            </w:r>
            <w:r>
              <w:rPr>
                <w:rFonts w:cstheme="minorHAnsi"/>
                <w:bCs/>
                <w:sz w:val="24"/>
                <w:szCs w:val="24"/>
              </w:rPr>
              <w:t xml:space="preserve"> – inwestycje na ochronę środowiska inne niż wymienione w</w:t>
            </w:r>
            <w:r w:rsidRPr="00881046">
              <w:rPr>
                <w:rFonts w:cstheme="minorHAnsi"/>
                <w:bCs/>
                <w:sz w:val="24"/>
                <w:szCs w:val="24"/>
              </w:rPr>
              <w:t xml:space="preserve"> pkt 1</w:t>
            </w:r>
            <w:r w:rsidRPr="0016469E">
              <w:rPr>
                <w:rFonts w:cstheme="minorHAnsi"/>
                <w:bCs/>
                <w:sz w:val="24"/>
                <w:szCs w:val="24"/>
              </w:rPr>
              <w:t xml:space="preserve"> lit. a) i b)</w:t>
            </w:r>
          </w:p>
        </w:tc>
      </w:tr>
      <w:tr w:rsidR="00D72B3D" w:rsidRPr="00762814" w14:paraId="4F5FFA91" w14:textId="77777777" w:rsidTr="00550797">
        <w:trPr>
          <w:trHeight w:val="533"/>
        </w:trPr>
        <w:tc>
          <w:tcPr>
            <w:tcW w:w="3397" w:type="dxa"/>
            <w:shd w:val="clear" w:color="auto" w:fill="auto"/>
          </w:tcPr>
          <w:p w14:paraId="286BCFFC"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a*</w:t>
            </w:r>
          </w:p>
        </w:tc>
        <w:tc>
          <w:tcPr>
            <w:tcW w:w="1985" w:type="dxa"/>
            <w:shd w:val="clear" w:color="auto" w:fill="auto"/>
          </w:tcPr>
          <w:p w14:paraId="4B16C66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1984" w:type="dxa"/>
            <w:gridSpan w:val="2"/>
            <w:shd w:val="clear" w:color="auto" w:fill="auto"/>
          </w:tcPr>
          <w:p w14:paraId="43C6E8D6"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c>
          <w:tcPr>
            <w:tcW w:w="2127" w:type="dxa"/>
            <w:shd w:val="clear" w:color="auto" w:fill="auto"/>
          </w:tcPr>
          <w:p w14:paraId="40DF3E2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75%</w:t>
            </w:r>
          </w:p>
        </w:tc>
      </w:tr>
      <w:tr w:rsidR="00D72B3D" w:rsidRPr="00762814" w14:paraId="2E5EF794" w14:textId="77777777" w:rsidTr="00550797">
        <w:trPr>
          <w:trHeight w:val="363"/>
        </w:trPr>
        <w:tc>
          <w:tcPr>
            <w:tcW w:w="3397" w:type="dxa"/>
            <w:shd w:val="clear" w:color="auto" w:fill="auto"/>
          </w:tcPr>
          <w:p w14:paraId="301C6072"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c**</w:t>
            </w:r>
          </w:p>
        </w:tc>
        <w:tc>
          <w:tcPr>
            <w:tcW w:w="1985" w:type="dxa"/>
            <w:shd w:val="clear" w:color="auto" w:fill="auto"/>
          </w:tcPr>
          <w:p w14:paraId="4BACD21A"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c>
          <w:tcPr>
            <w:tcW w:w="1984" w:type="dxa"/>
            <w:gridSpan w:val="2"/>
            <w:shd w:val="clear" w:color="auto" w:fill="auto"/>
          </w:tcPr>
          <w:p w14:paraId="4004FD5F"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2127" w:type="dxa"/>
            <w:shd w:val="clear" w:color="auto" w:fill="auto"/>
          </w:tcPr>
          <w:p w14:paraId="1A78FBC2"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r>
      <w:tr w:rsidR="00D72B3D" w:rsidRPr="00762814" w14:paraId="5EFDF07D" w14:textId="77777777" w:rsidTr="00550797">
        <w:trPr>
          <w:trHeight w:val="476"/>
        </w:trPr>
        <w:tc>
          <w:tcPr>
            <w:tcW w:w="3397" w:type="dxa"/>
            <w:shd w:val="clear" w:color="auto" w:fill="auto"/>
          </w:tcPr>
          <w:p w14:paraId="0C4CA1CA"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Poza obszarem „a” i „c”***</w:t>
            </w:r>
          </w:p>
        </w:tc>
        <w:tc>
          <w:tcPr>
            <w:tcW w:w="1985" w:type="dxa"/>
            <w:shd w:val="clear" w:color="auto" w:fill="auto"/>
          </w:tcPr>
          <w:p w14:paraId="72E77E9F"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c>
          <w:tcPr>
            <w:tcW w:w="1984" w:type="dxa"/>
            <w:gridSpan w:val="2"/>
            <w:shd w:val="clear" w:color="auto" w:fill="auto"/>
          </w:tcPr>
          <w:p w14:paraId="35F19B77"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50%</w:t>
            </w:r>
          </w:p>
        </w:tc>
        <w:tc>
          <w:tcPr>
            <w:tcW w:w="2127" w:type="dxa"/>
            <w:shd w:val="clear" w:color="auto" w:fill="auto"/>
          </w:tcPr>
          <w:p w14:paraId="10E5E7E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60%</w:t>
            </w:r>
          </w:p>
        </w:tc>
      </w:tr>
      <w:tr w:rsidR="00D72B3D" w:rsidRPr="007E3129" w14:paraId="4698F42C" w14:textId="77777777" w:rsidTr="00550797">
        <w:trPr>
          <w:trHeight w:val="730"/>
        </w:trPr>
        <w:tc>
          <w:tcPr>
            <w:tcW w:w="9493" w:type="dxa"/>
            <w:gridSpan w:val="5"/>
            <w:shd w:val="clear" w:color="auto" w:fill="D9E2F3" w:themeFill="accent1" w:themeFillTint="33"/>
          </w:tcPr>
          <w:p w14:paraId="4EFFE35F" w14:textId="22C77014" w:rsidR="00D72B3D" w:rsidRPr="00CA563B" w:rsidRDefault="00D72B3D" w:rsidP="00D72B3D">
            <w:pPr>
              <w:pStyle w:val="Bezodstpw"/>
              <w:numPr>
                <w:ilvl w:val="2"/>
                <w:numId w:val="13"/>
              </w:numPr>
              <w:shd w:val="clear" w:color="auto" w:fill="D9E2F3" w:themeFill="accent1" w:themeFillTint="33"/>
              <w:spacing w:line="276" w:lineRule="auto"/>
              <w:ind w:left="454" w:hanging="283"/>
              <w:rPr>
                <w:rFonts w:cstheme="minorHAnsi"/>
                <w:bCs/>
                <w:i/>
                <w:sz w:val="24"/>
                <w:szCs w:val="24"/>
              </w:rPr>
            </w:pPr>
            <w:r w:rsidRPr="00CA563B">
              <w:rPr>
                <w:rFonts w:cstheme="minorHAnsi"/>
                <w:bCs/>
                <w:sz w:val="24"/>
                <w:szCs w:val="24"/>
              </w:rPr>
              <w:t xml:space="preserve">Art. 38 </w:t>
            </w:r>
            <w:r w:rsidRPr="00FC6DEA">
              <w:rPr>
                <w:rFonts w:cstheme="minorHAnsi"/>
                <w:bCs/>
                <w:sz w:val="24"/>
                <w:szCs w:val="24"/>
              </w:rPr>
              <w:t>rozporządzenia Komisji (UE) nr 651/2014</w:t>
            </w:r>
            <w:r>
              <w:rPr>
                <w:rFonts w:cstheme="minorHAnsi"/>
                <w:bCs/>
                <w:sz w:val="24"/>
                <w:szCs w:val="24"/>
              </w:rPr>
              <w:t xml:space="preserve"> - </w:t>
            </w:r>
            <w:r w:rsidRPr="00762814">
              <w:rPr>
                <w:rFonts w:cstheme="minorHAnsi"/>
                <w:b/>
                <w:sz w:val="24"/>
                <w:szCs w:val="24"/>
              </w:rPr>
              <w:t>efektywność energetyczną</w:t>
            </w:r>
            <w:r>
              <w:rPr>
                <w:rFonts w:cstheme="minorHAnsi"/>
                <w:b/>
                <w:sz w:val="24"/>
                <w:szCs w:val="24"/>
              </w:rPr>
              <w:t xml:space="preserve"> inną niż</w:t>
            </w:r>
            <w:r w:rsidRPr="006C50AC">
              <w:rPr>
                <w:b/>
                <w:sz w:val="24"/>
              </w:rPr>
              <w:t xml:space="preserve"> w </w:t>
            </w:r>
            <w:r>
              <w:rPr>
                <w:rFonts w:cstheme="minorHAnsi"/>
                <w:b/>
                <w:sz w:val="24"/>
                <w:szCs w:val="24"/>
              </w:rPr>
              <w:t>budynkach</w:t>
            </w:r>
            <w:r>
              <w:rPr>
                <w:rFonts w:cstheme="minorHAnsi"/>
                <w:bCs/>
                <w:sz w:val="24"/>
                <w:szCs w:val="24"/>
              </w:rPr>
              <w:t xml:space="preserve"> </w:t>
            </w:r>
            <w:r w:rsidRPr="00FC6DEA">
              <w:rPr>
                <w:rFonts w:cstheme="minorHAnsi"/>
                <w:bCs/>
                <w:sz w:val="24"/>
                <w:szCs w:val="24"/>
              </w:rPr>
              <w:t xml:space="preserve"> (</w:t>
            </w:r>
            <w:r>
              <w:rPr>
                <w:rFonts w:cstheme="minorHAnsi"/>
                <w:bCs/>
                <w:sz w:val="24"/>
                <w:szCs w:val="24"/>
              </w:rPr>
              <w:t>w przypadku kategorii wydatku 7.3.12 -</w:t>
            </w:r>
            <w:r>
              <w:t xml:space="preserve"> </w:t>
            </w:r>
            <w:r w:rsidRPr="00C10DA9">
              <w:rPr>
                <w:rFonts w:cstheme="minorHAnsi"/>
                <w:bCs/>
                <w:sz w:val="24"/>
                <w:szCs w:val="24"/>
              </w:rPr>
              <w:t>Efektywność energetyczna - całkowite koszty inwestycji</w:t>
            </w:r>
            <w:r>
              <w:rPr>
                <w:rFonts w:cstheme="minorHAnsi"/>
                <w:bCs/>
                <w:sz w:val="24"/>
                <w:szCs w:val="24"/>
              </w:rPr>
              <w:t xml:space="preserve"> zastosuj intensywności z niniejszego punktu, natomiast w przypadku kategorii wydatku </w:t>
            </w:r>
            <w:r w:rsidRPr="00CA563B">
              <w:rPr>
                <w:rFonts w:cstheme="minorHAnsi"/>
                <w:bCs/>
                <w:i/>
                <w:sz w:val="24"/>
                <w:szCs w:val="24"/>
              </w:rPr>
              <w:t>7.3.1</w:t>
            </w:r>
            <w:r>
              <w:rPr>
                <w:rFonts w:cstheme="minorHAnsi"/>
                <w:bCs/>
                <w:i/>
                <w:sz w:val="24"/>
                <w:szCs w:val="24"/>
              </w:rPr>
              <w:t>3</w:t>
            </w:r>
            <w:r w:rsidRPr="00CA563B">
              <w:rPr>
                <w:rFonts w:cstheme="minorHAnsi"/>
                <w:bCs/>
                <w:i/>
                <w:sz w:val="24"/>
                <w:szCs w:val="24"/>
              </w:rPr>
              <w:t xml:space="preserve"> Efektywność energetyczna - całkowite koszty inwestycji (obniżona intensywność)</w:t>
            </w:r>
            <w:r>
              <w:rPr>
                <w:rFonts w:cstheme="minorHAnsi"/>
                <w:bCs/>
                <w:i/>
                <w:sz w:val="24"/>
                <w:szCs w:val="24"/>
              </w:rPr>
              <w:t xml:space="preserve"> </w:t>
            </w:r>
            <w:r>
              <w:rPr>
                <w:rFonts w:cstheme="minorHAnsi"/>
                <w:sz w:val="24"/>
                <w:szCs w:val="24"/>
                <w:lang w:eastAsia="pl-PL"/>
              </w:rPr>
              <w:t xml:space="preserve">wskazane poniżej maksymalne </w:t>
            </w:r>
            <w:r w:rsidRPr="00246A62">
              <w:rPr>
                <w:rFonts w:cstheme="minorHAnsi"/>
                <w:sz w:val="24"/>
                <w:szCs w:val="24"/>
                <w:lang w:eastAsia="pl-PL"/>
              </w:rPr>
              <w:t>intensywności pomocy publicznej</w:t>
            </w:r>
            <w:r>
              <w:rPr>
                <w:rFonts w:cstheme="minorHAnsi"/>
                <w:sz w:val="24"/>
                <w:szCs w:val="24"/>
                <w:lang w:eastAsia="pl-PL"/>
              </w:rPr>
              <w:t xml:space="preserve"> </w:t>
            </w:r>
            <w:r>
              <w:rPr>
                <w:rFonts w:cstheme="minorHAnsi"/>
                <w:bCs/>
                <w:sz w:val="24"/>
                <w:szCs w:val="24"/>
                <w:lang w:eastAsia="pl-PL"/>
              </w:rPr>
              <w:t xml:space="preserve">należy </w:t>
            </w:r>
            <w:r w:rsidRPr="00246A62">
              <w:rPr>
                <w:rFonts w:cstheme="minorHAnsi"/>
                <w:sz w:val="24"/>
                <w:szCs w:val="24"/>
                <w:lang w:eastAsia="pl-PL"/>
              </w:rPr>
              <w:t>zmniejsz</w:t>
            </w:r>
            <w:r>
              <w:rPr>
                <w:rFonts w:cstheme="minorHAnsi"/>
                <w:sz w:val="24"/>
                <w:szCs w:val="24"/>
                <w:lang w:eastAsia="pl-PL"/>
              </w:rPr>
              <w:t>yć</w:t>
            </w:r>
            <w:r w:rsidRPr="00246A62">
              <w:rPr>
                <w:rFonts w:cstheme="minorHAnsi"/>
                <w:sz w:val="24"/>
                <w:szCs w:val="24"/>
                <w:lang w:eastAsia="pl-PL"/>
              </w:rPr>
              <w:t xml:space="preserve"> o 50%</w:t>
            </w:r>
          </w:p>
          <w:p w14:paraId="49C285EF" w14:textId="77777777" w:rsidR="00D72B3D" w:rsidRPr="007E3129" w:rsidRDefault="00D72B3D" w:rsidP="00550797">
            <w:pPr>
              <w:pStyle w:val="Bezodstpw"/>
              <w:shd w:val="clear" w:color="auto" w:fill="D9E2F3" w:themeFill="accent1" w:themeFillTint="33"/>
              <w:spacing w:line="276" w:lineRule="auto"/>
            </w:pPr>
          </w:p>
        </w:tc>
      </w:tr>
      <w:tr w:rsidR="00D72B3D" w:rsidRPr="00AF4108" w14:paraId="6FAE10A2" w14:textId="77777777" w:rsidTr="00550797">
        <w:trPr>
          <w:trHeight w:val="397"/>
        </w:trPr>
        <w:tc>
          <w:tcPr>
            <w:tcW w:w="3397" w:type="dxa"/>
            <w:shd w:val="clear" w:color="auto" w:fill="auto"/>
          </w:tcPr>
          <w:p w14:paraId="74DC075C" w14:textId="77777777" w:rsidR="00D72B3D" w:rsidRPr="00762814" w:rsidRDefault="00D72B3D" w:rsidP="00550797">
            <w:pPr>
              <w:pStyle w:val="Bezodstpw"/>
              <w:spacing w:line="276" w:lineRule="auto"/>
              <w:rPr>
                <w:rFonts w:cstheme="minorHAnsi"/>
                <w:b/>
                <w:sz w:val="24"/>
                <w:szCs w:val="24"/>
                <w:lang w:eastAsia="pl-PL"/>
              </w:rPr>
            </w:pPr>
            <w:r w:rsidRPr="00762814">
              <w:rPr>
                <w:rFonts w:cstheme="minorHAnsi"/>
                <w:b/>
                <w:sz w:val="24"/>
                <w:szCs w:val="24"/>
              </w:rPr>
              <w:t>Obszar a*</w:t>
            </w:r>
          </w:p>
        </w:tc>
        <w:tc>
          <w:tcPr>
            <w:tcW w:w="1995" w:type="dxa"/>
            <w:gridSpan w:val="2"/>
            <w:shd w:val="clear" w:color="auto" w:fill="auto"/>
          </w:tcPr>
          <w:p w14:paraId="38134A49"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 xml:space="preserve"> 45%</w:t>
            </w:r>
          </w:p>
        </w:tc>
        <w:tc>
          <w:tcPr>
            <w:tcW w:w="1974" w:type="dxa"/>
            <w:shd w:val="clear" w:color="auto" w:fill="auto"/>
          </w:tcPr>
          <w:p w14:paraId="5715A1B8"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55%</w:t>
            </w:r>
          </w:p>
        </w:tc>
        <w:tc>
          <w:tcPr>
            <w:tcW w:w="2127" w:type="dxa"/>
            <w:shd w:val="clear" w:color="auto" w:fill="auto"/>
          </w:tcPr>
          <w:p w14:paraId="73E9E975"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65%</w:t>
            </w:r>
          </w:p>
        </w:tc>
      </w:tr>
      <w:tr w:rsidR="00D72B3D" w:rsidRPr="00AF4108" w14:paraId="0022F173" w14:textId="77777777" w:rsidTr="00550797">
        <w:trPr>
          <w:trHeight w:val="397"/>
        </w:trPr>
        <w:tc>
          <w:tcPr>
            <w:tcW w:w="3397" w:type="dxa"/>
            <w:shd w:val="clear" w:color="auto" w:fill="auto"/>
          </w:tcPr>
          <w:p w14:paraId="03C0FCAF" w14:textId="77777777" w:rsidR="00D72B3D" w:rsidRPr="00762814" w:rsidRDefault="00D72B3D" w:rsidP="00550797">
            <w:pPr>
              <w:pStyle w:val="Bezodstpw"/>
              <w:spacing w:line="276" w:lineRule="auto"/>
              <w:rPr>
                <w:rFonts w:cstheme="minorHAnsi"/>
                <w:b/>
                <w:sz w:val="24"/>
                <w:szCs w:val="24"/>
                <w:lang w:eastAsia="pl-PL"/>
              </w:rPr>
            </w:pPr>
            <w:r w:rsidRPr="00762814">
              <w:rPr>
                <w:rFonts w:cstheme="minorHAnsi"/>
                <w:b/>
                <w:sz w:val="24"/>
                <w:szCs w:val="24"/>
              </w:rPr>
              <w:t>Obszar c**</w:t>
            </w:r>
          </w:p>
        </w:tc>
        <w:tc>
          <w:tcPr>
            <w:tcW w:w="1995" w:type="dxa"/>
            <w:gridSpan w:val="2"/>
            <w:shd w:val="clear" w:color="auto" w:fill="auto"/>
          </w:tcPr>
          <w:p w14:paraId="1DAA735C"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35%</w:t>
            </w:r>
          </w:p>
        </w:tc>
        <w:tc>
          <w:tcPr>
            <w:tcW w:w="1974" w:type="dxa"/>
            <w:shd w:val="clear" w:color="auto" w:fill="auto"/>
          </w:tcPr>
          <w:p w14:paraId="2F18433A"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45%</w:t>
            </w:r>
          </w:p>
        </w:tc>
        <w:tc>
          <w:tcPr>
            <w:tcW w:w="2127" w:type="dxa"/>
            <w:shd w:val="clear" w:color="auto" w:fill="auto"/>
          </w:tcPr>
          <w:p w14:paraId="50D7C164"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55%</w:t>
            </w:r>
          </w:p>
        </w:tc>
      </w:tr>
      <w:tr w:rsidR="00D72B3D" w:rsidRPr="00AF4108" w14:paraId="0E240FFA" w14:textId="77777777" w:rsidTr="00550797">
        <w:trPr>
          <w:trHeight w:val="397"/>
        </w:trPr>
        <w:tc>
          <w:tcPr>
            <w:tcW w:w="3397" w:type="dxa"/>
            <w:shd w:val="clear" w:color="auto" w:fill="auto"/>
          </w:tcPr>
          <w:p w14:paraId="57956D44" w14:textId="77777777" w:rsidR="00D72B3D" w:rsidRPr="00762814" w:rsidRDefault="00D72B3D" w:rsidP="00550797">
            <w:pPr>
              <w:pStyle w:val="Bezodstpw"/>
              <w:spacing w:line="276" w:lineRule="auto"/>
              <w:rPr>
                <w:rFonts w:cstheme="minorHAnsi"/>
                <w:b/>
                <w:sz w:val="24"/>
                <w:szCs w:val="24"/>
                <w:lang w:eastAsia="pl-PL"/>
              </w:rPr>
            </w:pPr>
            <w:r w:rsidRPr="00762814">
              <w:rPr>
                <w:rFonts w:cstheme="minorHAnsi"/>
                <w:b/>
                <w:sz w:val="24"/>
                <w:szCs w:val="24"/>
              </w:rPr>
              <w:t>Poza obszarem „a” i „c”***</w:t>
            </w:r>
          </w:p>
        </w:tc>
        <w:tc>
          <w:tcPr>
            <w:tcW w:w="1995" w:type="dxa"/>
            <w:gridSpan w:val="2"/>
            <w:shd w:val="clear" w:color="auto" w:fill="auto"/>
          </w:tcPr>
          <w:p w14:paraId="1A8DB528"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30%</w:t>
            </w:r>
          </w:p>
        </w:tc>
        <w:tc>
          <w:tcPr>
            <w:tcW w:w="1974" w:type="dxa"/>
            <w:shd w:val="clear" w:color="auto" w:fill="auto"/>
          </w:tcPr>
          <w:p w14:paraId="496B6D2A"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40%</w:t>
            </w:r>
          </w:p>
        </w:tc>
        <w:tc>
          <w:tcPr>
            <w:tcW w:w="2127" w:type="dxa"/>
            <w:shd w:val="clear" w:color="auto" w:fill="auto"/>
          </w:tcPr>
          <w:p w14:paraId="3947AF7D" w14:textId="77777777" w:rsidR="00D72B3D" w:rsidRPr="00AF4108" w:rsidRDefault="00D72B3D" w:rsidP="00550797">
            <w:pPr>
              <w:spacing w:line="276" w:lineRule="auto"/>
              <w:jc w:val="center"/>
              <w:rPr>
                <w:rFonts w:cstheme="minorHAnsi"/>
                <w:b/>
                <w:sz w:val="24"/>
                <w:szCs w:val="24"/>
              </w:rPr>
            </w:pPr>
            <w:r w:rsidRPr="00AF4108">
              <w:rPr>
                <w:rFonts w:cstheme="minorHAnsi"/>
                <w:b/>
                <w:sz w:val="24"/>
                <w:szCs w:val="24"/>
              </w:rPr>
              <w:t>50%</w:t>
            </w:r>
          </w:p>
        </w:tc>
      </w:tr>
      <w:tr w:rsidR="00D72B3D" w:rsidRPr="00AF4108" w14:paraId="5891628C" w14:textId="77777777" w:rsidTr="00550797">
        <w:trPr>
          <w:trHeight w:val="413"/>
        </w:trPr>
        <w:tc>
          <w:tcPr>
            <w:tcW w:w="9493" w:type="dxa"/>
            <w:gridSpan w:val="5"/>
            <w:tcBorders>
              <w:bottom w:val="single" w:sz="4" w:space="0" w:color="auto"/>
            </w:tcBorders>
            <w:shd w:val="clear" w:color="auto" w:fill="D9E2F3" w:themeFill="accent1" w:themeFillTint="33"/>
          </w:tcPr>
          <w:p w14:paraId="18859AD3" w14:textId="77777777" w:rsidR="00D72B3D" w:rsidRDefault="00D72B3D" w:rsidP="00D72B3D">
            <w:pPr>
              <w:pStyle w:val="Bezodstpw"/>
              <w:numPr>
                <w:ilvl w:val="2"/>
                <w:numId w:val="13"/>
              </w:numPr>
              <w:shd w:val="clear" w:color="auto" w:fill="D9E2F3" w:themeFill="accent1" w:themeFillTint="33"/>
              <w:spacing w:line="276" w:lineRule="auto"/>
              <w:ind w:left="1021" w:hanging="567"/>
              <w:rPr>
                <w:rFonts w:cstheme="minorHAnsi"/>
                <w:b/>
                <w:sz w:val="24"/>
                <w:szCs w:val="24"/>
                <w:lang w:eastAsia="pl-PL"/>
              </w:rPr>
            </w:pPr>
            <w:r>
              <w:rPr>
                <w:rFonts w:cstheme="minorHAnsi"/>
                <w:b/>
                <w:sz w:val="24"/>
                <w:szCs w:val="24"/>
                <w:lang w:eastAsia="pl-PL"/>
              </w:rPr>
              <w:t xml:space="preserve">Art. 38a </w:t>
            </w:r>
            <w:r w:rsidRPr="00762814">
              <w:rPr>
                <w:rFonts w:cstheme="minorHAnsi"/>
                <w:bCs/>
                <w:sz w:val="24"/>
                <w:szCs w:val="24"/>
              </w:rPr>
              <w:t>rozporządzenia Komisji (UE) nr 651/2014</w:t>
            </w:r>
            <w:r>
              <w:rPr>
                <w:rFonts w:cstheme="minorHAnsi"/>
                <w:bCs/>
                <w:sz w:val="24"/>
                <w:szCs w:val="24"/>
              </w:rPr>
              <w:t xml:space="preserve"> - inwestycje wspierające efektywność energetyczną w budynkach </w:t>
            </w:r>
            <w:r w:rsidRPr="008B548F">
              <w:rPr>
                <w:rFonts w:cstheme="minorHAnsi"/>
                <w:sz w:val="24"/>
                <w:szCs w:val="24"/>
                <w:lang w:eastAsia="pl-PL"/>
              </w:rPr>
              <w:t>(</w:t>
            </w:r>
            <w:r>
              <w:rPr>
                <w:rFonts w:cstheme="minorHAnsi"/>
                <w:sz w:val="24"/>
                <w:szCs w:val="24"/>
                <w:lang w:eastAsia="pl-PL"/>
              </w:rPr>
              <w:t xml:space="preserve">w przypadku kategorii wydatku 7.3.14 zastosuj </w:t>
            </w:r>
            <w:r w:rsidRPr="00C10DA9">
              <w:rPr>
                <w:rFonts w:cstheme="minorHAnsi"/>
                <w:sz w:val="24"/>
                <w:szCs w:val="24"/>
                <w:lang w:eastAsia="pl-PL"/>
              </w:rPr>
              <w:t xml:space="preserve">intensywności z </w:t>
            </w:r>
            <w:r>
              <w:rPr>
                <w:rFonts w:cstheme="minorHAnsi"/>
                <w:sz w:val="24"/>
                <w:szCs w:val="24"/>
                <w:lang w:eastAsia="pl-PL"/>
              </w:rPr>
              <w:t>lit. a), b), c) lub d)</w:t>
            </w:r>
          </w:p>
        </w:tc>
      </w:tr>
      <w:tr w:rsidR="00D72B3D" w:rsidRPr="00AF4108" w14:paraId="7C7A5764" w14:textId="77777777" w:rsidTr="00550797">
        <w:trPr>
          <w:trHeight w:val="413"/>
        </w:trPr>
        <w:tc>
          <w:tcPr>
            <w:tcW w:w="9493" w:type="dxa"/>
            <w:gridSpan w:val="5"/>
            <w:tcBorders>
              <w:bottom w:val="single" w:sz="4" w:space="0" w:color="auto"/>
            </w:tcBorders>
            <w:shd w:val="clear" w:color="auto" w:fill="D9E2F3" w:themeFill="accent1" w:themeFillTint="33"/>
          </w:tcPr>
          <w:p w14:paraId="5C7E8327" w14:textId="77777777" w:rsidR="00D72B3D" w:rsidRPr="00AF4108" w:rsidRDefault="00D72B3D" w:rsidP="00D72B3D">
            <w:pPr>
              <w:pStyle w:val="Bezodstpw"/>
              <w:numPr>
                <w:ilvl w:val="0"/>
                <w:numId w:val="123"/>
              </w:numPr>
              <w:shd w:val="clear" w:color="auto" w:fill="D9E2F3" w:themeFill="accent1" w:themeFillTint="33"/>
              <w:spacing w:line="276" w:lineRule="auto"/>
              <w:rPr>
                <w:rFonts w:cstheme="minorHAnsi"/>
                <w:sz w:val="24"/>
                <w:szCs w:val="24"/>
              </w:rPr>
            </w:pPr>
            <w:r>
              <w:rPr>
                <w:rFonts w:cstheme="minorHAnsi"/>
                <w:b/>
                <w:sz w:val="24"/>
                <w:szCs w:val="24"/>
                <w:lang w:eastAsia="pl-PL"/>
              </w:rPr>
              <w:t xml:space="preserve">Art. 38a </w:t>
            </w:r>
            <w:r w:rsidRPr="00762814">
              <w:rPr>
                <w:rFonts w:cstheme="minorHAnsi"/>
                <w:bCs/>
                <w:sz w:val="24"/>
                <w:szCs w:val="24"/>
              </w:rPr>
              <w:t>rozporządzenia Komisji (UE) nr 651/2014</w:t>
            </w:r>
            <w:r>
              <w:rPr>
                <w:rFonts w:cstheme="minorHAnsi"/>
                <w:bCs/>
                <w:sz w:val="24"/>
                <w:szCs w:val="24"/>
              </w:rPr>
              <w:t xml:space="preserve"> - inwestycje wspierające efektywność energetyczną w budynkach; </w:t>
            </w:r>
            <w:r w:rsidRPr="002E26C5">
              <w:rPr>
                <w:rFonts w:cstheme="minorHAnsi"/>
                <w:sz w:val="24"/>
                <w:szCs w:val="24"/>
              </w:rPr>
              <w:t>inwestycj</w:t>
            </w:r>
            <w:r>
              <w:rPr>
                <w:rFonts w:cstheme="minorHAnsi"/>
                <w:sz w:val="24"/>
                <w:szCs w:val="24"/>
              </w:rPr>
              <w:t>e</w:t>
            </w:r>
            <w:r w:rsidRPr="002E26C5">
              <w:rPr>
                <w:rFonts w:cstheme="minorHAnsi"/>
                <w:sz w:val="24"/>
                <w:szCs w:val="24"/>
              </w:rPr>
              <w:t xml:space="preserve"> polegają</w:t>
            </w:r>
            <w:r>
              <w:rPr>
                <w:rFonts w:cstheme="minorHAnsi"/>
                <w:sz w:val="24"/>
                <w:szCs w:val="24"/>
              </w:rPr>
              <w:t>ce</w:t>
            </w:r>
            <w:r w:rsidRPr="002E26C5">
              <w:rPr>
                <w:rFonts w:cstheme="minorHAnsi"/>
                <w:sz w:val="24"/>
                <w:szCs w:val="24"/>
              </w:rPr>
              <w:t xml:space="preserve"> na instalacji lub wymianie tylko jednego rodzaju elementów budynku w rozumieniu art. 2 pkt 9 dyrektywy 2010/31</w:t>
            </w:r>
            <w:r>
              <w:rPr>
                <w:rFonts w:cstheme="minorHAnsi"/>
                <w:sz w:val="24"/>
                <w:szCs w:val="24"/>
              </w:rPr>
              <w:t>/UE</w:t>
            </w:r>
          </w:p>
        </w:tc>
      </w:tr>
      <w:tr w:rsidR="00D72B3D" w:rsidRPr="00762814" w14:paraId="4B1C3C30" w14:textId="77777777" w:rsidTr="00550797">
        <w:trPr>
          <w:trHeight w:val="140"/>
        </w:trPr>
        <w:tc>
          <w:tcPr>
            <w:tcW w:w="3397" w:type="dxa"/>
            <w:shd w:val="clear" w:color="auto" w:fill="FFFFFF" w:themeFill="background1"/>
          </w:tcPr>
          <w:p w14:paraId="7C778A91"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a*</w:t>
            </w:r>
          </w:p>
        </w:tc>
        <w:tc>
          <w:tcPr>
            <w:tcW w:w="1985" w:type="dxa"/>
            <w:shd w:val="clear" w:color="auto" w:fill="FFFFFF" w:themeFill="background1"/>
          </w:tcPr>
          <w:p w14:paraId="110BC49B"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c>
          <w:tcPr>
            <w:tcW w:w="1984" w:type="dxa"/>
            <w:gridSpan w:val="2"/>
            <w:shd w:val="clear" w:color="auto" w:fill="FFFFFF" w:themeFill="background1"/>
          </w:tcPr>
          <w:p w14:paraId="0B821F64"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50%</w:t>
            </w:r>
          </w:p>
        </w:tc>
        <w:tc>
          <w:tcPr>
            <w:tcW w:w="2127" w:type="dxa"/>
            <w:shd w:val="clear" w:color="auto" w:fill="FFFFFF" w:themeFill="background1"/>
          </w:tcPr>
          <w:p w14:paraId="19FAF1D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60%</w:t>
            </w:r>
          </w:p>
        </w:tc>
      </w:tr>
      <w:tr w:rsidR="00D72B3D" w:rsidRPr="00762814" w14:paraId="2794735A" w14:textId="77777777" w:rsidTr="00550797">
        <w:trPr>
          <w:trHeight w:val="140"/>
        </w:trPr>
        <w:tc>
          <w:tcPr>
            <w:tcW w:w="3397" w:type="dxa"/>
            <w:shd w:val="clear" w:color="auto" w:fill="FFFFFF" w:themeFill="background1"/>
          </w:tcPr>
          <w:p w14:paraId="153DE60A"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c**</w:t>
            </w:r>
          </w:p>
        </w:tc>
        <w:tc>
          <w:tcPr>
            <w:tcW w:w="1985" w:type="dxa"/>
            <w:shd w:val="clear" w:color="auto" w:fill="FFFFFF" w:themeFill="background1"/>
          </w:tcPr>
          <w:p w14:paraId="02AED6FE"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30%</w:t>
            </w:r>
          </w:p>
        </w:tc>
        <w:tc>
          <w:tcPr>
            <w:tcW w:w="1984" w:type="dxa"/>
            <w:gridSpan w:val="2"/>
            <w:shd w:val="clear" w:color="auto" w:fill="FFFFFF" w:themeFill="background1"/>
          </w:tcPr>
          <w:p w14:paraId="087A7B16"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c>
          <w:tcPr>
            <w:tcW w:w="2127" w:type="dxa"/>
            <w:shd w:val="clear" w:color="auto" w:fill="FFFFFF" w:themeFill="background1"/>
          </w:tcPr>
          <w:p w14:paraId="5DD09FEF"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50%</w:t>
            </w:r>
          </w:p>
        </w:tc>
      </w:tr>
      <w:tr w:rsidR="00D72B3D" w:rsidRPr="00762814" w14:paraId="68AD1739" w14:textId="77777777" w:rsidTr="00550797">
        <w:trPr>
          <w:trHeight w:val="140"/>
        </w:trPr>
        <w:tc>
          <w:tcPr>
            <w:tcW w:w="3397" w:type="dxa"/>
            <w:shd w:val="clear" w:color="auto" w:fill="FFFFFF" w:themeFill="background1"/>
          </w:tcPr>
          <w:p w14:paraId="0519FE98"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Poza obszarem „a” i „c”***</w:t>
            </w:r>
          </w:p>
        </w:tc>
        <w:tc>
          <w:tcPr>
            <w:tcW w:w="1985" w:type="dxa"/>
            <w:shd w:val="clear" w:color="auto" w:fill="FFFFFF" w:themeFill="background1"/>
          </w:tcPr>
          <w:p w14:paraId="5148B7DA"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25%</w:t>
            </w:r>
          </w:p>
        </w:tc>
        <w:tc>
          <w:tcPr>
            <w:tcW w:w="1984" w:type="dxa"/>
            <w:gridSpan w:val="2"/>
            <w:shd w:val="clear" w:color="auto" w:fill="FFFFFF" w:themeFill="background1"/>
          </w:tcPr>
          <w:p w14:paraId="6DC20D98"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35%</w:t>
            </w:r>
          </w:p>
        </w:tc>
        <w:tc>
          <w:tcPr>
            <w:tcW w:w="2127" w:type="dxa"/>
            <w:shd w:val="clear" w:color="auto" w:fill="FFFFFF" w:themeFill="background1"/>
          </w:tcPr>
          <w:p w14:paraId="48907388"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r>
      <w:tr w:rsidR="00D72B3D" w:rsidRPr="00762814" w14:paraId="08D87B36" w14:textId="77777777" w:rsidTr="00550797">
        <w:trPr>
          <w:trHeight w:val="413"/>
        </w:trPr>
        <w:tc>
          <w:tcPr>
            <w:tcW w:w="3397" w:type="dxa"/>
            <w:shd w:val="clear" w:color="auto" w:fill="FFFFFF" w:themeFill="background1"/>
          </w:tcPr>
          <w:p w14:paraId="5360D859" w14:textId="77777777" w:rsidR="00D72B3D" w:rsidRPr="000355C7" w:rsidRDefault="00D72B3D" w:rsidP="00550797">
            <w:pPr>
              <w:pStyle w:val="Bezodstpw"/>
              <w:spacing w:line="276" w:lineRule="auto"/>
              <w:rPr>
                <w:rFonts w:cstheme="minorHAnsi"/>
                <w:b/>
                <w:sz w:val="24"/>
                <w:szCs w:val="24"/>
              </w:rPr>
            </w:pPr>
            <w:r w:rsidRPr="000355C7">
              <w:rPr>
                <w:rFonts w:cstheme="minorHAnsi"/>
                <w:b/>
                <w:sz w:val="24"/>
                <w:szCs w:val="24"/>
              </w:rPr>
              <w:t>Zwiększenie efektywnoś</w:t>
            </w:r>
            <w:r>
              <w:rPr>
                <w:rFonts w:cstheme="minorHAnsi"/>
                <w:b/>
                <w:sz w:val="24"/>
                <w:szCs w:val="24"/>
              </w:rPr>
              <w:t>ci</w:t>
            </w:r>
            <w:r w:rsidRPr="000355C7">
              <w:rPr>
                <w:rFonts w:cstheme="minorHAnsi"/>
                <w:b/>
                <w:sz w:val="24"/>
                <w:szCs w:val="24"/>
              </w:rPr>
              <w:t xml:space="preserve"> o min. 40% w porównaniu z sytuacją sprzed inwestycji – obszar a</w:t>
            </w:r>
          </w:p>
        </w:tc>
        <w:tc>
          <w:tcPr>
            <w:tcW w:w="1985" w:type="dxa"/>
            <w:shd w:val="clear" w:color="auto" w:fill="FFFFFF" w:themeFill="background1"/>
          </w:tcPr>
          <w:p w14:paraId="4558A4B9"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1984" w:type="dxa"/>
            <w:gridSpan w:val="2"/>
            <w:shd w:val="clear" w:color="auto" w:fill="FFFFFF" w:themeFill="background1"/>
          </w:tcPr>
          <w:p w14:paraId="74B4379A"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c>
          <w:tcPr>
            <w:tcW w:w="2127" w:type="dxa"/>
            <w:shd w:val="clear" w:color="auto" w:fill="FFFFFF" w:themeFill="background1"/>
          </w:tcPr>
          <w:p w14:paraId="40C60C73"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75%</w:t>
            </w:r>
          </w:p>
        </w:tc>
      </w:tr>
      <w:tr w:rsidR="00D72B3D" w:rsidRPr="00762814" w14:paraId="79F90A31" w14:textId="77777777" w:rsidTr="00550797">
        <w:trPr>
          <w:trHeight w:val="210"/>
        </w:trPr>
        <w:tc>
          <w:tcPr>
            <w:tcW w:w="3397" w:type="dxa"/>
            <w:shd w:val="clear" w:color="auto" w:fill="FFFFFF" w:themeFill="background1"/>
          </w:tcPr>
          <w:p w14:paraId="73FB7B84" w14:textId="77777777" w:rsidR="00D72B3D" w:rsidRPr="00762814" w:rsidRDefault="00D72B3D" w:rsidP="00550797">
            <w:pPr>
              <w:pStyle w:val="Bezodstpw"/>
              <w:spacing w:line="276" w:lineRule="auto"/>
              <w:rPr>
                <w:rFonts w:cstheme="minorHAnsi"/>
                <w:b/>
                <w:sz w:val="24"/>
                <w:szCs w:val="24"/>
              </w:rPr>
            </w:pPr>
            <w:r w:rsidRPr="006F01E1">
              <w:rPr>
                <w:rFonts w:cstheme="minorHAnsi"/>
                <w:b/>
                <w:sz w:val="24"/>
                <w:szCs w:val="24"/>
              </w:rPr>
              <w:t>Zwiększenie efektywnoś</w:t>
            </w:r>
            <w:r>
              <w:rPr>
                <w:rFonts w:cstheme="minorHAnsi"/>
                <w:b/>
                <w:sz w:val="24"/>
                <w:szCs w:val="24"/>
              </w:rPr>
              <w:t>ci</w:t>
            </w:r>
            <w:r w:rsidRPr="006F01E1">
              <w:rPr>
                <w:rFonts w:cstheme="minorHAnsi"/>
                <w:b/>
                <w:sz w:val="24"/>
                <w:szCs w:val="24"/>
              </w:rPr>
              <w:t xml:space="preserve"> o min. 40% w porównaniu z sytuacją sprzed inwestycji – obszar c</w:t>
            </w:r>
          </w:p>
        </w:tc>
        <w:tc>
          <w:tcPr>
            <w:tcW w:w="1985" w:type="dxa"/>
            <w:shd w:val="clear" w:color="auto" w:fill="FFFFFF" w:themeFill="background1"/>
          </w:tcPr>
          <w:p w14:paraId="11BE59F0"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c>
          <w:tcPr>
            <w:tcW w:w="1984" w:type="dxa"/>
            <w:gridSpan w:val="2"/>
            <w:shd w:val="clear" w:color="auto" w:fill="FFFFFF" w:themeFill="background1"/>
          </w:tcPr>
          <w:p w14:paraId="4E8CFDB7"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2127" w:type="dxa"/>
            <w:shd w:val="clear" w:color="auto" w:fill="FFFFFF" w:themeFill="background1"/>
          </w:tcPr>
          <w:p w14:paraId="11EE31C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r>
      <w:tr w:rsidR="00D72B3D" w:rsidRPr="00762814" w14:paraId="4467ACC2" w14:textId="77777777" w:rsidTr="00550797">
        <w:trPr>
          <w:trHeight w:val="210"/>
        </w:trPr>
        <w:tc>
          <w:tcPr>
            <w:tcW w:w="3397" w:type="dxa"/>
            <w:shd w:val="clear" w:color="auto" w:fill="FFFFFF" w:themeFill="background1"/>
          </w:tcPr>
          <w:p w14:paraId="6208E4A6" w14:textId="77777777" w:rsidR="00D72B3D" w:rsidRPr="00762814" w:rsidRDefault="00D72B3D" w:rsidP="00550797">
            <w:pPr>
              <w:pStyle w:val="Bezodstpw"/>
              <w:spacing w:line="276" w:lineRule="auto"/>
              <w:rPr>
                <w:rFonts w:cstheme="minorHAnsi"/>
                <w:b/>
                <w:sz w:val="24"/>
                <w:szCs w:val="24"/>
              </w:rPr>
            </w:pPr>
            <w:r w:rsidRPr="00E416F2">
              <w:rPr>
                <w:rFonts w:cstheme="minorHAnsi"/>
                <w:b/>
                <w:sz w:val="24"/>
                <w:szCs w:val="24"/>
              </w:rPr>
              <w:t>Zwiększenie efektywnoś</w:t>
            </w:r>
            <w:r>
              <w:rPr>
                <w:rFonts w:cstheme="minorHAnsi"/>
                <w:b/>
                <w:sz w:val="24"/>
                <w:szCs w:val="24"/>
              </w:rPr>
              <w:t>ci</w:t>
            </w:r>
            <w:r w:rsidRPr="00E416F2">
              <w:rPr>
                <w:rFonts w:cstheme="minorHAnsi"/>
                <w:b/>
                <w:sz w:val="24"/>
                <w:szCs w:val="24"/>
              </w:rPr>
              <w:t xml:space="preserve"> o min. 40% w porównaniu z sytuacją sprzed inwestycji – poza obszarem „a” i „c”</w:t>
            </w:r>
          </w:p>
        </w:tc>
        <w:tc>
          <w:tcPr>
            <w:tcW w:w="1985" w:type="dxa"/>
            <w:shd w:val="clear" w:color="auto" w:fill="FFFFFF" w:themeFill="background1"/>
          </w:tcPr>
          <w:p w14:paraId="0A388F0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c>
          <w:tcPr>
            <w:tcW w:w="1984" w:type="dxa"/>
            <w:gridSpan w:val="2"/>
            <w:shd w:val="clear" w:color="auto" w:fill="FFFFFF" w:themeFill="background1"/>
          </w:tcPr>
          <w:p w14:paraId="36D47190"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50%</w:t>
            </w:r>
          </w:p>
        </w:tc>
        <w:tc>
          <w:tcPr>
            <w:tcW w:w="2127" w:type="dxa"/>
            <w:shd w:val="clear" w:color="auto" w:fill="FFFFFF" w:themeFill="background1"/>
          </w:tcPr>
          <w:p w14:paraId="0F156F9E"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60%</w:t>
            </w:r>
          </w:p>
        </w:tc>
      </w:tr>
      <w:tr w:rsidR="00D72B3D" w:rsidRPr="00762814" w14:paraId="430BDC23" w14:textId="77777777" w:rsidTr="00550797">
        <w:trPr>
          <w:trHeight w:val="413"/>
        </w:trPr>
        <w:tc>
          <w:tcPr>
            <w:tcW w:w="9493" w:type="dxa"/>
            <w:gridSpan w:val="5"/>
            <w:tcBorders>
              <w:bottom w:val="single" w:sz="4" w:space="0" w:color="auto"/>
            </w:tcBorders>
            <w:shd w:val="clear" w:color="auto" w:fill="D9E2F3" w:themeFill="accent1" w:themeFillTint="33"/>
          </w:tcPr>
          <w:p w14:paraId="585B5655" w14:textId="77777777" w:rsidR="00D72B3D" w:rsidRPr="00762814" w:rsidRDefault="00D72B3D" w:rsidP="00550797">
            <w:pPr>
              <w:pStyle w:val="Bezodstpw"/>
              <w:shd w:val="clear" w:color="auto" w:fill="D9E2F3" w:themeFill="accent1" w:themeFillTint="33"/>
              <w:spacing w:line="276" w:lineRule="auto"/>
              <w:ind w:left="599"/>
              <w:rPr>
                <w:rFonts w:cstheme="minorHAnsi"/>
                <w:b/>
                <w:sz w:val="24"/>
                <w:szCs w:val="24"/>
                <w:lang w:eastAsia="pl-PL"/>
              </w:rPr>
            </w:pPr>
            <w:r>
              <w:rPr>
                <w:rFonts w:cstheme="minorHAnsi"/>
                <w:b/>
                <w:sz w:val="24"/>
                <w:szCs w:val="24"/>
                <w:lang w:eastAsia="pl-PL"/>
              </w:rPr>
              <w:t xml:space="preserve">b) Art. 38a </w:t>
            </w:r>
            <w:r w:rsidRPr="00762814">
              <w:rPr>
                <w:rFonts w:cstheme="minorHAnsi"/>
                <w:bCs/>
                <w:sz w:val="24"/>
                <w:szCs w:val="24"/>
              </w:rPr>
              <w:t>rozporządzenia Komisji (UE) nr 651/2014</w:t>
            </w:r>
            <w:r>
              <w:rPr>
                <w:rFonts w:cstheme="minorHAnsi"/>
                <w:bCs/>
                <w:sz w:val="24"/>
                <w:szCs w:val="24"/>
              </w:rPr>
              <w:t xml:space="preserve"> - inwestycje wspierające efektywność energetyczną w budynkach; </w:t>
            </w:r>
            <w:r w:rsidRPr="002E26C5">
              <w:rPr>
                <w:rFonts w:cstheme="minorHAnsi"/>
                <w:sz w:val="24"/>
                <w:szCs w:val="24"/>
              </w:rPr>
              <w:t>inwestycj</w:t>
            </w:r>
            <w:r>
              <w:rPr>
                <w:rFonts w:cstheme="minorHAnsi"/>
                <w:sz w:val="24"/>
                <w:szCs w:val="24"/>
              </w:rPr>
              <w:t>e</w:t>
            </w:r>
            <w:r w:rsidRPr="002E26C5">
              <w:rPr>
                <w:rFonts w:cstheme="minorHAnsi"/>
                <w:sz w:val="24"/>
                <w:szCs w:val="24"/>
              </w:rPr>
              <w:t xml:space="preserve"> polegają</w:t>
            </w:r>
            <w:r>
              <w:rPr>
                <w:rFonts w:cstheme="minorHAnsi"/>
                <w:sz w:val="24"/>
                <w:szCs w:val="24"/>
              </w:rPr>
              <w:t>ce</w:t>
            </w:r>
            <w:r w:rsidRPr="002E26C5">
              <w:rPr>
                <w:rFonts w:cstheme="minorHAnsi"/>
                <w:sz w:val="24"/>
                <w:szCs w:val="24"/>
              </w:rPr>
              <w:t xml:space="preserve"> na instalacji lub wymianie tylko jednego rodzaju elementów budynku w rozumieniu art. 2 pkt 9 dyrektywy 2010/31</w:t>
            </w:r>
            <w:r>
              <w:rPr>
                <w:rFonts w:cstheme="minorHAnsi"/>
                <w:sz w:val="24"/>
                <w:szCs w:val="24"/>
              </w:rPr>
              <w:t xml:space="preserve">/UE, podejmowane w celu spełnienia minimalnych norm unijnych oraz gdy pomoc publiczna zostaje udzielona </w:t>
            </w:r>
            <w:r w:rsidRPr="002E26C5">
              <w:rPr>
                <w:rFonts w:cstheme="minorHAnsi"/>
                <w:sz w:val="24"/>
                <w:szCs w:val="24"/>
              </w:rPr>
              <w:t>w okresie krótszym niż 18 miesięcy przed wejściem w życie</w:t>
            </w:r>
            <w:r>
              <w:rPr>
                <w:rFonts w:cstheme="minorHAnsi"/>
                <w:sz w:val="24"/>
                <w:szCs w:val="24"/>
              </w:rPr>
              <w:t xml:space="preserve"> tych</w:t>
            </w:r>
            <w:r w:rsidRPr="002E26C5">
              <w:rPr>
                <w:rFonts w:cstheme="minorHAnsi"/>
                <w:sz w:val="24"/>
                <w:szCs w:val="24"/>
              </w:rPr>
              <w:t xml:space="preserve"> norm</w:t>
            </w:r>
          </w:p>
        </w:tc>
      </w:tr>
      <w:tr w:rsidR="00D72B3D" w:rsidRPr="00762814" w14:paraId="6C22E315" w14:textId="77777777" w:rsidTr="00550797">
        <w:trPr>
          <w:trHeight w:val="70"/>
        </w:trPr>
        <w:tc>
          <w:tcPr>
            <w:tcW w:w="3397" w:type="dxa"/>
            <w:shd w:val="clear" w:color="auto" w:fill="FFFFFF" w:themeFill="background1"/>
          </w:tcPr>
          <w:p w14:paraId="3908FBB7"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a*</w:t>
            </w:r>
          </w:p>
        </w:tc>
        <w:tc>
          <w:tcPr>
            <w:tcW w:w="1985" w:type="dxa"/>
            <w:shd w:val="clear" w:color="auto" w:fill="FFFFFF" w:themeFill="background1"/>
          </w:tcPr>
          <w:p w14:paraId="28AD5C8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30%</w:t>
            </w:r>
          </w:p>
        </w:tc>
        <w:tc>
          <w:tcPr>
            <w:tcW w:w="1984" w:type="dxa"/>
            <w:gridSpan w:val="2"/>
            <w:shd w:val="clear" w:color="auto" w:fill="FFFFFF" w:themeFill="background1"/>
          </w:tcPr>
          <w:p w14:paraId="1DC3274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c>
          <w:tcPr>
            <w:tcW w:w="2127" w:type="dxa"/>
            <w:shd w:val="clear" w:color="auto" w:fill="FFFFFF" w:themeFill="background1"/>
          </w:tcPr>
          <w:p w14:paraId="62C64A72"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50%</w:t>
            </w:r>
          </w:p>
        </w:tc>
      </w:tr>
      <w:tr w:rsidR="00D72B3D" w:rsidRPr="00762814" w14:paraId="15839DEB" w14:textId="77777777" w:rsidTr="00550797">
        <w:trPr>
          <w:trHeight w:val="70"/>
        </w:trPr>
        <w:tc>
          <w:tcPr>
            <w:tcW w:w="3397" w:type="dxa"/>
            <w:shd w:val="clear" w:color="auto" w:fill="FFFFFF" w:themeFill="background1"/>
          </w:tcPr>
          <w:p w14:paraId="116E9D82"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c**</w:t>
            </w:r>
          </w:p>
        </w:tc>
        <w:tc>
          <w:tcPr>
            <w:tcW w:w="1985" w:type="dxa"/>
            <w:shd w:val="clear" w:color="auto" w:fill="FFFFFF" w:themeFill="background1"/>
          </w:tcPr>
          <w:p w14:paraId="5B9D47E3"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20%</w:t>
            </w:r>
          </w:p>
        </w:tc>
        <w:tc>
          <w:tcPr>
            <w:tcW w:w="1984" w:type="dxa"/>
            <w:gridSpan w:val="2"/>
            <w:shd w:val="clear" w:color="auto" w:fill="FFFFFF" w:themeFill="background1"/>
          </w:tcPr>
          <w:p w14:paraId="3BDBAA21"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30%</w:t>
            </w:r>
          </w:p>
        </w:tc>
        <w:tc>
          <w:tcPr>
            <w:tcW w:w="2127" w:type="dxa"/>
            <w:shd w:val="clear" w:color="auto" w:fill="FFFFFF" w:themeFill="background1"/>
          </w:tcPr>
          <w:p w14:paraId="751A859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r>
      <w:tr w:rsidR="00D72B3D" w:rsidRPr="00762814" w14:paraId="476D64BD" w14:textId="77777777" w:rsidTr="00550797">
        <w:trPr>
          <w:trHeight w:val="70"/>
        </w:trPr>
        <w:tc>
          <w:tcPr>
            <w:tcW w:w="3397" w:type="dxa"/>
            <w:shd w:val="clear" w:color="auto" w:fill="FFFFFF" w:themeFill="background1"/>
          </w:tcPr>
          <w:p w14:paraId="754DEC5A"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Poza obszarem „a” i „c”***</w:t>
            </w:r>
          </w:p>
        </w:tc>
        <w:tc>
          <w:tcPr>
            <w:tcW w:w="1985" w:type="dxa"/>
            <w:shd w:val="clear" w:color="auto" w:fill="FFFFFF" w:themeFill="background1"/>
          </w:tcPr>
          <w:p w14:paraId="49712A70"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15%</w:t>
            </w:r>
          </w:p>
        </w:tc>
        <w:tc>
          <w:tcPr>
            <w:tcW w:w="1984" w:type="dxa"/>
            <w:gridSpan w:val="2"/>
            <w:shd w:val="clear" w:color="auto" w:fill="FFFFFF" w:themeFill="background1"/>
          </w:tcPr>
          <w:p w14:paraId="1575DA57"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25%</w:t>
            </w:r>
          </w:p>
        </w:tc>
        <w:tc>
          <w:tcPr>
            <w:tcW w:w="2127" w:type="dxa"/>
            <w:shd w:val="clear" w:color="auto" w:fill="FFFFFF" w:themeFill="background1"/>
          </w:tcPr>
          <w:p w14:paraId="6545F24D"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35%</w:t>
            </w:r>
          </w:p>
        </w:tc>
      </w:tr>
      <w:tr w:rsidR="00D72B3D" w:rsidRPr="00762814" w14:paraId="0B73C7BC" w14:textId="77777777" w:rsidTr="00550797">
        <w:trPr>
          <w:trHeight w:val="413"/>
        </w:trPr>
        <w:tc>
          <w:tcPr>
            <w:tcW w:w="9493" w:type="dxa"/>
            <w:gridSpan w:val="5"/>
            <w:tcBorders>
              <w:bottom w:val="single" w:sz="4" w:space="0" w:color="auto"/>
            </w:tcBorders>
            <w:shd w:val="clear" w:color="auto" w:fill="D9E2F3" w:themeFill="accent1" w:themeFillTint="33"/>
          </w:tcPr>
          <w:p w14:paraId="4ABE8EA9" w14:textId="1913970E" w:rsidR="00D72B3D" w:rsidRPr="00762814" w:rsidRDefault="00D72B3D" w:rsidP="00550797">
            <w:pPr>
              <w:pStyle w:val="Bezodstpw"/>
              <w:shd w:val="clear" w:color="auto" w:fill="D9E2F3" w:themeFill="accent1" w:themeFillTint="33"/>
              <w:spacing w:line="276" w:lineRule="auto"/>
              <w:ind w:left="457"/>
              <w:rPr>
                <w:rFonts w:cstheme="minorHAnsi"/>
                <w:b/>
                <w:sz w:val="24"/>
                <w:szCs w:val="24"/>
                <w:lang w:eastAsia="pl-PL"/>
              </w:rPr>
            </w:pPr>
            <w:r>
              <w:rPr>
                <w:rFonts w:cstheme="minorHAnsi"/>
                <w:b/>
                <w:sz w:val="24"/>
                <w:szCs w:val="24"/>
                <w:lang w:eastAsia="pl-PL"/>
              </w:rPr>
              <w:t xml:space="preserve">c) Art. 38a </w:t>
            </w:r>
            <w:r w:rsidRPr="00762814">
              <w:rPr>
                <w:rFonts w:cstheme="minorHAnsi"/>
                <w:bCs/>
                <w:sz w:val="24"/>
                <w:szCs w:val="24"/>
              </w:rPr>
              <w:t>rozporządzenia Komisji (UE) nr 651/2014</w:t>
            </w:r>
            <w:r>
              <w:rPr>
                <w:rFonts w:cstheme="minorHAnsi"/>
                <w:bCs/>
                <w:sz w:val="24"/>
                <w:szCs w:val="24"/>
              </w:rPr>
              <w:t xml:space="preserve"> - inwestycje wspierające efektywność energetyczną w budynkach; </w:t>
            </w:r>
            <w:r w:rsidRPr="002E26C5">
              <w:rPr>
                <w:rFonts w:cstheme="minorHAnsi"/>
                <w:sz w:val="24"/>
                <w:szCs w:val="24"/>
              </w:rPr>
              <w:t>inwestycj</w:t>
            </w:r>
            <w:r>
              <w:rPr>
                <w:rFonts w:cstheme="minorHAnsi"/>
                <w:sz w:val="24"/>
                <w:szCs w:val="24"/>
              </w:rPr>
              <w:t>e</w:t>
            </w:r>
            <w:r w:rsidRPr="002E26C5">
              <w:rPr>
                <w:rFonts w:cstheme="minorHAnsi"/>
                <w:sz w:val="24"/>
                <w:szCs w:val="24"/>
              </w:rPr>
              <w:t xml:space="preserve"> </w:t>
            </w:r>
            <w:r>
              <w:rPr>
                <w:rFonts w:cstheme="minorHAnsi"/>
                <w:sz w:val="24"/>
                <w:szCs w:val="24"/>
              </w:rPr>
              <w:t xml:space="preserve">inne niż wskazane w pkt </w:t>
            </w:r>
            <w:r w:rsidR="00717D09" w:rsidRPr="00B952EE">
              <w:rPr>
                <w:rFonts w:cstheme="minorHAnsi"/>
                <w:sz w:val="24"/>
                <w:szCs w:val="24"/>
              </w:rPr>
              <w:t>3 lit a ) lub b)</w:t>
            </w:r>
            <w:r w:rsidRPr="00B952EE">
              <w:rPr>
                <w:rFonts w:cstheme="minorHAnsi"/>
                <w:sz w:val="24"/>
                <w:szCs w:val="24"/>
              </w:rPr>
              <w:t>,</w:t>
            </w:r>
            <w:r>
              <w:rPr>
                <w:rFonts w:cstheme="minorHAnsi"/>
                <w:sz w:val="24"/>
                <w:szCs w:val="24"/>
              </w:rPr>
              <w:t xml:space="preserve"> podejmowane w celu spełnienia minimalnych norm unijnych oraz gdy pomoc publiczna zostaje udzielona </w:t>
            </w:r>
            <w:r w:rsidRPr="002E26C5">
              <w:rPr>
                <w:rFonts w:cstheme="minorHAnsi"/>
                <w:sz w:val="24"/>
                <w:szCs w:val="24"/>
              </w:rPr>
              <w:t>w okresie krótszym niż 18 miesięcy przed wejściem w życie</w:t>
            </w:r>
            <w:r>
              <w:rPr>
                <w:rFonts w:cstheme="minorHAnsi"/>
                <w:sz w:val="24"/>
                <w:szCs w:val="24"/>
              </w:rPr>
              <w:t xml:space="preserve"> tych</w:t>
            </w:r>
            <w:r w:rsidRPr="002E26C5">
              <w:rPr>
                <w:rFonts w:cstheme="minorHAnsi"/>
                <w:sz w:val="24"/>
                <w:szCs w:val="24"/>
              </w:rPr>
              <w:t xml:space="preserve"> norm</w:t>
            </w:r>
          </w:p>
        </w:tc>
      </w:tr>
      <w:tr w:rsidR="00D72B3D" w:rsidRPr="00762814" w14:paraId="4FF0BBB3" w14:textId="77777777" w:rsidTr="00550797">
        <w:trPr>
          <w:trHeight w:val="70"/>
        </w:trPr>
        <w:tc>
          <w:tcPr>
            <w:tcW w:w="3397" w:type="dxa"/>
            <w:shd w:val="clear" w:color="auto" w:fill="FFFFFF" w:themeFill="background1"/>
          </w:tcPr>
          <w:p w14:paraId="73C21EB5"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a*</w:t>
            </w:r>
          </w:p>
        </w:tc>
        <w:tc>
          <w:tcPr>
            <w:tcW w:w="1985" w:type="dxa"/>
            <w:shd w:val="clear" w:color="auto" w:fill="FFFFFF" w:themeFill="background1"/>
          </w:tcPr>
          <w:p w14:paraId="7920F46B"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35%</w:t>
            </w:r>
          </w:p>
        </w:tc>
        <w:tc>
          <w:tcPr>
            <w:tcW w:w="1984" w:type="dxa"/>
            <w:gridSpan w:val="2"/>
            <w:shd w:val="clear" w:color="auto" w:fill="FFFFFF" w:themeFill="background1"/>
          </w:tcPr>
          <w:p w14:paraId="004DB804"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c>
          <w:tcPr>
            <w:tcW w:w="2127" w:type="dxa"/>
            <w:shd w:val="clear" w:color="auto" w:fill="FFFFFF" w:themeFill="background1"/>
          </w:tcPr>
          <w:p w14:paraId="409930C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r>
      <w:tr w:rsidR="00D72B3D" w:rsidRPr="00762814" w14:paraId="2FDF22BE" w14:textId="77777777" w:rsidTr="00550797">
        <w:trPr>
          <w:trHeight w:val="70"/>
        </w:trPr>
        <w:tc>
          <w:tcPr>
            <w:tcW w:w="3397" w:type="dxa"/>
            <w:shd w:val="clear" w:color="auto" w:fill="FFFFFF" w:themeFill="background1"/>
          </w:tcPr>
          <w:p w14:paraId="615DAADA"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c**</w:t>
            </w:r>
          </w:p>
        </w:tc>
        <w:tc>
          <w:tcPr>
            <w:tcW w:w="1985" w:type="dxa"/>
            <w:shd w:val="clear" w:color="auto" w:fill="FFFFFF" w:themeFill="background1"/>
          </w:tcPr>
          <w:p w14:paraId="61704B74"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25%</w:t>
            </w:r>
          </w:p>
        </w:tc>
        <w:tc>
          <w:tcPr>
            <w:tcW w:w="1984" w:type="dxa"/>
            <w:gridSpan w:val="2"/>
            <w:shd w:val="clear" w:color="auto" w:fill="FFFFFF" w:themeFill="background1"/>
          </w:tcPr>
          <w:p w14:paraId="2C0B8E50"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35%</w:t>
            </w:r>
          </w:p>
        </w:tc>
        <w:tc>
          <w:tcPr>
            <w:tcW w:w="2127" w:type="dxa"/>
            <w:shd w:val="clear" w:color="auto" w:fill="FFFFFF" w:themeFill="background1"/>
          </w:tcPr>
          <w:p w14:paraId="525F5F7D"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r>
      <w:tr w:rsidR="00D72B3D" w:rsidRPr="00762814" w14:paraId="5820FF28" w14:textId="77777777" w:rsidTr="00550797">
        <w:trPr>
          <w:trHeight w:val="70"/>
        </w:trPr>
        <w:tc>
          <w:tcPr>
            <w:tcW w:w="3397" w:type="dxa"/>
            <w:shd w:val="clear" w:color="auto" w:fill="FFFFFF" w:themeFill="background1"/>
          </w:tcPr>
          <w:p w14:paraId="1E448ED2"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Poza obszarem „a” i „c”***</w:t>
            </w:r>
          </w:p>
        </w:tc>
        <w:tc>
          <w:tcPr>
            <w:tcW w:w="1985" w:type="dxa"/>
            <w:shd w:val="clear" w:color="auto" w:fill="FFFFFF" w:themeFill="background1"/>
          </w:tcPr>
          <w:p w14:paraId="4727BFD1"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20%</w:t>
            </w:r>
          </w:p>
        </w:tc>
        <w:tc>
          <w:tcPr>
            <w:tcW w:w="1984" w:type="dxa"/>
            <w:gridSpan w:val="2"/>
            <w:shd w:val="clear" w:color="auto" w:fill="FFFFFF" w:themeFill="background1"/>
          </w:tcPr>
          <w:p w14:paraId="5AF6913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30%</w:t>
            </w:r>
          </w:p>
        </w:tc>
        <w:tc>
          <w:tcPr>
            <w:tcW w:w="2127" w:type="dxa"/>
            <w:shd w:val="clear" w:color="auto" w:fill="FFFFFF" w:themeFill="background1"/>
          </w:tcPr>
          <w:p w14:paraId="402EA29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r>
      <w:tr w:rsidR="00D72B3D" w:rsidRPr="00762814" w14:paraId="0C4B7BE5" w14:textId="77777777" w:rsidTr="00550797">
        <w:trPr>
          <w:trHeight w:val="413"/>
        </w:trPr>
        <w:tc>
          <w:tcPr>
            <w:tcW w:w="9493" w:type="dxa"/>
            <w:gridSpan w:val="5"/>
            <w:tcBorders>
              <w:bottom w:val="single" w:sz="4" w:space="0" w:color="auto"/>
            </w:tcBorders>
            <w:shd w:val="clear" w:color="auto" w:fill="D9E2F3" w:themeFill="accent1" w:themeFillTint="33"/>
          </w:tcPr>
          <w:p w14:paraId="04E97C20" w14:textId="77777777" w:rsidR="00D72B3D" w:rsidRPr="00762814" w:rsidRDefault="00D72B3D" w:rsidP="00550797">
            <w:pPr>
              <w:pStyle w:val="Bezodstpw"/>
              <w:shd w:val="clear" w:color="auto" w:fill="D9E2F3" w:themeFill="accent1" w:themeFillTint="33"/>
              <w:spacing w:line="276" w:lineRule="auto"/>
              <w:ind w:left="316"/>
              <w:rPr>
                <w:rFonts w:cstheme="minorHAnsi"/>
                <w:b/>
                <w:sz w:val="24"/>
                <w:szCs w:val="24"/>
                <w:lang w:eastAsia="pl-PL"/>
              </w:rPr>
            </w:pPr>
            <w:r>
              <w:rPr>
                <w:rFonts w:cstheme="minorHAnsi"/>
                <w:b/>
                <w:sz w:val="24"/>
                <w:szCs w:val="24"/>
                <w:lang w:eastAsia="pl-PL"/>
              </w:rPr>
              <w:t xml:space="preserve">d) Art. 38a </w:t>
            </w:r>
            <w:r w:rsidRPr="00762814">
              <w:rPr>
                <w:rFonts w:cstheme="minorHAnsi"/>
                <w:bCs/>
                <w:sz w:val="24"/>
                <w:szCs w:val="24"/>
              </w:rPr>
              <w:t>rozporządzenia Komisji (UE) nr 651/2014</w:t>
            </w:r>
            <w:r>
              <w:rPr>
                <w:rFonts w:cstheme="minorHAnsi"/>
                <w:bCs/>
                <w:sz w:val="24"/>
                <w:szCs w:val="24"/>
              </w:rPr>
              <w:t xml:space="preserve"> - </w:t>
            </w:r>
            <w:r w:rsidRPr="002E26C5">
              <w:rPr>
                <w:rFonts w:cstheme="minorHAnsi"/>
                <w:sz w:val="24"/>
                <w:szCs w:val="24"/>
              </w:rPr>
              <w:t>inwestycji</w:t>
            </w:r>
            <w:r w:rsidRPr="00890256">
              <w:t xml:space="preserve"> </w:t>
            </w:r>
            <w:r w:rsidRPr="00890256">
              <w:rPr>
                <w:rFonts w:cstheme="minorHAnsi"/>
                <w:sz w:val="24"/>
                <w:szCs w:val="24"/>
              </w:rPr>
              <w:t>wspierając</w:t>
            </w:r>
            <w:r>
              <w:rPr>
                <w:rFonts w:cstheme="minorHAnsi"/>
                <w:sz w:val="24"/>
                <w:szCs w:val="24"/>
              </w:rPr>
              <w:t>ych</w:t>
            </w:r>
            <w:r w:rsidRPr="00890256">
              <w:rPr>
                <w:rFonts w:cstheme="minorHAnsi"/>
                <w:sz w:val="24"/>
                <w:szCs w:val="24"/>
              </w:rPr>
              <w:t xml:space="preserve"> efektywność energetyczną w budynkach</w:t>
            </w:r>
            <w:r>
              <w:rPr>
                <w:rFonts w:cstheme="minorHAnsi"/>
                <w:sz w:val="24"/>
                <w:szCs w:val="24"/>
              </w:rPr>
              <w:t>, inne niż wskazane w pkt 3 lit. a), b) lub c)</w:t>
            </w:r>
          </w:p>
        </w:tc>
      </w:tr>
      <w:tr w:rsidR="00D72B3D" w:rsidRPr="00762814" w14:paraId="7607C611" w14:textId="77777777" w:rsidTr="00550797">
        <w:trPr>
          <w:trHeight w:val="70"/>
        </w:trPr>
        <w:tc>
          <w:tcPr>
            <w:tcW w:w="3397" w:type="dxa"/>
            <w:shd w:val="clear" w:color="auto" w:fill="FFFFFF" w:themeFill="background1"/>
          </w:tcPr>
          <w:p w14:paraId="46DCB05F"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a*</w:t>
            </w:r>
          </w:p>
        </w:tc>
        <w:tc>
          <w:tcPr>
            <w:tcW w:w="1985" w:type="dxa"/>
            <w:shd w:val="clear" w:color="auto" w:fill="FFFFFF" w:themeFill="background1"/>
          </w:tcPr>
          <w:p w14:paraId="1B66FE7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c>
          <w:tcPr>
            <w:tcW w:w="1984" w:type="dxa"/>
            <w:gridSpan w:val="2"/>
            <w:shd w:val="clear" w:color="auto" w:fill="FFFFFF" w:themeFill="background1"/>
          </w:tcPr>
          <w:p w14:paraId="593DA9F2"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2127" w:type="dxa"/>
            <w:shd w:val="clear" w:color="auto" w:fill="FFFFFF" w:themeFill="background1"/>
          </w:tcPr>
          <w:p w14:paraId="2DAD8D05"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r>
      <w:tr w:rsidR="00D72B3D" w:rsidRPr="00762814" w14:paraId="3AFA12A9" w14:textId="77777777" w:rsidTr="00550797">
        <w:trPr>
          <w:trHeight w:val="70"/>
        </w:trPr>
        <w:tc>
          <w:tcPr>
            <w:tcW w:w="3397" w:type="dxa"/>
            <w:shd w:val="clear" w:color="auto" w:fill="FFFFFF" w:themeFill="background1"/>
          </w:tcPr>
          <w:p w14:paraId="23465E6F"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Obszar c**</w:t>
            </w:r>
          </w:p>
        </w:tc>
        <w:tc>
          <w:tcPr>
            <w:tcW w:w="1985" w:type="dxa"/>
            <w:shd w:val="clear" w:color="auto" w:fill="FFFFFF" w:themeFill="background1"/>
          </w:tcPr>
          <w:p w14:paraId="5DA17D4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35%</w:t>
            </w:r>
          </w:p>
        </w:tc>
        <w:tc>
          <w:tcPr>
            <w:tcW w:w="1984" w:type="dxa"/>
            <w:gridSpan w:val="2"/>
            <w:shd w:val="clear" w:color="auto" w:fill="FFFFFF" w:themeFill="background1"/>
          </w:tcPr>
          <w:p w14:paraId="1750B690"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c>
          <w:tcPr>
            <w:tcW w:w="2127" w:type="dxa"/>
            <w:shd w:val="clear" w:color="auto" w:fill="FFFFFF" w:themeFill="background1"/>
          </w:tcPr>
          <w:p w14:paraId="0E785FA6"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r>
      <w:tr w:rsidR="00D72B3D" w:rsidRPr="00762814" w14:paraId="55986C2D" w14:textId="77777777" w:rsidTr="00550797">
        <w:trPr>
          <w:trHeight w:val="70"/>
        </w:trPr>
        <w:tc>
          <w:tcPr>
            <w:tcW w:w="3397" w:type="dxa"/>
            <w:shd w:val="clear" w:color="auto" w:fill="FFFFFF" w:themeFill="background1"/>
          </w:tcPr>
          <w:p w14:paraId="26AAAF71" w14:textId="77777777" w:rsidR="00D72B3D" w:rsidRPr="00762814" w:rsidRDefault="00D72B3D" w:rsidP="00550797">
            <w:pPr>
              <w:pStyle w:val="Bezodstpw"/>
              <w:spacing w:line="276" w:lineRule="auto"/>
              <w:rPr>
                <w:rFonts w:cstheme="minorHAnsi"/>
                <w:b/>
                <w:sz w:val="24"/>
                <w:szCs w:val="24"/>
              </w:rPr>
            </w:pPr>
            <w:r w:rsidRPr="00762814">
              <w:rPr>
                <w:rFonts w:cstheme="minorHAnsi"/>
                <w:b/>
                <w:sz w:val="24"/>
                <w:szCs w:val="24"/>
              </w:rPr>
              <w:t>Poza obszarem „a” i „c”***</w:t>
            </w:r>
          </w:p>
        </w:tc>
        <w:tc>
          <w:tcPr>
            <w:tcW w:w="1985" w:type="dxa"/>
            <w:shd w:val="clear" w:color="auto" w:fill="FFFFFF" w:themeFill="background1"/>
          </w:tcPr>
          <w:p w14:paraId="7D1957EA"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30%</w:t>
            </w:r>
          </w:p>
        </w:tc>
        <w:tc>
          <w:tcPr>
            <w:tcW w:w="1984" w:type="dxa"/>
            <w:gridSpan w:val="2"/>
            <w:shd w:val="clear" w:color="auto" w:fill="FFFFFF" w:themeFill="background1"/>
          </w:tcPr>
          <w:p w14:paraId="504EB25B"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40%</w:t>
            </w:r>
          </w:p>
        </w:tc>
        <w:tc>
          <w:tcPr>
            <w:tcW w:w="2127" w:type="dxa"/>
            <w:shd w:val="clear" w:color="auto" w:fill="FFFFFF" w:themeFill="background1"/>
          </w:tcPr>
          <w:p w14:paraId="761D1AC2"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50%</w:t>
            </w:r>
          </w:p>
        </w:tc>
      </w:tr>
      <w:tr w:rsidR="00D72B3D" w:rsidRPr="00762814" w14:paraId="7EA31BAE" w14:textId="77777777" w:rsidTr="00550797">
        <w:trPr>
          <w:trHeight w:val="70"/>
        </w:trPr>
        <w:tc>
          <w:tcPr>
            <w:tcW w:w="3397" w:type="dxa"/>
            <w:shd w:val="clear" w:color="auto" w:fill="FFFFFF" w:themeFill="background1"/>
          </w:tcPr>
          <w:p w14:paraId="537AE32C" w14:textId="77777777" w:rsidR="00D72B3D" w:rsidRPr="00762814" w:rsidRDefault="00D72B3D" w:rsidP="00550797">
            <w:pPr>
              <w:pStyle w:val="Bezodstpw"/>
              <w:spacing w:line="276" w:lineRule="auto"/>
              <w:rPr>
                <w:rFonts w:cstheme="minorHAnsi"/>
                <w:b/>
                <w:sz w:val="24"/>
                <w:szCs w:val="24"/>
              </w:rPr>
            </w:pPr>
            <w:r w:rsidRPr="00582167">
              <w:rPr>
                <w:rFonts w:cstheme="minorHAnsi"/>
                <w:b/>
                <w:sz w:val="24"/>
                <w:szCs w:val="24"/>
              </w:rPr>
              <w:t>Zwiększenie efektywność o min. 40% w porównaniu z sytuacją sprzed inwestycji – obszar a</w:t>
            </w:r>
          </w:p>
        </w:tc>
        <w:tc>
          <w:tcPr>
            <w:tcW w:w="1985" w:type="dxa"/>
            <w:shd w:val="clear" w:color="auto" w:fill="FFFFFF" w:themeFill="background1"/>
          </w:tcPr>
          <w:p w14:paraId="2C69ED3F"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60%</w:t>
            </w:r>
          </w:p>
        </w:tc>
        <w:tc>
          <w:tcPr>
            <w:tcW w:w="1984" w:type="dxa"/>
            <w:gridSpan w:val="2"/>
            <w:shd w:val="clear" w:color="auto" w:fill="FFFFFF" w:themeFill="background1"/>
          </w:tcPr>
          <w:p w14:paraId="76BF50B1"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70%</w:t>
            </w:r>
          </w:p>
        </w:tc>
        <w:tc>
          <w:tcPr>
            <w:tcW w:w="2127" w:type="dxa"/>
            <w:shd w:val="clear" w:color="auto" w:fill="FFFFFF" w:themeFill="background1"/>
          </w:tcPr>
          <w:p w14:paraId="24878918"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80%</w:t>
            </w:r>
          </w:p>
        </w:tc>
      </w:tr>
      <w:tr w:rsidR="00D72B3D" w:rsidRPr="00762814" w14:paraId="5B74CF99" w14:textId="77777777" w:rsidTr="00550797">
        <w:trPr>
          <w:trHeight w:val="70"/>
        </w:trPr>
        <w:tc>
          <w:tcPr>
            <w:tcW w:w="3397" w:type="dxa"/>
            <w:shd w:val="clear" w:color="auto" w:fill="FFFFFF" w:themeFill="background1"/>
          </w:tcPr>
          <w:p w14:paraId="5269EABB" w14:textId="77777777" w:rsidR="00D72B3D" w:rsidRPr="00762814" w:rsidRDefault="00D72B3D" w:rsidP="00550797">
            <w:pPr>
              <w:pStyle w:val="Bezodstpw"/>
              <w:spacing w:line="276" w:lineRule="auto"/>
              <w:rPr>
                <w:rFonts w:cstheme="minorHAnsi"/>
                <w:b/>
                <w:sz w:val="24"/>
                <w:szCs w:val="24"/>
              </w:rPr>
            </w:pPr>
            <w:r w:rsidRPr="00582167">
              <w:rPr>
                <w:rFonts w:cstheme="minorHAnsi"/>
                <w:b/>
                <w:sz w:val="24"/>
                <w:szCs w:val="24"/>
              </w:rPr>
              <w:t>Zwiększenie efektywność o min. 40% w porównaniu z sytuacją sprzed inwestycji – obszar c</w:t>
            </w:r>
          </w:p>
        </w:tc>
        <w:tc>
          <w:tcPr>
            <w:tcW w:w="1985" w:type="dxa"/>
            <w:shd w:val="clear" w:color="auto" w:fill="FFFFFF" w:themeFill="background1"/>
          </w:tcPr>
          <w:p w14:paraId="445EDFF9"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50%</w:t>
            </w:r>
          </w:p>
        </w:tc>
        <w:tc>
          <w:tcPr>
            <w:tcW w:w="1984" w:type="dxa"/>
            <w:gridSpan w:val="2"/>
            <w:shd w:val="clear" w:color="auto" w:fill="FFFFFF" w:themeFill="background1"/>
          </w:tcPr>
          <w:p w14:paraId="06C33DB6"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60%</w:t>
            </w:r>
          </w:p>
        </w:tc>
        <w:tc>
          <w:tcPr>
            <w:tcW w:w="2127" w:type="dxa"/>
            <w:shd w:val="clear" w:color="auto" w:fill="FFFFFF" w:themeFill="background1"/>
          </w:tcPr>
          <w:p w14:paraId="0B2311F6"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70%</w:t>
            </w:r>
          </w:p>
        </w:tc>
      </w:tr>
      <w:tr w:rsidR="00D72B3D" w:rsidRPr="00762814" w14:paraId="2B5646CD" w14:textId="77777777" w:rsidTr="00550797">
        <w:trPr>
          <w:trHeight w:val="70"/>
        </w:trPr>
        <w:tc>
          <w:tcPr>
            <w:tcW w:w="3397" w:type="dxa"/>
            <w:shd w:val="clear" w:color="auto" w:fill="FFFFFF" w:themeFill="background1"/>
          </w:tcPr>
          <w:p w14:paraId="2B4D1A7E" w14:textId="77777777" w:rsidR="00D72B3D" w:rsidRPr="00762814" w:rsidRDefault="00D72B3D" w:rsidP="00550797">
            <w:pPr>
              <w:pStyle w:val="Bezodstpw"/>
              <w:spacing w:line="276" w:lineRule="auto"/>
              <w:rPr>
                <w:rFonts w:cstheme="minorHAnsi"/>
                <w:b/>
                <w:sz w:val="24"/>
                <w:szCs w:val="24"/>
              </w:rPr>
            </w:pPr>
            <w:r w:rsidRPr="00582167">
              <w:rPr>
                <w:rFonts w:cstheme="minorHAnsi"/>
                <w:b/>
                <w:sz w:val="24"/>
                <w:szCs w:val="24"/>
              </w:rPr>
              <w:t>Zwiększenie efektywność o min. 40% w porównaniu z sytuacją sprzed inwestycji – poza obszarem „a” i „c”</w:t>
            </w:r>
          </w:p>
        </w:tc>
        <w:tc>
          <w:tcPr>
            <w:tcW w:w="1985" w:type="dxa"/>
            <w:shd w:val="clear" w:color="auto" w:fill="FFFFFF" w:themeFill="background1"/>
          </w:tcPr>
          <w:p w14:paraId="47FE1B8E"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c>
          <w:tcPr>
            <w:tcW w:w="1984" w:type="dxa"/>
            <w:gridSpan w:val="2"/>
            <w:shd w:val="clear" w:color="auto" w:fill="FFFFFF" w:themeFill="background1"/>
          </w:tcPr>
          <w:p w14:paraId="7A73F0DF"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2127" w:type="dxa"/>
            <w:shd w:val="clear" w:color="auto" w:fill="FFFFFF" w:themeFill="background1"/>
          </w:tcPr>
          <w:p w14:paraId="4CEC967E"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r>
      <w:tr w:rsidR="00D72B3D" w:rsidRPr="00762814" w14:paraId="629C7EE6" w14:textId="77777777" w:rsidTr="00550797">
        <w:trPr>
          <w:trHeight w:val="568"/>
        </w:trPr>
        <w:tc>
          <w:tcPr>
            <w:tcW w:w="9493" w:type="dxa"/>
            <w:gridSpan w:val="5"/>
            <w:shd w:val="clear" w:color="auto" w:fill="D9E2F3" w:themeFill="accent1" w:themeFillTint="33"/>
          </w:tcPr>
          <w:p w14:paraId="27E6F6F3" w14:textId="77777777" w:rsidR="00D72B3D" w:rsidRPr="00762814" w:rsidRDefault="00D72B3D" w:rsidP="00D72B3D">
            <w:pPr>
              <w:pStyle w:val="Bezodstpw"/>
              <w:numPr>
                <w:ilvl w:val="2"/>
                <w:numId w:val="13"/>
              </w:numPr>
              <w:shd w:val="clear" w:color="auto" w:fill="D9E2F3" w:themeFill="accent1" w:themeFillTint="33"/>
              <w:spacing w:line="276" w:lineRule="auto"/>
              <w:ind w:left="316"/>
              <w:rPr>
                <w:rFonts w:cstheme="minorHAnsi"/>
                <w:b/>
                <w:sz w:val="24"/>
                <w:szCs w:val="24"/>
                <w:lang w:eastAsia="pl-PL"/>
              </w:rPr>
            </w:pPr>
            <w:r w:rsidRPr="00762814">
              <w:rPr>
                <w:rFonts w:cstheme="minorHAnsi"/>
                <w:b/>
                <w:sz w:val="24"/>
                <w:szCs w:val="24"/>
                <w:lang w:eastAsia="pl-PL"/>
              </w:rPr>
              <w:t>Art. 41</w:t>
            </w:r>
            <w:r w:rsidRPr="00762814">
              <w:rPr>
                <w:rFonts w:cstheme="minorHAnsi"/>
                <w:sz w:val="24"/>
                <w:szCs w:val="24"/>
                <w:lang w:eastAsia="pl-PL"/>
              </w:rPr>
              <w:t xml:space="preserve"> </w:t>
            </w:r>
            <w:r w:rsidRPr="00762814">
              <w:rPr>
                <w:rFonts w:cstheme="minorHAnsi"/>
                <w:bCs/>
                <w:sz w:val="24"/>
                <w:szCs w:val="24"/>
              </w:rPr>
              <w:t xml:space="preserve">rozporządzenia Komisji (UE) nr 651/2014 – </w:t>
            </w:r>
            <w:r>
              <w:rPr>
                <w:rFonts w:cstheme="minorHAnsi"/>
                <w:sz w:val="24"/>
                <w:szCs w:val="24"/>
                <w:lang w:eastAsia="pl-PL"/>
              </w:rPr>
              <w:t xml:space="preserve"> produkcja energii odnawialnej, wodoru odnawialnego oraz</w:t>
            </w:r>
            <w:r>
              <w:t xml:space="preserve"> </w:t>
            </w:r>
            <w:r w:rsidRPr="00173981">
              <w:rPr>
                <w:rFonts w:cstheme="minorHAnsi"/>
                <w:sz w:val="24"/>
                <w:szCs w:val="24"/>
                <w:lang w:eastAsia="pl-PL"/>
              </w:rPr>
              <w:t>wysokosprawnej kogeneracji opartej na odnawialnych źródłach energii</w:t>
            </w:r>
            <w:r>
              <w:rPr>
                <w:rFonts w:cstheme="minorHAnsi"/>
                <w:sz w:val="24"/>
                <w:szCs w:val="24"/>
                <w:lang w:eastAsia="pl-PL"/>
              </w:rPr>
              <w:t xml:space="preserve"> </w:t>
            </w:r>
            <w:r w:rsidRPr="00FC6DEA">
              <w:rPr>
                <w:rFonts w:cstheme="minorHAnsi"/>
                <w:bCs/>
                <w:sz w:val="24"/>
                <w:szCs w:val="24"/>
              </w:rPr>
              <w:t>(</w:t>
            </w:r>
            <w:r>
              <w:rPr>
                <w:rFonts w:cstheme="minorHAnsi"/>
                <w:bCs/>
                <w:sz w:val="24"/>
                <w:szCs w:val="24"/>
              </w:rPr>
              <w:t>w przypadku kategorii wydatku 7.3.15 -</w:t>
            </w:r>
            <w:r>
              <w:t xml:space="preserve"> </w:t>
            </w:r>
            <w:r w:rsidRPr="006C380C">
              <w:rPr>
                <w:rFonts w:cstheme="minorHAnsi"/>
                <w:bCs/>
                <w:sz w:val="24"/>
                <w:szCs w:val="24"/>
              </w:rPr>
              <w:t xml:space="preserve">OZE, wodór i kogeneracja – całkowite koszty inwestycji  </w:t>
            </w:r>
            <w:r>
              <w:rPr>
                <w:rFonts w:cstheme="minorHAnsi"/>
                <w:bCs/>
                <w:sz w:val="24"/>
                <w:szCs w:val="24"/>
              </w:rPr>
              <w:t>zastosuj intensywności z lit. a) lub b)</w:t>
            </w:r>
          </w:p>
        </w:tc>
      </w:tr>
      <w:tr w:rsidR="00D72B3D" w:rsidRPr="00762814" w14:paraId="7B9B93D0" w14:textId="77777777" w:rsidTr="00550797">
        <w:trPr>
          <w:trHeight w:val="568"/>
        </w:trPr>
        <w:tc>
          <w:tcPr>
            <w:tcW w:w="9493" w:type="dxa"/>
            <w:gridSpan w:val="5"/>
            <w:shd w:val="clear" w:color="auto" w:fill="D9E2F3" w:themeFill="accent1" w:themeFillTint="33"/>
          </w:tcPr>
          <w:p w14:paraId="28BD275B" w14:textId="77777777" w:rsidR="00D72B3D" w:rsidRPr="00762814" w:rsidRDefault="00D72B3D" w:rsidP="00550797">
            <w:pPr>
              <w:pStyle w:val="Bezodstpw"/>
              <w:shd w:val="clear" w:color="auto" w:fill="D9E2F3" w:themeFill="accent1" w:themeFillTint="33"/>
              <w:spacing w:line="276" w:lineRule="auto"/>
              <w:ind w:left="316"/>
              <w:rPr>
                <w:rFonts w:cstheme="minorHAnsi"/>
                <w:sz w:val="24"/>
                <w:szCs w:val="24"/>
              </w:rPr>
            </w:pPr>
            <w:r>
              <w:rPr>
                <w:rFonts w:cstheme="minorHAnsi"/>
                <w:b/>
                <w:sz w:val="24"/>
                <w:szCs w:val="24"/>
                <w:lang w:eastAsia="pl-PL"/>
              </w:rPr>
              <w:t xml:space="preserve">a) </w:t>
            </w:r>
            <w:r w:rsidRPr="00762814">
              <w:rPr>
                <w:rFonts w:cstheme="minorHAnsi"/>
                <w:b/>
                <w:sz w:val="24"/>
                <w:szCs w:val="24"/>
                <w:lang w:eastAsia="pl-PL"/>
              </w:rPr>
              <w:t>Art. 41</w:t>
            </w:r>
            <w:r w:rsidRPr="00762814">
              <w:rPr>
                <w:rFonts w:cstheme="minorHAnsi"/>
                <w:sz w:val="24"/>
                <w:szCs w:val="24"/>
                <w:lang w:eastAsia="pl-PL"/>
              </w:rPr>
              <w:t xml:space="preserve"> </w:t>
            </w:r>
            <w:r w:rsidRPr="00762814">
              <w:rPr>
                <w:rFonts w:cstheme="minorHAnsi"/>
                <w:bCs/>
                <w:sz w:val="24"/>
                <w:szCs w:val="24"/>
              </w:rPr>
              <w:t xml:space="preserve">rozporządzenia Komisji (UE) nr 651/2014 – </w:t>
            </w:r>
            <w:r>
              <w:rPr>
                <w:rFonts w:cstheme="minorHAnsi"/>
                <w:sz w:val="24"/>
                <w:szCs w:val="24"/>
                <w:lang w:eastAsia="pl-PL"/>
              </w:rPr>
              <w:t xml:space="preserve"> </w:t>
            </w:r>
            <w:r w:rsidRPr="00151161">
              <w:rPr>
                <w:rFonts w:cstheme="minorHAnsi"/>
                <w:sz w:val="24"/>
                <w:szCs w:val="24"/>
              </w:rPr>
              <w:t xml:space="preserve">dotyczących produkcji </w:t>
            </w:r>
            <w:r w:rsidRPr="006C50AC">
              <w:rPr>
                <w:sz w:val="24"/>
              </w:rPr>
              <w:t xml:space="preserve">energii </w:t>
            </w:r>
            <w:r w:rsidRPr="00151161">
              <w:rPr>
                <w:rFonts w:cstheme="minorHAnsi"/>
                <w:sz w:val="24"/>
                <w:szCs w:val="24"/>
              </w:rPr>
              <w:t>odnawialnej, z uwzględnieniem pomp ciepła w rozumieniu art. 2 pkt 108b rozporządzenia nr 651/2014 spełniających warunki określone w Załączniku VII do dyrektywy 2018/2001, wodoru odnawialnego oraz wysokosprawnej kogeneracji opartej na</w:t>
            </w:r>
            <w:r w:rsidRPr="006C50AC">
              <w:rPr>
                <w:sz w:val="24"/>
              </w:rPr>
              <w:t xml:space="preserve"> odnawialnych</w:t>
            </w:r>
            <w:r w:rsidRPr="00151161">
              <w:rPr>
                <w:rFonts w:cstheme="minorHAnsi"/>
                <w:sz w:val="24"/>
                <w:szCs w:val="24"/>
              </w:rPr>
              <w:t xml:space="preserve"> źródłach energii</w:t>
            </w:r>
          </w:p>
        </w:tc>
      </w:tr>
      <w:tr w:rsidR="00D72B3D" w:rsidRPr="009B44FD" w14:paraId="5BA1E26A" w14:textId="77777777" w:rsidTr="00550797">
        <w:trPr>
          <w:trHeight w:val="397"/>
        </w:trPr>
        <w:tc>
          <w:tcPr>
            <w:tcW w:w="3397" w:type="dxa"/>
            <w:shd w:val="clear" w:color="auto" w:fill="auto"/>
          </w:tcPr>
          <w:p w14:paraId="1A8296E3" w14:textId="77777777" w:rsidR="00D72B3D" w:rsidRPr="00762814" w:rsidRDefault="00D72B3D" w:rsidP="00550797">
            <w:pPr>
              <w:pStyle w:val="Bezodstpw"/>
              <w:spacing w:line="276" w:lineRule="auto"/>
              <w:rPr>
                <w:rFonts w:cstheme="minorHAnsi"/>
                <w:b/>
                <w:sz w:val="24"/>
                <w:szCs w:val="24"/>
                <w:lang w:eastAsia="pl-PL"/>
              </w:rPr>
            </w:pPr>
            <w:r>
              <w:rPr>
                <w:rFonts w:cstheme="minorHAnsi"/>
                <w:b/>
                <w:sz w:val="24"/>
                <w:szCs w:val="24"/>
              </w:rPr>
              <w:t>Wszystkie obszary</w:t>
            </w:r>
          </w:p>
        </w:tc>
        <w:tc>
          <w:tcPr>
            <w:tcW w:w="1995" w:type="dxa"/>
            <w:gridSpan w:val="2"/>
            <w:shd w:val="clear" w:color="auto" w:fill="auto"/>
          </w:tcPr>
          <w:p w14:paraId="1EE353EA"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45%</w:t>
            </w:r>
          </w:p>
        </w:tc>
        <w:tc>
          <w:tcPr>
            <w:tcW w:w="1974" w:type="dxa"/>
            <w:shd w:val="clear" w:color="auto" w:fill="auto"/>
          </w:tcPr>
          <w:p w14:paraId="1216FC7F"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55%</w:t>
            </w:r>
          </w:p>
        </w:tc>
        <w:tc>
          <w:tcPr>
            <w:tcW w:w="2127" w:type="dxa"/>
            <w:shd w:val="clear" w:color="auto" w:fill="auto"/>
          </w:tcPr>
          <w:p w14:paraId="16E1485D"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65%</w:t>
            </w:r>
          </w:p>
        </w:tc>
      </w:tr>
      <w:tr w:rsidR="00D72B3D" w:rsidRPr="00762814" w14:paraId="4BE86BB2" w14:textId="77777777" w:rsidTr="00550797">
        <w:trPr>
          <w:trHeight w:val="283"/>
        </w:trPr>
        <w:tc>
          <w:tcPr>
            <w:tcW w:w="9493" w:type="dxa"/>
            <w:gridSpan w:val="5"/>
            <w:shd w:val="clear" w:color="auto" w:fill="D9E2F3" w:themeFill="accent1" w:themeFillTint="33"/>
          </w:tcPr>
          <w:p w14:paraId="6C77D30C" w14:textId="77777777" w:rsidR="00D72B3D" w:rsidRPr="00762814" w:rsidRDefault="00D72B3D" w:rsidP="00550797">
            <w:pPr>
              <w:pStyle w:val="Bezodstpw"/>
              <w:shd w:val="clear" w:color="auto" w:fill="D9E2F3" w:themeFill="accent1" w:themeFillTint="33"/>
              <w:spacing w:line="276" w:lineRule="auto"/>
              <w:ind w:left="316"/>
              <w:rPr>
                <w:rFonts w:cstheme="minorHAnsi"/>
                <w:sz w:val="24"/>
                <w:szCs w:val="24"/>
                <w:lang w:eastAsia="pl-PL"/>
              </w:rPr>
            </w:pPr>
            <w:r>
              <w:rPr>
                <w:rFonts w:cstheme="minorHAnsi"/>
                <w:b/>
                <w:sz w:val="24"/>
                <w:szCs w:val="24"/>
                <w:lang w:eastAsia="pl-PL"/>
              </w:rPr>
              <w:t xml:space="preserve">b) </w:t>
            </w:r>
            <w:r w:rsidRPr="00762814">
              <w:rPr>
                <w:rFonts w:cstheme="minorHAnsi"/>
                <w:b/>
                <w:sz w:val="24"/>
                <w:szCs w:val="24"/>
                <w:lang w:eastAsia="pl-PL"/>
              </w:rPr>
              <w:t>Art. 41</w:t>
            </w:r>
            <w:r w:rsidRPr="00762814">
              <w:rPr>
                <w:rFonts w:cstheme="minorHAnsi"/>
                <w:sz w:val="24"/>
                <w:szCs w:val="24"/>
                <w:lang w:eastAsia="pl-PL"/>
              </w:rPr>
              <w:t xml:space="preserve"> </w:t>
            </w:r>
            <w:r w:rsidRPr="00762814">
              <w:rPr>
                <w:rFonts w:cstheme="minorHAnsi"/>
                <w:bCs/>
                <w:sz w:val="24"/>
                <w:szCs w:val="24"/>
              </w:rPr>
              <w:t xml:space="preserve">rozporządzenia Komisji (UE) nr 651/2014 – </w:t>
            </w:r>
            <w:r>
              <w:rPr>
                <w:rFonts w:cstheme="minorHAnsi"/>
                <w:bCs/>
                <w:sz w:val="24"/>
                <w:szCs w:val="24"/>
              </w:rPr>
              <w:t xml:space="preserve">inwestycje inne niż wskazano w pkt 4a) </w:t>
            </w:r>
          </w:p>
        </w:tc>
      </w:tr>
      <w:tr w:rsidR="00D72B3D" w:rsidRPr="009B44FD" w14:paraId="4F9CEEE1" w14:textId="77777777" w:rsidTr="00550797">
        <w:trPr>
          <w:trHeight w:val="397"/>
        </w:trPr>
        <w:tc>
          <w:tcPr>
            <w:tcW w:w="3397" w:type="dxa"/>
            <w:shd w:val="clear" w:color="auto" w:fill="auto"/>
          </w:tcPr>
          <w:p w14:paraId="2E785AB7" w14:textId="77777777" w:rsidR="00D72B3D" w:rsidRPr="00762814" w:rsidRDefault="00D72B3D" w:rsidP="00550797">
            <w:pPr>
              <w:pStyle w:val="Bezodstpw"/>
              <w:spacing w:line="276" w:lineRule="auto"/>
              <w:rPr>
                <w:rFonts w:cstheme="minorHAnsi"/>
                <w:b/>
                <w:sz w:val="24"/>
                <w:szCs w:val="24"/>
                <w:lang w:eastAsia="pl-PL"/>
              </w:rPr>
            </w:pPr>
            <w:r>
              <w:rPr>
                <w:rFonts w:cstheme="minorHAnsi"/>
                <w:b/>
                <w:sz w:val="24"/>
                <w:szCs w:val="24"/>
              </w:rPr>
              <w:t>Wszystkie obszary</w:t>
            </w:r>
          </w:p>
        </w:tc>
        <w:tc>
          <w:tcPr>
            <w:tcW w:w="1995" w:type="dxa"/>
            <w:gridSpan w:val="2"/>
            <w:shd w:val="clear" w:color="auto" w:fill="auto"/>
          </w:tcPr>
          <w:p w14:paraId="5A3CEA28"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30%</w:t>
            </w:r>
          </w:p>
        </w:tc>
        <w:tc>
          <w:tcPr>
            <w:tcW w:w="1974" w:type="dxa"/>
            <w:shd w:val="clear" w:color="auto" w:fill="auto"/>
          </w:tcPr>
          <w:p w14:paraId="6DEFEBE7"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40%</w:t>
            </w:r>
          </w:p>
        </w:tc>
        <w:tc>
          <w:tcPr>
            <w:tcW w:w="2127" w:type="dxa"/>
            <w:shd w:val="clear" w:color="auto" w:fill="auto"/>
          </w:tcPr>
          <w:p w14:paraId="2839E1EC"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50%</w:t>
            </w:r>
          </w:p>
        </w:tc>
      </w:tr>
      <w:tr w:rsidR="00D72B3D" w:rsidRPr="00762814" w14:paraId="5466AB9A" w14:textId="77777777" w:rsidTr="00550797">
        <w:trPr>
          <w:trHeight w:val="430"/>
        </w:trPr>
        <w:tc>
          <w:tcPr>
            <w:tcW w:w="9493" w:type="dxa"/>
            <w:gridSpan w:val="5"/>
            <w:shd w:val="clear" w:color="auto" w:fill="D9E2F3" w:themeFill="accent1" w:themeFillTint="33"/>
          </w:tcPr>
          <w:p w14:paraId="528506E7" w14:textId="77777777" w:rsidR="00D72B3D" w:rsidRPr="00762814" w:rsidRDefault="00D72B3D" w:rsidP="00D72B3D">
            <w:pPr>
              <w:pStyle w:val="Bezodstpw"/>
              <w:numPr>
                <w:ilvl w:val="2"/>
                <w:numId w:val="13"/>
              </w:numPr>
              <w:shd w:val="clear" w:color="auto" w:fill="D9E2F3" w:themeFill="accent1" w:themeFillTint="33"/>
              <w:spacing w:line="276" w:lineRule="auto"/>
              <w:ind w:left="316"/>
              <w:rPr>
                <w:rFonts w:cstheme="minorHAnsi"/>
                <w:sz w:val="24"/>
                <w:szCs w:val="24"/>
              </w:rPr>
            </w:pPr>
            <w:r w:rsidRPr="00762814">
              <w:rPr>
                <w:rFonts w:cstheme="minorHAnsi"/>
                <w:b/>
                <w:sz w:val="24"/>
                <w:szCs w:val="24"/>
                <w:lang w:eastAsia="pl-PL"/>
              </w:rPr>
              <w:t>Art. 46</w:t>
            </w:r>
            <w:r w:rsidRPr="00762814">
              <w:rPr>
                <w:rFonts w:cstheme="minorHAnsi"/>
                <w:sz w:val="24"/>
                <w:szCs w:val="24"/>
                <w:lang w:eastAsia="pl-PL"/>
              </w:rPr>
              <w:t xml:space="preserve"> r</w:t>
            </w:r>
            <w:r w:rsidRPr="00762814">
              <w:rPr>
                <w:rFonts w:cstheme="minorHAnsi"/>
                <w:bCs/>
                <w:sz w:val="24"/>
                <w:szCs w:val="24"/>
              </w:rPr>
              <w:t>ozporządzenia Komisji (UE) nr 651/2014 –</w:t>
            </w:r>
            <w:r w:rsidRPr="00762814">
              <w:rPr>
                <w:rFonts w:cstheme="minorHAnsi"/>
                <w:sz w:val="24"/>
                <w:szCs w:val="24"/>
                <w:lang w:eastAsia="pl-PL"/>
              </w:rPr>
              <w:t xml:space="preserve">efektywny energetycznie system </w:t>
            </w:r>
            <w:r>
              <w:rPr>
                <w:rFonts w:cstheme="minorHAnsi"/>
                <w:sz w:val="24"/>
                <w:szCs w:val="24"/>
                <w:lang w:eastAsia="pl-PL"/>
              </w:rPr>
              <w:t xml:space="preserve">ciepłowniczy lub chłodniczy </w:t>
            </w:r>
            <w:r w:rsidRPr="00FC6DEA">
              <w:rPr>
                <w:rFonts w:cstheme="minorHAnsi"/>
                <w:bCs/>
                <w:sz w:val="24"/>
                <w:szCs w:val="24"/>
              </w:rPr>
              <w:t>(</w:t>
            </w:r>
            <w:r>
              <w:rPr>
                <w:rFonts w:cstheme="minorHAnsi"/>
                <w:bCs/>
                <w:sz w:val="24"/>
                <w:szCs w:val="24"/>
              </w:rPr>
              <w:t>w przypadku kategorii wydatku 7.3.16 -</w:t>
            </w:r>
            <w:r>
              <w:t xml:space="preserve"> </w:t>
            </w:r>
            <w:r w:rsidRPr="006C380C">
              <w:rPr>
                <w:rFonts w:cstheme="minorHAnsi"/>
                <w:bCs/>
                <w:sz w:val="24"/>
                <w:szCs w:val="24"/>
              </w:rPr>
              <w:t xml:space="preserve">Efektywny energetycznie system ciepłowniczy lub chłodniczy – całkowite koszty inwestycji </w:t>
            </w:r>
            <w:r>
              <w:rPr>
                <w:rFonts w:cstheme="minorHAnsi"/>
                <w:bCs/>
                <w:sz w:val="24"/>
                <w:szCs w:val="24"/>
              </w:rPr>
              <w:t>zastosuj intensywności z poniższej tabeli)</w:t>
            </w:r>
          </w:p>
        </w:tc>
      </w:tr>
      <w:tr w:rsidR="00D72B3D" w:rsidRPr="00600F33" w14:paraId="60979C79" w14:textId="77777777" w:rsidTr="00550797">
        <w:trPr>
          <w:trHeight w:val="397"/>
        </w:trPr>
        <w:tc>
          <w:tcPr>
            <w:tcW w:w="3397" w:type="dxa"/>
            <w:tcBorders>
              <w:bottom w:val="single" w:sz="4" w:space="0" w:color="auto"/>
            </w:tcBorders>
            <w:shd w:val="clear" w:color="auto" w:fill="auto"/>
          </w:tcPr>
          <w:p w14:paraId="01D20B11" w14:textId="77777777" w:rsidR="00D72B3D" w:rsidRPr="00762814" w:rsidRDefault="00D72B3D" w:rsidP="00550797">
            <w:pPr>
              <w:pStyle w:val="Bezodstpw"/>
              <w:spacing w:line="276" w:lineRule="auto"/>
              <w:rPr>
                <w:rFonts w:cstheme="minorHAnsi"/>
                <w:b/>
                <w:sz w:val="24"/>
                <w:szCs w:val="24"/>
                <w:lang w:eastAsia="pl-PL"/>
              </w:rPr>
            </w:pPr>
            <w:r>
              <w:rPr>
                <w:rFonts w:cstheme="minorHAnsi"/>
                <w:b/>
                <w:sz w:val="24"/>
                <w:szCs w:val="24"/>
              </w:rPr>
              <w:t>Wszystkie obszary</w:t>
            </w:r>
          </w:p>
        </w:tc>
        <w:tc>
          <w:tcPr>
            <w:tcW w:w="1995" w:type="dxa"/>
            <w:gridSpan w:val="2"/>
            <w:tcBorders>
              <w:bottom w:val="single" w:sz="4" w:space="0" w:color="auto"/>
            </w:tcBorders>
            <w:shd w:val="clear" w:color="auto" w:fill="auto"/>
          </w:tcPr>
          <w:p w14:paraId="71FF2FAA" w14:textId="77777777" w:rsidR="00D72B3D" w:rsidRPr="00600F33" w:rsidRDefault="00D72B3D" w:rsidP="00550797">
            <w:pPr>
              <w:spacing w:line="276" w:lineRule="auto"/>
              <w:jc w:val="center"/>
              <w:rPr>
                <w:rFonts w:cstheme="minorHAnsi"/>
                <w:b/>
                <w:bCs/>
                <w:sz w:val="24"/>
                <w:szCs w:val="24"/>
              </w:rPr>
            </w:pPr>
            <w:r w:rsidRPr="00600F33">
              <w:rPr>
                <w:rFonts w:cstheme="minorHAnsi"/>
                <w:b/>
                <w:bCs/>
                <w:sz w:val="24"/>
                <w:szCs w:val="24"/>
              </w:rPr>
              <w:t>30%</w:t>
            </w:r>
          </w:p>
        </w:tc>
        <w:tc>
          <w:tcPr>
            <w:tcW w:w="1974" w:type="dxa"/>
            <w:tcBorders>
              <w:bottom w:val="single" w:sz="4" w:space="0" w:color="auto"/>
            </w:tcBorders>
            <w:shd w:val="clear" w:color="auto" w:fill="auto"/>
          </w:tcPr>
          <w:p w14:paraId="65D47835" w14:textId="77777777" w:rsidR="00D72B3D" w:rsidRPr="00600F33" w:rsidRDefault="00D72B3D" w:rsidP="00550797">
            <w:pPr>
              <w:spacing w:line="276" w:lineRule="auto"/>
              <w:jc w:val="center"/>
              <w:rPr>
                <w:rFonts w:cstheme="minorHAnsi"/>
                <w:b/>
                <w:bCs/>
                <w:sz w:val="24"/>
                <w:szCs w:val="24"/>
              </w:rPr>
            </w:pPr>
            <w:r w:rsidRPr="00600F33">
              <w:rPr>
                <w:rFonts w:cstheme="minorHAnsi"/>
                <w:b/>
                <w:bCs/>
                <w:sz w:val="24"/>
                <w:szCs w:val="24"/>
              </w:rPr>
              <w:t>40%</w:t>
            </w:r>
          </w:p>
        </w:tc>
        <w:tc>
          <w:tcPr>
            <w:tcW w:w="2127" w:type="dxa"/>
            <w:tcBorders>
              <w:bottom w:val="single" w:sz="4" w:space="0" w:color="auto"/>
            </w:tcBorders>
            <w:shd w:val="clear" w:color="auto" w:fill="auto"/>
          </w:tcPr>
          <w:p w14:paraId="231465F1" w14:textId="77777777" w:rsidR="00D72B3D" w:rsidRPr="00600F33" w:rsidRDefault="00D72B3D" w:rsidP="00550797">
            <w:pPr>
              <w:spacing w:line="276" w:lineRule="auto"/>
              <w:jc w:val="center"/>
              <w:rPr>
                <w:rFonts w:cstheme="minorHAnsi"/>
                <w:b/>
                <w:bCs/>
                <w:sz w:val="24"/>
                <w:szCs w:val="24"/>
              </w:rPr>
            </w:pPr>
            <w:r w:rsidRPr="00600F33">
              <w:rPr>
                <w:rFonts w:cstheme="minorHAnsi"/>
                <w:b/>
                <w:bCs/>
                <w:sz w:val="24"/>
                <w:szCs w:val="24"/>
              </w:rPr>
              <w:t>50%</w:t>
            </w:r>
          </w:p>
        </w:tc>
      </w:tr>
      <w:tr w:rsidR="00D72B3D" w:rsidRPr="00762814" w14:paraId="09E0BB76" w14:textId="77777777" w:rsidTr="00550797">
        <w:trPr>
          <w:trHeight w:val="435"/>
        </w:trPr>
        <w:tc>
          <w:tcPr>
            <w:tcW w:w="3397" w:type="dxa"/>
            <w:shd w:val="clear" w:color="auto" w:fill="FFFFFF" w:themeFill="background1"/>
          </w:tcPr>
          <w:p w14:paraId="335ACA90" w14:textId="77777777" w:rsidR="00D72B3D" w:rsidRPr="00762814" w:rsidRDefault="00D72B3D" w:rsidP="00550797">
            <w:pPr>
              <w:pStyle w:val="Bezodstpw"/>
              <w:spacing w:line="276" w:lineRule="auto"/>
              <w:rPr>
                <w:rFonts w:cstheme="minorHAnsi"/>
                <w:b/>
                <w:sz w:val="24"/>
                <w:szCs w:val="24"/>
              </w:rPr>
            </w:pPr>
            <w:r>
              <w:rPr>
                <w:rFonts w:cstheme="minorHAnsi"/>
                <w:b/>
                <w:sz w:val="24"/>
                <w:szCs w:val="24"/>
              </w:rPr>
              <w:t xml:space="preserve">Dla inwestycji wykorzystujących </w:t>
            </w:r>
            <w:r w:rsidRPr="009B44FD">
              <w:rPr>
                <w:rFonts w:cstheme="minorHAnsi"/>
                <w:b/>
                <w:sz w:val="24"/>
                <w:szCs w:val="24"/>
              </w:rPr>
              <w:t>wyłącznie energi</w:t>
            </w:r>
            <w:r>
              <w:rPr>
                <w:rFonts w:cstheme="minorHAnsi"/>
                <w:b/>
                <w:sz w:val="24"/>
                <w:szCs w:val="24"/>
              </w:rPr>
              <w:t>ę</w:t>
            </w:r>
            <w:r w:rsidRPr="009B44FD">
              <w:rPr>
                <w:rFonts w:cstheme="minorHAnsi"/>
                <w:b/>
                <w:sz w:val="24"/>
                <w:szCs w:val="24"/>
              </w:rPr>
              <w:t xml:space="preserve"> z odnawialnych źródeł energii, ciepła odpadowego lub kombinacji tych rodzajów energii, w tym wysokosprawnej kogeneracji opartej na odnawialnych źródłach energii</w:t>
            </w:r>
          </w:p>
        </w:tc>
        <w:tc>
          <w:tcPr>
            <w:tcW w:w="1985" w:type="dxa"/>
            <w:shd w:val="clear" w:color="auto" w:fill="FFFFFF" w:themeFill="background1"/>
          </w:tcPr>
          <w:p w14:paraId="3D19D2C6"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45%</w:t>
            </w:r>
          </w:p>
        </w:tc>
        <w:tc>
          <w:tcPr>
            <w:tcW w:w="1984" w:type="dxa"/>
            <w:gridSpan w:val="2"/>
            <w:shd w:val="clear" w:color="auto" w:fill="FFFFFF" w:themeFill="background1"/>
          </w:tcPr>
          <w:p w14:paraId="22B7D551"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55%</w:t>
            </w:r>
          </w:p>
        </w:tc>
        <w:tc>
          <w:tcPr>
            <w:tcW w:w="2127" w:type="dxa"/>
            <w:shd w:val="clear" w:color="auto" w:fill="FFFFFF" w:themeFill="background1"/>
          </w:tcPr>
          <w:p w14:paraId="017F40AC" w14:textId="77777777" w:rsidR="00D72B3D" w:rsidRPr="00762814" w:rsidRDefault="00D72B3D" w:rsidP="00550797">
            <w:pPr>
              <w:pStyle w:val="Bezodstpw"/>
              <w:spacing w:line="276" w:lineRule="auto"/>
              <w:jc w:val="center"/>
              <w:rPr>
                <w:rFonts w:cstheme="minorHAnsi"/>
                <w:b/>
                <w:sz w:val="24"/>
                <w:szCs w:val="24"/>
              </w:rPr>
            </w:pPr>
            <w:r>
              <w:rPr>
                <w:rFonts w:cstheme="minorHAnsi"/>
                <w:b/>
                <w:sz w:val="24"/>
                <w:szCs w:val="24"/>
              </w:rPr>
              <w:t>65%</w:t>
            </w:r>
          </w:p>
        </w:tc>
      </w:tr>
      <w:tr w:rsidR="00D72B3D" w:rsidRPr="00762814" w14:paraId="2A9B7E57" w14:textId="77777777" w:rsidTr="00550797">
        <w:trPr>
          <w:trHeight w:val="435"/>
        </w:trPr>
        <w:tc>
          <w:tcPr>
            <w:tcW w:w="9493" w:type="dxa"/>
            <w:gridSpan w:val="5"/>
            <w:shd w:val="clear" w:color="auto" w:fill="D9E2F3" w:themeFill="accent1" w:themeFillTint="33"/>
          </w:tcPr>
          <w:p w14:paraId="0D846175" w14:textId="77777777" w:rsidR="00D72B3D" w:rsidRPr="00762814" w:rsidRDefault="00D72B3D" w:rsidP="00D72B3D">
            <w:pPr>
              <w:pStyle w:val="Bezodstpw"/>
              <w:numPr>
                <w:ilvl w:val="2"/>
                <w:numId w:val="13"/>
              </w:numPr>
              <w:shd w:val="clear" w:color="auto" w:fill="D9E2F3" w:themeFill="accent1" w:themeFillTint="33"/>
              <w:spacing w:line="276" w:lineRule="auto"/>
              <w:ind w:left="457"/>
              <w:rPr>
                <w:rFonts w:cstheme="minorHAnsi"/>
                <w:sz w:val="24"/>
                <w:szCs w:val="24"/>
              </w:rPr>
            </w:pPr>
            <w:r w:rsidRPr="00762814">
              <w:rPr>
                <w:rFonts w:cstheme="minorHAnsi"/>
                <w:b/>
                <w:sz w:val="24"/>
                <w:szCs w:val="24"/>
                <w:lang w:eastAsia="pl-PL"/>
              </w:rPr>
              <w:t>Art. 47</w:t>
            </w:r>
            <w:r w:rsidRPr="00762814">
              <w:rPr>
                <w:rFonts w:cstheme="minorHAnsi"/>
                <w:sz w:val="24"/>
                <w:szCs w:val="24"/>
                <w:lang w:eastAsia="pl-PL"/>
              </w:rPr>
              <w:t xml:space="preserve"> </w:t>
            </w:r>
            <w:r w:rsidRPr="00762814">
              <w:rPr>
                <w:rFonts w:cstheme="minorHAnsi"/>
                <w:bCs/>
                <w:sz w:val="24"/>
                <w:szCs w:val="24"/>
              </w:rPr>
              <w:t xml:space="preserve">rozporządzenia Komisji (UE) nr 651/2014 – </w:t>
            </w:r>
            <w:r>
              <w:rPr>
                <w:rFonts w:cstheme="minorHAnsi"/>
                <w:bCs/>
                <w:sz w:val="24"/>
                <w:szCs w:val="24"/>
              </w:rPr>
              <w:t xml:space="preserve">efektywne gospodarowanie zasobami i wspieranie przechodzenia na GOZ </w:t>
            </w:r>
            <w:r w:rsidRPr="00FC6DEA">
              <w:rPr>
                <w:rFonts w:cstheme="minorHAnsi"/>
                <w:bCs/>
                <w:sz w:val="24"/>
                <w:szCs w:val="24"/>
              </w:rPr>
              <w:t>(</w:t>
            </w:r>
            <w:r>
              <w:rPr>
                <w:rFonts w:cstheme="minorHAnsi"/>
                <w:bCs/>
                <w:sz w:val="24"/>
                <w:szCs w:val="24"/>
              </w:rPr>
              <w:t>w przypadku kategorii wydatku 7.3.17 -</w:t>
            </w:r>
            <w:r>
              <w:t xml:space="preserve"> </w:t>
            </w:r>
            <w:r w:rsidRPr="005D7B48">
              <w:rPr>
                <w:rFonts w:cstheme="minorHAnsi"/>
                <w:bCs/>
                <w:sz w:val="24"/>
                <w:szCs w:val="24"/>
              </w:rPr>
              <w:t>. Gospodarowanie zasobami i GOZ - Dodatkowe koszty (scenariusz alternatywny)</w:t>
            </w:r>
            <w:r>
              <w:rPr>
                <w:rFonts w:cstheme="minorHAnsi"/>
                <w:bCs/>
                <w:sz w:val="24"/>
                <w:szCs w:val="24"/>
              </w:rPr>
              <w:t xml:space="preserve"> oraz 7.3.18</w:t>
            </w:r>
            <w:r>
              <w:t xml:space="preserve"> </w:t>
            </w:r>
            <w:r w:rsidRPr="005D7B48">
              <w:rPr>
                <w:rFonts w:cstheme="minorHAnsi"/>
                <w:bCs/>
                <w:sz w:val="24"/>
                <w:szCs w:val="24"/>
              </w:rPr>
              <w:t>Gospodarowanie zasobami i GOZ  - Dodatkowe komponenty w istniejącym zakładzie</w:t>
            </w:r>
            <w:r>
              <w:rPr>
                <w:rFonts w:cstheme="minorHAnsi"/>
                <w:bCs/>
                <w:sz w:val="24"/>
                <w:szCs w:val="24"/>
              </w:rPr>
              <w:t xml:space="preserve"> zastosuj intensywności z poniższej tabeli)</w:t>
            </w:r>
          </w:p>
        </w:tc>
      </w:tr>
      <w:tr w:rsidR="00D72B3D" w:rsidRPr="009B44FD" w14:paraId="2A4CF93A" w14:textId="77777777" w:rsidTr="00550797">
        <w:trPr>
          <w:trHeight w:val="397"/>
        </w:trPr>
        <w:tc>
          <w:tcPr>
            <w:tcW w:w="3397" w:type="dxa"/>
            <w:shd w:val="clear" w:color="auto" w:fill="auto"/>
          </w:tcPr>
          <w:p w14:paraId="2A4A8D9C" w14:textId="77777777" w:rsidR="00D72B3D" w:rsidRPr="00762814" w:rsidRDefault="00D72B3D" w:rsidP="00550797">
            <w:pPr>
              <w:pStyle w:val="Bezodstpw"/>
              <w:spacing w:line="276" w:lineRule="auto"/>
              <w:rPr>
                <w:rFonts w:cstheme="minorHAnsi"/>
                <w:b/>
                <w:sz w:val="24"/>
                <w:szCs w:val="24"/>
                <w:lang w:eastAsia="pl-PL"/>
              </w:rPr>
            </w:pPr>
            <w:r w:rsidRPr="00762814">
              <w:rPr>
                <w:rFonts w:cstheme="minorHAnsi"/>
                <w:b/>
                <w:sz w:val="24"/>
                <w:szCs w:val="24"/>
              </w:rPr>
              <w:t>Obszar a*</w:t>
            </w:r>
          </w:p>
        </w:tc>
        <w:tc>
          <w:tcPr>
            <w:tcW w:w="1995" w:type="dxa"/>
            <w:gridSpan w:val="2"/>
            <w:shd w:val="clear" w:color="auto" w:fill="auto"/>
          </w:tcPr>
          <w:p w14:paraId="09276C22"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55%</w:t>
            </w:r>
          </w:p>
        </w:tc>
        <w:tc>
          <w:tcPr>
            <w:tcW w:w="1974" w:type="dxa"/>
            <w:shd w:val="clear" w:color="auto" w:fill="auto"/>
          </w:tcPr>
          <w:p w14:paraId="486C1700"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65%</w:t>
            </w:r>
          </w:p>
        </w:tc>
        <w:tc>
          <w:tcPr>
            <w:tcW w:w="2127" w:type="dxa"/>
            <w:shd w:val="clear" w:color="auto" w:fill="auto"/>
          </w:tcPr>
          <w:p w14:paraId="75BB377F"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75%</w:t>
            </w:r>
          </w:p>
        </w:tc>
      </w:tr>
      <w:tr w:rsidR="00D72B3D" w:rsidRPr="009B44FD" w14:paraId="43538820" w14:textId="77777777" w:rsidTr="00550797">
        <w:trPr>
          <w:trHeight w:val="397"/>
        </w:trPr>
        <w:tc>
          <w:tcPr>
            <w:tcW w:w="3397" w:type="dxa"/>
            <w:shd w:val="clear" w:color="auto" w:fill="auto"/>
          </w:tcPr>
          <w:p w14:paraId="6601E3BC" w14:textId="77777777" w:rsidR="00D72B3D" w:rsidRPr="00762814" w:rsidRDefault="00D72B3D" w:rsidP="00550797">
            <w:pPr>
              <w:pStyle w:val="Bezodstpw"/>
              <w:spacing w:line="276" w:lineRule="auto"/>
              <w:rPr>
                <w:rFonts w:cstheme="minorHAnsi"/>
                <w:b/>
                <w:sz w:val="24"/>
                <w:szCs w:val="24"/>
                <w:lang w:eastAsia="pl-PL"/>
              </w:rPr>
            </w:pPr>
            <w:r w:rsidRPr="00762814">
              <w:rPr>
                <w:rFonts w:cstheme="minorHAnsi"/>
                <w:b/>
                <w:sz w:val="24"/>
                <w:szCs w:val="24"/>
              </w:rPr>
              <w:t>Obszar c**</w:t>
            </w:r>
          </w:p>
        </w:tc>
        <w:tc>
          <w:tcPr>
            <w:tcW w:w="1995" w:type="dxa"/>
            <w:gridSpan w:val="2"/>
            <w:shd w:val="clear" w:color="auto" w:fill="auto"/>
          </w:tcPr>
          <w:p w14:paraId="718A8FF1"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45%</w:t>
            </w:r>
          </w:p>
        </w:tc>
        <w:tc>
          <w:tcPr>
            <w:tcW w:w="1974" w:type="dxa"/>
            <w:shd w:val="clear" w:color="auto" w:fill="auto"/>
          </w:tcPr>
          <w:p w14:paraId="6BC0F8EC"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55%</w:t>
            </w:r>
          </w:p>
        </w:tc>
        <w:tc>
          <w:tcPr>
            <w:tcW w:w="2127" w:type="dxa"/>
            <w:shd w:val="clear" w:color="auto" w:fill="auto"/>
          </w:tcPr>
          <w:p w14:paraId="651A76FC"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65%</w:t>
            </w:r>
          </w:p>
        </w:tc>
      </w:tr>
      <w:tr w:rsidR="00D72B3D" w:rsidRPr="009B44FD" w14:paraId="02BABBA6" w14:textId="77777777" w:rsidTr="00550797">
        <w:trPr>
          <w:trHeight w:val="397"/>
        </w:trPr>
        <w:tc>
          <w:tcPr>
            <w:tcW w:w="3397" w:type="dxa"/>
            <w:shd w:val="clear" w:color="auto" w:fill="auto"/>
          </w:tcPr>
          <w:p w14:paraId="769A00A6" w14:textId="77777777" w:rsidR="00D72B3D" w:rsidRPr="00762814" w:rsidRDefault="00D72B3D" w:rsidP="00550797">
            <w:pPr>
              <w:pStyle w:val="Bezodstpw"/>
              <w:spacing w:line="276" w:lineRule="auto"/>
              <w:rPr>
                <w:rFonts w:cstheme="minorHAnsi"/>
                <w:b/>
                <w:sz w:val="24"/>
                <w:szCs w:val="24"/>
                <w:lang w:eastAsia="pl-PL"/>
              </w:rPr>
            </w:pPr>
            <w:r w:rsidRPr="00762814">
              <w:rPr>
                <w:rFonts w:cstheme="minorHAnsi"/>
                <w:b/>
                <w:sz w:val="24"/>
                <w:szCs w:val="24"/>
              </w:rPr>
              <w:t>Poza obszarem „a” i „c”***</w:t>
            </w:r>
          </w:p>
        </w:tc>
        <w:tc>
          <w:tcPr>
            <w:tcW w:w="1995" w:type="dxa"/>
            <w:gridSpan w:val="2"/>
            <w:shd w:val="clear" w:color="auto" w:fill="auto"/>
          </w:tcPr>
          <w:p w14:paraId="0D17D605"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40%</w:t>
            </w:r>
          </w:p>
        </w:tc>
        <w:tc>
          <w:tcPr>
            <w:tcW w:w="1974" w:type="dxa"/>
            <w:shd w:val="clear" w:color="auto" w:fill="auto"/>
          </w:tcPr>
          <w:p w14:paraId="667A3F14"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50%</w:t>
            </w:r>
          </w:p>
        </w:tc>
        <w:tc>
          <w:tcPr>
            <w:tcW w:w="2127" w:type="dxa"/>
            <w:shd w:val="clear" w:color="auto" w:fill="auto"/>
          </w:tcPr>
          <w:p w14:paraId="7AD2C41E" w14:textId="77777777" w:rsidR="00D72B3D" w:rsidRPr="009B44FD" w:rsidRDefault="00D72B3D" w:rsidP="00550797">
            <w:pPr>
              <w:spacing w:line="276" w:lineRule="auto"/>
              <w:jc w:val="center"/>
              <w:rPr>
                <w:rFonts w:cstheme="minorHAnsi"/>
                <w:b/>
                <w:sz w:val="24"/>
                <w:szCs w:val="24"/>
              </w:rPr>
            </w:pPr>
            <w:r w:rsidRPr="009B44FD">
              <w:rPr>
                <w:rFonts w:cstheme="minorHAnsi"/>
                <w:b/>
                <w:sz w:val="24"/>
                <w:szCs w:val="24"/>
              </w:rPr>
              <w:t>60%</w:t>
            </w:r>
          </w:p>
        </w:tc>
      </w:tr>
    </w:tbl>
    <w:p w14:paraId="50BD6F73" w14:textId="77777777" w:rsidR="00D72B3D" w:rsidRDefault="00D72B3D" w:rsidP="00D72B3D">
      <w:pPr>
        <w:spacing w:after="120" w:line="276" w:lineRule="auto"/>
        <w:rPr>
          <w:rFonts w:cstheme="minorHAnsi"/>
          <w:b/>
          <w:bCs/>
          <w:sz w:val="24"/>
          <w:szCs w:val="24"/>
        </w:rPr>
      </w:pPr>
    </w:p>
    <w:p w14:paraId="0E6965B3" w14:textId="77777777" w:rsidR="00D72B3D" w:rsidRPr="00762814" w:rsidRDefault="00D72B3D" w:rsidP="00D72B3D">
      <w:pPr>
        <w:spacing w:line="276" w:lineRule="auto"/>
        <w:ind w:left="852" w:hanging="284"/>
        <w:rPr>
          <w:rFonts w:eastAsia="Calibri" w:cstheme="minorHAnsi"/>
          <w:sz w:val="24"/>
          <w:szCs w:val="24"/>
        </w:rPr>
      </w:pPr>
      <w:r w:rsidRPr="00762814">
        <w:rPr>
          <w:rFonts w:eastAsia="Calibri" w:cstheme="minorHAnsi"/>
          <w:b/>
          <w:sz w:val="24"/>
          <w:szCs w:val="24"/>
        </w:rPr>
        <w:t>*obszary „a”</w:t>
      </w:r>
      <w:r w:rsidRPr="00762814">
        <w:rPr>
          <w:rFonts w:eastAsia="Calibri" w:cstheme="minorHAnsi"/>
          <w:sz w:val="24"/>
          <w:szCs w:val="24"/>
        </w:rPr>
        <w:t xml:space="preserve"> - województwa: kujawsko-pomorskie, lubelskie, lubuskie, łódzkie, małopolskie, opolskie, podkarpackie, podlaskie, pomorskie, śląskie, świętokrzyskie, warmińsko-mazurskie, zachodniopomorskie oraz region mazowiecki regionalny.</w:t>
      </w:r>
    </w:p>
    <w:p w14:paraId="7C6F431D" w14:textId="77777777" w:rsidR="00D72B3D" w:rsidRPr="00762814" w:rsidRDefault="00D72B3D" w:rsidP="00D72B3D">
      <w:pPr>
        <w:spacing w:line="276" w:lineRule="auto"/>
        <w:ind w:left="852" w:hanging="284"/>
        <w:rPr>
          <w:rFonts w:eastAsia="Calibri" w:cstheme="minorHAnsi"/>
          <w:sz w:val="24"/>
          <w:szCs w:val="24"/>
        </w:rPr>
      </w:pPr>
      <w:r w:rsidRPr="00762814">
        <w:rPr>
          <w:rFonts w:eastAsia="Calibri" w:cstheme="minorHAnsi"/>
          <w:b/>
          <w:sz w:val="24"/>
          <w:szCs w:val="24"/>
        </w:rPr>
        <w:t>**obszary „c”</w:t>
      </w:r>
      <w:r w:rsidRPr="00762814">
        <w:rPr>
          <w:rFonts w:eastAsia="Calibri" w:cstheme="minorHAnsi"/>
          <w:sz w:val="24"/>
          <w:szCs w:val="24"/>
        </w:rPr>
        <w:t xml:space="preserve"> - województwa: dolnośląskie i wielkopolskie oraz następujące gminy należące do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w:t>
      </w:r>
    </w:p>
    <w:p w14:paraId="536EAD7D" w14:textId="77777777" w:rsidR="00D72B3D" w:rsidRPr="00762814" w:rsidRDefault="00D72B3D" w:rsidP="00D72B3D">
      <w:pPr>
        <w:spacing w:line="276" w:lineRule="auto"/>
        <w:ind w:left="852" w:hanging="284"/>
        <w:rPr>
          <w:rFonts w:eastAsia="Calibri" w:cstheme="minorHAnsi"/>
          <w:sz w:val="24"/>
          <w:szCs w:val="24"/>
        </w:rPr>
      </w:pPr>
      <w:r w:rsidRPr="00762814">
        <w:rPr>
          <w:rFonts w:eastAsia="Calibri" w:cstheme="minorHAnsi"/>
          <w:b/>
          <w:sz w:val="24"/>
          <w:szCs w:val="24"/>
        </w:rPr>
        <w:t xml:space="preserve">***obszary poza „a” i „c” </w:t>
      </w:r>
      <w:r w:rsidRPr="00762814">
        <w:rPr>
          <w:rFonts w:eastAsia="Calibri" w:cstheme="minorHAnsi"/>
          <w:sz w:val="24"/>
          <w:szCs w:val="24"/>
        </w:rPr>
        <w:t>-</w:t>
      </w:r>
      <w:r w:rsidRPr="00762814">
        <w:rPr>
          <w:rFonts w:eastAsia="Calibri" w:cstheme="minorHAnsi"/>
          <w:b/>
          <w:sz w:val="24"/>
          <w:szCs w:val="24"/>
        </w:rPr>
        <w:t xml:space="preserve"> </w:t>
      </w:r>
      <w:r w:rsidRPr="00762814">
        <w:rPr>
          <w:rFonts w:eastAsia="Calibri" w:cstheme="minorHAnsi"/>
          <w:sz w:val="24"/>
          <w:szCs w:val="24"/>
        </w:rPr>
        <w:t xml:space="preserve">Miasto stołeczne Warszawa oraz powiaty ościenne tj.: powiat legionowski (gminy: Legionowo, Jabłonna, Nieporęt, Wieliszew), powiat miński (gminy: Mińsk Mazowiecki, Sulejówek, Cegłów, Dębe Wielkie, Halinów, Jakubów, Stanisławów), powiat otwocki (gminy: Józefów, Otwock, Celestynów, Karczew, Wiązowna), powiat wołomiński (gminy: Kobyłka, Marki, Ząbki, Zielonka, Klembów, Poświętne, Radzymin, Wołomin) powiat grodziski (gminy: Milanówek, Podkowa Leśna), powiat nowodworski (gminy: Nowy Dwór Mazowiecki, Czosnów, Pomiechówek), powiat piaseczyński (gminy: Konstancin Jeziorna, Lesznowola, Piaseczno), powiat pruszkowski cały, </w:t>
      </w:r>
      <w:r w:rsidRPr="00762814">
        <w:rPr>
          <w:rFonts w:eastAsia="Times New Roman" w:cstheme="minorHAnsi"/>
          <w:sz w:val="24"/>
          <w:szCs w:val="24"/>
        </w:rPr>
        <w:t>powiat warszawski zachodni (gminy: Izabelin, Łomianki, Ożarów Mazowiecki, Stare Babice)</w:t>
      </w:r>
      <w:r w:rsidRPr="00762814">
        <w:rPr>
          <w:rFonts w:eastAsia="Calibri" w:cstheme="minorHAnsi"/>
          <w:sz w:val="24"/>
          <w:szCs w:val="24"/>
        </w:rPr>
        <w:t>.</w:t>
      </w:r>
    </w:p>
    <w:p w14:paraId="7A2822F1" w14:textId="694D79A9" w:rsidR="00954F77" w:rsidRPr="00762814" w:rsidRDefault="00954F77" w:rsidP="00241B63">
      <w:pPr>
        <w:spacing w:after="120" w:line="276" w:lineRule="auto"/>
        <w:rPr>
          <w:rFonts w:eastAsia="Calibri" w:cstheme="minorHAnsi"/>
          <w:sz w:val="24"/>
          <w:szCs w:val="24"/>
        </w:rPr>
      </w:pPr>
    </w:p>
    <w:sectPr w:rsidR="00954F77" w:rsidRPr="00762814" w:rsidSect="0012269D">
      <w:pgSz w:w="11906" w:h="16838"/>
      <w:pgMar w:top="851" w:right="1276"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74D1" w14:textId="77777777" w:rsidR="00550797" w:rsidRDefault="00550797" w:rsidP="00A23B26">
      <w:pPr>
        <w:spacing w:after="0" w:line="240" w:lineRule="auto"/>
      </w:pPr>
      <w:r>
        <w:separator/>
      </w:r>
    </w:p>
  </w:endnote>
  <w:endnote w:type="continuationSeparator" w:id="0">
    <w:p w14:paraId="42D3251D" w14:textId="77777777" w:rsidR="00550797" w:rsidRDefault="00550797" w:rsidP="00A23B26">
      <w:pPr>
        <w:spacing w:after="0" w:line="240" w:lineRule="auto"/>
      </w:pPr>
      <w:r>
        <w:continuationSeparator/>
      </w:r>
    </w:p>
  </w:endnote>
  <w:endnote w:type="continuationNotice" w:id="1">
    <w:p w14:paraId="708C6651" w14:textId="77777777" w:rsidR="00550797" w:rsidRDefault="00550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altName w:val="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C620" w14:textId="77777777" w:rsidR="00B952EE" w:rsidRDefault="00B952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4C85" w14:textId="1FA23718" w:rsidR="00550797" w:rsidRDefault="00550797">
    <w:pPr>
      <w:pStyle w:val="Stopka"/>
      <w:jc w:val="right"/>
    </w:pPr>
    <w:r>
      <w:rPr>
        <w:noProof/>
      </w:rPr>
      <mc:AlternateContent>
        <mc:Choice Requires="wps">
          <w:drawing>
            <wp:anchor distT="0" distB="0" distL="114300" distR="114300" simplePos="0" relativeHeight="251661312" behindDoc="0" locked="0" layoutInCell="0" allowOverlap="1" wp14:anchorId="2D2844A6" wp14:editId="3DB4F28F">
              <wp:simplePos x="0" y="0"/>
              <wp:positionH relativeFrom="page">
                <wp:posOffset>0</wp:posOffset>
              </wp:positionH>
              <wp:positionV relativeFrom="page">
                <wp:posOffset>10227945</wp:posOffset>
              </wp:positionV>
              <wp:extent cx="7560310" cy="273050"/>
              <wp:effectExtent l="0" t="0" r="0" b="12700"/>
              <wp:wrapNone/>
              <wp:docPr id="6" name="MSIPCMf1a740038e0f70298a9908e4"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84CD9" w14:textId="5B35B144" w:rsidR="00550797" w:rsidRPr="008A3A28" w:rsidRDefault="00550797" w:rsidP="008A3A28">
                          <w:pPr>
                            <w:spacing w:after="0"/>
                            <w:jc w:val="center"/>
                            <w:rPr>
                              <w:rFonts w:ascii="Calibri" w:hAnsi="Calibri" w:cs="Calibri"/>
                              <w:color w:val="000000"/>
                              <w:sz w:val="16"/>
                            </w:rPr>
                          </w:pPr>
                          <w:r w:rsidRPr="008A3A28">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2844A6" id="_x0000_t202" coordsize="21600,21600" o:spt="202" path="m,l,21600r21600,l21600,xe">
              <v:stroke joinstyle="miter"/>
              <v:path gradientshapeok="t" o:connecttype="rect"/>
            </v:shapetype>
            <v:shape id="MSIPCMf1a740038e0f70298a9908e4"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" o:allowincell="f" filled="f" stroked="f" strokeweight=".5pt">
              <v:textbox inset=",0,,0">
                <w:txbxContent>
                  <w:p w14:paraId="79F84CD9" w14:textId="5B35B144" w:rsidR="00550797" w:rsidRPr="008A3A28" w:rsidRDefault="00550797" w:rsidP="008A3A28">
                    <w:pPr>
                      <w:spacing w:after="0"/>
                      <w:jc w:val="center"/>
                      <w:rPr>
                        <w:rFonts w:ascii="Calibri" w:hAnsi="Calibri" w:cs="Calibri"/>
                        <w:color w:val="000000"/>
                        <w:sz w:val="16"/>
                      </w:rPr>
                    </w:pPr>
                    <w:r w:rsidRPr="008A3A28">
                      <w:rPr>
                        <w:rFonts w:ascii="Calibri" w:hAnsi="Calibri" w:cs="Calibri"/>
                        <w:color w:val="000000"/>
                        <w:sz w:val="16"/>
                      </w:rPr>
                      <w:t>K2 - Informacja wewnętrzna (</w:t>
                    </w:r>
                    <w:proofErr w:type="spellStart"/>
                    <w:r w:rsidRPr="008A3A28">
                      <w:rPr>
                        <w:rFonts w:ascii="Calibri" w:hAnsi="Calibri" w:cs="Calibri"/>
                        <w:color w:val="000000"/>
                        <w:sz w:val="16"/>
                      </w:rPr>
                      <w:t>Internal</w:t>
                    </w:r>
                    <w:proofErr w:type="spellEnd"/>
                    <w:r w:rsidRPr="008A3A28">
                      <w:rPr>
                        <w:rFonts w:ascii="Calibri" w:hAnsi="Calibri" w:cs="Calibri"/>
                        <w:color w:val="000000"/>
                        <w:sz w:val="16"/>
                      </w:rPr>
                      <w:t>)</w:t>
                    </w:r>
                  </w:p>
                </w:txbxContent>
              </v:textbox>
              <w10:wrap anchorx="page" anchory="page"/>
            </v:shape>
          </w:pict>
        </mc:Fallback>
      </mc:AlternateContent>
    </w:r>
    <w:sdt>
      <w:sdtPr>
        <w:id w:val="56399139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675FAF9E" w14:textId="155D9BDE" w:rsidR="00550797" w:rsidRDefault="00550797" w:rsidP="0019534B">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C595" w14:textId="5966B982" w:rsidR="00550797" w:rsidRDefault="00550797">
    <w:pPr>
      <w:pStyle w:val="Stopka"/>
    </w:pPr>
    <w:r>
      <w:rPr>
        <w:noProof/>
      </w:rPr>
      <mc:AlternateContent>
        <mc:Choice Requires="wps">
          <w:drawing>
            <wp:anchor distT="0" distB="0" distL="114300" distR="114300" simplePos="0" relativeHeight="251660288" behindDoc="0" locked="0" layoutInCell="0" allowOverlap="1" wp14:anchorId="54E7A44A" wp14:editId="494CFF03">
              <wp:simplePos x="0" y="0"/>
              <wp:positionH relativeFrom="page">
                <wp:posOffset>0</wp:posOffset>
              </wp:positionH>
              <wp:positionV relativeFrom="page">
                <wp:posOffset>10227945</wp:posOffset>
              </wp:positionV>
              <wp:extent cx="7560310" cy="273050"/>
              <wp:effectExtent l="0" t="0" r="0" b="12700"/>
              <wp:wrapNone/>
              <wp:docPr id="4" name="MSIPCM30bd4cb5909e346e7cc56536" descr="{&quot;HashCode&quot;:85143723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E8DCE6" w14:textId="795B01DD" w:rsidR="00550797" w:rsidRPr="005E1CFA" w:rsidRDefault="00550797" w:rsidP="005E1CFA">
                          <w:pPr>
                            <w:spacing w:after="0"/>
                            <w:jc w:val="center"/>
                            <w:rPr>
                              <w:rFonts w:ascii="Calibri" w:hAnsi="Calibri" w:cs="Calibri"/>
                              <w:color w:val="000000"/>
                              <w:sz w:val="16"/>
                            </w:rPr>
                          </w:pPr>
                          <w:r w:rsidRPr="005E1CFA">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E7A44A" id="_x0000_t202" coordsize="21600,21600" o:spt="202" path="m,l,21600r21600,l21600,xe">
              <v:stroke joinstyle="miter"/>
              <v:path gradientshapeok="t" o:connecttype="rect"/>
            </v:shapetype>
            <v:shape id="MSIPCM30bd4cb5909e346e7cc56536" o:spid="_x0000_s1027" type="#_x0000_t202" alt="{&quot;HashCode&quot;:85143723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sRYAPBgDAAA+BgAADgAAAAAAAAAAAAAA&#10;AAAuAgAAZHJzL2Uyb0RvYy54bWxQSwECLQAUAAYACAAAACEAn9VB7N8AAAALAQAADwAAAAAAAAAA&#10;AAAAAAByBQAAZHJzL2Rvd25yZXYueG1sUEsFBgAAAAAEAAQA8wAAAH4GAAAAAA==&#10;" o:allowincell="f" filled="f" stroked="f" strokeweight=".5pt">
              <v:textbox inset=",0,,0">
                <w:txbxContent>
                  <w:p w14:paraId="7CE8DCE6" w14:textId="795B01DD" w:rsidR="00550797" w:rsidRPr="005E1CFA" w:rsidRDefault="00550797" w:rsidP="005E1CFA">
                    <w:pPr>
                      <w:spacing w:after="0"/>
                      <w:jc w:val="center"/>
                      <w:rPr>
                        <w:rFonts w:ascii="Calibri" w:hAnsi="Calibri" w:cs="Calibri"/>
                        <w:color w:val="000000"/>
                        <w:sz w:val="16"/>
                      </w:rPr>
                    </w:pPr>
                    <w:r w:rsidRPr="005E1CFA">
                      <w:rPr>
                        <w:rFonts w:ascii="Calibri" w:hAnsi="Calibri" w:cs="Calibri"/>
                        <w:color w:val="000000"/>
                        <w:sz w:val="16"/>
                      </w:rPr>
                      <w:t>K2 - Informacja wewnętrzna (</w:t>
                    </w:r>
                    <w:proofErr w:type="spellStart"/>
                    <w:r w:rsidRPr="005E1CFA">
                      <w:rPr>
                        <w:rFonts w:ascii="Calibri" w:hAnsi="Calibri" w:cs="Calibri"/>
                        <w:color w:val="000000"/>
                        <w:sz w:val="16"/>
                      </w:rPr>
                      <w:t>Internal</w:t>
                    </w:r>
                    <w:proofErr w:type="spellEnd"/>
                    <w:r w:rsidRPr="005E1CFA">
                      <w:rPr>
                        <w:rFonts w:ascii="Calibri" w:hAnsi="Calibri" w:cs="Calibri"/>
                        <w:color w:val="00000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B477" w14:textId="77777777" w:rsidR="00550797" w:rsidRDefault="00550797" w:rsidP="00A23B26">
      <w:pPr>
        <w:spacing w:after="0" w:line="240" w:lineRule="auto"/>
      </w:pPr>
      <w:r>
        <w:separator/>
      </w:r>
    </w:p>
  </w:footnote>
  <w:footnote w:type="continuationSeparator" w:id="0">
    <w:p w14:paraId="602F5252" w14:textId="77777777" w:rsidR="00550797" w:rsidRDefault="00550797" w:rsidP="00A23B26">
      <w:pPr>
        <w:spacing w:after="0" w:line="240" w:lineRule="auto"/>
      </w:pPr>
      <w:r>
        <w:continuationSeparator/>
      </w:r>
    </w:p>
  </w:footnote>
  <w:footnote w:type="continuationNotice" w:id="1">
    <w:p w14:paraId="56516FCC" w14:textId="77777777" w:rsidR="00550797" w:rsidRDefault="00550797">
      <w:pPr>
        <w:spacing w:after="0" w:line="240" w:lineRule="auto"/>
      </w:pPr>
    </w:p>
  </w:footnote>
  <w:footnote w:id="2">
    <w:p w14:paraId="26AE39DF" w14:textId="0576C81E"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Wykaz opublikowany na stronie www.gov.pl</w:t>
      </w:r>
    </w:p>
  </w:footnote>
  <w:footnote w:id="3">
    <w:p w14:paraId="2215D864" w14:textId="4ECF5A3E"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Zgodnie z ustawą o rachunkowości: wartości niematerialne i prawne to nabyte przez jednostkę, zaliczane do aktywów trwałych, prawa majątkowe nadające się do gospodarczego wykorzystania, o przewidywanym okresie ekonomicznej użyteczności dłuższym niż rok, przeznaczone do używania na potrzeby jednostki.</w:t>
      </w:r>
    </w:p>
  </w:footnote>
  <w:footnote w:id="4">
    <w:p w14:paraId="1BF0DD4D" w14:textId="59B00C2C"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tereny opuszczone i poprzemysłowe – należy przez to rozumieć nieużytkowane lub nie w pełni wykorzystane tereny, które pierwotnie przeznaczone były pod działalność gospodarczą, która obecnie została zakończona, </w:t>
      </w:r>
      <w:r w:rsidRPr="00091243">
        <w:rPr>
          <w:sz w:val="24"/>
        </w:rPr>
        <w:br/>
        <w:t>w tym również otoczenie zakładów przemysłowych, w szczególności zdegradowane obszary, które ze względu na obecność substancji niebezpiecznych nie nadają się do ponownego zagospodarowania.</w:t>
      </w:r>
    </w:p>
  </w:footnote>
  <w:footnote w:id="5">
    <w:p w14:paraId="179B28F8" w14:textId="77777777"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W rozumieniu </w:t>
      </w:r>
      <w:r w:rsidRPr="00091243">
        <w:rPr>
          <w:rStyle w:val="ui-provider"/>
          <w:sz w:val="24"/>
        </w:rPr>
        <w:t>Wytycznych dotyczących kwalifikowalności wydatków na lata 2021-2027</w:t>
      </w:r>
    </w:p>
  </w:footnote>
  <w:footnote w:id="6">
    <w:p w14:paraId="38980D71" w14:textId="45C4A84F"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tereny opuszczone i poprzemysłowe – należy przez to rozumieć nieużytkowane lub nie w pełni wykorzystane tereny, które pierwotnie przeznaczone były pod działalność gospodarczą, która obecnie została zakończona, </w:t>
      </w:r>
      <w:r w:rsidRPr="00091243">
        <w:rPr>
          <w:sz w:val="24"/>
        </w:rPr>
        <w:br/>
        <w:t>w tym również otoczenie zakładów przemysłowych, w szczególności zdegradowane obszary, które ze względu na obecność substancji niebezpiecznych nie nadają się do ponownego zagospodarowania.</w:t>
      </w:r>
    </w:p>
  </w:footnote>
  <w:footnote w:id="7">
    <w:p w14:paraId="367F6B91" w14:textId="3A04639C"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teren</w:t>
      </w:r>
      <w:bookmarkStart w:id="135" w:name="_Hlk126610761"/>
      <w:r w:rsidRPr="00091243">
        <w:rPr>
          <w:sz w:val="24"/>
        </w:rPr>
        <w:t>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bookmarkEnd w:id="135"/>
    </w:p>
  </w:footnote>
  <w:footnote w:id="8">
    <w:p w14:paraId="514E595D" w14:textId="77777777"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W rozumieniu </w:t>
      </w:r>
      <w:r w:rsidRPr="00091243">
        <w:rPr>
          <w:rStyle w:val="ui-provider"/>
          <w:sz w:val="24"/>
        </w:rPr>
        <w:t>Wytycznych dotyczących kwalifikowalności wydatków na lata 2021-2027</w:t>
      </w:r>
    </w:p>
  </w:footnote>
  <w:footnote w:id="9">
    <w:p w14:paraId="46F7070A" w14:textId="77777777"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W rozumieniu </w:t>
      </w:r>
      <w:r w:rsidRPr="00091243">
        <w:rPr>
          <w:rStyle w:val="ui-provider"/>
          <w:sz w:val="24"/>
        </w:rPr>
        <w:t>Wytycznych dotyczących kwalifikowalności wydatków na lata 2021-2027</w:t>
      </w:r>
    </w:p>
  </w:footnote>
  <w:footnote w:id="10">
    <w:p w14:paraId="6B3F0480" w14:textId="77777777" w:rsidR="00550797" w:rsidRDefault="00550797" w:rsidP="00544828">
      <w:pPr>
        <w:pStyle w:val="Tekstprzypisudolnego"/>
      </w:pPr>
      <w:r>
        <w:rPr>
          <w:rStyle w:val="Odwoanieprzypisudolnego"/>
        </w:rPr>
        <w:footnoteRef/>
      </w:r>
      <w:r>
        <w:t xml:space="preserve"> Z</w:t>
      </w:r>
      <w:r w:rsidRPr="009A012D">
        <w:t>większenia intensywności nie stosuje się w przypadku gdy inwestycja nie poprawia efektywności energetycznej budynku ponad poziom wynikający z minimalnych norm unijnych obowiązujących w okresie krótszym niż 18 miesięcy od momentu realizacji i zakończenia inwestycji</w:t>
      </w:r>
      <w:r>
        <w:t>.</w:t>
      </w:r>
    </w:p>
  </w:footnote>
  <w:footnote w:id="11">
    <w:p w14:paraId="04788F94" w14:textId="1ED8513B"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t</w:t>
      </w:r>
      <w:bookmarkStart w:id="157" w:name="_Hlk126610939"/>
      <w:r w:rsidRPr="00091243">
        <w:rPr>
          <w:sz w:val="24"/>
        </w:rPr>
        <w:t>ereny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bookmarkEnd w:id="157"/>
    </w:p>
  </w:footnote>
  <w:footnote w:id="12">
    <w:p w14:paraId="0CA0A243" w14:textId="77777777" w:rsidR="00550797" w:rsidRPr="00091243" w:rsidRDefault="00550797" w:rsidP="00E73E73">
      <w:pPr>
        <w:pStyle w:val="Tekstprzypisudolnego"/>
        <w:spacing w:line="276" w:lineRule="auto"/>
        <w:rPr>
          <w:sz w:val="24"/>
        </w:rPr>
      </w:pPr>
      <w:r w:rsidRPr="00091243">
        <w:rPr>
          <w:rStyle w:val="Odwoanieprzypisudolnego"/>
          <w:sz w:val="24"/>
        </w:rPr>
        <w:footnoteRef/>
      </w:r>
      <w:r w:rsidRPr="00091243">
        <w:rPr>
          <w:sz w:val="24"/>
        </w:rPr>
        <w:t xml:space="preserve"> W rozumieniu </w:t>
      </w:r>
      <w:r w:rsidRPr="00091243">
        <w:rPr>
          <w:rStyle w:val="ui-provider"/>
          <w:sz w:val="24"/>
        </w:rPr>
        <w:t>Wytycznych dotyczących kwalifikowalności wydatków na lata 2021-2027</w:t>
      </w:r>
    </w:p>
  </w:footnote>
  <w:footnote w:id="13">
    <w:p w14:paraId="7357DEA8" w14:textId="7359F5B9"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tereny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p>
  </w:footnote>
  <w:footnote w:id="14">
    <w:p w14:paraId="45C72DC2" w14:textId="77777777" w:rsidR="00550797" w:rsidRPr="00091243" w:rsidRDefault="00550797" w:rsidP="00091243">
      <w:pPr>
        <w:pStyle w:val="Tekstprzypisudolnego"/>
        <w:spacing w:line="276" w:lineRule="auto"/>
        <w:rPr>
          <w:sz w:val="24"/>
        </w:rPr>
      </w:pPr>
      <w:r w:rsidRPr="00091243">
        <w:rPr>
          <w:rStyle w:val="Odwoanieprzypisudolnego"/>
          <w:sz w:val="24"/>
        </w:rPr>
        <w:footnoteRef/>
      </w:r>
      <w:r w:rsidRPr="00091243">
        <w:rPr>
          <w:sz w:val="24"/>
        </w:rPr>
        <w:t xml:space="preserve"> W rozumieniu </w:t>
      </w:r>
      <w:r w:rsidRPr="00091243">
        <w:rPr>
          <w:rStyle w:val="ui-provider"/>
          <w:sz w:val="24"/>
        </w:rPr>
        <w:t>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D780" w14:textId="77777777" w:rsidR="00B952EE" w:rsidRDefault="00B952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0A77" w14:textId="19D754A2" w:rsidR="00550797" w:rsidRDefault="00550797" w:rsidP="00762814">
    <w:pPr>
      <w:pStyle w:val="Nagwek"/>
      <w:jc w:val="right"/>
      <w:rPr>
        <w:rFonts w:ascii="Times New Roman" w:hAnsi="Times New Roman"/>
        <w:sz w:val="20"/>
        <w:szCs w:val="20"/>
      </w:rPr>
    </w:pPr>
    <w:r>
      <w:rPr>
        <w:noProof/>
      </w:rPr>
      <w:drawing>
        <wp:inline distT="0" distB="0" distL="0" distR="0" wp14:anchorId="129D1CC8" wp14:editId="1C00FC94">
          <wp:extent cx="5760720" cy="5194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r w:rsidRPr="000E501D">
      <w:t xml:space="preserve"> </w:t>
    </w:r>
    <w:sdt>
      <w:sdtPr>
        <w:id w:val="138461451"/>
        <w:docPartObj>
          <w:docPartGallery w:val="Page Numbers (Top of Page)"/>
          <w:docPartUnique/>
        </w:docPartObj>
      </w:sdtPr>
      <w:sdtEndPr>
        <w:rPr>
          <w:sz w:val="24"/>
          <w:szCs w:val="24"/>
        </w:rPr>
      </w:sdtEndPr>
      <w:sdtContent>
        <w:r w:rsidRPr="00414B1F">
          <w:rPr>
            <w:sz w:val="24"/>
            <w:szCs w:val="24"/>
          </w:rPr>
          <w:fldChar w:fldCharType="begin"/>
        </w:r>
        <w:r w:rsidRPr="00414B1F">
          <w:rPr>
            <w:sz w:val="24"/>
            <w:szCs w:val="24"/>
          </w:rPr>
          <w:instrText>PAGE   \* MERGEFORMAT</w:instrText>
        </w:r>
        <w:r w:rsidRPr="00414B1F">
          <w:rPr>
            <w:sz w:val="24"/>
            <w:szCs w:val="24"/>
          </w:rPr>
          <w:fldChar w:fldCharType="separate"/>
        </w:r>
        <w:r>
          <w:rPr>
            <w:noProof/>
            <w:sz w:val="24"/>
            <w:szCs w:val="24"/>
          </w:rPr>
          <w:t>21</w:t>
        </w:r>
        <w:r w:rsidRPr="00414B1F">
          <w:rPr>
            <w:sz w:val="24"/>
            <w:szCs w:val="24"/>
          </w:rPr>
          <w:fldChar w:fldCharType="end"/>
        </w:r>
      </w:sdtContent>
    </w:sdt>
  </w:p>
  <w:p w14:paraId="0F123C3B" w14:textId="1BA405CE" w:rsidR="00550797" w:rsidRDefault="00550797" w:rsidP="006D282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7816" w14:textId="7BF2E6F6" w:rsidR="00550797" w:rsidRPr="00930477" w:rsidRDefault="00B952EE" w:rsidP="00930477">
    <w:pPr>
      <w:pStyle w:val="Nagwek"/>
      <w:jc w:val="right"/>
    </w:pPr>
    <w:sdt>
      <w:sdtPr>
        <w:id w:val="-163013142"/>
        <w:docPartObj>
          <w:docPartGallery w:val="Page Numbers (Top of Page)"/>
          <w:docPartUnique/>
        </w:docPartObj>
      </w:sdtPr>
      <w:sdtEndPr>
        <w:rPr>
          <w:sz w:val="24"/>
          <w:szCs w:val="24"/>
        </w:rPr>
      </w:sdtEndPr>
      <w:sdtContent>
        <w:r w:rsidR="00550797" w:rsidRPr="00414B1F">
          <w:rPr>
            <w:sz w:val="24"/>
            <w:szCs w:val="24"/>
          </w:rPr>
          <w:fldChar w:fldCharType="begin"/>
        </w:r>
        <w:r w:rsidR="00550797" w:rsidRPr="00414B1F">
          <w:rPr>
            <w:sz w:val="24"/>
            <w:szCs w:val="24"/>
          </w:rPr>
          <w:instrText>PAGE   \* MERGEFORMAT</w:instrText>
        </w:r>
        <w:r w:rsidR="00550797" w:rsidRPr="00414B1F">
          <w:rPr>
            <w:sz w:val="24"/>
            <w:szCs w:val="24"/>
          </w:rPr>
          <w:fldChar w:fldCharType="separate"/>
        </w:r>
        <w:r w:rsidR="00550797">
          <w:rPr>
            <w:noProof/>
            <w:sz w:val="24"/>
            <w:szCs w:val="24"/>
          </w:rPr>
          <w:t>1</w:t>
        </w:r>
        <w:r w:rsidR="00550797" w:rsidRPr="00414B1F">
          <w:rPr>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5EC"/>
    <w:multiLevelType w:val="hybridMultilevel"/>
    <w:tmpl w:val="6756B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96A2B"/>
    <w:multiLevelType w:val="hybridMultilevel"/>
    <w:tmpl w:val="8F424FC0"/>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1524BB8"/>
    <w:multiLevelType w:val="hybridMultilevel"/>
    <w:tmpl w:val="288246BE"/>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3" w15:restartNumberingAfterBreak="0">
    <w:nsid w:val="0164102B"/>
    <w:multiLevelType w:val="hybridMultilevel"/>
    <w:tmpl w:val="D2D61C98"/>
    <w:lvl w:ilvl="0" w:tplc="C6763A8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1B83126"/>
    <w:multiLevelType w:val="hybridMultilevel"/>
    <w:tmpl w:val="AF12BB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2276A2"/>
    <w:multiLevelType w:val="multilevel"/>
    <w:tmpl w:val="C0CE1562"/>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283070B"/>
    <w:multiLevelType w:val="hybridMultilevel"/>
    <w:tmpl w:val="B77A42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E96160"/>
    <w:multiLevelType w:val="hybridMultilevel"/>
    <w:tmpl w:val="B900BD3C"/>
    <w:lvl w:ilvl="0" w:tplc="5B9033C0">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5E6838"/>
    <w:multiLevelType w:val="hybridMultilevel"/>
    <w:tmpl w:val="6FC66128"/>
    <w:lvl w:ilvl="0" w:tplc="BC0EEF86">
      <w:start w:val="1"/>
      <w:numFmt w:val="decimal"/>
      <w:lvlText w:val="3.3.%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03755F50"/>
    <w:multiLevelType w:val="hybridMultilevel"/>
    <w:tmpl w:val="7D1AD35E"/>
    <w:lvl w:ilvl="0" w:tplc="0415000B">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194B57"/>
    <w:multiLevelType w:val="hybridMultilevel"/>
    <w:tmpl w:val="135E4BD8"/>
    <w:lvl w:ilvl="0" w:tplc="BC0EEF86">
      <w:start w:val="1"/>
      <w:numFmt w:val="decimal"/>
      <w:lvlText w:val="3.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1F25BB"/>
    <w:multiLevelType w:val="hybridMultilevel"/>
    <w:tmpl w:val="79CE627E"/>
    <w:lvl w:ilvl="0" w:tplc="D86C2492">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595D95"/>
    <w:multiLevelType w:val="hybridMultilevel"/>
    <w:tmpl w:val="509E47B0"/>
    <w:lvl w:ilvl="0" w:tplc="8CE6C712">
      <w:start w:val="1"/>
      <w:numFmt w:val="lowerLetter"/>
      <w:lvlText w:val="%1)"/>
      <w:lvlJc w:val="left"/>
      <w:pPr>
        <w:ind w:left="360" w:hanging="360"/>
      </w:pPr>
      <w:rPr>
        <w:rFonts w:hint="default"/>
        <w:b w:val="0"/>
        <w:bCs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3" w15:restartNumberingAfterBreak="0">
    <w:nsid w:val="07CC5A1A"/>
    <w:multiLevelType w:val="hybridMultilevel"/>
    <w:tmpl w:val="02DADA72"/>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F127E9"/>
    <w:multiLevelType w:val="hybridMultilevel"/>
    <w:tmpl w:val="8D0EBD4C"/>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8F6701A"/>
    <w:multiLevelType w:val="hybridMultilevel"/>
    <w:tmpl w:val="3D72CBA2"/>
    <w:lvl w:ilvl="0" w:tplc="685AC1FA">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F23DCB"/>
    <w:multiLevelType w:val="hybridMultilevel"/>
    <w:tmpl w:val="B3321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612BB7"/>
    <w:multiLevelType w:val="hybridMultilevel"/>
    <w:tmpl w:val="A0AEA3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0E8F31D6"/>
    <w:multiLevelType w:val="multilevel"/>
    <w:tmpl w:val="427E2BD6"/>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0E9820AE"/>
    <w:multiLevelType w:val="hybridMultilevel"/>
    <w:tmpl w:val="216A3620"/>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0F9028B9"/>
    <w:multiLevelType w:val="hybridMultilevel"/>
    <w:tmpl w:val="FE9EC232"/>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1" w15:restartNumberingAfterBreak="0">
    <w:nsid w:val="134579C8"/>
    <w:multiLevelType w:val="hybridMultilevel"/>
    <w:tmpl w:val="8E32876E"/>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B9257E"/>
    <w:multiLevelType w:val="hybridMultilevel"/>
    <w:tmpl w:val="00CAB8D0"/>
    <w:lvl w:ilvl="0" w:tplc="0B68DA36">
      <w:start w:val="1"/>
      <w:numFmt w:val="decimal"/>
      <w:lvlText w:val="%1)"/>
      <w:lvlJc w:val="left"/>
      <w:pPr>
        <w:ind w:left="644" w:hanging="360"/>
      </w:pPr>
      <w:rPr>
        <w:rFonts w:hint="default"/>
        <w:color w:val="auto"/>
      </w:rPr>
    </w:lvl>
    <w:lvl w:ilvl="1" w:tplc="1BACEC9A">
      <w:numFmt w:val="bullet"/>
      <w:lvlText w:val="•"/>
      <w:lvlJc w:val="left"/>
      <w:pPr>
        <w:ind w:left="1785" w:hanging="705"/>
      </w:pPr>
      <w:rPr>
        <w:rFonts w:ascii="Arial" w:eastAsiaTheme="minorHAnsi" w:hAnsi="Arial" w:cs="Arial" w:hint="default"/>
      </w:rPr>
    </w:lvl>
    <w:lvl w:ilvl="2" w:tplc="8408B370">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690ED0"/>
    <w:multiLevelType w:val="hybridMultilevel"/>
    <w:tmpl w:val="9E9E80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7600AD"/>
    <w:multiLevelType w:val="hybridMultilevel"/>
    <w:tmpl w:val="2878D1C8"/>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8B4A1792">
      <w:start w:val="9"/>
      <w:numFmt w:val="bullet"/>
      <w:lvlText w:val="-"/>
      <w:lvlJc w:val="left"/>
      <w:pPr>
        <w:ind w:left="2160" w:hanging="360"/>
      </w:pPr>
      <w:rPr>
        <w:rFonts w:ascii="Arial" w:eastAsia="Arial"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78431A"/>
    <w:multiLevelType w:val="hybridMultilevel"/>
    <w:tmpl w:val="FEACA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BB0192"/>
    <w:multiLevelType w:val="multilevel"/>
    <w:tmpl w:val="F43C46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EF63C9"/>
    <w:multiLevelType w:val="multilevel"/>
    <w:tmpl w:val="93FA57FC"/>
    <w:lvl w:ilvl="0">
      <w:start w:val="6"/>
      <w:numFmt w:val="decimal"/>
      <w:lvlText w:val="%1."/>
      <w:lvlJc w:val="left"/>
      <w:pPr>
        <w:ind w:left="782" w:hanging="360"/>
      </w:pPr>
      <w:rPr>
        <w:rFonts w:hint="default"/>
      </w:rPr>
    </w:lvl>
    <w:lvl w:ilvl="1">
      <w:start w:val="3"/>
      <w:numFmt w:val="decimal"/>
      <w:isLgl/>
      <w:lvlText w:val="%1.%2"/>
      <w:lvlJc w:val="left"/>
      <w:pPr>
        <w:ind w:left="1157" w:hanging="735"/>
      </w:pPr>
      <w:rPr>
        <w:rFonts w:hint="default"/>
      </w:rPr>
    </w:lvl>
    <w:lvl w:ilvl="2">
      <w:start w:val="1"/>
      <w:numFmt w:val="decimal"/>
      <w:isLgl/>
      <w:lvlText w:val="%1.%2.%3"/>
      <w:lvlJc w:val="left"/>
      <w:pPr>
        <w:ind w:left="735" w:hanging="735"/>
      </w:pPr>
      <w:rPr>
        <w:rFonts w:hint="default"/>
        <w:sz w:val="22"/>
        <w:szCs w:val="22"/>
      </w:rPr>
    </w:lvl>
    <w:lvl w:ilvl="3">
      <w:start w:val="1"/>
      <w:numFmt w:val="decimal"/>
      <w:isLgl/>
      <w:lvlText w:val="%1.%2.%3.%4"/>
      <w:lvlJc w:val="left"/>
      <w:pPr>
        <w:ind w:left="1157" w:hanging="735"/>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28" w15:restartNumberingAfterBreak="0">
    <w:nsid w:val="1C022B36"/>
    <w:multiLevelType w:val="hybridMultilevel"/>
    <w:tmpl w:val="912CB8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9" w15:restartNumberingAfterBreak="0">
    <w:nsid w:val="1C3D7CC8"/>
    <w:multiLevelType w:val="hybridMultilevel"/>
    <w:tmpl w:val="B630D53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923F8C"/>
    <w:multiLevelType w:val="hybridMultilevel"/>
    <w:tmpl w:val="2E1A0D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1C9C4B5A"/>
    <w:multiLevelType w:val="hybridMultilevel"/>
    <w:tmpl w:val="16D4413A"/>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9F38F2"/>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1E136D26"/>
    <w:multiLevelType w:val="hybridMultilevel"/>
    <w:tmpl w:val="6CFC9888"/>
    <w:lvl w:ilvl="0" w:tplc="FFFFFFFF">
      <w:start w:val="1"/>
      <w:numFmt w:val="decimal"/>
      <w:lvlText w:val="5.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410CC5"/>
    <w:multiLevelType w:val="multilevel"/>
    <w:tmpl w:val="4C5002A4"/>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214625D9"/>
    <w:multiLevelType w:val="hybridMultilevel"/>
    <w:tmpl w:val="6F1AD466"/>
    <w:lvl w:ilvl="0" w:tplc="DEC0E514">
      <w:start w:val="1"/>
      <w:numFmt w:val="bullet"/>
      <w:lvlText w:val=""/>
      <w:lvlJc w:val="left"/>
      <w:pPr>
        <w:tabs>
          <w:tab w:val="num" w:pos="720"/>
        </w:tabs>
        <w:ind w:left="720" w:hanging="360"/>
      </w:pPr>
      <w:rPr>
        <w:rFonts w:ascii="Wingdings" w:hAnsi="Wingdings" w:hint="default"/>
      </w:rPr>
    </w:lvl>
    <w:lvl w:ilvl="1" w:tplc="EF064D2E" w:tentative="1">
      <w:start w:val="1"/>
      <w:numFmt w:val="bullet"/>
      <w:lvlText w:val=""/>
      <w:lvlJc w:val="left"/>
      <w:pPr>
        <w:tabs>
          <w:tab w:val="num" w:pos="1440"/>
        </w:tabs>
        <w:ind w:left="1440" w:hanging="360"/>
      </w:pPr>
      <w:rPr>
        <w:rFonts w:ascii="Wingdings" w:hAnsi="Wingdings" w:hint="default"/>
      </w:rPr>
    </w:lvl>
    <w:lvl w:ilvl="2" w:tplc="31CA7E44" w:tentative="1">
      <w:start w:val="1"/>
      <w:numFmt w:val="bullet"/>
      <w:lvlText w:val=""/>
      <w:lvlJc w:val="left"/>
      <w:pPr>
        <w:tabs>
          <w:tab w:val="num" w:pos="2160"/>
        </w:tabs>
        <w:ind w:left="2160" w:hanging="360"/>
      </w:pPr>
      <w:rPr>
        <w:rFonts w:ascii="Wingdings" w:hAnsi="Wingdings" w:hint="default"/>
      </w:rPr>
    </w:lvl>
    <w:lvl w:ilvl="3" w:tplc="6706E186" w:tentative="1">
      <w:start w:val="1"/>
      <w:numFmt w:val="bullet"/>
      <w:lvlText w:val=""/>
      <w:lvlJc w:val="left"/>
      <w:pPr>
        <w:tabs>
          <w:tab w:val="num" w:pos="2880"/>
        </w:tabs>
        <w:ind w:left="2880" w:hanging="360"/>
      </w:pPr>
      <w:rPr>
        <w:rFonts w:ascii="Wingdings" w:hAnsi="Wingdings" w:hint="default"/>
      </w:rPr>
    </w:lvl>
    <w:lvl w:ilvl="4" w:tplc="650AAD28" w:tentative="1">
      <w:start w:val="1"/>
      <w:numFmt w:val="bullet"/>
      <w:lvlText w:val=""/>
      <w:lvlJc w:val="left"/>
      <w:pPr>
        <w:tabs>
          <w:tab w:val="num" w:pos="3600"/>
        </w:tabs>
        <w:ind w:left="3600" w:hanging="360"/>
      </w:pPr>
      <w:rPr>
        <w:rFonts w:ascii="Wingdings" w:hAnsi="Wingdings" w:hint="default"/>
      </w:rPr>
    </w:lvl>
    <w:lvl w:ilvl="5" w:tplc="731C8BF6" w:tentative="1">
      <w:start w:val="1"/>
      <w:numFmt w:val="bullet"/>
      <w:lvlText w:val=""/>
      <w:lvlJc w:val="left"/>
      <w:pPr>
        <w:tabs>
          <w:tab w:val="num" w:pos="4320"/>
        </w:tabs>
        <w:ind w:left="4320" w:hanging="360"/>
      </w:pPr>
      <w:rPr>
        <w:rFonts w:ascii="Wingdings" w:hAnsi="Wingdings" w:hint="default"/>
      </w:rPr>
    </w:lvl>
    <w:lvl w:ilvl="6" w:tplc="EE7EE10C" w:tentative="1">
      <w:start w:val="1"/>
      <w:numFmt w:val="bullet"/>
      <w:lvlText w:val=""/>
      <w:lvlJc w:val="left"/>
      <w:pPr>
        <w:tabs>
          <w:tab w:val="num" w:pos="5040"/>
        </w:tabs>
        <w:ind w:left="5040" w:hanging="360"/>
      </w:pPr>
      <w:rPr>
        <w:rFonts w:ascii="Wingdings" w:hAnsi="Wingdings" w:hint="default"/>
      </w:rPr>
    </w:lvl>
    <w:lvl w:ilvl="7" w:tplc="3B963C58" w:tentative="1">
      <w:start w:val="1"/>
      <w:numFmt w:val="bullet"/>
      <w:lvlText w:val=""/>
      <w:lvlJc w:val="left"/>
      <w:pPr>
        <w:tabs>
          <w:tab w:val="num" w:pos="5760"/>
        </w:tabs>
        <w:ind w:left="5760" w:hanging="360"/>
      </w:pPr>
      <w:rPr>
        <w:rFonts w:ascii="Wingdings" w:hAnsi="Wingdings" w:hint="default"/>
      </w:rPr>
    </w:lvl>
    <w:lvl w:ilvl="8" w:tplc="4D2287F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9E6756"/>
    <w:multiLevelType w:val="hybridMultilevel"/>
    <w:tmpl w:val="436CD482"/>
    <w:lvl w:ilvl="0" w:tplc="FF168F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25A21EA"/>
    <w:multiLevelType w:val="hybridMultilevel"/>
    <w:tmpl w:val="8506C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DA36C0"/>
    <w:multiLevelType w:val="multilevel"/>
    <w:tmpl w:val="4E16F26C"/>
    <w:lvl w:ilvl="0">
      <w:start w:val="1"/>
      <w:numFmt w:val="lowerLetter"/>
      <w:lvlText w:val="%1)"/>
      <w:lvlJc w:val="left"/>
      <w:pPr>
        <w:ind w:left="782" w:hanging="360"/>
      </w:pPr>
    </w:lvl>
    <w:lvl w:ilvl="1">
      <w:start w:val="3"/>
      <w:numFmt w:val="decimal"/>
      <w:isLgl/>
      <w:lvlText w:val="%1.%2"/>
      <w:lvlJc w:val="left"/>
      <w:pPr>
        <w:ind w:left="1157" w:hanging="735"/>
      </w:pPr>
      <w:rPr>
        <w:rFonts w:hint="default"/>
      </w:rPr>
    </w:lvl>
    <w:lvl w:ilvl="2">
      <w:start w:val="1"/>
      <w:numFmt w:val="decimal"/>
      <w:isLgl/>
      <w:lvlText w:val="%1.%2.%3"/>
      <w:lvlJc w:val="left"/>
      <w:pPr>
        <w:ind w:left="877" w:hanging="735"/>
      </w:pPr>
      <w:rPr>
        <w:rFonts w:hint="default"/>
      </w:rPr>
    </w:lvl>
    <w:lvl w:ilvl="3">
      <w:start w:val="1"/>
      <w:numFmt w:val="decimal"/>
      <w:isLgl/>
      <w:lvlText w:val="%1.%2.%3.%4"/>
      <w:lvlJc w:val="left"/>
      <w:pPr>
        <w:ind w:left="1157" w:hanging="735"/>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39" w15:restartNumberingAfterBreak="0">
    <w:nsid w:val="22ED211C"/>
    <w:multiLevelType w:val="hybridMultilevel"/>
    <w:tmpl w:val="725CD07A"/>
    <w:lvl w:ilvl="0" w:tplc="0415000B">
      <w:start w:val="1"/>
      <w:numFmt w:val="bullet"/>
      <w:lvlText w:val=""/>
      <w:lvlJc w:val="left"/>
      <w:pPr>
        <w:ind w:left="720" w:hanging="360"/>
      </w:pPr>
      <w:rPr>
        <w:rFonts w:ascii="Wingdings" w:hAnsi="Wingdings" w:hint="default"/>
        <w:color w:val="auto"/>
      </w:rPr>
    </w:lvl>
    <w:lvl w:ilvl="1" w:tplc="1BACEC9A">
      <w:numFmt w:val="bullet"/>
      <w:lvlText w:val="•"/>
      <w:lvlJc w:val="left"/>
      <w:pPr>
        <w:ind w:left="70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2F5578C"/>
    <w:multiLevelType w:val="hybridMultilevel"/>
    <w:tmpl w:val="A6662C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963722"/>
    <w:multiLevelType w:val="hybridMultilevel"/>
    <w:tmpl w:val="9DD2250A"/>
    <w:lvl w:ilvl="0" w:tplc="205A87B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396C00"/>
    <w:multiLevelType w:val="hybridMultilevel"/>
    <w:tmpl w:val="2A6A9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966245"/>
    <w:multiLevelType w:val="hybridMultilevel"/>
    <w:tmpl w:val="683AE478"/>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5F7D74"/>
    <w:multiLevelType w:val="hybridMultilevel"/>
    <w:tmpl w:val="A502A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980F84"/>
    <w:multiLevelType w:val="hybridMultilevel"/>
    <w:tmpl w:val="BC4AE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9642865"/>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296A124E"/>
    <w:multiLevelType w:val="hybridMultilevel"/>
    <w:tmpl w:val="617084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A8D2AC7"/>
    <w:multiLevelType w:val="hybridMultilevel"/>
    <w:tmpl w:val="B44EA45C"/>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49" w15:restartNumberingAfterBreak="0">
    <w:nsid w:val="2E117D93"/>
    <w:multiLevelType w:val="multilevel"/>
    <w:tmpl w:val="55D06556"/>
    <w:lvl w:ilvl="0">
      <w:start w:val="1"/>
      <w:numFmt w:val="decimal"/>
      <w:lvlText w:val="%1."/>
      <w:lvlJc w:val="left"/>
      <w:pPr>
        <w:ind w:left="782" w:hanging="360"/>
      </w:pPr>
    </w:lvl>
    <w:lvl w:ilvl="1">
      <w:start w:val="3"/>
      <w:numFmt w:val="decimal"/>
      <w:isLgl/>
      <w:lvlText w:val="%1.%2"/>
      <w:lvlJc w:val="left"/>
      <w:pPr>
        <w:ind w:left="1157" w:hanging="735"/>
      </w:pPr>
      <w:rPr>
        <w:rFonts w:hint="default"/>
      </w:rPr>
    </w:lvl>
    <w:lvl w:ilvl="2">
      <w:start w:val="1"/>
      <w:numFmt w:val="decimal"/>
      <w:isLgl/>
      <w:lvlText w:val="%1.%2.%3"/>
      <w:lvlJc w:val="left"/>
      <w:pPr>
        <w:ind w:left="877" w:hanging="735"/>
      </w:pPr>
      <w:rPr>
        <w:rFonts w:hint="default"/>
      </w:rPr>
    </w:lvl>
    <w:lvl w:ilvl="3">
      <w:start w:val="1"/>
      <w:numFmt w:val="decimal"/>
      <w:isLgl/>
      <w:lvlText w:val="%1.%2.%3.%4"/>
      <w:lvlJc w:val="left"/>
      <w:pPr>
        <w:ind w:left="1157" w:hanging="735"/>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50" w15:restartNumberingAfterBreak="0">
    <w:nsid w:val="2F4478F3"/>
    <w:multiLevelType w:val="hybridMultilevel"/>
    <w:tmpl w:val="9AC28B3C"/>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F6C6C79"/>
    <w:multiLevelType w:val="hybridMultilevel"/>
    <w:tmpl w:val="72D6DBAA"/>
    <w:lvl w:ilvl="0" w:tplc="0415000F">
      <w:start w:val="1"/>
      <w:numFmt w:val="decimal"/>
      <w:lvlText w:val="%1."/>
      <w:lvlJc w:val="left"/>
      <w:pPr>
        <w:ind w:left="1480" w:hanging="360"/>
      </w:pPr>
      <w:rPr>
        <w:rFonts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52" w15:restartNumberingAfterBreak="0">
    <w:nsid w:val="2F8D02AE"/>
    <w:multiLevelType w:val="hybridMultilevel"/>
    <w:tmpl w:val="0AEEC1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B43FED"/>
    <w:multiLevelType w:val="hybridMultilevel"/>
    <w:tmpl w:val="005C216A"/>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35BE0142">
      <w:start w:val="9"/>
      <w:numFmt w:val="decimal"/>
      <w:lvlText w:val="%3."/>
      <w:lvlJc w:val="left"/>
      <w:pPr>
        <w:ind w:left="2160" w:hanging="360"/>
      </w:pPr>
      <w:rPr>
        <w:rFonts w:hint="default"/>
      </w:rPr>
    </w:lvl>
    <w:lvl w:ilvl="3" w:tplc="22E2AD3A">
      <w:start w:val="2"/>
      <w:numFmt w:val="lowerRoman"/>
      <w:lvlText w:val="%4."/>
      <w:lvlJc w:val="left"/>
      <w:pPr>
        <w:ind w:left="3240" w:hanging="72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0E6368C"/>
    <w:multiLevelType w:val="hybridMultilevel"/>
    <w:tmpl w:val="39386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15D7F7D"/>
    <w:multiLevelType w:val="hybridMultilevel"/>
    <w:tmpl w:val="5ED0B640"/>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25075F1"/>
    <w:multiLevelType w:val="multilevel"/>
    <w:tmpl w:val="ED185A1E"/>
    <w:lvl w:ilvl="0">
      <w:start w:val="7"/>
      <w:numFmt w:val="decimal"/>
      <w:lvlText w:val="%1"/>
      <w:lvlJc w:val="left"/>
      <w:pPr>
        <w:ind w:left="480" w:hanging="480"/>
      </w:pPr>
      <w:rPr>
        <w:rFonts w:hint="default"/>
      </w:rPr>
    </w:lvl>
    <w:lvl w:ilvl="1">
      <w:start w:val="3"/>
      <w:numFmt w:val="decimal"/>
      <w:lvlText w:val="%1.%2"/>
      <w:lvlJc w:val="left"/>
      <w:pPr>
        <w:ind w:left="691" w:hanging="48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353" w:hanging="72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135" w:hanging="108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2917" w:hanging="1440"/>
      </w:pPr>
      <w:rPr>
        <w:rFonts w:hint="default"/>
      </w:rPr>
    </w:lvl>
    <w:lvl w:ilvl="8">
      <w:start w:val="1"/>
      <w:numFmt w:val="decimal"/>
      <w:lvlText w:val="%1.%2.%3.%4.%5.%6.%7.%8.%9"/>
      <w:lvlJc w:val="left"/>
      <w:pPr>
        <w:ind w:left="3488" w:hanging="1800"/>
      </w:pPr>
      <w:rPr>
        <w:rFonts w:hint="default"/>
      </w:rPr>
    </w:lvl>
  </w:abstractNum>
  <w:abstractNum w:abstractNumId="57" w15:restartNumberingAfterBreak="0">
    <w:nsid w:val="32E36469"/>
    <w:multiLevelType w:val="hybridMultilevel"/>
    <w:tmpl w:val="C8A619A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354D0802"/>
    <w:multiLevelType w:val="hybridMultilevel"/>
    <w:tmpl w:val="3D72CBA2"/>
    <w:lvl w:ilvl="0" w:tplc="FFFFFFFF">
      <w:start w:val="1"/>
      <w:numFmt w:val="decimal"/>
      <w:lvlText w:val="5.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81F487D"/>
    <w:multiLevelType w:val="hybridMultilevel"/>
    <w:tmpl w:val="633EB9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9495A38"/>
    <w:multiLevelType w:val="multilevel"/>
    <w:tmpl w:val="81F2A35E"/>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4.3.%3"/>
      <w:lvlJc w:val="left"/>
      <w:pPr>
        <w:ind w:left="78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3AAB726B"/>
    <w:multiLevelType w:val="hybridMultilevel"/>
    <w:tmpl w:val="B8D693EA"/>
    <w:lvl w:ilvl="0" w:tplc="92B6EFF2">
      <w:start w:val="1"/>
      <w:numFmt w:val="lowerLetter"/>
      <w:lvlText w:val="%1)"/>
      <w:lvlJc w:val="left"/>
      <w:pPr>
        <w:ind w:left="1938" w:hanging="360"/>
      </w:pPr>
      <w:rPr>
        <w:rFonts w:cs="Times New Roman" w:hint="default"/>
      </w:rPr>
    </w:lvl>
    <w:lvl w:ilvl="1" w:tplc="04150017">
      <w:start w:val="1"/>
      <w:numFmt w:val="lowerLetter"/>
      <w:lvlText w:val="%2)"/>
      <w:lvlJc w:val="left"/>
      <w:pPr>
        <w:ind w:left="1068" w:hanging="360"/>
      </w:pPr>
    </w:lvl>
    <w:lvl w:ilvl="2" w:tplc="0415001B" w:tentative="1">
      <w:start w:val="1"/>
      <w:numFmt w:val="lowerRoman"/>
      <w:lvlText w:val="%3."/>
      <w:lvlJc w:val="right"/>
      <w:pPr>
        <w:ind w:left="3378" w:hanging="180"/>
      </w:pPr>
    </w:lvl>
    <w:lvl w:ilvl="3" w:tplc="0415000F" w:tentative="1">
      <w:start w:val="1"/>
      <w:numFmt w:val="decimal"/>
      <w:lvlText w:val="%4."/>
      <w:lvlJc w:val="left"/>
      <w:pPr>
        <w:ind w:left="4098" w:hanging="360"/>
      </w:pPr>
    </w:lvl>
    <w:lvl w:ilvl="4" w:tplc="04150019" w:tentative="1">
      <w:start w:val="1"/>
      <w:numFmt w:val="lowerLetter"/>
      <w:lvlText w:val="%5."/>
      <w:lvlJc w:val="left"/>
      <w:pPr>
        <w:ind w:left="4818" w:hanging="360"/>
      </w:pPr>
    </w:lvl>
    <w:lvl w:ilvl="5" w:tplc="0415001B" w:tentative="1">
      <w:start w:val="1"/>
      <w:numFmt w:val="lowerRoman"/>
      <w:lvlText w:val="%6."/>
      <w:lvlJc w:val="right"/>
      <w:pPr>
        <w:ind w:left="5538" w:hanging="180"/>
      </w:pPr>
    </w:lvl>
    <w:lvl w:ilvl="6" w:tplc="0415000F" w:tentative="1">
      <w:start w:val="1"/>
      <w:numFmt w:val="decimal"/>
      <w:lvlText w:val="%7."/>
      <w:lvlJc w:val="left"/>
      <w:pPr>
        <w:ind w:left="6258" w:hanging="360"/>
      </w:pPr>
    </w:lvl>
    <w:lvl w:ilvl="7" w:tplc="04150019" w:tentative="1">
      <w:start w:val="1"/>
      <w:numFmt w:val="lowerLetter"/>
      <w:lvlText w:val="%8."/>
      <w:lvlJc w:val="left"/>
      <w:pPr>
        <w:ind w:left="6978" w:hanging="360"/>
      </w:pPr>
    </w:lvl>
    <w:lvl w:ilvl="8" w:tplc="0415001B" w:tentative="1">
      <w:start w:val="1"/>
      <w:numFmt w:val="lowerRoman"/>
      <w:lvlText w:val="%9."/>
      <w:lvlJc w:val="right"/>
      <w:pPr>
        <w:ind w:left="7698" w:hanging="180"/>
      </w:pPr>
    </w:lvl>
  </w:abstractNum>
  <w:abstractNum w:abstractNumId="62" w15:restartNumberingAfterBreak="0">
    <w:nsid w:val="3AAF1E46"/>
    <w:multiLevelType w:val="hybridMultilevel"/>
    <w:tmpl w:val="69F09DF6"/>
    <w:lvl w:ilvl="0" w:tplc="92B6EFF2">
      <w:start w:val="1"/>
      <w:numFmt w:val="lowerLetter"/>
      <w:lvlText w:val="%1)"/>
      <w:lvlJc w:val="left"/>
      <w:pPr>
        <w:ind w:left="1428" w:hanging="360"/>
      </w:pPr>
      <w:rPr>
        <w:rFonts w:cs="Times New Roman" w:hint="default"/>
      </w:rPr>
    </w:lvl>
    <w:lvl w:ilvl="1" w:tplc="0415001B">
      <w:start w:val="1"/>
      <w:numFmt w:val="lowerRoman"/>
      <w:lvlText w:val="%2."/>
      <w:lvlJc w:val="right"/>
      <w:pPr>
        <w:ind w:left="1080" w:hanging="360"/>
      </w:pPr>
    </w:lvl>
    <w:lvl w:ilvl="2" w:tplc="0415001B">
      <w:start w:val="1"/>
      <w:numFmt w:val="lowerRoman"/>
      <w:lvlText w:val="%3."/>
      <w:lvlJc w:val="right"/>
      <w:pPr>
        <w:ind w:left="2868" w:hanging="180"/>
      </w:pPr>
    </w:lvl>
    <w:lvl w:ilvl="3" w:tplc="55527B3A">
      <w:start w:val="1"/>
      <w:numFmt w:val="decimal"/>
      <w:lvlText w:val="%4)"/>
      <w:lvlJc w:val="left"/>
      <w:pPr>
        <w:ind w:left="3738" w:hanging="510"/>
      </w:pPr>
      <w:rPr>
        <w:rFonts w:hint="default"/>
      </w:r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15:restartNumberingAfterBreak="0">
    <w:nsid w:val="3AC601EC"/>
    <w:multiLevelType w:val="hybridMultilevel"/>
    <w:tmpl w:val="D0B0A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B8D548D"/>
    <w:multiLevelType w:val="hybridMultilevel"/>
    <w:tmpl w:val="FD46EB26"/>
    <w:lvl w:ilvl="0" w:tplc="0415001B">
      <w:start w:val="1"/>
      <w:numFmt w:val="lowerRoman"/>
      <w:lvlText w:val="%1."/>
      <w:lvlJc w:val="righ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1B">
      <w:start w:val="1"/>
      <w:numFmt w:val="lowerRoman"/>
      <w:lvlText w:val="%4."/>
      <w:lvlJc w:val="right"/>
      <w:pPr>
        <w:ind w:left="108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5" w15:restartNumberingAfterBreak="0">
    <w:nsid w:val="405414E8"/>
    <w:multiLevelType w:val="hybridMultilevel"/>
    <w:tmpl w:val="5424398E"/>
    <w:lvl w:ilvl="0" w:tplc="5AA62894">
      <w:start w:val="1"/>
      <w:numFmt w:val="decimal"/>
      <w:lvlText w:val="%1."/>
      <w:lvlJc w:val="left"/>
      <w:pPr>
        <w:ind w:left="644" w:hanging="360"/>
      </w:pPr>
      <w:rPr>
        <w:rFonts w:hint="default"/>
        <w:color w:val="2F5496" w:themeColor="accent1" w:themeShade="BF"/>
      </w:rPr>
    </w:lvl>
    <w:lvl w:ilvl="1" w:tplc="1BACEC9A">
      <w:numFmt w:val="bullet"/>
      <w:lvlText w:val="•"/>
      <w:lvlJc w:val="left"/>
      <w:pPr>
        <w:ind w:left="178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0A06CC1"/>
    <w:multiLevelType w:val="hybridMultilevel"/>
    <w:tmpl w:val="AF3C36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181405C"/>
    <w:multiLevelType w:val="hybridMultilevel"/>
    <w:tmpl w:val="BFACA7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8440B2"/>
    <w:multiLevelType w:val="hybridMultilevel"/>
    <w:tmpl w:val="9D3ED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F1008A"/>
    <w:multiLevelType w:val="hybridMultilevel"/>
    <w:tmpl w:val="CBBA5AAE"/>
    <w:lvl w:ilvl="0" w:tplc="4CBC345A">
      <w:start w:val="1"/>
      <w:numFmt w:val="lowerLetter"/>
      <w:lvlText w:val="%1)"/>
      <w:lvlJc w:val="left"/>
      <w:pPr>
        <w:ind w:left="360" w:hanging="360"/>
      </w:pPr>
      <w:rPr>
        <w:b w:val="0"/>
        <w:bCs w:val="0"/>
      </w:rPr>
    </w:lvl>
    <w:lvl w:ilvl="1" w:tplc="0415001B">
      <w:start w:val="1"/>
      <w:numFmt w:val="lowerRoman"/>
      <w:lvlText w:val="%2."/>
      <w:lvlJc w:val="righ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46A86EA5"/>
    <w:multiLevelType w:val="hybridMultilevel"/>
    <w:tmpl w:val="0E902C38"/>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7E71D73"/>
    <w:multiLevelType w:val="hybridMultilevel"/>
    <w:tmpl w:val="2FFC2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8147634"/>
    <w:multiLevelType w:val="hybridMultilevel"/>
    <w:tmpl w:val="EE188DA8"/>
    <w:lvl w:ilvl="0" w:tplc="D86C2492">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88C5A8C"/>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4B9E3175"/>
    <w:multiLevelType w:val="hybridMultilevel"/>
    <w:tmpl w:val="EEA607F8"/>
    <w:lvl w:ilvl="0" w:tplc="685AC1FA">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D61081"/>
    <w:multiLevelType w:val="multilevel"/>
    <w:tmpl w:val="D11471B2"/>
    <w:lvl w:ilvl="0">
      <w:start w:val="94"/>
      <w:numFmt w:val="decimal"/>
      <w:lvlText w:val="%1."/>
      <w:lvlJc w:val="left"/>
      <w:pPr>
        <w:ind w:left="375" w:hanging="375"/>
      </w:pPr>
      <w:rPr>
        <w:rFonts w:hint="default"/>
        <w:b/>
        <w:color w:val="005FFF"/>
        <w:sz w:val="32"/>
        <w:szCs w:val="32"/>
      </w:rPr>
    </w:lvl>
    <w:lvl w:ilvl="1">
      <w:start w:val="1"/>
      <w:numFmt w:val="decimal"/>
      <w:lvlText w:val="%1.%2."/>
      <w:lvlJc w:val="left"/>
      <w:pPr>
        <w:ind w:left="1145" w:hanging="153"/>
      </w:pPr>
      <w:rPr>
        <w:rFonts w:hint="default"/>
        <w:i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6" w15:restartNumberingAfterBreak="0">
    <w:nsid w:val="4C121E64"/>
    <w:multiLevelType w:val="hybridMultilevel"/>
    <w:tmpl w:val="9E9E80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574327"/>
    <w:multiLevelType w:val="multilevel"/>
    <w:tmpl w:val="532633F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5.3.%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8" w15:restartNumberingAfterBreak="0">
    <w:nsid w:val="4E461E8C"/>
    <w:multiLevelType w:val="multilevel"/>
    <w:tmpl w:val="EDE05BF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53220798"/>
    <w:multiLevelType w:val="hybridMultilevel"/>
    <w:tmpl w:val="F48066D8"/>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6C45E70"/>
    <w:multiLevelType w:val="multilevel"/>
    <w:tmpl w:val="94560C2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57620CC3"/>
    <w:multiLevelType w:val="multilevel"/>
    <w:tmpl w:val="7BF00794"/>
    <w:lvl w:ilvl="0">
      <w:start w:val="9"/>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576E67CC"/>
    <w:multiLevelType w:val="hybridMultilevel"/>
    <w:tmpl w:val="4A9A6252"/>
    <w:lvl w:ilvl="0" w:tplc="04150011">
      <w:start w:val="1"/>
      <w:numFmt w:val="decimal"/>
      <w:lvlText w:val="%1)"/>
      <w:lvlJc w:val="left"/>
      <w:pPr>
        <w:ind w:left="720" w:hanging="360"/>
      </w:pPr>
    </w:lvl>
    <w:lvl w:ilvl="1" w:tplc="C1EACFCC">
      <w:start w:val="1"/>
      <w:numFmt w:val="decimal"/>
      <w:lvlText w:val="%2)"/>
      <w:lvlJc w:val="left"/>
      <w:pPr>
        <w:ind w:left="794"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8CC5BF0"/>
    <w:multiLevelType w:val="hybridMultilevel"/>
    <w:tmpl w:val="83864C96"/>
    <w:lvl w:ilvl="0" w:tplc="375E9798">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071048"/>
    <w:multiLevelType w:val="multilevel"/>
    <w:tmpl w:val="1B0A931E"/>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A495A4A"/>
    <w:multiLevelType w:val="hybridMultilevel"/>
    <w:tmpl w:val="8AB0F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AE4234D"/>
    <w:multiLevelType w:val="hybridMultilevel"/>
    <w:tmpl w:val="D10EC34C"/>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BCB5246"/>
    <w:multiLevelType w:val="hybridMultilevel"/>
    <w:tmpl w:val="0380B2F2"/>
    <w:lvl w:ilvl="0" w:tplc="685AC1FA">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D41DDE"/>
    <w:multiLevelType w:val="hybridMultilevel"/>
    <w:tmpl w:val="B1D4C3A8"/>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5E2C7F87"/>
    <w:multiLevelType w:val="hybridMultilevel"/>
    <w:tmpl w:val="478AD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D976FC"/>
    <w:multiLevelType w:val="hybridMultilevel"/>
    <w:tmpl w:val="0BE23ADC"/>
    <w:lvl w:ilvl="0" w:tplc="04150017">
      <w:start w:val="1"/>
      <w:numFmt w:val="lowerLetter"/>
      <w:lvlText w:val="%1)"/>
      <w:lvlJc w:val="left"/>
      <w:pPr>
        <w:ind w:left="1068" w:hanging="360"/>
      </w:pPr>
    </w:lvl>
    <w:lvl w:ilvl="1" w:tplc="F5B6E2D8">
      <w:start w:val="1"/>
      <w:numFmt w:val="decimal"/>
      <w:lvlText w:val="%2)"/>
      <w:lvlJc w:val="left"/>
      <w:pPr>
        <w:ind w:left="794" w:hanging="34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606C64D3"/>
    <w:multiLevelType w:val="hybridMultilevel"/>
    <w:tmpl w:val="7960F628"/>
    <w:lvl w:ilvl="0" w:tplc="C6763A8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61BB0E73"/>
    <w:multiLevelType w:val="hybridMultilevel"/>
    <w:tmpl w:val="EFD6894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2C43599"/>
    <w:multiLevelType w:val="multilevel"/>
    <w:tmpl w:val="B76AEFF0"/>
    <w:lvl w:ilvl="0">
      <w:start w:val="5"/>
      <w:numFmt w:val="decimal"/>
      <w:lvlText w:val="%1"/>
      <w:lvlJc w:val="left"/>
      <w:pPr>
        <w:ind w:left="360" w:hanging="360"/>
      </w:pPr>
      <w:rPr>
        <w:rFonts w:hint="default"/>
        <w:sz w:val="28"/>
      </w:rPr>
    </w:lvl>
    <w:lvl w:ilvl="1">
      <w:start w:val="3"/>
      <w:numFmt w:val="decimal"/>
      <w:lvlText w:val="%1.%2"/>
      <w:lvlJc w:val="left"/>
      <w:pPr>
        <w:ind w:left="360" w:hanging="36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94" w15:restartNumberingAfterBreak="0">
    <w:nsid w:val="630D4192"/>
    <w:multiLevelType w:val="hybridMultilevel"/>
    <w:tmpl w:val="D396BA5C"/>
    <w:lvl w:ilvl="0" w:tplc="FFFFFFFF">
      <w:start w:val="1"/>
      <w:numFmt w:val="lowerRoman"/>
      <w:lvlText w:val="%1."/>
      <w:lvlJc w:val="right"/>
      <w:pPr>
        <w:ind w:left="1230" w:hanging="360"/>
      </w:pPr>
    </w:lvl>
    <w:lvl w:ilvl="1" w:tplc="E0744922">
      <w:start w:val="1"/>
      <w:numFmt w:val="decimal"/>
      <w:lvlText w:val="%2)"/>
      <w:lvlJc w:val="left"/>
      <w:pPr>
        <w:ind w:left="1950" w:hanging="360"/>
      </w:pPr>
      <w:rPr>
        <w:rFonts w:hint="default"/>
      </w:rPr>
    </w:lvl>
    <w:lvl w:ilvl="2" w:tplc="FFFFFFFF" w:tentative="1">
      <w:start w:val="1"/>
      <w:numFmt w:val="lowerRoman"/>
      <w:lvlText w:val="%3."/>
      <w:lvlJc w:val="right"/>
      <w:pPr>
        <w:ind w:left="2670" w:hanging="180"/>
      </w:pPr>
    </w:lvl>
    <w:lvl w:ilvl="3" w:tplc="0415001B">
      <w:start w:val="1"/>
      <w:numFmt w:val="lowerRoman"/>
      <w:lvlText w:val="%4."/>
      <w:lvlJc w:val="right"/>
      <w:pPr>
        <w:ind w:left="108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95" w15:restartNumberingAfterBreak="0">
    <w:nsid w:val="63690310"/>
    <w:multiLevelType w:val="hybridMultilevel"/>
    <w:tmpl w:val="378697CE"/>
    <w:lvl w:ilvl="0" w:tplc="3266C74C">
      <w:start w:val="1"/>
      <w:numFmt w:val="decimal"/>
      <w:lvlText w:val="%1."/>
      <w:lvlJc w:val="left"/>
      <w:pPr>
        <w:ind w:left="720" w:hanging="360"/>
      </w:pPr>
      <w:rPr>
        <w:rFonts w:ascii="Arial" w:hAnsi="Arial" w:cs="Aria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D039BA"/>
    <w:multiLevelType w:val="hybridMultilevel"/>
    <w:tmpl w:val="AC744DE2"/>
    <w:lvl w:ilvl="0" w:tplc="A7AE51EE">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CE37CA"/>
    <w:multiLevelType w:val="hybridMultilevel"/>
    <w:tmpl w:val="DCAA0F78"/>
    <w:lvl w:ilvl="0" w:tplc="FF168F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7A855AA"/>
    <w:multiLevelType w:val="hybridMultilevel"/>
    <w:tmpl w:val="338854FA"/>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572E14C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7B140C7"/>
    <w:multiLevelType w:val="multilevel"/>
    <w:tmpl w:val="57920002"/>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681C3EF4"/>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1" w15:restartNumberingAfterBreak="0">
    <w:nsid w:val="690C32EA"/>
    <w:multiLevelType w:val="hybridMultilevel"/>
    <w:tmpl w:val="F48066D8"/>
    <w:lvl w:ilvl="0" w:tplc="FFFFFFFF">
      <w:start w:val="1"/>
      <w:numFmt w:val="decimal"/>
      <w:lvlText w:val="9.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9861030"/>
    <w:multiLevelType w:val="hybridMultilevel"/>
    <w:tmpl w:val="7D860F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9EC45B2"/>
    <w:multiLevelType w:val="hybridMultilevel"/>
    <w:tmpl w:val="8D0EBD4C"/>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6A905CCC"/>
    <w:multiLevelType w:val="hybridMultilevel"/>
    <w:tmpl w:val="AE322C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A9B0598"/>
    <w:multiLevelType w:val="hybridMultilevel"/>
    <w:tmpl w:val="A288E52A"/>
    <w:lvl w:ilvl="0" w:tplc="0415001B">
      <w:start w:val="1"/>
      <w:numFmt w:val="lowerRoman"/>
      <w:lvlText w:val="%1."/>
      <w:lvlJc w:val="right"/>
      <w:pPr>
        <w:ind w:left="1480" w:hanging="360"/>
      </w:pPr>
      <w:rPr>
        <w:rFonts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106" w15:restartNumberingAfterBreak="0">
    <w:nsid w:val="6CA55617"/>
    <w:multiLevelType w:val="hybridMultilevel"/>
    <w:tmpl w:val="BC4AE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F82159"/>
    <w:multiLevelType w:val="hybridMultilevel"/>
    <w:tmpl w:val="0AD4BD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6FF7338F"/>
    <w:multiLevelType w:val="hybridMultilevel"/>
    <w:tmpl w:val="59A6B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2087E04"/>
    <w:multiLevelType w:val="hybridMultilevel"/>
    <w:tmpl w:val="100278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45B0D93"/>
    <w:multiLevelType w:val="hybridMultilevel"/>
    <w:tmpl w:val="D632B620"/>
    <w:lvl w:ilvl="0" w:tplc="04150017">
      <w:start w:val="1"/>
      <w:numFmt w:val="lowerLetter"/>
      <w:lvlText w:val="%1)"/>
      <w:lvlJc w:val="left"/>
      <w:pPr>
        <w:ind w:left="720" w:hanging="360"/>
      </w:pPr>
    </w:lvl>
    <w:lvl w:ilvl="1" w:tplc="04150017">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4BA473A"/>
    <w:multiLevelType w:val="multilevel"/>
    <w:tmpl w:val="673CCDAC"/>
    <w:lvl w:ilvl="0">
      <w:start w:val="3"/>
      <w:numFmt w:val="decimal"/>
      <w:lvlText w:val="%1."/>
      <w:lvlJc w:val="left"/>
      <w:pPr>
        <w:ind w:left="540" w:hanging="540"/>
      </w:pPr>
      <w:rPr>
        <w:rFonts w:ascii="Arial" w:hAnsi="Arial" w:cs="Arial" w:hint="default"/>
        <w:b/>
        <w:sz w:val="22"/>
      </w:rPr>
    </w:lvl>
    <w:lvl w:ilvl="1">
      <w:start w:val="3"/>
      <w:numFmt w:val="decimal"/>
      <w:lvlText w:val="%1.%2."/>
      <w:lvlJc w:val="left"/>
      <w:pPr>
        <w:ind w:left="1080" w:hanging="540"/>
      </w:pPr>
      <w:rPr>
        <w:rFonts w:ascii="Arial" w:hAnsi="Arial" w:cs="Arial" w:hint="default"/>
        <w:b/>
        <w:sz w:val="22"/>
      </w:rPr>
    </w:lvl>
    <w:lvl w:ilvl="2">
      <w:start w:val="4"/>
      <w:numFmt w:val="decimal"/>
      <w:lvlText w:val="%1.%2.%3."/>
      <w:lvlJc w:val="left"/>
      <w:pPr>
        <w:ind w:left="1800" w:hanging="720"/>
      </w:pPr>
      <w:rPr>
        <w:rFonts w:ascii="Arial" w:hAnsi="Arial" w:cs="Arial" w:hint="default"/>
        <w:b/>
        <w:sz w:val="22"/>
      </w:rPr>
    </w:lvl>
    <w:lvl w:ilvl="3">
      <w:start w:val="1"/>
      <w:numFmt w:val="decimal"/>
      <w:lvlText w:val="%1.%2.%3.%4."/>
      <w:lvlJc w:val="left"/>
      <w:pPr>
        <w:ind w:left="2340" w:hanging="720"/>
      </w:pPr>
      <w:rPr>
        <w:rFonts w:ascii="Arial" w:hAnsi="Arial" w:cs="Arial" w:hint="default"/>
        <w:b/>
        <w:sz w:val="22"/>
      </w:rPr>
    </w:lvl>
    <w:lvl w:ilvl="4">
      <w:start w:val="1"/>
      <w:numFmt w:val="decimal"/>
      <w:lvlText w:val="%1.%2.%3.%4.%5."/>
      <w:lvlJc w:val="left"/>
      <w:pPr>
        <w:ind w:left="3240" w:hanging="1080"/>
      </w:pPr>
      <w:rPr>
        <w:rFonts w:ascii="Arial" w:hAnsi="Arial" w:cs="Arial" w:hint="default"/>
        <w:b/>
        <w:sz w:val="22"/>
      </w:rPr>
    </w:lvl>
    <w:lvl w:ilvl="5">
      <w:start w:val="1"/>
      <w:numFmt w:val="decimal"/>
      <w:lvlText w:val="%1.%2.%3.%4.%5.%6."/>
      <w:lvlJc w:val="left"/>
      <w:pPr>
        <w:ind w:left="3780" w:hanging="1080"/>
      </w:pPr>
      <w:rPr>
        <w:rFonts w:ascii="Arial" w:hAnsi="Arial" w:cs="Arial" w:hint="default"/>
        <w:b/>
        <w:sz w:val="22"/>
      </w:rPr>
    </w:lvl>
    <w:lvl w:ilvl="6">
      <w:start w:val="1"/>
      <w:numFmt w:val="decimal"/>
      <w:lvlText w:val="%1.%2.%3.%4.%5.%6.%7."/>
      <w:lvlJc w:val="left"/>
      <w:pPr>
        <w:ind w:left="4680" w:hanging="1440"/>
      </w:pPr>
      <w:rPr>
        <w:rFonts w:ascii="Arial" w:hAnsi="Arial" w:cs="Arial" w:hint="default"/>
        <w:b/>
        <w:sz w:val="22"/>
      </w:rPr>
    </w:lvl>
    <w:lvl w:ilvl="7">
      <w:start w:val="1"/>
      <w:numFmt w:val="decimal"/>
      <w:lvlText w:val="%1.%2.%3.%4.%5.%6.%7.%8."/>
      <w:lvlJc w:val="left"/>
      <w:pPr>
        <w:ind w:left="5220" w:hanging="1440"/>
      </w:pPr>
      <w:rPr>
        <w:rFonts w:ascii="Arial" w:hAnsi="Arial" w:cs="Arial" w:hint="default"/>
        <w:b/>
        <w:sz w:val="22"/>
      </w:rPr>
    </w:lvl>
    <w:lvl w:ilvl="8">
      <w:start w:val="1"/>
      <w:numFmt w:val="decimal"/>
      <w:lvlText w:val="%1.%2.%3.%4.%5.%6.%7.%8.%9."/>
      <w:lvlJc w:val="left"/>
      <w:pPr>
        <w:ind w:left="6120" w:hanging="1800"/>
      </w:pPr>
      <w:rPr>
        <w:rFonts w:ascii="Arial" w:hAnsi="Arial" w:cs="Arial" w:hint="default"/>
        <w:b/>
        <w:sz w:val="22"/>
      </w:rPr>
    </w:lvl>
  </w:abstractNum>
  <w:abstractNum w:abstractNumId="112" w15:restartNumberingAfterBreak="0">
    <w:nsid w:val="74D30F27"/>
    <w:multiLevelType w:val="hybridMultilevel"/>
    <w:tmpl w:val="E0CEB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54074F2"/>
    <w:multiLevelType w:val="hybridMultilevel"/>
    <w:tmpl w:val="75141724"/>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5F04E0D"/>
    <w:multiLevelType w:val="multilevel"/>
    <w:tmpl w:val="07407C5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5D696B"/>
    <w:multiLevelType w:val="hybridMultilevel"/>
    <w:tmpl w:val="DA080C88"/>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A236C7E"/>
    <w:multiLevelType w:val="hybridMultilevel"/>
    <w:tmpl w:val="D8D4C3A2"/>
    <w:lvl w:ilvl="0" w:tplc="625AAAD8">
      <w:start w:val="9"/>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ACA7ACA"/>
    <w:multiLevelType w:val="hybridMultilevel"/>
    <w:tmpl w:val="52EEE818"/>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6742EDBA">
      <w:start w:val="6"/>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AD92DE9"/>
    <w:multiLevelType w:val="hybridMultilevel"/>
    <w:tmpl w:val="478AD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D0166A4"/>
    <w:multiLevelType w:val="hybridMultilevel"/>
    <w:tmpl w:val="D86EA2F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0" w15:restartNumberingAfterBreak="0">
    <w:nsid w:val="7EE43A3F"/>
    <w:multiLevelType w:val="hybridMultilevel"/>
    <w:tmpl w:val="E2C64E08"/>
    <w:lvl w:ilvl="0" w:tplc="FFFFFFFF">
      <w:start w:val="1"/>
      <w:numFmt w:val="decimal"/>
      <w:lvlText w:val="5.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F135D3B"/>
    <w:multiLevelType w:val="hybridMultilevel"/>
    <w:tmpl w:val="B83EC95E"/>
    <w:lvl w:ilvl="0" w:tplc="04150017">
      <w:start w:val="1"/>
      <w:numFmt w:val="lowerLetter"/>
      <w:lvlText w:val="%1)"/>
      <w:lvlJc w:val="left"/>
      <w:pPr>
        <w:ind w:left="720" w:hanging="360"/>
      </w:pPr>
      <w:rPr>
        <w:rFonts w:hint="default"/>
      </w:rPr>
    </w:lvl>
    <w:lvl w:ilvl="1" w:tplc="B82AA2F2">
      <w:start w:val="1"/>
      <w:numFmt w:val="lowerRoman"/>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F7F6CDA"/>
    <w:multiLevelType w:val="hybridMultilevel"/>
    <w:tmpl w:val="F8ECF73A"/>
    <w:lvl w:ilvl="0" w:tplc="FFFFFFFF">
      <w:start w:val="1"/>
      <w:numFmt w:val="lowerLetter"/>
      <w:lvlText w:val="%1)"/>
      <w:lvlJc w:val="left"/>
      <w:pPr>
        <w:ind w:left="360" w:hanging="360"/>
      </w:pPr>
    </w:lvl>
    <w:lvl w:ilvl="1" w:tplc="0415001B">
      <w:start w:val="1"/>
      <w:numFmt w:val="lowerRoman"/>
      <w:lvlText w:val="%2."/>
      <w:lvlJc w:val="right"/>
      <w:pPr>
        <w:ind w:left="6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74224051">
    <w:abstractNumId w:val="36"/>
  </w:num>
  <w:num w:numId="2" w16cid:durableId="470171809">
    <w:abstractNumId w:val="44"/>
  </w:num>
  <w:num w:numId="3" w16cid:durableId="1916015019">
    <w:abstractNumId w:val="68"/>
  </w:num>
  <w:num w:numId="4" w16cid:durableId="144859185">
    <w:abstractNumId w:val="103"/>
  </w:num>
  <w:num w:numId="5" w16cid:durableId="791631812">
    <w:abstractNumId w:val="69"/>
  </w:num>
  <w:num w:numId="6" w16cid:durableId="1941257861">
    <w:abstractNumId w:val="25"/>
  </w:num>
  <w:num w:numId="7" w16cid:durableId="1756055368">
    <w:abstractNumId w:val="0"/>
  </w:num>
  <w:num w:numId="8" w16cid:durableId="1684697498">
    <w:abstractNumId w:val="4"/>
  </w:num>
  <w:num w:numId="9" w16cid:durableId="1843203697">
    <w:abstractNumId w:val="91"/>
  </w:num>
  <w:num w:numId="10" w16cid:durableId="937564256">
    <w:abstractNumId w:val="96"/>
  </w:num>
  <w:num w:numId="11" w16cid:durableId="1531994613">
    <w:abstractNumId w:val="3"/>
  </w:num>
  <w:num w:numId="12" w16cid:durableId="1353992672">
    <w:abstractNumId w:val="110"/>
  </w:num>
  <w:num w:numId="13" w16cid:durableId="2047245004">
    <w:abstractNumId w:val="98"/>
  </w:num>
  <w:num w:numId="14" w16cid:durableId="1025986272">
    <w:abstractNumId w:val="82"/>
  </w:num>
  <w:num w:numId="15" w16cid:durableId="1605386113">
    <w:abstractNumId w:val="90"/>
  </w:num>
  <w:num w:numId="16" w16cid:durableId="1763070020">
    <w:abstractNumId w:val="117"/>
  </w:num>
  <w:num w:numId="17" w16cid:durableId="413942243">
    <w:abstractNumId w:val="53"/>
  </w:num>
  <w:num w:numId="18" w16cid:durableId="630404811">
    <w:abstractNumId w:val="115"/>
  </w:num>
  <w:num w:numId="19" w16cid:durableId="2124153815">
    <w:abstractNumId w:val="100"/>
  </w:num>
  <w:num w:numId="20" w16cid:durableId="1575772755">
    <w:abstractNumId w:val="46"/>
  </w:num>
  <w:num w:numId="21" w16cid:durableId="1092817713">
    <w:abstractNumId w:val="14"/>
  </w:num>
  <w:num w:numId="22" w16cid:durableId="919288575">
    <w:abstractNumId w:val="32"/>
  </w:num>
  <w:num w:numId="23" w16cid:durableId="1798450003">
    <w:abstractNumId w:val="121"/>
  </w:num>
  <w:num w:numId="24" w16cid:durableId="1939826227">
    <w:abstractNumId w:val="73"/>
  </w:num>
  <w:num w:numId="25" w16cid:durableId="1307394954">
    <w:abstractNumId w:val="24"/>
  </w:num>
  <w:num w:numId="26" w16cid:durableId="1634020810">
    <w:abstractNumId w:val="88"/>
  </w:num>
  <w:num w:numId="27" w16cid:durableId="1126317580">
    <w:abstractNumId w:val="109"/>
  </w:num>
  <w:num w:numId="28" w16cid:durableId="852299660">
    <w:abstractNumId w:val="102"/>
  </w:num>
  <w:num w:numId="29" w16cid:durableId="220219216">
    <w:abstractNumId w:val="57"/>
  </w:num>
  <w:num w:numId="30" w16cid:durableId="1346907931">
    <w:abstractNumId w:val="30"/>
  </w:num>
  <w:num w:numId="31" w16cid:durableId="104547260">
    <w:abstractNumId w:val="40"/>
  </w:num>
  <w:num w:numId="32" w16cid:durableId="656999420">
    <w:abstractNumId w:val="67"/>
  </w:num>
  <w:num w:numId="33" w16cid:durableId="2013988211">
    <w:abstractNumId w:val="76"/>
  </w:num>
  <w:num w:numId="34" w16cid:durableId="1091925751">
    <w:abstractNumId w:val="38"/>
  </w:num>
  <w:num w:numId="35" w16cid:durableId="771708777">
    <w:abstractNumId w:val="22"/>
  </w:num>
  <w:num w:numId="36" w16cid:durableId="460467160">
    <w:abstractNumId w:val="113"/>
  </w:num>
  <w:num w:numId="37" w16cid:durableId="187455662">
    <w:abstractNumId w:val="37"/>
  </w:num>
  <w:num w:numId="38" w16cid:durableId="1447774944">
    <w:abstractNumId w:val="78"/>
  </w:num>
  <w:num w:numId="39" w16cid:durableId="1130126483">
    <w:abstractNumId w:val="80"/>
  </w:num>
  <w:num w:numId="40" w16cid:durableId="1779989418">
    <w:abstractNumId w:val="5"/>
  </w:num>
  <w:num w:numId="41" w16cid:durableId="1098990620">
    <w:abstractNumId w:val="18"/>
  </w:num>
  <w:num w:numId="42" w16cid:durableId="1034036638">
    <w:abstractNumId w:val="97"/>
  </w:num>
  <w:num w:numId="43" w16cid:durableId="17583903">
    <w:abstractNumId w:val="116"/>
  </w:num>
  <w:num w:numId="44" w16cid:durableId="1628581161">
    <w:abstractNumId w:val="104"/>
  </w:num>
  <w:num w:numId="45" w16cid:durableId="1384794592">
    <w:abstractNumId w:val="62"/>
  </w:num>
  <w:num w:numId="46" w16cid:durableId="1814056379">
    <w:abstractNumId w:val="119"/>
  </w:num>
  <w:num w:numId="47" w16cid:durableId="609819009">
    <w:abstractNumId w:val="64"/>
  </w:num>
  <w:num w:numId="48" w16cid:durableId="878785523">
    <w:abstractNumId w:val="61"/>
  </w:num>
  <w:num w:numId="49" w16cid:durableId="163981327">
    <w:abstractNumId w:val="20"/>
  </w:num>
  <w:num w:numId="50" w16cid:durableId="873035036">
    <w:abstractNumId w:val="2"/>
  </w:num>
  <w:num w:numId="51" w16cid:durableId="1891265774">
    <w:abstractNumId w:val="71"/>
  </w:num>
  <w:num w:numId="52" w16cid:durableId="1218738454">
    <w:abstractNumId w:val="1"/>
  </w:num>
  <w:num w:numId="53" w16cid:durableId="917011486">
    <w:abstractNumId w:val="94"/>
  </w:num>
  <w:num w:numId="54" w16cid:durableId="42944265">
    <w:abstractNumId w:val="122"/>
  </w:num>
  <w:num w:numId="55" w16cid:durableId="1682049085">
    <w:abstractNumId w:val="108"/>
  </w:num>
  <w:num w:numId="56" w16cid:durableId="1737893601">
    <w:abstractNumId w:val="28"/>
  </w:num>
  <w:num w:numId="57" w16cid:durableId="896403510">
    <w:abstractNumId w:val="48"/>
  </w:num>
  <w:num w:numId="58" w16cid:durableId="1221673661">
    <w:abstractNumId w:val="12"/>
  </w:num>
  <w:num w:numId="59" w16cid:durableId="2059931227">
    <w:abstractNumId w:val="93"/>
  </w:num>
  <w:num w:numId="60" w16cid:durableId="1792092391">
    <w:abstractNumId w:val="39"/>
  </w:num>
  <w:num w:numId="61" w16cid:durableId="898057724">
    <w:abstractNumId w:val="47"/>
  </w:num>
  <w:num w:numId="62" w16cid:durableId="1050617739">
    <w:abstractNumId w:val="95"/>
  </w:num>
  <w:num w:numId="63" w16cid:durableId="2104034450">
    <w:abstractNumId w:val="59"/>
  </w:num>
  <w:num w:numId="64" w16cid:durableId="449280297">
    <w:abstractNumId w:val="6"/>
  </w:num>
  <w:num w:numId="65" w16cid:durableId="1291596856">
    <w:abstractNumId w:val="21"/>
  </w:num>
  <w:num w:numId="66" w16cid:durableId="467624640">
    <w:abstractNumId w:val="52"/>
  </w:num>
  <w:num w:numId="67" w16cid:durableId="367334404">
    <w:abstractNumId w:val="92"/>
  </w:num>
  <w:num w:numId="68" w16cid:durableId="1938561788">
    <w:abstractNumId w:val="29"/>
  </w:num>
  <w:num w:numId="69" w16cid:durableId="1728188088">
    <w:abstractNumId w:val="49"/>
  </w:num>
  <w:num w:numId="70" w16cid:durableId="1439910704">
    <w:abstractNumId w:val="65"/>
  </w:num>
  <w:num w:numId="71" w16cid:durableId="1473793447">
    <w:abstractNumId w:val="9"/>
  </w:num>
  <w:num w:numId="72" w16cid:durableId="1041443309">
    <w:abstractNumId w:val="72"/>
  </w:num>
  <w:num w:numId="73" w16cid:durableId="1286930862">
    <w:abstractNumId w:val="74"/>
  </w:num>
  <w:num w:numId="74" w16cid:durableId="154076649">
    <w:abstractNumId w:val="27"/>
  </w:num>
  <w:num w:numId="75" w16cid:durableId="723606859">
    <w:abstractNumId w:val="56"/>
  </w:num>
  <w:num w:numId="76" w16cid:durableId="1926838213">
    <w:abstractNumId w:val="13"/>
  </w:num>
  <w:num w:numId="77" w16cid:durableId="1435786548">
    <w:abstractNumId w:val="81"/>
  </w:num>
  <w:num w:numId="78" w16cid:durableId="108356395">
    <w:abstractNumId w:val="26"/>
  </w:num>
  <w:num w:numId="79" w16cid:durableId="2061006559">
    <w:abstractNumId w:val="79"/>
  </w:num>
  <w:num w:numId="80" w16cid:durableId="1363166688">
    <w:abstractNumId w:val="101"/>
  </w:num>
  <w:num w:numId="81" w16cid:durableId="1512993393">
    <w:abstractNumId w:val="50"/>
  </w:num>
  <w:num w:numId="82" w16cid:durableId="1642999170">
    <w:abstractNumId w:val="43"/>
  </w:num>
  <w:num w:numId="83" w16cid:durableId="464467525">
    <w:abstractNumId w:val="60"/>
  </w:num>
  <w:num w:numId="84" w16cid:durableId="422453398">
    <w:abstractNumId w:val="31"/>
  </w:num>
  <w:num w:numId="85" w16cid:durableId="10379708">
    <w:abstractNumId w:val="86"/>
  </w:num>
  <w:num w:numId="86" w16cid:durableId="1024401714">
    <w:abstractNumId w:val="70"/>
  </w:num>
  <w:num w:numId="87" w16cid:durableId="1447038537">
    <w:abstractNumId w:val="10"/>
  </w:num>
  <w:num w:numId="88" w16cid:durableId="2092118289">
    <w:abstractNumId w:val="8"/>
  </w:num>
  <w:num w:numId="89" w16cid:durableId="1012687283">
    <w:abstractNumId w:val="15"/>
  </w:num>
  <w:num w:numId="90" w16cid:durableId="1951353201">
    <w:abstractNumId w:val="85"/>
  </w:num>
  <w:num w:numId="91" w16cid:durableId="946959336">
    <w:abstractNumId w:val="77"/>
  </w:num>
  <w:num w:numId="92" w16cid:durableId="1277712577">
    <w:abstractNumId w:val="87"/>
  </w:num>
  <w:num w:numId="93" w16cid:durableId="788622964">
    <w:abstractNumId w:val="33"/>
  </w:num>
  <w:num w:numId="94" w16cid:durableId="226183674">
    <w:abstractNumId w:val="7"/>
  </w:num>
  <w:num w:numId="95" w16cid:durableId="132258655">
    <w:abstractNumId w:val="120"/>
  </w:num>
  <w:num w:numId="96" w16cid:durableId="163741226">
    <w:abstractNumId w:val="83"/>
  </w:num>
  <w:num w:numId="97" w16cid:durableId="1469973245">
    <w:abstractNumId w:val="58"/>
  </w:num>
  <w:num w:numId="98" w16cid:durableId="1904021339">
    <w:abstractNumId w:val="11"/>
  </w:num>
  <w:num w:numId="99" w16cid:durableId="2144107976">
    <w:abstractNumId w:val="114"/>
  </w:num>
  <w:num w:numId="100" w16cid:durableId="2132437730">
    <w:abstractNumId w:val="84"/>
  </w:num>
  <w:num w:numId="101" w16cid:durableId="618997424">
    <w:abstractNumId w:val="35"/>
  </w:num>
  <w:num w:numId="102" w16cid:durableId="1467313011">
    <w:abstractNumId w:val="23"/>
  </w:num>
  <w:num w:numId="103" w16cid:durableId="1646081930">
    <w:abstractNumId w:val="66"/>
  </w:num>
  <w:num w:numId="104" w16cid:durableId="929117148">
    <w:abstractNumId w:val="111"/>
  </w:num>
  <w:num w:numId="105" w16cid:durableId="964119344">
    <w:abstractNumId w:val="34"/>
  </w:num>
  <w:num w:numId="106" w16cid:durableId="782267220">
    <w:abstractNumId w:val="112"/>
  </w:num>
  <w:num w:numId="107" w16cid:durableId="2116514900">
    <w:abstractNumId w:val="42"/>
  </w:num>
  <w:num w:numId="108" w16cid:durableId="472527936">
    <w:abstractNumId w:val="89"/>
  </w:num>
  <w:num w:numId="109" w16cid:durableId="1655723500">
    <w:abstractNumId w:val="118"/>
  </w:num>
  <w:num w:numId="110" w16cid:durableId="2091342627">
    <w:abstractNumId w:val="107"/>
  </w:num>
  <w:num w:numId="111" w16cid:durableId="1287850046">
    <w:abstractNumId w:val="16"/>
  </w:num>
  <w:num w:numId="112" w16cid:durableId="2047439732">
    <w:abstractNumId w:val="45"/>
  </w:num>
  <w:num w:numId="113" w16cid:durableId="1332024529">
    <w:abstractNumId w:val="106"/>
  </w:num>
  <w:num w:numId="114" w16cid:durableId="152181008">
    <w:abstractNumId w:val="63"/>
  </w:num>
  <w:num w:numId="115" w16cid:durableId="1540706072">
    <w:abstractNumId w:val="17"/>
  </w:num>
  <w:num w:numId="116" w16cid:durableId="707027944">
    <w:abstractNumId w:val="99"/>
  </w:num>
  <w:num w:numId="117" w16cid:durableId="269822169">
    <w:abstractNumId w:val="75"/>
  </w:num>
  <w:num w:numId="118" w16cid:durableId="423768840">
    <w:abstractNumId w:val="55"/>
  </w:num>
  <w:num w:numId="119" w16cid:durableId="611326275">
    <w:abstractNumId w:val="105"/>
  </w:num>
  <w:num w:numId="120" w16cid:durableId="847520550">
    <w:abstractNumId w:val="51"/>
  </w:num>
  <w:num w:numId="121" w16cid:durableId="1120223167">
    <w:abstractNumId w:val="19"/>
  </w:num>
  <w:num w:numId="122" w16cid:durableId="1533149459">
    <w:abstractNumId w:val="54"/>
  </w:num>
  <w:num w:numId="123" w16cid:durableId="1262684598">
    <w:abstractNumId w:val="4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26"/>
    <w:rsid w:val="00000B44"/>
    <w:rsid w:val="0000283A"/>
    <w:rsid w:val="00003A56"/>
    <w:rsid w:val="00004A7D"/>
    <w:rsid w:val="00004AB6"/>
    <w:rsid w:val="00004EE1"/>
    <w:rsid w:val="00005CDD"/>
    <w:rsid w:val="00006A12"/>
    <w:rsid w:val="0000740E"/>
    <w:rsid w:val="00007A05"/>
    <w:rsid w:val="00011D27"/>
    <w:rsid w:val="00011E93"/>
    <w:rsid w:val="000125D8"/>
    <w:rsid w:val="000128E6"/>
    <w:rsid w:val="00013409"/>
    <w:rsid w:val="00013C9A"/>
    <w:rsid w:val="00014FBB"/>
    <w:rsid w:val="000153E2"/>
    <w:rsid w:val="0001616D"/>
    <w:rsid w:val="000168B9"/>
    <w:rsid w:val="00016EB3"/>
    <w:rsid w:val="00017A79"/>
    <w:rsid w:val="00017B41"/>
    <w:rsid w:val="00017EF3"/>
    <w:rsid w:val="000209BD"/>
    <w:rsid w:val="00021CE9"/>
    <w:rsid w:val="000227B9"/>
    <w:rsid w:val="00022B75"/>
    <w:rsid w:val="00023731"/>
    <w:rsid w:val="00025764"/>
    <w:rsid w:val="00027921"/>
    <w:rsid w:val="00027A90"/>
    <w:rsid w:val="00027C20"/>
    <w:rsid w:val="000316E4"/>
    <w:rsid w:val="000318FA"/>
    <w:rsid w:val="000322D6"/>
    <w:rsid w:val="00032850"/>
    <w:rsid w:val="00032B0E"/>
    <w:rsid w:val="00034A17"/>
    <w:rsid w:val="0003738B"/>
    <w:rsid w:val="00037464"/>
    <w:rsid w:val="00037B61"/>
    <w:rsid w:val="00040CCD"/>
    <w:rsid w:val="000424AA"/>
    <w:rsid w:val="00042DE7"/>
    <w:rsid w:val="00043D62"/>
    <w:rsid w:val="000441A3"/>
    <w:rsid w:val="00044244"/>
    <w:rsid w:val="000447CC"/>
    <w:rsid w:val="00045B04"/>
    <w:rsid w:val="00045E58"/>
    <w:rsid w:val="00046B26"/>
    <w:rsid w:val="00047C0E"/>
    <w:rsid w:val="00050728"/>
    <w:rsid w:val="00050C47"/>
    <w:rsid w:val="00050F26"/>
    <w:rsid w:val="000515B6"/>
    <w:rsid w:val="0005271F"/>
    <w:rsid w:val="0005323F"/>
    <w:rsid w:val="000535D9"/>
    <w:rsid w:val="000539DF"/>
    <w:rsid w:val="00053C04"/>
    <w:rsid w:val="000540BE"/>
    <w:rsid w:val="00054503"/>
    <w:rsid w:val="00054FAF"/>
    <w:rsid w:val="000564A8"/>
    <w:rsid w:val="00057A95"/>
    <w:rsid w:val="000601E6"/>
    <w:rsid w:val="0006093B"/>
    <w:rsid w:val="0006189C"/>
    <w:rsid w:val="00061C53"/>
    <w:rsid w:val="00062270"/>
    <w:rsid w:val="00062538"/>
    <w:rsid w:val="00062F30"/>
    <w:rsid w:val="00063940"/>
    <w:rsid w:val="00063AF1"/>
    <w:rsid w:val="00064B7C"/>
    <w:rsid w:val="00066E2B"/>
    <w:rsid w:val="00066ED2"/>
    <w:rsid w:val="0006754E"/>
    <w:rsid w:val="00067716"/>
    <w:rsid w:val="000678C8"/>
    <w:rsid w:val="0007028F"/>
    <w:rsid w:val="000703EB"/>
    <w:rsid w:val="000710DE"/>
    <w:rsid w:val="00071C47"/>
    <w:rsid w:val="00072A5D"/>
    <w:rsid w:val="00073720"/>
    <w:rsid w:val="00074E97"/>
    <w:rsid w:val="00074F9A"/>
    <w:rsid w:val="0007539B"/>
    <w:rsid w:val="00075525"/>
    <w:rsid w:val="00075A3F"/>
    <w:rsid w:val="00075D67"/>
    <w:rsid w:val="00080FBF"/>
    <w:rsid w:val="000814E5"/>
    <w:rsid w:val="00081853"/>
    <w:rsid w:val="00083A9C"/>
    <w:rsid w:val="0008460B"/>
    <w:rsid w:val="00084B3C"/>
    <w:rsid w:val="00084B78"/>
    <w:rsid w:val="00084C5D"/>
    <w:rsid w:val="00086902"/>
    <w:rsid w:val="00086993"/>
    <w:rsid w:val="00086E49"/>
    <w:rsid w:val="000872EB"/>
    <w:rsid w:val="000875B2"/>
    <w:rsid w:val="00087835"/>
    <w:rsid w:val="00090848"/>
    <w:rsid w:val="00091230"/>
    <w:rsid w:val="00091243"/>
    <w:rsid w:val="00091286"/>
    <w:rsid w:val="000914DD"/>
    <w:rsid w:val="00091709"/>
    <w:rsid w:val="00091F43"/>
    <w:rsid w:val="00093AAD"/>
    <w:rsid w:val="00093B29"/>
    <w:rsid w:val="00093F76"/>
    <w:rsid w:val="00094562"/>
    <w:rsid w:val="000951BC"/>
    <w:rsid w:val="00095753"/>
    <w:rsid w:val="00095981"/>
    <w:rsid w:val="0009626F"/>
    <w:rsid w:val="00097E47"/>
    <w:rsid w:val="000A0431"/>
    <w:rsid w:val="000A0512"/>
    <w:rsid w:val="000A0BA2"/>
    <w:rsid w:val="000A1A14"/>
    <w:rsid w:val="000A41D7"/>
    <w:rsid w:val="000A429C"/>
    <w:rsid w:val="000A4332"/>
    <w:rsid w:val="000A4490"/>
    <w:rsid w:val="000A454C"/>
    <w:rsid w:val="000A4FD2"/>
    <w:rsid w:val="000A572B"/>
    <w:rsid w:val="000A5D4E"/>
    <w:rsid w:val="000A5FA8"/>
    <w:rsid w:val="000A707E"/>
    <w:rsid w:val="000A7189"/>
    <w:rsid w:val="000B006B"/>
    <w:rsid w:val="000B009C"/>
    <w:rsid w:val="000B0829"/>
    <w:rsid w:val="000B0FE6"/>
    <w:rsid w:val="000B17FE"/>
    <w:rsid w:val="000B1C6B"/>
    <w:rsid w:val="000B3102"/>
    <w:rsid w:val="000B317E"/>
    <w:rsid w:val="000B3282"/>
    <w:rsid w:val="000B4A74"/>
    <w:rsid w:val="000B5326"/>
    <w:rsid w:val="000B5F1F"/>
    <w:rsid w:val="000B5F67"/>
    <w:rsid w:val="000B78E3"/>
    <w:rsid w:val="000B7BD2"/>
    <w:rsid w:val="000B7DF1"/>
    <w:rsid w:val="000C178D"/>
    <w:rsid w:val="000C1B10"/>
    <w:rsid w:val="000C2802"/>
    <w:rsid w:val="000C3373"/>
    <w:rsid w:val="000C44BB"/>
    <w:rsid w:val="000C4B65"/>
    <w:rsid w:val="000C512A"/>
    <w:rsid w:val="000C5A40"/>
    <w:rsid w:val="000C6095"/>
    <w:rsid w:val="000C66C2"/>
    <w:rsid w:val="000C6C59"/>
    <w:rsid w:val="000C7771"/>
    <w:rsid w:val="000D0BD6"/>
    <w:rsid w:val="000D193B"/>
    <w:rsid w:val="000D23FD"/>
    <w:rsid w:val="000D2645"/>
    <w:rsid w:val="000D2EE7"/>
    <w:rsid w:val="000D2F01"/>
    <w:rsid w:val="000D3B88"/>
    <w:rsid w:val="000D3DCF"/>
    <w:rsid w:val="000D4335"/>
    <w:rsid w:val="000D4413"/>
    <w:rsid w:val="000D54E2"/>
    <w:rsid w:val="000D5967"/>
    <w:rsid w:val="000D59F0"/>
    <w:rsid w:val="000D79B4"/>
    <w:rsid w:val="000E0188"/>
    <w:rsid w:val="000E05F4"/>
    <w:rsid w:val="000E11E5"/>
    <w:rsid w:val="000E132E"/>
    <w:rsid w:val="000E2065"/>
    <w:rsid w:val="000E28A1"/>
    <w:rsid w:val="000E41BD"/>
    <w:rsid w:val="000E537E"/>
    <w:rsid w:val="000E5E85"/>
    <w:rsid w:val="000E5FF8"/>
    <w:rsid w:val="000E6F3F"/>
    <w:rsid w:val="000E71CC"/>
    <w:rsid w:val="000E7492"/>
    <w:rsid w:val="000E7A52"/>
    <w:rsid w:val="000E7D76"/>
    <w:rsid w:val="000F0BE8"/>
    <w:rsid w:val="000F1810"/>
    <w:rsid w:val="000F1863"/>
    <w:rsid w:val="000F2AFA"/>
    <w:rsid w:val="000F319B"/>
    <w:rsid w:val="000F5675"/>
    <w:rsid w:val="000F5AC0"/>
    <w:rsid w:val="000F617A"/>
    <w:rsid w:val="001003DF"/>
    <w:rsid w:val="001008D5"/>
    <w:rsid w:val="00100C06"/>
    <w:rsid w:val="00100D51"/>
    <w:rsid w:val="001015F5"/>
    <w:rsid w:val="001020BB"/>
    <w:rsid w:val="0010269C"/>
    <w:rsid w:val="00103C6B"/>
    <w:rsid w:val="00103DFC"/>
    <w:rsid w:val="00107806"/>
    <w:rsid w:val="001078B1"/>
    <w:rsid w:val="00107F9E"/>
    <w:rsid w:val="001102BB"/>
    <w:rsid w:val="00110755"/>
    <w:rsid w:val="00110C80"/>
    <w:rsid w:val="00111204"/>
    <w:rsid w:val="00111478"/>
    <w:rsid w:val="00112DD7"/>
    <w:rsid w:val="0011310F"/>
    <w:rsid w:val="0011370B"/>
    <w:rsid w:val="00113945"/>
    <w:rsid w:val="00114A7C"/>
    <w:rsid w:val="00114B62"/>
    <w:rsid w:val="00114E7E"/>
    <w:rsid w:val="00116254"/>
    <w:rsid w:val="001167F7"/>
    <w:rsid w:val="001207CB"/>
    <w:rsid w:val="00120F14"/>
    <w:rsid w:val="00121646"/>
    <w:rsid w:val="00121B80"/>
    <w:rsid w:val="00121B8C"/>
    <w:rsid w:val="0012269D"/>
    <w:rsid w:val="001235E1"/>
    <w:rsid w:val="00125D2F"/>
    <w:rsid w:val="00126073"/>
    <w:rsid w:val="00126976"/>
    <w:rsid w:val="0012780A"/>
    <w:rsid w:val="00131465"/>
    <w:rsid w:val="0013195D"/>
    <w:rsid w:val="00131B84"/>
    <w:rsid w:val="00132D80"/>
    <w:rsid w:val="001357F3"/>
    <w:rsid w:val="00135EA3"/>
    <w:rsid w:val="001408E0"/>
    <w:rsid w:val="001409B8"/>
    <w:rsid w:val="00141420"/>
    <w:rsid w:val="00141B5C"/>
    <w:rsid w:val="00141E47"/>
    <w:rsid w:val="0014206D"/>
    <w:rsid w:val="00142172"/>
    <w:rsid w:val="00143570"/>
    <w:rsid w:val="0014367D"/>
    <w:rsid w:val="00143BCC"/>
    <w:rsid w:val="00143D2F"/>
    <w:rsid w:val="00144039"/>
    <w:rsid w:val="00144301"/>
    <w:rsid w:val="00145089"/>
    <w:rsid w:val="001469C5"/>
    <w:rsid w:val="00147093"/>
    <w:rsid w:val="001474BE"/>
    <w:rsid w:val="00147C2C"/>
    <w:rsid w:val="00147FB5"/>
    <w:rsid w:val="00150720"/>
    <w:rsid w:val="001510E6"/>
    <w:rsid w:val="0015116D"/>
    <w:rsid w:val="00151AC4"/>
    <w:rsid w:val="001536FF"/>
    <w:rsid w:val="00154256"/>
    <w:rsid w:val="00155CD5"/>
    <w:rsid w:val="00156927"/>
    <w:rsid w:val="001577DB"/>
    <w:rsid w:val="00160D57"/>
    <w:rsid w:val="001616EC"/>
    <w:rsid w:val="00161B6E"/>
    <w:rsid w:val="00162ABB"/>
    <w:rsid w:val="00162B12"/>
    <w:rsid w:val="0016400A"/>
    <w:rsid w:val="001642BC"/>
    <w:rsid w:val="001647A7"/>
    <w:rsid w:val="00164977"/>
    <w:rsid w:val="00164B56"/>
    <w:rsid w:val="00164FC1"/>
    <w:rsid w:val="00165942"/>
    <w:rsid w:val="00165E4B"/>
    <w:rsid w:val="001660D4"/>
    <w:rsid w:val="0016644D"/>
    <w:rsid w:val="00166552"/>
    <w:rsid w:val="001665EB"/>
    <w:rsid w:val="001672B8"/>
    <w:rsid w:val="00167516"/>
    <w:rsid w:val="00170527"/>
    <w:rsid w:val="00170D24"/>
    <w:rsid w:val="00172CD7"/>
    <w:rsid w:val="001731BC"/>
    <w:rsid w:val="00173C2D"/>
    <w:rsid w:val="001742A7"/>
    <w:rsid w:val="0017450C"/>
    <w:rsid w:val="001746B4"/>
    <w:rsid w:val="00176464"/>
    <w:rsid w:val="00176553"/>
    <w:rsid w:val="00177D13"/>
    <w:rsid w:val="00177E68"/>
    <w:rsid w:val="00180847"/>
    <w:rsid w:val="0018175D"/>
    <w:rsid w:val="001842B2"/>
    <w:rsid w:val="00184BC5"/>
    <w:rsid w:val="00184D32"/>
    <w:rsid w:val="00185342"/>
    <w:rsid w:val="00185497"/>
    <w:rsid w:val="00185BAE"/>
    <w:rsid w:val="00185D7C"/>
    <w:rsid w:val="00185E50"/>
    <w:rsid w:val="00186EDB"/>
    <w:rsid w:val="00187571"/>
    <w:rsid w:val="001900BC"/>
    <w:rsid w:val="00190413"/>
    <w:rsid w:val="0019111C"/>
    <w:rsid w:val="00192902"/>
    <w:rsid w:val="00193351"/>
    <w:rsid w:val="00194A13"/>
    <w:rsid w:val="0019534B"/>
    <w:rsid w:val="0019541A"/>
    <w:rsid w:val="001963B6"/>
    <w:rsid w:val="00196704"/>
    <w:rsid w:val="001967FA"/>
    <w:rsid w:val="001A0022"/>
    <w:rsid w:val="001A089C"/>
    <w:rsid w:val="001A112A"/>
    <w:rsid w:val="001A1293"/>
    <w:rsid w:val="001A12B6"/>
    <w:rsid w:val="001A162A"/>
    <w:rsid w:val="001A177D"/>
    <w:rsid w:val="001A3172"/>
    <w:rsid w:val="001A3D25"/>
    <w:rsid w:val="001A482C"/>
    <w:rsid w:val="001A4FBA"/>
    <w:rsid w:val="001A5525"/>
    <w:rsid w:val="001A5620"/>
    <w:rsid w:val="001A5A7C"/>
    <w:rsid w:val="001A6239"/>
    <w:rsid w:val="001A6F33"/>
    <w:rsid w:val="001A70DA"/>
    <w:rsid w:val="001A771F"/>
    <w:rsid w:val="001B0F8C"/>
    <w:rsid w:val="001B1C00"/>
    <w:rsid w:val="001B1D67"/>
    <w:rsid w:val="001B262E"/>
    <w:rsid w:val="001B4292"/>
    <w:rsid w:val="001B48D8"/>
    <w:rsid w:val="001B5061"/>
    <w:rsid w:val="001B57D8"/>
    <w:rsid w:val="001B5D50"/>
    <w:rsid w:val="001B5EDE"/>
    <w:rsid w:val="001B6662"/>
    <w:rsid w:val="001B733C"/>
    <w:rsid w:val="001B745C"/>
    <w:rsid w:val="001C1E5F"/>
    <w:rsid w:val="001C27D0"/>
    <w:rsid w:val="001C47C7"/>
    <w:rsid w:val="001C4CF6"/>
    <w:rsid w:val="001C54D2"/>
    <w:rsid w:val="001C589C"/>
    <w:rsid w:val="001C626F"/>
    <w:rsid w:val="001C65E4"/>
    <w:rsid w:val="001C66F0"/>
    <w:rsid w:val="001C6AA8"/>
    <w:rsid w:val="001D064A"/>
    <w:rsid w:val="001D184C"/>
    <w:rsid w:val="001D1B43"/>
    <w:rsid w:val="001D339D"/>
    <w:rsid w:val="001D460A"/>
    <w:rsid w:val="001D5C15"/>
    <w:rsid w:val="001D5E27"/>
    <w:rsid w:val="001D5F24"/>
    <w:rsid w:val="001D63AB"/>
    <w:rsid w:val="001D6816"/>
    <w:rsid w:val="001D6D6D"/>
    <w:rsid w:val="001D74C5"/>
    <w:rsid w:val="001D761D"/>
    <w:rsid w:val="001D7D60"/>
    <w:rsid w:val="001E0095"/>
    <w:rsid w:val="001E0955"/>
    <w:rsid w:val="001E0D23"/>
    <w:rsid w:val="001E1059"/>
    <w:rsid w:val="001E13F3"/>
    <w:rsid w:val="001E17A6"/>
    <w:rsid w:val="001E27B4"/>
    <w:rsid w:val="001E347A"/>
    <w:rsid w:val="001E34E4"/>
    <w:rsid w:val="001E37A3"/>
    <w:rsid w:val="001E3E8F"/>
    <w:rsid w:val="001E41BA"/>
    <w:rsid w:val="001E4BDB"/>
    <w:rsid w:val="001E5752"/>
    <w:rsid w:val="001E68E7"/>
    <w:rsid w:val="001E7767"/>
    <w:rsid w:val="001F1382"/>
    <w:rsid w:val="001F1690"/>
    <w:rsid w:val="001F17A7"/>
    <w:rsid w:val="001F19B7"/>
    <w:rsid w:val="001F25E4"/>
    <w:rsid w:val="001F2A8A"/>
    <w:rsid w:val="001F3118"/>
    <w:rsid w:val="001F32A4"/>
    <w:rsid w:val="001F5926"/>
    <w:rsid w:val="001F5A42"/>
    <w:rsid w:val="001F5E72"/>
    <w:rsid w:val="001F6035"/>
    <w:rsid w:val="001F6DC2"/>
    <w:rsid w:val="001F721C"/>
    <w:rsid w:val="001F7358"/>
    <w:rsid w:val="001F7545"/>
    <w:rsid w:val="001F7549"/>
    <w:rsid w:val="001F7C05"/>
    <w:rsid w:val="00200142"/>
    <w:rsid w:val="0020064C"/>
    <w:rsid w:val="002006BB"/>
    <w:rsid w:val="002014C5"/>
    <w:rsid w:val="0020260B"/>
    <w:rsid w:val="002034C4"/>
    <w:rsid w:val="002035C7"/>
    <w:rsid w:val="002037A6"/>
    <w:rsid w:val="00203901"/>
    <w:rsid w:val="00203974"/>
    <w:rsid w:val="0020447B"/>
    <w:rsid w:val="0020504A"/>
    <w:rsid w:val="002053A6"/>
    <w:rsid w:val="0020625D"/>
    <w:rsid w:val="00206339"/>
    <w:rsid w:val="00210B44"/>
    <w:rsid w:val="002115AB"/>
    <w:rsid w:val="00211603"/>
    <w:rsid w:val="00211881"/>
    <w:rsid w:val="00211A70"/>
    <w:rsid w:val="002122A5"/>
    <w:rsid w:val="0021245F"/>
    <w:rsid w:val="00212CDF"/>
    <w:rsid w:val="00213ADD"/>
    <w:rsid w:val="002140B2"/>
    <w:rsid w:val="002149DB"/>
    <w:rsid w:val="00215311"/>
    <w:rsid w:val="00215C6B"/>
    <w:rsid w:val="00215CD4"/>
    <w:rsid w:val="00217439"/>
    <w:rsid w:val="0021770C"/>
    <w:rsid w:val="00217E52"/>
    <w:rsid w:val="00220E46"/>
    <w:rsid w:val="002242EB"/>
    <w:rsid w:val="0022519B"/>
    <w:rsid w:val="00225308"/>
    <w:rsid w:val="00225477"/>
    <w:rsid w:val="002254C4"/>
    <w:rsid w:val="00225FE2"/>
    <w:rsid w:val="00226C5C"/>
    <w:rsid w:val="0022781A"/>
    <w:rsid w:val="00227BB1"/>
    <w:rsid w:val="0023001A"/>
    <w:rsid w:val="00232BB0"/>
    <w:rsid w:val="00232C27"/>
    <w:rsid w:val="00234E68"/>
    <w:rsid w:val="00235489"/>
    <w:rsid w:val="002358F0"/>
    <w:rsid w:val="00235F9E"/>
    <w:rsid w:val="0023693B"/>
    <w:rsid w:val="00236B23"/>
    <w:rsid w:val="00236BD6"/>
    <w:rsid w:val="00236D19"/>
    <w:rsid w:val="00237426"/>
    <w:rsid w:val="002376CC"/>
    <w:rsid w:val="00240391"/>
    <w:rsid w:val="00240CE8"/>
    <w:rsid w:val="00241404"/>
    <w:rsid w:val="00241B63"/>
    <w:rsid w:val="002422C9"/>
    <w:rsid w:val="002438B0"/>
    <w:rsid w:val="0024533B"/>
    <w:rsid w:val="00246491"/>
    <w:rsid w:val="002465D4"/>
    <w:rsid w:val="002471E1"/>
    <w:rsid w:val="0024789A"/>
    <w:rsid w:val="00247BD1"/>
    <w:rsid w:val="00247FB7"/>
    <w:rsid w:val="002501B4"/>
    <w:rsid w:val="00251477"/>
    <w:rsid w:val="002515D9"/>
    <w:rsid w:val="0025206E"/>
    <w:rsid w:val="002532D7"/>
    <w:rsid w:val="002533CD"/>
    <w:rsid w:val="00253DAF"/>
    <w:rsid w:val="00253E59"/>
    <w:rsid w:val="00254107"/>
    <w:rsid w:val="002548AB"/>
    <w:rsid w:val="002549CE"/>
    <w:rsid w:val="002550C9"/>
    <w:rsid w:val="002564F2"/>
    <w:rsid w:val="00257336"/>
    <w:rsid w:val="00260232"/>
    <w:rsid w:val="0026064F"/>
    <w:rsid w:val="00260FBD"/>
    <w:rsid w:val="00261160"/>
    <w:rsid w:val="002615CD"/>
    <w:rsid w:val="00262389"/>
    <w:rsid w:val="0026402C"/>
    <w:rsid w:val="00264377"/>
    <w:rsid w:val="002647BC"/>
    <w:rsid w:val="00265434"/>
    <w:rsid w:val="002656FE"/>
    <w:rsid w:val="002659D5"/>
    <w:rsid w:val="00265A1F"/>
    <w:rsid w:val="00265E32"/>
    <w:rsid w:val="00267B09"/>
    <w:rsid w:val="00270098"/>
    <w:rsid w:val="002719A0"/>
    <w:rsid w:val="00271AE9"/>
    <w:rsid w:val="00272114"/>
    <w:rsid w:val="00272DCB"/>
    <w:rsid w:val="00273401"/>
    <w:rsid w:val="00274119"/>
    <w:rsid w:val="00274367"/>
    <w:rsid w:val="0027519D"/>
    <w:rsid w:val="002756CA"/>
    <w:rsid w:val="00275ECE"/>
    <w:rsid w:val="0027672E"/>
    <w:rsid w:val="002777F3"/>
    <w:rsid w:val="002779D2"/>
    <w:rsid w:val="0028042F"/>
    <w:rsid w:val="00280F15"/>
    <w:rsid w:val="00282654"/>
    <w:rsid w:val="00284072"/>
    <w:rsid w:val="00284300"/>
    <w:rsid w:val="0028614D"/>
    <w:rsid w:val="002865DA"/>
    <w:rsid w:val="00286641"/>
    <w:rsid w:val="002867C7"/>
    <w:rsid w:val="00286877"/>
    <w:rsid w:val="00286A66"/>
    <w:rsid w:val="00286B1F"/>
    <w:rsid w:val="0028710B"/>
    <w:rsid w:val="00290108"/>
    <w:rsid w:val="0029095E"/>
    <w:rsid w:val="00290DF9"/>
    <w:rsid w:val="00291A63"/>
    <w:rsid w:val="00291CA1"/>
    <w:rsid w:val="00292617"/>
    <w:rsid w:val="00292D22"/>
    <w:rsid w:val="00292E25"/>
    <w:rsid w:val="00293362"/>
    <w:rsid w:val="002939B3"/>
    <w:rsid w:val="00293A7D"/>
    <w:rsid w:val="002949CB"/>
    <w:rsid w:val="002954EB"/>
    <w:rsid w:val="002956B9"/>
    <w:rsid w:val="002958C0"/>
    <w:rsid w:val="0029638C"/>
    <w:rsid w:val="002964E8"/>
    <w:rsid w:val="002977A1"/>
    <w:rsid w:val="00297BA2"/>
    <w:rsid w:val="00297F3D"/>
    <w:rsid w:val="002A01E1"/>
    <w:rsid w:val="002A0D51"/>
    <w:rsid w:val="002A163A"/>
    <w:rsid w:val="002A1984"/>
    <w:rsid w:val="002A233A"/>
    <w:rsid w:val="002A27D9"/>
    <w:rsid w:val="002A2EA0"/>
    <w:rsid w:val="002A35E8"/>
    <w:rsid w:val="002A3EB4"/>
    <w:rsid w:val="002A3F5B"/>
    <w:rsid w:val="002A42EA"/>
    <w:rsid w:val="002A560E"/>
    <w:rsid w:val="002A56E8"/>
    <w:rsid w:val="002A6456"/>
    <w:rsid w:val="002A6CD0"/>
    <w:rsid w:val="002A6E29"/>
    <w:rsid w:val="002A7F33"/>
    <w:rsid w:val="002B0BDD"/>
    <w:rsid w:val="002B124A"/>
    <w:rsid w:val="002B15D8"/>
    <w:rsid w:val="002B1D78"/>
    <w:rsid w:val="002B2B63"/>
    <w:rsid w:val="002B2DC7"/>
    <w:rsid w:val="002B3796"/>
    <w:rsid w:val="002B520C"/>
    <w:rsid w:val="002B6A4B"/>
    <w:rsid w:val="002C01CF"/>
    <w:rsid w:val="002C073D"/>
    <w:rsid w:val="002C07F1"/>
    <w:rsid w:val="002C1AD5"/>
    <w:rsid w:val="002C1F19"/>
    <w:rsid w:val="002C2DAD"/>
    <w:rsid w:val="002C3B3A"/>
    <w:rsid w:val="002C4265"/>
    <w:rsid w:val="002C44AD"/>
    <w:rsid w:val="002C4830"/>
    <w:rsid w:val="002C6313"/>
    <w:rsid w:val="002C661C"/>
    <w:rsid w:val="002C7078"/>
    <w:rsid w:val="002C761F"/>
    <w:rsid w:val="002D08C8"/>
    <w:rsid w:val="002D0ADA"/>
    <w:rsid w:val="002D1321"/>
    <w:rsid w:val="002D16AA"/>
    <w:rsid w:val="002D1E14"/>
    <w:rsid w:val="002D21F0"/>
    <w:rsid w:val="002D2B05"/>
    <w:rsid w:val="002D6422"/>
    <w:rsid w:val="002D6F16"/>
    <w:rsid w:val="002D79C7"/>
    <w:rsid w:val="002E0757"/>
    <w:rsid w:val="002E08DA"/>
    <w:rsid w:val="002E1266"/>
    <w:rsid w:val="002E198F"/>
    <w:rsid w:val="002E1CC7"/>
    <w:rsid w:val="002E27D5"/>
    <w:rsid w:val="002E27FE"/>
    <w:rsid w:val="002E3688"/>
    <w:rsid w:val="002E3777"/>
    <w:rsid w:val="002E4081"/>
    <w:rsid w:val="002E5345"/>
    <w:rsid w:val="002E5505"/>
    <w:rsid w:val="002E7575"/>
    <w:rsid w:val="002E7F6B"/>
    <w:rsid w:val="002F0D45"/>
    <w:rsid w:val="002F110D"/>
    <w:rsid w:val="002F17A2"/>
    <w:rsid w:val="002F1832"/>
    <w:rsid w:val="002F1D3D"/>
    <w:rsid w:val="002F268D"/>
    <w:rsid w:val="002F2D12"/>
    <w:rsid w:val="002F37E7"/>
    <w:rsid w:val="002F3DB0"/>
    <w:rsid w:val="002F3E48"/>
    <w:rsid w:val="002F55BE"/>
    <w:rsid w:val="002F61A2"/>
    <w:rsid w:val="002F64F8"/>
    <w:rsid w:val="002F7865"/>
    <w:rsid w:val="00300C21"/>
    <w:rsid w:val="00300D63"/>
    <w:rsid w:val="00302111"/>
    <w:rsid w:val="00302291"/>
    <w:rsid w:val="00302848"/>
    <w:rsid w:val="00303279"/>
    <w:rsid w:val="00304626"/>
    <w:rsid w:val="00304635"/>
    <w:rsid w:val="00305059"/>
    <w:rsid w:val="003051CE"/>
    <w:rsid w:val="00305730"/>
    <w:rsid w:val="003059F0"/>
    <w:rsid w:val="00306A71"/>
    <w:rsid w:val="00306D13"/>
    <w:rsid w:val="003070B3"/>
    <w:rsid w:val="00307C4B"/>
    <w:rsid w:val="003101D9"/>
    <w:rsid w:val="00310ACB"/>
    <w:rsid w:val="00310BCA"/>
    <w:rsid w:val="00310C98"/>
    <w:rsid w:val="0031151F"/>
    <w:rsid w:val="00311E52"/>
    <w:rsid w:val="003120B9"/>
    <w:rsid w:val="00313118"/>
    <w:rsid w:val="00313883"/>
    <w:rsid w:val="00313A92"/>
    <w:rsid w:val="00314036"/>
    <w:rsid w:val="00314604"/>
    <w:rsid w:val="0031466B"/>
    <w:rsid w:val="00315A58"/>
    <w:rsid w:val="00315B06"/>
    <w:rsid w:val="00315DD3"/>
    <w:rsid w:val="00316411"/>
    <w:rsid w:val="003167AD"/>
    <w:rsid w:val="00316873"/>
    <w:rsid w:val="003168D4"/>
    <w:rsid w:val="00316E05"/>
    <w:rsid w:val="003170B1"/>
    <w:rsid w:val="00317F66"/>
    <w:rsid w:val="003212A2"/>
    <w:rsid w:val="00321350"/>
    <w:rsid w:val="0032256C"/>
    <w:rsid w:val="003229C0"/>
    <w:rsid w:val="00322BBC"/>
    <w:rsid w:val="0032407F"/>
    <w:rsid w:val="00324D63"/>
    <w:rsid w:val="00325B1F"/>
    <w:rsid w:val="00325CCC"/>
    <w:rsid w:val="003263B6"/>
    <w:rsid w:val="003270D9"/>
    <w:rsid w:val="00327404"/>
    <w:rsid w:val="0032788F"/>
    <w:rsid w:val="0033026D"/>
    <w:rsid w:val="003340D8"/>
    <w:rsid w:val="0033469D"/>
    <w:rsid w:val="00334B4D"/>
    <w:rsid w:val="00334CAC"/>
    <w:rsid w:val="00335ED0"/>
    <w:rsid w:val="00335FE1"/>
    <w:rsid w:val="0033673A"/>
    <w:rsid w:val="0033797B"/>
    <w:rsid w:val="00337EFA"/>
    <w:rsid w:val="003406B2"/>
    <w:rsid w:val="003409F8"/>
    <w:rsid w:val="003418F3"/>
    <w:rsid w:val="00341A9B"/>
    <w:rsid w:val="00341F6E"/>
    <w:rsid w:val="003420DE"/>
    <w:rsid w:val="00342AD0"/>
    <w:rsid w:val="00342D5C"/>
    <w:rsid w:val="00344078"/>
    <w:rsid w:val="003442C7"/>
    <w:rsid w:val="00345B9D"/>
    <w:rsid w:val="00345E07"/>
    <w:rsid w:val="00350D54"/>
    <w:rsid w:val="00351DED"/>
    <w:rsid w:val="00353AD1"/>
    <w:rsid w:val="003546F8"/>
    <w:rsid w:val="00354C62"/>
    <w:rsid w:val="003579BA"/>
    <w:rsid w:val="003601F4"/>
    <w:rsid w:val="0036022A"/>
    <w:rsid w:val="003608F5"/>
    <w:rsid w:val="00360FDF"/>
    <w:rsid w:val="00361ACA"/>
    <w:rsid w:val="003629E7"/>
    <w:rsid w:val="00363450"/>
    <w:rsid w:val="00363643"/>
    <w:rsid w:val="00364913"/>
    <w:rsid w:val="0036508B"/>
    <w:rsid w:val="00365960"/>
    <w:rsid w:val="00365B89"/>
    <w:rsid w:val="00365EED"/>
    <w:rsid w:val="003662F0"/>
    <w:rsid w:val="00367AA0"/>
    <w:rsid w:val="00367E8C"/>
    <w:rsid w:val="003705FF"/>
    <w:rsid w:val="00370FB0"/>
    <w:rsid w:val="0037155B"/>
    <w:rsid w:val="00371570"/>
    <w:rsid w:val="0037197A"/>
    <w:rsid w:val="003719CD"/>
    <w:rsid w:val="0037262B"/>
    <w:rsid w:val="00372E53"/>
    <w:rsid w:val="00372F4D"/>
    <w:rsid w:val="00373C90"/>
    <w:rsid w:val="00373DD3"/>
    <w:rsid w:val="00373F1A"/>
    <w:rsid w:val="00374210"/>
    <w:rsid w:val="00375276"/>
    <w:rsid w:val="003757E3"/>
    <w:rsid w:val="00375D4B"/>
    <w:rsid w:val="00376EF9"/>
    <w:rsid w:val="00377468"/>
    <w:rsid w:val="003779B3"/>
    <w:rsid w:val="00380744"/>
    <w:rsid w:val="0038081F"/>
    <w:rsid w:val="00381358"/>
    <w:rsid w:val="003814A1"/>
    <w:rsid w:val="00381556"/>
    <w:rsid w:val="00382767"/>
    <w:rsid w:val="00382F7B"/>
    <w:rsid w:val="00386462"/>
    <w:rsid w:val="00387732"/>
    <w:rsid w:val="00390290"/>
    <w:rsid w:val="0039097A"/>
    <w:rsid w:val="00390BF9"/>
    <w:rsid w:val="00390E4F"/>
    <w:rsid w:val="00390F44"/>
    <w:rsid w:val="00391214"/>
    <w:rsid w:val="003926DF"/>
    <w:rsid w:val="00392766"/>
    <w:rsid w:val="003930A2"/>
    <w:rsid w:val="00393650"/>
    <w:rsid w:val="00393E10"/>
    <w:rsid w:val="00394047"/>
    <w:rsid w:val="0039405C"/>
    <w:rsid w:val="00394C71"/>
    <w:rsid w:val="00395395"/>
    <w:rsid w:val="00396B95"/>
    <w:rsid w:val="003971BF"/>
    <w:rsid w:val="003972EF"/>
    <w:rsid w:val="003A0878"/>
    <w:rsid w:val="003A08B6"/>
    <w:rsid w:val="003A1E49"/>
    <w:rsid w:val="003A231F"/>
    <w:rsid w:val="003A29BE"/>
    <w:rsid w:val="003A2FC6"/>
    <w:rsid w:val="003A423F"/>
    <w:rsid w:val="003A4297"/>
    <w:rsid w:val="003A467D"/>
    <w:rsid w:val="003A4B01"/>
    <w:rsid w:val="003A5573"/>
    <w:rsid w:val="003A5970"/>
    <w:rsid w:val="003A689F"/>
    <w:rsid w:val="003A7160"/>
    <w:rsid w:val="003A76C0"/>
    <w:rsid w:val="003B044E"/>
    <w:rsid w:val="003B0B50"/>
    <w:rsid w:val="003B299A"/>
    <w:rsid w:val="003B2BA7"/>
    <w:rsid w:val="003B3200"/>
    <w:rsid w:val="003B402A"/>
    <w:rsid w:val="003B442B"/>
    <w:rsid w:val="003B4A90"/>
    <w:rsid w:val="003B5710"/>
    <w:rsid w:val="003B5796"/>
    <w:rsid w:val="003B5B9A"/>
    <w:rsid w:val="003B5D26"/>
    <w:rsid w:val="003B5E0E"/>
    <w:rsid w:val="003B614E"/>
    <w:rsid w:val="003C04D1"/>
    <w:rsid w:val="003C052C"/>
    <w:rsid w:val="003C05AD"/>
    <w:rsid w:val="003C14A9"/>
    <w:rsid w:val="003C1A82"/>
    <w:rsid w:val="003C1F5A"/>
    <w:rsid w:val="003C25BD"/>
    <w:rsid w:val="003C3453"/>
    <w:rsid w:val="003C47A5"/>
    <w:rsid w:val="003C4B1B"/>
    <w:rsid w:val="003C4CAE"/>
    <w:rsid w:val="003C5343"/>
    <w:rsid w:val="003C59A8"/>
    <w:rsid w:val="003C5ACB"/>
    <w:rsid w:val="003C6472"/>
    <w:rsid w:val="003C64CB"/>
    <w:rsid w:val="003C7D1B"/>
    <w:rsid w:val="003D063E"/>
    <w:rsid w:val="003D0C1F"/>
    <w:rsid w:val="003D0C75"/>
    <w:rsid w:val="003D1D9C"/>
    <w:rsid w:val="003D270C"/>
    <w:rsid w:val="003D2B10"/>
    <w:rsid w:val="003D2CB4"/>
    <w:rsid w:val="003D37EE"/>
    <w:rsid w:val="003D38D6"/>
    <w:rsid w:val="003D39E1"/>
    <w:rsid w:val="003D3E8B"/>
    <w:rsid w:val="003D43A8"/>
    <w:rsid w:val="003D46A9"/>
    <w:rsid w:val="003D4C35"/>
    <w:rsid w:val="003D501F"/>
    <w:rsid w:val="003D5837"/>
    <w:rsid w:val="003D6110"/>
    <w:rsid w:val="003D612D"/>
    <w:rsid w:val="003D710B"/>
    <w:rsid w:val="003D77B9"/>
    <w:rsid w:val="003E0370"/>
    <w:rsid w:val="003E15D8"/>
    <w:rsid w:val="003E1E1E"/>
    <w:rsid w:val="003E1F7C"/>
    <w:rsid w:val="003E2999"/>
    <w:rsid w:val="003E2F69"/>
    <w:rsid w:val="003E2F6C"/>
    <w:rsid w:val="003E3DBF"/>
    <w:rsid w:val="003E512B"/>
    <w:rsid w:val="003E6B19"/>
    <w:rsid w:val="003E6B5E"/>
    <w:rsid w:val="003E76EF"/>
    <w:rsid w:val="003F0A3C"/>
    <w:rsid w:val="003F1F4D"/>
    <w:rsid w:val="003F35D6"/>
    <w:rsid w:val="003F3C5C"/>
    <w:rsid w:val="003F54FB"/>
    <w:rsid w:val="003F640E"/>
    <w:rsid w:val="003F732B"/>
    <w:rsid w:val="003F7429"/>
    <w:rsid w:val="003F76CA"/>
    <w:rsid w:val="003F7C28"/>
    <w:rsid w:val="003F7FE6"/>
    <w:rsid w:val="00400360"/>
    <w:rsid w:val="00400A74"/>
    <w:rsid w:val="00401497"/>
    <w:rsid w:val="00401808"/>
    <w:rsid w:val="004022C2"/>
    <w:rsid w:val="00403155"/>
    <w:rsid w:val="00403AB5"/>
    <w:rsid w:val="00403D94"/>
    <w:rsid w:val="004060DB"/>
    <w:rsid w:val="00407761"/>
    <w:rsid w:val="0041006A"/>
    <w:rsid w:val="00410182"/>
    <w:rsid w:val="0041030A"/>
    <w:rsid w:val="00410D37"/>
    <w:rsid w:val="00411322"/>
    <w:rsid w:val="004114AE"/>
    <w:rsid w:val="004118EE"/>
    <w:rsid w:val="0041219E"/>
    <w:rsid w:val="00413260"/>
    <w:rsid w:val="00413F1C"/>
    <w:rsid w:val="004142E5"/>
    <w:rsid w:val="00416928"/>
    <w:rsid w:val="00416CA5"/>
    <w:rsid w:val="00417D25"/>
    <w:rsid w:val="00421748"/>
    <w:rsid w:val="00423430"/>
    <w:rsid w:val="004250D9"/>
    <w:rsid w:val="004257A6"/>
    <w:rsid w:val="00425F73"/>
    <w:rsid w:val="0042646E"/>
    <w:rsid w:val="00427515"/>
    <w:rsid w:val="00427E26"/>
    <w:rsid w:val="0043045B"/>
    <w:rsid w:val="00430633"/>
    <w:rsid w:val="00430BD5"/>
    <w:rsid w:val="0043199D"/>
    <w:rsid w:val="00432051"/>
    <w:rsid w:val="004323E7"/>
    <w:rsid w:val="00432B7A"/>
    <w:rsid w:val="004348B1"/>
    <w:rsid w:val="00437964"/>
    <w:rsid w:val="00437E47"/>
    <w:rsid w:val="00440605"/>
    <w:rsid w:val="004407AA"/>
    <w:rsid w:val="00440B80"/>
    <w:rsid w:val="004419BD"/>
    <w:rsid w:val="00441BB2"/>
    <w:rsid w:val="00441EFB"/>
    <w:rsid w:val="0044208E"/>
    <w:rsid w:val="004434E3"/>
    <w:rsid w:val="00443B92"/>
    <w:rsid w:val="00443CD3"/>
    <w:rsid w:val="00445325"/>
    <w:rsid w:val="00446344"/>
    <w:rsid w:val="00446977"/>
    <w:rsid w:val="00446A2F"/>
    <w:rsid w:val="00450858"/>
    <w:rsid w:val="00451CD3"/>
    <w:rsid w:val="00452207"/>
    <w:rsid w:val="00454539"/>
    <w:rsid w:val="004546BC"/>
    <w:rsid w:val="00454890"/>
    <w:rsid w:val="004553F9"/>
    <w:rsid w:val="00455993"/>
    <w:rsid w:val="00456230"/>
    <w:rsid w:val="00456862"/>
    <w:rsid w:val="00457110"/>
    <w:rsid w:val="00461B9C"/>
    <w:rsid w:val="00461C2E"/>
    <w:rsid w:val="00462250"/>
    <w:rsid w:val="00462964"/>
    <w:rsid w:val="00462CF8"/>
    <w:rsid w:val="004635B8"/>
    <w:rsid w:val="00464058"/>
    <w:rsid w:val="004640F8"/>
    <w:rsid w:val="00465328"/>
    <w:rsid w:val="004657C1"/>
    <w:rsid w:val="004661EA"/>
    <w:rsid w:val="00466BF3"/>
    <w:rsid w:val="004674B1"/>
    <w:rsid w:val="004676A8"/>
    <w:rsid w:val="00467E55"/>
    <w:rsid w:val="00470530"/>
    <w:rsid w:val="00471C15"/>
    <w:rsid w:val="00472BCF"/>
    <w:rsid w:val="00475D47"/>
    <w:rsid w:val="00475F03"/>
    <w:rsid w:val="00476D6E"/>
    <w:rsid w:val="004777A9"/>
    <w:rsid w:val="0048116B"/>
    <w:rsid w:val="00481577"/>
    <w:rsid w:val="0048329A"/>
    <w:rsid w:val="0048337A"/>
    <w:rsid w:val="0048375D"/>
    <w:rsid w:val="00483FED"/>
    <w:rsid w:val="0048424D"/>
    <w:rsid w:val="0048462B"/>
    <w:rsid w:val="00484B32"/>
    <w:rsid w:val="0048659A"/>
    <w:rsid w:val="004865DF"/>
    <w:rsid w:val="00490456"/>
    <w:rsid w:val="0049094A"/>
    <w:rsid w:val="00491BA2"/>
    <w:rsid w:val="00491F01"/>
    <w:rsid w:val="0049293D"/>
    <w:rsid w:val="0049381F"/>
    <w:rsid w:val="004944C7"/>
    <w:rsid w:val="00494554"/>
    <w:rsid w:val="00494A1E"/>
    <w:rsid w:val="0049544A"/>
    <w:rsid w:val="00495DDD"/>
    <w:rsid w:val="0049616D"/>
    <w:rsid w:val="004963B0"/>
    <w:rsid w:val="004966DA"/>
    <w:rsid w:val="00496758"/>
    <w:rsid w:val="00496B1B"/>
    <w:rsid w:val="004971AB"/>
    <w:rsid w:val="004977F2"/>
    <w:rsid w:val="00497D53"/>
    <w:rsid w:val="004A0482"/>
    <w:rsid w:val="004A0653"/>
    <w:rsid w:val="004A0796"/>
    <w:rsid w:val="004A0FD6"/>
    <w:rsid w:val="004A19E8"/>
    <w:rsid w:val="004A1DAD"/>
    <w:rsid w:val="004A265A"/>
    <w:rsid w:val="004A2861"/>
    <w:rsid w:val="004A3360"/>
    <w:rsid w:val="004A4099"/>
    <w:rsid w:val="004A5CA2"/>
    <w:rsid w:val="004A6019"/>
    <w:rsid w:val="004A6628"/>
    <w:rsid w:val="004A7183"/>
    <w:rsid w:val="004A7826"/>
    <w:rsid w:val="004B00B0"/>
    <w:rsid w:val="004B0F51"/>
    <w:rsid w:val="004B17A5"/>
    <w:rsid w:val="004B19F1"/>
    <w:rsid w:val="004B1B14"/>
    <w:rsid w:val="004B1EBA"/>
    <w:rsid w:val="004B263E"/>
    <w:rsid w:val="004B2EA7"/>
    <w:rsid w:val="004B34DF"/>
    <w:rsid w:val="004B41C1"/>
    <w:rsid w:val="004B5B03"/>
    <w:rsid w:val="004B659A"/>
    <w:rsid w:val="004B6C90"/>
    <w:rsid w:val="004B6EA3"/>
    <w:rsid w:val="004B7081"/>
    <w:rsid w:val="004B7A19"/>
    <w:rsid w:val="004C0145"/>
    <w:rsid w:val="004C02CA"/>
    <w:rsid w:val="004C0F04"/>
    <w:rsid w:val="004C1274"/>
    <w:rsid w:val="004C15B0"/>
    <w:rsid w:val="004C3B0F"/>
    <w:rsid w:val="004C3DFF"/>
    <w:rsid w:val="004C55AE"/>
    <w:rsid w:val="004C5F47"/>
    <w:rsid w:val="004C635E"/>
    <w:rsid w:val="004C74B2"/>
    <w:rsid w:val="004D0505"/>
    <w:rsid w:val="004D203F"/>
    <w:rsid w:val="004D23E1"/>
    <w:rsid w:val="004D27C8"/>
    <w:rsid w:val="004D3E9E"/>
    <w:rsid w:val="004D4455"/>
    <w:rsid w:val="004D4703"/>
    <w:rsid w:val="004D4C94"/>
    <w:rsid w:val="004D5283"/>
    <w:rsid w:val="004D6789"/>
    <w:rsid w:val="004D6B98"/>
    <w:rsid w:val="004E0439"/>
    <w:rsid w:val="004E06D9"/>
    <w:rsid w:val="004E0A90"/>
    <w:rsid w:val="004E0BE0"/>
    <w:rsid w:val="004E0DFD"/>
    <w:rsid w:val="004E1800"/>
    <w:rsid w:val="004E1853"/>
    <w:rsid w:val="004E188F"/>
    <w:rsid w:val="004E1D30"/>
    <w:rsid w:val="004E1DBB"/>
    <w:rsid w:val="004E290B"/>
    <w:rsid w:val="004E2BA0"/>
    <w:rsid w:val="004E3352"/>
    <w:rsid w:val="004E38EB"/>
    <w:rsid w:val="004E43C1"/>
    <w:rsid w:val="004E60D7"/>
    <w:rsid w:val="004E6FDA"/>
    <w:rsid w:val="004F0CA0"/>
    <w:rsid w:val="004F1D1C"/>
    <w:rsid w:val="004F1D85"/>
    <w:rsid w:val="004F2399"/>
    <w:rsid w:val="004F27C5"/>
    <w:rsid w:val="004F2C68"/>
    <w:rsid w:val="004F3B32"/>
    <w:rsid w:val="004F47FF"/>
    <w:rsid w:val="004F48B8"/>
    <w:rsid w:val="004F54DF"/>
    <w:rsid w:val="004F59AA"/>
    <w:rsid w:val="004F60E6"/>
    <w:rsid w:val="004F6489"/>
    <w:rsid w:val="004F685C"/>
    <w:rsid w:val="004F6B7A"/>
    <w:rsid w:val="004F6C77"/>
    <w:rsid w:val="004F7A95"/>
    <w:rsid w:val="005012DE"/>
    <w:rsid w:val="00501D5D"/>
    <w:rsid w:val="00502BF8"/>
    <w:rsid w:val="00502CC7"/>
    <w:rsid w:val="00502F1E"/>
    <w:rsid w:val="00503B20"/>
    <w:rsid w:val="005047D4"/>
    <w:rsid w:val="00506C0F"/>
    <w:rsid w:val="0051137F"/>
    <w:rsid w:val="005117DD"/>
    <w:rsid w:val="00512738"/>
    <w:rsid w:val="00512C10"/>
    <w:rsid w:val="0051305A"/>
    <w:rsid w:val="005141C1"/>
    <w:rsid w:val="005204C8"/>
    <w:rsid w:val="00520AF8"/>
    <w:rsid w:val="0052124B"/>
    <w:rsid w:val="005221F3"/>
    <w:rsid w:val="00522580"/>
    <w:rsid w:val="00522B7A"/>
    <w:rsid w:val="00523C1D"/>
    <w:rsid w:val="005247DE"/>
    <w:rsid w:val="0052556D"/>
    <w:rsid w:val="005256F1"/>
    <w:rsid w:val="00526E4A"/>
    <w:rsid w:val="00530320"/>
    <w:rsid w:val="00530397"/>
    <w:rsid w:val="00530938"/>
    <w:rsid w:val="00530E0C"/>
    <w:rsid w:val="00533044"/>
    <w:rsid w:val="00534589"/>
    <w:rsid w:val="005348CA"/>
    <w:rsid w:val="00534B13"/>
    <w:rsid w:val="00536A93"/>
    <w:rsid w:val="00536CCC"/>
    <w:rsid w:val="00537084"/>
    <w:rsid w:val="0053743B"/>
    <w:rsid w:val="005376C7"/>
    <w:rsid w:val="00537EEC"/>
    <w:rsid w:val="00537FF7"/>
    <w:rsid w:val="00540BB6"/>
    <w:rsid w:val="0054175B"/>
    <w:rsid w:val="00541E67"/>
    <w:rsid w:val="00541E92"/>
    <w:rsid w:val="00542B62"/>
    <w:rsid w:val="00542D5A"/>
    <w:rsid w:val="00543079"/>
    <w:rsid w:val="00543312"/>
    <w:rsid w:val="00543F8D"/>
    <w:rsid w:val="00544387"/>
    <w:rsid w:val="00544828"/>
    <w:rsid w:val="00545304"/>
    <w:rsid w:val="00545921"/>
    <w:rsid w:val="00546BB5"/>
    <w:rsid w:val="00546FE3"/>
    <w:rsid w:val="00547307"/>
    <w:rsid w:val="00550797"/>
    <w:rsid w:val="00550C88"/>
    <w:rsid w:val="00551B62"/>
    <w:rsid w:val="00552775"/>
    <w:rsid w:val="005529F2"/>
    <w:rsid w:val="00553181"/>
    <w:rsid w:val="005533E0"/>
    <w:rsid w:val="005534F1"/>
    <w:rsid w:val="00553FEF"/>
    <w:rsid w:val="00554642"/>
    <w:rsid w:val="00555109"/>
    <w:rsid w:val="00555363"/>
    <w:rsid w:val="0055590C"/>
    <w:rsid w:val="00555D73"/>
    <w:rsid w:val="00556E29"/>
    <w:rsid w:val="00557465"/>
    <w:rsid w:val="00557A5E"/>
    <w:rsid w:val="00560D17"/>
    <w:rsid w:val="00560F48"/>
    <w:rsid w:val="005615E0"/>
    <w:rsid w:val="00561920"/>
    <w:rsid w:val="00562364"/>
    <w:rsid w:val="00562534"/>
    <w:rsid w:val="0056253B"/>
    <w:rsid w:val="00562CA8"/>
    <w:rsid w:val="00563D91"/>
    <w:rsid w:val="00564D2D"/>
    <w:rsid w:val="00566286"/>
    <w:rsid w:val="005664FE"/>
    <w:rsid w:val="00566685"/>
    <w:rsid w:val="00566B78"/>
    <w:rsid w:val="00566DD0"/>
    <w:rsid w:val="00566E18"/>
    <w:rsid w:val="00567D50"/>
    <w:rsid w:val="00567D93"/>
    <w:rsid w:val="00567FF8"/>
    <w:rsid w:val="00571394"/>
    <w:rsid w:val="00572174"/>
    <w:rsid w:val="0057253E"/>
    <w:rsid w:val="00572E1A"/>
    <w:rsid w:val="00573495"/>
    <w:rsid w:val="005736E5"/>
    <w:rsid w:val="00573851"/>
    <w:rsid w:val="00573FE6"/>
    <w:rsid w:val="00575362"/>
    <w:rsid w:val="0057539D"/>
    <w:rsid w:val="0057581C"/>
    <w:rsid w:val="00575E32"/>
    <w:rsid w:val="00576A67"/>
    <w:rsid w:val="00577223"/>
    <w:rsid w:val="00577657"/>
    <w:rsid w:val="00580589"/>
    <w:rsid w:val="00580C14"/>
    <w:rsid w:val="00581680"/>
    <w:rsid w:val="00581994"/>
    <w:rsid w:val="00582611"/>
    <w:rsid w:val="0058284F"/>
    <w:rsid w:val="0058490E"/>
    <w:rsid w:val="005849AA"/>
    <w:rsid w:val="00584D64"/>
    <w:rsid w:val="0058508B"/>
    <w:rsid w:val="005851EE"/>
    <w:rsid w:val="0058629E"/>
    <w:rsid w:val="005865D2"/>
    <w:rsid w:val="0058733D"/>
    <w:rsid w:val="005878E9"/>
    <w:rsid w:val="005907D5"/>
    <w:rsid w:val="00591492"/>
    <w:rsid w:val="005916EE"/>
    <w:rsid w:val="00592079"/>
    <w:rsid w:val="00592267"/>
    <w:rsid w:val="0059267C"/>
    <w:rsid w:val="005933D8"/>
    <w:rsid w:val="00593427"/>
    <w:rsid w:val="00593A27"/>
    <w:rsid w:val="00593BF5"/>
    <w:rsid w:val="0059420A"/>
    <w:rsid w:val="00594963"/>
    <w:rsid w:val="005959B4"/>
    <w:rsid w:val="00596C57"/>
    <w:rsid w:val="00596E2D"/>
    <w:rsid w:val="005972E8"/>
    <w:rsid w:val="005A082C"/>
    <w:rsid w:val="005A0F69"/>
    <w:rsid w:val="005A15DD"/>
    <w:rsid w:val="005A174B"/>
    <w:rsid w:val="005A2335"/>
    <w:rsid w:val="005A2BD2"/>
    <w:rsid w:val="005A3185"/>
    <w:rsid w:val="005A31AF"/>
    <w:rsid w:val="005A31CA"/>
    <w:rsid w:val="005A4468"/>
    <w:rsid w:val="005A4F9F"/>
    <w:rsid w:val="005A69E7"/>
    <w:rsid w:val="005A790C"/>
    <w:rsid w:val="005B092E"/>
    <w:rsid w:val="005B1B7A"/>
    <w:rsid w:val="005B1EB7"/>
    <w:rsid w:val="005B2432"/>
    <w:rsid w:val="005B2ABE"/>
    <w:rsid w:val="005B343E"/>
    <w:rsid w:val="005B3674"/>
    <w:rsid w:val="005B3BCF"/>
    <w:rsid w:val="005B4010"/>
    <w:rsid w:val="005B51D4"/>
    <w:rsid w:val="005B5A34"/>
    <w:rsid w:val="005B7568"/>
    <w:rsid w:val="005C0FA1"/>
    <w:rsid w:val="005C1325"/>
    <w:rsid w:val="005C1BFD"/>
    <w:rsid w:val="005C2204"/>
    <w:rsid w:val="005C32AF"/>
    <w:rsid w:val="005C4185"/>
    <w:rsid w:val="005C4730"/>
    <w:rsid w:val="005C5BDC"/>
    <w:rsid w:val="005C67E2"/>
    <w:rsid w:val="005C6DFA"/>
    <w:rsid w:val="005C71D0"/>
    <w:rsid w:val="005D02DE"/>
    <w:rsid w:val="005D09AC"/>
    <w:rsid w:val="005D0D30"/>
    <w:rsid w:val="005D11BA"/>
    <w:rsid w:val="005D19CC"/>
    <w:rsid w:val="005D1B84"/>
    <w:rsid w:val="005D34E1"/>
    <w:rsid w:val="005D3683"/>
    <w:rsid w:val="005D3D22"/>
    <w:rsid w:val="005D3E75"/>
    <w:rsid w:val="005D45E6"/>
    <w:rsid w:val="005D5A53"/>
    <w:rsid w:val="005E1052"/>
    <w:rsid w:val="005E15EE"/>
    <w:rsid w:val="005E166F"/>
    <w:rsid w:val="005E1870"/>
    <w:rsid w:val="005E1CFA"/>
    <w:rsid w:val="005E1D5E"/>
    <w:rsid w:val="005E1E05"/>
    <w:rsid w:val="005E3943"/>
    <w:rsid w:val="005E4C0A"/>
    <w:rsid w:val="005E5715"/>
    <w:rsid w:val="005E57E4"/>
    <w:rsid w:val="005E6967"/>
    <w:rsid w:val="005E6C78"/>
    <w:rsid w:val="005E76E5"/>
    <w:rsid w:val="005E7BD5"/>
    <w:rsid w:val="005F0E88"/>
    <w:rsid w:val="005F1CD9"/>
    <w:rsid w:val="005F1D69"/>
    <w:rsid w:val="005F30DB"/>
    <w:rsid w:val="005F37F3"/>
    <w:rsid w:val="005F3D24"/>
    <w:rsid w:val="005F434D"/>
    <w:rsid w:val="005F468E"/>
    <w:rsid w:val="005F50BF"/>
    <w:rsid w:val="005F5BF5"/>
    <w:rsid w:val="005F63DE"/>
    <w:rsid w:val="005F70D7"/>
    <w:rsid w:val="005F7483"/>
    <w:rsid w:val="005F78E9"/>
    <w:rsid w:val="00600351"/>
    <w:rsid w:val="0060319C"/>
    <w:rsid w:val="006036DF"/>
    <w:rsid w:val="00603794"/>
    <w:rsid w:val="0060385D"/>
    <w:rsid w:val="00603C62"/>
    <w:rsid w:val="00603F5F"/>
    <w:rsid w:val="006042B3"/>
    <w:rsid w:val="00604EAA"/>
    <w:rsid w:val="00605533"/>
    <w:rsid w:val="006064F7"/>
    <w:rsid w:val="00606663"/>
    <w:rsid w:val="00606B0F"/>
    <w:rsid w:val="00606D0F"/>
    <w:rsid w:val="00610588"/>
    <w:rsid w:val="00611B4A"/>
    <w:rsid w:val="0061210B"/>
    <w:rsid w:val="006128C4"/>
    <w:rsid w:val="006144E1"/>
    <w:rsid w:val="0061662D"/>
    <w:rsid w:val="00616811"/>
    <w:rsid w:val="0062013C"/>
    <w:rsid w:val="00620149"/>
    <w:rsid w:val="0062354F"/>
    <w:rsid w:val="00625126"/>
    <w:rsid w:val="006258A0"/>
    <w:rsid w:val="00625B15"/>
    <w:rsid w:val="00625E5D"/>
    <w:rsid w:val="006265A0"/>
    <w:rsid w:val="00627FD2"/>
    <w:rsid w:val="006309AD"/>
    <w:rsid w:val="00630F4E"/>
    <w:rsid w:val="00631BE8"/>
    <w:rsid w:val="00631F23"/>
    <w:rsid w:val="006331F6"/>
    <w:rsid w:val="00633511"/>
    <w:rsid w:val="00634D8D"/>
    <w:rsid w:val="00634E47"/>
    <w:rsid w:val="0063678F"/>
    <w:rsid w:val="006367EA"/>
    <w:rsid w:val="00637689"/>
    <w:rsid w:val="00637E7F"/>
    <w:rsid w:val="00640758"/>
    <w:rsid w:val="00641525"/>
    <w:rsid w:val="00641D09"/>
    <w:rsid w:val="006433D3"/>
    <w:rsid w:val="00643524"/>
    <w:rsid w:val="00643984"/>
    <w:rsid w:val="00643ACF"/>
    <w:rsid w:val="00644C5F"/>
    <w:rsid w:val="00645701"/>
    <w:rsid w:val="00646632"/>
    <w:rsid w:val="00646C1C"/>
    <w:rsid w:val="00647770"/>
    <w:rsid w:val="006478F5"/>
    <w:rsid w:val="006508DC"/>
    <w:rsid w:val="006515F7"/>
    <w:rsid w:val="006516E6"/>
    <w:rsid w:val="00652390"/>
    <w:rsid w:val="006523D9"/>
    <w:rsid w:val="00652675"/>
    <w:rsid w:val="00652AC6"/>
    <w:rsid w:val="0065354C"/>
    <w:rsid w:val="0065426A"/>
    <w:rsid w:val="00654481"/>
    <w:rsid w:val="0065527D"/>
    <w:rsid w:val="00655ED5"/>
    <w:rsid w:val="006563C6"/>
    <w:rsid w:val="00656922"/>
    <w:rsid w:val="00656E18"/>
    <w:rsid w:val="00656F1F"/>
    <w:rsid w:val="00657511"/>
    <w:rsid w:val="00657FA6"/>
    <w:rsid w:val="0066202F"/>
    <w:rsid w:val="00662B39"/>
    <w:rsid w:val="006638F4"/>
    <w:rsid w:val="0066515E"/>
    <w:rsid w:val="006655D4"/>
    <w:rsid w:val="00666228"/>
    <w:rsid w:val="006662AB"/>
    <w:rsid w:val="006670CA"/>
    <w:rsid w:val="00667428"/>
    <w:rsid w:val="00670680"/>
    <w:rsid w:val="00670BD9"/>
    <w:rsid w:val="00671D80"/>
    <w:rsid w:val="00671E59"/>
    <w:rsid w:val="006737E9"/>
    <w:rsid w:val="00673BCD"/>
    <w:rsid w:val="00673E72"/>
    <w:rsid w:val="00674635"/>
    <w:rsid w:val="006755C2"/>
    <w:rsid w:val="0067662E"/>
    <w:rsid w:val="00676B2C"/>
    <w:rsid w:val="00677218"/>
    <w:rsid w:val="00677457"/>
    <w:rsid w:val="00677BE8"/>
    <w:rsid w:val="006800BE"/>
    <w:rsid w:val="0068032E"/>
    <w:rsid w:val="00680641"/>
    <w:rsid w:val="0068084A"/>
    <w:rsid w:val="00680ADD"/>
    <w:rsid w:val="00681193"/>
    <w:rsid w:val="006814CD"/>
    <w:rsid w:val="00681773"/>
    <w:rsid w:val="00681B96"/>
    <w:rsid w:val="0068458D"/>
    <w:rsid w:val="006849F7"/>
    <w:rsid w:val="00684E57"/>
    <w:rsid w:val="006850EC"/>
    <w:rsid w:val="00686FD3"/>
    <w:rsid w:val="006870D8"/>
    <w:rsid w:val="00687636"/>
    <w:rsid w:val="00690393"/>
    <w:rsid w:val="0069056C"/>
    <w:rsid w:val="00690966"/>
    <w:rsid w:val="00690EE1"/>
    <w:rsid w:val="006923A6"/>
    <w:rsid w:val="006925D4"/>
    <w:rsid w:val="006929D7"/>
    <w:rsid w:val="00692C0E"/>
    <w:rsid w:val="00693299"/>
    <w:rsid w:val="00693A6B"/>
    <w:rsid w:val="00693AF0"/>
    <w:rsid w:val="00693FB8"/>
    <w:rsid w:val="0069469F"/>
    <w:rsid w:val="00694B70"/>
    <w:rsid w:val="0069559E"/>
    <w:rsid w:val="0069643B"/>
    <w:rsid w:val="00696493"/>
    <w:rsid w:val="00697353"/>
    <w:rsid w:val="006A011A"/>
    <w:rsid w:val="006A12DC"/>
    <w:rsid w:val="006A222D"/>
    <w:rsid w:val="006A23EC"/>
    <w:rsid w:val="006A2AD8"/>
    <w:rsid w:val="006A2F97"/>
    <w:rsid w:val="006A567B"/>
    <w:rsid w:val="006A5BCB"/>
    <w:rsid w:val="006A60CD"/>
    <w:rsid w:val="006A74D8"/>
    <w:rsid w:val="006A7888"/>
    <w:rsid w:val="006A7D9A"/>
    <w:rsid w:val="006B0C6C"/>
    <w:rsid w:val="006B1FB1"/>
    <w:rsid w:val="006B356A"/>
    <w:rsid w:val="006B3B14"/>
    <w:rsid w:val="006B3D50"/>
    <w:rsid w:val="006B45C2"/>
    <w:rsid w:val="006B5629"/>
    <w:rsid w:val="006B5B70"/>
    <w:rsid w:val="006B6677"/>
    <w:rsid w:val="006B7AAB"/>
    <w:rsid w:val="006C1AF3"/>
    <w:rsid w:val="006C26A7"/>
    <w:rsid w:val="006C27B6"/>
    <w:rsid w:val="006C2D1C"/>
    <w:rsid w:val="006C3391"/>
    <w:rsid w:val="006C3A52"/>
    <w:rsid w:val="006C4024"/>
    <w:rsid w:val="006C44E3"/>
    <w:rsid w:val="006C45E9"/>
    <w:rsid w:val="006C50AC"/>
    <w:rsid w:val="006C56FF"/>
    <w:rsid w:val="006C62C2"/>
    <w:rsid w:val="006D14E6"/>
    <w:rsid w:val="006D2155"/>
    <w:rsid w:val="006D2820"/>
    <w:rsid w:val="006D2A02"/>
    <w:rsid w:val="006D487B"/>
    <w:rsid w:val="006D4A53"/>
    <w:rsid w:val="006D4F5F"/>
    <w:rsid w:val="006D545D"/>
    <w:rsid w:val="006D5CCC"/>
    <w:rsid w:val="006D61EE"/>
    <w:rsid w:val="006D6600"/>
    <w:rsid w:val="006D702A"/>
    <w:rsid w:val="006D7069"/>
    <w:rsid w:val="006D7263"/>
    <w:rsid w:val="006E02BD"/>
    <w:rsid w:val="006E0B78"/>
    <w:rsid w:val="006E0DAF"/>
    <w:rsid w:val="006E0DC6"/>
    <w:rsid w:val="006E17F7"/>
    <w:rsid w:val="006E1CAE"/>
    <w:rsid w:val="006E27B6"/>
    <w:rsid w:val="006E3B8C"/>
    <w:rsid w:val="006E4176"/>
    <w:rsid w:val="006E420C"/>
    <w:rsid w:val="006E57C9"/>
    <w:rsid w:val="006E5AF3"/>
    <w:rsid w:val="006E62C2"/>
    <w:rsid w:val="006E6C74"/>
    <w:rsid w:val="006E6CDC"/>
    <w:rsid w:val="006F0725"/>
    <w:rsid w:val="006F0EEC"/>
    <w:rsid w:val="006F1D28"/>
    <w:rsid w:val="006F42F8"/>
    <w:rsid w:val="006F43B4"/>
    <w:rsid w:val="006F4794"/>
    <w:rsid w:val="006F6A89"/>
    <w:rsid w:val="0070176D"/>
    <w:rsid w:val="00701818"/>
    <w:rsid w:val="0070247E"/>
    <w:rsid w:val="0070275F"/>
    <w:rsid w:val="00702A5F"/>
    <w:rsid w:val="00702D47"/>
    <w:rsid w:val="00703FC4"/>
    <w:rsid w:val="00704267"/>
    <w:rsid w:val="00704A56"/>
    <w:rsid w:val="00704BA0"/>
    <w:rsid w:val="00705811"/>
    <w:rsid w:val="00706B1B"/>
    <w:rsid w:val="0070766B"/>
    <w:rsid w:val="007106CB"/>
    <w:rsid w:val="007107CB"/>
    <w:rsid w:val="00710AFE"/>
    <w:rsid w:val="007118AD"/>
    <w:rsid w:val="00711F56"/>
    <w:rsid w:val="00712604"/>
    <w:rsid w:val="00712B4C"/>
    <w:rsid w:val="007132B2"/>
    <w:rsid w:val="00713EC2"/>
    <w:rsid w:val="0071426A"/>
    <w:rsid w:val="00715BC6"/>
    <w:rsid w:val="00716FFC"/>
    <w:rsid w:val="00717D09"/>
    <w:rsid w:val="0072050B"/>
    <w:rsid w:val="007215B0"/>
    <w:rsid w:val="00722A86"/>
    <w:rsid w:val="00722C21"/>
    <w:rsid w:val="00722D53"/>
    <w:rsid w:val="0072416B"/>
    <w:rsid w:val="00724FA0"/>
    <w:rsid w:val="00725C40"/>
    <w:rsid w:val="00726439"/>
    <w:rsid w:val="007268C4"/>
    <w:rsid w:val="007270DC"/>
    <w:rsid w:val="0072756E"/>
    <w:rsid w:val="0072788C"/>
    <w:rsid w:val="00730650"/>
    <w:rsid w:val="00730739"/>
    <w:rsid w:val="00731FA3"/>
    <w:rsid w:val="00732B36"/>
    <w:rsid w:val="00733801"/>
    <w:rsid w:val="007345C2"/>
    <w:rsid w:val="007350CB"/>
    <w:rsid w:val="00735738"/>
    <w:rsid w:val="00736BAF"/>
    <w:rsid w:val="00736C1E"/>
    <w:rsid w:val="00737044"/>
    <w:rsid w:val="007371E5"/>
    <w:rsid w:val="00741CD5"/>
    <w:rsid w:val="00742206"/>
    <w:rsid w:val="00742982"/>
    <w:rsid w:val="00743082"/>
    <w:rsid w:val="007437F6"/>
    <w:rsid w:val="00743CDC"/>
    <w:rsid w:val="00743EDC"/>
    <w:rsid w:val="00743F96"/>
    <w:rsid w:val="00744E02"/>
    <w:rsid w:val="00745DD1"/>
    <w:rsid w:val="007466AF"/>
    <w:rsid w:val="007471F3"/>
    <w:rsid w:val="007472C3"/>
    <w:rsid w:val="00747DD8"/>
    <w:rsid w:val="00750714"/>
    <w:rsid w:val="007509D5"/>
    <w:rsid w:val="0075190D"/>
    <w:rsid w:val="00751FFE"/>
    <w:rsid w:val="00752136"/>
    <w:rsid w:val="00752216"/>
    <w:rsid w:val="00753DB5"/>
    <w:rsid w:val="007545FC"/>
    <w:rsid w:val="007555A9"/>
    <w:rsid w:val="00756F9E"/>
    <w:rsid w:val="0075732E"/>
    <w:rsid w:val="00760374"/>
    <w:rsid w:val="007605B7"/>
    <w:rsid w:val="00760B80"/>
    <w:rsid w:val="00760B9E"/>
    <w:rsid w:val="0076119E"/>
    <w:rsid w:val="00762155"/>
    <w:rsid w:val="00762814"/>
    <w:rsid w:val="0076291E"/>
    <w:rsid w:val="00762D1C"/>
    <w:rsid w:val="00762E5B"/>
    <w:rsid w:val="007633BC"/>
    <w:rsid w:val="00763576"/>
    <w:rsid w:val="007637C5"/>
    <w:rsid w:val="007637E0"/>
    <w:rsid w:val="00764B90"/>
    <w:rsid w:val="00764FE4"/>
    <w:rsid w:val="00765591"/>
    <w:rsid w:val="0076585B"/>
    <w:rsid w:val="00765A17"/>
    <w:rsid w:val="00766081"/>
    <w:rsid w:val="0076639D"/>
    <w:rsid w:val="00767532"/>
    <w:rsid w:val="00767E1E"/>
    <w:rsid w:val="00770D8C"/>
    <w:rsid w:val="007716F0"/>
    <w:rsid w:val="00771854"/>
    <w:rsid w:val="007718A2"/>
    <w:rsid w:val="0077338C"/>
    <w:rsid w:val="007734A5"/>
    <w:rsid w:val="00773A09"/>
    <w:rsid w:val="007745A1"/>
    <w:rsid w:val="0077536E"/>
    <w:rsid w:val="00775DD0"/>
    <w:rsid w:val="00776960"/>
    <w:rsid w:val="00780181"/>
    <w:rsid w:val="00780D28"/>
    <w:rsid w:val="00781FA8"/>
    <w:rsid w:val="00782818"/>
    <w:rsid w:val="0078398D"/>
    <w:rsid w:val="00784FA4"/>
    <w:rsid w:val="0078536D"/>
    <w:rsid w:val="0078573C"/>
    <w:rsid w:val="00785D19"/>
    <w:rsid w:val="00785D6E"/>
    <w:rsid w:val="00786337"/>
    <w:rsid w:val="00786CB9"/>
    <w:rsid w:val="00786F63"/>
    <w:rsid w:val="007871EF"/>
    <w:rsid w:val="00787F38"/>
    <w:rsid w:val="007900E8"/>
    <w:rsid w:val="0079051A"/>
    <w:rsid w:val="00790E79"/>
    <w:rsid w:val="0079181A"/>
    <w:rsid w:val="00792935"/>
    <w:rsid w:val="00793C68"/>
    <w:rsid w:val="00793FB2"/>
    <w:rsid w:val="00793FD3"/>
    <w:rsid w:val="007947A1"/>
    <w:rsid w:val="0079518D"/>
    <w:rsid w:val="00795A30"/>
    <w:rsid w:val="00795C46"/>
    <w:rsid w:val="0079636C"/>
    <w:rsid w:val="00796A8E"/>
    <w:rsid w:val="00797645"/>
    <w:rsid w:val="0079786B"/>
    <w:rsid w:val="0079791B"/>
    <w:rsid w:val="007A01CD"/>
    <w:rsid w:val="007A197B"/>
    <w:rsid w:val="007A1A7A"/>
    <w:rsid w:val="007A1F82"/>
    <w:rsid w:val="007A2C37"/>
    <w:rsid w:val="007A2CCA"/>
    <w:rsid w:val="007A371D"/>
    <w:rsid w:val="007A37A7"/>
    <w:rsid w:val="007A3A5C"/>
    <w:rsid w:val="007A4C3C"/>
    <w:rsid w:val="007A5320"/>
    <w:rsid w:val="007A597F"/>
    <w:rsid w:val="007A603D"/>
    <w:rsid w:val="007A6143"/>
    <w:rsid w:val="007A7012"/>
    <w:rsid w:val="007A7585"/>
    <w:rsid w:val="007A7DC9"/>
    <w:rsid w:val="007B031D"/>
    <w:rsid w:val="007B1754"/>
    <w:rsid w:val="007B2A2C"/>
    <w:rsid w:val="007B2CB0"/>
    <w:rsid w:val="007B3CDC"/>
    <w:rsid w:val="007B3F7E"/>
    <w:rsid w:val="007B4193"/>
    <w:rsid w:val="007B41D7"/>
    <w:rsid w:val="007B43C4"/>
    <w:rsid w:val="007B49A7"/>
    <w:rsid w:val="007B52C1"/>
    <w:rsid w:val="007B5ECE"/>
    <w:rsid w:val="007B638B"/>
    <w:rsid w:val="007B6552"/>
    <w:rsid w:val="007B66FC"/>
    <w:rsid w:val="007B6AF2"/>
    <w:rsid w:val="007B7D0E"/>
    <w:rsid w:val="007C06BE"/>
    <w:rsid w:val="007C1B77"/>
    <w:rsid w:val="007C33FB"/>
    <w:rsid w:val="007C4073"/>
    <w:rsid w:val="007C43F4"/>
    <w:rsid w:val="007C5E38"/>
    <w:rsid w:val="007C5F35"/>
    <w:rsid w:val="007C693D"/>
    <w:rsid w:val="007C6BE3"/>
    <w:rsid w:val="007C6EB8"/>
    <w:rsid w:val="007C6FF7"/>
    <w:rsid w:val="007C7616"/>
    <w:rsid w:val="007D02AD"/>
    <w:rsid w:val="007D080F"/>
    <w:rsid w:val="007D09C4"/>
    <w:rsid w:val="007D1449"/>
    <w:rsid w:val="007D145D"/>
    <w:rsid w:val="007D1625"/>
    <w:rsid w:val="007D27A2"/>
    <w:rsid w:val="007D286E"/>
    <w:rsid w:val="007D2D6A"/>
    <w:rsid w:val="007D2D91"/>
    <w:rsid w:val="007D31AC"/>
    <w:rsid w:val="007D4A42"/>
    <w:rsid w:val="007D51B5"/>
    <w:rsid w:val="007D54E9"/>
    <w:rsid w:val="007D5680"/>
    <w:rsid w:val="007D6FD8"/>
    <w:rsid w:val="007D7823"/>
    <w:rsid w:val="007D7F11"/>
    <w:rsid w:val="007E001F"/>
    <w:rsid w:val="007E0C99"/>
    <w:rsid w:val="007E0FA1"/>
    <w:rsid w:val="007E16C2"/>
    <w:rsid w:val="007E1AF4"/>
    <w:rsid w:val="007E1D7E"/>
    <w:rsid w:val="007E1EC6"/>
    <w:rsid w:val="007E20EE"/>
    <w:rsid w:val="007E28D8"/>
    <w:rsid w:val="007E3053"/>
    <w:rsid w:val="007E3FB0"/>
    <w:rsid w:val="007E443D"/>
    <w:rsid w:val="007E5401"/>
    <w:rsid w:val="007E5543"/>
    <w:rsid w:val="007E6B07"/>
    <w:rsid w:val="007F1D90"/>
    <w:rsid w:val="007F3069"/>
    <w:rsid w:val="007F31FD"/>
    <w:rsid w:val="007F3AB1"/>
    <w:rsid w:val="007F3C38"/>
    <w:rsid w:val="007F4656"/>
    <w:rsid w:val="007F5677"/>
    <w:rsid w:val="007F5DEE"/>
    <w:rsid w:val="007F687D"/>
    <w:rsid w:val="007F6C09"/>
    <w:rsid w:val="007F73CA"/>
    <w:rsid w:val="007F7881"/>
    <w:rsid w:val="007F7C91"/>
    <w:rsid w:val="007F7F94"/>
    <w:rsid w:val="00801CE5"/>
    <w:rsid w:val="00801E97"/>
    <w:rsid w:val="008027EA"/>
    <w:rsid w:val="00802E0F"/>
    <w:rsid w:val="00803105"/>
    <w:rsid w:val="00804262"/>
    <w:rsid w:val="00804602"/>
    <w:rsid w:val="00804F50"/>
    <w:rsid w:val="00805B09"/>
    <w:rsid w:val="00807D4C"/>
    <w:rsid w:val="00807EB6"/>
    <w:rsid w:val="008104C0"/>
    <w:rsid w:val="00810B32"/>
    <w:rsid w:val="00811839"/>
    <w:rsid w:val="00811F78"/>
    <w:rsid w:val="008128A9"/>
    <w:rsid w:val="00812A40"/>
    <w:rsid w:val="00812D82"/>
    <w:rsid w:val="00813C6A"/>
    <w:rsid w:val="00813CEE"/>
    <w:rsid w:val="00815860"/>
    <w:rsid w:val="00816345"/>
    <w:rsid w:val="00816960"/>
    <w:rsid w:val="00816F68"/>
    <w:rsid w:val="008177B0"/>
    <w:rsid w:val="00817AEB"/>
    <w:rsid w:val="008202ED"/>
    <w:rsid w:val="008209D2"/>
    <w:rsid w:val="00820E93"/>
    <w:rsid w:val="00821EA5"/>
    <w:rsid w:val="008237F1"/>
    <w:rsid w:val="00824154"/>
    <w:rsid w:val="00825F22"/>
    <w:rsid w:val="0082705D"/>
    <w:rsid w:val="00827635"/>
    <w:rsid w:val="00827923"/>
    <w:rsid w:val="00827FD6"/>
    <w:rsid w:val="00830416"/>
    <w:rsid w:val="00830933"/>
    <w:rsid w:val="00831409"/>
    <w:rsid w:val="00831C1C"/>
    <w:rsid w:val="00831CB8"/>
    <w:rsid w:val="008327BA"/>
    <w:rsid w:val="00833110"/>
    <w:rsid w:val="008338CB"/>
    <w:rsid w:val="0083410E"/>
    <w:rsid w:val="008348A0"/>
    <w:rsid w:val="00834D27"/>
    <w:rsid w:val="00835C3E"/>
    <w:rsid w:val="00835DB8"/>
    <w:rsid w:val="00837048"/>
    <w:rsid w:val="00837B91"/>
    <w:rsid w:val="00837DE9"/>
    <w:rsid w:val="00840EAF"/>
    <w:rsid w:val="00841A35"/>
    <w:rsid w:val="00841A92"/>
    <w:rsid w:val="00841D0E"/>
    <w:rsid w:val="00842686"/>
    <w:rsid w:val="00842BA4"/>
    <w:rsid w:val="008438C5"/>
    <w:rsid w:val="008445D2"/>
    <w:rsid w:val="00846594"/>
    <w:rsid w:val="008470F2"/>
    <w:rsid w:val="00847B7F"/>
    <w:rsid w:val="008504A3"/>
    <w:rsid w:val="00851169"/>
    <w:rsid w:val="00851708"/>
    <w:rsid w:val="008517DF"/>
    <w:rsid w:val="008526DF"/>
    <w:rsid w:val="00852DC6"/>
    <w:rsid w:val="0085358E"/>
    <w:rsid w:val="00853617"/>
    <w:rsid w:val="008536D5"/>
    <w:rsid w:val="00853DA0"/>
    <w:rsid w:val="00854C15"/>
    <w:rsid w:val="00855654"/>
    <w:rsid w:val="00856507"/>
    <w:rsid w:val="008568E7"/>
    <w:rsid w:val="00860607"/>
    <w:rsid w:val="00860BAD"/>
    <w:rsid w:val="00861318"/>
    <w:rsid w:val="008615CF"/>
    <w:rsid w:val="008617EC"/>
    <w:rsid w:val="00861D8C"/>
    <w:rsid w:val="0086207F"/>
    <w:rsid w:val="00862C55"/>
    <w:rsid w:val="0086330B"/>
    <w:rsid w:val="008634F7"/>
    <w:rsid w:val="00863FC3"/>
    <w:rsid w:val="00863FF9"/>
    <w:rsid w:val="0086418D"/>
    <w:rsid w:val="0086499E"/>
    <w:rsid w:val="00864F7C"/>
    <w:rsid w:val="00865A55"/>
    <w:rsid w:val="00865E2A"/>
    <w:rsid w:val="0086601C"/>
    <w:rsid w:val="00866024"/>
    <w:rsid w:val="008662EB"/>
    <w:rsid w:val="00866E50"/>
    <w:rsid w:val="00867CFD"/>
    <w:rsid w:val="00867F1B"/>
    <w:rsid w:val="00867F4C"/>
    <w:rsid w:val="008707CA"/>
    <w:rsid w:val="00870A2C"/>
    <w:rsid w:val="008714D3"/>
    <w:rsid w:val="008729A4"/>
    <w:rsid w:val="00872C4D"/>
    <w:rsid w:val="0087370E"/>
    <w:rsid w:val="008737B3"/>
    <w:rsid w:val="00873F0C"/>
    <w:rsid w:val="008752CC"/>
    <w:rsid w:val="00875AB2"/>
    <w:rsid w:val="00876B96"/>
    <w:rsid w:val="00876E4E"/>
    <w:rsid w:val="00880EEC"/>
    <w:rsid w:val="0088102E"/>
    <w:rsid w:val="008821B7"/>
    <w:rsid w:val="00882514"/>
    <w:rsid w:val="00882A77"/>
    <w:rsid w:val="008852EB"/>
    <w:rsid w:val="00885615"/>
    <w:rsid w:val="00887542"/>
    <w:rsid w:val="00890189"/>
    <w:rsid w:val="00891083"/>
    <w:rsid w:val="0089155E"/>
    <w:rsid w:val="00891C05"/>
    <w:rsid w:val="00891C38"/>
    <w:rsid w:val="00891C40"/>
    <w:rsid w:val="00892CD6"/>
    <w:rsid w:val="00892F12"/>
    <w:rsid w:val="00893150"/>
    <w:rsid w:val="00893D61"/>
    <w:rsid w:val="00894E5B"/>
    <w:rsid w:val="0089570C"/>
    <w:rsid w:val="00895CD0"/>
    <w:rsid w:val="00896B3B"/>
    <w:rsid w:val="0089704A"/>
    <w:rsid w:val="00897BEB"/>
    <w:rsid w:val="008A024B"/>
    <w:rsid w:val="008A09F2"/>
    <w:rsid w:val="008A0DB1"/>
    <w:rsid w:val="008A1D4C"/>
    <w:rsid w:val="008A218B"/>
    <w:rsid w:val="008A2417"/>
    <w:rsid w:val="008A24B5"/>
    <w:rsid w:val="008A311C"/>
    <w:rsid w:val="008A3612"/>
    <w:rsid w:val="008A3A28"/>
    <w:rsid w:val="008A5159"/>
    <w:rsid w:val="008A5442"/>
    <w:rsid w:val="008A5918"/>
    <w:rsid w:val="008A6393"/>
    <w:rsid w:val="008A69CF"/>
    <w:rsid w:val="008A6D52"/>
    <w:rsid w:val="008A6E1E"/>
    <w:rsid w:val="008A72A7"/>
    <w:rsid w:val="008A7773"/>
    <w:rsid w:val="008A7976"/>
    <w:rsid w:val="008B089C"/>
    <w:rsid w:val="008B1A65"/>
    <w:rsid w:val="008B2A7D"/>
    <w:rsid w:val="008B3F40"/>
    <w:rsid w:val="008B505C"/>
    <w:rsid w:val="008B508A"/>
    <w:rsid w:val="008B5CAC"/>
    <w:rsid w:val="008B60F4"/>
    <w:rsid w:val="008B7F50"/>
    <w:rsid w:val="008C088C"/>
    <w:rsid w:val="008C0D0F"/>
    <w:rsid w:val="008C0D7C"/>
    <w:rsid w:val="008C11F3"/>
    <w:rsid w:val="008C1975"/>
    <w:rsid w:val="008C2178"/>
    <w:rsid w:val="008C2A3E"/>
    <w:rsid w:val="008C2C82"/>
    <w:rsid w:val="008C2F3E"/>
    <w:rsid w:val="008C3ECD"/>
    <w:rsid w:val="008C4924"/>
    <w:rsid w:val="008C545C"/>
    <w:rsid w:val="008C59E6"/>
    <w:rsid w:val="008C6134"/>
    <w:rsid w:val="008C6224"/>
    <w:rsid w:val="008C6E68"/>
    <w:rsid w:val="008C6FB2"/>
    <w:rsid w:val="008C712C"/>
    <w:rsid w:val="008C750A"/>
    <w:rsid w:val="008D008C"/>
    <w:rsid w:val="008D0D7F"/>
    <w:rsid w:val="008D253A"/>
    <w:rsid w:val="008D27A3"/>
    <w:rsid w:val="008D29DA"/>
    <w:rsid w:val="008D4020"/>
    <w:rsid w:val="008D42DC"/>
    <w:rsid w:val="008D6BE4"/>
    <w:rsid w:val="008D70CD"/>
    <w:rsid w:val="008D7756"/>
    <w:rsid w:val="008E02E8"/>
    <w:rsid w:val="008E043B"/>
    <w:rsid w:val="008E067F"/>
    <w:rsid w:val="008E228A"/>
    <w:rsid w:val="008E33B8"/>
    <w:rsid w:val="008E3B55"/>
    <w:rsid w:val="008E41BC"/>
    <w:rsid w:val="008E4C3C"/>
    <w:rsid w:val="008E568F"/>
    <w:rsid w:val="008E604E"/>
    <w:rsid w:val="008E690E"/>
    <w:rsid w:val="008E6F45"/>
    <w:rsid w:val="008E7E5A"/>
    <w:rsid w:val="008F157F"/>
    <w:rsid w:val="008F18C7"/>
    <w:rsid w:val="008F1A3B"/>
    <w:rsid w:val="008F31B4"/>
    <w:rsid w:val="008F5347"/>
    <w:rsid w:val="008F5F3B"/>
    <w:rsid w:val="008F68D8"/>
    <w:rsid w:val="008F6E10"/>
    <w:rsid w:val="008F782F"/>
    <w:rsid w:val="008F7D63"/>
    <w:rsid w:val="008F7FF6"/>
    <w:rsid w:val="00900345"/>
    <w:rsid w:val="00901322"/>
    <w:rsid w:val="00901B71"/>
    <w:rsid w:val="00902073"/>
    <w:rsid w:val="00902327"/>
    <w:rsid w:val="00902CB5"/>
    <w:rsid w:val="00902E32"/>
    <w:rsid w:val="00903991"/>
    <w:rsid w:val="00904408"/>
    <w:rsid w:val="009044A1"/>
    <w:rsid w:val="009046C3"/>
    <w:rsid w:val="00904B9D"/>
    <w:rsid w:val="00904D03"/>
    <w:rsid w:val="00905BAD"/>
    <w:rsid w:val="00907457"/>
    <w:rsid w:val="00907EF1"/>
    <w:rsid w:val="00910934"/>
    <w:rsid w:val="00910D2C"/>
    <w:rsid w:val="009116C1"/>
    <w:rsid w:val="00911A6C"/>
    <w:rsid w:val="00911C4A"/>
    <w:rsid w:val="0091310C"/>
    <w:rsid w:val="00913FE0"/>
    <w:rsid w:val="009140F9"/>
    <w:rsid w:val="009142EC"/>
    <w:rsid w:val="009143EE"/>
    <w:rsid w:val="00914648"/>
    <w:rsid w:val="0091477B"/>
    <w:rsid w:val="00916691"/>
    <w:rsid w:val="00916F37"/>
    <w:rsid w:val="00917205"/>
    <w:rsid w:val="0091730E"/>
    <w:rsid w:val="00917879"/>
    <w:rsid w:val="00917986"/>
    <w:rsid w:val="009200E1"/>
    <w:rsid w:val="00922E2A"/>
    <w:rsid w:val="00923DB7"/>
    <w:rsid w:val="009246F8"/>
    <w:rsid w:val="00924AD4"/>
    <w:rsid w:val="00925067"/>
    <w:rsid w:val="00925727"/>
    <w:rsid w:val="00926159"/>
    <w:rsid w:val="00926A75"/>
    <w:rsid w:val="00926B67"/>
    <w:rsid w:val="00926FCA"/>
    <w:rsid w:val="009270A4"/>
    <w:rsid w:val="009270F5"/>
    <w:rsid w:val="009271CF"/>
    <w:rsid w:val="00927503"/>
    <w:rsid w:val="00930477"/>
    <w:rsid w:val="00930FF6"/>
    <w:rsid w:val="009313D3"/>
    <w:rsid w:val="00932079"/>
    <w:rsid w:val="009321E6"/>
    <w:rsid w:val="00932EBF"/>
    <w:rsid w:val="00932EC2"/>
    <w:rsid w:val="00933ECB"/>
    <w:rsid w:val="009354CF"/>
    <w:rsid w:val="00935718"/>
    <w:rsid w:val="00935E59"/>
    <w:rsid w:val="00940BF9"/>
    <w:rsid w:val="00941456"/>
    <w:rsid w:val="0094237F"/>
    <w:rsid w:val="0094264C"/>
    <w:rsid w:val="00942FD2"/>
    <w:rsid w:val="00943EB3"/>
    <w:rsid w:val="00943F43"/>
    <w:rsid w:val="009446F6"/>
    <w:rsid w:val="00944F20"/>
    <w:rsid w:val="009458FF"/>
    <w:rsid w:val="00945AAE"/>
    <w:rsid w:val="00946A04"/>
    <w:rsid w:val="00946C3B"/>
    <w:rsid w:val="00946FFD"/>
    <w:rsid w:val="009477BC"/>
    <w:rsid w:val="009477F6"/>
    <w:rsid w:val="00951776"/>
    <w:rsid w:val="00952BD1"/>
    <w:rsid w:val="00952FCA"/>
    <w:rsid w:val="00953599"/>
    <w:rsid w:val="009538A3"/>
    <w:rsid w:val="00953DEE"/>
    <w:rsid w:val="0095491A"/>
    <w:rsid w:val="00954C65"/>
    <w:rsid w:val="00954EF6"/>
    <w:rsid w:val="00954F77"/>
    <w:rsid w:val="0095677B"/>
    <w:rsid w:val="00957832"/>
    <w:rsid w:val="00957A83"/>
    <w:rsid w:val="00957D0F"/>
    <w:rsid w:val="0096072F"/>
    <w:rsid w:val="00960730"/>
    <w:rsid w:val="009616F6"/>
    <w:rsid w:val="00963703"/>
    <w:rsid w:val="00963DC5"/>
    <w:rsid w:val="0096495D"/>
    <w:rsid w:val="00965573"/>
    <w:rsid w:val="009664BB"/>
    <w:rsid w:val="009706C3"/>
    <w:rsid w:val="009710B4"/>
    <w:rsid w:val="00971DA7"/>
    <w:rsid w:val="00971F0B"/>
    <w:rsid w:val="009728F1"/>
    <w:rsid w:val="00973882"/>
    <w:rsid w:val="00973A2F"/>
    <w:rsid w:val="009759BC"/>
    <w:rsid w:val="00975AF4"/>
    <w:rsid w:val="00975BDE"/>
    <w:rsid w:val="00976A69"/>
    <w:rsid w:val="00976DA6"/>
    <w:rsid w:val="00976DA7"/>
    <w:rsid w:val="00977967"/>
    <w:rsid w:val="0098030E"/>
    <w:rsid w:val="009808DE"/>
    <w:rsid w:val="00980E0E"/>
    <w:rsid w:val="009815F9"/>
    <w:rsid w:val="00981714"/>
    <w:rsid w:val="00981A4E"/>
    <w:rsid w:val="00981B88"/>
    <w:rsid w:val="00981F5B"/>
    <w:rsid w:val="00982DAE"/>
    <w:rsid w:val="00983538"/>
    <w:rsid w:val="00983A1F"/>
    <w:rsid w:val="00983B16"/>
    <w:rsid w:val="009841F3"/>
    <w:rsid w:val="009848A7"/>
    <w:rsid w:val="00984FF4"/>
    <w:rsid w:val="00985291"/>
    <w:rsid w:val="00985C99"/>
    <w:rsid w:val="009867ED"/>
    <w:rsid w:val="009869F5"/>
    <w:rsid w:val="00987569"/>
    <w:rsid w:val="009879B3"/>
    <w:rsid w:val="009909B3"/>
    <w:rsid w:val="00990EEF"/>
    <w:rsid w:val="00991027"/>
    <w:rsid w:val="00991250"/>
    <w:rsid w:val="00991450"/>
    <w:rsid w:val="00992334"/>
    <w:rsid w:val="00993303"/>
    <w:rsid w:val="00993E9C"/>
    <w:rsid w:val="00995167"/>
    <w:rsid w:val="009953D1"/>
    <w:rsid w:val="0099564E"/>
    <w:rsid w:val="00995D83"/>
    <w:rsid w:val="0099624D"/>
    <w:rsid w:val="009962C2"/>
    <w:rsid w:val="009962C4"/>
    <w:rsid w:val="00996401"/>
    <w:rsid w:val="00996AB8"/>
    <w:rsid w:val="009972BE"/>
    <w:rsid w:val="009973C8"/>
    <w:rsid w:val="00997F08"/>
    <w:rsid w:val="009A0E90"/>
    <w:rsid w:val="009A2E53"/>
    <w:rsid w:val="009A34EE"/>
    <w:rsid w:val="009A3A89"/>
    <w:rsid w:val="009A4E87"/>
    <w:rsid w:val="009A51DD"/>
    <w:rsid w:val="009A542E"/>
    <w:rsid w:val="009A5983"/>
    <w:rsid w:val="009A5AF4"/>
    <w:rsid w:val="009A6596"/>
    <w:rsid w:val="009A677F"/>
    <w:rsid w:val="009A693F"/>
    <w:rsid w:val="009A6B8E"/>
    <w:rsid w:val="009A6D7D"/>
    <w:rsid w:val="009A7794"/>
    <w:rsid w:val="009B0199"/>
    <w:rsid w:val="009B0688"/>
    <w:rsid w:val="009B1153"/>
    <w:rsid w:val="009B11B3"/>
    <w:rsid w:val="009B1623"/>
    <w:rsid w:val="009B1B20"/>
    <w:rsid w:val="009B2CE3"/>
    <w:rsid w:val="009B37D5"/>
    <w:rsid w:val="009B488D"/>
    <w:rsid w:val="009B4B56"/>
    <w:rsid w:val="009B4E53"/>
    <w:rsid w:val="009B55D8"/>
    <w:rsid w:val="009B5D42"/>
    <w:rsid w:val="009B6F5D"/>
    <w:rsid w:val="009B71BE"/>
    <w:rsid w:val="009B759F"/>
    <w:rsid w:val="009B7BC0"/>
    <w:rsid w:val="009C0AA5"/>
    <w:rsid w:val="009C0C80"/>
    <w:rsid w:val="009C0F3F"/>
    <w:rsid w:val="009C30A9"/>
    <w:rsid w:val="009C31F7"/>
    <w:rsid w:val="009C3614"/>
    <w:rsid w:val="009C4137"/>
    <w:rsid w:val="009C68C6"/>
    <w:rsid w:val="009D0185"/>
    <w:rsid w:val="009D0380"/>
    <w:rsid w:val="009D1157"/>
    <w:rsid w:val="009D123A"/>
    <w:rsid w:val="009D17A5"/>
    <w:rsid w:val="009D1CB7"/>
    <w:rsid w:val="009D1F81"/>
    <w:rsid w:val="009D235A"/>
    <w:rsid w:val="009D3062"/>
    <w:rsid w:val="009D3726"/>
    <w:rsid w:val="009D3A7D"/>
    <w:rsid w:val="009D407B"/>
    <w:rsid w:val="009D43B5"/>
    <w:rsid w:val="009D4556"/>
    <w:rsid w:val="009D4558"/>
    <w:rsid w:val="009D525E"/>
    <w:rsid w:val="009D53B6"/>
    <w:rsid w:val="009D5679"/>
    <w:rsid w:val="009D6D16"/>
    <w:rsid w:val="009D74C8"/>
    <w:rsid w:val="009D769D"/>
    <w:rsid w:val="009E025D"/>
    <w:rsid w:val="009E1826"/>
    <w:rsid w:val="009E2387"/>
    <w:rsid w:val="009E2586"/>
    <w:rsid w:val="009E2CF2"/>
    <w:rsid w:val="009E33C8"/>
    <w:rsid w:val="009E42FB"/>
    <w:rsid w:val="009E480A"/>
    <w:rsid w:val="009E59E1"/>
    <w:rsid w:val="009E5B88"/>
    <w:rsid w:val="009E5BD0"/>
    <w:rsid w:val="009E618B"/>
    <w:rsid w:val="009E6D79"/>
    <w:rsid w:val="009E735F"/>
    <w:rsid w:val="009E752A"/>
    <w:rsid w:val="009E79E5"/>
    <w:rsid w:val="009F1CB3"/>
    <w:rsid w:val="009F1FF3"/>
    <w:rsid w:val="009F2245"/>
    <w:rsid w:val="009F2B85"/>
    <w:rsid w:val="009F35EB"/>
    <w:rsid w:val="009F373B"/>
    <w:rsid w:val="009F3FF1"/>
    <w:rsid w:val="009F4F77"/>
    <w:rsid w:val="009F5049"/>
    <w:rsid w:val="009F5A00"/>
    <w:rsid w:val="009F6638"/>
    <w:rsid w:val="009F67D2"/>
    <w:rsid w:val="009F6B88"/>
    <w:rsid w:val="009F7AAC"/>
    <w:rsid w:val="00A010D3"/>
    <w:rsid w:val="00A01196"/>
    <w:rsid w:val="00A01631"/>
    <w:rsid w:val="00A01856"/>
    <w:rsid w:val="00A01BF0"/>
    <w:rsid w:val="00A01D92"/>
    <w:rsid w:val="00A01FAD"/>
    <w:rsid w:val="00A023D4"/>
    <w:rsid w:val="00A024DB"/>
    <w:rsid w:val="00A02D6C"/>
    <w:rsid w:val="00A031A9"/>
    <w:rsid w:val="00A03B03"/>
    <w:rsid w:val="00A0407D"/>
    <w:rsid w:val="00A040CB"/>
    <w:rsid w:val="00A04812"/>
    <w:rsid w:val="00A04EB0"/>
    <w:rsid w:val="00A07F44"/>
    <w:rsid w:val="00A10026"/>
    <w:rsid w:val="00A113EE"/>
    <w:rsid w:val="00A12353"/>
    <w:rsid w:val="00A12F74"/>
    <w:rsid w:val="00A130C0"/>
    <w:rsid w:val="00A142F6"/>
    <w:rsid w:val="00A147CE"/>
    <w:rsid w:val="00A1555E"/>
    <w:rsid w:val="00A169E4"/>
    <w:rsid w:val="00A16B56"/>
    <w:rsid w:val="00A1737F"/>
    <w:rsid w:val="00A175C4"/>
    <w:rsid w:val="00A2012F"/>
    <w:rsid w:val="00A20A1B"/>
    <w:rsid w:val="00A20DD5"/>
    <w:rsid w:val="00A20E92"/>
    <w:rsid w:val="00A210A9"/>
    <w:rsid w:val="00A21393"/>
    <w:rsid w:val="00A217DD"/>
    <w:rsid w:val="00A21D2A"/>
    <w:rsid w:val="00A2310F"/>
    <w:rsid w:val="00A23B26"/>
    <w:rsid w:val="00A25222"/>
    <w:rsid w:val="00A2681E"/>
    <w:rsid w:val="00A3001E"/>
    <w:rsid w:val="00A30807"/>
    <w:rsid w:val="00A310FF"/>
    <w:rsid w:val="00A31920"/>
    <w:rsid w:val="00A31BBD"/>
    <w:rsid w:val="00A32109"/>
    <w:rsid w:val="00A335BC"/>
    <w:rsid w:val="00A34FBB"/>
    <w:rsid w:val="00A35150"/>
    <w:rsid w:val="00A3582B"/>
    <w:rsid w:val="00A35F6F"/>
    <w:rsid w:val="00A36744"/>
    <w:rsid w:val="00A368D8"/>
    <w:rsid w:val="00A36A42"/>
    <w:rsid w:val="00A3748E"/>
    <w:rsid w:val="00A37C90"/>
    <w:rsid w:val="00A37E8E"/>
    <w:rsid w:val="00A4005D"/>
    <w:rsid w:val="00A40471"/>
    <w:rsid w:val="00A40A25"/>
    <w:rsid w:val="00A40A27"/>
    <w:rsid w:val="00A40B59"/>
    <w:rsid w:val="00A410A2"/>
    <w:rsid w:val="00A418A2"/>
    <w:rsid w:val="00A4200A"/>
    <w:rsid w:val="00A4245F"/>
    <w:rsid w:val="00A42BE6"/>
    <w:rsid w:val="00A44CB4"/>
    <w:rsid w:val="00A45764"/>
    <w:rsid w:val="00A45A0C"/>
    <w:rsid w:val="00A45EFC"/>
    <w:rsid w:val="00A46D38"/>
    <w:rsid w:val="00A47D34"/>
    <w:rsid w:val="00A50D20"/>
    <w:rsid w:val="00A51A01"/>
    <w:rsid w:val="00A51C66"/>
    <w:rsid w:val="00A54089"/>
    <w:rsid w:val="00A54DBA"/>
    <w:rsid w:val="00A54E4E"/>
    <w:rsid w:val="00A5516B"/>
    <w:rsid w:val="00A55181"/>
    <w:rsid w:val="00A57391"/>
    <w:rsid w:val="00A600F6"/>
    <w:rsid w:val="00A60CDB"/>
    <w:rsid w:val="00A63339"/>
    <w:rsid w:val="00A63445"/>
    <w:rsid w:val="00A63637"/>
    <w:rsid w:val="00A63F0E"/>
    <w:rsid w:val="00A64077"/>
    <w:rsid w:val="00A646AB"/>
    <w:rsid w:val="00A64C35"/>
    <w:rsid w:val="00A64DF3"/>
    <w:rsid w:val="00A656B4"/>
    <w:rsid w:val="00A65D6F"/>
    <w:rsid w:val="00A6607B"/>
    <w:rsid w:val="00A662E9"/>
    <w:rsid w:val="00A667E2"/>
    <w:rsid w:val="00A66C2D"/>
    <w:rsid w:val="00A66FEE"/>
    <w:rsid w:val="00A67F09"/>
    <w:rsid w:val="00A70B53"/>
    <w:rsid w:val="00A71B06"/>
    <w:rsid w:val="00A72028"/>
    <w:rsid w:val="00A74B1F"/>
    <w:rsid w:val="00A756C9"/>
    <w:rsid w:val="00A76639"/>
    <w:rsid w:val="00A77E71"/>
    <w:rsid w:val="00A803E1"/>
    <w:rsid w:val="00A8291D"/>
    <w:rsid w:val="00A83791"/>
    <w:rsid w:val="00A83821"/>
    <w:rsid w:val="00A8395F"/>
    <w:rsid w:val="00A83E4D"/>
    <w:rsid w:val="00A845E7"/>
    <w:rsid w:val="00A8461F"/>
    <w:rsid w:val="00A84883"/>
    <w:rsid w:val="00A84E32"/>
    <w:rsid w:val="00A8540D"/>
    <w:rsid w:val="00A85CB6"/>
    <w:rsid w:val="00A85FC5"/>
    <w:rsid w:val="00A86F76"/>
    <w:rsid w:val="00A87644"/>
    <w:rsid w:val="00A902C5"/>
    <w:rsid w:val="00A90EC2"/>
    <w:rsid w:val="00A91E82"/>
    <w:rsid w:val="00A92002"/>
    <w:rsid w:val="00A929B2"/>
    <w:rsid w:val="00A932C9"/>
    <w:rsid w:val="00A933EE"/>
    <w:rsid w:val="00A94FD3"/>
    <w:rsid w:val="00A95B3D"/>
    <w:rsid w:val="00A95C4E"/>
    <w:rsid w:val="00A964D2"/>
    <w:rsid w:val="00A9685C"/>
    <w:rsid w:val="00A96D93"/>
    <w:rsid w:val="00A978B4"/>
    <w:rsid w:val="00A97AF4"/>
    <w:rsid w:val="00AA0411"/>
    <w:rsid w:val="00AA2275"/>
    <w:rsid w:val="00AA3359"/>
    <w:rsid w:val="00AA3469"/>
    <w:rsid w:val="00AA4B87"/>
    <w:rsid w:val="00AA4EB7"/>
    <w:rsid w:val="00AA575C"/>
    <w:rsid w:val="00AA5C1E"/>
    <w:rsid w:val="00AA6308"/>
    <w:rsid w:val="00AA6C5A"/>
    <w:rsid w:val="00AA70E4"/>
    <w:rsid w:val="00AA7968"/>
    <w:rsid w:val="00AA7D21"/>
    <w:rsid w:val="00AB063A"/>
    <w:rsid w:val="00AB0AC3"/>
    <w:rsid w:val="00AB0E36"/>
    <w:rsid w:val="00AB0EF0"/>
    <w:rsid w:val="00AB175C"/>
    <w:rsid w:val="00AB33D3"/>
    <w:rsid w:val="00AB343A"/>
    <w:rsid w:val="00AB42D1"/>
    <w:rsid w:val="00AB70B4"/>
    <w:rsid w:val="00AB73BF"/>
    <w:rsid w:val="00AB742E"/>
    <w:rsid w:val="00AB78F1"/>
    <w:rsid w:val="00AB7D13"/>
    <w:rsid w:val="00AB7EF6"/>
    <w:rsid w:val="00AC0021"/>
    <w:rsid w:val="00AC0390"/>
    <w:rsid w:val="00AC04EE"/>
    <w:rsid w:val="00AC0802"/>
    <w:rsid w:val="00AC1C75"/>
    <w:rsid w:val="00AC24AB"/>
    <w:rsid w:val="00AC3081"/>
    <w:rsid w:val="00AC38DA"/>
    <w:rsid w:val="00AC4174"/>
    <w:rsid w:val="00AC47A5"/>
    <w:rsid w:val="00AC50DE"/>
    <w:rsid w:val="00AC618C"/>
    <w:rsid w:val="00AC6909"/>
    <w:rsid w:val="00AD0E15"/>
    <w:rsid w:val="00AD0EE5"/>
    <w:rsid w:val="00AD4232"/>
    <w:rsid w:val="00AD4CA6"/>
    <w:rsid w:val="00AD4DFA"/>
    <w:rsid w:val="00AD5CA1"/>
    <w:rsid w:val="00AD6CE0"/>
    <w:rsid w:val="00AD7088"/>
    <w:rsid w:val="00AD74A5"/>
    <w:rsid w:val="00AE0145"/>
    <w:rsid w:val="00AE01A9"/>
    <w:rsid w:val="00AE02FE"/>
    <w:rsid w:val="00AE136E"/>
    <w:rsid w:val="00AE2035"/>
    <w:rsid w:val="00AE2E9C"/>
    <w:rsid w:val="00AE3102"/>
    <w:rsid w:val="00AE3489"/>
    <w:rsid w:val="00AE3C64"/>
    <w:rsid w:val="00AE4132"/>
    <w:rsid w:val="00AE46D2"/>
    <w:rsid w:val="00AE4AD9"/>
    <w:rsid w:val="00AE5898"/>
    <w:rsid w:val="00AE5DC6"/>
    <w:rsid w:val="00AE730D"/>
    <w:rsid w:val="00AE75AF"/>
    <w:rsid w:val="00AF0425"/>
    <w:rsid w:val="00AF0706"/>
    <w:rsid w:val="00AF26EF"/>
    <w:rsid w:val="00AF2F10"/>
    <w:rsid w:val="00AF33D1"/>
    <w:rsid w:val="00AF3F4D"/>
    <w:rsid w:val="00AF4B6B"/>
    <w:rsid w:val="00AF4E09"/>
    <w:rsid w:val="00AF5EA8"/>
    <w:rsid w:val="00AF70B8"/>
    <w:rsid w:val="00AF7C0A"/>
    <w:rsid w:val="00B004CC"/>
    <w:rsid w:val="00B00FDF"/>
    <w:rsid w:val="00B0420A"/>
    <w:rsid w:val="00B051AC"/>
    <w:rsid w:val="00B051B3"/>
    <w:rsid w:val="00B0522B"/>
    <w:rsid w:val="00B05713"/>
    <w:rsid w:val="00B0684E"/>
    <w:rsid w:val="00B06BBE"/>
    <w:rsid w:val="00B06F36"/>
    <w:rsid w:val="00B07AB5"/>
    <w:rsid w:val="00B07F98"/>
    <w:rsid w:val="00B07FB9"/>
    <w:rsid w:val="00B103C1"/>
    <w:rsid w:val="00B1054A"/>
    <w:rsid w:val="00B11593"/>
    <w:rsid w:val="00B121A9"/>
    <w:rsid w:val="00B13628"/>
    <w:rsid w:val="00B137AE"/>
    <w:rsid w:val="00B147D4"/>
    <w:rsid w:val="00B15542"/>
    <w:rsid w:val="00B2077D"/>
    <w:rsid w:val="00B20F8D"/>
    <w:rsid w:val="00B21537"/>
    <w:rsid w:val="00B21AB6"/>
    <w:rsid w:val="00B221D7"/>
    <w:rsid w:val="00B2291B"/>
    <w:rsid w:val="00B22926"/>
    <w:rsid w:val="00B22B7D"/>
    <w:rsid w:val="00B22F6A"/>
    <w:rsid w:val="00B2348C"/>
    <w:rsid w:val="00B2382B"/>
    <w:rsid w:val="00B23ED5"/>
    <w:rsid w:val="00B2422C"/>
    <w:rsid w:val="00B246DA"/>
    <w:rsid w:val="00B24802"/>
    <w:rsid w:val="00B24A8F"/>
    <w:rsid w:val="00B24C2F"/>
    <w:rsid w:val="00B24EB3"/>
    <w:rsid w:val="00B24FA6"/>
    <w:rsid w:val="00B252E4"/>
    <w:rsid w:val="00B25378"/>
    <w:rsid w:val="00B25534"/>
    <w:rsid w:val="00B25986"/>
    <w:rsid w:val="00B25BE5"/>
    <w:rsid w:val="00B25F09"/>
    <w:rsid w:val="00B26EE4"/>
    <w:rsid w:val="00B27656"/>
    <w:rsid w:val="00B27909"/>
    <w:rsid w:val="00B27A3D"/>
    <w:rsid w:val="00B32199"/>
    <w:rsid w:val="00B32934"/>
    <w:rsid w:val="00B32CA9"/>
    <w:rsid w:val="00B33168"/>
    <w:rsid w:val="00B33384"/>
    <w:rsid w:val="00B335BC"/>
    <w:rsid w:val="00B337F0"/>
    <w:rsid w:val="00B340CB"/>
    <w:rsid w:val="00B351DE"/>
    <w:rsid w:val="00B37BD3"/>
    <w:rsid w:val="00B37C30"/>
    <w:rsid w:val="00B4106E"/>
    <w:rsid w:val="00B411CC"/>
    <w:rsid w:val="00B41395"/>
    <w:rsid w:val="00B413A8"/>
    <w:rsid w:val="00B4212A"/>
    <w:rsid w:val="00B42ADE"/>
    <w:rsid w:val="00B42E35"/>
    <w:rsid w:val="00B436A3"/>
    <w:rsid w:val="00B438F4"/>
    <w:rsid w:val="00B43ABC"/>
    <w:rsid w:val="00B43AD2"/>
    <w:rsid w:val="00B43CF2"/>
    <w:rsid w:val="00B43D09"/>
    <w:rsid w:val="00B441D4"/>
    <w:rsid w:val="00B443D8"/>
    <w:rsid w:val="00B4526D"/>
    <w:rsid w:val="00B462EB"/>
    <w:rsid w:val="00B468AB"/>
    <w:rsid w:val="00B476B2"/>
    <w:rsid w:val="00B504BB"/>
    <w:rsid w:val="00B5313A"/>
    <w:rsid w:val="00B549F2"/>
    <w:rsid w:val="00B54C32"/>
    <w:rsid w:val="00B5503B"/>
    <w:rsid w:val="00B5566B"/>
    <w:rsid w:val="00B55C40"/>
    <w:rsid w:val="00B55CAD"/>
    <w:rsid w:val="00B56C57"/>
    <w:rsid w:val="00B56DD1"/>
    <w:rsid w:val="00B57087"/>
    <w:rsid w:val="00B57938"/>
    <w:rsid w:val="00B600E5"/>
    <w:rsid w:val="00B601AC"/>
    <w:rsid w:val="00B60DFA"/>
    <w:rsid w:val="00B612D1"/>
    <w:rsid w:val="00B6138B"/>
    <w:rsid w:val="00B6247A"/>
    <w:rsid w:val="00B62CEA"/>
    <w:rsid w:val="00B62E42"/>
    <w:rsid w:val="00B63C3D"/>
    <w:rsid w:val="00B65150"/>
    <w:rsid w:val="00B651E4"/>
    <w:rsid w:val="00B665CA"/>
    <w:rsid w:val="00B667C9"/>
    <w:rsid w:val="00B668DA"/>
    <w:rsid w:val="00B66DCF"/>
    <w:rsid w:val="00B6732B"/>
    <w:rsid w:val="00B6737A"/>
    <w:rsid w:val="00B6765F"/>
    <w:rsid w:val="00B67EC5"/>
    <w:rsid w:val="00B70618"/>
    <w:rsid w:val="00B70D46"/>
    <w:rsid w:val="00B70E11"/>
    <w:rsid w:val="00B722A8"/>
    <w:rsid w:val="00B72354"/>
    <w:rsid w:val="00B723ED"/>
    <w:rsid w:val="00B72985"/>
    <w:rsid w:val="00B732ED"/>
    <w:rsid w:val="00B73604"/>
    <w:rsid w:val="00B75A3A"/>
    <w:rsid w:val="00B75CEC"/>
    <w:rsid w:val="00B75E5A"/>
    <w:rsid w:val="00B761AE"/>
    <w:rsid w:val="00B76524"/>
    <w:rsid w:val="00B77425"/>
    <w:rsid w:val="00B81EAF"/>
    <w:rsid w:val="00B82248"/>
    <w:rsid w:val="00B8224D"/>
    <w:rsid w:val="00B82369"/>
    <w:rsid w:val="00B82857"/>
    <w:rsid w:val="00B8396B"/>
    <w:rsid w:val="00B85F66"/>
    <w:rsid w:val="00B866E6"/>
    <w:rsid w:val="00B870CD"/>
    <w:rsid w:val="00B87445"/>
    <w:rsid w:val="00B903D8"/>
    <w:rsid w:val="00B92007"/>
    <w:rsid w:val="00B92E8B"/>
    <w:rsid w:val="00B9382A"/>
    <w:rsid w:val="00B93FC4"/>
    <w:rsid w:val="00B942CF"/>
    <w:rsid w:val="00B95295"/>
    <w:rsid w:val="00B952EE"/>
    <w:rsid w:val="00B953FB"/>
    <w:rsid w:val="00B9569C"/>
    <w:rsid w:val="00B957C7"/>
    <w:rsid w:val="00B95A76"/>
    <w:rsid w:val="00B95E2D"/>
    <w:rsid w:val="00B96BBB"/>
    <w:rsid w:val="00B970BA"/>
    <w:rsid w:val="00B97E8A"/>
    <w:rsid w:val="00BA114A"/>
    <w:rsid w:val="00BA134D"/>
    <w:rsid w:val="00BA1937"/>
    <w:rsid w:val="00BA222E"/>
    <w:rsid w:val="00BA23A6"/>
    <w:rsid w:val="00BA28A4"/>
    <w:rsid w:val="00BA2C92"/>
    <w:rsid w:val="00BA2D26"/>
    <w:rsid w:val="00BA3C8D"/>
    <w:rsid w:val="00BA441D"/>
    <w:rsid w:val="00BA6694"/>
    <w:rsid w:val="00BA6745"/>
    <w:rsid w:val="00BA72B0"/>
    <w:rsid w:val="00BB083A"/>
    <w:rsid w:val="00BB0CF4"/>
    <w:rsid w:val="00BB1141"/>
    <w:rsid w:val="00BB1CDA"/>
    <w:rsid w:val="00BB2171"/>
    <w:rsid w:val="00BB25DE"/>
    <w:rsid w:val="00BB2D9D"/>
    <w:rsid w:val="00BB463B"/>
    <w:rsid w:val="00BB4C00"/>
    <w:rsid w:val="00BB53A5"/>
    <w:rsid w:val="00BB53FA"/>
    <w:rsid w:val="00BB6011"/>
    <w:rsid w:val="00BB68AB"/>
    <w:rsid w:val="00BB6DE8"/>
    <w:rsid w:val="00BC0612"/>
    <w:rsid w:val="00BC0DF9"/>
    <w:rsid w:val="00BC1658"/>
    <w:rsid w:val="00BC254F"/>
    <w:rsid w:val="00BC2998"/>
    <w:rsid w:val="00BC352C"/>
    <w:rsid w:val="00BC37B4"/>
    <w:rsid w:val="00BC3E33"/>
    <w:rsid w:val="00BC4417"/>
    <w:rsid w:val="00BC551C"/>
    <w:rsid w:val="00BC5ADA"/>
    <w:rsid w:val="00BC6089"/>
    <w:rsid w:val="00BC6C8B"/>
    <w:rsid w:val="00BC6F9F"/>
    <w:rsid w:val="00BC7C3E"/>
    <w:rsid w:val="00BD00C9"/>
    <w:rsid w:val="00BD0273"/>
    <w:rsid w:val="00BD077C"/>
    <w:rsid w:val="00BD0873"/>
    <w:rsid w:val="00BD1036"/>
    <w:rsid w:val="00BD18A2"/>
    <w:rsid w:val="00BD2733"/>
    <w:rsid w:val="00BD2857"/>
    <w:rsid w:val="00BD29FB"/>
    <w:rsid w:val="00BD2CE1"/>
    <w:rsid w:val="00BD3BFE"/>
    <w:rsid w:val="00BD41FF"/>
    <w:rsid w:val="00BD47B8"/>
    <w:rsid w:val="00BD4E17"/>
    <w:rsid w:val="00BD6096"/>
    <w:rsid w:val="00BD60DE"/>
    <w:rsid w:val="00BD67B5"/>
    <w:rsid w:val="00BE03FD"/>
    <w:rsid w:val="00BE1775"/>
    <w:rsid w:val="00BE2579"/>
    <w:rsid w:val="00BE32AB"/>
    <w:rsid w:val="00BE33A4"/>
    <w:rsid w:val="00BE4B52"/>
    <w:rsid w:val="00BE5418"/>
    <w:rsid w:val="00BE6099"/>
    <w:rsid w:val="00BE636A"/>
    <w:rsid w:val="00BE66A7"/>
    <w:rsid w:val="00BE6809"/>
    <w:rsid w:val="00BE6D93"/>
    <w:rsid w:val="00BF03A1"/>
    <w:rsid w:val="00BF0D1D"/>
    <w:rsid w:val="00BF14D0"/>
    <w:rsid w:val="00BF18E4"/>
    <w:rsid w:val="00BF1B29"/>
    <w:rsid w:val="00BF2AD6"/>
    <w:rsid w:val="00BF33A3"/>
    <w:rsid w:val="00BF3465"/>
    <w:rsid w:val="00BF392A"/>
    <w:rsid w:val="00BF3C7B"/>
    <w:rsid w:val="00BF438D"/>
    <w:rsid w:val="00BF47B4"/>
    <w:rsid w:val="00BF48A5"/>
    <w:rsid w:val="00BF4D14"/>
    <w:rsid w:val="00BF6E5A"/>
    <w:rsid w:val="00BF7716"/>
    <w:rsid w:val="00C01151"/>
    <w:rsid w:val="00C01EED"/>
    <w:rsid w:val="00C01F60"/>
    <w:rsid w:val="00C0342E"/>
    <w:rsid w:val="00C0393D"/>
    <w:rsid w:val="00C04500"/>
    <w:rsid w:val="00C056F0"/>
    <w:rsid w:val="00C05887"/>
    <w:rsid w:val="00C069B6"/>
    <w:rsid w:val="00C07507"/>
    <w:rsid w:val="00C07758"/>
    <w:rsid w:val="00C10B9B"/>
    <w:rsid w:val="00C112A1"/>
    <w:rsid w:val="00C1195C"/>
    <w:rsid w:val="00C12F95"/>
    <w:rsid w:val="00C144EB"/>
    <w:rsid w:val="00C154FA"/>
    <w:rsid w:val="00C15E41"/>
    <w:rsid w:val="00C166F1"/>
    <w:rsid w:val="00C16D5C"/>
    <w:rsid w:val="00C21192"/>
    <w:rsid w:val="00C212F7"/>
    <w:rsid w:val="00C253DD"/>
    <w:rsid w:val="00C25957"/>
    <w:rsid w:val="00C265AA"/>
    <w:rsid w:val="00C27B9A"/>
    <w:rsid w:val="00C303C4"/>
    <w:rsid w:val="00C30590"/>
    <w:rsid w:val="00C30B0D"/>
    <w:rsid w:val="00C30BC5"/>
    <w:rsid w:val="00C31F5B"/>
    <w:rsid w:val="00C32B3F"/>
    <w:rsid w:val="00C3303B"/>
    <w:rsid w:val="00C334C5"/>
    <w:rsid w:val="00C33666"/>
    <w:rsid w:val="00C33C00"/>
    <w:rsid w:val="00C340BB"/>
    <w:rsid w:val="00C34301"/>
    <w:rsid w:val="00C364E1"/>
    <w:rsid w:val="00C365DE"/>
    <w:rsid w:val="00C36A7A"/>
    <w:rsid w:val="00C37271"/>
    <w:rsid w:val="00C40827"/>
    <w:rsid w:val="00C40C8A"/>
    <w:rsid w:val="00C41A13"/>
    <w:rsid w:val="00C4264B"/>
    <w:rsid w:val="00C42C2B"/>
    <w:rsid w:val="00C43A34"/>
    <w:rsid w:val="00C43DC7"/>
    <w:rsid w:val="00C45ACF"/>
    <w:rsid w:val="00C45B97"/>
    <w:rsid w:val="00C45FC4"/>
    <w:rsid w:val="00C46C58"/>
    <w:rsid w:val="00C46C66"/>
    <w:rsid w:val="00C47660"/>
    <w:rsid w:val="00C508F2"/>
    <w:rsid w:val="00C50BF0"/>
    <w:rsid w:val="00C50EAA"/>
    <w:rsid w:val="00C51AC2"/>
    <w:rsid w:val="00C5289B"/>
    <w:rsid w:val="00C52CA6"/>
    <w:rsid w:val="00C530A9"/>
    <w:rsid w:val="00C53F39"/>
    <w:rsid w:val="00C540AC"/>
    <w:rsid w:val="00C5428C"/>
    <w:rsid w:val="00C556EC"/>
    <w:rsid w:val="00C571F4"/>
    <w:rsid w:val="00C57509"/>
    <w:rsid w:val="00C607B0"/>
    <w:rsid w:val="00C620CE"/>
    <w:rsid w:val="00C62813"/>
    <w:rsid w:val="00C62B79"/>
    <w:rsid w:val="00C62F18"/>
    <w:rsid w:val="00C63925"/>
    <w:rsid w:val="00C64314"/>
    <w:rsid w:val="00C652D3"/>
    <w:rsid w:val="00C66C9D"/>
    <w:rsid w:val="00C67720"/>
    <w:rsid w:val="00C67A21"/>
    <w:rsid w:val="00C703C7"/>
    <w:rsid w:val="00C70668"/>
    <w:rsid w:val="00C70CFD"/>
    <w:rsid w:val="00C72E17"/>
    <w:rsid w:val="00C72EA1"/>
    <w:rsid w:val="00C73872"/>
    <w:rsid w:val="00C747BA"/>
    <w:rsid w:val="00C748EF"/>
    <w:rsid w:val="00C74E60"/>
    <w:rsid w:val="00C76092"/>
    <w:rsid w:val="00C77063"/>
    <w:rsid w:val="00C77CCA"/>
    <w:rsid w:val="00C8118F"/>
    <w:rsid w:val="00C8195A"/>
    <w:rsid w:val="00C822E5"/>
    <w:rsid w:val="00C82AC5"/>
    <w:rsid w:val="00C82B0D"/>
    <w:rsid w:val="00C845BF"/>
    <w:rsid w:val="00C855B5"/>
    <w:rsid w:val="00C8677D"/>
    <w:rsid w:val="00C86E28"/>
    <w:rsid w:val="00C8757A"/>
    <w:rsid w:val="00C87C04"/>
    <w:rsid w:val="00C9028C"/>
    <w:rsid w:val="00C9090E"/>
    <w:rsid w:val="00C9225A"/>
    <w:rsid w:val="00C9238B"/>
    <w:rsid w:val="00C92717"/>
    <w:rsid w:val="00C93296"/>
    <w:rsid w:val="00C9466C"/>
    <w:rsid w:val="00C94D17"/>
    <w:rsid w:val="00C955BD"/>
    <w:rsid w:val="00C95BBB"/>
    <w:rsid w:val="00C960E2"/>
    <w:rsid w:val="00CA0232"/>
    <w:rsid w:val="00CA032A"/>
    <w:rsid w:val="00CA13E6"/>
    <w:rsid w:val="00CA3F00"/>
    <w:rsid w:val="00CA42BA"/>
    <w:rsid w:val="00CA563B"/>
    <w:rsid w:val="00CA5A2A"/>
    <w:rsid w:val="00CA6389"/>
    <w:rsid w:val="00CA65C4"/>
    <w:rsid w:val="00CA6A8A"/>
    <w:rsid w:val="00CA6CF9"/>
    <w:rsid w:val="00CA6ECF"/>
    <w:rsid w:val="00CA7F9B"/>
    <w:rsid w:val="00CB011B"/>
    <w:rsid w:val="00CB0F17"/>
    <w:rsid w:val="00CB2C92"/>
    <w:rsid w:val="00CB33B7"/>
    <w:rsid w:val="00CB505F"/>
    <w:rsid w:val="00CB5341"/>
    <w:rsid w:val="00CB75A2"/>
    <w:rsid w:val="00CB78BD"/>
    <w:rsid w:val="00CB7B63"/>
    <w:rsid w:val="00CB7E32"/>
    <w:rsid w:val="00CB7FC6"/>
    <w:rsid w:val="00CC0214"/>
    <w:rsid w:val="00CC0CC4"/>
    <w:rsid w:val="00CC0DF4"/>
    <w:rsid w:val="00CC2793"/>
    <w:rsid w:val="00CC28F5"/>
    <w:rsid w:val="00CC295D"/>
    <w:rsid w:val="00CC2D04"/>
    <w:rsid w:val="00CC46A4"/>
    <w:rsid w:val="00CC50A7"/>
    <w:rsid w:val="00CC5179"/>
    <w:rsid w:val="00CC53F4"/>
    <w:rsid w:val="00CC5C51"/>
    <w:rsid w:val="00CC6020"/>
    <w:rsid w:val="00CC74EC"/>
    <w:rsid w:val="00CC78C0"/>
    <w:rsid w:val="00CD0667"/>
    <w:rsid w:val="00CD1687"/>
    <w:rsid w:val="00CD3279"/>
    <w:rsid w:val="00CD3820"/>
    <w:rsid w:val="00CD3EF4"/>
    <w:rsid w:val="00CD4314"/>
    <w:rsid w:val="00CD44A6"/>
    <w:rsid w:val="00CD7B4E"/>
    <w:rsid w:val="00CE0E0D"/>
    <w:rsid w:val="00CE16A6"/>
    <w:rsid w:val="00CE5005"/>
    <w:rsid w:val="00CF0127"/>
    <w:rsid w:val="00CF0515"/>
    <w:rsid w:val="00CF05B2"/>
    <w:rsid w:val="00CF1144"/>
    <w:rsid w:val="00CF1BD9"/>
    <w:rsid w:val="00CF1FB0"/>
    <w:rsid w:val="00CF1FDF"/>
    <w:rsid w:val="00CF2651"/>
    <w:rsid w:val="00CF435B"/>
    <w:rsid w:val="00CF5137"/>
    <w:rsid w:val="00CF55DF"/>
    <w:rsid w:val="00CF5DF8"/>
    <w:rsid w:val="00CF627A"/>
    <w:rsid w:val="00CF69A5"/>
    <w:rsid w:val="00CF69E4"/>
    <w:rsid w:val="00D00FF9"/>
    <w:rsid w:val="00D0307A"/>
    <w:rsid w:val="00D03139"/>
    <w:rsid w:val="00D03CE0"/>
    <w:rsid w:val="00D056B8"/>
    <w:rsid w:val="00D05840"/>
    <w:rsid w:val="00D10926"/>
    <w:rsid w:val="00D11162"/>
    <w:rsid w:val="00D11518"/>
    <w:rsid w:val="00D11C7B"/>
    <w:rsid w:val="00D1262A"/>
    <w:rsid w:val="00D127B2"/>
    <w:rsid w:val="00D12EB7"/>
    <w:rsid w:val="00D13B08"/>
    <w:rsid w:val="00D14D62"/>
    <w:rsid w:val="00D15BCE"/>
    <w:rsid w:val="00D15E3D"/>
    <w:rsid w:val="00D16786"/>
    <w:rsid w:val="00D16CE2"/>
    <w:rsid w:val="00D17738"/>
    <w:rsid w:val="00D17E52"/>
    <w:rsid w:val="00D203F3"/>
    <w:rsid w:val="00D208C9"/>
    <w:rsid w:val="00D208E8"/>
    <w:rsid w:val="00D20B8A"/>
    <w:rsid w:val="00D21911"/>
    <w:rsid w:val="00D21E2A"/>
    <w:rsid w:val="00D21FE3"/>
    <w:rsid w:val="00D22B39"/>
    <w:rsid w:val="00D22F1E"/>
    <w:rsid w:val="00D23423"/>
    <w:rsid w:val="00D23DFF"/>
    <w:rsid w:val="00D240AF"/>
    <w:rsid w:val="00D241F3"/>
    <w:rsid w:val="00D24686"/>
    <w:rsid w:val="00D24C03"/>
    <w:rsid w:val="00D24F53"/>
    <w:rsid w:val="00D2536E"/>
    <w:rsid w:val="00D25AEC"/>
    <w:rsid w:val="00D267CA"/>
    <w:rsid w:val="00D2797E"/>
    <w:rsid w:val="00D307A5"/>
    <w:rsid w:val="00D30842"/>
    <w:rsid w:val="00D30973"/>
    <w:rsid w:val="00D31FEA"/>
    <w:rsid w:val="00D32447"/>
    <w:rsid w:val="00D326BF"/>
    <w:rsid w:val="00D33133"/>
    <w:rsid w:val="00D331B2"/>
    <w:rsid w:val="00D33296"/>
    <w:rsid w:val="00D340C3"/>
    <w:rsid w:val="00D3423B"/>
    <w:rsid w:val="00D345B0"/>
    <w:rsid w:val="00D34AE2"/>
    <w:rsid w:val="00D34CF0"/>
    <w:rsid w:val="00D34DDD"/>
    <w:rsid w:val="00D34F6B"/>
    <w:rsid w:val="00D3591D"/>
    <w:rsid w:val="00D35DD4"/>
    <w:rsid w:val="00D36B7C"/>
    <w:rsid w:val="00D36E44"/>
    <w:rsid w:val="00D379C3"/>
    <w:rsid w:val="00D37B92"/>
    <w:rsid w:val="00D40109"/>
    <w:rsid w:val="00D409EB"/>
    <w:rsid w:val="00D4113D"/>
    <w:rsid w:val="00D41164"/>
    <w:rsid w:val="00D41750"/>
    <w:rsid w:val="00D41B29"/>
    <w:rsid w:val="00D42F41"/>
    <w:rsid w:val="00D4315B"/>
    <w:rsid w:val="00D43872"/>
    <w:rsid w:val="00D439A2"/>
    <w:rsid w:val="00D44E12"/>
    <w:rsid w:val="00D45082"/>
    <w:rsid w:val="00D453F7"/>
    <w:rsid w:val="00D4622E"/>
    <w:rsid w:val="00D47BAF"/>
    <w:rsid w:val="00D504D8"/>
    <w:rsid w:val="00D509E2"/>
    <w:rsid w:val="00D513C9"/>
    <w:rsid w:val="00D51702"/>
    <w:rsid w:val="00D51CF1"/>
    <w:rsid w:val="00D53645"/>
    <w:rsid w:val="00D5510A"/>
    <w:rsid w:val="00D55164"/>
    <w:rsid w:val="00D55217"/>
    <w:rsid w:val="00D552DE"/>
    <w:rsid w:val="00D57405"/>
    <w:rsid w:val="00D5741C"/>
    <w:rsid w:val="00D578BC"/>
    <w:rsid w:val="00D5798C"/>
    <w:rsid w:val="00D57E6B"/>
    <w:rsid w:val="00D603BD"/>
    <w:rsid w:val="00D609DB"/>
    <w:rsid w:val="00D614F8"/>
    <w:rsid w:val="00D61896"/>
    <w:rsid w:val="00D62641"/>
    <w:rsid w:val="00D6357C"/>
    <w:rsid w:val="00D63934"/>
    <w:rsid w:val="00D64749"/>
    <w:rsid w:val="00D64991"/>
    <w:rsid w:val="00D65129"/>
    <w:rsid w:val="00D663B7"/>
    <w:rsid w:val="00D6651C"/>
    <w:rsid w:val="00D66865"/>
    <w:rsid w:val="00D66985"/>
    <w:rsid w:val="00D66C80"/>
    <w:rsid w:val="00D66F2D"/>
    <w:rsid w:val="00D67889"/>
    <w:rsid w:val="00D67AE3"/>
    <w:rsid w:val="00D67B67"/>
    <w:rsid w:val="00D700B2"/>
    <w:rsid w:val="00D7053D"/>
    <w:rsid w:val="00D70D84"/>
    <w:rsid w:val="00D70D89"/>
    <w:rsid w:val="00D71405"/>
    <w:rsid w:val="00D72B3D"/>
    <w:rsid w:val="00D72D78"/>
    <w:rsid w:val="00D7434C"/>
    <w:rsid w:val="00D74531"/>
    <w:rsid w:val="00D746EE"/>
    <w:rsid w:val="00D756BA"/>
    <w:rsid w:val="00D75EB9"/>
    <w:rsid w:val="00D76939"/>
    <w:rsid w:val="00D76A7A"/>
    <w:rsid w:val="00D77166"/>
    <w:rsid w:val="00D8005D"/>
    <w:rsid w:val="00D801F1"/>
    <w:rsid w:val="00D8080C"/>
    <w:rsid w:val="00D80987"/>
    <w:rsid w:val="00D80D8E"/>
    <w:rsid w:val="00D8148E"/>
    <w:rsid w:val="00D8162F"/>
    <w:rsid w:val="00D828B8"/>
    <w:rsid w:val="00D829CB"/>
    <w:rsid w:val="00D82ABC"/>
    <w:rsid w:val="00D82B08"/>
    <w:rsid w:val="00D844B8"/>
    <w:rsid w:val="00D84B53"/>
    <w:rsid w:val="00D85590"/>
    <w:rsid w:val="00D855E7"/>
    <w:rsid w:val="00D856EB"/>
    <w:rsid w:val="00D90F31"/>
    <w:rsid w:val="00D91328"/>
    <w:rsid w:val="00D91708"/>
    <w:rsid w:val="00D92C53"/>
    <w:rsid w:val="00D92F70"/>
    <w:rsid w:val="00D931AF"/>
    <w:rsid w:val="00D93C4F"/>
    <w:rsid w:val="00D94A23"/>
    <w:rsid w:val="00D94BB0"/>
    <w:rsid w:val="00D94FAC"/>
    <w:rsid w:val="00D9525E"/>
    <w:rsid w:val="00DA010F"/>
    <w:rsid w:val="00DA0905"/>
    <w:rsid w:val="00DA0C30"/>
    <w:rsid w:val="00DA14B6"/>
    <w:rsid w:val="00DA2359"/>
    <w:rsid w:val="00DA2630"/>
    <w:rsid w:val="00DA2A25"/>
    <w:rsid w:val="00DA2EF6"/>
    <w:rsid w:val="00DA4E1E"/>
    <w:rsid w:val="00DA5A92"/>
    <w:rsid w:val="00DA65E4"/>
    <w:rsid w:val="00DA67D7"/>
    <w:rsid w:val="00DA67FA"/>
    <w:rsid w:val="00DA728E"/>
    <w:rsid w:val="00DA781E"/>
    <w:rsid w:val="00DB0499"/>
    <w:rsid w:val="00DB117E"/>
    <w:rsid w:val="00DB2A1C"/>
    <w:rsid w:val="00DB3882"/>
    <w:rsid w:val="00DB649E"/>
    <w:rsid w:val="00DB7692"/>
    <w:rsid w:val="00DC00CA"/>
    <w:rsid w:val="00DC18B8"/>
    <w:rsid w:val="00DC1ADC"/>
    <w:rsid w:val="00DC2239"/>
    <w:rsid w:val="00DC3683"/>
    <w:rsid w:val="00DC5B74"/>
    <w:rsid w:val="00DC7322"/>
    <w:rsid w:val="00DC75E7"/>
    <w:rsid w:val="00DC7923"/>
    <w:rsid w:val="00DC79EB"/>
    <w:rsid w:val="00DD0468"/>
    <w:rsid w:val="00DD058E"/>
    <w:rsid w:val="00DD2299"/>
    <w:rsid w:val="00DD22B6"/>
    <w:rsid w:val="00DD325C"/>
    <w:rsid w:val="00DD48F4"/>
    <w:rsid w:val="00DD5969"/>
    <w:rsid w:val="00DD5C1F"/>
    <w:rsid w:val="00DD6E27"/>
    <w:rsid w:val="00DE0C76"/>
    <w:rsid w:val="00DE0E6C"/>
    <w:rsid w:val="00DE1132"/>
    <w:rsid w:val="00DE2457"/>
    <w:rsid w:val="00DE3C85"/>
    <w:rsid w:val="00DE3F08"/>
    <w:rsid w:val="00DE3FD5"/>
    <w:rsid w:val="00DE49AD"/>
    <w:rsid w:val="00DE4ADC"/>
    <w:rsid w:val="00DE4EA7"/>
    <w:rsid w:val="00DE530E"/>
    <w:rsid w:val="00DE54E2"/>
    <w:rsid w:val="00DE5830"/>
    <w:rsid w:val="00DE5C4A"/>
    <w:rsid w:val="00DE6760"/>
    <w:rsid w:val="00DE6CF6"/>
    <w:rsid w:val="00DE7716"/>
    <w:rsid w:val="00DE78FA"/>
    <w:rsid w:val="00DF089F"/>
    <w:rsid w:val="00DF0E0F"/>
    <w:rsid w:val="00DF17C4"/>
    <w:rsid w:val="00DF1F7A"/>
    <w:rsid w:val="00DF25E5"/>
    <w:rsid w:val="00DF26AE"/>
    <w:rsid w:val="00DF341B"/>
    <w:rsid w:val="00DF3A52"/>
    <w:rsid w:val="00DF3D36"/>
    <w:rsid w:val="00DF52EE"/>
    <w:rsid w:val="00DF5430"/>
    <w:rsid w:val="00DF612F"/>
    <w:rsid w:val="00DF6797"/>
    <w:rsid w:val="00DF7B1D"/>
    <w:rsid w:val="00DF7D72"/>
    <w:rsid w:val="00E001F6"/>
    <w:rsid w:val="00E006EB"/>
    <w:rsid w:val="00E00AB9"/>
    <w:rsid w:val="00E00CF9"/>
    <w:rsid w:val="00E00EAF"/>
    <w:rsid w:val="00E0104E"/>
    <w:rsid w:val="00E0180C"/>
    <w:rsid w:val="00E01EB1"/>
    <w:rsid w:val="00E029C1"/>
    <w:rsid w:val="00E036D7"/>
    <w:rsid w:val="00E04CE5"/>
    <w:rsid w:val="00E06208"/>
    <w:rsid w:val="00E0633C"/>
    <w:rsid w:val="00E065BB"/>
    <w:rsid w:val="00E06814"/>
    <w:rsid w:val="00E06C70"/>
    <w:rsid w:val="00E06E75"/>
    <w:rsid w:val="00E06EAA"/>
    <w:rsid w:val="00E10150"/>
    <w:rsid w:val="00E10A4D"/>
    <w:rsid w:val="00E1159E"/>
    <w:rsid w:val="00E11722"/>
    <w:rsid w:val="00E12EE6"/>
    <w:rsid w:val="00E1317D"/>
    <w:rsid w:val="00E13823"/>
    <w:rsid w:val="00E13A1B"/>
    <w:rsid w:val="00E1408D"/>
    <w:rsid w:val="00E14C56"/>
    <w:rsid w:val="00E14CA0"/>
    <w:rsid w:val="00E15176"/>
    <w:rsid w:val="00E152E0"/>
    <w:rsid w:val="00E15D32"/>
    <w:rsid w:val="00E16D0C"/>
    <w:rsid w:val="00E17C86"/>
    <w:rsid w:val="00E17F2B"/>
    <w:rsid w:val="00E205AB"/>
    <w:rsid w:val="00E20D0A"/>
    <w:rsid w:val="00E20D81"/>
    <w:rsid w:val="00E21319"/>
    <w:rsid w:val="00E2140A"/>
    <w:rsid w:val="00E225A8"/>
    <w:rsid w:val="00E229BC"/>
    <w:rsid w:val="00E22A98"/>
    <w:rsid w:val="00E22B51"/>
    <w:rsid w:val="00E24EE1"/>
    <w:rsid w:val="00E25027"/>
    <w:rsid w:val="00E25D20"/>
    <w:rsid w:val="00E267AD"/>
    <w:rsid w:val="00E278BB"/>
    <w:rsid w:val="00E27D61"/>
    <w:rsid w:val="00E30422"/>
    <w:rsid w:val="00E30843"/>
    <w:rsid w:val="00E3166F"/>
    <w:rsid w:val="00E316E3"/>
    <w:rsid w:val="00E31884"/>
    <w:rsid w:val="00E31F70"/>
    <w:rsid w:val="00E32DDB"/>
    <w:rsid w:val="00E330DF"/>
    <w:rsid w:val="00E338D5"/>
    <w:rsid w:val="00E340EA"/>
    <w:rsid w:val="00E34717"/>
    <w:rsid w:val="00E352BC"/>
    <w:rsid w:val="00E3562A"/>
    <w:rsid w:val="00E35ED0"/>
    <w:rsid w:val="00E36BBC"/>
    <w:rsid w:val="00E3774A"/>
    <w:rsid w:val="00E40417"/>
    <w:rsid w:val="00E40587"/>
    <w:rsid w:val="00E406EE"/>
    <w:rsid w:val="00E42496"/>
    <w:rsid w:val="00E424FC"/>
    <w:rsid w:val="00E42D49"/>
    <w:rsid w:val="00E42E7C"/>
    <w:rsid w:val="00E43087"/>
    <w:rsid w:val="00E442DD"/>
    <w:rsid w:val="00E45854"/>
    <w:rsid w:val="00E46C22"/>
    <w:rsid w:val="00E476FC"/>
    <w:rsid w:val="00E531A7"/>
    <w:rsid w:val="00E54D8D"/>
    <w:rsid w:val="00E55532"/>
    <w:rsid w:val="00E55C22"/>
    <w:rsid w:val="00E5790A"/>
    <w:rsid w:val="00E57E41"/>
    <w:rsid w:val="00E600B9"/>
    <w:rsid w:val="00E60B2D"/>
    <w:rsid w:val="00E60B5F"/>
    <w:rsid w:val="00E60F54"/>
    <w:rsid w:val="00E61176"/>
    <w:rsid w:val="00E616AB"/>
    <w:rsid w:val="00E61C56"/>
    <w:rsid w:val="00E61D91"/>
    <w:rsid w:val="00E62610"/>
    <w:rsid w:val="00E65BE6"/>
    <w:rsid w:val="00E6634E"/>
    <w:rsid w:val="00E66C13"/>
    <w:rsid w:val="00E66D54"/>
    <w:rsid w:val="00E6743C"/>
    <w:rsid w:val="00E70BF6"/>
    <w:rsid w:val="00E70E25"/>
    <w:rsid w:val="00E711ED"/>
    <w:rsid w:val="00E72CEF"/>
    <w:rsid w:val="00E73E73"/>
    <w:rsid w:val="00E74A5B"/>
    <w:rsid w:val="00E756B2"/>
    <w:rsid w:val="00E75FCF"/>
    <w:rsid w:val="00E76BD7"/>
    <w:rsid w:val="00E8030E"/>
    <w:rsid w:val="00E80396"/>
    <w:rsid w:val="00E8080F"/>
    <w:rsid w:val="00E80E68"/>
    <w:rsid w:val="00E813B4"/>
    <w:rsid w:val="00E81502"/>
    <w:rsid w:val="00E82358"/>
    <w:rsid w:val="00E824FC"/>
    <w:rsid w:val="00E828FF"/>
    <w:rsid w:val="00E82DA5"/>
    <w:rsid w:val="00E82F89"/>
    <w:rsid w:val="00E833BF"/>
    <w:rsid w:val="00E8396E"/>
    <w:rsid w:val="00E85136"/>
    <w:rsid w:val="00E85C4E"/>
    <w:rsid w:val="00E85D3A"/>
    <w:rsid w:val="00E86533"/>
    <w:rsid w:val="00E8678B"/>
    <w:rsid w:val="00E86899"/>
    <w:rsid w:val="00E879EB"/>
    <w:rsid w:val="00E91754"/>
    <w:rsid w:val="00E9274B"/>
    <w:rsid w:val="00E9298F"/>
    <w:rsid w:val="00E939BE"/>
    <w:rsid w:val="00E93DD3"/>
    <w:rsid w:val="00E94058"/>
    <w:rsid w:val="00E94587"/>
    <w:rsid w:val="00E94A55"/>
    <w:rsid w:val="00E94B24"/>
    <w:rsid w:val="00E9576E"/>
    <w:rsid w:val="00E967B9"/>
    <w:rsid w:val="00E97407"/>
    <w:rsid w:val="00EA002F"/>
    <w:rsid w:val="00EA01CD"/>
    <w:rsid w:val="00EA1556"/>
    <w:rsid w:val="00EA1CAA"/>
    <w:rsid w:val="00EA2A73"/>
    <w:rsid w:val="00EA34CB"/>
    <w:rsid w:val="00EA4773"/>
    <w:rsid w:val="00EA597C"/>
    <w:rsid w:val="00EA5EAA"/>
    <w:rsid w:val="00EA631A"/>
    <w:rsid w:val="00EA6BED"/>
    <w:rsid w:val="00EA74B1"/>
    <w:rsid w:val="00EA7F41"/>
    <w:rsid w:val="00EB023D"/>
    <w:rsid w:val="00EB0481"/>
    <w:rsid w:val="00EB0550"/>
    <w:rsid w:val="00EB0889"/>
    <w:rsid w:val="00EB2813"/>
    <w:rsid w:val="00EB2C17"/>
    <w:rsid w:val="00EB2EA0"/>
    <w:rsid w:val="00EB2FA4"/>
    <w:rsid w:val="00EB35E5"/>
    <w:rsid w:val="00EB3F88"/>
    <w:rsid w:val="00EB41D6"/>
    <w:rsid w:val="00EB4E19"/>
    <w:rsid w:val="00EB6D1A"/>
    <w:rsid w:val="00EB70AE"/>
    <w:rsid w:val="00EB7CB9"/>
    <w:rsid w:val="00EC0166"/>
    <w:rsid w:val="00EC0717"/>
    <w:rsid w:val="00EC0DC4"/>
    <w:rsid w:val="00EC119C"/>
    <w:rsid w:val="00EC1398"/>
    <w:rsid w:val="00EC142A"/>
    <w:rsid w:val="00EC15F3"/>
    <w:rsid w:val="00EC31A0"/>
    <w:rsid w:val="00EC37C7"/>
    <w:rsid w:val="00EC390E"/>
    <w:rsid w:val="00EC3A62"/>
    <w:rsid w:val="00EC41BD"/>
    <w:rsid w:val="00EC472D"/>
    <w:rsid w:val="00EC4A7A"/>
    <w:rsid w:val="00EC4C4C"/>
    <w:rsid w:val="00EC555B"/>
    <w:rsid w:val="00EC55DD"/>
    <w:rsid w:val="00EC5C14"/>
    <w:rsid w:val="00EC628F"/>
    <w:rsid w:val="00EC635E"/>
    <w:rsid w:val="00EC64B4"/>
    <w:rsid w:val="00EC6611"/>
    <w:rsid w:val="00EC6B5C"/>
    <w:rsid w:val="00EC6FBA"/>
    <w:rsid w:val="00ED028E"/>
    <w:rsid w:val="00ED0ABD"/>
    <w:rsid w:val="00ED0FD4"/>
    <w:rsid w:val="00ED11CC"/>
    <w:rsid w:val="00ED224E"/>
    <w:rsid w:val="00ED3021"/>
    <w:rsid w:val="00ED3E80"/>
    <w:rsid w:val="00ED4436"/>
    <w:rsid w:val="00ED461E"/>
    <w:rsid w:val="00ED5026"/>
    <w:rsid w:val="00ED59D5"/>
    <w:rsid w:val="00ED59F4"/>
    <w:rsid w:val="00ED6E26"/>
    <w:rsid w:val="00ED7D95"/>
    <w:rsid w:val="00EE03BD"/>
    <w:rsid w:val="00EE051C"/>
    <w:rsid w:val="00EE0AA2"/>
    <w:rsid w:val="00EE1575"/>
    <w:rsid w:val="00EE177F"/>
    <w:rsid w:val="00EE2322"/>
    <w:rsid w:val="00EE2769"/>
    <w:rsid w:val="00EE2AD0"/>
    <w:rsid w:val="00EE32BF"/>
    <w:rsid w:val="00EE4FC6"/>
    <w:rsid w:val="00EE5092"/>
    <w:rsid w:val="00EE526C"/>
    <w:rsid w:val="00EE5574"/>
    <w:rsid w:val="00EE5CBB"/>
    <w:rsid w:val="00EE7B4F"/>
    <w:rsid w:val="00EE7E33"/>
    <w:rsid w:val="00EF0890"/>
    <w:rsid w:val="00EF0980"/>
    <w:rsid w:val="00EF0D20"/>
    <w:rsid w:val="00EF1594"/>
    <w:rsid w:val="00EF1A1A"/>
    <w:rsid w:val="00EF3141"/>
    <w:rsid w:val="00EF33B4"/>
    <w:rsid w:val="00EF3DFD"/>
    <w:rsid w:val="00EF4CB4"/>
    <w:rsid w:val="00EF5FBD"/>
    <w:rsid w:val="00EF764D"/>
    <w:rsid w:val="00F0026F"/>
    <w:rsid w:val="00F02EE5"/>
    <w:rsid w:val="00F035A4"/>
    <w:rsid w:val="00F03B64"/>
    <w:rsid w:val="00F03E0E"/>
    <w:rsid w:val="00F04A53"/>
    <w:rsid w:val="00F04EB5"/>
    <w:rsid w:val="00F05334"/>
    <w:rsid w:val="00F06770"/>
    <w:rsid w:val="00F06A50"/>
    <w:rsid w:val="00F078CC"/>
    <w:rsid w:val="00F1193F"/>
    <w:rsid w:val="00F11E0E"/>
    <w:rsid w:val="00F1251A"/>
    <w:rsid w:val="00F12AD8"/>
    <w:rsid w:val="00F13262"/>
    <w:rsid w:val="00F13CC0"/>
    <w:rsid w:val="00F14004"/>
    <w:rsid w:val="00F1468A"/>
    <w:rsid w:val="00F147D8"/>
    <w:rsid w:val="00F14FCD"/>
    <w:rsid w:val="00F15FE4"/>
    <w:rsid w:val="00F16675"/>
    <w:rsid w:val="00F16F03"/>
    <w:rsid w:val="00F17724"/>
    <w:rsid w:val="00F2109C"/>
    <w:rsid w:val="00F21439"/>
    <w:rsid w:val="00F21779"/>
    <w:rsid w:val="00F217B8"/>
    <w:rsid w:val="00F21C6E"/>
    <w:rsid w:val="00F21DD2"/>
    <w:rsid w:val="00F222BB"/>
    <w:rsid w:val="00F2251D"/>
    <w:rsid w:val="00F228B7"/>
    <w:rsid w:val="00F22C70"/>
    <w:rsid w:val="00F23C81"/>
    <w:rsid w:val="00F240D7"/>
    <w:rsid w:val="00F251B3"/>
    <w:rsid w:val="00F2568E"/>
    <w:rsid w:val="00F25A6F"/>
    <w:rsid w:val="00F25FD0"/>
    <w:rsid w:val="00F26898"/>
    <w:rsid w:val="00F268B7"/>
    <w:rsid w:val="00F26DD2"/>
    <w:rsid w:val="00F3147C"/>
    <w:rsid w:val="00F33924"/>
    <w:rsid w:val="00F34219"/>
    <w:rsid w:val="00F3481D"/>
    <w:rsid w:val="00F34F74"/>
    <w:rsid w:val="00F35E28"/>
    <w:rsid w:val="00F369A0"/>
    <w:rsid w:val="00F40712"/>
    <w:rsid w:val="00F40A08"/>
    <w:rsid w:val="00F413D9"/>
    <w:rsid w:val="00F41912"/>
    <w:rsid w:val="00F41CD9"/>
    <w:rsid w:val="00F42705"/>
    <w:rsid w:val="00F42C6D"/>
    <w:rsid w:val="00F42D29"/>
    <w:rsid w:val="00F43B3E"/>
    <w:rsid w:val="00F43CDB"/>
    <w:rsid w:val="00F44BF1"/>
    <w:rsid w:val="00F452BA"/>
    <w:rsid w:val="00F45BE4"/>
    <w:rsid w:val="00F45E49"/>
    <w:rsid w:val="00F45F51"/>
    <w:rsid w:val="00F47953"/>
    <w:rsid w:val="00F47BBB"/>
    <w:rsid w:val="00F47C46"/>
    <w:rsid w:val="00F47C94"/>
    <w:rsid w:val="00F50614"/>
    <w:rsid w:val="00F5087E"/>
    <w:rsid w:val="00F5337D"/>
    <w:rsid w:val="00F54D6A"/>
    <w:rsid w:val="00F54E18"/>
    <w:rsid w:val="00F55713"/>
    <w:rsid w:val="00F55E0B"/>
    <w:rsid w:val="00F55E41"/>
    <w:rsid w:val="00F57D73"/>
    <w:rsid w:val="00F60998"/>
    <w:rsid w:val="00F611BF"/>
    <w:rsid w:val="00F62D85"/>
    <w:rsid w:val="00F62EC2"/>
    <w:rsid w:val="00F637A3"/>
    <w:rsid w:val="00F63C10"/>
    <w:rsid w:val="00F6658E"/>
    <w:rsid w:val="00F669B5"/>
    <w:rsid w:val="00F66F5C"/>
    <w:rsid w:val="00F679A0"/>
    <w:rsid w:val="00F7102D"/>
    <w:rsid w:val="00F711AC"/>
    <w:rsid w:val="00F715B2"/>
    <w:rsid w:val="00F71785"/>
    <w:rsid w:val="00F722F6"/>
    <w:rsid w:val="00F72447"/>
    <w:rsid w:val="00F725F0"/>
    <w:rsid w:val="00F735D6"/>
    <w:rsid w:val="00F73FD4"/>
    <w:rsid w:val="00F755EC"/>
    <w:rsid w:val="00F75F86"/>
    <w:rsid w:val="00F7655C"/>
    <w:rsid w:val="00F76FB7"/>
    <w:rsid w:val="00F77262"/>
    <w:rsid w:val="00F772AE"/>
    <w:rsid w:val="00F80082"/>
    <w:rsid w:val="00F803A2"/>
    <w:rsid w:val="00F803AD"/>
    <w:rsid w:val="00F81F84"/>
    <w:rsid w:val="00F82077"/>
    <w:rsid w:val="00F82135"/>
    <w:rsid w:val="00F82DE8"/>
    <w:rsid w:val="00F8326C"/>
    <w:rsid w:val="00F83D03"/>
    <w:rsid w:val="00F84632"/>
    <w:rsid w:val="00F84CAC"/>
    <w:rsid w:val="00F851DB"/>
    <w:rsid w:val="00F8555F"/>
    <w:rsid w:val="00F86528"/>
    <w:rsid w:val="00F86AFE"/>
    <w:rsid w:val="00F87E58"/>
    <w:rsid w:val="00F90090"/>
    <w:rsid w:val="00F912A1"/>
    <w:rsid w:val="00F915F3"/>
    <w:rsid w:val="00F9193C"/>
    <w:rsid w:val="00F92B08"/>
    <w:rsid w:val="00F92DE3"/>
    <w:rsid w:val="00F931D6"/>
    <w:rsid w:val="00F93296"/>
    <w:rsid w:val="00F93E2D"/>
    <w:rsid w:val="00F94386"/>
    <w:rsid w:val="00F945CC"/>
    <w:rsid w:val="00F9710D"/>
    <w:rsid w:val="00F97153"/>
    <w:rsid w:val="00F976EE"/>
    <w:rsid w:val="00F97842"/>
    <w:rsid w:val="00FA0168"/>
    <w:rsid w:val="00FA0AF1"/>
    <w:rsid w:val="00FA10D4"/>
    <w:rsid w:val="00FA1AFE"/>
    <w:rsid w:val="00FA28EA"/>
    <w:rsid w:val="00FA3A57"/>
    <w:rsid w:val="00FA3E5B"/>
    <w:rsid w:val="00FA52EE"/>
    <w:rsid w:val="00FA59E9"/>
    <w:rsid w:val="00FA5D85"/>
    <w:rsid w:val="00FA62B2"/>
    <w:rsid w:val="00FA6D5C"/>
    <w:rsid w:val="00FB0430"/>
    <w:rsid w:val="00FB2BF4"/>
    <w:rsid w:val="00FB52BF"/>
    <w:rsid w:val="00FB5DBF"/>
    <w:rsid w:val="00FB5F6E"/>
    <w:rsid w:val="00FB635F"/>
    <w:rsid w:val="00FB63DA"/>
    <w:rsid w:val="00FB6DC4"/>
    <w:rsid w:val="00FB71F5"/>
    <w:rsid w:val="00FC01D5"/>
    <w:rsid w:val="00FC0A07"/>
    <w:rsid w:val="00FC0CD7"/>
    <w:rsid w:val="00FC17C4"/>
    <w:rsid w:val="00FC1BDF"/>
    <w:rsid w:val="00FC1DA9"/>
    <w:rsid w:val="00FC2470"/>
    <w:rsid w:val="00FC2D61"/>
    <w:rsid w:val="00FC4E31"/>
    <w:rsid w:val="00FC510A"/>
    <w:rsid w:val="00FC6117"/>
    <w:rsid w:val="00FC6355"/>
    <w:rsid w:val="00FC6DEA"/>
    <w:rsid w:val="00FC73C6"/>
    <w:rsid w:val="00FD020A"/>
    <w:rsid w:val="00FD02F4"/>
    <w:rsid w:val="00FD1BC9"/>
    <w:rsid w:val="00FD1DFF"/>
    <w:rsid w:val="00FD238A"/>
    <w:rsid w:val="00FD4A85"/>
    <w:rsid w:val="00FD4E30"/>
    <w:rsid w:val="00FD5653"/>
    <w:rsid w:val="00FD660D"/>
    <w:rsid w:val="00FD7839"/>
    <w:rsid w:val="00FD79EA"/>
    <w:rsid w:val="00FE0182"/>
    <w:rsid w:val="00FE075C"/>
    <w:rsid w:val="00FE1883"/>
    <w:rsid w:val="00FE1BCB"/>
    <w:rsid w:val="00FE2EDC"/>
    <w:rsid w:val="00FE3B36"/>
    <w:rsid w:val="00FE4BAD"/>
    <w:rsid w:val="00FE6C06"/>
    <w:rsid w:val="00FE6E89"/>
    <w:rsid w:val="00FE71B0"/>
    <w:rsid w:val="00FE73D3"/>
    <w:rsid w:val="00FE7576"/>
    <w:rsid w:val="00FF041B"/>
    <w:rsid w:val="00FF1A12"/>
    <w:rsid w:val="00FF22DE"/>
    <w:rsid w:val="00FF2C9A"/>
    <w:rsid w:val="00FF3665"/>
    <w:rsid w:val="00FF3ABC"/>
    <w:rsid w:val="00FF3D87"/>
    <w:rsid w:val="00FF405D"/>
    <w:rsid w:val="00FF44DC"/>
    <w:rsid w:val="00FF498E"/>
    <w:rsid w:val="00FF4A26"/>
    <w:rsid w:val="00FF4A6F"/>
    <w:rsid w:val="00FF50CB"/>
    <w:rsid w:val="00FF602F"/>
    <w:rsid w:val="00FF7626"/>
    <w:rsid w:val="00FF7AAB"/>
    <w:rsid w:val="04103A18"/>
    <w:rsid w:val="05ADBFF2"/>
    <w:rsid w:val="07DD14DC"/>
    <w:rsid w:val="0931153E"/>
    <w:rsid w:val="09777074"/>
    <w:rsid w:val="0EBFAB39"/>
    <w:rsid w:val="0ED21262"/>
    <w:rsid w:val="15357882"/>
    <w:rsid w:val="1688F91B"/>
    <w:rsid w:val="1BC8B8B3"/>
    <w:rsid w:val="233A5F5F"/>
    <w:rsid w:val="240E1D0D"/>
    <w:rsid w:val="24657815"/>
    <w:rsid w:val="249C6BA1"/>
    <w:rsid w:val="24E7B9D2"/>
    <w:rsid w:val="25BAF9A9"/>
    <w:rsid w:val="265982C0"/>
    <w:rsid w:val="26D331E6"/>
    <w:rsid w:val="26F971CD"/>
    <w:rsid w:val="2A6106C6"/>
    <w:rsid w:val="2BDCE43F"/>
    <w:rsid w:val="2C216F11"/>
    <w:rsid w:val="302FAE5A"/>
    <w:rsid w:val="307DD7F6"/>
    <w:rsid w:val="3363D555"/>
    <w:rsid w:val="35910FE5"/>
    <w:rsid w:val="367F7603"/>
    <w:rsid w:val="37A999F4"/>
    <w:rsid w:val="3827DFAF"/>
    <w:rsid w:val="39D65ECA"/>
    <w:rsid w:val="39F57A79"/>
    <w:rsid w:val="3A3DAAA4"/>
    <w:rsid w:val="3BD9859D"/>
    <w:rsid w:val="41CB1CE7"/>
    <w:rsid w:val="450C39A0"/>
    <w:rsid w:val="46EBD167"/>
    <w:rsid w:val="46ECDA01"/>
    <w:rsid w:val="472BD4EC"/>
    <w:rsid w:val="48DADABD"/>
    <w:rsid w:val="49E70F94"/>
    <w:rsid w:val="504B31CC"/>
    <w:rsid w:val="51ADDE4D"/>
    <w:rsid w:val="534EBC67"/>
    <w:rsid w:val="535E47FC"/>
    <w:rsid w:val="5B88EC45"/>
    <w:rsid w:val="5C837229"/>
    <w:rsid w:val="5E89F1C2"/>
    <w:rsid w:val="5FB8D173"/>
    <w:rsid w:val="6319904E"/>
    <w:rsid w:val="69648C3E"/>
    <w:rsid w:val="6B829946"/>
    <w:rsid w:val="6BE54086"/>
    <w:rsid w:val="730BD211"/>
    <w:rsid w:val="79FDE8C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AB917"/>
  <w15:chartTrackingRefBased/>
  <w15:docId w15:val="{25C515E8-59EB-454F-B858-48DE477F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69D"/>
  </w:style>
  <w:style w:type="paragraph" w:styleId="Nagwek1">
    <w:name w:val="heading 1"/>
    <w:basedOn w:val="Normalny"/>
    <w:next w:val="Normalny"/>
    <w:link w:val="Nagwek1Znak"/>
    <w:uiPriority w:val="9"/>
    <w:qFormat/>
    <w:rsid w:val="00870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A00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A00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A155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7">
    <w:name w:val="heading 7"/>
    <w:basedOn w:val="Normalny"/>
    <w:next w:val="Normalny"/>
    <w:link w:val="Nagwek7Znak"/>
    <w:uiPriority w:val="9"/>
    <w:unhideWhenUsed/>
    <w:qFormat/>
    <w:rsid w:val="008536D5"/>
    <w:pPr>
      <w:keepNext/>
      <w:keepLines/>
      <w:suppressAutoHyphens/>
      <w:spacing w:before="40" w:after="0" w:line="240" w:lineRule="auto"/>
      <w:outlineLvl w:val="6"/>
    </w:pPr>
    <w:rPr>
      <w:rFonts w:asciiTheme="majorHAnsi" w:eastAsiaTheme="majorEastAsia" w:hAnsiTheme="majorHAnsi" w:cstheme="majorBidi"/>
      <w:i/>
      <w:iCs/>
      <w:color w:val="1F3763" w:themeColor="accent1" w:themeShade="7F"/>
      <w:sz w:val="24"/>
      <w:szCs w:val="24"/>
      <w:lang w:eastAsia="ar-SA"/>
    </w:rPr>
  </w:style>
  <w:style w:type="paragraph" w:styleId="Nagwek8">
    <w:name w:val="heading 8"/>
    <w:basedOn w:val="Normalny"/>
    <w:next w:val="Normalny"/>
    <w:link w:val="Nagwek8Znak"/>
    <w:uiPriority w:val="9"/>
    <w:unhideWhenUsed/>
    <w:qFormat/>
    <w:rsid w:val="00185E5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B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B26"/>
  </w:style>
  <w:style w:type="paragraph" w:styleId="Stopka">
    <w:name w:val="footer"/>
    <w:basedOn w:val="Normalny"/>
    <w:link w:val="StopkaZnak"/>
    <w:uiPriority w:val="99"/>
    <w:unhideWhenUsed/>
    <w:rsid w:val="00A23B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B26"/>
  </w:style>
  <w:style w:type="character" w:customStyle="1" w:styleId="Nagwek1Znak">
    <w:name w:val="Nagłówek 1 Znak"/>
    <w:basedOn w:val="Domylnaczcionkaakapitu"/>
    <w:link w:val="Nagwek1"/>
    <w:uiPriority w:val="9"/>
    <w:rsid w:val="00870A2C"/>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870A2C"/>
    <w:pPr>
      <w:outlineLvl w:val="9"/>
    </w:pPr>
    <w:rPr>
      <w:lang w:eastAsia="pl-PL"/>
    </w:rPr>
  </w:style>
  <w:style w:type="paragraph" w:styleId="Spistreci1">
    <w:name w:val="toc 1"/>
    <w:basedOn w:val="Normalny"/>
    <w:next w:val="Normalny"/>
    <w:autoRedefine/>
    <w:uiPriority w:val="39"/>
    <w:unhideWhenUsed/>
    <w:rsid w:val="00512C10"/>
    <w:pPr>
      <w:tabs>
        <w:tab w:val="right" w:leader="dot" w:pos="9062"/>
      </w:tabs>
      <w:spacing w:after="100"/>
    </w:pPr>
    <w:rPr>
      <w:rFonts w:ascii="Arial" w:hAnsi="Arial" w:cs="Arial"/>
      <w:b/>
      <w:bCs/>
      <w:noProof/>
    </w:rPr>
  </w:style>
  <w:style w:type="character" w:styleId="Hipercze">
    <w:name w:val="Hyperlink"/>
    <w:basedOn w:val="Domylnaczcionkaakapitu"/>
    <w:uiPriority w:val="99"/>
    <w:unhideWhenUsed/>
    <w:rsid w:val="001A0022"/>
    <w:rPr>
      <w:color w:val="0563C1" w:themeColor="hyperlink"/>
      <w:u w:val="single"/>
    </w:rPr>
  </w:style>
  <w:style w:type="character" w:customStyle="1" w:styleId="Nagwek2Znak">
    <w:name w:val="Nagłówek 2 Znak"/>
    <w:basedOn w:val="Domylnaczcionkaakapitu"/>
    <w:link w:val="Nagwek2"/>
    <w:uiPriority w:val="9"/>
    <w:rsid w:val="001A0022"/>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D72B3D"/>
    <w:pPr>
      <w:tabs>
        <w:tab w:val="left" w:pos="567"/>
        <w:tab w:val="right" w:leader="dot" w:pos="9062"/>
      </w:tabs>
      <w:spacing w:after="120" w:line="276" w:lineRule="auto"/>
      <w:ind w:left="220"/>
    </w:pPr>
  </w:style>
  <w:style w:type="character" w:customStyle="1" w:styleId="Nagwek3Znak">
    <w:name w:val="Nagłówek 3 Znak"/>
    <w:basedOn w:val="Domylnaczcionkaakapitu"/>
    <w:link w:val="Nagwek3"/>
    <w:uiPriority w:val="9"/>
    <w:rsid w:val="001A0022"/>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095753"/>
    <w:pPr>
      <w:tabs>
        <w:tab w:val="left" w:pos="993"/>
        <w:tab w:val="right" w:leader="dot" w:pos="9062"/>
      </w:tabs>
      <w:spacing w:after="120" w:line="276" w:lineRule="auto"/>
      <w:ind w:left="440"/>
    </w:pPr>
    <w:rPr>
      <w:rFonts w:cstheme="minorHAnsi"/>
      <w:bCs/>
      <w:noProof/>
      <w:sz w:val="24"/>
      <w:szCs w:val="24"/>
    </w:rPr>
  </w:style>
  <w:style w:type="paragraph" w:styleId="Akapitzlist">
    <w:name w:val="List Paragraph"/>
    <w:aliases w:val="Liste à puces retrait droite,List Paragraph compact,Normal bullet 2,Paragraphe de liste 2,Reference list,Bullet list,Numbered List,List Paragraph1,1st level - Bullet List Paragraph,Lettre d'introduction,Paragraph,Bullet EY,Wykres"/>
    <w:basedOn w:val="Normalny"/>
    <w:link w:val="AkapitzlistZnak"/>
    <w:uiPriority w:val="34"/>
    <w:qFormat/>
    <w:rsid w:val="00C73872"/>
    <w:pPr>
      <w:ind w:left="720"/>
      <w:contextualSpacing/>
    </w:pPr>
  </w:style>
  <w:style w:type="paragraph" w:styleId="Tekstprzypisudolnego">
    <w:name w:val="footnote text"/>
    <w:basedOn w:val="Normalny"/>
    <w:link w:val="TekstprzypisudolnegoZnak"/>
    <w:uiPriority w:val="99"/>
    <w:semiHidden/>
    <w:unhideWhenUsed/>
    <w:rsid w:val="006746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4635"/>
    <w:rPr>
      <w:sz w:val="20"/>
      <w:szCs w:val="20"/>
    </w:rPr>
  </w:style>
  <w:style w:type="character" w:styleId="Odwoanieprzypisudolnego">
    <w:name w:val="footnote reference"/>
    <w:basedOn w:val="Domylnaczcionkaakapitu"/>
    <w:uiPriority w:val="99"/>
    <w:semiHidden/>
    <w:unhideWhenUsed/>
    <w:rsid w:val="00674635"/>
    <w:rPr>
      <w:vertAlign w:val="superscript"/>
    </w:rPr>
  </w:style>
  <w:style w:type="character" w:styleId="Odwoaniedokomentarza">
    <w:name w:val="annotation reference"/>
    <w:basedOn w:val="Domylnaczcionkaakapitu"/>
    <w:uiPriority w:val="99"/>
    <w:unhideWhenUsed/>
    <w:rsid w:val="00976DA7"/>
    <w:rPr>
      <w:sz w:val="16"/>
      <w:szCs w:val="16"/>
    </w:rPr>
  </w:style>
  <w:style w:type="paragraph" w:styleId="Tekstkomentarza">
    <w:name w:val="annotation text"/>
    <w:basedOn w:val="Normalny"/>
    <w:link w:val="TekstkomentarzaZnak"/>
    <w:uiPriority w:val="99"/>
    <w:unhideWhenUsed/>
    <w:rsid w:val="00976DA7"/>
    <w:pPr>
      <w:spacing w:line="240" w:lineRule="auto"/>
    </w:pPr>
    <w:rPr>
      <w:sz w:val="20"/>
      <w:szCs w:val="20"/>
    </w:rPr>
  </w:style>
  <w:style w:type="character" w:customStyle="1" w:styleId="TekstkomentarzaZnak">
    <w:name w:val="Tekst komentarza Znak"/>
    <w:basedOn w:val="Domylnaczcionkaakapitu"/>
    <w:link w:val="Tekstkomentarza"/>
    <w:uiPriority w:val="99"/>
    <w:rsid w:val="00976DA7"/>
    <w:rPr>
      <w:sz w:val="20"/>
      <w:szCs w:val="20"/>
    </w:rPr>
  </w:style>
  <w:style w:type="paragraph" w:styleId="Tematkomentarza">
    <w:name w:val="annotation subject"/>
    <w:basedOn w:val="Tekstkomentarza"/>
    <w:next w:val="Tekstkomentarza"/>
    <w:link w:val="TematkomentarzaZnak"/>
    <w:uiPriority w:val="99"/>
    <w:semiHidden/>
    <w:unhideWhenUsed/>
    <w:rsid w:val="00976DA7"/>
    <w:rPr>
      <w:b/>
      <w:bCs/>
    </w:rPr>
  </w:style>
  <w:style w:type="character" w:customStyle="1" w:styleId="TematkomentarzaZnak">
    <w:name w:val="Temat komentarza Znak"/>
    <w:basedOn w:val="TekstkomentarzaZnak"/>
    <w:link w:val="Tematkomentarza"/>
    <w:uiPriority w:val="99"/>
    <w:semiHidden/>
    <w:rsid w:val="00976DA7"/>
    <w:rPr>
      <w:b/>
      <w:bCs/>
      <w:sz w:val="20"/>
      <w:szCs w:val="20"/>
    </w:rPr>
  </w:style>
  <w:style w:type="table" w:styleId="Tabela-Siatka">
    <w:name w:val="Table Grid"/>
    <w:basedOn w:val="Standardowy"/>
    <w:uiPriority w:val="39"/>
    <w:rsid w:val="0060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e à puces retrait droite Znak,List Paragraph compact Znak,Normal bullet 2 Znak,Paragraphe de liste 2 Znak,Reference list Znak,Bullet list Znak,Numbered List Znak,List Paragraph1 Znak,1st level - Bullet List Paragraph Znak"/>
    <w:basedOn w:val="Domylnaczcionkaakapitu"/>
    <w:link w:val="Akapitzlist"/>
    <w:uiPriority w:val="34"/>
    <w:qFormat/>
    <w:rsid w:val="006042B3"/>
  </w:style>
  <w:style w:type="paragraph" w:customStyle="1" w:styleId="NCBRnormalny">
    <w:name w:val="NCBR_normalny"/>
    <w:basedOn w:val="Normalny"/>
    <w:rsid w:val="00922E2A"/>
    <w:pPr>
      <w:spacing w:after="0" w:line="300" w:lineRule="exact"/>
      <w:contextualSpacing/>
      <w:jc w:val="both"/>
    </w:pPr>
    <w:rPr>
      <w:rFonts w:ascii="Lato" w:eastAsia="Arial" w:hAnsi="Lato" w:cs="Arial"/>
      <w:color w:val="000000" w:themeColor="text1"/>
      <w:lang w:val="pl"/>
    </w:rPr>
  </w:style>
  <w:style w:type="paragraph" w:styleId="Poprawka">
    <w:name w:val="Revision"/>
    <w:hidden/>
    <w:uiPriority w:val="99"/>
    <w:semiHidden/>
    <w:rsid w:val="0099624D"/>
    <w:pPr>
      <w:spacing w:after="0" w:line="240" w:lineRule="auto"/>
    </w:pPr>
  </w:style>
  <w:style w:type="character" w:customStyle="1" w:styleId="hgkelc">
    <w:name w:val="hgkelc"/>
    <w:basedOn w:val="Domylnaczcionkaakapitu"/>
    <w:rsid w:val="00E11722"/>
  </w:style>
  <w:style w:type="character" w:customStyle="1" w:styleId="Nagwek7Znak">
    <w:name w:val="Nagłówek 7 Znak"/>
    <w:basedOn w:val="Domylnaczcionkaakapitu"/>
    <w:link w:val="Nagwek7"/>
    <w:uiPriority w:val="9"/>
    <w:rsid w:val="008536D5"/>
    <w:rPr>
      <w:rFonts w:asciiTheme="majorHAnsi" w:eastAsiaTheme="majorEastAsia" w:hAnsiTheme="majorHAnsi" w:cstheme="majorBidi"/>
      <w:i/>
      <w:iCs/>
      <w:color w:val="1F3763" w:themeColor="accent1" w:themeShade="7F"/>
      <w:sz w:val="24"/>
      <w:szCs w:val="24"/>
      <w:lang w:eastAsia="ar-SA"/>
    </w:rPr>
  </w:style>
  <w:style w:type="paragraph" w:customStyle="1" w:styleId="NCBR2Nagowek">
    <w:name w:val="NCBR_2Nagłowek"/>
    <w:basedOn w:val="Normalny"/>
    <w:qFormat/>
    <w:rsid w:val="00767E1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markedcontent">
    <w:name w:val="markedcontent"/>
    <w:basedOn w:val="Domylnaczcionkaakapitu"/>
    <w:rsid w:val="00771854"/>
  </w:style>
  <w:style w:type="character" w:customStyle="1" w:styleId="highlight">
    <w:name w:val="highlight"/>
    <w:basedOn w:val="Domylnaczcionkaakapitu"/>
    <w:rsid w:val="004A0482"/>
  </w:style>
  <w:style w:type="character" w:customStyle="1" w:styleId="Nierozpoznanawzmianka1">
    <w:name w:val="Nierozpoznana wzmianka1"/>
    <w:basedOn w:val="Domylnaczcionkaakapitu"/>
    <w:uiPriority w:val="99"/>
    <w:semiHidden/>
    <w:unhideWhenUsed/>
    <w:rsid w:val="009841F3"/>
    <w:rPr>
      <w:color w:val="605E5C"/>
      <w:shd w:val="clear" w:color="auto" w:fill="E1DFDD"/>
    </w:rPr>
  </w:style>
  <w:style w:type="paragraph" w:styleId="HTML-wstpniesformatowany">
    <w:name w:val="HTML Preformatted"/>
    <w:basedOn w:val="Normalny"/>
    <w:link w:val="HTML-wstpniesformatowanyZnak"/>
    <w:uiPriority w:val="99"/>
    <w:semiHidden/>
    <w:unhideWhenUsed/>
    <w:rsid w:val="00275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75ECE"/>
    <w:rPr>
      <w:rFonts w:ascii="Courier New" w:eastAsia="Times New Roman" w:hAnsi="Courier New" w:cs="Courier New"/>
      <w:sz w:val="20"/>
      <w:szCs w:val="20"/>
      <w:lang w:eastAsia="pl-PL"/>
    </w:rPr>
  </w:style>
  <w:style w:type="character" w:customStyle="1" w:styleId="y2iqfc">
    <w:name w:val="y2iqfc"/>
    <w:basedOn w:val="Domylnaczcionkaakapitu"/>
    <w:rsid w:val="00275ECE"/>
  </w:style>
  <w:style w:type="paragraph" w:styleId="NormalnyWeb">
    <w:name w:val="Normal (Web)"/>
    <w:basedOn w:val="Normalny"/>
    <w:uiPriority w:val="99"/>
    <w:unhideWhenUsed/>
    <w:rsid w:val="00A640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660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081"/>
    <w:rPr>
      <w:rFonts w:ascii="Segoe UI" w:hAnsi="Segoe UI" w:cs="Segoe UI"/>
      <w:sz w:val="18"/>
      <w:szCs w:val="18"/>
    </w:rPr>
  </w:style>
  <w:style w:type="character" w:customStyle="1" w:styleId="text-justify">
    <w:name w:val="text-justify"/>
    <w:basedOn w:val="Domylnaczcionkaakapitu"/>
    <w:rsid w:val="00225308"/>
  </w:style>
  <w:style w:type="character" w:customStyle="1" w:styleId="Nierozpoznanawzmianka2">
    <w:name w:val="Nierozpoznana wzmianka2"/>
    <w:basedOn w:val="Domylnaczcionkaakapitu"/>
    <w:uiPriority w:val="99"/>
    <w:semiHidden/>
    <w:unhideWhenUsed/>
    <w:rsid w:val="00AE3C64"/>
    <w:rPr>
      <w:color w:val="605E5C"/>
      <w:shd w:val="clear" w:color="auto" w:fill="E1DFDD"/>
    </w:rPr>
  </w:style>
  <w:style w:type="paragraph" w:styleId="Tekstprzypisukocowego">
    <w:name w:val="endnote text"/>
    <w:basedOn w:val="Normalny"/>
    <w:link w:val="TekstprzypisukocowegoZnak"/>
    <w:uiPriority w:val="99"/>
    <w:semiHidden/>
    <w:unhideWhenUsed/>
    <w:rsid w:val="00AE3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3C64"/>
    <w:rPr>
      <w:sz w:val="20"/>
      <w:szCs w:val="20"/>
    </w:rPr>
  </w:style>
  <w:style w:type="character" w:styleId="Odwoanieprzypisukocowego">
    <w:name w:val="endnote reference"/>
    <w:basedOn w:val="Domylnaczcionkaakapitu"/>
    <w:uiPriority w:val="99"/>
    <w:semiHidden/>
    <w:unhideWhenUsed/>
    <w:rsid w:val="00AE3C64"/>
    <w:rPr>
      <w:vertAlign w:val="superscript"/>
    </w:rPr>
  </w:style>
  <w:style w:type="paragraph" w:styleId="Bezodstpw">
    <w:name w:val="No Spacing"/>
    <w:uiPriority w:val="1"/>
    <w:qFormat/>
    <w:rsid w:val="0041030A"/>
    <w:pPr>
      <w:spacing w:after="0" w:line="240" w:lineRule="auto"/>
    </w:pPr>
  </w:style>
  <w:style w:type="character" w:styleId="UyteHipercze">
    <w:name w:val="FollowedHyperlink"/>
    <w:basedOn w:val="Domylnaczcionkaakapitu"/>
    <w:uiPriority w:val="99"/>
    <w:semiHidden/>
    <w:unhideWhenUsed/>
    <w:rsid w:val="00CF0127"/>
    <w:rPr>
      <w:color w:val="954F72" w:themeColor="followedHyperlink"/>
      <w:u w:val="single"/>
    </w:rPr>
  </w:style>
  <w:style w:type="paragraph" w:customStyle="1" w:styleId="CM1">
    <w:name w:val="CM1"/>
    <w:basedOn w:val="Normalny"/>
    <w:next w:val="Normalny"/>
    <w:uiPriority w:val="99"/>
    <w:rsid w:val="00CC2793"/>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ny"/>
    <w:next w:val="Normalny"/>
    <w:uiPriority w:val="99"/>
    <w:rsid w:val="00CC2793"/>
    <w:pPr>
      <w:autoSpaceDE w:val="0"/>
      <w:autoSpaceDN w:val="0"/>
      <w:adjustRightInd w:val="0"/>
      <w:spacing w:after="0" w:line="240" w:lineRule="auto"/>
    </w:pPr>
    <w:rPr>
      <w:rFonts w:ascii="Times New Roman" w:hAnsi="Times New Roman" w:cs="Times New Roman"/>
      <w:sz w:val="24"/>
      <w:szCs w:val="24"/>
    </w:rPr>
  </w:style>
  <w:style w:type="character" w:customStyle="1" w:styleId="Nagwek4Znak">
    <w:name w:val="Nagłówek 4 Znak"/>
    <w:basedOn w:val="Domylnaczcionkaakapitu"/>
    <w:link w:val="Nagwek4"/>
    <w:uiPriority w:val="9"/>
    <w:rsid w:val="00A1555E"/>
    <w:rPr>
      <w:rFonts w:asciiTheme="majorHAnsi" w:eastAsiaTheme="majorEastAsia" w:hAnsiTheme="majorHAnsi" w:cstheme="majorBidi"/>
      <w:i/>
      <w:iCs/>
      <w:color w:val="2F5496" w:themeColor="accent1" w:themeShade="BF"/>
    </w:rPr>
  </w:style>
  <w:style w:type="paragraph" w:styleId="Tytu">
    <w:name w:val="Title"/>
    <w:basedOn w:val="Normalny"/>
    <w:next w:val="Normalny"/>
    <w:link w:val="TytuZnak"/>
    <w:uiPriority w:val="10"/>
    <w:qFormat/>
    <w:rsid w:val="004D5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283"/>
    <w:rPr>
      <w:rFonts w:asciiTheme="majorHAnsi" w:eastAsiaTheme="majorEastAsia" w:hAnsiTheme="majorHAnsi" w:cstheme="majorBidi"/>
      <w:spacing w:val="-10"/>
      <w:kern w:val="28"/>
      <w:sz w:val="56"/>
      <w:szCs w:val="56"/>
    </w:rPr>
  </w:style>
  <w:style w:type="character" w:customStyle="1" w:styleId="Nagwek8Znak">
    <w:name w:val="Nagłówek 8 Znak"/>
    <w:basedOn w:val="Domylnaczcionkaakapitu"/>
    <w:link w:val="Nagwek8"/>
    <w:uiPriority w:val="9"/>
    <w:rsid w:val="00185E50"/>
    <w:rPr>
      <w:rFonts w:asciiTheme="majorHAnsi" w:eastAsiaTheme="majorEastAsia" w:hAnsiTheme="majorHAnsi" w:cstheme="majorBidi"/>
      <w:color w:val="272727" w:themeColor="text1" w:themeTint="D8"/>
      <w:sz w:val="21"/>
      <w:szCs w:val="21"/>
    </w:rPr>
  </w:style>
  <w:style w:type="paragraph" w:customStyle="1" w:styleId="Tekstpodstawowywcity21">
    <w:name w:val="Tekst podstawowy wcięty 21"/>
    <w:basedOn w:val="Normalny"/>
    <w:rsid w:val="000E7A52"/>
    <w:pPr>
      <w:suppressAutoHyphens/>
      <w:spacing w:after="0" w:line="240" w:lineRule="auto"/>
      <w:ind w:left="360"/>
      <w:jc w:val="both"/>
    </w:pPr>
    <w:rPr>
      <w:rFonts w:ascii="Times New Roman" w:eastAsia="Times New Roman" w:hAnsi="Times New Roman" w:cs="Times New Roman"/>
      <w:sz w:val="24"/>
      <w:szCs w:val="24"/>
      <w:lang w:eastAsia="ar-SA"/>
    </w:rPr>
  </w:style>
  <w:style w:type="character" w:customStyle="1" w:styleId="ui-provider">
    <w:name w:val="ui-provider"/>
    <w:basedOn w:val="Domylnaczcionkaakapitu"/>
    <w:rsid w:val="008A5918"/>
  </w:style>
  <w:style w:type="paragraph" w:customStyle="1" w:styleId="Wtabeli">
    <w:name w:val="_W tabeli"/>
    <w:basedOn w:val="Normalny"/>
    <w:qFormat/>
    <w:rsid w:val="004142E5"/>
    <w:pPr>
      <w:spacing w:after="40" w:line="240" w:lineRule="auto"/>
      <w:jc w:val="both"/>
    </w:pPr>
    <w:rPr>
      <w:sz w:val="18"/>
      <w:szCs w:val="18"/>
    </w:rPr>
  </w:style>
  <w:style w:type="paragraph" w:styleId="Spistreci4">
    <w:name w:val="toc 4"/>
    <w:basedOn w:val="Normalny"/>
    <w:next w:val="Normalny"/>
    <w:autoRedefine/>
    <w:uiPriority w:val="39"/>
    <w:unhideWhenUsed/>
    <w:rsid w:val="00985291"/>
    <w:pPr>
      <w:spacing w:after="100"/>
      <w:ind w:left="660"/>
    </w:pPr>
    <w:rPr>
      <w:rFonts w:eastAsiaTheme="minorEastAsia"/>
      <w:lang w:eastAsia="pl-PL"/>
    </w:rPr>
  </w:style>
  <w:style w:type="paragraph" w:styleId="Spistreci5">
    <w:name w:val="toc 5"/>
    <w:basedOn w:val="Normalny"/>
    <w:next w:val="Normalny"/>
    <w:autoRedefine/>
    <w:uiPriority w:val="39"/>
    <w:unhideWhenUsed/>
    <w:rsid w:val="00985291"/>
    <w:pPr>
      <w:spacing w:after="100"/>
      <w:ind w:left="880"/>
    </w:pPr>
    <w:rPr>
      <w:rFonts w:eastAsiaTheme="minorEastAsia"/>
      <w:lang w:eastAsia="pl-PL"/>
    </w:rPr>
  </w:style>
  <w:style w:type="paragraph" w:styleId="Spistreci6">
    <w:name w:val="toc 6"/>
    <w:basedOn w:val="Normalny"/>
    <w:next w:val="Normalny"/>
    <w:autoRedefine/>
    <w:uiPriority w:val="39"/>
    <w:unhideWhenUsed/>
    <w:rsid w:val="00985291"/>
    <w:pPr>
      <w:spacing w:after="100"/>
      <w:ind w:left="1100"/>
    </w:pPr>
    <w:rPr>
      <w:rFonts w:eastAsiaTheme="minorEastAsia"/>
      <w:lang w:eastAsia="pl-PL"/>
    </w:rPr>
  </w:style>
  <w:style w:type="paragraph" w:styleId="Spistreci7">
    <w:name w:val="toc 7"/>
    <w:basedOn w:val="Normalny"/>
    <w:next w:val="Normalny"/>
    <w:autoRedefine/>
    <w:uiPriority w:val="39"/>
    <w:unhideWhenUsed/>
    <w:rsid w:val="00985291"/>
    <w:pPr>
      <w:spacing w:after="100"/>
      <w:ind w:left="1320"/>
    </w:pPr>
    <w:rPr>
      <w:rFonts w:eastAsiaTheme="minorEastAsia"/>
      <w:lang w:eastAsia="pl-PL"/>
    </w:rPr>
  </w:style>
  <w:style w:type="paragraph" w:styleId="Spistreci8">
    <w:name w:val="toc 8"/>
    <w:basedOn w:val="Normalny"/>
    <w:next w:val="Normalny"/>
    <w:autoRedefine/>
    <w:uiPriority w:val="39"/>
    <w:unhideWhenUsed/>
    <w:rsid w:val="00985291"/>
    <w:pPr>
      <w:spacing w:after="100"/>
      <w:ind w:left="1540"/>
    </w:pPr>
    <w:rPr>
      <w:rFonts w:eastAsiaTheme="minorEastAsia"/>
      <w:lang w:eastAsia="pl-PL"/>
    </w:rPr>
  </w:style>
  <w:style w:type="paragraph" w:styleId="Spistreci9">
    <w:name w:val="toc 9"/>
    <w:basedOn w:val="Normalny"/>
    <w:next w:val="Normalny"/>
    <w:autoRedefine/>
    <w:uiPriority w:val="39"/>
    <w:unhideWhenUsed/>
    <w:rsid w:val="00985291"/>
    <w:pPr>
      <w:spacing w:after="100"/>
      <w:ind w:left="1760"/>
    </w:pPr>
    <w:rPr>
      <w:rFonts w:eastAsiaTheme="minorEastAsia"/>
      <w:lang w:eastAsia="pl-PL"/>
    </w:rPr>
  </w:style>
  <w:style w:type="character" w:styleId="Uwydatnienie">
    <w:name w:val="Emphasis"/>
    <w:basedOn w:val="Domylnaczcionkaakapitu"/>
    <w:uiPriority w:val="20"/>
    <w:qFormat/>
    <w:rsid w:val="0001616D"/>
    <w:rPr>
      <w:i/>
      <w:iCs/>
    </w:rPr>
  </w:style>
  <w:style w:type="paragraph" w:customStyle="1" w:styleId="ZUSTzmustartykuempunktem">
    <w:name w:val="Z/UST(§) – zm. ust. (§) artykułem (punktem)"/>
    <w:basedOn w:val="Normalny"/>
    <w:uiPriority w:val="30"/>
    <w:qFormat/>
    <w:rsid w:val="00AE46D2"/>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styleId="Nierozpoznanawzmianka">
    <w:name w:val="Unresolved Mention"/>
    <w:basedOn w:val="Domylnaczcionkaakapitu"/>
    <w:uiPriority w:val="99"/>
    <w:unhideWhenUsed/>
    <w:rsid w:val="00B600E5"/>
    <w:rPr>
      <w:color w:val="605E5C"/>
      <w:shd w:val="clear" w:color="auto" w:fill="E1DFDD"/>
    </w:rPr>
  </w:style>
  <w:style w:type="character" w:styleId="Wzmianka">
    <w:name w:val="Mention"/>
    <w:basedOn w:val="Domylnaczcionkaakapitu"/>
    <w:uiPriority w:val="99"/>
    <w:unhideWhenUsed/>
    <w:rsid w:val="00B600E5"/>
    <w:rPr>
      <w:color w:val="2B579A"/>
      <w:shd w:val="clear" w:color="auto" w:fill="E1DFDD"/>
    </w:rPr>
  </w:style>
  <w:style w:type="paragraph" w:customStyle="1" w:styleId="CM4">
    <w:name w:val="CM4"/>
    <w:basedOn w:val="Normalny"/>
    <w:next w:val="Normalny"/>
    <w:uiPriority w:val="99"/>
    <w:rsid w:val="00837DE9"/>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446">
      <w:bodyDiv w:val="1"/>
      <w:marLeft w:val="0"/>
      <w:marRight w:val="0"/>
      <w:marTop w:val="0"/>
      <w:marBottom w:val="0"/>
      <w:divBdr>
        <w:top w:val="none" w:sz="0" w:space="0" w:color="auto"/>
        <w:left w:val="none" w:sz="0" w:space="0" w:color="auto"/>
        <w:bottom w:val="none" w:sz="0" w:space="0" w:color="auto"/>
        <w:right w:val="none" w:sz="0" w:space="0" w:color="auto"/>
      </w:divBdr>
    </w:div>
    <w:div w:id="54280875">
      <w:bodyDiv w:val="1"/>
      <w:marLeft w:val="0"/>
      <w:marRight w:val="0"/>
      <w:marTop w:val="0"/>
      <w:marBottom w:val="0"/>
      <w:divBdr>
        <w:top w:val="none" w:sz="0" w:space="0" w:color="auto"/>
        <w:left w:val="none" w:sz="0" w:space="0" w:color="auto"/>
        <w:bottom w:val="none" w:sz="0" w:space="0" w:color="auto"/>
        <w:right w:val="none" w:sz="0" w:space="0" w:color="auto"/>
      </w:divBdr>
    </w:div>
    <w:div w:id="105545304">
      <w:bodyDiv w:val="1"/>
      <w:marLeft w:val="0"/>
      <w:marRight w:val="0"/>
      <w:marTop w:val="0"/>
      <w:marBottom w:val="0"/>
      <w:divBdr>
        <w:top w:val="none" w:sz="0" w:space="0" w:color="auto"/>
        <w:left w:val="none" w:sz="0" w:space="0" w:color="auto"/>
        <w:bottom w:val="none" w:sz="0" w:space="0" w:color="auto"/>
        <w:right w:val="none" w:sz="0" w:space="0" w:color="auto"/>
      </w:divBdr>
    </w:div>
    <w:div w:id="130948377">
      <w:bodyDiv w:val="1"/>
      <w:marLeft w:val="0"/>
      <w:marRight w:val="0"/>
      <w:marTop w:val="0"/>
      <w:marBottom w:val="0"/>
      <w:divBdr>
        <w:top w:val="none" w:sz="0" w:space="0" w:color="auto"/>
        <w:left w:val="none" w:sz="0" w:space="0" w:color="auto"/>
        <w:bottom w:val="none" w:sz="0" w:space="0" w:color="auto"/>
        <w:right w:val="none" w:sz="0" w:space="0" w:color="auto"/>
      </w:divBdr>
    </w:div>
    <w:div w:id="193544488">
      <w:bodyDiv w:val="1"/>
      <w:marLeft w:val="0"/>
      <w:marRight w:val="0"/>
      <w:marTop w:val="0"/>
      <w:marBottom w:val="0"/>
      <w:divBdr>
        <w:top w:val="none" w:sz="0" w:space="0" w:color="auto"/>
        <w:left w:val="none" w:sz="0" w:space="0" w:color="auto"/>
        <w:bottom w:val="none" w:sz="0" w:space="0" w:color="auto"/>
        <w:right w:val="none" w:sz="0" w:space="0" w:color="auto"/>
      </w:divBdr>
    </w:div>
    <w:div w:id="200630651">
      <w:bodyDiv w:val="1"/>
      <w:marLeft w:val="0"/>
      <w:marRight w:val="0"/>
      <w:marTop w:val="0"/>
      <w:marBottom w:val="0"/>
      <w:divBdr>
        <w:top w:val="none" w:sz="0" w:space="0" w:color="auto"/>
        <w:left w:val="none" w:sz="0" w:space="0" w:color="auto"/>
        <w:bottom w:val="none" w:sz="0" w:space="0" w:color="auto"/>
        <w:right w:val="none" w:sz="0" w:space="0" w:color="auto"/>
      </w:divBdr>
    </w:div>
    <w:div w:id="244458955">
      <w:bodyDiv w:val="1"/>
      <w:marLeft w:val="0"/>
      <w:marRight w:val="0"/>
      <w:marTop w:val="0"/>
      <w:marBottom w:val="0"/>
      <w:divBdr>
        <w:top w:val="none" w:sz="0" w:space="0" w:color="auto"/>
        <w:left w:val="none" w:sz="0" w:space="0" w:color="auto"/>
        <w:bottom w:val="none" w:sz="0" w:space="0" w:color="auto"/>
        <w:right w:val="none" w:sz="0" w:space="0" w:color="auto"/>
      </w:divBdr>
      <w:divsChild>
        <w:div w:id="2083063385">
          <w:marLeft w:val="0"/>
          <w:marRight w:val="0"/>
          <w:marTop w:val="0"/>
          <w:marBottom w:val="0"/>
          <w:divBdr>
            <w:top w:val="none" w:sz="0" w:space="0" w:color="auto"/>
            <w:left w:val="none" w:sz="0" w:space="0" w:color="auto"/>
            <w:bottom w:val="none" w:sz="0" w:space="0" w:color="auto"/>
            <w:right w:val="none" w:sz="0" w:space="0" w:color="auto"/>
          </w:divBdr>
          <w:divsChild>
            <w:div w:id="71465759">
              <w:marLeft w:val="0"/>
              <w:marRight w:val="0"/>
              <w:marTop w:val="0"/>
              <w:marBottom w:val="0"/>
              <w:divBdr>
                <w:top w:val="none" w:sz="0" w:space="0" w:color="auto"/>
                <w:left w:val="none" w:sz="0" w:space="0" w:color="auto"/>
                <w:bottom w:val="none" w:sz="0" w:space="0" w:color="auto"/>
                <w:right w:val="none" w:sz="0" w:space="0" w:color="auto"/>
              </w:divBdr>
              <w:divsChild>
                <w:div w:id="186605515">
                  <w:marLeft w:val="0"/>
                  <w:marRight w:val="0"/>
                  <w:marTop w:val="0"/>
                  <w:marBottom w:val="0"/>
                  <w:divBdr>
                    <w:top w:val="none" w:sz="0" w:space="0" w:color="auto"/>
                    <w:left w:val="none" w:sz="0" w:space="0" w:color="auto"/>
                    <w:bottom w:val="none" w:sz="0" w:space="0" w:color="auto"/>
                    <w:right w:val="none" w:sz="0" w:space="0" w:color="auto"/>
                  </w:divBdr>
                  <w:divsChild>
                    <w:div w:id="1438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63117">
      <w:bodyDiv w:val="1"/>
      <w:marLeft w:val="0"/>
      <w:marRight w:val="0"/>
      <w:marTop w:val="0"/>
      <w:marBottom w:val="0"/>
      <w:divBdr>
        <w:top w:val="none" w:sz="0" w:space="0" w:color="auto"/>
        <w:left w:val="none" w:sz="0" w:space="0" w:color="auto"/>
        <w:bottom w:val="none" w:sz="0" w:space="0" w:color="auto"/>
        <w:right w:val="none" w:sz="0" w:space="0" w:color="auto"/>
      </w:divBdr>
    </w:div>
    <w:div w:id="463961253">
      <w:bodyDiv w:val="1"/>
      <w:marLeft w:val="0"/>
      <w:marRight w:val="0"/>
      <w:marTop w:val="0"/>
      <w:marBottom w:val="0"/>
      <w:divBdr>
        <w:top w:val="none" w:sz="0" w:space="0" w:color="auto"/>
        <w:left w:val="none" w:sz="0" w:space="0" w:color="auto"/>
        <w:bottom w:val="none" w:sz="0" w:space="0" w:color="auto"/>
        <w:right w:val="none" w:sz="0" w:space="0" w:color="auto"/>
      </w:divBdr>
    </w:div>
    <w:div w:id="603270584">
      <w:bodyDiv w:val="1"/>
      <w:marLeft w:val="0"/>
      <w:marRight w:val="0"/>
      <w:marTop w:val="0"/>
      <w:marBottom w:val="0"/>
      <w:divBdr>
        <w:top w:val="none" w:sz="0" w:space="0" w:color="auto"/>
        <w:left w:val="none" w:sz="0" w:space="0" w:color="auto"/>
        <w:bottom w:val="none" w:sz="0" w:space="0" w:color="auto"/>
        <w:right w:val="none" w:sz="0" w:space="0" w:color="auto"/>
      </w:divBdr>
    </w:div>
    <w:div w:id="782652170">
      <w:bodyDiv w:val="1"/>
      <w:marLeft w:val="0"/>
      <w:marRight w:val="0"/>
      <w:marTop w:val="0"/>
      <w:marBottom w:val="0"/>
      <w:divBdr>
        <w:top w:val="none" w:sz="0" w:space="0" w:color="auto"/>
        <w:left w:val="none" w:sz="0" w:space="0" w:color="auto"/>
        <w:bottom w:val="none" w:sz="0" w:space="0" w:color="auto"/>
        <w:right w:val="none" w:sz="0" w:space="0" w:color="auto"/>
      </w:divBdr>
    </w:div>
    <w:div w:id="810708682">
      <w:bodyDiv w:val="1"/>
      <w:marLeft w:val="0"/>
      <w:marRight w:val="0"/>
      <w:marTop w:val="0"/>
      <w:marBottom w:val="0"/>
      <w:divBdr>
        <w:top w:val="none" w:sz="0" w:space="0" w:color="auto"/>
        <w:left w:val="none" w:sz="0" w:space="0" w:color="auto"/>
        <w:bottom w:val="none" w:sz="0" w:space="0" w:color="auto"/>
        <w:right w:val="none" w:sz="0" w:space="0" w:color="auto"/>
      </w:divBdr>
    </w:div>
    <w:div w:id="888996089">
      <w:bodyDiv w:val="1"/>
      <w:marLeft w:val="0"/>
      <w:marRight w:val="0"/>
      <w:marTop w:val="0"/>
      <w:marBottom w:val="0"/>
      <w:divBdr>
        <w:top w:val="none" w:sz="0" w:space="0" w:color="auto"/>
        <w:left w:val="none" w:sz="0" w:space="0" w:color="auto"/>
        <w:bottom w:val="none" w:sz="0" w:space="0" w:color="auto"/>
        <w:right w:val="none" w:sz="0" w:space="0" w:color="auto"/>
      </w:divBdr>
      <w:divsChild>
        <w:div w:id="1170870368">
          <w:marLeft w:val="0"/>
          <w:marRight w:val="0"/>
          <w:marTop w:val="0"/>
          <w:marBottom w:val="0"/>
          <w:divBdr>
            <w:top w:val="none" w:sz="0" w:space="0" w:color="auto"/>
            <w:left w:val="none" w:sz="0" w:space="0" w:color="auto"/>
            <w:bottom w:val="none" w:sz="0" w:space="0" w:color="auto"/>
            <w:right w:val="none" w:sz="0" w:space="0" w:color="auto"/>
          </w:divBdr>
          <w:divsChild>
            <w:div w:id="1686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035">
      <w:bodyDiv w:val="1"/>
      <w:marLeft w:val="0"/>
      <w:marRight w:val="0"/>
      <w:marTop w:val="0"/>
      <w:marBottom w:val="0"/>
      <w:divBdr>
        <w:top w:val="none" w:sz="0" w:space="0" w:color="auto"/>
        <w:left w:val="none" w:sz="0" w:space="0" w:color="auto"/>
        <w:bottom w:val="none" w:sz="0" w:space="0" w:color="auto"/>
        <w:right w:val="none" w:sz="0" w:space="0" w:color="auto"/>
      </w:divBdr>
      <w:divsChild>
        <w:div w:id="1088308524">
          <w:marLeft w:val="547"/>
          <w:marRight w:val="0"/>
          <w:marTop w:val="96"/>
          <w:marBottom w:val="0"/>
          <w:divBdr>
            <w:top w:val="none" w:sz="0" w:space="0" w:color="auto"/>
            <w:left w:val="none" w:sz="0" w:space="0" w:color="auto"/>
            <w:bottom w:val="none" w:sz="0" w:space="0" w:color="auto"/>
            <w:right w:val="none" w:sz="0" w:space="0" w:color="auto"/>
          </w:divBdr>
        </w:div>
      </w:divsChild>
    </w:div>
    <w:div w:id="1297838733">
      <w:bodyDiv w:val="1"/>
      <w:marLeft w:val="0"/>
      <w:marRight w:val="0"/>
      <w:marTop w:val="0"/>
      <w:marBottom w:val="0"/>
      <w:divBdr>
        <w:top w:val="none" w:sz="0" w:space="0" w:color="auto"/>
        <w:left w:val="none" w:sz="0" w:space="0" w:color="auto"/>
        <w:bottom w:val="none" w:sz="0" w:space="0" w:color="auto"/>
        <w:right w:val="none" w:sz="0" w:space="0" w:color="auto"/>
      </w:divBdr>
    </w:div>
    <w:div w:id="1304457730">
      <w:bodyDiv w:val="1"/>
      <w:marLeft w:val="0"/>
      <w:marRight w:val="0"/>
      <w:marTop w:val="0"/>
      <w:marBottom w:val="0"/>
      <w:divBdr>
        <w:top w:val="none" w:sz="0" w:space="0" w:color="auto"/>
        <w:left w:val="none" w:sz="0" w:space="0" w:color="auto"/>
        <w:bottom w:val="none" w:sz="0" w:space="0" w:color="auto"/>
        <w:right w:val="none" w:sz="0" w:space="0" w:color="auto"/>
      </w:divBdr>
    </w:div>
    <w:div w:id="1324893068">
      <w:bodyDiv w:val="1"/>
      <w:marLeft w:val="0"/>
      <w:marRight w:val="0"/>
      <w:marTop w:val="0"/>
      <w:marBottom w:val="0"/>
      <w:divBdr>
        <w:top w:val="none" w:sz="0" w:space="0" w:color="auto"/>
        <w:left w:val="none" w:sz="0" w:space="0" w:color="auto"/>
        <w:bottom w:val="none" w:sz="0" w:space="0" w:color="auto"/>
        <w:right w:val="none" w:sz="0" w:space="0" w:color="auto"/>
      </w:divBdr>
    </w:div>
    <w:div w:id="1329552021">
      <w:bodyDiv w:val="1"/>
      <w:marLeft w:val="0"/>
      <w:marRight w:val="0"/>
      <w:marTop w:val="0"/>
      <w:marBottom w:val="0"/>
      <w:divBdr>
        <w:top w:val="none" w:sz="0" w:space="0" w:color="auto"/>
        <w:left w:val="none" w:sz="0" w:space="0" w:color="auto"/>
        <w:bottom w:val="none" w:sz="0" w:space="0" w:color="auto"/>
        <w:right w:val="none" w:sz="0" w:space="0" w:color="auto"/>
      </w:divBdr>
      <w:divsChild>
        <w:div w:id="1174690097">
          <w:marLeft w:val="0"/>
          <w:marRight w:val="0"/>
          <w:marTop w:val="0"/>
          <w:marBottom w:val="0"/>
          <w:divBdr>
            <w:top w:val="none" w:sz="0" w:space="0" w:color="auto"/>
            <w:left w:val="none" w:sz="0" w:space="0" w:color="auto"/>
            <w:bottom w:val="none" w:sz="0" w:space="0" w:color="auto"/>
            <w:right w:val="none" w:sz="0" w:space="0" w:color="auto"/>
          </w:divBdr>
        </w:div>
      </w:divsChild>
    </w:div>
    <w:div w:id="1333874903">
      <w:bodyDiv w:val="1"/>
      <w:marLeft w:val="0"/>
      <w:marRight w:val="0"/>
      <w:marTop w:val="0"/>
      <w:marBottom w:val="0"/>
      <w:divBdr>
        <w:top w:val="none" w:sz="0" w:space="0" w:color="auto"/>
        <w:left w:val="none" w:sz="0" w:space="0" w:color="auto"/>
        <w:bottom w:val="none" w:sz="0" w:space="0" w:color="auto"/>
        <w:right w:val="none" w:sz="0" w:space="0" w:color="auto"/>
      </w:divBdr>
    </w:div>
    <w:div w:id="1346983521">
      <w:bodyDiv w:val="1"/>
      <w:marLeft w:val="0"/>
      <w:marRight w:val="0"/>
      <w:marTop w:val="0"/>
      <w:marBottom w:val="0"/>
      <w:divBdr>
        <w:top w:val="none" w:sz="0" w:space="0" w:color="auto"/>
        <w:left w:val="none" w:sz="0" w:space="0" w:color="auto"/>
        <w:bottom w:val="none" w:sz="0" w:space="0" w:color="auto"/>
        <w:right w:val="none" w:sz="0" w:space="0" w:color="auto"/>
      </w:divBdr>
    </w:div>
    <w:div w:id="1349066801">
      <w:bodyDiv w:val="1"/>
      <w:marLeft w:val="0"/>
      <w:marRight w:val="0"/>
      <w:marTop w:val="0"/>
      <w:marBottom w:val="0"/>
      <w:divBdr>
        <w:top w:val="none" w:sz="0" w:space="0" w:color="auto"/>
        <w:left w:val="none" w:sz="0" w:space="0" w:color="auto"/>
        <w:bottom w:val="none" w:sz="0" w:space="0" w:color="auto"/>
        <w:right w:val="none" w:sz="0" w:space="0" w:color="auto"/>
      </w:divBdr>
    </w:div>
    <w:div w:id="1365328310">
      <w:bodyDiv w:val="1"/>
      <w:marLeft w:val="0"/>
      <w:marRight w:val="0"/>
      <w:marTop w:val="0"/>
      <w:marBottom w:val="0"/>
      <w:divBdr>
        <w:top w:val="none" w:sz="0" w:space="0" w:color="auto"/>
        <w:left w:val="none" w:sz="0" w:space="0" w:color="auto"/>
        <w:bottom w:val="none" w:sz="0" w:space="0" w:color="auto"/>
        <w:right w:val="none" w:sz="0" w:space="0" w:color="auto"/>
      </w:divBdr>
      <w:divsChild>
        <w:div w:id="691758103">
          <w:marLeft w:val="0"/>
          <w:marRight w:val="0"/>
          <w:marTop w:val="0"/>
          <w:marBottom w:val="0"/>
          <w:divBdr>
            <w:top w:val="none" w:sz="0" w:space="0" w:color="auto"/>
            <w:left w:val="none" w:sz="0" w:space="0" w:color="auto"/>
            <w:bottom w:val="none" w:sz="0" w:space="0" w:color="auto"/>
            <w:right w:val="none" w:sz="0" w:space="0" w:color="auto"/>
          </w:divBdr>
          <w:divsChild>
            <w:div w:id="1968391921">
              <w:marLeft w:val="0"/>
              <w:marRight w:val="0"/>
              <w:marTop w:val="0"/>
              <w:marBottom w:val="0"/>
              <w:divBdr>
                <w:top w:val="none" w:sz="0" w:space="0" w:color="auto"/>
                <w:left w:val="none" w:sz="0" w:space="0" w:color="auto"/>
                <w:bottom w:val="none" w:sz="0" w:space="0" w:color="auto"/>
                <w:right w:val="none" w:sz="0" w:space="0" w:color="auto"/>
              </w:divBdr>
            </w:div>
          </w:divsChild>
        </w:div>
        <w:div w:id="1512837198">
          <w:marLeft w:val="0"/>
          <w:marRight w:val="0"/>
          <w:marTop w:val="0"/>
          <w:marBottom w:val="0"/>
          <w:divBdr>
            <w:top w:val="none" w:sz="0" w:space="0" w:color="auto"/>
            <w:left w:val="none" w:sz="0" w:space="0" w:color="auto"/>
            <w:bottom w:val="none" w:sz="0" w:space="0" w:color="auto"/>
            <w:right w:val="none" w:sz="0" w:space="0" w:color="auto"/>
          </w:divBdr>
          <w:divsChild>
            <w:div w:id="1602565146">
              <w:marLeft w:val="0"/>
              <w:marRight w:val="0"/>
              <w:marTop w:val="0"/>
              <w:marBottom w:val="0"/>
              <w:divBdr>
                <w:top w:val="none" w:sz="0" w:space="0" w:color="auto"/>
                <w:left w:val="none" w:sz="0" w:space="0" w:color="auto"/>
                <w:bottom w:val="none" w:sz="0" w:space="0" w:color="auto"/>
                <w:right w:val="none" w:sz="0" w:space="0" w:color="auto"/>
              </w:divBdr>
            </w:div>
          </w:divsChild>
        </w:div>
        <w:div w:id="419176788">
          <w:marLeft w:val="0"/>
          <w:marRight w:val="0"/>
          <w:marTop w:val="0"/>
          <w:marBottom w:val="0"/>
          <w:divBdr>
            <w:top w:val="none" w:sz="0" w:space="0" w:color="auto"/>
            <w:left w:val="none" w:sz="0" w:space="0" w:color="auto"/>
            <w:bottom w:val="none" w:sz="0" w:space="0" w:color="auto"/>
            <w:right w:val="none" w:sz="0" w:space="0" w:color="auto"/>
          </w:divBdr>
          <w:divsChild>
            <w:div w:id="119569704">
              <w:marLeft w:val="0"/>
              <w:marRight w:val="0"/>
              <w:marTop w:val="0"/>
              <w:marBottom w:val="0"/>
              <w:divBdr>
                <w:top w:val="none" w:sz="0" w:space="0" w:color="auto"/>
                <w:left w:val="none" w:sz="0" w:space="0" w:color="auto"/>
                <w:bottom w:val="none" w:sz="0" w:space="0" w:color="auto"/>
                <w:right w:val="none" w:sz="0" w:space="0" w:color="auto"/>
              </w:divBdr>
            </w:div>
          </w:divsChild>
        </w:div>
        <w:div w:id="1918051663">
          <w:marLeft w:val="0"/>
          <w:marRight w:val="0"/>
          <w:marTop w:val="0"/>
          <w:marBottom w:val="0"/>
          <w:divBdr>
            <w:top w:val="none" w:sz="0" w:space="0" w:color="auto"/>
            <w:left w:val="none" w:sz="0" w:space="0" w:color="auto"/>
            <w:bottom w:val="none" w:sz="0" w:space="0" w:color="auto"/>
            <w:right w:val="none" w:sz="0" w:space="0" w:color="auto"/>
          </w:divBdr>
          <w:divsChild>
            <w:div w:id="8116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68933">
      <w:bodyDiv w:val="1"/>
      <w:marLeft w:val="0"/>
      <w:marRight w:val="0"/>
      <w:marTop w:val="0"/>
      <w:marBottom w:val="0"/>
      <w:divBdr>
        <w:top w:val="none" w:sz="0" w:space="0" w:color="auto"/>
        <w:left w:val="none" w:sz="0" w:space="0" w:color="auto"/>
        <w:bottom w:val="none" w:sz="0" w:space="0" w:color="auto"/>
        <w:right w:val="none" w:sz="0" w:space="0" w:color="auto"/>
      </w:divBdr>
    </w:div>
    <w:div w:id="1777627427">
      <w:bodyDiv w:val="1"/>
      <w:marLeft w:val="0"/>
      <w:marRight w:val="0"/>
      <w:marTop w:val="0"/>
      <w:marBottom w:val="0"/>
      <w:divBdr>
        <w:top w:val="none" w:sz="0" w:space="0" w:color="auto"/>
        <w:left w:val="none" w:sz="0" w:space="0" w:color="auto"/>
        <w:bottom w:val="none" w:sz="0" w:space="0" w:color="auto"/>
        <w:right w:val="none" w:sz="0" w:space="0" w:color="auto"/>
      </w:divBdr>
    </w:div>
    <w:div w:id="1792358793">
      <w:bodyDiv w:val="1"/>
      <w:marLeft w:val="0"/>
      <w:marRight w:val="0"/>
      <w:marTop w:val="0"/>
      <w:marBottom w:val="0"/>
      <w:divBdr>
        <w:top w:val="none" w:sz="0" w:space="0" w:color="auto"/>
        <w:left w:val="none" w:sz="0" w:space="0" w:color="auto"/>
        <w:bottom w:val="none" w:sz="0" w:space="0" w:color="auto"/>
        <w:right w:val="none" w:sz="0" w:space="0" w:color="auto"/>
      </w:divBdr>
    </w:div>
    <w:div w:id="1858155817">
      <w:bodyDiv w:val="1"/>
      <w:marLeft w:val="0"/>
      <w:marRight w:val="0"/>
      <w:marTop w:val="0"/>
      <w:marBottom w:val="0"/>
      <w:divBdr>
        <w:top w:val="none" w:sz="0" w:space="0" w:color="auto"/>
        <w:left w:val="none" w:sz="0" w:space="0" w:color="auto"/>
        <w:bottom w:val="none" w:sz="0" w:space="0" w:color="auto"/>
        <w:right w:val="none" w:sz="0" w:space="0" w:color="auto"/>
      </w:divBdr>
    </w:div>
    <w:div w:id="1872693578">
      <w:bodyDiv w:val="1"/>
      <w:marLeft w:val="0"/>
      <w:marRight w:val="0"/>
      <w:marTop w:val="0"/>
      <w:marBottom w:val="0"/>
      <w:divBdr>
        <w:top w:val="none" w:sz="0" w:space="0" w:color="auto"/>
        <w:left w:val="none" w:sz="0" w:space="0" w:color="auto"/>
        <w:bottom w:val="none" w:sz="0" w:space="0" w:color="auto"/>
        <w:right w:val="none" w:sz="0" w:space="0" w:color="auto"/>
      </w:divBdr>
    </w:div>
    <w:div w:id="1916284286">
      <w:bodyDiv w:val="1"/>
      <w:marLeft w:val="0"/>
      <w:marRight w:val="0"/>
      <w:marTop w:val="0"/>
      <w:marBottom w:val="0"/>
      <w:divBdr>
        <w:top w:val="none" w:sz="0" w:space="0" w:color="auto"/>
        <w:left w:val="none" w:sz="0" w:space="0" w:color="auto"/>
        <w:bottom w:val="none" w:sz="0" w:space="0" w:color="auto"/>
        <w:right w:val="none" w:sz="0" w:space="0" w:color="auto"/>
      </w:divBdr>
    </w:div>
    <w:div w:id="2021740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6" ma:contentTypeDescription="Utwórz nowy dokument." ma:contentTypeScope="" ma:versionID="64b1fea017ecba6eba34100890f220ea">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22f71491ec0486cdb9241ff6ad6f5a2f"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FDA2F061-63E9-43B6-A0C8-31788C37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D1439-44ED-4615-914B-7FCCCDC7713F}">
  <ds:schemaRefs>
    <ds:schemaRef ds:uri="http://schemas.microsoft.com/sharepoint/v3/contenttype/forms"/>
  </ds:schemaRefs>
</ds:datastoreItem>
</file>

<file path=customXml/itemProps3.xml><?xml version="1.0" encoding="utf-8"?>
<ds:datastoreItem xmlns:ds="http://schemas.openxmlformats.org/officeDocument/2006/customXml" ds:itemID="{A60C61EB-DFE7-46A2-B981-9E16CFA1003A}">
  <ds:schemaRefs>
    <ds:schemaRef ds:uri="http://schemas.openxmlformats.org/officeDocument/2006/bibliography"/>
  </ds:schemaRefs>
</ds:datastoreItem>
</file>

<file path=customXml/itemProps4.xml><?xml version="1.0" encoding="utf-8"?>
<ds:datastoreItem xmlns:ds="http://schemas.openxmlformats.org/officeDocument/2006/customXml" ds:itemID="{2D7C74E8-B7B7-41B1-88AB-4AC7FB63D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FA02F3-A89D-40AB-B5AB-73BAEBC73F36}">
  <ds:schemaRefs>
    <ds:schemaRef ds:uri="http://schemas.microsoft.com/office/2006/documentManagement/types"/>
    <ds:schemaRef ds:uri="02b634f1-d4b8-44f5-b915-b6b96903ae57"/>
    <ds:schemaRef ds:uri="http://purl.org/dc/elements/1.1/"/>
    <ds:schemaRef ds:uri="http://schemas.microsoft.com/office/infopath/2007/PartnerControls"/>
    <ds:schemaRef ds:uri="http://schemas.openxmlformats.org/package/2006/metadata/core-properties"/>
    <ds:schemaRef ds:uri="f10ac06e-816e-4d4c-9e18-e30054a259f2"/>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15575</Words>
  <Characters>93455</Characters>
  <Application>Microsoft Office Word</Application>
  <DocSecurity>4</DocSecurity>
  <Lines>778</Lines>
  <Paragraphs>217</Paragraphs>
  <ScaleCrop>false</ScaleCrop>
  <HeadingPairs>
    <vt:vector size="2" baseType="variant">
      <vt:variant>
        <vt:lpstr>Tytuł</vt:lpstr>
      </vt:variant>
      <vt:variant>
        <vt:i4>1</vt:i4>
      </vt:variant>
    </vt:vector>
  </HeadingPairs>
  <TitlesOfParts>
    <vt:vector size="1" baseType="lpstr">
      <vt:lpstr>Przewodnik kwalifikowalności wydatków dla 1 priorytetu</vt:lpstr>
    </vt:vector>
  </TitlesOfParts>
  <Company>GOV.PL</Company>
  <LinksUpToDate>false</LinksUpToDate>
  <CharactersWithSpaces>108813</CharactersWithSpaces>
  <SharedDoc>false</SharedDoc>
  <HLinks>
    <vt:vector size="600" baseType="variant">
      <vt:variant>
        <vt:i4>1245242</vt:i4>
      </vt:variant>
      <vt:variant>
        <vt:i4>596</vt:i4>
      </vt:variant>
      <vt:variant>
        <vt:i4>0</vt:i4>
      </vt:variant>
      <vt:variant>
        <vt:i4>5</vt:i4>
      </vt:variant>
      <vt:variant>
        <vt:lpwstr/>
      </vt:variant>
      <vt:variant>
        <vt:lpwstr>_Toc126756879</vt:lpwstr>
      </vt:variant>
      <vt:variant>
        <vt:i4>1245242</vt:i4>
      </vt:variant>
      <vt:variant>
        <vt:i4>590</vt:i4>
      </vt:variant>
      <vt:variant>
        <vt:i4>0</vt:i4>
      </vt:variant>
      <vt:variant>
        <vt:i4>5</vt:i4>
      </vt:variant>
      <vt:variant>
        <vt:lpwstr/>
      </vt:variant>
      <vt:variant>
        <vt:lpwstr>_Toc126756878</vt:lpwstr>
      </vt:variant>
      <vt:variant>
        <vt:i4>1245242</vt:i4>
      </vt:variant>
      <vt:variant>
        <vt:i4>584</vt:i4>
      </vt:variant>
      <vt:variant>
        <vt:i4>0</vt:i4>
      </vt:variant>
      <vt:variant>
        <vt:i4>5</vt:i4>
      </vt:variant>
      <vt:variant>
        <vt:lpwstr/>
      </vt:variant>
      <vt:variant>
        <vt:lpwstr>_Toc126756877</vt:lpwstr>
      </vt:variant>
      <vt:variant>
        <vt:i4>1245242</vt:i4>
      </vt:variant>
      <vt:variant>
        <vt:i4>578</vt:i4>
      </vt:variant>
      <vt:variant>
        <vt:i4>0</vt:i4>
      </vt:variant>
      <vt:variant>
        <vt:i4>5</vt:i4>
      </vt:variant>
      <vt:variant>
        <vt:lpwstr/>
      </vt:variant>
      <vt:variant>
        <vt:lpwstr>_Toc126756876</vt:lpwstr>
      </vt:variant>
      <vt:variant>
        <vt:i4>1245242</vt:i4>
      </vt:variant>
      <vt:variant>
        <vt:i4>572</vt:i4>
      </vt:variant>
      <vt:variant>
        <vt:i4>0</vt:i4>
      </vt:variant>
      <vt:variant>
        <vt:i4>5</vt:i4>
      </vt:variant>
      <vt:variant>
        <vt:lpwstr/>
      </vt:variant>
      <vt:variant>
        <vt:lpwstr>_Toc126756875</vt:lpwstr>
      </vt:variant>
      <vt:variant>
        <vt:i4>1245242</vt:i4>
      </vt:variant>
      <vt:variant>
        <vt:i4>566</vt:i4>
      </vt:variant>
      <vt:variant>
        <vt:i4>0</vt:i4>
      </vt:variant>
      <vt:variant>
        <vt:i4>5</vt:i4>
      </vt:variant>
      <vt:variant>
        <vt:lpwstr/>
      </vt:variant>
      <vt:variant>
        <vt:lpwstr>_Toc126756874</vt:lpwstr>
      </vt:variant>
      <vt:variant>
        <vt:i4>1245242</vt:i4>
      </vt:variant>
      <vt:variant>
        <vt:i4>560</vt:i4>
      </vt:variant>
      <vt:variant>
        <vt:i4>0</vt:i4>
      </vt:variant>
      <vt:variant>
        <vt:i4>5</vt:i4>
      </vt:variant>
      <vt:variant>
        <vt:lpwstr/>
      </vt:variant>
      <vt:variant>
        <vt:lpwstr>_Toc126756873</vt:lpwstr>
      </vt:variant>
      <vt:variant>
        <vt:i4>1245242</vt:i4>
      </vt:variant>
      <vt:variant>
        <vt:i4>554</vt:i4>
      </vt:variant>
      <vt:variant>
        <vt:i4>0</vt:i4>
      </vt:variant>
      <vt:variant>
        <vt:i4>5</vt:i4>
      </vt:variant>
      <vt:variant>
        <vt:lpwstr/>
      </vt:variant>
      <vt:variant>
        <vt:lpwstr>_Toc126756872</vt:lpwstr>
      </vt:variant>
      <vt:variant>
        <vt:i4>1245242</vt:i4>
      </vt:variant>
      <vt:variant>
        <vt:i4>548</vt:i4>
      </vt:variant>
      <vt:variant>
        <vt:i4>0</vt:i4>
      </vt:variant>
      <vt:variant>
        <vt:i4>5</vt:i4>
      </vt:variant>
      <vt:variant>
        <vt:lpwstr/>
      </vt:variant>
      <vt:variant>
        <vt:lpwstr>_Toc126756871</vt:lpwstr>
      </vt:variant>
      <vt:variant>
        <vt:i4>1245242</vt:i4>
      </vt:variant>
      <vt:variant>
        <vt:i4>542</vt:i4>
      </vt:variant>
      <vt:variant>
        <vt:i4>0</vt:i4>
      </vt:variant>
      <vt:variant>
        <vt:i4>5</vt:i4>
      </vt:variant>
      <vt:variant>
        <vt:lpwstr/>
      </vt:variant>
      <vt:variant>
        <vt:lpwstr>_Toc126756870</vt:lpwstr>
      </vt:variant>
      <vt:variant>
        <vt:i4>1179706</vt:i4>
      </vt:variant>
      <vt:variant>
        <vt:i4>536</vt:i4>
      </vt:variant>
      <vt:variant>
        <vt:i4>0</vt:i4>
      </vt:variant>
      <vt:variant>
        <vt:i4>5</vt:i4>
      </vt:variant>
      <vt:variant>
        <vt:lpwstr/>
      </vt:variant>
      <vt:variant>
        <vt:lpwstr>_Toc126756869</vt:lpwstr>
      </vt:variant>
      <vt:variant>
        <vt:i4>1179706</vt:i4>
      </vt:variant>
      <vt:variant>
        <vt:i4>530</vt:i4>
      </vt:variant>
      <vt:variant>
        <vt:i4>0</vt:i4>
      </vt:variant>
      <vt:variant>
        <vt:i4>5</vt:i4>
      </vt:variant>
      <vt:variant>
        <vt:lpwstr/>
      </vt:variant>
      <vt:variant>
        <vt:lpwstr>_Toc126756868</vt:lpwstr>
      </vt:variant>
      <vt:variant>
        <vt:i4>1179706</vt:i4>
      </vt:variant>
      <vt:variant>
        <vt:i4>524</vt:i4>
      </vt:variant>
      <vt:variant>
        <vt:i4>0</vt:i4>
      </vt:variant>
      <vt:variant>
        <vt:i4>5</vt:i4>
      </vt:variant>
      <vt:variant>
        <vt:lpwstr/>
      </vt:variant>
      <vt:variant>
        <vt:lpwstr>_Toc126756867</vt:lpwstr>
      </vt:variant>
      <vt:variant>
        <vt:i4>1179706</vt:i4>
      </vt:variant>
      <vt:variant>
        <vt:i4>518</vt:i4>
      </vt:variant>
      <vt:variant>
        <vt:i4>0</vt:i4>
      </vt:variant>
      <vt:variant>
        <vt:i4>5</vt:i4>
      </vt:variant>
      <vt:variant>
        <vt:lpwstr/>
      </vt:variant>
      <vt:variant>
        <vt:lpwstr>_Toc126756866</vt:lpwstr>
      </vt:variant>
      <vt:variant>
        <vt:i4>1179706</vt:i4>
      </vt:variant>
      <vt:variant>
        <vt:i4>512</vt:i4>
      </vt:variant>
      <vt:variant>
        <vt:i4>0</vt:i4>
      </vt:variant>
      <vt:variant>
        <vt:i4>5</vt:i4>
      </vt:variant>
      <vt:variant>
        <vt:lpwstr/>
      </vt:variant>
      <vt:variant>
        <vt:lpwstr>_Toc126756865</vt:lpwstr>
      </vt:variant>
      <vt:variant>
        <vt:i4>1179706</vt:i4>
      </vt:variant>
      <vt:variant>
        <vt:i4>506</vt:i4>
      </vt:variant>
      <vt:variant>
        <vt:i4>0</vt:i4>
      </vt:variant>
      <vt:variant>
        <vt:i4>5</vt:i4>
      </vt:variant>
      <vt:variant>
        <vt:lpwstr/>
      </vt:variant>
      <vt:variant>
        <vt:lpwstr>_Toc126756864</vt:lpwstr>
      </vt:variant>
      <vt:variant>
        <vt:i4>1179706</vt:i4>
      </vt:variant>
      <vt:variant>
        <vt:i4>500</vt:i4>
      </vt:variant>
      <vt:variant>
        <vt:i4>0</vt:i4>
      </vt:variant>
      <vt:variant>
        <vt:i4>5</vt:i4>
      </vt:variant>
      <vt:variant>
        <vt:lpwstr/>
      </vt:variant>
      <vt:variant>
        <vt:lpwstr>_Toc126756863</vt:lpwstr>
      </vt:variant>
      <vt:variant>
        <vt:i4>1179706</vt:i4>
      </vt:variant>
      <vt:variant>
        <vt:i4>494</vt:i4>
      </vt:variant>
      <vt:variant>
        <vt:i4>0</vt:i4>
      </vt:variant>
      <vt:variant>
        <vt:i4>5</vt:i4>
      </vt:variant>
      <vt:variant>
        <vt:lpwstr/>
      </vt:variant>
      <vt:variant>
        <vt:lpwstr>_Toc126756862</vt:lpwstr>
      </vt:variant>
      <vt:variant>
        <vt:i4>1179706</vt:i4>
      </vt:variant>
      <vt:variant>
        <vt:i4>488</vt:i4>
      </vt:variant>
      <vt:variant>
        <vt:i4>0</vt:i4>
      </vt:variant>
      <vt:variant>
        <vt:i4>5</vt:i4>
      </vt:variant>
      <vt:variant>
        <vt:lpwstr/>
      </vt:variant>
      <vt:variant>
        <vt:lpwstr>_Toc126756861</vt:lpwstr>
      </vt:variant>
      <vt:variant>
        <vt:i4>1179706</vt:i4>
      </vt:variant>
      <vt:variant>
        <vt:i4>482</vt:i4>
      </vt:variant>
      <vt:variant>
        <vt:i4>0</vt:i4>
      </vt:variant>
      <vt:variant>
        <vt:i4>5</vt:i4>
      </vt:variant>
      <vt:variant>
        <vt:lpwstr/>
      </vt:variant>
      <vt:variant>
        <vt:lpwstr>_Toc126756860</vt:lpwstr>
      </vt:variant>
      <vt:variant>
        <vt:i4>1114170</vt:i4>
      </vt:variant>
      <vt:variant>
        <vt:i4>476</vt:i4>
      </vt:variant>
      <vt:variant>
        <vt:i4>0</vt:i4>
      </vt:variant>
      <vt:variant>
        <vt:i4>5</vt:i4>
      </vt:variant>
      <vt:variant>
        <vt:lpwstr/>
      </vt:variant>
      <vt:variant>
        <vt:lpwstr>_Toc126756859</vt:lpwstr>
      </vt:variant>
      <vt:variant>
        <vt:i4>1114170</vt:i4>
      </vt:variant>
      <vt:variant>
        <vt:i4>470</vt:i4>
      </vt:variant>
      <vt:variant>
        <vt:i4>0</vt:i4>
      </vt:variant>
      <vt:variant>
        <vt:i4>5</vt:i4>
      </vt:variant>
      <vt:variant>
        <vt:lpwstr/>
      </vt:variant>
      <vt:variant>
        <vt:lpwstr>_Toc126756858</vt:lpwstr>
      </vt:variant>
      <vt:variant>
        <vt:i4>1114170</vt:i4>
      </vt:variant>
      <vt:variant>
        <vt:i4>464</vt:i4>
      </vt:variant>
      <vt:variant>
        <vt:i4>0</vt:i4>
      </vt:variant>
      <vt:variant>
        <vt:i4>5</vt:i4>
      </vt:variant>
      <vt:variant>
        <vt:lpwstr/>
      </vt:variant>
      <vt:variant>
        <vt:lpwstr>_Toc126756857</vt:lpwstr>
      </vt:variant>
      <vt:variant>
        <vt:i4>1114170</vt:i4>
      </vt:variant>
      <vt:variant>
        <vt:i4>458</vt:i4>
      </vt:variant>
      <vt:variant>
        <vt:i4>0</vt:i4>
      </vt:variant>
      <vt:variant>
        <vt:i4>5</vt:i4>
      </vt:variant>
      <vt:variant>
        <vt:lpwstr/>
      </vt:variant>
      <vt:variant>
        <vt:lpwstr>_Toc126756856</vt:lpwstr>
      </vt:variant>
      <vt:variant>
        <vt:i4>1114170</vt:i4>
      </vt:variant>
      <vt:variant>
        <vt:i4>452</vt:i4>
      </vt:variant>
      <vt:variant>
        <vt:i4>0</vt:i4>
      </vt:variant>
      <vt:variant>
        <vt:i4>5</vt:i4>
      </vt:variant>
      <vt:variant>
        <vt:lpwstr/>
      </vt:variant>
      <vt:variant>
        <vt:lpwstr>_Toc126756855</vt:lpwstr>
      </vt:variant>
      <vt:variant>
        <vt:i4>1114170</vt:i4>
      </vt:variant>
      <vt:variant>
        <vt:i4>446</vt:i4>
      </vt:variant>
      <vt:variant>
        <vt:i4>0</vt:i4>
      </vt:variant>
      <vt:variant>
        <vt:i4>5</vt:i4>
      </vt:variant>
      <vt:variant>
        <vt:lpwstr/>
      </vt:variant>
      <vt:variant>
        <vt:lpwstr>_Toc126756854</vt:lpwstr>
      </vt:variant>
      <vt:variant>
        <vt:i4>1114170</vt:i4>
      </vt:variant>
      <vt:variant>
        <vt:i4>440</vt:i4>
      </vt:variant>
      <vt:variant>
        <vt:i4>0</vt:i4>
      </vt:variant>
      <vt:variant>
        <vt:i4>5</vt:i4>
      </vt:variant>
      <vt:variant>
        <vt:lpwstr/>
      </vt:variant>
      <vt:variant>
        <vt:lpwstr>_Toc126756853</vt:lpwstr>
      </vt:variant>
      <vt:variant>
        <vt:i4>1114170</vt:i4>
      </vt:variant>
      <vt:variant>
        <vt:i4>434</vt:i4>
      </vt:variant>
      <vt:variant>
        <vt:i4>0</vt:i4>
      </vt:variant>
      <vt:variant>
        <vt:i4>5</vt:i4>
      </vt:variant>
      <vt:variant>
        <vt:lpwstr/>
      </vt:variant>
      <vt:variant>
        <vt:lpwstr>_Toc126756852</vt:lpwstr>
      </vt:variant>
      <vt:variant>
        <vt:i4>1114170</vt:i4>
      </vt:variant>
      <vt:variant>
        <vt:i4>428</vt:i4>
      </vt:variant>
      <vt:variant>
        <vt:i4>0</vt:i4>
      </vt:variant>
      <vt:variant>
        <vt:i4>5</vt:i4>
      </vt:variant>
      <vt:variant>
        <vt:lpwstr/>
      </vt:variant>
      <vt:variant>
        <vt:lpwstr>_Toc126756851</vt:lpwstr>
      </vt:variant>
      <vt:variant>
        <vt:i4>1114170</vt:i4>
      </vt:variant>
      <vt:variant>
        <vt:i4>422</vt:i4>
      </vt:variant>
      <vt:variant>
        <vt:i4>0</vt:i4>
      </vt:variant>
      <vt:variant>
        <vt:i4>5</vt:i4>
      </vt:variant>
      <vt:variant>
        <vt:lpwstr/>
      </vt:variant>
      <vt:variant>
        <vt:lpwstr>_Toc126756850</vt:lpwstr>
      </vt:variant>
      <vt:variant>
        <vt:i4>1048634</vt:i4>
      </vt:variant>
      <vt:variant>
        <vt:i4>416</vt:i4>
      </vt:variant>
      <vt:variant>
        <vt:i4>0</vt:i4>
      </vt:variant>
      <vt:variant>
        <vt:i4>5</vt:i4>
      </vt:variant>
      <vt:variant>
        <vt:lpwstr/>
      </vt:variant>
      <vt:variant>
        <vt:lpwstr>_Toc126756849</vt:lpwstr>
      </vt:variant>
      <vt:variant>
        <vt:i4>1048634</vt:i4>
      </vt:variant>
      <vt:variant>
        <vt:i4>410</vt:i4>
      </vt:variant>
      <vt:variant>
        <vt:i4>0</vt:i4>
      </vt:variant>
      <vt:variant>
        <vt:i4>5</vt:i4>
      </vt:variant>
      <vt:variant>
        <vt:lpwstr/>
      </vt:variant>
      <vt:variant>
        <vt:lpwstr>_Toc126756848</vt:lpwstr>
      </vt:variant>
      <vt:variant>
        <vt:i4>1048634</vt:i4>
      </vt:variant>
      <vt:variant>
        <vt:i4>404</vt:i4>
      </vt:variant>
      <vt:variant>
        <vt:i4>0</vt:i4>
      </vt:variant>
      <vt:variant>
        <vt:i4>5</vt:i4>
      </vt:variant>
      <vt:variant>
        <vt:lpwstr/>
      </vt:variant>
      <vt:variant>
        <vt:lpwstr>_Toc126756847</vt:lpwstr>
      </vt:variant>
      <vt:variant>
        <vt:i4>1048634</vt:i4>
      </vt:variant>
      <vt:variant>
        <vt:i4>398</vt:i4>
      </vt:variant>
      <vt:variant>
        <vt:i4>0</vt:i4>
      </vt:variant>
      <vt:variant>
        <vt:i4>5</vt:i4>
      </vt:variant>
      <vt:variant>
        <vt:lpwstr/>
      </vt:variant>
      <vt:variant>
        <vt:lpwstr>_Toc126756846</vt:lpwstr>
      </vt:variant>
      <vt:variant>
        <vt:i4>1048634</vt:i4>
      </vt:variant>
      <vt:variant>
        <vt:i4>392</vt:i4>
      </vt:variant>
      <vt:variant>
        <vt:i4>0</vt:i4>
      </vt:variant>
      <vt:variant>
        <vt:i4>5</vt:i4>
      </vt:variant>
      <vt:variant>
        <vt:lpwstr/>
      </vt:variant>
      <vt:variant>
        <vt:lpwstr>_Toc126756845</vt:lpwstr>
      </vt:variant>
      <vt:variant>
        <vt:i4>1048634</vt:i4>
      </vt:variant>
      <vt:variant>
        <vt:i4>386</vt:i4>
      </vt:variant>
      <vt:variant>
        <vt:i4>0</vt:i4>
      </vt:variant>
      <vt:variant>
        <vt:i4>5</vt:i4>
      </vt:variant>
      <vt:variant>
        <vt:lpwstr/>
      </vt:variant>
      <vt:variant>
        <vt:lpwstr>_Toc126756844</vt:lpwstr>
      </vt:variant>
      <vt:variant>
        <vt:i4>1048634</vt:i4>
      </vt:variant>
      <vt:variant>
        <vt:i4>380</vt:i4>
      </vt:variant>
      <vt:variant>
        <vt:i4>0</vt:i4>
      </vt:variant>
      <vt:variant>
        <vt:i4>5</vt:i4>
      </vt:variant>
      <vt:variant>
        <vt:lpwstr/>
      </vt:variant>
      <vt:variant>
        <vt:lpwstr>_Toc126756843</vt:lpwstr>
      </vt:variant>
      <vt:variant>
        <vt:i4>1048634</vt:i4>
      </vt:variant>
      <vt:variant>
        <vt:i4>374</vt:i4>
      </vt:variant>
      <vt:variant>
        <vt:i4>0</vt:i4>
      </vt:variant>
      <vt:variant>
        <vt:i4>5</vt:i4>
      </vt:variant>
      <vt:variant>
        <vt:lpwstr/>
      </vt:variant>
      <vt:variant>
        <vt:lpwstr>_Toc126756842</vt:lpwstr>
      </vt:variant>
      <vt:variant>
        <vt:i4>1048634</vt:i4>
      </vt:variant>
      <vt:variant>
        <vt:i4>368</vt:i4>
      </vt:variant>
      <vt:variant>
        <vt:i4>0</vt:i4>
      </vt:variant>
      <vt:variant>
        <vt:i4>5</vt:i4>
      </vt:variant>
      <vt:variant>
        <vt:lpwstr/>
      </vt:variant>
      <vt:variant>
        <vt:lpwstr>_Toc126756841</vt:lpwstr>
      </vt:variant>
      <vt:variant>
        <vt:i4>1048634</vt:i4>
      </vt:variant>
      <vt:variant>
        <vt:i4>362</vt:i4>
      </vt:variant>
      <vt:variant>
        <vt:i4>0</vt:i4>
      </vt:variant>
      <vt:variant>
        <vt:i4>5</vt:i4>
      </vt:variant>
      <vt:variant>
        <vt:lpwstr/>
      </vt:variant>
      <vt:variant>
        <vt:lpwstr>_Toc126756840</vt:lpwstr>
      </vt:variant>
      <vt:variant>
        <vt:i4>1507386</vt:i4>
      </vt:variant>
      <vt:variant>
        <vt:i4>356</vt:i4>
      </vt:variant>
      <vt:variant>
        <vt:i4>0</vt:i4>
      </vt:variant>
      <vt:variant>
        <vt:i4>5</vt:i4>
      </vt:variant>
      <vt:variant>
        <vt:lpwstr/>
      </vt:variant>
      <vt:variant>
        <vt:lpwstr>_Toc126756839</vt:lpwstr>
      </vt:variant>
      <vt:variant>
        <vt:i4>1507386</vt:i4>
      </vt:variant>
      <vt:variant>
        <vt:i4>350</vt:i4>
      </vt:variant>
      <vt:variant>
        <vt:i4>0</vt:i4>
      </vt:variant>
      <vt:variant>
        <vt:i4>5</vt:i4>
      </vt:variant>
      <vt:variant>
        <vt:lpwstr/>
      </vt:variant>
      <vt:variant>
        <vt:lpwstr>_Toc126756838</vt:lpwstr>
      </vt:variant>
      <vt:variant>
        <vt:i4>1507386</vt:i4>
      </vt:variant>
      <vt:variant>
        <vt:i4>344</vt:i4>
      </vt:variant>
      <vt:variant>
        <vt:i4>0</vt:i4>
      </vt:variant>
      <vt:variant>
        <vt:i4>5</vt:i4>
      </vt:variant>
      <vt:variant>
        <vt:lpwstr/>
      </vt:variant>
      <vt:variant>
        <vt:lpwstr>_Toc126756837</vt:lpwstr>
      </vt:variant>
      <vt:variant>
        <vt:i4>1507386</vt:i4>
      </vt:variant>
      <vt:variant>
        <vt:i4>338</vt:i4>
      </vt:variant>
      <vt:variant>
        <vt:i4>0</vt:i4>
      </vt:variant>
      <vt:variant>
        <vt:i4>5</vt:i4>
      </vt:variant>
      <vt:variant>
        <vt:lpwstr/>
      </vt:variant>
      <vt:variant>
        <vt:lpwstr>_Toc126756836</vt:lpwstr>
      </vt:variant>
      <vt:variant>
        <vt:i4>1507386</vt:i4>
      </vt:variant>
      <vt:variant>
        <vt:i4>332</vt:i4>
      </vt:variant>
      <vt:variant>
        <vt:i4>0</vt:i4>
      </vt:variant>
      <vt:variant>
        <vt:i4>5</vt:i4>
      </vt:variant>
      <vt:variant>
        <vt:lpwstr/>
      </vt:variant>
      <vt:variant>
        <vt:lpwstr>_Toc126756835</vt:lpwstr>
      </vt:variant>
      <vt:variant>
        <vt:i4>1507386</vt:i4>
      </vt:variant>
      <vt:variant>
        <vt:i4>326</vt:i4>
      </vt:variant>
      <vt:variant>
        <vt:i4>0</vt:i4>
      </vt:variant>
      <vt:variant>
        <vt:i4>5</vt:i4>
      </vt:variant>
      <vt:variant>
        <vt:lpwstr/>
      </vt:variant>
      <vt:variant>
        <vt:lpwstr>_Toc126756834</vt:lpwstr>
      </vt:variant>
      <vt:variant>
        <vt:i4>1507386</vt:i4>
      </vt:variant>
      <vt:variant>
        <vt:i4>320</vt:i4>
      </vt:variant>
      <vt:variant>
        <vt:i4>0</vt:i4>
      </vt:variant>
      <vt:variant>
        <vt:i4>5</vt:i4>
      </vt:variant>
      <vt:variant>
        <vt:lpwstr/>
      </vt:variant>
      <vt:variant>
        <vt:lpwstr>_Toc126756833</vt:lpwstr>
      </vt:variant>
      <vt:variant>
        <vt:i4>1507386</vt:i4>
      </vt:variant>
      <vt:variant>
        <vt:i4>314</vt:i4>
      </vt:variant>
      <vt:variant>
        <vt:i4>0</vt:i4>
      </vt:variant>
      <vt:variant>
        <vt:i4>5</vt:i4>
      </vt:variant>
      <vt:variant>
        <vt:lpwstr/>
      </vt:variant>
      <vt:variant>
        <vt:lpwstr>_Toc126756832</vt:lpwstr>
      </vt:variant>
      <vt:variant>
        <vt:i4>1507386</vt:i4>
      </vt:variant>
      <vt:variant>
        <vt:i4>308</vt:i4>
      </vt:variant>
      <vt:variant>
        <vt:i4>0</vt:i4>
      </vt:variant>
      <vt:variant>
        <vt:i4>5</vt:i4>
      </vt:variant>
      <vt:variant>
        <vt:lpwstr/>
      </vt:variant>
      <vt:variant>
        <vt:lpwstr>_Toc126756831</vt:lpwstr>
      </vt:variant>
      <vt:variant>
        <vt:i4>1507386</vt:i4>
      </vt:variant>
      <vt:variant>
        <vt:i4>302</vt:i4>
      </vt:variant>
      <vt:variant>
        <vt:i4>0</vt:i4>
      </vt:variant>
      <vt:variant>
        <vt:i4>5</vt:i4>
      </vt:variant>
      <vt:variant>
        <vt:lpwstr/>
      </vt:variant>
      <vt:variant>
        <vt:lpwstr>_Toc126756830</vt:lpwstr>
      </vt:variant>
      <vt:variant>
        <vt:i4>1441850</vt:i4>
      </vt:variant>
      <vt:variant>
        <vt:i4>296</vt:i4>
      </vt:variant>
      <vt:variant>
        <vt:i4>0</vt:i4>
      </vt:variant>
      <vt:variant>
        <vt:i4>5</vt:i4>
      </vt:variant>
      <vt:variant>
        <vt:lpwstr/>
      </vt:variant>
      <vt:variant>
        <vt:lpwstr>_Toc126756829</vt:lpwstr>
      </vt:variant>
      <vt:variant>
        <vt:i4>1441850</vt:i4>
      </vt:variant>
      <vt:variant>
        <vt:i4>290</vt:i4>
      </vt:variant>
      <vt:variant>
        <vt:i4>0</vt:i4>
      </vt:variant>
      <vt:variant>
        <vt:i4>5</vt:i4>
      </vt:variant>
      <vt:variant>
        <vt:lpwstr/>
      </vt:variant>
      <vt:variant>
        <vt:lpwstr>_Toc126756828</vt:lpwstr>
      </vt:variant>
      <vt:variant>
        <vt:i4>1441850</vt:i4>
      </vt:variant>
      <vt:variant>
        <vt:i4>284</vt:i4>
      </vt:variant>
      <vt:variant>
        <vt:i4>0</vt:i4>
      </vt:variant>
      <vt:variant>
        <vt:i4>5</vt:i4>
      </vt:variant>
      <vt:variant>
        <vt:lpwstr/>
      </vt:variant>
      <vt:variant>
        <vt:lpwstr>_Toc126756827</vt:lpwstr>
      </vt:variant>
      <vt:variant>
        <vt:i4>1441850</vt:i4>
      </vt:variant>
      <vt:variant>
        <vt:i4>278</vt:i4>
      </vt:variant>
      <vt:variant>
        <vt:i4>0</vt:i4>
      </vt:variant>
      <vt:variant>
        <vt:i4>5</vt:i4>
      </vt:variant>
      <vt:variant>
        <vt:lpwstr/>
      </vt:variant>
      <vt:variant>
        <vt:lpwstr>_Toc126756826</vt:lpwstr>
      </vt:variant>
      <vt:variant>
        <vt:i4>1441850</vt:i4>
      </vt:variant>
      <vt:variant>
        <vt:i4>272</vt:i4>
      </vt:variant>
      <vt:variant>
        <vt:i4>0</vt:i4>
      </vt:variant>
      <vt:variant>
        <vt:i4>5</vt:i4>
      </vt:variant>
      <vt:variant>
        <vt:lpwstr/>
      </vt:variant>
      <vt:variant>
        <vt:lpwstr>_Toc126756825</vt:lpwstr>
      </vt:variant>
      <vt:variant>
        <vt:i4>1441850</vt:i4>
      </vt:variant>
      <vt:variant>
        <vt:i4>266</vt:i4>
      </vt:variant>
      <vt:variant>
        <vt:i4>0</vt:i4>
      </vt:variant>
      <vt:variant>
        <vt:i4>5</vt:i4>
      </vt:variant>
      <vt:variant>
        <vt:lpwstr/>
      </vt:variant>
      <vt:variant>
        <vt:lpwstr>_Toc126756824</vt:lpwstr>
      </vt:variant>
      <vt:variant>
        <vt:i4>1441850</vt:i4>
      </vt:variant>
      <vt:variant>
        <vt:i4>260</vt:i4>
      </vt:variant>
      <vt:variant>
        <vt:i4>0</vt:i4>
      </vt:variant>
      <vt:variant>
        <vt:i4>5</vt:i4>
      </vt:variant>
      <vt:variant>
        <vt:lpwstr/>
      </vt:variant>
      <vt:variant>
        <vt:lpwstr>_Toc126756823</vt:lpwstr>
      </vt:variant>
      <vt:variant>
        <vt:i4>1441850</vt:i4>
      </vt:variant>
      <vt:variant>
        <vt:i4>254</vt:i4>
      </vt:variant>
      <vt:variant>
        <vt:i4>0</vt:i4>
      </vt:variant>
      <vt:variant>
        <vt:i4>5</vt:i4>
      </vt:variant>
      <vt:variant>
        <vt:lpwstr/>
      </vt:variant>
      <vt:variant>
        <vt:lpwstr>_Toc126756822</vt:lpwstr>
      </vt:variant>
      <vt:variant>
        <vt:i4>1441850</vt:i4>
      </vt:variant>
      <vt:variant>
        <vt:i4>248</vt:i4>
      </vt:variant>
      <vt:variant>
        <vt:i4>0</vt:i4>
      </vt:variant>
      <vt:variant>
        <vt:i4>5</vt:i4>
      </vt:variant>
      <vt:variant>
        <vt:lpwstr/>
      </vt:variant>
      <vt:variant>
        <vt:lpwstr>_Toc126756821</vt:lpwstr>
      </vt:variant>
      <vt:variant>
        <vt:i4>1441850</vt:i4>
      </vt:variant>
      <vt:variant>
        <vt:i4>242</vt:i4>
      </vt:variant>
      <vt:variant>
        <vt:i4>0</vt:i4>
      </vt:variant>
      <vt:variant>
        <vt:i4>5</vt:i4>
      </vt:variant>
      <vt:variant>
        <vt:lpwstr/>
      </vt:variant>
      <vt:variant>
        <vt:lpwstr>_Toc126756820</vt:lpwstr>
      </vt:variant>
      <vt:variant>
        <vt:i4>1376314</vt:i4>
      </vt:variant>
      <vt:variant>
        <vt:i4>236</vt:i4>
      </vt:variant>
      <vt:variant>
        <vt:i4>0</vt:i4>
      </vt:variant>
      <vt:variant>
        <vt:i4>5</vt:i4>
      </vt:variant>
      <vt:variant>
        <vt:lpwstr/>
      </vt:variant>
      <vt:variant>
        <vt:lpwstr>_Toc126756819</vt:lpwstr>
      </vt:variant>
      <vt:variant>
        <vt:i4>1376314</vt:i4>
      </vt:variant>
      <vt:variant>
        <vt:i4>230</vt:i4>
      </vt:variant>
      <vt:variant>
        <vt:i4>0</vt:i4>
      </vt:variant>
      <vt:variant>
        <vt:i4>5</vt:i4>
      </vt:variant>
      <vt:variant>
        <vt:lpwstr/>
      </vt:variant>
      <vt:variant>
        <vt:lpwstr>_Toc126756818</vt:lpwstr>
      </vt:variant>
      <vt:variant>
        <vt:i4>1376314</vt:i4>
      </vt:variant>
      <vt:variant>
        <vt:i4>224</vt:i4>
      </vt:variant>
      <vt:variant>
        <vt:i4>0</vt:i4>
      </vt:variant>
      <vt:variant>
        <vt:i4>5</vt:i4>
      </vt:variant>
      <vt:variant>
        <vt:lpwstr/>
      </vt:variant>
      <vt:variant>
        <vt:lpwstr>_Toc126756817</vt:lpwstr>
      </vt:variant>
      <vt:variant>
        <vt:i4>1376314</vt:i4>
      </vt:variant>
      <vt:variant>
        <vt:i4>218</vt:i4>
      </vt:variant>
      <vt:variant>
        <vt:i4>0</vt:i4>
      </vt:variant>
      <vt:variant>
        <vt:i4>5</vt:i4>
      </vt:variant>
      <vt:variant>
        <vt:lpwstr/>
      </vt:variant>
      <vt:variant>
        <vt:lpwstr>_Toc126756816</vt:lpwstr>
      </vt:variant>
      <vt:variant>
        <vt:i4>1376314</vt:i4>
      </vt:variant>
      <vt:variant>
        <vt:i4>212</vt:i4>
      </vt:variant>
      <vt:variant>
        <vt:i4>0</vt:i4>
      </vt:variant>
      <vt:variant>
        <vt:i4>5</vt:i4>
      </vt:variant>
      <vt:variant>
        <vt:lpwstr/>
      </vt:variant>
      <vt:variant>
        <vt:lpwstr>_Toc126756815</vt:lpwstr>
      </vt:variant>
      <vt:variant>
        <vt:i4>1376314</vt:i4>
      </vt:variant>
      <vt:variant>
        <vt:i4>206</vt:i4>
      </vt:variant>
      <vt:variant>
        <vt:i4>0</vt:i4>
      </vt:variant>
      <vt:variant>
        <vt:i4>5</vt:i4>
      </vt:variant>
      <vt:variant>
        <vt:lpwstr/>
      </vt:variant>
      <vt:variant>
        <vt:lpwstr>_Toc126756814</vt:lpwstr>
      </vt:variant>
      <vt:variant>
        <vt:i4>1376314</vt:i4>
      </vt:variant>
      <vt:variant>
        <vt:i4>200</vt:i4>
      </vt:variant>
      <vt:variant>
        <vt:i4>0</vt:i4>
      </vt:variant>
      <vt:variant>
        <vt:i4>5</vt:i4>
      </vt:variant>
      <vt:variant>
        <vt:lpwstr/>
      </vt:variant>
      <vt:variant>
        <vt:lpwstr>_Toc126756813</vt:lpwstr>
      </vt:variant>
      <vt:variant>
        <vt:i4>1376314</vt:i4>
      </vt:variant>
      <vt:variant>
        <vt:i4>194</vt:i4>
      </vt:variant>
      <vt:variant>
        <vt:i4>0</vt:i4>
      </vt:variant>
      <vt:variant>
        <vt:i4>5</vt:i4>
      </vt:variant>
      <vt:variant>
        <vt:lpwstr/>
      </vt:variant>
      <vt:variant>
        <vt:lpwstr>_Toc126756812</vt:lpwstr>
      </vt:variant>
      <vt:variant>
        <vt:i4>1376314</vt:i4>
      </vt:variant>
      <vt:variant>
        <vt:i4>188</vt:i4>
      </vt:variant>
      <vt:variant>
        <vt:i4>0</vt:i4>
      </vt:variant>
      <vt:variant>
        <vt:i4>5</vt:i4>
      </vt:variant>
      <vt:variant>
        <vt:lpwstr/>
      </vt:variant>
      <vt:variant>
        <vt:lpwstr>_Toc126756811</vt:lpwstr>
      </vt:variant>
      <vt:variant>
        <vt:i4>1376314</vt:i4>
      </vt:variant>
      <vt:variant>
        <vt:i4>182</vt:i4>
      </vt:variant>
      <vt:variant>
        <vt:i4>0</vt:i4>
      </vt:variant>
      <vt:variant>
        <vt:i4>5</vt:i4>
      </vt:variant>
      <vt:variant>
        <vt:lpwstr/>
      </vt:variant>
      <vt:variant>
        <vt:lpwstr>_Toc126756810</vt:lpwstr>
      </vt:variant>
      <vt:variant>
        <vt:i4>1310778</vt:i4>
      </vt:variant>
      <vt:variant>
        <vt:i4>176</vt:i4>
      </vt:variant>
      <vt:variant>
        <vt:i4>0</vt:i4>
      </vt:variant>
      <vt:variant>
        <vt:i4>5</vt:i4>
      </vt:variant>
      <vt:variant>
        <vt:lpwstr/>
      </vt:variant>
      <vt:variant>
        <vt:lpwstr>_Toc126756809</vt:lpwstr>
      </vt:variant>
      <vt:variant>
        <vt:i4>1310778</vt:i4>
      </vt:variant>
      <vt:variant>
        <vt:i4>170</vt:i4>
      </vt:variant>
      <vt:variant>
        <vt:i4>0</vt:i4>
      </vt:variant>
      <vt:variant>
        <vt:i4>5</vt:i4>
      </vt:variant>
      <vt:variant>
        <vt:lpwstr/>
      </vt:variant>
      <vt:variant>
        <vt:lpwstr>_Toc126756808</vt:lpwstr>
      </vt:variant>
      <vt:variant>
        <vt:i4>1310778</vt:i4>
      </vt:variant>
      <vt:variant>
        <vt:i4>164</vt:i4>
      </vt:variant>
      <vt:variant>
        <vt:i4>0</vt:i4>
      </vt:variant>
      <vt:variant>
        <vt:i4>5</vt:i4>
      </vt:variant>
      <vt:variant>
        <vt:lpwstr/>
      </vt:variant>
      <vt:variant>
        <vt:lpwstr>_Toc126756807</vt:lpwstr>
      </vt:variant>
      <vt:variant>
        <vt:i4>1310778</vt:i4>
      </vt:variant>
      <vt:variant>
        <vt:i4>158</vt:i4>
      </vt:variant>
      <vt:variant>
        <vt:i4>0</vt:i4>
      </vt:variant>
      <vt:variant>
        <vt:i4>5</vt:i4>
      </vt:variant>
      <vt:variant>
        <vt:lpwstr/>
      </vt:variant>
      <vt:variant>
        <vt:lpwstr>_Toc126756806</vt:lpwstr>
      </vt:variant>
      <vt:variant>
        <vt:i4>1310778</vt:i4>
      </vt:variant>
      <vt:variant>
        <vt:i4>152</vt:i4>
      </vt:variant>
      <vt:variant>
        <vt:i4>0</vt:i4>
      </vt:variant>
      <vt:variant>
        <vt:i4>5</vt:i4>
      </vt:variant>
      <vt:variant>
        <vt:lpwstr/>
      </vt:variant>
      <vt:variant>
        <vt:lpwstr>_Toc126756805</vt:lpwstr>
      </vt:variant>
      <vt:variant>
        <vt:i4>1310778</vt:i4>
      </vt:variant>
      <vt:variant>
        <vt:i4>146</vt:i4>
      </vt:variant>
      <vt:variant>
        <vt:i4>0</vt:i4>
      </vt:variant>
      <vt:variant>
        <vt:i4>5</vt:i4>
      </vt:variant>
      <vt:variant>
        <vt:lpwstr/>
      </vt:variant>
      <vt:variant>
        <vt:lpwstr>_Toc126756804</vt:lpwstr>
      </vt:variant>
      <vt:variant>
        <vt:i4>1310778</vt:i4>
      </vt:variant>
      <vt:variant>
        <vt:i4>140</vt:i4>
      </vt:variant>
      <vt:variant>
        <vt:i4>0</vt:i4>
      </vt:variant>
      <vt:variant>
        <vt:i4>5</vt:i4>
      </vt:variant>
      <vt:variant>
        <vt:lpwstr/>
      </vt:variant>
      <vt:variant>
        <vt:lpwstr>_Toc126756803</vt:lpwstr>
      </vt:variant>
      <vt:variant>
        <vt:i4>1310778</vt:i4>
      </vt:variant>
      <vt:variant>
        <vt:i4>134</vt:i4>
      </vt:variant>
      <vt:variant>
        <vt:i4>0</vt:i4>
      </vt:variant>
      <vt:variant>
        <vt:i4>5</vt:i4>
      </vt:variant>
      <vt:variant>
        <vt:lpwstr/>
      </vt:variant>
      <vt:variant>
        <vt:lpwstr>_Toc126756802</vt:lpwstr>
      </vt:variant>
      <vt:variant>
        <vt:i4>1310778</vt:i4>
      </vt:variant>
      <vt:variant>
        <vt:i4>128</vt:i4>
      </vt:variant>
      <vt:variant>
        <vt:i4>0</vt:i4>
      </vt:variant>
      <vt:variant>
        <vt:i4>5</vt:i4>
      </vt:variant>
      <vt:variant>
        <vt:lpwstr/>
      </vt:variant>
      <vt:variant>
        <vt:lpwstr>_Toc126756801</vt:lpwstr>
      </vt:variant>
      <vt:variant>
        <vt:i4>1310778</vt:i4>
      </vt:variant>
      <vt:variant>
        <vt:i4>122</vt:i4>
      </vt:variant>
      <vt:variant>
        <vt:i4>0</vt:i4>
      </vt:variant>
      <vt:variant>
        <vt:i4>5</vt:i4>
      </vt:variant>
      <vt:variant>
        <vt:lpwstr/>
      </vt:variant>
      <vt:variant>
        <vt:lpwstr>_Toc126756800</vt:lpwstr>
      </vt:variant>
      <vt:variant>
        <vt:i4>1900597</vt:i4>
      </vt:variant>
      <vt:variant>
        <vt:i4>116</vt:i4>
      </vt:variant>
      <vt:variant>
        <vt:i4>0</vt:i4>
      </vt:variant>
      <vt:variant>
        <vt:i4>5</vt:i4>
      </vt:variant>
      <vt:variant>
        <vt:lpwstr/>
      </vt:variant>
      <vt:variant>
        <vt:lpwstr>_Toc126756799</vt:lpwstr>
      </vt:variant>
      <vt:variant>
        <vt:i4>1900597</vt:i4>
      </vt:variant>
      <vt:variant>
        <vt:i4>110</vt:i4>
      </vt:variant>
      <vt:variant>
        <vt:i4>0</vt:i4>
      </vt:variant>
      <vt:variant>
        <vt:i4>5</vt:i4>
      </vt:variant>
      <vt:variant>
        <vt:lpwstr/>
      </vt:variant>
      <vt:variant>
        <vt:lpwstr>_Toc126756798</vt:lpwstr>
      </vt:variant>
      <vt:variant>
        <vt:i4>1900597</vt:i4>
      </vt:variant>
      <vt:variant>
        <vt:i4>104</vt:i4>
      </vt:variant>
      <vt:variant>
        <vt:i4>0</vt:i4>
      </vt:variant>
      <vt:variant>
        <vt:i4>5</vt:i4>
      </vt:variant>
      <vt:variant>
        <vt:lpwstr/>
      </vt:variant>
      <vt:variant>
        <vt:lpwstr>_Toc126756797</vt:lpwstr>
      </vt:variant>
      <vt:variant>
        <vt:i4>1900597</vt:i4>
      </vt:variant>
      <vt:variant>
        <vt:i4>98</vt:i4>
      </vt:variant>
      <vt:variant>
        <vt:i4>0</vt:i4>
      </vt:variant>
      <vt:variant>
        <vt:i4>5</vt:i4>
      </vt:variant>
      <vt:variant>
        <vt:lpwstr/>
      </vt:variant>
      <vt:variant>
        <vt:lpwstr>_Toc126756796</vt:lpwstr>
      </vt:variant>
      <vt:variant>
        <vt:i4>1900597</vt:i4>
      </vt:variant>
      <vt:variant>
        <vt:i4>92</vt:i4>
      </vt:variant>
      <vt:variant>
        <vt:i4>0</vt:i4>
      </vt:variant>
      <vt:variant>
        <vt:i4>5</vt:i4>
      </vt:variant>
      <vt:variant>
        <vt:lpwstr/>
      </vt:variant>
      <vt:variant>
        <vt:lpwstr>_Toc126756795</vt:lpwstr>
      </vt:variant>
      <vt:variant>
        <vt:i4>1900597</vt:i4>
      </vt:variant>
      <vt:variant>
        <vt:i4>86</vt:i4>
      </vt:variant>
      <vt:variant>
        <vt:i4>0</vt:i4>
      </vt:variant>
      <vt:variant>
        <vt:i4>5</vt:i4>
      </vt:variant>
      <vt:variant>
        <vt:lpwstr/>
      </vt:variant>
      <vt:variant>
        <vt:lpwstr>_Toc126756794</vt:lpwstr>
      </vt:variant>
      <vt:variant>
        <vt:i4>1900597</vt:i4>
      </vt:variant>
      <vt:variant>
        <vt:i4>80</vt:i4>
      </vt:variant>
      <vt:variant>
        <vt:i4>0</vt:i4>
      </vt:variant>
      <vt:variant>
        <vt:i4>5</vt:i4>
      </vt:variant>
      <vt:variant>
        <vt:lpwstr/>
      </vt:variant>
      <vt:variant>
        <vt:lpwstr>_Toc126756793</vt:lpwstr>
      </vt:variant>
      <vt:variant>
        <vt:i4>1900597</vt:i4>
      </vt:variant>
      <vt:variant>
        <vt:i4>74</vt:i4>
      </vt:variant>
      <vt:variant>
        <vt:i4>0</vt:i4>
      </vt:variant>
      <vt:variant>
        <vt:i4>5</vt:i4>
      </vt:variant>
      <vt:variant>
        <vt:lpwstr/>
      </vt:variant>
      <vt:variant>
        <vt:lpwstr>_Toc126756792</vt:lpwstr>
      </vt:variant>
      <vt:variant>
        <vt:i4>1900597</vt:i4>
      </vt:variant>
      <vt:variant>
        <vt:i4>68</vt:i4>
      </vt:variant>
      <vt:variant>
        <vt:i4>0</vt:i4>
      </vt:variant>
      <vt:variant>
        <vt:i4>5</vt:i4>
      </vt:variant>
      <vt:variant>
        <vt:lpwstr/>
      </vt:variant>
      <vt:variant>
        <vt:lpwstr>_Toc126756791</vt:lpwstr>
      </vt:variant>
      <vt:variant>
        <vt:i4>1900597</vt:i4>
      </vt:variant>
      <vt:variant>
        <vt:i4>62</vt:i4>
      </vt:variant>
      <vt:variant>
        <vt:i4>0</vt:i4>
      </vt:variant>
      <vt:variant>
        <vt:i4>5</vt:i4>
      </vt:variant>
      <vt:variant>
        <vt:lpwstr/>
      </vt:variant>
      <vt:variant>
        <vt:lpwstr>_Toc126756790</vt:lpwstr>
      </vt:variant>
      <vt:variant>
        <vt:i4>1835061</vt:i4>
      </vt:variant>
      <vt:variant>
        <vt:i4>56</vt:i4>
      </vt:variant>
      <vt:variant>
        <vt:i4>0</vt:i4>
      </vt:variant>
      <vt:variant>
        <vt:i4>5</vt:i4>
      </vt:variant>
      <vt:variant>
        <vt:lpwstr/>
      </vt:variant>
      <vt:variant>
        <vt:lpwstr>_Toc126756789</vt:lpwstr>
      </vt:variant>
      <vt:variant>
        <vt:i4>1835061</vt:i4>
      </vt:variant>
      <vt:variant>
        <vt:i4>50</vt:i4>
      </vt:variant>
      <vt:variant>
        <vt:i4>0</vt:i4>
      </vt:variant>
      <vt:variant>
        <vt:i4>5</vt:i4>
      </vt:variant>
      <vt:variant>
        <vt:lpwstr/>
      </vt:variant>
      <vt:variant>
        <vt:lpwstr>_Toc126756788</vt:lpwstr>
      </vt:variant>
      <vt:variant>
        <vt:i4>1835061</vt:i4>
      </vt:variant>
      <vt:variant>
        <vt:i4>44</vt:i4>
      </vt:variant>
      <vt:variant>
        <vt:i4>0</vt:i4>
      </vt:variant>
      <vt:variant>
        <vt:i4>5</vt:i4>
      </vt:variant>
      <vt:variant>
        <vt:lpwstr/>
      </vt:variant>
      <vt:variant>
        <vt:lpwstr>_Toc126756787</vt:lpwstr>
      </vt:variant>
      <vt:variant>
        <vt:i4>1835061</vt:i4>
      </vt:variant>
      <vt:variant>
        <vt:i4>38</vt:i4>
      </vt:variant>
      <vt:variant>
        <vt:i4>0</vt:i4>
      </vt:variant>
      <vt:variant>
        <vt:i4>5</vt:i4>
      </vt:variant>
      <vt:variant>
        <vt:lpwstr/>
      </vt:variant>
      <vt:variant>
        <vt:lpwstr>_Toc126756786</vt:lpwstr>
      </vt:variant>
      <vt:variant>
        <vt:i4>1835061</vt:i4>
      </vt:variant>
      <vt:variant>
        <vt:i4>32</vt:i4>
      </vt:variant>
      <vt:variant>
        <vt:i4>0</vt:i4>
      </vt:variant>
      <vt:variant>
        <vt:i4>5</vt:i4>
      </vt:variant>
      <vt:variant>
        <vt:lpwstr/>
      </vt:variant>
      <vt:variant>
        <vt:lpwstr>_Toc126756785</vt:lpwstr>
      </vt:variant>
      <vt:variant>
        <vt:i4>1835061</vt:i4>
      </vt:variant>
      <vt:variant>
        <vt:i4>26</vt:i4>
      </vt:variant>
      <vt:variant>
        <vt:i4>0</vt:i4>
      </vt:variant>
      <vt:variant>
        <vt:i4>5</vt:i4>
      </vt:variant>
      <vt:variant>
        <vt:lpwstr/>
      </vt:variant>
      <vt:variant>
        <vt:lpwstr>_Toc126756784</vt:lpwstr>
      </vt:variant>
      <vt:variant>
        <vt:i4>1835061</vt:i4>
      </vt:variant>
      <vt:variant>
        <vt:i4>20</vt:i4>
      </vt:variant>
      <vt:variant>
        <vt:i4>0</vt:i4>
      </vt:variant>
      <vt:variant>
        <vt:i4>5</vt:i4>
      </vt:variant>
      <vt:variant>
        <vt:lpwstr/>
      </vt:variant>
      <vt:variant>
        <vt:lpwstr>_Toc126756783</vt:lpwstr>
      </vt:variant>
      <vt:variant>
        <vt:i4>1835061</vt:i4>
      </vt:variant>
      <vt:variant>
        <vt:i4>14</vt:i4>
      </vt:variant>
      <vt:variant>
        <vt:i4>0</vt:i4>
      </vt:variant>
      <vt:variant>
        <vt:i4>5</vt:i4>
      </vt:variant>
      <vt:variant>
        <vt:lpwstr/>
      </vt:variant>
      <vt:variant>
        <vt:lpwstr>_Toc126756782</vt:lpwstr>
      </vt:variant>
      <vt:variant>
        <vt:i4>1835061</vt:i4>
      </vt:variant>
      <vt:variant>
        <vt:i4>8</vt:i4>
      </vt:variant>
      <vt:variant>
        <vt:i4>0</vt:i4>
      </vt:variant>
      <vt:variant>
        <vt:i4>5</vt:i4>
      </vt:variant>
      <vt:variant>
        <vt:lpwstr/>
      </vt:variant>
      <vt:variant>
        <vt:lpwstr>_Toc126756781</vt:lpwstr>
      </vt:variant>
      <vt:variant>
        <vt:i4>1835061</vt:i4>
      </vt:variant>
      <vt:variant>
        <vt:i4>2</vt:i4>
      </vt:variant>
      <vt:variant>
        <vt:i4>0</vt:i4>
      </vt:variant>
      <vt:variant>
        <vt:i4>5</vt:i4>
      </vt:variant>
      <vt:variant>
        <vt:lpwstr/>
      </vt:variant>
      <vt:variant>
        <vt:lpwstr>_Toc126756780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Przewodnik kwalifikowalności wydatków dla 1 priorytetu</dc:title>
  <dc:subject/>
  <dc:creator>Pączkowska Ewa</dc:creator>
  <cp:keywords>PL, PARP</cp:keywords>
  <dc:description/>
  <cp:lastModifiedBy>Anna Marciniak</cp:lastModifiedBy>
  <cp:revision>2</cp:revision>
  <cp:lastPrinted>2023-03-30T07:57:00Z</cp:lastPrinted>
  <dcterms:created xsi:type="dcterms:W3CDTF">2023-10-20T16:38:00Z</dcterms:created>
  <dcterms:modified xsi:type="dcterms:W3CDTF">2023-10-20T16:38:00Z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2023-03-30T07:57:22Z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1d2c4185-1347-4663-8a69-c9beb1c7dae7</vt:lpwstr>
  </property>
  <property fmtid="{D5CDD505-2E9C-101B-9397-08002B2CF9AE}" pid="10" name="MSIP_Label_91e939cc-945f-447d-b5c0-f5a8e3aaa77b_ContentBits">
    <vt:lpwstr>0</vt:lpwstr>
  </property>
  <property fmtid="{D5CDD505-2E9C-101B-9397-08002B2CF9AE}" pid="11" name="MSIP_Label_8b72bd6a-5f70-4f6e-be10-f745206756ad_Enabled">
    <vt:lpwstr>true</vt:lpwstr>
  </property>
  <property fmtid="{D5CDD505-2E9C-101B-9397-08002B2CF9AE}" pid="12" name="MSIP_Label_8b72bd6a-5f70-4f6e-be10-f745206756ad_SetDate">
    <vt:lpwstr>2023-10-20T16:37:59Z</vt:lpwstr>
  </property>
  <property fmtid="{D5CDD505-2E9C-101B-9397-08002B2CF9AE}" pid="13" name="MSIP_Label_8b72bd6a-5f70-4f6e-be10-f745206756ad_Method">
    <vt:lpwstr>Standard</vt:lpwstr>
  </property>
  <property fmtid="{D5CDD505-2E9C-101B-9397-08002B2CF9AE}" pid="14" name="MSIP_Label_8b72bd6a-5f70-4f6e-be10-f745206756ad_Name">
    <vt:lpwstr>K2 - informacja wewnętrzna</vt:lpwstr>
  </property>
  <property fmtid="{D5CDD505-2E9C-101B-9397-08002B2CF9AE}" pid="15" name="MSIP_Label_8b72bd6a-5f70-4f6e-be10-f745206756ad_SiteId">
    <vt:lpwstr>114511be-be5b-44a7-b2ab-a51e832dea9d</vt:lpwstr>
  </property>
  <property fmtid="{D5CDD505-2E9C-101B-9397-08002B2CF9AE}" pid="16" name="MSIP_Label_8b72bd6a-5f70-4f6e-be10-f745206756ad_ActionId">
    <vt:lpwstr>1d125a55-3eb4-4f5f-98e1-4d9b445a3388</vt:lpwstr>
  </property>
  <property fmtid="{D5CDD505-2E9C-101B-9397-08002B2CF9AE}" pid="17" name="MSIP_Label_8b72bd6a-5f70-4f6e-be10-f745206756ad_ContentBits">
    <vt:lpwstr>2</vt:lpwstr>
  </property>
</Properties>
</file>