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960" w:line="240" w:lineRule="auto"/>
        <w:ind w:left="0" w:right="0" w:firstLine="0"/>
        <w:jc w:val="right"/>
      </w:pPr>
      <w:r>
        <w:rPr>
          <w:rStyle w:val="CharStyle3"/>
        </w:rPr>
        <w:t>Warszawa, 23 czerwca 2025 r.</w:t>
      </w:r>
    </w:p>
    <w:p>
      <w:pPr>
        <w:pStyle w:val="Style2"/>
        <w:keepNext w:val="0"/>
        <w:keepLines w:val="0"/>
        <w:widowControl w:val="0"/>
        <w:shd w:val="clear" w:color="auto" w:fill="auto"/>
        <w:bidi w:val="0"/>
        <w:spacing w:before="0" w:after="300" w:line="288" w:lineRule="auto"/>
        <w:ind w:left="6460" w:right="0" w:firstLine="0"/>
        <w:jc w:val="right"/>
      </w:pPr>
      <w:r>
        <w:rPr>
          <w:rStyle w:val="CharStyle3"/>
          <w:b/>
          <w:bCs/>
        </w:rPr>
        <w:t>Minister do spraw Unii Europejskiej Rzecznik Prasowy Rządu</w:t>
      </w:r>
    </w:p>
    <w:p>
      <w:pPr>
        <w:pStyle w:val="Style2"/>
        <w:keepNext w:val="0"/>
        <w:keepLines w:val="0"/>
        <w:widowControl w:val="0"/>
        <w:shd w:val="clear" w:color="auto" w:fill="auto"/>
        <w:bidi w:val="0"/>
        <w:spacing w:before="0" w:after="500" w:line="240" w:lineRule="auto"/>
        <w:ind w:left="0" w:right="0" w:firstLine="0"/>
        <w:jc w:val="right"/>
      </w:pPr>
      <w:r>
        <w:rPr>
          <w:rStyle w:val="CharStyle3"/>
          <w:b/>
          <w:bCs/>
        </w:rPr>
        <w:t>Kancelaria Prezesa Rady Ministrów</w:t>
      </w:r>
    </w:p>
    <w:p>
      <w:pPr>
        <w:pStyle w:val="Style2"/>
        <w:keepNext w:val="0"/>
        <w:keepLines w:val="0"/>
        <w:widowControl w:val="0"/>
        <w:shd w:val="clear" w:color="auto" w:fill="auto"/>
        <w:bidi w:val="0"/>
        <w:spacing w:before="0" w:after="180" w:line="240" w:lineRule="auto"/>
        <w:ind w:left="0" w:right="0" w:firstLine="0"/>
        <w:jc w:val="left"/>
      </w:pPr>
      <w:r>
        <w:rPr>
          <w:rStyle w:val="CharStyle3"/>
          <w:i/>
          <w:iCs/>
        </w:rPr>
        <w:t>Szanowny Panie Ministrze,</w:t>
      </w:r>
    </w:p>
    <w:p>
      <w:pPr>
        <w:pStyle w:val="Style2"/>
        <w:keepNext w:val="0"/>
        <w:keepLines w:val="0"/>
        <w:widowControl w:val="0"/>
        <w:shd w:val="clear" w:color="auto" w:fill="auto"/>
        <w:bidi w:val="0"/>
        <w:spacing w:before="0" w:after="180" w:line="240" w:lineRule="auto"/>
        <w:ind w:left="0" w:right="0" w:firstLine="0"/>
        <w:jc w:val="both"/>
      </w:pPr>
      <w:r>
        <w:rPr>
          <w:rStyle w:val="CharStyle3"/>
        </w:rPr>
        <w:t>W imieniu zwracam uwagę na potrzebę pilnej zmiany treści art. 44 ust. 6 ustawy z dnia 13 czerwca 2013 r. o gospodarce opakowaniami i odpadami opakowaniowymi (Dz. U. 2013 poz. 888 z późniejszymi zmianami) w kontekście planowanego wejścia w życie systemu kaucyjnego od 1 października br.</w:t>
      </w:r>
    </w:p>
    <w:p>
      <w:pPr>
        <w:pStyle w:val="Style2"/>
        <w:keepNext w:val="0"/>
        <w:keepLines w:val="0"/>
        <w:widowControl w:val="0"/>
        <w:shd w:val="clear" w:color="auto" w:fill="auto"/>
        <w:bidi w:val="0"/>
        <w:spacing w:before="0" w:after="180" w:line="240" w:lineRule="auto"/>
        <w:ind w:left="0" w:right="0" w:firstLine="0"/>
        <w:jc w:val="both"/>
      </w:pPr>
      <w:r>
        <w:rPr>
          <w:rStyle w:val="CharStyle3"/>
        </w:rPr>
        <w:t>Postulujemy zniesienie obowiązku podpisania umowy z każdym podmiotem reprezentującym na rzecz obowiązku podpisania umowy z co najmniej jednym podmiotem reprezentującym. Z naszego punktu widzenia oczywiste jest, że na poziomie sklepu nie może być prowadzone rozliczenie opłat czy odpadów dla poszczególnych podmiotów reprezentujących. Takie rozliczenie powinno odbywać się pomiędzy samymi podmiotami reprezentującymi. Obowiązek zawarcia umowy przez sklepy z każdym podmiotem reprezentującym może znacząco wpłynąć na efektywność działania sklepów oraz systemu kaucyjnego, a ponadto może okazać się po prostu niemożliwy do realizacji w praktyce.</w:t>
      </w:r>
    </w:p>
    <w:p>
      <w:pPr>
        <w:pStyle w:val="Style2"/>
        <w:keepNext w:val="0"/>
        <w:keepLines w:val="0"/>
        <w:widowControl w:val="0"/>
        <w:shd w:val="clear" w:color="auto" w:fill="auto"/>
        <w:bidi w:val="0"/>
        <w:spacing w:before="0" w:line="240" w:lineRule="auto"/>
        <w:ind w:left="0" w:right="0" w:firstLine="0"/>
        <w:jc w:val="both"/>
      </w:pPr>
      <w:r>
        <w:rPr>
          <w:rStyle w:val="CharStyle3"/>
        </w:rPr>
        <w:t>Przykładowo, jeśli do sklepu zgłoszą się cztery podmioty reprezentujące, a każdy z nich zaproponuje umowę na współpracę w zakresie finansowania kaucji, odbioru odpadów, opłaty manipulacyjnej (czas pracy, wyposażenie w automat i jego serwis, prąd, Internet itd.), sklep jest zmuszony ustawowo do podpisania umowy z każdym z nich na warunkach dyktowanych przez te podmioty reprezentujące. Jednoczenie nie wiadomo jak dany sklep powinien oddawać zebrane opakowania dla kilku operatorów: czy każdy worek z butelkami / puszkami / szkłem powinien dzielić na cztery i czekać na osobne odbiory przez każdy podmiot reprezentujący? Dodatkowo zapis, iż sklep powinien podpisać umowę z każdym podmiotem reprezentującym, który do niego się zwróci powoduje wydłużenie procesu negocjacji i podpisywania umów. W praktyce prowadzi to do konieczności integracji systemu sklepu z wieloma obcymi zewnętrznymi systemami, każdego z podmiotów reprezentujących. Powodem są różnice pomiędzy poszczególnymi podmiotami reprezentującymi w rozwiązaniach dotyczących prowadzenia systemu. Należy też przypomnieć, że nie każdy z podmiotów reprezentujących będzie odbierał wszystkie trzy frakcje opakowań, tj. opakowania typu PET, puszki aluminiowe i metalowe oraz szklane butelki zwrotne. Sklepy mają zatem poważny problem – zarówno organizacyjny, jak i operacyjny – związany koniecznością podpisania umów z każdym podmiotem reprezentującym.</w:t>
      </w:r>
    </w:p>
    <w:p>
      <w:pPr>
        <w:pStyle w:val="Style2"/>
        <w:keepNext w:val="0"/>
        <w:keepLines w:val="0"/>
        <w:widowControl w:val="0"/>
        <w:shd w:val="clear" w:color="auto" w:fill="auto"/>
        <w:bidi w:val="0"/>
        <w:spacing w:before="0" w:after="180" w:line="240" w:lineRule="auto"/>
        <w:ind w:left="0" w:right="0" w:firstLine="0"/>
        <w:jc w:val="both"/>
      </w:pPr>
      <w:r>
        <w:rPr>
          <w:rStyle w:val="CharStyle3"/>
          <w:u w:val="single"/>
        </w:rPr>
        <w:t>Dlatego proponujemy najlepsze rozwiązanie w postaci obowiązku podpisania umowy przez sklep z co najmniej jednym podmiotem reprezentującym, zamiast z każdym. To ten podmiot reprezentujący, z którym sklep podpisze umowę, powinien rozliczyć się finansowo i materiałowo z pozostałymi podmiotami reprezentującymi.</w:t>
      </w:r>
    </w:p>
    <w:p>
      <w:pPr>
        <w:pStyle w:val="Style2"/>
        <w:keepNext w:val="0"/>
        <w:keepLines w:val="0"/>
        <w:widowControl w:val="0"/>
        <w:shd w:val="clear" w:color="auto" w:fill="auto"/>
        <w:bidi w:val="0"/>
        <w:spacing w:before="0" w:after="180" w:line="240" w:lineRule="auto"/>
        <w:ind w:left="0" w:right="0" w:firstLine="0"/>
        <w:jc w:val="both"/>
      </w:pPr>
      <w:r>
        <w:rPr>
          <w:rStyle w:val="CharStyle3"/>
        </w:rPr>
        <w:t>Propozycja zmiany Art. 44 ust.6 otrzymuje brzmienie:</w:t>
      </w:r>
    </w:p>
    <w:p>
      <w:pPr>
        <w:pStyle w:val="Style2"/>
        <w:keepNext w:val="0"/>
        <w:keepLines w:val="0"/>
        <w:widowControl w:val="0"/>
        <w:shd w:val="clear" w:color="auto" w:fill="auto"/>
        <w:bidi w:val="0"/>
        <w:spacing w:before="0" w:after="440" w:line="240" w:lineRule="auto"/>
        <w:ind w:left="0" w:right="0" w:firstLine="0"/>
        <w:jc w:val="both"/>
      </w:pPr>
      <w:r>
        <w:rPr>
          <w:rStyle w:val="CharStyle3"/>
          <w:i/>
          <w:iCs/>
        </w:rPr>
        <w:t>„6. Przedsiębiorca prowadzący jednostkę handlu detalicznego lub hurtowego o powierzchni sprzedaży powyżej 200 m2 jest obowiązany do zawarcia umowy, w formie pisemnej pod rygorem nieważności, z co najmniej jednym podmiotem reprezentującym, który się do niego zgłosi.”</w:t>
      </w:r>
    </w:p>
    <w:p>
      <w:pPr>
        <w:pStyle w:val="Style2"/>
        <w:keepNext w:val="0"/>
        <w:keepLines w:val="0"/>
        <w:widowControl w:val="0"/>
        <w:shd w:val="clear" w:color="auto" w:fill="auto"/>
        <w:bidi w:val="0"/>
        <w:spacing w:before="0" w:after="940" w:line="240" w:lineRule="auto"/>
        <w:ind w:left="0" w:right="0" w:firstLine="0"/>
        <w:jc w:val="both"/>
      </w:pPr>
      <w:r>
        <w:rPr>
          <w:rStyle w:val="CharStyle3"/>
        </w:rPr>
        <w:t>Mam ogromną nadzieję, że Pan Minister pomoże nam zmienić ten bardzo kontrowersyjny i trudny do realizacji wymóg dla całego polskiego handlu wdrażającego system kaucyjny.</w:t>
      </w:r>
    </w:p>
    <w:p>
      <w:pPr>
        <w:pStyle w:val="Style2"/>
        <w:keepNext w:val="0"/>
        <w:keepLines w:val="0"/>
        <w:widowControl w:val="0"/>
        <w:shd w:val="clear" w:color="auto" w:fill="auto"/>
        <w:bidi w:val="0"/>
        <w:spacing w:before="0" w:after="320" w:line="240" w:lineRule="auto"/>
        <w:ind w:left="0" w:right="0" w:firstLine="0"/>
        <w:jc w:val="both"/>
      </w:pPr>
      <w:r>
        <w:rPr>
          <w:rStyle w:val="CharStyle3"/>
          <w:i/>
          <w:iCs/>
        </w:rPr>
        <w:t>Z wyrazami szacunku,</w:t>
      </w:r>
    </w:p>
    <w:sectPr>
      <w:footnotePr>
        <w:pos w:val="pageBottom"/>
        <w:numFmt w:val="decimal"/>
        <w:numRestart w:val="continuous"/>
      </w:footnotePr>
      <w:pgSz w:w="11900" w:h="16840"/>
      <w:pgMar w:top="3970" w:right="809" w:bottom="2325" w:left="814" w:header="3542" w:footer="1897"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Tekst treści_"/>
    <w:basedOn w:val="DefaultParagraphFont"/>
    <w:link w:val="Style2"/>
    <w:rPr>
      <w:rFonts w:ascii="Arial" w:eastAsia="Arial" w:hAnsi="Arial" w:cs="Arial"/>
      <w:b w:val="0"/>
      <w:bCs w:val="0"/>
      <w:i w:val="0"/>
      <w:iCs w:val="0"/>
      <w:smallCaps w:val="0"/>
      <w:strike w:val="0"/>
      <w:sz w:val="22"/>
      <w:szCs w:val="22"/>
      <w:u w:val="none"/>
    </w:rPr>
  </w:style>
  <w:style w:type="paragraph" w:customStyle="1" w:styleId="Style2">
    <w:name w:val="Tekst treści"/>
    <w:basedOn w:val="Normal"/>
    <w:link w:val="CharStyle3"/>
    <w:pPr>
      <w:widowControl w:val="0"/>
      <w:shd w:val="clear" w:color="auto" w:fill="auto"/>
      <w:spacing w:after="24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DELL</dc:creator>
  <cp:keywords/>
</cp:coreProperties>
</file>