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2AA" w:rsidRPr="007E469E" w:rsidRDefault="00E352AA" w:rsidP="00E352AA">
      <w:pPr>
        <w:autoSpaceDE w:val="0"/>
        <w:autoSpaceDN w:val="0"/>
        <w:adjustRightInd w:val="0"/>
        <w:spacing w:after="120" w:line="240" w:lineRule="atLeast"/>
        <w:ind w:left="1"/>
        <w:jc w:val="center"/>
        <w:rPr>
          <w:sz w:val="24"/>
        </w:rPr>
      </w:pPr>
    </w:p>
    <w:p w:rsidR="00E352AA" w:rsidRPr="007E469E" w:rsidRDefault="00E352AA" w:rsidP="00E352AA">
      <w:pPr>
        <w:autoSpaceDE w:val="0"/>
        <w:autoSpaceDN w:val="0"/>
        <w:adjustRightInd w:val="0"/>
        <w:spacing w:after="120" w:line="240" w:lineRule="atLeast"/>
        <w:ind w:left="1"/>
        <w:jc w:val="center"/>
        <w:rPr>
          <w:sz w:val="24"/>
        </w:rPr>
      </w:pPr>
    </w:p>
    <w:p w:rsidR="00E352AA" w:rsidRPr="007E469E" w:rsidRDefault="00E352AA" w:rsidP="00E352AA">
      <w:pPr>
        <w:autoSpaceDE w:val="0"/>
        <w:autoSpaceDN w:val="0"/>
        <w:adjustRightInd w:val="0"/>
        <w:spacing w:after="120" w:line="240" w:lineRule="atLeast"/>
        <w:ind w:left="1"/>
        <w:jc w:val="center"/>
        <w:rPr>
          <w:sz w:val="24"/>
        </w:rPr>
      </w:pPr>
    </w:p>
    <w:p w:rsidR="00E352AA" w:rsidRPr="007E469E" w:rsidRDefault="00E352AA" w:rsidP="00E352AA">
      <w:pPr>
        <w:autoSpaceDE w:val="0"/>
        <w:autoSpaceDN w:val="0"/>
        <w:adjustRightInd w:val="0"/>
        <w:spacing w:after="120" w:line="240" w:lineRule="atLeast"/>
        <w:ind w:left="1"/>
        <w:jc w:val="center"/>
        <w:rPr>
          <w:sz w:val="24"/>
        </w:rPr>
      </w:pPr>
    </w:p>
    <w:p w:rsidR="00E352AA" w:rsidRPr="007E469E" w:rsidRDefault="00423B97" w:rsidP="00E352AA">
      <w:pPr>
        <w:autoSpaceDE w:val="0"/>
        <w:autoSpaceDN w:val="0"/>
        <w:adjustRightInd w:val="0"/>
        <w:spacing w:after="120" w:line="240" w:lineRule="atLeast"/>
        <w:ind w:left="1"/>
        <w:jc w:val="center"/>
        <w:rPr>
          <w:sz w:val="24"/>
        </w:rPr>
      </w:pPr>
      <w:r>
        <w:rPr>
          <w:noProof/>
          <w:sz w:val="24"/>
          <w:lang w:eastAsia="pl-PL"/>
        </w:rPr>
        <w:drawing>
          <wp:inline distT="0" distB="0" distL="0" distR="0" wp14:anchorId="6E374EC3" wp14:editId="5AD58453">
            <wp:extent cx="5761355" cy="80272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61355" cy="802724"/>
                    </a:xfrm>
                    <a:prstGeom prst="rect">
                      <a:avLst/>
                    </a:prstGeom>
                    <a:noFill/>
                  </pic:spPr>
                </pic:pic>
              </a:graphicData>
            </a:graphic>
          </wp:inline>
        </w:drawing>
      </w:r>
    </w:p>
    <w:p w:rsidR="00423B97" w:rsidRPr="007E469E" w:rsidRDefault="00423B97" w:rsidP="00316996">
      <w:pPr>
        <w:autoSpaceDE w:val="0"/>
        <w:autoSpaceDN w:val="0"/>
        <w:adjustRightInd w:val="0"/>
        <w:spacing w:after="2880" w:line="240" w:lineRule="atLeast"/>
        <w:jc w:val="center"/>
        <w:rPr>
          <w:sz w:val="24"/>
        </w:rPr>
      </w:pPr>
    </w:p>
    <w:p w:rsidR="0074275F" w:rsidRDefault="00E43D75" w:rsidP="000C2C01">
      <w:pPr>
        <w:jc w:val="center"/>
        <w:rPr>
          <w:rFonts w:ascii="Arial" w:hAnsi="Arial" w:cs="Arial"/>
          <w:b/>
          <w:sz w:val="24"/>
          <w:szCs w:val="24"/>
        </w:rPr>
      </w:pPr>
      <w:bookmarkStart w:id="0" w:name="_Toc394500559"/>
      <w:bookmarkStart w:id="1" w:name="_Toc394501845"/>
      <w:bookmarkStart w:id="2" w:name="_Toc396130038"/>
      <w:bookmarkStart w:id="3" w:name="_Toc418665109"/>
      <w:bookmarkStart w:id="4" w:name="_Toc418754015"/>
      <w:bookmarkStart w:id="5" w:name="_Toc419379858"/>
      <w:bookmarkStart w:id="6" w:name="_Toc419383535"/>
      <w:bookmarkStart w:id="7" w:name="_Toc419391927"/>
      <w:bookmarkStart w:id="8" w:name="_Toc419458324"/>
      <w:bookmarkStart w:id="9" w:name="_Toc420679283"/>
      <w:r>
        <w:rPr>
          <w:rFonts w:ascii="Arial" w:hAnsi="Arial" w:cs="Arial"/>
          <w:b/>
          <w:sz w:val="24"/>
          <w:szCs w:val="24"/>
        </w:rPr>
        <w:t xml:space="preserve">Katalog wydatków </w:t>
      </w:r>
      <w:bookmarkEnd w:id="0"/>
      <w:bookmarkEnd w:id="1"/>
      <w:r w:rsidR="0054596B" w:rsidRPr="00B81671">
        <w:rPr>
          <w:rFonts w:ascii="Arial" w:hAnsi="Arial" w:cs="Arial"/>
          <w:b/>
          <w:sz w:val="24"/>
          <w:szCs w:val="24"/>
        </w:rPr>
        <w:t>kwalifikowaln</w:t>
      </w:r>
      <w:r>
        <w:rPr>
          <w:rFonts w:ascii="Arial" w:hAnsi="Arial" w:cs="Arial"/>
          <w:b/>
          <w:sz w:val="24"/>
          <w:szCs w:val="24"/>
        </w:rPr>
        <w:t>ych</w:t>
      </w:r>
      <w:r w:rsidR="0074275F">
        <w:rPr>
          <w:rFonts w:ascii="Arial" w:hAnsi="Arial" w:cs="Arial"/>
          <w:b/>
          <w:sz w:val="24"/>
          <w:szCs w:val="24"/>
        </w:rPr>
        <w:t xml:space="preserve"> </w:t>
      </w:r>
    </w:p>
    <w:p w:rsidR="0074275F" w:rsidRDefault="0074275F" w:rsidP="00B81671">
      <w:pPr>
        <w:jc w:val="center"/>
        <w:rPr>
          <w:rFonts w:ascii="Arial" w:hAnsi="Arial" w:cs="Arial"/>
          <w:b/>
          <w:sz w:val="24"/>
          <w:szCs w:val="24"/>
        </w:rPr>
      </w:pPr>
      <w:r>
        <w:rPr>
          <w:rFonts w:ascii="Arial" w:hAnsi="Arial" w:cs="Arial"/>
          <w:b/>
          <w:sz w:val="24"/>
          <w:szCs w:val="24"/>
        </w:rPr>
        <w:t xml:space="preserve">w projektach realizowanych w ramach I osi priorytetowej </w:t>
      </w:r>
    </w:p>
    <w:p w:rsidR="00E352AA" w:rsidRPr="00B81671" w:rsidRDefault="007005C1" w:rsidP="00B81671">
      <w:pPr>
        <w:jc w:val="center"/>
        <w:rPr>
          <w:sz w:val="24"/>
          <w:szCs w:val="24"/>
        </w:rPr>
      </w:pPr>
      <w:r w:rsidRPr="00B81671">
        <w:rPr>
          <w:rFonts w:ascii="Arial" w:hAnsi="Arial" w:cs="Arial"/>
          <w:b/>
          <w:sz w:val="24"/>
          <w:szCs w:val="24"/>
        </w:rPr>
        <w:t>Program</w:t>
      </w:r>
      <w:r w:rsidR="0074275F">
        <w:rPr>
          <w:rFonts w:ascii="Arial" w:hAnsi="Arial" w:cs="Arial"/>
          <w:b/>
          <w:sz w:val="24"/>
          <w:szCs w:val="24"/>
        </w:rPr>
        <w:t>u</w:t>
      </w:r>
      <w:r w:rsidRPr="00B81671">
        <w:rPr>
          <w:rFonts w:ascii="Arial" w:hAnsi="Arial" w:cs="Arial"/>
          <w:b/>
          <w:sz w:val="24"/>
          <w:szCs w:val="24"/>
        </w:rPr>
        <w:t xml:space="preserve"> Operacyjn</w:t>
      </w:r>
      <w:r w:rsidR="0074275F">
        <w:rPr>
          <w:rFonts w:ascii="Arial" w:hAnsi="Arial" w:cs="Arial"/>
          <w:b/>
          <w:sz w:val="24"/>
          <w:szCs w:val="24"/>
        </w:rPr>
        <w:t>ego</w:t>
      </w:r>
      <w:r w:rsidRPr="00B81671">
        <w:rPr>
          <w:rFonts w:ascii="Arial" w:hAnsi="Arial" w:cs="Arial"/>
          <w:b/>
          <w:sz w:val="24"/>
          <w:szCs w:val="24"/>
        </w:rPr>
        <w:t xml:space="preserve"> Polska Cyfrowa </w:t>
      </w:r>
      <w:r w:rsidR="00444840" w:rsidRPr="00B81671">
        <w:rPr>
          <w:rFonts w:ascii="Arial" w:hAnsi="Arial" w:cs="Arial"/>
          <w:b/>
          <w:sz w:val="24"/>
          <w:szCs w:val="24"/>
        </w:rPr>
        <w:t xml:space="preserve">na lata </w:t>
      </w:r>
      <w:r w:rsidRPr="00B81671">
        <w:rPr>
          <w:rFonts w:ascii="Arial" w:hAnsi="Arial" w:cs="Arial"/>
          <w:b/>
          <w:sz w:val="24"/>
          <w:szCs w:val="24"/>
        </w:rPr>
        <w:t>2014-2020</w:t>
      </w:r>
      <w:bookmarkEnd w:id="2"/>
      <w:bookmarkEnd w:id="3"/>
      <w:bookmarkEnd w:id="4"/>
      <w:bookmarkEnd w:id="5"/>
      <w:bookmarkEnd w:id="6"/>
      <w:bookmarkEnd w:id="7"/>
      <w:bookmarkEnd w:id="8"/>
      <w:bookmarkEnd w:id="9"/>
      <w:permStart w:id="380442642" w:edGrp="everyone"/>
      <w:permEnd w:id="380442642"/>
    </w:p>
    <w:p w:rsidR="00E352AA" w:rsidRPr="007E469E" w:rsidRDefault="00E352AA" w:rsidP="00316996">
      <w:pPr>
        <w:autoSpaceDE w:val="0"/>
        <w:autoSpaceDN w:val="0"/>
        <w:adjustRightInd w:val="0"/>
        <w:spacing w:after="3480" w:line="240" w:lineRule="atLeast"/>
        <w:rPr>
          <w:b/>
          <w:bCs/>
          <w:i/>
          <w:iCs/>
          <w:color w:val="000000"/>
        </w:rPr>
      </w:pPr>
    </w:p>
    <w:p w:rsidR="00E352AA" w:rsidRPr="007E469E" w:rsidRDefault="00E352AA" w:rsidP="00E352AA">
      <w:pPr>
        <w:autoSpaceDE w:val="0"/>
        <w:autoSpaceDN w:val="0"/>
        <w:adjustRightInd w:val="0"/>
        <w:spacing w:after="120" w:line="240" w:lineRule="atLeast"/>
        <w:ind w:left="1"/>
        <w:jc w:val="center"/>
        <w:rPr>
          <w:b/>
          <w:bCs/>
          <w:i/>
          <w:iCs/>
          <w:color w:val="000000"/>
        </w:rPr>
      </w:pPr>
      <w:r w:rsidRPr="007E469E">
        <w:rPr>
          <w:b/>
          <w:bCs/>
          <w:i/>
          <w:iCs/>
          <w:color w:val="000000"/>
        </w:rPr>
        <w:t>Warszawa,</w:t>
      </w:r>
      <w:r w:rsidR="002C0FB6">
        <w:rPr>
          <w:b/>
          <w:bCs/>
          <w:i/>
          <w:iCs/>
          <w:color w:val="000000"/>
        </w:rPr>
        <w:t xml:space="preserve"> </w:t>
      </w:r>
      <w:r w:rsidR="00374A08">
        <w:rPr>
          <w:b/>
          <w:bCs/>
          <w:i/>
          <w:iCs/>
          <w:color w:val="000000"/>
        </w:rPr>
        <w:t>12</w:t>
      </w:r>
      <w:bookmarkStart w:id="10" w:name="_GoBack"/>
      <w:bookmarkEnd w:id="10"/>
      <w:r w:rsidR="00537344">
        <w:rPr>
          <w:b/>
          <w:bCs/>
          <w:i/>
          <w:iCs/>
          <w:color w:val="000000"/>
        </w:rPr>
        <w:t xml:space="preserve"> marca</w:t>
      </w:r>
      <w:r w:rsidR="002C0FB6">
        <w:rPr>
          <w:b/>
          <w:bCs/>
          <w:i/>
          <w:iCs/>
          <w:color w:val="000000"/>
        </w:rPr>
        <w:t xml:space="preserve"> </w:t>
      </w:r>
      <w:r w:rsidR="00CF0209" w:rsidRPr="007E469E">
        <w:rPr>
          <w:b/>
          <w:bCs/>
          <w:i/>
          <w:iCs/>
          <w:color w:val="000000"/>
        </w:rPr>
        <w:t>201</w:t>
      </w:r>
      <w:r w:rsidR="00DB0A7D">
        <w:rPr>
          <w:b/>
          <w:bCs/>
          <w:i/>
          <w:iCs/>
          <w:color w:val="000000"/>
        </w:rPr>
        <w:t>8</w:t>
      </w:r>
      <w:r w:rsidR="00CF0209" w:rsidRPr="007E469E">
        <w:rPr>
          <w:b/>
          <w:bCs/>
          <w:i/>
          <w:iCs/>
          <w:color w:val="000000"/>
        </w:rPr>
        <w:t xml:space="preserve"> r.</w:t>
      </w:r>
    </w:p>
    <w:p w:rsidR="00E352AA" w:rsidRPr="007E469E" w:rsidRDefault="00E352AA" w:rsidP="00E352AA">
      <w:pPr>
        <w:pStyle w:val="Nagwekspisutreci"/>
      </w:pPr>
      <w:r w:rsidRPr="007E469E">
        <w:br w:type="page"/>
      </w:r>
    </w:p>
    <w:sdt>
      <w:sdtPr>
        <w:rPr>
          <w:rFonts w:asciiTheme="minorHAnsi" w:eastAsiaTheme="minorHAnsi" w:hAnsiTheme="minorHAnsi" w:cstheme="minorBidi"/>
          <w:b w:val="0"/>
          <w:bCs w:val="0"/>
          <w:color w:val="auto"/>
          <w:sz w:val="22"/>
          <w:szCs w:val="22"/>
          <w:lang w:eastAsia="en-US"/>
        </w:rPr>
        <w:id w:val="-595784443"/>
        <w:docPartObj>
          <w:docPartGallery w:val="Table of Contents"/>
          <w:docPartUnique/>
        </w:docPartObj>
      </w:sdtPr>
      <w:sdtEndPr>
        <w:rPr>
          <w:rFonts w:ascii="Arial" w:hAnsi="Arial" w:cs="Arial"/>
        </w:rPr>
      </w:sdtEndPr>
      <w:sdtContent>
        <w:p w:rsidR="00755982" w:rsidRPr="007E469E" w:rsidRDefault="00755982" w:rsidP="00E352AA">
          <w:pPr>
            <w:pStyle w:val="Nagwekspisutreci"/>
            <w:jc w:val="center"/>
            <w:rPr>
              <w:rFonts w:ascii="Arial" w:hAnsi="Arial" w:cs="Arial"/>
              <w:color w:val="auto"/>
              <w:sz w:val="32"/>
              <w:szCs w:val="32"/>
            </w:rPr>
          </w:pPr>
          <w:r w:rsidRPr="007E469E">
            <w:rPr>
              <w:rFonts w:ascii="Arial" w:hAnsi="Arial" w:cs="Arial"/>
              <w:color w:val="auto"/>
              <w:sz w:val="32"/>
              <w:szCs w:val="32"/>
            </w:rPr>
            <w:t>Spis treści</w:t>
          </w:r>
        </w:p>
        <w:p w:rsidR="00947609" w:rsidRDefault="00755982">
          <w:pPr>
            <w:pStyle w:val="Spistreci1"/>
            <w:rPr>
              <w:rFonts w:asciiTheme="minorHAnsi" w:hAnsiTheme="minorHAnsi" w:cstheme="minorBidi"/>
              <w:b w:val="0"/>
            </w:rPr>
          </w:pPr>
          <w:r w:rsidRPr="007E469E">
            <w:fldChar w:fldCharType="begin"/>
          </w:r>
          <w:r w:rsidRPr="007E469E">
            <w:instrText xml:space="preserve"> TOC \o "1-3" \h \z \u </w:instrText>
          </w:r>
          <w:r w:rsidRPr="007E469E">
            <w:fldChar w:fldCharType="separate"/>
          </w:r>
          <w:hyperlink w:anchor="_Toc508630097" w:history="1">
            <w:r w:rsidR="00947609" w:rsidRPr="000A1642">
              <w:rPr>
                <w:rStyle w:val="Hipercze"/>
              </w:rPr>
              <w:t>Wykaz skrótów</w:t>
            </w:r>
            <w:r w:rsidR="00947609">
              <w:rPr>
                <w:webHidden/>
              </w:rPr>
              <w:tab/>
            </w:r>
            <w:r w:rsidR="00947609">
              <w:rPr>
                <w:webHidden/>
              </w:rPr>
              <w:fldChar w:fldCharType="begin"/>
            </w:r>
            <w:r w:rsidR="00947609">
              <w:rPr>
                <w:webHidden/>
              </w:rPr>
              <w:instrText xml:space="preserve"> PAGEREF _Toc508630097 \h </w:instrText>
            </w:r>
            <w:r w:rsidR="00947609">
              <w:rPr>
                <w:webHidden/>
              </w:rPr>
            </w:r>
            <w:r w:rsidR="00947609">
              <w:rPr>
                <w:webHidden/>
              </w:rPr>
              <w:fldChar w:fldCharType="separate"/>
            </w:r>
            <w:r w:rsidR="00947609">
              <w:rPr>
                <w:webHidden/>
              </w:rPr>
              <w:t>4</w:t>
            </w:r>
            <w:r w:rsidR="00947609">
              <w:rPr>
                <w:webHidden/>
              </w:rPr>
              <w:fldChar w:fldCharType="end"/>
            </w:r>
          </w:hyperlink>
        </w:p>
        <w:p w:rsidR="00947609" w:rsidRDefault="00374A08">
          <w:pPr>
            <w:pStyle w:val="Spistreci1"/>
            <w:rPr>
              <w:rFonts w:asciiTheme="minorHAnsi" w:hAnsiTheme="minorHAnsi" w:cstheme="minorBidi"/>
              <w:b w:val="0"/>
            </w:rPr>
          </w:pPr>
          <w:hyperlink w:anchor="_Toc508630098" w:history="1">
            <w:r w:rsidR="00947609" w:rsidRPr="000A1642">
              <w:rPr>
                <w:rStyle w:val="Hipercze"/>
              </w:rPr>
              <w:t>1.</w:t>
            </w:r>
            <w:r w:rsidR="00947609">
              <w:rPr>
                <w:rFonts w:asciiTheme="minorHAnsi" w:hAnsiTheme="minorHAnsi" w:cstheme="minorBidi"/>
                <w:b w:val="0"/>
              </w:rPr>
              <w:tab/>
            </w:r>
            <w:r w:rsidR="00947609" w:rsidRPr="000A1642">
              <w:rPr>
                <w:rStyle w:val="Hipercze"/>
              </w:rPr>
              <w:t>Rozdział - Słowniczek pojęć</w:t>
            </w:r>
            <w:r w:rsidR="00947609">
              <w:rPr>
                <w:webHidden/>
              </w:rPr>
              <w:tab/>
            </w:r>
            <w:r w:rsidR="00947609">
              <w:rPr>
                <w:webHidden/>
              </w:rPr>
              <w:fldChar w:fldCharType="begin"/>
            </w:r>
            <w:r w:rsidR="00947609">
              <w:rPr>
                <w:webHidden/>
              </w:rPr>
              <w:instrText xml:space="preserve"> PAGEREF _Toc508630098 \h </w:instrText>
            </w:r>
            <w:r w:rsidR="00947609">
              <w:rPr>
                <w:webHidden/>
              </w:rPr>
            </w:r>
            <w:r w:rsidR="00947609">
              <w:rPr>
                <w:webHidden/>
              </w:rPr>
              <w:fldChar w:fldCharType="separate"/>
            </w:r>
            <w:r w:rsidR="00947609">
              <w:rPr>
                <w:webHidden/>
              </w:rPr>
              <w:t>5</w:t>
            </w:r>
            <w:r w:rsidR="00947609">
              <w:rPr>
                <w:webHidden/>
              </w:rPr>
              <w:fldChar w:fldCharType="end"/>
            </w:r>
          </w:hyperlink>
        </w:p>
        <w:p w:rsidR="00947609" w:rsidRDefault="00374A08">
          <w:pPr>
            <w:pStyle w:val="Spistreci1"/>
            <w:rPr>
              <w:rFonts w:asciiTheme="minorHAnsi" w:hAnsiTheme="minorHAnsi" w:cstheme="minorBidi"/>
              <w:b w:val="0"/>
            </w:rPr>
          </w:pPr>
          <w:hyperlink w:anchor="_Toc508630099" w:history="1">
            <w:r w:rsidR="00947609" w:rsidRPr="000A1642">
              <w:rPr>
                <w:rStyle w:val="Hipercze"/>
              </w:rPr>
              <w:t>2.</w:t>
            </w:r>
            <w:r w:rsidR="00947609">
              <w:rPr>
                <w:rFonts w:asciiTheme="minorHAnsi" w:hAnsiTheme="minorHAnsi" w:cstheme="minorBidi"/>
                <w:b w:val="0"/>
              </w:rPr>
              <w:tab/>
            </w:r>
            <w:r w:rsidR="00947609" w:rsidRPr="000A1642">
              <w:rPr>
                <w:rStyle w:val="Hipercze"/>
              </w:rPr>
              <w:t xml:space="preserve">Rozdział - Cel, zakres oraz obowiązywanie </w:t>
            </w:r>
            <w:r w:rsidR="00947609" w:rsidRPr="000A1642">
              <w:rPr>
                <w:rStyle w:val="Hipercze"/>
                <w:i/>
              </w:rPr>
              <w:t>Katalogu</w:t>
            </w:r>
            <w:r w:rsidR="00947609">
              <w:rPr>
                <w:webHidden/>
              </w:rPr>
              <w:tab/>
            </w:r>
            <w:r w:rsidR="00947609">
              <w:rPr>
                <w:webHidden/>
              </w:rPr>
              <w:fldChar w:fldCharType="begin"/>
            </w:r>
            <w:r w:rsidR="00947609">
              <w:rPr>
                <w:webHidden/>
              </w:rPr>
              <w:instrText xml:space="preserve"> PAGEREF _Toc508630099 \h </w:instrText>
            </w:r>
            <w:r w:rsidR="00947609">
              <w:rPr>
                <w:webHidden/>
              </w:rPr>
            </w:r>
            <w:r w:rsidR="00947609">
              <w:rPr>
                <w:webHidden/>
              </w:rPr>
              <w:fldChar w:fldCharType="separate"/>
            </w:r>
            <w:r w:rsidR="00947609">
              <w:rPr>
                <w:webHidden/>
              </w:rPr>
              <w:t>12</w:t>
            </w:r>
            <w:r w:rsidR="00947609">
              <w:rPr>
                <w:webHidden/>
              </w:rPr>
              <w:fldChar w:fldCharType="end"/>
            </w:r>
          </w:hyperlink>
        </w:p>
        <w:p w:rsidR="00947609" w:rsidRDefault="00374A08">
          <w:pPr>
            <w:pStyle w:val="Spistreci1"/>
            <w:rPr>
              <w:rFonts w:asciiTheme="minorHAnsi" w:hAnsiTheme="minorHAnsi" w:cstheme="minorBidi"/>
              <w:b w:val="0"/>
            </w:rPr>
          </w:pPr>
          <w:hyperlink w:anchor="_Toc508630100" w:history="1">
            <w:r w:rsidR="00947609" w:rsidRPr="000A1642">
              <w:rPr>
                <w:rStyle w:val="Hipercze"/>
              </w:rPr>
              <w:t>3.</w:t>
            </w:r>
            <w:r w:rsidR="00947609">
              <w:rPr>
                <w:rFonts w:asciiTheme="minorHAnsi" w:hAnsiTheme="minorHAnsi" w:cstheme="minorBidi"/>
                <w:b w:val="0"/>
              </w:rPr>
              <w:tab/>
            </w:r>
            <w:r w:rsidR="00947609" w:rsidRPr="000A1642">
              <w:rPr>
                <w:rStyle w:val="Hipercze"/>
              </w:rPr>
              <w:t>Rozdział - Wspólne warunki i procedury w zakresie kwalifikowalności wydatków</w:t>
            </w:r>
            <w:r w:rsidR="00947609">
              <w:rPr>
                <w:webHidden/>
              </w:rPr>
              <w:tab/>
            </w:r>
            <w:r w:rsidR="00947609">
              <w:rPr>
                <w:webHidden/>
              </w:rPr>
              <w:fldChar w:fldCharType="begin"/>
            </w:r>
            <w:r w:rsidR="00947609">
              <w:rPr>
                <w:webHidden/>
              </w:rPr>
              <w:instrText xml:space="preserve"> PAGEREF _Toc508630100 \h </w:instrText>
            </w:r>
            <w:r w:rsidR="00947609">
              <w:rPr>
                <w:webHidden/>
              </w:rPr>
            </w:r>
            <w:r w:rsidR="00947609">
              <w:rPr>
                <w:webHidden/>
              </w:rPr>
              <w:fldChar w:fldCharType="separate"/>
            </w:r>
            <w:r w:rsidR="00947609">
              <w:rPr>
                <w:webHidden/>
              </w:rPr>
              <w:t>14</w:t>
            </w:r>
            <w:r w:rsidR="00947609">
              <w:rPr>
                <w:webHidden/>
              </w:rPr>
              <w:fldChar w:fldCharType="end"/>
            </w:r>
          </w:hyperlink>
        </w:p>
        <w:p w:rsidR="00947609" w:rsidRDefault="00374A08">
          <w:pPr>
            <w:pStyle w:val="Spistreci2"/>
            <w:tabs>
              <w:tab w:val="left" w:pos="880"/>
              <w:tab w:val="right" w:leader="dot" w:pos="9060"/>
            </w:tabs>
            <w:rPr>
              <w:noProof/>
            </w:rPr>
          </w:pPr>
          <w:hyperlink w:anchor="_Toc508630101" w:history="1">
            <w:r w:rsidR="00947609" w:rsidRPr="000A1642">
              <w:rPr>
                <w:rStyle w:val="Hipercze"/>
                <w:rFonts w:ascii="Arial" w:hAnsi="Arial" w:cs="Arial"/>
                <w:i/>
                <w:noProof/>
              </w:rPr>
              <w:t>3.1</w:t>
            </w:r>
            <w:r w:rsidR="00947609">
              <w:rPr>
                <w:noProof/>
              </w:rPr>
              <w:tab/>
            </w:r>
            <w:r w:rsidR="00947609" w:rsidRPr="000A1642">
              <w:rPr>
                <w:rStyle w:val="Hipercze"/>
                <w:rFonts w:ascii="Arial" w:hAnsi="Arial" w:cs="Arial"/>
                <w:i/>
                <w:noProof/>
              </w:rPr>
              <w:t>Ocena kwalifikowalności wydatku.</w:t>
            </w:r>
            <w:r w:rsidR="00947609">
              <w:rPr>
                <w:noProof/>
                <w:webHidden/>
              </w:rPr>
              <w:tab/>
            </w:r>
            <w:r w:rsidR="00947609">
              <w:rPr>
                <w:noProof/>
                <w:webHidden/>
              </w:rPr>
              <w:fldChar w:fldCharType="begin"/>
            </w:r>
            <w:r w:rsidR="00947609">
              <w:rPr>
                <w:noProof/>
                <w:webHidden/>
              </w:rPr>
              <w:instrText xml:space="preserve"> PAGEREF _Toc508630101 \h </w:instrText>
            </w:r>
            <w:r w:rsidR="00947609">
              <w:rPr>
                <w:noProof/>
                <w:webHidden/>
              </w:rPr>
            </w:r>
            <w:r w:rsidR="00947609">
              <w:rPr>
                <w:noProof/>
                <w:webHidden/>
              </w:rPr>
              <w:fldChar w:fldCharType="separate"/>
            </w:r>
            <w:r w:rsidR="00947609">
              <w:rPr>
                <w:noProof/>
                <w:webHidden/>
              </w:rPr>
              <w:t>14</w:t>
            </w:r>
            <w:r w:rsidR="00947609">
              <w:rPr>
                <w:noProof/>
                <w:webHidden/>
              </w:rPr>
              <w:fldChar w:fldCharType="end"/>
            </w:r>
          </w:hyperlink>
        </w:p>
        <w:p w:rsidR="00947609" w:rsidRDefault="00374A08">
          <w:pPr>
            <w:pStyle w:val="Spistreci2"/>
            <w:tabs>
              <w:tab w:val="left" w:pos="880"/>
              <w:tab w:val="right" w:leader="dot" w:pos="9060"/>
            </w:tabs>
            <w:rPr>
              <w:noProof/>
            </w:rPr>
          </w:pPr>
          <w:hyperlink w:anchor="_Toc508630102" w:history="1">
            <w:r w:rsidR="00947609" w:rsidRPr="000A1642">
              <w:rPr>
                <w:rStyle w:val="Hipercze"/>
                <w:rFonts w:ascii="Arial" w:hAnsi="Arial" w:cs="Arial"/>
                <w:i/>
                <w:noProof/>
              </w:rPr>
              <w:t>3.2</w:t>
            </w:r>
            <w:r w:rsidR="00947609">
              <w:rPr>
                <w:noProof/>
              </w:rPr>
              <w:tab/>
            </w:r>
            <w:r w:rsidR="00947609" w:rsidRPr="000A1642">
              <w:rPr>
                <w:rStyle w:val="Hipercze"/>
                <w:rFonts w:ascii="Arial" w:hAnsi="Arial" w:cs="Arial"/>
                <w:i/>
                <w:noProof/>
              </w:rPr>
              <w:t>Wydatki niekwalifikowalne</w:t>
            </w:r>
            <w:r w:rsidR="00947609">
              <w:rPr>
                <w:noProof/>
                <w:webHidden/>
              </w:rPr>
              <w:tab/>
            </w:r>
            <w:r w:rsidR="00947609">
              <w:rPr>
                <w:noProof/>
                <w:webHidden/>
              </w:rPr>
              <w:fldChar w:fldCharType="begin"/>
            </w:r>
            <w:r w:rsidR="00947609">
              <w:rPr>
                <w:noProof/>
                <w:webHidden/>
              </w:rPr>
              <w:instrText xml:space="preserve"> PAGEREF _Toc508630102 \h </w:instrText>
            </w:r>
            <w:r w:rsidR="00947609">
              <w:rPr>
                <w:noProof/>
                <w:webHidden/>
              </w:rPr>
            </w:r>
            <w:r w:rsidR="00947609">
              <w:rPr>
                <w:noProof/>
                <w:webHidden/>
              </w:rPr>
              <w:fldChar w:fldCharType="separate"/>
            </w:r>
            <w:r w:rsidR="00947609">
              <w:rPr>
                <w:noProof/>
                <w:webHidden/>
              </w:rPr>
              <w:t>14</w:t>
            </w:r>
            <w:r w:rsidR="00947609">
              <w:rPr>
                <w:noProof/>
                <w:webHidden/>
              </w:rPr>
              <w:fldChar w:fldCharType="end"/>
            </w:r>
          </w:hyperlink>
        </w:p>
        <w:p w:rsidR="00947609" w:rsidRDefault="00374A08">
          <w:pPr>
            <w:pStyle w:val="Spistreci2"/>
            <w:tabs>
              <w:tab w:val="left" w:pos="880"/>
              <w:tab w:val="right" w:leader="dot" w:pos="9060"/>
            </w:tabs>
            <w:rPr>
              <w:noProof/>
            </w:rPr>
          </w:pPr>
          <w:hyperlink w:anchor="_Toc508630103" w:history="1">
            <w:r w:rsidR="00947609" w:rsidRPr="000A1642">
              <w:rPr>
                <w:rStyle w:val="Hipercze"/>
                <w:rFonts w:ascii="Arial" w:hAnsi="Arial" w:cs="Arial"/>
                <w:i/>
                <w:noProof/>
              </w:rPr>
              <w:t>3.3</w:t>
            </w:r>
            <w:r w:rsidR="00947609">
              <w:rPr>
                <w:noProof/>
              </w:rPr>
              <w:tab/>
            </w:r>
            <w:r w:rsidR="00947609" w:rsidRPr="000A1642">
              <w:rPr>
                <w:rStyle w:val="Hipercze"/>
                <w:rFonts w:ascii="Arial" w:hAnsi="Arial" w:cs="Arial"/>
                <w:i/>
                <w:noProof/>
              </w:rPr>
              <w:t>Zasada faktycznego poniesienia wydatku</w:t>
            </w:r>
            <w:r w:rsidR="00947609">
              <w:rPr>
                <w:noProof/>
                <w:webHidden/>
              </w:rPr>
              <w:tab/>
            </w:r>
            <w:r w:rsidR="00947609">
              <w:rPr>
                <w:noProof/>
                <w:webHidden/>
              </w:rPr>
              <w:fldChar w:fldCharType="begin"/>
            </w:r>
            <w:r w:rsidR="00947609">
              <w:rPr>
                <w:noProof/>
                <w:webHidden/>
              </w:rPr>
              <w:instrText xml:space="preserve"> PAGEREF _Toc508630103 \h </w:instrText>
            </w:r>
            <w:r w:rsidR="00947609">
              <w:rPr>
                <w:noProof/>
                <w:webHidden/>
              </w:rPr>
            </w:r>
            <w:r w:rsidR="00947609">
              <w:rPr>
                <w:noProof/>
                <w:webHidden/>
              </w:rPr>
              <w:fldChar w:fldCharType="separate"/>
            </w:r>
            <w:r w:rsidR="00947609">
              <w:rPr>
                <w:noProof/>
                <w:webHidden/>
              </w:rPr>
              <w:t>14</w:t>
            </w:r>
            <w:r w:rsidR="00947609">
              <w:rPr>
                <w:noProof/>
                <w:webHidden/>
              </w:rPr>
              <w:fldChar w:fldCharType="end"/>
            </w:r>
          </w:hyperlink>
        </w:p>
        <w:p w:rsidR="00947609" w:rsidRDefault="00374A08">
          <w:pPr>
            <w:pStyle w:val="Spistreci2"/>
            <w:tabs>
              <w:tab w:val="left" w:pos="880"/>
              <w:tab w:val="right" w:leader="dot" w:pos="9060"/>
            </w:tabs>
            <w:rPr>
              <w:noProof/>
            </w:rPr>
          </w:pPr>
          <w:hyperlink w:anchor="_Toc508630104" w:history="1">
            <w:r w:rsidR="00947609" w:rsidRPr="000A1642">
              <w:rPr>
                <w:rStyle w:val="Hipercze"/>
                <w:rFonts w:ascii="Arial" w:hAnsi="Arial" w:cs="Arial"/>
                <w:i/>
                <w:noProof/>
              </w:rPr>
              <w:t>3.4</w:t>
            </w:r>
            <w:r w:rsidR="00947609">
              <w:rPr>
                <w:noProof/>
              </w:rPr>
              <w:tab/>
            </w:r>
            <w:r w:rsidR="00947609" w:rsidRPr="000A1642">
              <w:rPr>
                <w:rStyle w:val="Hipercze"/>
                <w:rFonts w:ascii="Arial" w:hAnsi="Arial" w:cs="Arial"/>
                <w:i/>
                <w:noProof/>
              </w:rPr>
              <w:t>Warunki oraz okres kwalifikowania wydatków w projektach podlegających zasadom pomocy publicznej</w:t>
            </w:r>
            <w:r w:rsidR="00947609">
              <w:rPr>
                <w:noProof/>
                <w:webHidden/>
              </w:rPr>
              <w:tab/>
            </w:r>
            <w:r w:rsidR="00947609">
              <w:rPr>
                <w:noProof/>
                <w:webHidden/>
              </w:rPr>
              <w:fldChar w:fldCharType="begin"/>
            </w:r>
            <w:r w:rsidR="00947609">
              <w:rPr>
                <w:noProof/>
                <w:webHidden/>
              </w:rPr>
              <w:instrText xml:space="preserve"> PAGEREF _Toc508630104 \h </w:instrText>
            </w:r>
            <w:r w:rsidR="00947609">
              <w:rPr>
                <w:noProof/>
                <w:webHidden/>
              </w:rPr>
            </w:r>
            <w:r w:rsidR="00947609">
              <w:rPr>
                <w:noProof/>
                <w:webHidden/>
              </w:rPr>
              <w:fldChar w:fldCharType="separate"/>
            </w:r>
            <w:r w:rsidR="00947609">
              <w:rPr>
                <w:noProof/>
                <w:webHidden/>
              </w:rPr>
              <w:t>21</w:t>
            </w:r>
            <w:r w:rsidR="00947609">
              <w:rPr>
                <w:noProof/>
                <w:webHidden/>
              </w:rPr>
              <w:fldChar w:fldCharType="end"/>
            </w:r>
          </w:hyperlink>
        </w:p>
        <w:p w:rsidR="00947609" w:rsidRDefault="00374A08">
          <w:pPr>
            <w:pStyle w:val="Spistreci2"/>
            <w:tabs>
              <w:tab w:val="left" w:pos="880"/>
              <w:tab w:val="right" w:leader="dot" w:pos="9060"/>
            </w:tabs>
            <w:rPr>
              <w:noProof/>
            </w:rPr>
          </w:pPr>
          <w:hyperlink w:anchor="_Toc508630105" w:history="1">
            <w:r w:rsidR="00947609" w:rsidRPr="000A1642">
              <w:rPr>
                <w:rStyle w:val="Hipercze"/>
                <w:rFonts w:ascii="Arial" w:hAnsi="Arial" w:cs="Arial"/>
                <w:i/>
                <w:noProof/>
              </w:rPr>
              <w:t>3.5</w:t>
            </w:r>
            <w:r w:rsidR="00947609">
              <w:rPr>
                <w:noProof/>
              </w:rPr>
              <w:tab/>
            </w:r>
            <w:r w:rsidR="00947609" w:rsidRPr="000A1642">
              <w:rPr>
                <w:rStyle w:val="Hipercze"/>
                <w:rFonts w:ascii="Arial" w:hAnsi="Arial" w:cs="Arial"/>
                <w:i/>
                <w:noProof/>
              </w:rPr>
              <w:t>Zamówienia udzielane w projektach</w:t>
            </w:r>
            <w:r w:rsidR="00947609">
              <w:rPr>
                <w:noProof/>
                <w:webHidden/>
              </w:rPr>
              <w:tab/>
            </w:r>
            <w:r w:rsidR="00947609">
              <w:rPr>
                <w:noProof/>
                <w:webHidden/>
              </w:rPr>
              <w:fldChar w:fldCharType="begin"/>
            </w:r>
            <w:r w:rsidR="00947609">
              <w:rPr>
                <w:noProof/>
                <w:webHidden/>
              </w:rPr>
              <w:instrText xml:space="preserve"> PAGEREF _Toc508630105 \h </w:instrText>
            </w:r>
            <w:r w:rsidR="00947609">
              <w:rPr>
                <w:noProof/>
                <w:webHidden/>
              </w:rPr>
            </w:r>
            <w:r w:rsidR="00947609">
              <w:rPr>
                <w:noProof/>
                <w:webHidden/>
              </w:rPr>
              <w:fldChar w:fldCharType="separate"/>
            </w:r>
            <w:r w:rsidR="00947609">
              <w:rPr>
                <w:noProof/>
                <w:webHidden/>
              </w:rPr>
              <w:t>25</w:t>
            </w:r>
            <w:r w:rsidR="00947609">
              <w:rPr>
                <w:noProof/>
                <w:webHidden/>
              </w:rPr>
              <w:fldChar w:fldCharType="end"/>
            </w:r>
          </w:hyperlink>
        </w:p>
        <w:p w:rsidR="00947609" w:rsidRDefault="00374A08">
          <w:pPr>
            <w:pStyle w:val="Spistreci2"/>
            <w:tabs>
              <w:tab w:val="left" w:pos="880"/>
              <w:tab w:val="right" w:leader="dot" w:pos="9060"/>
            </w:tabs>
            <w:rPr>
              <w:noProof/>
            </w:rPr>
          </w:pPr>
          <w:hyperlink w:anchor="_Toc508630106" w:history="1">
            <w:r w:rsidR="00947609" w:rsidRPr="000A1642">
              <w:rPr>
                <w:rStyle w:val="Hipercze"/>
                <w:rFonts w:ascii="Arial" w:hAnsi="Arial" w:cs="Arial"/>
                <w:i/>
                <w:noProof/>
              </w:rPr>
              <w:t>3.6</w:t>
            </w:r>
            <w:r w:rsidR="00947609">
              <w:rPr>
                <w:noProof/>
              </w:rPr>
              <w:tab/>
            </w:r>
            <w:r w:rsidR="00947609" w:rsidRPr="000A1642">
              <w:rPr>
                <w:rStyle w:val="Hipercze"/>
                <w:rFonts w:ascii="Arial" w:hAnsi="Arial" w:cs="Arial"/>
                <w:i/>
                <w:noProof/>
              </w:rPr>
              <w:t>Leasing</w:t>
            </w:r>
            <w:r w:rsidR="00947609">
              <w:rPr>
                <w:noProof/>
                <w:webHidden/>
              </w:rPr>
              <w:tab/>
            </w:r>
            <w:r w:rsidR="00947609">
              <w:rPr>
                <w:noProof/>
                <w:webHidden/>
              </w:rPr>
              <w:fldChar w:fldCharType="begin"/>
            </w:r>
            <w:r w:rsidR="00947609">
              <w:rPr>
                <w:noProof/>
                <w:webHidden/>
              </w:rPr>
              <w:instrText xml:space="preserve"> PAGEREF _Toc508630106 \h </w:instrText>
            </w:r>
            <w:r w:rsidR="00947609">
              <w:rPr>
                <w:noProof/>
                <w:webHidden/>
              </w:rPr>
            </w:r>
            <w:r w:rsidR="00947609">
              <w:rPr>
                <w:noProof/>
                <w:webHidden/>
              </w:rPr>
              <w:fldChar w:fldCharType="separate"/>
            </w:r>
            <w:r w:rsidR="00947609">
              <w:rPr>
                <w:noProof/>
                <w:webHidden/>
              </w:rPr>
              <w:t>25</w:t>
            </w:r>
            <w:r w:rsidR="00947609">
              <w:rPr>
                <w:noProof/>
                <w:webHidden/>
              </w:rPr>
              <w:fldChar w:fldCharType="end"/>
            </w:r>
          </w:hyperlink>
        </w:p>
        <w:p w:rsidR="00947609" w:rsidRDefault="00374A08">
          <w:pPr>
            <w:pStyle w:val="Spistreci2"/>
            <w:tabs>
              <w:tab w:val="left" w:pos="880"/>
              <w:tab w:val="right" w:leader="dot" w:pos="9060"/>
            </w:tabs>
            <w:rPr>
              <w:noProof/>
            </w:rPr>
          </w:pPr>
          <w:hyperlink w:anchor="_Toc508630107" w:history="1">
            <w:r w:rsidR="00947609" w:rsidRPr="000A1642">
              <w:rPr>
                <w:rStyle w:val="Hipercze"/>
                <w:rFonts w:ascii="Arial" w:hAnsi="Arial" w:cs="Arial"/>
                <w:i/>
                <w:noProof/>
              </w:rPr>
              <w:t>3.7</w:t>
            </w:r>
            <w:r w:rsidR="00947609">
              <w:rPr>
                <w:noProof/>
              </w:rPr>
              <w:tab/>
            </w:r>
            <w:r w:rsidR="00947609" w:rsidRPr="000A1642">
              <w:rPr>
                <w:rStyle w:val="Hipercze"/>
                <w:rFonts w:ascii="Arial" w:hAnsi="Arial" w:cs="Arial"/>
                <w:i/>
                <w:noProof/>
              </w:rPr>
              <w:t>Projekty generujące dochód po zakończeniu realizacji projektów</w:t>
            </w:r>
            <w:r w:rsidR="00947609">
              <w:rPr>
                <w:noProof/>
                <w:webHidden/>
              </w:rPr>
              <w:tab/>
            </w:r>
            <w:r w:rsidR="00947609">
              <w:rPr>
                <w:noProof/>
                <w:webHidden/>
              </w:rPr>
              <w:fldChar w:fldCharType="begin"/>
            </w:r>
            <w:r w:rsidR="00947609">
              <w:rPr>
                <w:noProof/>
                <w:webHidden/>
              </w:rPr>
              <w:instrText xml:space="preserve"> PAGEREF _Toc508630107 \h </w:instrText>
            </w:r>
            <w:r w:rsidR="00947609">
              <w:rPr>
                <w:noProof/>
                <w:webHidden/>
              </w:rPr>
            </w:r>
            <w:r w:rsidR="00947609">
              <w:rPr>
                <w:noProof/>
                <w:webHidden/>
              </w:rPr>
              <w:fldChar w:fldCharType="separate"/>
            </w:r>
            <w:r w:rsidR="00947609">
              <w:rPr>
                <w:noProof/>
                <w:webHidden/>
              </w:rPr>
              <w:t>26</w:t>
            </w:r>
            <w:r w:rsidR="00947609">
              <w:rPr>
                <w:noProof/>
                <w:webHidden/>
              </w:rPr>
              <w:fldChar w:fldCharType="end"/>
            </w:r>
          </w:hyperlink>
        </w:p>
        <w:p w:rsidR="00947609" w:rsidRDefault="00374A08">
          <w:pPr>
            <w:pStyle w:val="Spistreci2"/>
            <w:tabs>
              <w:tab w:val="left" w:pos="880"/>
              <w:tab w:val="right" w:leader="dot" w:pos="9060"/>
            </w:tabs>
            <w:rPr>
              <w:noProof/>
            </w:rPr>
          </w:pPr>
          <w:hyperlink w:anchor="_Toc508630108" w:history="1">
            <w:r w:rsidR="00947609" w:rsidRPr="000A1642">
              <w:rPr>
                <w:rStyle w:val="Hipercze"/>
                <w:rFonts w:ascii="Arial" w:hAnsi="Arial" w:cs="Arial"/>
                <w:i/>
                <w:noProof/>
              </w:rPr>
              <w:t>3.8</w:t>
            </w:r>
            <w:r w:rsidR="00947609">
              <w:rPr>
                <w:noProof/>
              </w:rPr>
              <w:tab/>
            </w:r>
            <w:r w:rsidR="00947609" w:rsidRPr="000A1642">
              <w:rPr>
                <w:rStyle w:val="Hipercze"/>
                <w:rFonts w:ascii="Arial" w:hAnsi="Arial" w:cs="Arial"/>
                <w:i/>
                <w:noProof/>
              </w:rPr>
              <w:t>Kwalifikowalność podatku VAT i innych podatków, opłat i obciążeń</w:t>
            </w:r>
            <w:r w:rsidR="00947609">
              <w:rPr>
                <w:noProof/>
                <w:webHidden/>
              </w:rPr>
              <w:tab/>
            </w:r>
            <w:r w:rsidR="00947609">
              <w:rPr>
                <w:noProof/>
                <w:webHidden/>
              </w:rPr>
              <w:fldChar w:fldCharType="begin"/>
            </w:r>
            <w:r w:rsidR="00947609">
              <w:rPr>
                <w:noProof/>
                <w:webHidden/>
              </w:rPr>
              <w:instrText xml:space="preserve"> PAGEREF _Toc508630108 \h </w:instrText>
            </w:r>
            <w:r w:rsidR="00947609">
              <w:rPr>
                <w:noProof/>
                <w:webHidden/>
              </w:rPr>
            </w:r>
            <w:r w:rsidR="00947609">
              <w:rPr>
                <w:noProof/>
                <w:webHidden/>
              </w:rPr>
              <w:fldChar w:fldCharType="separate"/>
            </w:r>
            <w:r w:rsidR="00947609">
              <w:rPr>
                <w:noProof/>
                <w:webHidden/>
              </w:rPr>
              <w:t>26</w:t>
            </w:r>
            <w:r w:rsidR="00947609">
              <w:rPr>
                <w:noProof/>
                <w:webHidden/>
              </w:rPr>
              <w:fldChar w:fldCharType="end"/>
            </w:r>
          </w:hyperlink>
        </w:p>
        <w:p w:rsidR="00947609" w:rsidRDefault="00374A08">
          <w:pPr>
            <w:pStyle w:val="Spistreci2"/>
            <w:tabs>
              <w:tab w:val="left" w:pos="880"/>
              <w:tab w:val="right" w:leader="dot" w:pos="9060"/>
            </w:tabs>
            <w:rPr>
              <w:noProof/>
            </w:rPr>
          </w:pPr>
          <w:hyperlink w:anchor="_Toc508630109" w:history="1">
            <w:r w:rsidR="00947609" w:rsidRPr="000A1642">
              <w:rPr>
                <w:rStyle w:val="Hipercze"/>
                <w:rFonts w:ascii="Arial" w:hAnsi="Arial" w:cs="Arial"/>
                <w:i/>
                <w:noProof/>
              </w:rPr>
              <w:t>3.9</w:t>
            </w:r>
            <w:r w:rsidR="00947609">
              <w:rPr>
                <w:noProof/>
              </w:rPr>
              <w:tab/>
            </w:r>
            <w:r w:rsidR="00947609" w:rsidRPr="000A1642">
              <w:rPr>
                <w:rStyle w:val="Hipercze"/>
                <w:rFonts w:ascii="Arial" w:hAnsi="Arial" w:cs="Arial"/>
                <w:i/>
                <w:noProof/>
              </w:rPr>
              <w:t>Zmiany projektów</w:t>
            </w:r>
            <w:r w:rsidR="00947609">
              <w:rPr>
                <w:noProof/>
                <w:webHidden/>
              </w:rPr>
              <w:tab/>
            </w:r>
            <w:r w:rsidR="00947609">
              <w:rPr>
                <w:noProof/>
                <w:webHidden/>
              </w:rPr>
              <w:fldChar w:fldCharType="begin"/>
            </w:r>
            <w:r w:rsidR="00947609">
              <w:rPr>
                <w:noProof/>
                <w:webHidden/>
              </w:rPr>
              <w:instrText xml:space="preserve"> PAGEREF _Toc508630109 \h </w:instrText>
            </w:r>
            <w:r w:rsidR="00947609">
              <w:rPr>
                <w:noProof/>
                <w:webHidden/>
              </w:rPr>
            </w:r>
            <w:r w:rsidR="00947609">
              <w:rPr>
                <w:noProof/>
                <w:webHidden/>
              </w:rPr>
              <w:fldChar w:fldCharType="separate"/>
            </w:r>
            <w:r w:rsidR="00947609">
              <w:rPr>
                <w:noProof/>
                <w:webHidden/>
              </w:rPr>
              <w:t>26</w:t>
            </w:r>
            <w:r w:rsidR="00947609">
              <w:rPr>
                <w:noProof/>
                <w:webHidden/>
              </w:rPr>
              <w:fldChar w:fldCharType="end"/>
            </w:r>
          </w:hyperlink>
        </w:p>
        <w:p w:rsidR="00947609" w:rsidRDefault="00374A08">
          <w:pPr>
            <w:pStyle w:val="Spistreci2"/>
            <w:tabs>
              <w:tab w:val="left" w:pos="880"/>
              <w:tab w:val="right" w:leader="dot" w:pos="9060"/>
            </w:tabs>
            <w:rPr>
              <w:noProof/>
            </w:rPr>
          </w:pPr>
          <w:hyperlink w:anchor="_Toc508630110" w:history="1">
            <w:r w:rsidR="00947609" w:rsidRPr="000A1642">
              <w:rPr>
                <w:rStyle w:val="Hipercze"/>
                <w:rFonts w:ascii="Arial" w:hAnsi="Arial" w:cs="Arial"/>
                <w:i/>
                <w:noProof/>
              </w:rPr>
              <w:t>3.10</w:t>
            </w:r>
            <w:r w:rsidR="00947609">
              <w:rPr>
                <w:noProof/>
              </w:rPr>
              <w:tab/>
            </w:r>
            <w:r w:rsidR="00947609" w:rsidRPr="000A1642">
              <w:rPr>
                <w:rStyle w:val="Hipercze"/>
                <w:rFonts w:ascii="Arial" w:hAnsi="Arial" w:cs="Arial"/>
                <w:i/>
                <w:noProof/>
              </w:rPr>
              <w:t>Duży projekt – zasady identyfikacji</w:t>
            </w:r>
            <w:r w:rsidR="00947609">
              <w:rPr>
                <w:noProof/>
                <w:webHidden/>
              </w:rPr>
              <w:tab/>
            </w:r>
            <w:r w:rsidR="00947609">
              <w:rPr>
                <w:noProof/>
                <w:webHidden/>
              </w:rPr>
              <w:fldChar w:fldCharType="begin"/>
            </w:r>
            <w:r w:rsidR="00947609">
              <w:rPr>
                <w:noProof/>
                <w:webHidden/>
              </w:rPr>
              <w:instrText xml:space="preserve"> PAGEREF _Toc508630110 \h </w:instrText>
            </w:r>
            <w:r w:rsidR="00947609">
              <w:rPr>
                <w:noProof/>
                <w:webHidden/>
              </w:rPr>
            </w:r>
            <w:r w:rsidR="00947609">
              <w:rPr>
                <w:noProof/>
                <w:webHidden/>
              </w:rPr>
              <w:fldChar w:fldCharType="separate"/>
            </w:r>
            <w:r w:rsidR="00947609">
              <w:rPr>
                <w:noProof/>
                <w:webHidden/>
              </w:rPr>
              <w:t>26</w:t>
            </w:r>
            <w:r w:rsidR="00947609">
              <w:rPr>
                <w:noProof/>
                <w:webHidden/>
              </w:rPr>
              <w:fldChar w:fldCharType="end"/>
            </w:r>
          </w:hyperlink>
        </w:p>
        <w:p w:rsidR="00947609" w:rsidRDefault="00374A08">
          <w:pPr>
            <w:pStyle w:val="Spistreci2"/>
            <w:tabs>
              <w:tab w:val="left" w:pos="880"/>
              <w:tab w:val="right" w:leader="dot" w:pos="9060"/>
            </w:tabs>
            <w:rPr>
              <w:noProof/>
            </w:rPr>
          </w:pPr>
          <w:hyperlink w:anchor="_Toc508630111" w:history="1">
            <w:r w:rsidR="00947609" w:rsidRPr="000A1642">
              <w:rPr>
                <w:rStyle w:val="Hipercze"/>
                <w:rFonts w:ascii="Arial" w:hAnsi="Arial" w:cs="Arial"/>
                <w:i/>
                <w:noProof/>
              </w:rPr>
              <w:t>3.11</w:t>
            </w:r>
            <w:r w:rsidR="00947609">
              <w:rPr>
                <w:noProof/>
              </w:rPr>
              <w:tab/>
            </w:r>
            <w:r w:rsidR="00947609" w:rsidRPr="000A1642">
              <w:rPr>
                <w:rStyle w:val="Hipercze"/>
                <w:rFonts w:ascii="Arial" w:hAnsi="Arial" w:cs="Arial"/>
                <w:i/>
                <w:noProof/>
              </w:rPr>
              <w:t>Podmiot dokonujący wydatków kwalifikowalnych</w:t>
            </w:r>
            <w:r w:rsidR="00947609">
              <w:rPr>
                <w:noProof/>
                <w:webHidden/>
              </w:rPr>
              <w:tab/>
            </w:r>
            <w:r w:rsidR="00947609">
              <w:rPr>
                <w:noProof/>
                <w:webHidden/>
              </w:rPr>
              <w:fldChar w:fldCharType="begin"/>
            </w:r>
            <w:r w:rsidR="00947609">
              <w:rPr>
                <w:noProof/>
                <w:webHidden/>
              </w:rPr>
              <w:instrText xml:space="preserve"> PAGEREF _Toc508630111 \h </w:instrText>
            </w:r>
            <w:r w:rsidR="00947609">
              <w:rPr>
                <w:noProof/>
                <w:webHidden/>
              </w:rPr>
            </w:r>
            <w:r w:rsidR="00947609">
              <w:rPr>
                <w:noProof/>
                <w:webHidden/>
              </w:rPr>
              <w:fldChar w:fldCharType="separate"/>
            </w:r>
            <w:r w:rsidR="00947609">
              <w:rPr>
                <w:noProof/>
                <w:webHidden/>
              </w:rPr>
              <w:t>27</w:t>
            </w:r>
            <w:r w:rsidR="00947609">
              <w:rPr>
                <w:noProof/>
                <w:webHidden/>
              </w:rPr>
              <w:fldChar w:fldCharType="end"/>
            </w:r>
          </w:hyperlink>
        </w:p>
        <w:p w:rsidR="00947609" w:rsidRDefault="00374A08">
          <w:pPr>
            <w:pStyle w:val="Spistreci2"/>
            <w:tabs>
              <w:tab w:val="left" w:pos="880"/>
              <w:tab w:val="right" w:leader="dot" w:pos="9060"/>
            </w:tabs>
            <w:rPr>
              <w:noProof/>
            </w:rPr>
          </w:pPr>
          <w:hyperlink w:anchor="_Toc508630112" w:history="1">
            <w:r w:rsidR="00947609" w:rsidRPr="000A1642">
              <w:rPr>
                <w:rStyle w:val="Hipercze"/>
                <w:rFonts w:ascii="Arial" w:hAnsi="Arial" w:cs="Arial"/>
                <w:i/>
                <w:noProof/>
              </w:rPr>
              <w:t>3.12</w:t>
            </w:r>
            <w:r w:rsidR="00947609">
              <w:rPr>
                <w:noProof/>
              </w:rPr>
              <w:tab/>
            </w:r>
            <w:r w:rsidR="00947609" w:rsidRPr="000A1642">
              <w:rPr>
                <w:rStyle w:val="Hipercze"/>
                <w:rFonts w:ascii="Arial" w:hAnsi="Arial" w:cs="Arial"/>
                <w:i/>
                <w:noProof/>
              </w:rPr>
              <w:t>Podmiot na rzecz którego ponoszone są wydatki kwalifikowalne</w:t>
            </w:r>
            <w:r w:rsidR="00947609">
              <w:rPr>
                <w:noProof/>
                <w:webHidden/>
              </w:rPr>
              <w:tab/>
            </w:r>
            <w:r w:rsidR="00947609">
              <w:rPr>
                <w:noProof/>
                <w:webHidden/>
              </w:rPr>
              <w:fldChar w:fldCharType="begin"/>
            </w:r>
            <w:r w:rsidR="00947609">
              <w:rPr>
                <w:noProof/>
                <w:webHidden/>
              </w:rPr>
              <w:instrText xml:space="preserve"> PAGEREF _Toc508630112 \h </w:instrText>
            </w:r>
            <w:r w:rsidR="00947609">
              <w:rPr>
                <w:noProof/>
                <w:webHidden/>
              </w:rPr>
            </w:r>
            <w:r w:rsidR="00947609">
              <w:rPr>
                <w:noProof/>
                <w:webHidden/>
              </w:rPr>
              <w:fldChar w:fldCharType="separate"/>
            </w:r>
            <w:r w:rsidR="00947609">
              <w:rPr>
                <w:noProof/>
                <w:webHidden/>
              </w:rPr>
              <w:t>28</w:t>
            </w:r>
            <w:r w:rsidR="00947609">
              <w:rPr>
                <w:noProof/>
                <w:webHidden/>
              </w:rPr>
              <w:fldChar w:fldCharType="end"/>
            </w:r>
          </w:hyperlink>
        </w:p>
        <w:p w:rsidR="00947609" w:rsidRDefault="00374A08">
          <w:pPr>
            <w:pStyle w:val="Spistreci2"/>
            <w:tabs>
              <w:tab w:val="left" w:pos="880"/>
              <w:tab w:val="right" w:leader="dot" w:pos="9060"/>
            </w:tabs>
            <w:rPr>
              <w:noProof/>
            </w:rPr>
          </w:pPr>
          <w:hyperlink w:anchor="_Toc508630113" w:history="1">
            <w:r w:rsidR="00947609" w:rsidRPr="000A1642">
              <w:rPr>
                <w:rStyle w:val="Hipercze"/>
                <w:rFonts w:ascii="Arial" w:hAnsi="Arial" w:cs="Arial"/>
                <w:i/>
                <w:noProof/>
              </w:rPr>
              <w:t>3.13</w:t>
            </w:r>
            <w:r w:rsidR="00947609">
              <w:rPr>
                <w:noProof/>
              </w:rPr>
              <w:tab/>
            </w:r>
            <w:r w:rsidR="00947609" w:rsidRPr="000A1642">
              <w:rPr>
                <w:rStyle w:val="Hipercze"/>
                <w:rFonts w:ascii="Arial" w:hAnsi="Arial" w:cs="Arial"/>
                <w:i/>
                <w:noProof/>
              </w:rPr>
              <w:t>Zasady kwalifikowalności wydatków w ramach instrumentów finansowych</w:t>
            </w:r>
            <w:r w:rsidR="00947609">
              <w:rPr>
                <w:noProof/>
                <w:webHidden/>
              </w:rPr>
              <w:tab/>
            </w:r>
            <w:r w:rsidR="00947609">
              <w:rPr>
                <w:noProof/>
                <w:webHidden/>
              </w:rPr>
              <w:fldChar w:fldCharType="begin"/>
            </w:r>
            <w:r w:rsidR="00947609">
              <w:rPr>
                <w:noProof/>
                <w:webHidden/>
              </w:rPr>
              <w:instrText xml:space="preserve"> PAGEREF _Toc508630113 \h </w:instrText>
            </w:r>
            <w:r w:rsidR="00947609">
              <w:rPr>
                <w:noProof/>
                <w:webHidden/>
              </w:rPr>
            </w:r>
            <w:r w:rsidR="00947609">
              <w:rPr>
                <w:noProof/>
                <w:webHidden/>
              </w:rPr>
              <w:fldChar w:fldCharType="separate"/>
            </w:r>
            <w:r w:rsidR="00947609">
              <w:rPr>
                <w:noProof/>
                <w:webHidden/>
              </w:rPr>
              <w:t>30</w:t>
            </w:r>
            <w:r w:rsidR="00947609">
              <w:rPr>
                <w:noProof/>
                <w:webHidden/>
              </w:rPr>
              <w:fldChar w:fldCharType="end"/>
            </w:r>
          </w:hyperlink>
        </w:p>
        <w:p w:rsidR="00947609" w:rsidRDefault="00374A08">
          <w:pPr>
            <w:pStyle w:val="Spistreci1"/>
            <w:rPr>
              <w:rFonts w:asciiTheme="minorHAnsi" w:hAnsiTheme="minorHAnsi" w:cstheme="minorBidi"/>
              <w:b w:val="0"/>
            </w:rPr>
          </w:pPr>
          <w:hyperlink w:anchor="_Toc508630114" w:history="1">
            <w:r w:rsidR="00947609" w:rsidRPr="000A1642">
              <w:rPr>
                <w:rStyle w:val="Hipercze"/>
              </w:rPr>
              <w:t>4.</w:t>
            </w:r>
            <w:r w:rsidR="00947609">
              <w:rPr>
                <w:rFonts w:asciiTheme="minorHAnsi" w:hAnsiTheme="minorHAnsi" w:cstheme="minorBidi"/>
                <w:b w:val="0"/>
              </w:rPr>
              <w:tab/>
            </w:r>
            <w:r w:rsidR="00947609" w:rsidRPr="000A1642">
              <w:rPr>
                <w:rStyle w:val="Hipercze"/>
              </w:rPr>
              <w:t>Rozdział – Oś priorytetowa I. Powszechny dostęp do szybkiego internetu – szczegółowe zasady kwalifikowalności wydatków w ramach EFRR</w:t>
            </w:r>
            <w:r w:rsidR="00947609">
              <w:rPr>
                <w:webHidden/>
              </w:rPr>
              <w:tab/>
            </w:r>
            <w:r w:rsidR="00947609">
              <w:rPr>
                <w:webHidden/>
              </w:rPr>
              <w:fldChar w:fldCharType="begin"/>
            </w:r>
            <w:r w:rsidR="00947609">
              <w:rPr>
                <w:webHidden/>
              </w:rPr>
              <w:instrText xml:space="preserve"> PAGEREF _Toc508630114 \h </w:instrText>
            </w:r>
            <w:r w:rsidR="00947609">
              <w:rPr>
                <w:webHidden/>
              </w:rPr>
            </w:r>
            <w:r w:rsidR="00947609">
              <w:rPr>
                <w:webHidden/>
              </w:rPr>
              <w:fldChar w:fldCharType="separate"/>
            </w:r>
            <w:r w:rsidR="00947609">
              <w:rPr>
                <w:webHidden/>
              </w:rPr>
              <w:t>31</w:t>
            </w:r>
            <w:r w:rsidR="00947609">
              <w:rPr>
                <w:webHidden/>
              </w:rPr>
              <w:fldChar w:fldCharType="end"/>
            </w:r>
          </w:hyperlink>
        </w:p>
        <w:p w:rsidR="00947609" w:rsidRDefault="00374A08">
          <w:pPr>
            <w:pStyle w:val="Spistreci2"/>
            <w:tabs>
              <w:tab w:val="left" w:pos="880"/>
              <w:tab w:val="right" w:leader="dot" w:pos="9060"/>
            </w:tabs>
            <w:rPr>
              <w:noProof/>
            </w:rPr>
          </w:pPr>
          <w:hyperlink w:anchor="_Toc508630115" w:history="1">
            <w:r w:rsidR="00947609" w:rsidRPr="000A1642">
              <w:rPr>
                <w:rStyle w:val="Hipercze"/>
                <w:rFonts w:ascii="Arial" w:hAnsi="Arial" w:cs="Arial"/>
                <w:i/>
                <w:noProof/>
              </w:rPr>
              <w:t>4.1</w:t>
            </w:r>
            <w:r w:rsidR="00947609">
              <w:rPr>
                <w:noProof/>
              </w:rPr>
              <w:tab/>
            </w:r>
            <w:r w:rsidR="00947609" w:rsidRPr="000A1642">
              <w:rPr>
                <w:rStyle w:val="Hipercze"/>
                <w:rFonts w:ascii="Arial" w:hAnsi="Arial" w:cs="Arial"/>
                <w:i/>
                <w:noProof/>
              </w:rPr>
              <w:t>Katalog wydatków kwalifikowalnych w ramach Działania 1.1 „Wyeliminowanie terytorialnych różnic w możliwości dostępu do szerokopasmowego internetu o wysokich przepustowościach” dla naboru nr POPC.01.01.00-IP.01-00-001/15</w:t>
            </w:r>
            <w:r w:rsidR="00947609">
              <w:rPr>
                <w:noProof/>
                <w:webHidden/>
              </w:rPr>
              <w:tab/>
            </w:r>
            <w:r w:rsidR="00947609">
              <w:rPr>
                <w:noProof/>
                <w:webHidden/>
              </w:rPr>
              <w:fldChar w:fldCharType="begin"/>
            </w:r>
            <w:r w:rsidR="00947609">
              <w:rPr>
                <w:noProof/>
                <w:webHidden/>
              </w:rPr>
              <w:instrText xml:space="preserve"> PAGEREF _Toc508630115 \h </w:instrText>
            </w:r>
            <w:r w:rsidR="00947609">
              <w:rPr>
                <w:noProof/>
                <w:webHidden/>
              </w:rPr>
            </w:r>
            <w:r w:rsidR="00947609">
              <w:rPr>
                <w:noProof/>
                <w:webHidden/>
              </w:rPr>
              <w:fldChar w:fldCharType="separate"/>
            </w:r>
            <w:r w:rsidR="00947609">
              <w:rPr>
                <w:noProof/>
                <w:webHidden/>
              </w:rPr>
              <w:t>31</w:t>
            </w:r>
            <w:r w:rsidR="00947609">
              <w:rPr>
                <w:noProof/>
                <w:webHidden/>
              </w:rPr>
              <w:fldChar w:fldCharType="end"/>
            </w:r>
          </w:hyperlink>
        </w:p>
        <w:p w:rsidR="00947609" w:rsidRDefault="00374A08">
          <w:pPr>
            <w:pStyle w:val="Spistreci2"/>
            <w:tabs>
              <w:tab w:val="left" w:pos="1100"/>
              <w:tab w:val="right" w:leader="dot" w:pos="9060"/>
            </w:tabs>
            <w:rPr>
              <w:noProof/>
            </w:rPr>
          </w:pPr>
          <w:hyperlink w:anchor="_Toc508630116" w:history="1">
            <w:r w:rsidR="00947609" w:rsidRPr="000A1642">
              <w:rPr>
                <w:rStyle w:val="Hipercze"/>
                <w:rFonts w:ascii="Arial" w:hAnsi="Arial" w:cs="Arial"/>
                <w:i/>
                <w:noProof/>
              </w:rPr>
              <w:t>4.1.1</w:t>
            </w:r>
            <w:r w:rsidR="00947609">
              <w:rPr>
                <w:noProof/>
              </w:rPr>
              <w:tab/>
            </w:r>
            <w:r w:rsidR="00947609" w:rsidRPr="000A1642">
              <w:rPr>
                <w:rStyle w:val="Hipercze"/>
                <w:rFonts w:ascii="Arial" w:hAnsi="Arial" w:cs="Arial"/>
                <w:i/>
                <w:noProof/>
              </w:rPr>
              <w:t>Wydatki kwalifikowalne</w:t>
            </w:r>
            <w:r w:rsidR="00947609">
              <w:rPr>
                <w:noProof/>
                <w:webHidden/>
              </w:rPr>
              <w:tab/>
            </w:r>
            <w:r w:rsidR="00947609">
              <w:rPr>
                <w:noProof/>
                <w:webHidden/>
              </w:rPr>
              <w:fldChar w:fldCharType="begin"/>
            </w:r>
            <w:r w:rsidR="00947609">
              <w:rPr>
                <w:noProof/>
                <w:webHidden/>
              </w:rPr>
              <w:instrText xml:space="preserve"> PAGEREF _Toc508630116 \h </w:instrText>
            </w:r>
            <w:r w:rsidR="00947609">
              <w:rPr>
                <w:noProof/>
                <w:webHidden/>
              </w:rPr>
            </w:r>
            <w:r w:rsidR="00947609">
              <w:rPr>
                <w:noProof/>
                <w:webHidden/>
              </w:rPr>
              <w:fldChar w:fldCharType="separate"/>
            </w:r>
            <w:r w:rsidR="00947609">
              <w:rPr>
                <w:noProof/>
                <w:webHidden/>
              </w:rPr>
              <w:t>31</w:t>
            </w:r>
            <w:r w:rsidR="00947609">
              <w:rPr>
                <w:noProof/>
                <w:webHidden/>
              </w:rPr>
              <w:fldChar w:fldCharType="end"/>
            </w:r>
          </w:hyperlink>
        </w:p>
        <w:p w:rsidR="00947609" w:rsidRDefault="00374A08">
          <w:pPr>
            <w:pStyle w:val="Spistreci3"/>
            <w:tabs>
              <w:tab w:val="left" w:pos="1320"/>
              <w:tab w:val="right" w:leader="dot" w:pos="9060"/>
            </w:tabs>
            <w:rPr>
              <w:noProof/>
            </w:rPr>
          </w:pPr>
          <w:hyperlink w:anchor="_Toc508630117" w:history="1">
            <w:r w:rsidR="00947609" w:rsidRPr="000A1642">
              <w:rPr>
                <w:rStyle w:val="Hipercze"/>
                <w:rFonts w:ascii="Arial" w:eastAsiaTheme="majorEastAsia" w:hAnsi="Arial" w:cs="Arial"/>
                <w:bCs/>
                <w:i/>
                <w:noProof/>
              </w:rPr>
              <w:t>4.1.2</w:t>
            </w:r>
            <w:r w:rsidR="00947609">
              <w:rPr>
                <w:noProof/>
              </w:rPr>
              <w:tab/>
            </w:r>
            <w:r w:rsidR="00947609" w:rsidRPr="000A1642">
              <w:rPr>
                <w:rStyle w:val="Hipercze"/>
                <w:rFonts w:ascii="Arial" w:eastAsiaTheme="majorEastAsia" w:hAnsi="Arial" w:cs="Arial"/>
                <w:bCs/>
                <w:i/>
                <w:noProof/>
              </w:rPr>
              <w:t>Kwalifikowalność wydatków w ramach pomocy na infrastrukturę szerokopasmową</w:t>
            </w:r>
            <w:r w:rsidR="00947609">
              <w:rPr>
                <w:noProof/>
                <w:webHidden/>
              </w:rPr>
              <w:tab/>
            </w:r>
            <w:r w:rsidR="00947609">
              <w:rPr>
                <w:noProof/>
                <w:webHidden/>
              </w:rPr>
              <w:fldChar w:fldCharType="begin"/>
            </w:r>
            <w:r w:rsidR="00947609">
              <w:rPr>
                <w:noProof/>
                <w:webHidden/>
              </w:rPr>
              <w:instrText xml:space="preserve"> PAGEREF _Toc508630117 \h </w:instrText>
            </w:r>
            <w:r w:rsidR="00947609">
              <w:rPr>
                <w:noProof/>
                <w:webHidden/>
              </w:rPr>
            </w:r>
            <w:r w:rsidR="00947609">
              <w:rPr>
                <w:noProof/>
                <w:webHidden/>
              </w:rPr>
              <w:fldChar w:fldCharType="separate"/>
            </w:r>
            <w:r w:rsidR="00947609">
              <w:rPr>
                <w:noProof/>
                <w:webHidden/>
              </w:rPr>
              <w:t>33</w:t>
            </w:r>
            <w:r w:rsidR="00947609">
              <w:rPr>
                <w:noProof/>
                <w:webHidden/>
              </w:rPr>
              <w:fldChar w:fldCharType="end"/>
            </w:r>
          </w:hyperlink>
        </w:p>
        <w:p w:rsidR="00947609" w:rsidRDefault="00374A08">
          <w:pPr>
            <w:pStyle w:val="Spistreci3"/>
            <w:tabs>
              <w:tab w:val="left" w:pos="1320"/>
              <w:tab w:val="right" w:leader="dot" w:pos="9060"/>
            </w:tabs>
            <w:rPr>
              <w:noProof/>
            </w:rPr>
          </w:pPr>
          <w:hyperlink w:anchor="_Toc508630118" w:history="1">
            <w:r w:rsidR="00947609" w:rsidRPr="000A1642">
              <w:rPr>
                <w:rStyle w:val="Hipercze"/>
                <w:rFonts w:ascii="Arial" w:eastAsiaTheme="majorEastAsia" w:hAnsi="Arial" w:cs="Arial"/>
                <w:bCs/>
                <w:i/>
                <w:noProof/>
              </w:rPr>
              <w:t>4.1.3</w:t>
            </w:r>
            <w:r w:rsidR="00947609">
              <w:rPr>
                <w:noProof/>
              </w:rPr>
              <w:tab/>
            </w:r>
            <w:r w:rsidR="00947609" w:rsidRPr="000A1642">
              <w:rPr>
                <w:rStyle w:val="Hipercze"/>
                <w:rFonts w:ascii="Arial" w:eastAsiaTheme="majorEastAsia" w:hAnsi="Arial" w:cs="Arial"/>
                <w:bCs/>
                <w:i/>
                <w:noProof/>
              </w:rPr>
              <w:t>Kwalifikowalność wydatków w ramach pomocy de minimis</w:t>
            </w:r>
            <w:r w:rsidR="00947609">
              <w:rPr>
                <w:noProof/>
                <w:webHidden/>
              </w:rPr>
              <w:tab/>
            </w:r>
            <w:r w:rsidR="00947609">
              <w:rPr>
                <w:noProof/>
                <w:webHidden/>
              </w:rPr>
              <w:fldChar w:fldCharType="begin"/>
            </w:r>
            <w:r w:rsidR="00947609">
              <w:rPr>
                <w:noProof/>
                <w:webHidden/>
              </w:rPr>
              <w:instrText xml:space="preserve"> PAGEREF _Toc508630118 \h </w:instrText>
            </w:r>
            <w:r w:rsidR="00947609">
              <w:rPr>
                <w:noProof/>
                <w:webHidden/>
              </w:rPr>
            </w:r>
            <w:r w:rsidR="00947609">
              <w:rPr>
                <w:noProof/>
                <w:webHidden/>
              </w:rPr>
              <w:fldChar w:fldCharType="separate"/>
            </w:r>
            <w:r w:rsidR="00947609">
              <w:rPr>
                <w:noProof/>
                <w:webHidden/>
              </w:rPr>
              <w:t>38</w:t>
            </w:r>
            <w:r w:rsidR="00947609">
              <w:rPr>
                <w:noProof/>
                <w:webHidden/>
              </w:rPr>
              <w:fldChar w:fldCharType="end"/>
            </w:r>
          </w:hyperlink>
        </w:p>
        <w:p w:rsidR="00947609" w:rsidRDefault="00374A08">
          <w:pPr>
            <w:pStyle w:val="Spistreci3"/>
            <w:tabs>
              <w:tab w:val="left" w:pos="1320"/>
              <w:tab w:val="right" w:leader="dot" w:pos="9060"/>
            </w:tabs>
            <w:rPr>
              <w:noProof/>
            </w:rPr>
          </w:pPr>
          <w:hyperlink w:anchor="_Toc508630119" w:history="1">
            <w:r w:rsidR="00947609" w:rsidRPr="000A1642">
              <w:rPr>
                <w:rStyle w:val="Hipercze"/>
                <w:rFonts w:ascii="Arial" w:eastAsiaTheme="majorEastAsia" w:hAnsi="Arial" w:cs="Arial"/>
                <w:bCs/>
                <w:i/>
                <w:noProof/>
              </w:rPr>
              <w:t>4.1.4</w:t>
            </w:r>
            <w:r w:rsidR="00947609">
              <w:rPr>
                <w:noProof/>
              </w:rPr>
              <w:tab/>
            </w:r>
            <w:r w:rsidR="00947609" w:rsidRPr="000A1642">
              <w:rPr>
                <w:rStyle w:val="Hipercze"/>
                <w:rFonts w:ascii="Arial" w:eastAsiaTheme="majorEastAsia" w:hAnsi="Arial" w:cs="Arial"/>
                <w:bCs/>
                <w:i/>
                <w:noProof/>
              </w:rPr>
              <w:t>Wydatki niekwalifikowalne</w:t>
            </w:r>
            <w:r w:rsidR="00947609">
              <w:rPr>
                <w:noProof/>
                <w:webHidden/>
              </w:rPr>
              <w:tab/>
            </w:r>
            <w:r w:rsidR="00947609">
              <w:rPr>
                <w:noProof/>
                <w:webHidden/>
              </w:rPr>
              <w:fldChar w:fldCharType="begin"/>
            </w:r>
            <w:r w:rsidR="00947609">
              <w:rPr>
                <w:noProof/>
                <w:webHidden/>
              </w:rPr>
              <w:instrText xml:space="preserve"> PAGEREF _Toc508630119 \h </w:instrText>
            </w:r>
            <w:r w:rsidR="00947609">
              <w:rPr>
                <w:noProof/>
                <w:webHidden/>
              </w:rPr>
            </w:r>
            <w:r w:rsidR="00947609">
              <w:rPr>
                <w:noProof/>
                <w:webHidden/>
              </w:rPr>
              <w:fldChar w:fldCharType="separate"/>
            </w:r>
            <w:r w:rsidR="00947609">
              <w:rPr>
                <w:noProof/>
                <w:webHidden/>
              </w:rPr>
              <w:t>38</w:t>
            </w:r>
            <w:r w:rsidR="00947609">
              <w:rPr>
                <w:noProof/>
                <w:webHidden/>
              </w:rPr>
              <w:fldChar w:fldCharType="end"/>
            </w:r>
          </w:hyperlink>
        </w:p>
        <w:p w:rsidR="00947609" w:rsidRDefault="00374A08">
          <w:pPr>
            <w:pStyle w:val="Spistreci3"/>
            <w:tabs>
              <w:tab w:val="left" w:pos="1320"/>
              <w:tab w:val="right" w:leader="dot" w:pos="9060"/>
            </w:tabs>
            <w:rPr>
              <w:noProof/>
            </w:rPr>
          </w:pPr>
          <w:hyperlink w:anchor="_Toc508630120" w:history="1">
            <w:r w:rsidR="00947609" w:rsidRPr="000A1642">
              <w:rPr>
                <w:rStyle w:val="Hipercze"/>
                <w:rFonts w:ascii="Arial" w:eastAsiaTheme="majorEastAsia" w:hAnsi="Arial" w:cs="Arial"/>
                <w:bCs/>
                <w:i/>
                <w:noProof/>
              </w:rPr>
              <w:t>4.1.5</w:t>
            </w:r>
            <w:r w:rsidR="00947609">
              <w:rPr>
                <w:noProof/>
              </w:rPr>
              <w:tab/>
            </w:r>
            <w:r w:rsidR="00947609" w:rsidRPr="000A1642">
              <w:rPr>
                <w:rStyle w:val="Hipercze"/>
                <w:rFonts w:ascii="Arial" w:eastAsiaTheme="majorEastAsia" w:hAnsi="Arial" w:cs="Arial"/>
                <w:bCs/>
                <w:i/>
                <w:noProof/>
              </w:rPr>
              <w:t>Warunki oraz okres kwalifikowania wydatków w projektach podlegających zasadom pomocy publicznej</w:t>
            </w:r>
            <w:r w:rsidR="00947609">
              <w:rPr>
                <w:noProof/>
                <w:webHidden/>
              </w:rPr>
              <w:tab/>
            </w:r>
            <w:r w:rsidR="00947609">
              <w:rPr>
                <w:noProof/>
                <w:webHidden/>
              </w:rPr>
              <w:fldChar w:fldCharType="begin"/>
            </w:r>
            <w:r w:rsidR="00947609">
              <w:rPr>
                <w:noProof/>
                <w:webHidden/>
              </w:rPr>
              <w:instrText xml:space="preserve"> PAGEREF _Toc508630120 \h </w:instrText>
            </w:r>
            <w:r w:rsidR="00947609">
              <w:rPr>
                <w:noProof/>
                <w:webHidden/>
              </w:rPr>
            </w:r>
            <w:r w:rsidR="00947609">
              <w:rPr>
                <w:noProof/>
                <w:webHidden/>
              </w:rPr>
              <w:fldChar w:fldCharType="separate"/>
            </w:r>
            <w:r w:rsidR="00947609">
              <w:rPr>
                <w:noProof/>
                <w:webHidden/>
              </w:rPr>
              <w:t>41</w:t>
            </w:r>
            <w:r w:rsidR="00947609">
              <w:rPr>
                <w:noProof/>
                <w:webHidden/>
              </w:rPr>
              <w:fldChar w:fldCharType="end"/>
            </w:r>
          </w:hyperlink>
        </w:p>
        <w:p w:rsidR="00947609" w:rsidRDefault="00374A08">
          <w:pPr>
            <w:pStyle w:val="Spistreci2"/>
            <w:tabs>
              <w:tab w:val="left" w:pos="880"/>
              <w:tab w:val="right" w:leader="dot" w:pos="9060"/>
            </w:tabs>
            <w:rPr>
              <w:noProof/>
            </w:rPr>
          </w:pPr>
          <w:hyperlink w:anchor="_Toc508630121" w:history="1">
            <w:r w:rsidR="00947609" w:rsidRPr="000A1642">
              <w:rPr>
                <w:rStyle w:val="Hipercze"/>
                <w:rFonts w:ascii="Arial" w:hAnsi="Arial" w:cs="Arial"/>
                <w:i/>
                <w:noProof/>
              </w:rPr>
              <w:t>4.3</w:t>
            </w:r>
            <w:r w:rsidR="00947609">
              <w:rPr>
                <w:noProof/>
              </w:rPr>
              <w:tab/>
            </w:r>
            <w:r w:rsidR="00947609" w:rsidRPr="000A1642">
              <w:rPr>
                <w:rStyle w:val="Hipercze"/>
                <w:rFonts w:ascii="Arial" w:hAnsi="Arial" w:cs="Arial"/>
                <w:i/>
                <w:noProof/>
              </w:rPr>
              <w:t>Katalog wydatków kwalifikowalnych w ramach Działania 1.1 „Wyeliminowanie terytorialnych różnic w możliwości dostępu do szerokopasmowego internetu o wysokich przepustowościach” dla naborów nr POPC.01.01.00-IP.01-00-002/16</w:t>
            </w:r>
            <w:r w:rsidR="00947609">
              <w:rPr>
                <w:noProof/>
                <w:webHidden/>
              </w:rPr>
              <w:tab/>
            </w:r>
            <w:r w:rsidR="00947609">
              <w:rPr>
                <w:noProof/>
                <w:webHidden/>
              </w:rPr>
              <w:fldChar w:fldCharType="begin"/>
            </w:r>
            <w:r w:rsidR="00947609">
              <w:rPr>
                <w:noProof/>
                <w:webHidden/>
              </w:rPr>
              <w:instrText xml:space="preserve"> PAGEREF _Toc508630121 \h </w:instrText>
            </w:r>
            <w:r w:rsidR="00947609">
              <w:rPr>
                <w:noProof/>
                <w:webHidden/>
              </w:rPr>
            </w:r>
            <w:r w:rsidR="00947609">
              <w:rPr>
                <w:noProof/>
                <w:webHidden/>
              </w:rPr>
              <w:fldChar w:fldCharType="separate"/>
            </w:r>
            <w:r w:rsidR="00947609">
              <w:rPr>
                <w:noProof/>
                <w:webHidden/>
              </w:rPr>
              <w:t>42</w:t>
            </w:r>
            <w:r w:rsidR="00947609">
              <w:rPr>
                <w:noProof/>
                <w:webHidden/>
              </w:rPr>
              <w:fldChar w:fldCharType="end"/>
            </w:r>
          </w:hyperlink>
        </w:p>
        <w:p w:rsidR="00947609" w:rsidRDefault="00374A08">
          <w:pPr>
            <w:pStyle w:val="Spistreci2"/>
            <w:tabs>
              <w:tab w:val="left" w:pos="1100"/>
              <w:tab w:val="right" w:leader="dot" w:pos="9060"/>
            </w:tabs>
            <w:rPr>
              <w:noProof/>
            </w:rPr>
          </w:pPr>
          <w:hyperlink w:anchor="_Toc508630122" w:history="1">
            <w:r w:rsidR="00947609" w:rsidRPr="000A1642">
              <w:rPr>
                <w:rStyle w:val="Hipercze"/>
                <w:rFonts w:ascii="Arial" w:hAnsi="Arial" w:cs="Arial"/>
                <w:i/>
                <w:noProof/>
              </w:rPr>
              <w:t>4.3.1</w:t>
            </w:r>
            <w:r w:rsidR="00947609">
              <w:rPr>
                <w:noProof/>
              </w:rPr>
              <w:tab/>
            </w:r>
            <w:r w:rsidR="00947609" w:rsidRPr="000A1642">
              <w:rPr>
                <w:rStyle w:val="Hipercze"/>
                <w:rFonts w:ascii="Arial" w:hAnsi="Arial" w:cs="Arial"/>
                <w:i/>
                <w:noProof/>
              </w:rPr>
              <w:t>Wydatki kwalifikowalne</w:t>
            </w:r>
            <w:r w:rsidR="00947609">
              <w:rPr>
                <w:noProof/>
                <w:webHidden/>
              </w:rPr>
              <w:tab/>
            </w:r>
            <w:r w:rsidR="00947609">
              <w:rPr>
                <w:noProof/>
                <w:webHidden/>
              </w:rPr>
              <w:fldChar w:fldCharType="begin"/>
            </w:r>
            <w:r w:rsidR="00947609">
              <w:rPr>
                <w:noProof/>
                <w:webHidden/>
              </w:rPr>
              <w:instrText xml:space="preserve"> PAGEREF _Toc508630122 \h </w:instrText>
            </w:r>
            <w:r w:rsidR="00947609">
              <w:rPr>
                <w:noProof/>
                <w:webHidden/>
              </w:rPr>
            </w:r>
            <w:r w:rsidR="00947609">
              <w:rPr>
                <w:noProof/>
                <w:webHidden/>
              </w:rPr>
              <w:fldChar w:fldCharType="separate"/>
            </w:r>
            <w:r w:rsidR="00947609">
              <w:rPr>
                <w:noProof/>
                <w:webHidden/>
              </w:rPr>
              <w:t>42</w:t>
            </w:r>
            <w:r w:rsidR="00947609">
              <w:rPr>
                <w:noProof/>
                <w:webHidden/>
              </w:rPr>
              <w:fldChar w:fldCharType="end"/>
            </w:r>
          </w:hyperlink>
        </w:p>
        <w:p w:rsidR="00947609" w:rsidRDefault="00374A08">
          <w:pPr>
            <w:pStyle w:val="Spistreci2"/>
            <w:tabs>
              <w:tab w:val="left" w:pos="1100"/>
              <w:tab w:val="right" w:leader="dot" w:pos="9060"/>
            </w:tabs>
            <w:rPr>
              <w:noProof/>
            </w:rPr>
          </w:pPr>
          <w:hyperlink w:anchor="_Toc508630123" w:history="1">
            <w:r w:rsidR="00947609" w:rsidRPr="000A1642">
              <w:rPr>
                <w:rStyle w:val="Hipercze"/>
                <w:rFonts w:ascii="Arial" w:hAnsi="Arial" w:cs="Arial"/>
                <w:i/>
                <w:noProof/>
              </w:rPr>
              <w:t>4.3.2</w:t>
            </w:r>
            <w:r w:rsidR="00947609">
              <w:rPr>
                <w:noProof/>
              </w:rPr>
              <w:tab/>
            </w:r>
            <w:r w:rsidR="00947609" w:rsidRPr="000A1642">
              <w:rPr>
                <w:rStyle w:val="Hipercze"/>
                <w:rFonts w:ascii="Arial" w:hAnsi="Arial" w:cs="Arial"/>
                <w:i/>
                <w:noProof/>
              </w:rPr>
              <w:t>Kwalifikowalność wydatków w ramach pomocy na infrastrukturę szerokopasmową</w:t>
            </w:r>
            <w:r w:rsidR="00947609">
              <w:rPr>
                <w:noProof/>
                <w:webHidden/>
              </w:rPr>
              <w:tab/>
            </w:r>
            <w:r w:rsidR="00947609">
              <w:rPr>
                <w:noProof/>
                <w:webHidden/>
              </w:rPr>
              <w:fldChar w:fldCharType="begin"/>
            </w:r>
            <w:r w:rsidR="00947609">
              <w:rPr>
                <w:noProof/>
                <w:webHidden/>
              </w:rPr>
              <w:instrText xml:space="preserve"> PAGEREF _Toc508630123 \h </w:instrText>
            </w:r>
            <w:r w:rsidR="00947609">
              <w:rPr>
                <w:noProof/>
                <w:webHidden/>
              </w:rPr>
            </w:r>
            <w:r w:rsidR="00947609">
              <w:rPr>
                <w:noProof/>
                <w:webHidden/>
              </w:rPr>
              <w:fldChar w:fldCharType="separate"/>
            </w:r>
            <w:r w:rsidR="00947609">
              <w:rPr>
                <w:noProof/>
                <w:webHidden/>
              </w:rPr>
              <w:t>44</w:t>
            </w:r>
            <w:r w:rsidR="00947609">
              <w:rPr>
                <w:noProof/>
                <w:webHidden/>
              </w:rPr>
              <w:fldChar w:fldCharType="end"/>
            </w:r>
          </w:hyperlink>
        </w:p>
        <w:p w:rsidR="00947609" w:rsidRDefault="00374A08">
          <w:pPr>
            <w:pStyle w:val="Spistreci2"/>
            <w:tabs>
              <w:tab w:val="left" w:pos="1100"/>
              <w:tab w:val="right" w:leader="dot" w:pos="9060"/>
            </w:tabs>
            <w:rPr>
              <w:noProof/>
            </w:rPr>
          </w:pPr>
          <w:hyperlink w:anchor="_Toc508630124" w:history="1">
            <w:r w:rsidR="00947609" w:rsidRPr="000A1642">
              <w:rPr>
                <w:rStyle w:val="Hipercze"/>
                <w:rFonts w:ascii="Arial" w:hAnsi="Arial" w:cs="Arial"/>
                <w:i/>
                <w:noProof/>
              </w:rPr>
              <w:t>4.3.3</w:t>
            </w:r>
            <w:r w:rsidR="00947609">
              <w:rPr>
                <w:noProof/>
              </w:rPr>
              <w:tab/>
            </w:r>
            <w:r w:rsidR="00947609" w:rsidRPr="000A1642">
              <w:rPr>
                <w:rStyle w:val="Hipercze"/>
                <w:rFonts w:ascii="Arial" w:hAnsi="Arial" w:cs="Arial"/>
                <w:i/>
                <w:noProof/>
              </w:rPr>
              <w:t>Kwalifikowalność wydatków w ramach pomocy de minimis</w:t>
            </w:r>
            <w:r w:rsidR="00947609">
              <w:rPr>
                <w:noProof/>
                <w:webHidden/>
              </w:rPr>
              <w:tab/>
            </w:r>
            <w:r w:rsidR="00947609">
              <w:rPr>
                <w:noProof/>
                <w:webHidden/>
              </w:rPr>
              <w:fldChar w:fldCharType="begin"/>
            </w:r>
            <w:r w:rsidR="00947609">
              <w:rPr>
                <w:noProof/>
                <w:webHidden/>
              </w:rPr>
              <w:instrText xml:space="preserve"> PAGEREF _Toc508630124 \h </w:instrText>
            </w:r>
            <w:r w:rsidR="00947609">
              <w:rPr>
                <w:noProof/>
                <w:webHidden/>
              </w:rPr>
            </w:r>
            <w:r w:rsidR="00947609">
              <w:rPr>
                <w:noProof/>
                <w:webHidden/>
              </w:rPr>
              <w:fldChar w:fldCharType="separate"/>
            </w:r>
            <w:r w:rsidR="00947609">
              <w:rPr>
                <w:noProof/>
                <w:webHidden/>
              </w:rPr>
              <w:t>49</w:t>
            </w:r>
            <w:r w:rsidR="00947609">
              <w:rPr>
                <w:noProof/>
                <w:webHidden/>
              </w:rPr>
              <w:fldChar w:fldCharType="end"/>
            </w:r>
          </w:hyperlink>
        </w:p>
        <w:p w:rsidR="00947609" w:rsidRDefault="00374A08">
          <w:pPr>
            <w:pStyle w:val="Spistreci2"/>
            <w:tabs>
              <w:tab w:val="left" w:pos="1100"/>
              <w:tab w:val="right" w:leader="dot" w:pos="9060"/>
            </w:tabs>
            <w:rPr>
              <w:noProof/>
            </w:rPr>
          </w:pPr>
          <w:hyperlink w:anchor="_Toc508630125" w:history="1">
            <w:r w:rsidR="00947609" w:rsidRPr="000A1642">
              <w:rPr>
                <w:rStyle w:val="Hipercze"/>
                <w:rFonts w:ascii="Arial" w:hAnsi="Arial" w:cs="Arial"/>
                <w:i/>
                <w:noProof/>
              </w:rPr>
              <w:t>4.3.4</w:t>
            </w:r>
            <w:r w:rsidR="00947609">
              <w:rPr>
                <w:noProof/>
              </w:rPr>
              <w:tab/>
            </w:r>
            <w:r w:rsidR="00947609" w:rsidRPr="000A1642">
              <w:rPr>
                <w:rStyle w:val="Hipercze"/>
                <w:rFonts w:ascii="Arial" w:hAnsi="Arial" w:cs="Arial"/>
                <w:i/>
                <w:noProof/>
              </w:rPr>
              <w:t>Wydatki niekwalifikowalne</w:t>
            </w:r>
            <w:r w:rsidR="00947609">
              <w:rPr>
                <w:noProof/>
                <w:webHidden/>
              </w:rPr>
              <w:tab/>
            </w:r>
            <w:r w:rsidR="00947609">
              <w:rPr>
                <w:noProof/>
                <w:webHidden/>
              </w:rPr>
              <w:fldChar w:fldCharType="begin"/>
            </w:r>
            <w:r w:rsidR="00947609">
              <w:rPr>
                <w:noProof/>
                <w:webHidden/>
              </w:rPr>
              <w:instrText xml:space="preserve"> PAGEREF _Toc508630125 \h </w:instrText>
            </w:r>
            <w:r w:rsidR="00947609">
              <w:rPr>
                <w:noProof/>
                <w:webHidden/>
              </w:rPr>
            </w:r>
            <w:r w:rsidR="00947609">
              <w:rPr>
                <w:noProof/>
                <w:webHidden/>
              </w:rPr>
              <w:fldChar w:fldCharType="separate"/>
            </w:r>
            <w:r w:rsidR="00947609">
              <w:rPr>
                <w:noProof/>
                <w:webHidden/>
              </w:rPr>
              <w:t>49</w:t>
            </w:r>
            <w:r w:rsidR="00947609">
              <w:rPr>
                <w:noProof/>
                <w:webHidden/>
              </w:rPr>
              <w:fldChar w:fldCharType="end"/>
            </w:r>
          </w:hyperlink>
        </w:p>
        <w:p w:rsidR="00947609" w:rsidRDefault="00374A08">
          <w:pPr>
            <w:pStyle w:val="Spistreci2"/>
            <w:tabs>
              <w:tab w:val="left" w:pos="1100"/>
              <w:tab w:val="right" w:leader="dot" w:pos="9060"/>
            </w:tabs>
            <w:rPr>
              <w:noProof/>
            </w:rPr>
          </w:pPr>
          <w:hyperlink w:anchor="_Toc508630126" w:history="1">
            <w:r w:rsidR="00947609" w:rsidRPr="000A1642">
              <w:rPr>
                <w:rStyle w:val="Hipercze"/>
                <w:rFonts w:ascii="Arial" w:hAnsi="Arial" w:cs="Arial"/>
                <w:i/>
                <w:noProof/>
              </w:rPr>
              <w:t>4.3.5</w:t>
            </w:r>
            <w:r w:rsidR="00947609">
              <w:rPr>
                <w:noProof/>
              </w:rPr>
              <w:tab/>
            </w:r>
            <w:r w:rsidR="00947609" w:rsidRPr="000A1642">
              <w:rPr>
                <w:rStyle w:val="Hipercze"/>
                <w:rFonts w:ascii="Arial" w:hAnsi="Arial" w:cs="Arial"/>
                <w:i/>
                <w:noProof/>
              </w:rPr>
              <w:t>Warunki oraz okres kwalifikowania wydatków w projektach podlegających zasadom pomocy publicznej</w:t>
            </w:r>
            <w:r w:rsidR="00947609">
              <w:rPr>
                <w:noProof/>
                <w:webHidden/>
              </w:rPr>
              <w:tab/>
            </w:r>
            <w:r w:rsidR="00947609">
              <w:rPr>
                <w:noProof/>
                <w:webHidden/>
              </w:rPr>
              <w:fldChar w:fldCharType="begin"/>
            </w:r>
            <w:r w:rsidR="00947609">
              <w:rPr>
                <w:noProof/>
                <w:webHidden/>
              </w:rPr>
              <w:instrText xml:space="preserve"> PAGEREF _Toc508630126 \h </w:instrText>
            </w:r>
            <w:r w:rsidR="00947609">
              <w:rPr>
                <w:noProof/>
                <w:webHidden/>
              </w:rPr>
            </w:r>
            <w:r w:rsidR="00947609">
              <w:rPr>
                <w:noProof/>
                <w:webHidden/>
              </w:rPr>
              <w:fldChar w:fldCharType="separate"/>
            </w:r>
            <w:r w:rsidR="00947609">
              <w:rPr>
                <w:noProof/>
                <w:webHidden/>
              </w:rPr>
              <w:t>52</w:t>
            </w:r>
            <w:r w:rsidR="00947609">
              <w:rPr>
                <w:noProof/>
                <w:webHidden/>
              </w:rPr>
              <w:fldChar w:fldCharType="end"/>
            </w:r>
          </w:hyperlink>
        </w:p>
        <w:p w:rsidR="00947609" w:rsidRDefault="00374A08">
          <w:pPr>
            <w:pStyle w:val="Spistreci2"/>
            <w:tabs>
              <w:tab w:val="left" w:pos="880"/>
              <w:tab w:val="right" w:leader="dot" w:pos="9060"/>
            </w:tabs>
            <w:rPr>
              <w:noProof/>
            </w:rPr>
          </w:pPr>
          <w:hyperlink w:anchor="_Toc508630127" w:history="1">
            <w:r w:rsidR="00947609" w:rsidRPr="000A1642">
              <w:rPr>
                <w:rStyle w:val="Hipercze"/>
                <w:rFonts w:ascii="Arial" w:hAnsi="Arial" w:cs="Arial"/>
                <w:i/>
                <w:noProof/>
              </w:rPr>
              <w:t>4.4</w:t>
            </w:r>
            <w:r w:rsidR="00947609">
              <w:rPr>
                <w:noProof/>
              </w:rPr>
              <w:tab/>
            </w:r>
            <w:r w:rsidR="00947609" w:rsidRPr="000A1642">
              <w:rPr>
                <w:rStyle w:val="Hipercze"/>
                <w:rFonts w:ascii="Arial" w:hAnsi="Arial" w:cs="Arial"/>
                <w:i/>
                <w:noProof/>
              </w:rPr>
              <w:t>Katalog wydatków kwalifikowalnych w ramach Działania 1.1 „Wyeliminowanie terytorialnych różnic w możliwości dostępu do szerokopasmowego internetu o wysokich przepustowościach” dla naborów nr POPC.01.01.00-IP.01-00-004/17</w:t>
            </w:r>
            <w:r w:rsidR="00947609">
              <w:rPr>
                <w:noProof/>
                <w:webHidden/>
              </w:rPr>
              <w:tab/>
            </w:r>
            <w:r w:rsidR="00947609">
              <w:rPr>
                <w:noProof/>
                <w:webHidden/>
              </w:rPr>
              <w:fldChar w:fldCharType="begin"/>
            </w:r>
            <w:r w:rsidR="00947609">
              <w:rPr>
                <w:noProof/>
                <w:webHidden/>
              </w:rPr>
              <w:instrText xml:space="preserve"> PAGEREF _Toc508630127 \h </w:instrText>
            </w:r>
            <w:r w:rsidR="00947609">
              <w:rPr>
                <w:noProof/>
                <w:webHidden/>
              </w:rPr>
            </w:r>
            <w:r w:rsidR="00947609">
              <w:rPr>
                <w:noProof/>
                <w:webHidden/>
              </w:rPr>
              <w:fldChar w:fldCharType="separate"/>
            </w:r>
            <w:r w:rsidR="00947609">
              <w:rPr>
                <w:noProof/>
                <w:webHidden/>
              </w:rPr>
              <w:t>53</w:t>
            </w:r>
            <w:r w:rsidR="00947609">
              <w:rPr>
                <w:noProof/>
                <w:webHidden/>
              </w:rPr>
              <w:fldChar w:fldCharType="end"/>
            </w:r>
          </w:hyperlink>
        </w:p>
        <w:p w:rsidR="00947609" w:rsidRDefault="00374A08">
          <w:pPr>
            <w:pStyle w:val="Spistreci2"/>
            <w:tabs>
              <w:tab w:val="left" w:pos="1100"/>
              <w:tab w:val="right" w:leader="dot" w:pos="9060"/>
            </w:tabs>
            <w:rPr>
              <w:noProof/>
            </w:rPr>
          </w:pPr>
          <w:hyperlink w:anchor="_Toc508630128" w:history="1">
            <w:r w:rsidR="00947609" w:rsidRPr="000A1642">
              <w:rPr>
                <w:rStyle w:val="Hipercze"/>
                <w:rFonts w:ascii="Arial" w:hAnsi="Arial" w:cs="Arial"/>
                <w:i/>
                <w:noProof/>
              </w:rPr>
              <w:t>4.4.1</w:t>
            </w:r>
            <w:r w:rsidR="00947609">
              <w:rPr>
                <w:noProof/>
              </w:rPr>
              <w:tab/>
            </w:r>
            <w:r w:rsidR="00947609" w:rsidRPr="000A1642">
              <w:rPr>
                <w:rStyle w:val="Hipercze"/>
                <w:rFonts w:ascii="Arial" w:hAnsi="Arial" w:cs="Arial"/>
                <w:i/>
                <w:noProof/>
              </w:rPr>
              <w:t>Wydatki kwalifikowalne</w:t>
            </w:r>
            <w:r w:rsidR="00947609">
              <w:rPr>
                <w:noProof/>
                <w:webHidden/>
              </w:rPr>
              <w:tab/>
            </w:r>
            <w:r w:rsidR="00947609">
              <w:rPr>
                <w:noProof/>
                <w:webHidden/>
              </w:rPr>
              <w:fldChar w:fldCharType="begin"/>
            </w:r>
            <w:r w:rsidR="00947609">
              <w:rPr>
                <w:noProof/>
                <w:webHidden/>
              </w:rPr>
              <w:instrText xml:space="preserve"> PAGEREF _Toc508630128 \h </w:instrText>
            </w:r>
            <w:r w:rsidR="00947609">
              <w:rPr>
                <w:noProof/>
                <w:webHidden/>
              </w:rPr>
            </w:r>
            <w:r w:rsidR="00947609">
              <w:rPr>
                <w:noProof/>
                <w:webHidden/>
              </w:rPr>
              <w:fldChar w:fldCharType="separate"/>
            </w:r>
            <w:r w:rsidR="00947609">
              <w:rPr>
                <w:noProof/>
                <w:webHidden/>
              </w:rPr>
              <w:t>53</w:t>
            </w:r>
            <w:r w:rsidR="00947609">
              <w:rPr>
                <w:noProof/>
                <w:webHidden/>
              </w:rPr>
              <w:fldChar w:fldCharType="end"/>
            </w:r>
          </w:hyperlink>
        </w:p>
        <w:p w:rsidR="00947609" w:rsidRDefault="00374A08">
          <w:pPr>
            <w:pStyle w:val="Spistreci2"/>
            <w:tabs>
              <w:tab w:val="left" w:pos="1100"/>
              <w:tab w:val="right" w:leader="dot" w:pos="9060"/>
            </w:tabs>
            <w:rPr>
              <w:noProof/>
            </w:rPr>
          </w:pPr>
          <w:hyperlink w:anchor="_Toc508630129" w:history="1">
            <w:r w:rsidR="00947609" w:rsidRPr="000A1642">
              <w:rPr>
                <w:rStyle w:val="Hipercze"/>
                <w:rFonts w:ascii="Arial" w:hAnsi="Arial" w:cs="Arial"/>
                <w:i/>
                <w:noProof/>
              </w:rPr>
              <w:t>4.4.2</w:t>
            </w:r>
            <w:r w:rsidR="00947609">
              <w:rPr>
                <w:noProof/>
              </w:rPr>
              <w:tab/>
            </w:r>
            <w:r w:rsidR="00947609" w:rsidRPr="000A1642">
              <w:rPr>
                <w:rStyle w:val="Hipercze"/>
                <w:rFonts w:ascii="Arial" w:hAnsi="Arial" w:cs="Arial"/>
                <w:i/>
                <w:noProof/>
              </w:rPr>
              <w:t>Kwalifikowalność wydatków w ramach pomocy na infrastrukturę szerokopasmową</w:t>
            </w:r>
            <w:r w:rsidR="00947609">
              <w:rPr>
                <w:noProof/>
                <w:webHidden/>
              </w:rPr>
              <w:tab/>
            </w:r>
            <w:r w:rsidR="00947609">
              <w:rPr>
                <w:noProof/>
                <w:webHidden/>
              </w:rPr>
              <w:fldChar w:fldCharType="begin"/>
            </w:r>
            <w:r w:rsidR="00947609">
              <w:rPr>
                <w:noProof/>
                <w:webHidden/>
              </w:rPr>
              <w:instrText xml:space="preserve"> PAGEREF _Toc508630129 \h </w:instrText>
            </w:r>
            <w:r w:rsidR="00947609">
              <w:rPr>
                <w:noProof/>
                <w:webHidden/>
              </w:rPr>
            </w:r>
            <w:r w:rsidR="00947609">
              <w:rPr>
                <w:noProof/>
                <w:webHidden/>
              </w:rPr>
              <w:fldChar w:fldCharType="separate"/>
            </w:r>
            <w:r w:rsidR="00947609">
              <w:rPr>
                <w:noProof/>
                <w:webHidden/>
              </w:rPr>
              <w:t>55</w:t>
            </w:r>
            <w:r w:rsidR="00947609">
              <w:rPr>
                <w:noProof/>
                <w:webHidden/>
              </w:rPr>
              <w:fldChar w:fldCharType="end"/>
            </w:r>
          </w:hyperlink>
        </w:p>
        <w:p w:rsidR="00947609" w:rsidRDefault="00374A08">
          <w:pPr>
            <w:pStyle w:val="Spistreci2"/>
            <w:tabs>
              <w:tab w:val="left" w:pos="1100"/>
              <w:tab w:val="right" w:leader="dot" w:pos="9060"/>
            </w:tabs>
            <w:rPr>
              <w:noProof/>
            </w:rPr>
          </w:pPr>
          <w:hyperlink w:anchor="_Toc508630130" w:history="1">
            <w:r w:rsidR="00947609" w:rsidRPr="000A1642">
              <w:rPr>
                <w:rStyle w:val="Hipercze"/>
                <w:rFonts w:ascii="Arial" w:hAnsi="Arial" w:cs="Arial"/>
                <w:i/>
                <w:noProof/>
              </w:rPr>
              <w:t>4.4.3</w:t>
            </w:r>
            <w:r w:rsidR="00947609">
              <w:rPr>
                <w:noProof/>
              </w:rPr>
              <w:tab/>
            </w:r>
            <w:r w:rsidR="00947609" w:rsidRPr="000A1642">
              <w:rPr>
                <w:rStyle w:val="Hipercze"/>
                <w:rFonts w:ascii="Arial" w:hAnsi="Arial" w:cs="Arial"/>
                <w:i/>
                <w:noProof/>
              </w:rPr>
              <w:t>Kwalifikowalność wydatków w ramach pomocy de minimis</w:t>
            </w:r>
            <w:r w:rsidR="00947609">
              <w:rPr>
                <w:noProof/>
                <w:webHidden/>
              </w:rPr>
              <w:tab/>
            </w:r>
            <w:r w:rsidR="00947609">
              <w:rPr>
                <w:noProof/>
                <w:webHidden/>
              </w:rPr>
              <w:fldChar w:fldCharType="begin"/>
            </w:r>
            <w:r w:rsidR="00947609">
              <w:rPr>
                <w:noProof/>
                <w:webHidden/>
              </w:rPr>
              <w:instrText xml:space="preserve"> PAGEREF _Toc508630130 \h </w:instrText>
            </w:r>
            <w:r w:rsidR="00947609">
              <w:rPr>
                <w:noProof/>
                <w:webHidden/>
              </w:rPr>
            </w:r>
            <w:r w:rsidR="00947609">
              <w:rPr>
                <w:noProof/>
                <w:webHidden/>
              </w:rPr>
              <w:fldChar w:fldCharType="separate"/>
            </w:r>
            <w:r w:rsidR="00947609">
              <w:rPr>
                <w:noProof/>
                <w:webHidden/>
              </w:rPr>
              <w:t>60</w:t>
            </w:r>
            <w:r w:rsidR="00947609">
              <w:rPr>
                <w:noProof/>
                <w:webHidden/>
              </w:rPr>
              <w:fldChar w:fldCharType="end"/>
            </w:r>
          </w:hyperlink>
        </w:p>
        <w:p w:rsidR="00947609" w:rsidRDefault="00374A08">
          <w:pPr>
            <w:pStyle w:val="Spistreci2"/>
            <w:tabs>
              <w:tab w:val="left" w:pos="1100"/>
              <w:tab w:val="right" w:leader="dot" w:pos="9060"/>
            </w:tabs>
            <w:rPr>
              <w:noProof/>
            </w:rPr>
          </w:pPr>
          <w:hyperlink w:anchor="_Toc508630131" w:history="1">
            <w:r w:rsidR="00947609" w:rsidRPr="000A1642">
              <w:rPr>
                <w:rStyle w:val="Hipercze"/>
                <w:rFonts w:ascii="Arial" w:hAnsi="Arial" w:cs="Arial"/>
                <w:i/>
                <w:noProof/>
              </w:rPr>
              <w:t>4.4.4</w:t>
            </w:r>
            <w:r w:rsidR="00947609">
              <w:rPr>
                <w:noProof/>
              </w:rPr>
              <w:tab/>
            </w:r>
            <w:r w:rsidR="00947609" w:rsidRPr="000A1642">
              <w:rPr>
                <w:rStyle w:val="Hipercze"/>
                <w:rFonts w:ascii="Arial" w:hAnsi="Arial" w:cs="Arial"/>
                <w:i/>
                <w:noProof/>
              </w:rPr>
              <w:t>Wydatki niekwalifikowalne</w:t>
            </w:r>
            <w:r w:rsidR="00947609">
              <w:rPr>
                <w:noProof/>
                <w:webHidden/>
              </w:rPr>
              <w:tab/>
            </w:r>
            <w:r w:rsidR="00947609">
              <w:rPr>
                <w:noProof/>
                <w:webHidden/>
              </w:rPr>
              <w:fldChar w:fldCharType="begin"/>
            </w:r>
            <w:r w:rsidR="00947609">
              <w:rPr>
                <w:noProof/>
                <w:webHidden/>
              </w:rPr>
              <w:instrText xml:space="preserve"> PAGEREF _Toc508630131 \h </w:instrText>
            </w:r>
            <w:r w:rsidR="00947609">
              <w:rPr>
                <w:noProof/>
                <w:webHidden/>
              </w:rPr>
            </w:r>
            <w:r w:rsidR="00947609">
              <w:rPr>
                <w:noProof/>
                <w:webHidden/>
              </w:rPr>
              <w:fldChar w:fldCharType="separate"/>
            </w:r>
            <w:r w:rsidR="00947609">
              <w:rPr>
                <w:noProof/>
                <w:webHidden/>
              </w:rPr>
              <w:t>61</w:t>
            </w:r>
            <w:r w:rsidR="00947609">
              <w:rPr>
                <w:noProof/>
                <w:webHidden/>
              </w:rPr>
              <w:fldChar w:fldCharType="end"/>
            </w:r>
          </w:hyperlink>
        </w:p>
        <w:p w:rsidR="00947609" w:rsidRDefault="00374A08">
          <w:pPr>
            <w:pStyle w:val="Spistreci2"/>
            <w:tabs>
              <w:tab w:val="left" w:pos="1100"/>
              <w:tab w:val="right" w:leader="dot" w:pos="9060"/>
            </w:tabs>
            <w:rPr>
              <w:noProof/>
            </w:rPr>
          </w:pPr>
          <w:hyperlink w:anchor="_Toc508630132" w:history="1">
            <w:r w:rsidR="00947609" w:rsidRPr="000A1642">
              <w:rPr>
                <w:rStyle w:val="Hipercze"/>
                <w:rFonts w:ascii="Arial" w:hAnsi="Arial" w:cs="Arial"/>
                <w:i/>
                <w:noProof/>
              </w:rPr>
              <w:t>4.4.5</w:t>
            </w:r>
            <w:r w:rsidR="00947609">
              <w:rPr>
                <w:noProof/>
              </w:rPr>
              <w:tab/>
            </w:r>
            <w:r w:rsidR="00947609" w:rsidRPr="000A1642">
              <w:rPr>
                <w:rStyle w:val="Hipercze"/>
                <w:rFonts w:ascii="Arial" w:hAnsi="Arial" w:cs="Arial"/>
                <w:i/>
                <w:noProof/>
              </w:rPr>
              <w:t>Warunki oraz okres kwalifikowania wydatków w projektach podlegających zasadom pomocy publicznej</w:t>
            </w:r>
            <w:r w:rsidR="00947609">
              <w:rPr>
                <w:noProof/>
                <w:webHidden/>
              </w:rPr>
              <w:tab/>
            </w:r>
            <w:r w:rsidR="00947609">
              <w:rPr>
                <w:noProof/>
                <w:webHidden/>
              </w:rPr>
              <w:fldChar w:fldCharType="begin"/>
            </w:r>
            <w:r w:rsidR="00947609">
              <w:rPr>
                <w:noProof/>
                <w:webHidden/>
              </w:rPr>
              <w:instrText xml:space="preserve"> PAGEREF _Toc508630132 \h </w:instrText>
            </w:r>
            <w:r w:rsidR="00947609">
              <w:rPr>
                <w:noProof/>
                <w:webHidden/>
              </w:rPr>
            </w:r>
            <w:r w:rsidR="00947609">
              <w:rPr>
                <w:noProof/>
                <w:webHidden/>
              </w:rPr>
              <w:fldChar w:fldCharType="separate"/>
            </w:r>
            <w:r w:rsidR="00947609">
              <w:rPr>
                <w:noProof/>
                <w:webHidden/>
              </w:rPr>
              <w:t>63</w:t>
            </w:r>
            <w:r w:rsidR="00947609">
              <w:rPr>
                <w:noProof/>
                <w:webHidden/>
              </w:rPr>
              <w:fldChar w:fldCharType="end"/>
            </w:r>
          </w:hyperlink>
        </w:p>
        <w:p w:rsidR="00947609" w:rsidRDefault="00374A08">
          <w:pPr>
            <w:pStyle w:val="Spistreci2"/>
            <w:tabs>
              <w:tab w:val="left" w:pos="880"/>
              <w:tab w:val="right" w:leader="dot" w:pos="9060"/>
            </w:tabs>
            <w:rPr>
              <w:noProof/>
            </w:rPr>
          </w:pPr>
          <w:hyperlink w:anchor="_Toc508630133" w:history="1">
            <w:r w:rsidR="00947609" w:rsidRPr="000A1642">
              <w:rPr>
                <w:rStyle w:val="Hipercze"/>
                <w:rFonts w:ascii="Arial" w:eastAsiaTheme="majorEastAsia" w:hAnsi="Arial" w:cs="Arial"/>
                <w:bCs/>
                <w:i/>
                <w:noProof/>
              </w:rPr>
              <w:t>4.5</w:t>
            </w:r>
            <w:r w:rsidR="00947609">
              <w:rPr>
                <w:noProof/>
              </w:rPr>
              <w:tab/>
            </w:r>
            <w:r w:rsidR="00947609" w:rsidRPr="000A1642">
              <w:rPr>
                <w:rStyle w:val="Hipercze"/>
                <w:rFonts w:ascii="Arial" w:hAnsi="Arial" w:cs="Arial"/>
                <w:i/>
                <w:noProof/>
              </w:rPr>
              <w:t>Katalog wydatków kwalifikowalnych dla projektów Ogólnopolskiej Sieci Edukacyjnej (OSE)</w:t>
            </w:r>
            <w:r w:rsidR="00947609">
              <w:rPr>
                <w:noProof/>
                <w:webHidden/>
              </w:rPr>
              <w:tab/>
            </w:r>
            <w:r w:rsidR="00947609">
              <w:rPr>
                <w:noProof/>
                <w:webHidden/>
              </w:rPr>
              <w:fldChar w:fldCharType="begin"/>
            </w:r>
            <w:r w:rsidR="00947609">
              <w:rPr>
                <w:noProof/>
                <w:webHidden/>
              </w:rPr>
              <w:instrText xml:space="preserve"> PAGEREF _Toc508630133 \h </w:instrText>
            </w:r>
            <w:r w:rsidR="00947609">
              <w:rPr>
                <w:noProof/>
                <w:webHidden/>
              </w:rPr>
            </w:r>
            <w:r w:rsidR="00947609">
              <w:rPr>
                <w:noProof/>
                <w:webHidden/>
              </w:rPr>
              <w:fldChar w:fldCharType="separate"/>
            </w:r>
            <w:r w:rsidR="00947609">
              <w:rPr>
                <w:noProof/>
                <w:webHidden/>
              </w:rPr>
              <w:t>64</w:t>
            </w:r>
            <w:r w:rsidR="00947609">
              <w:rPr>
                <w:noProof/>
                <w:webHidden/>
              </w:rPr>
              <w:fldChar w:fldCharType="end"/>
            </w:r>
          </w:hyperlink>
        </w:p>
        <w:p w:rsidR="00947609" w:rsidRDefault="00374A08">
          <w:pPr>
            <w:pStyle w:val="Spistreci2"/>
            <w:tabs>
              <w:tab w:val="right" w:leader="dot" w:pos="9060"/>
            </w:tabs>
            <w:rPr>
              <w:noProof/>
            </w:rPr>
          </w:pPr>
          <w:hyperlink w:anchor="_Toc508630134" w:history="1">
            <w:r w:rsidR="00947609" w:rsidRPr="000A1642">
              <w:rPr>
                <w:rStyle w:val="Hipercze"/>
                <w:rFonts w:ascii="Arial" w:hAnsi="Arial" w:cs="Arial"/>
                <w:i/>
                <w:noProof/>
              </w:rPr>
              <w:t>4.5.1</w:t>
            </w:r>
            <w:r w:rsidR="00947609">
              <w:rPr>
                <w:noProof/>
                <w:webHidden/>
              </w:rPr>
              <w:tab/>
            </w:r>
            <w:r w:rsidR="00947609">
              <w:rPr>
                <w:noProof/>
                <w:webHidden/>
              </w:rPr>
              <w:fldChar w:fldCharType="begin"/>
            </w:r>
            <w:r w:rsidR="00947609">
              <w:rPr>
                <w:noProof/>
                <w:webHidden/>
              </w:rPr>
              <w:instrText xml:space="preserve"> PAGEREF _Toc508630134 \h </w:instrText>
            </w:r>
            <w:r w:rsidR="00947609">
              <w:rPr>
                <w:noProof/>
                <w:webHidden/>
              </w:rPr>
            </w:r>
            <w:r w:rsidR="00947609">
              <w:rPr>
                <w:noProof/>
                <w:webHidden/>
              </w:rPr>
              <w:fldChar w:fldCharType="separate"/>
            </w:r>
            <w:r w:rsidR="00947609">
              <w:rPr>
                <w:noProof/>
                <w:webHidden/>
              </w:rPr>
              <w:t>64</w:t>
            </w:r>
            <w:r w:rsidR="00947609">
              <w:rPr>
                <w:noProof/>
                <w:webHidden/>
              </w:rPr>
              <w:fldChar w:fldCharType="end"/>
            </w:r>
          </w:hyperlink>
        </w:p>
        <w:p w:rsidR="00947609" w:rsidRDefault="00374A08">
          <w:pPr>
            <w:pStyle w:val="Spistreci2"/>
            <w:tabs>
              <w:tab w:val="left" w:pos="1100"/>
              <w:tab w:val="right" w:leader="dot" w:pos="9060"/>
            </w:tabs>
            <w:rPr>
              <w:noProof/>
            </w:rPr>
          </w:pPr>
          <w:hyperlink w:anchor="_Toc508630135" w:history="1">
            <w:r w:rsidR="00947609" w:rsidRPr="000A1642">
              <w:rPr>
                <w:rStyle w:val="Hipercze"/>
                <w:rFonts w:ascii="Arial" w:hAnsi="Arial" w:cs="Arial"/>
                <w:i/>
                <w:noProof/>
              </w:rPr>
              <w:t>4.4.1</w:t>
            </w:r>
            <w:r w:rsidR="00947609">
              <w:rPr>
                <w:noProof/>
              </w:rPr>
              <w:tab/>
            </w:r>
            <w:r w:rsidR="00947609" w:rsidRPr="000A1642">
              <w:rPr>
                <w:rStyle w:val="Hipercze"/>
                <w:rFonts w:ascii="Arial" w:hAnsi="Arial" w:cs="Arial"/>
                <w:i/>
                <w:noProof/>
              </w:rPr>
              <w:t>Wydatki kwalifikowalne</w:t>
            </w:r>
            <w:r w:rsidR="00947609">
              <w:rPr>
                <w:noProof/>
                <w:webHidden/>
              </w:rPr>
              <w:tab/>
            </w:r>
            <w:r w:rsidR="00947609">
              <w:rPr>
                <w:noProof/>
                <w:webHidden/>
              </w:rPr>
              <w:fldChar w:fldCharType="begin"/>
            </w:r>
            <w:r w:rsidR="00947609">
              <w:rPr>
                <w:noProof/>
                <w:webHidden/>
              </w:rPr>
              <w:instrText xml:space="preserve"> PAGEREF _Toc508630135 \h </w:instrText>
            </w:r>
            <w:r w:rsidR="00947609">
              <w:rPr>
                <w:noProof/>
                <w:webHidden/>
              </w:rPr>
            </w:r>
            <w:r w:rsidR="00947609">
              <w:rPr>
                <w:noProof/>
                <w:webHidden/>
              </w:rPr>
              <w:fldChar w:fldCharType="separate"/>
            </w:r>
            <w:r w:rsidR="00947609">
              <w:rPr>
                <w:noProof/>
                <w:webHidden/>
              </w:rPr>
              <w:t>64</w:t>
            </w:r>
            <w:r w:rsidR="00947609">
              <w:rPr>
                <w:noProof/>
                <w:webHidden/>
              </w:rPr>
              <w:fldChar w:fldCharType="end"/>
            </w:r>
          </w:hyperlink>
        </w:p>
        <w:p w:rsidR="00947609" w:rsidRDefault="00374A08">
          <w:pPr>
            <w:pStyle w:val="Spistreci2"/>
            <w:tabs>
              <w:tab w:val="left" w:pos="1100"/>
              <w:tab w:val="right" w:leader="dot" w:pos="9060"/>
            </w:tabs>
            <w:rPr>
              <w:noProof/>
            </w:rPr>
          </w:pPr>
          <w:hyperlink w:anchor="_Toc508630136" w:history="1">
            <w:r w:rsidR="00947609" w:rsidRPr="000A1642">
              <w:rPr>
                <w:rStyle w:val="Hipercze"/>
                <w:rFonts w:ascii="Arial" w:hAnsi="Arial" w:cs="Arial"/>
                <w:i/>
                <w:noProof/>
              </w:rPr>
              <w:t>4.4.2</w:t>
            </w:r>
            <w:r w:rsidR="00947609">
              <w:rPr>
                <w:noProof/>
              </w:rPr>
              <w:tab/>
            </w:r>
            <w:r w:rsidR="00947609" w:rsidRPr="000A1642">
              <w:rPr>
                <w:rStyle w:val="Hipercze"/>
                <w:rFonts w:ascii="Arial" w:hAnsi="Arial" w:cs="Arial"/>
                <w:i/>
                <w:noProof/>
              </w:rPr>
              <w:t>Wydatki niekwalifikowalne</w:t>
            </w:r>
            <w:r w:rsidR="00947609">
              <w:rPr>
                <w:noProof/>
                <w:webHidden/>
              </w:rPr>
              <w:tab/>
            </w:r>
            <w:r w:rsidR="00947609">
              <w:rPr>
                <w:noProof/>
                <w:webHidden/>
              </w:rPr>
              <w:fldChar w:fldCharType="begin"/>
            </w:r>
            <w:r w:rsidR="00947609">
              <w:rPr>
                <w:noProof/>
                <w:webHidden/>
              </w:rPr>
              <w:instrText xml:space="preserve"> PAGEREF _Toc508630136 \h </w:instrText>
            </w:r>
            <w:r w:rsidR="00947609">
              <w:rPr>
                <w:noProof/>
                <w:webHidden/>
              </w:rPr>
            </w:r>
            <w:r w:rsidR="00947609">
              <w:rPr>
                <w:noProof/>
                <w:webHidden/>
              </w:rPr>
              <w:fldChar w:fldCharType="separate"/>
            </w:r>
            <w:r w:rsidR="00947609">
              <w:rPr>
                <w:noProof/>
                <w:webHidden/>
              </w:rPr>
              <w:t>69</w:t>
            </w:r>
            <w:r w:rsidR="00947609">
              <w:rPr>
                <w:noProof/>
                <w:webHidden/>
              </w:rPr>
              <w:fldChar w:fldCharType="end"/>
            </w:r>
          </w:hyperlink>
        </w:p>
        <w:p w:rsidR="00947609" w:rsidRDefault="00374A08">
          <w:pPr>
            <w:pStyle w:val="Spistreci1"/>
            <w:rPr>
              <w:rFonts w:asciiTheme="minorHAnsi" w:hAnsiTheme="minorHAnsi" w:cstheme="minorBidi"/>
              <w:b w:val="0"/>
            </w:rPr>
          </w:pPr>
          <w:hyperlink w:anchor="_Toc508630137" w:history="1">
            <w:r w:rsidR="00947609" w:rsidRPr="000A1642">
              <w:rPr>
                <w:rStyle w:val="Hipercze"/>
                <w:rFonts w:eastAsia="Times New Roman" w:cs="Times New Roman"/>
                <w:bCs/>
              </w:rPr>
              <w:t>Załącznik nr 1 – Przykładowy wykaz możliwych nieprawidłowości w obszarze zamówień publicznych</w:t>
            </w:r>
            <w:r w:rsidR="00947609">
              <w:rPr>
                <w:webHidden/>
              </w:rPr>
              <w:tab/>
            </w:r>
            <w:r w:rsidR="00947609">
              <w:rPr>
                <w:webHidden/>
              </w:rPr>
              <w:fldChar w:fldCharType="begin"/>
            </w:r>
            <w:r w:rsidR="00947609">
              <w:rPr>
                <w:webHidden/>
              </w:rPr>
              <w:instrText xml:space="preserve"> PAGEREF _Toc508630137 \h </w:instrText>
            </w:r>
            <w:r w:rsidR="00947609">
              <w:rPr>
                <w:webHidden/>
              </w:rPr>
            </w:r>
            <w:r w:rsidR="00947609">
              <w:rPr>
                <w:webHidden/>
              </w:rPr>
              <w:fldChar w:fldCharType="separate"/>
            </w:r>
            <w:r w:rsidR="00947609">
              <w:rPr>
                <w:webHidden/>
              </w:rPr>
              <w:t>70</w:t>
            </w:r>
            <w:r w:rsidR="00947609">
              <w:rPr>
                <w:webHidden/>
              </w:rPr>
              <w:fldChar w:fldCharType="end"/>
            </w:r>
          </w:hyperlink>
        </w:p>
        <w:p w:rsidR="00947609" w:rsidRDefault="00374A08">
          <w:pPr>
            <w:pStyle w:val="Spistreci1"/>
            <w:rPr>
              <w:rFonts w:asciiTheme="minorHAnsi" w:hAnsiTheme="minorHAnsi" w:cstheme="minorBidi"/>
              <w:b w:val="0"/>
            </w:rPr>
          </w:pPr>
          <w:hyperlink w:anchor="_Toc508630138" w:history="1">
            <w:r w:rsidR="00947609" w:rsidRPr="000A1642">
              <w:rPr>
                <w:rStyle w:val="Hipercze"/>
                <w:rFonts w:eastAsia="Times New Roman" w:cs="Times New Roman"/>
                <w:bCs/>
              </w:rPr>
              <w:t>Załącznik nr 2 – Zestawienie regulacji w zakresie zasady uczciwej konkurencji, w odniesieniu do konieczności stosowania przez zamawiającego określonej ścieżki postępowania</w:t>
            </w:r>
            <w:r w:rsidR="00947609">
              <w:rPr>
                <w:webHidden/>
              </w:rPr>
              <w:tab/>
            </w:r>
            <w:r w:rsidR="00947609">
              <w:rPr>
                <w:webHidden/>
              </w:rPr>
              <w:fldChar w:fldCharType="begin"/>
            </w:r>
            <w:r w:rsidR="00947609">
              <w:rPr>
                <w:webHidden/>
              </w:rPr>
              <w:instrText xml:space="preserve"> PAGEREF _Toc508630138 \h </w:instrText>
            </w:r>
            <w:r w:rsidR="00947609">
              <w:rPr>
                <w:webHidden/>
              </w:rPr>
            </w:r>
            <w:r w:rsidR="00947609">
              <w:rPr>
                <w:webHidden/>
              </w:rPr>
              <w:fldChar w:fldCharType="separate"/>
            </w:r>
            <w:r w:rsidR="00947609">
              <w:rPr>
                <w:webHidden/>
              </w:rPr>
              <w:t>72</w:t>
            </w:r>
            <w:r w:rsidR="00947609">
              <w:rPr>
                <w:webHidden/>
              </w:rPr>
              <w:fldChar w:fldCharType="end"/>
            </w:r>
          </w:hyperlink>
        </w:p>
        <w:p w:rsidR="00755982" w:rsidRPr="007E469E" w:rsidRDefault="00755982" w:rsidP="000C548C">
          <w:pPr>
            <w:spacing w:line="360" w:lineRule="auto"/>
            <w:jc w:val="both"/>
            <w:rPr>
              <w:rFonts w:ascii="Arial" w:hAnsi="Arial" w:cs="Arial"/>
            </w:rPr>
          </w:pPr>
          <w:r w:rsidRPr="007E469E">
            <w:rPr>
              <w:rFonts w:ascii="Arial" w:hAnsi="Arial" w:cs="Arial"/>
              <w:b/>
              <w:bCs/>
            </w:rPr>
            <w:fldChar w:fldCharType="end"/>
          </w:r>
        </w:p>
      </w:sdtContent>
    </w:sdt>
    <w:p w:rsidR="00003731" w:rsidRPr="007E469E" w:rsidRDefault="00003731" w:rsidP="00003731">
      <w:r w:rsidRPr="007E469E">
        <w:br w:type="page"/>
      </w:r>
    </w:p>
    <w:p w:rsidR="00966A85" w:rsidRPr="007E469E" w:rsidRDefault="00966A85" w:rsidP="00FF40FA">
      <w:pPr>
        <w:pStyle w:val="Nagwek1"/>
        <w:spacing w:before="240" w:after="60" w:line="360" w:lineRule="auto"/>
        <w:ind w:left="714"/>
        <w:jc w:val="center"/>
        <w:rPr>
          <w:rFonts w:ascii="Arial" w:hAnsi="Arial" w:cs="Arial"/>
          <w:color w:val="auto"/>
          <w:sz w:val="24"/>
          <w:szCs w:val="24"/>
        </w:rPr>
      </w:pPr>
      <w:bookmarkStart w:id="11" w:name="_Toc508630097"/>
      <w:r w:rsidRPr="007E469E">
        <w:rPr>
          <w:rFonts w:ascii="Arial" w:hAnsi="Arial" w:cs="Arial"/>
          <w:color w:val="auto"/>
          <w:sz w:val="24"/>
          <w:szCs w:val="24"/>
        </w:rPr>
        <w:lastRenderedPageBreak/>
        <w:t>Wykaz</w:t>
      </w:r>
      <w:r w:rsidR="000C548C" w:rsidRPr="007E469E">
        <w:rPr>
          <w:rFonts w:ascii="Arial" w:hAnsi="Arial" w:cs="Arial"/>
          <w:color w:val="auto"/>
          <w:sz w:val="24"/>
          <w:szCs w:val="24"/>
        </w:rPr>
        <w:t xml:space="preserve"> </w:t>
      </w:r>
      <w:r w:rsidRPr="007E469E">
        <w:rPr>
          <w:rFonts w:ascii="Arial" w:hAnsi="Arial" w:cs="Arial"/>
          <w:color w:val="auto"/>
          <w:sz w:val="24"/>
          <w:szCs w:val="24"/>
        </w:rPr>
        <w:t>skrótów</w:t>
      </w:r>
      <w:bookmarkEnd w:id="11"/>
    </w:p>
    <w:p w:rsidR="0042436A" w:rsidRPr="007E469E" w:rsidRDefault="0042436A" w:rsidP="00A74492">
      <w:pPr>
        <w:spacing w:before="240" w:after="240" w:line="360" w:lineRule="auto"/>
        <w:jc w:val="both"/>
        <w:rPr>
          <w:rFonts w:ascii="Arial" w:hAnsi="Arial" w:cs="Arial"/>
        </w:rPr>
      </w:pPr>
      <w:r w:rsidRPr="007E469E">
        <w:rPr>
          <w:rFonts w:ascii="Arial" w:hAnsi="Arial" w:cs="Arial"/>
        </w:rPr>
        <w:t xml:space="preserve">Użyte w niniejszych </w:t>
      </w:r>
      <w:r w:rsidR="00841273">
        <w:rPr>
          <w:rFonts w:ascii="Arial" w:hAnsi="Arial" w:cs="Arial"/>
          <w:i/>
        </w:rPr>
        <w:t>W</w:t>
      </w:r>
      <w:r w:rsidRPr="007E469E">
        <w:rPr>
          <w:rFonts w:ascii="Arial" w:hAnsi="Arial" w:cs="Arial"/>
          <w:i/>
        </w:rPr>
        <w:t>ytycznych</w:t>
      </w:r>
      <w:r w:rsidR="00AD29DB" w:rsidRPr="007E469E">
        <w:rPr>
          <w:rFonts w:ascii="Arial" w:hAnsi="Arial" w:cs="Arial"/>
          <w:i/>
        </w:rPr>
        <w:t xml:space="preserve"> programowych</w:t>
      </w:r>
      <w:r w:rsidRPr="007E469E">
        <w:rPr>
          <w:rFonts w:ascii="Arial" w:hAnsi="Arial" w:cs="Arial"/>
        </w:rPr>
        <w:t xml:space="preserve"> skróty oznaczają:</w:t>
      </w:r>
      <w:r w:rsidR="004B591F">
        <w:rPr>
          <w:rFonts w:ascii="Arial" w:hAnsi="Arial" w:cs="Arial"/>
        </w:rPr>
        <w:t xml:space="preserve"> </w:t>
      </w:r>
    </w:p>
    <w:p w:rsidR="004E6298" w:rsidRDefault="004E6298"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EDB – ekwiwalent dotacji brutto,</w:t>
      </w:r>
    </w:p>
    <w:p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EFRR – Europejski Fundusz Rozwoju Regionalnego,</w:t>
      </w:r>
    </w:p>
    <w:p w:rsidR="0042436A"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EFS – Europejski Fundusz Społeczny,</w:t>
      </w:r>
    </w:p>
    <w:p w:rsidR="000559C6" w:rsidRDefault="000559C6"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 xml:space="preserve">EFSI – </w:t>
      </w:r>
      <w:r w:rsidR="007A7031">
        <w:rPr>
          <w:rFonts w:ascii="Arial" w:eastAsia="Times New Roman" w:hAnsi="Arial" w:cs="Arial"/>
          <w:lang w:eastAsia="pl-PL"/>
        </w:rPr>
        <w:t>E</w:t>
      </w:r>
      <w:r>
        <w:rPr>
          <w:rFonts w:ascii="Arial" w:eastAsia="Times New Roman" w:hAnsi="Arial" w:cs="Arial"/>
          <w:lang w:eastAsia="pl-PL"/>
        </w:rPr>
        <w:t xml:space="preserve">uropejskie </w:t>
      </w:r>
      <w:r w:rsidR="007A7031">
        <w:rPr>
          <w:rFonts w:ascii="Arial" w:eastAsia="Times New Roman" w:hAnsi="Arial" w:cs="Arial"/>
          <w:lang w:eastAsia="pl-PL"/>
        </w:rPr>
        <w:t>F</w:t>
      </w:r>
      <w:r>
        <w:rPr>
          <w:rFonts w:ascii="Arial" w:eastAsia="Times New Roman" w:hAnsi="Arial" w:cs="Arial"/>
          <w:lang w:eastAsia="pl-PL"/>
        </w:rPr>
        <w:t xml:space="preserve">undusze </w:t>
      </w:r>
      <w:r w:rsidR="007A7031">
        <w:rPr>
          <w:rFonts w:ascii="Arial" w:eastAsia="Times New Roman" w:hAnsi="Arial" w:cs="Arial"/>
          <w:lang w:eastAsia="pl-PL"/>
        </w:rPr>
        <w:t>S</w:t>
      </w:r>
      <w:r>
        <w:rPr>
          <w:rFonts w:ascii="Arial" w:eastAsia="Times New Roman" w:hAnsi="Arial" w:cs="Arial"/>
          <w:lang w:eastAsia="pl-PL"/>
        </w:rPr>
        <w:t xml:space="preserve">trukturalne i </w:t>
      </w:r>
      <w:r w:rsidR="007A7031">
        <w:rPr>
          <w:rFonts w:ascii="Arial" w:eastAsia="Times New Roman" w:hAnsi="Arial" w:cs="Arial"/>
          <w:lang w:eastAsia="pl-PL"/>
        </w:rPr>
        <w:t>I</w:t>
      </w:r>
      <w:r>
        <w:rPr>
          <w:rFonts w:ascii="Arial" w:eastAsia="Times New Roman" w:hAnsi="Arial" w:cs="Arial"/>
          <w:lang w:eastAsia="pl-PL"/>
        </w:rPr>
        <w:t>nwestycyjne,</w:t>
      </w:r>
    </w:p>
    <w:p w:rsidR="00DF61D4" w:rsidRPr="002F22B0" w:rsidRDefault="00DF61D4"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2F22B0">
        <w:rPr>
          <w:rFonts w:ascii="Arial" w:eastAsia="Times New Roman" w:hAnsi="Arial" w:cs="Arial"/>
          <w:lang w:eastAsia="pl-PL"/>
        </w:rPr>
        <w:t xml:space="preserve">GBER </w:t>
      </w:r>
      <w:r w:rsidR="002F22B0" w:rsidRPr="002F22B0">
        <w:rPr>
          <w:rFonts w:ascii="Arial" w:eastAsia="Times New Roman" w:hAnsi="Arial" w:cs="Arial"/>
          <w:lang w:eastAsia="pl-PL"/>
        </w:rPr>
        <w:t>–</w:t>
      </w:r>
      <w:r w:rsidRPr="002F22B0">
        <w:rPr>
          <w:rFonts w:ascii="Arial" w:eastAsia="Times New Roman" w:hAnsi="Arial" w:cs="Arial"/>
          <w:lang w:eastAsia="pl-PL"/>
        </w:rPr>
        <w:t xml:space="preserve"> </w:t>
      </w:r>
      <w:r w:rsidR="00355269" w:rsidRPr="002F22B0">
        <w:rPr>
          <w:rFonts w:ascii="Arial" w:eastAsia="Times New Roman" w:hAnsi="Arial" w:cs="Arial"/>
          <w:lang w:eastAsia="pl-PL"/>
        </w:rPr>
        <w:t xml:space="preserve">ang.: </w:t>
      </w:r>
      <w:proofErr w:type="spellStart"/>
      <w:r w:rsidR="00355269" w:rsidRPr="002F22B0">
        <w:rPr>
          <w:rFonts w:ascii="Arial" w:eastAsia="Times New Roman" w:hAnsi="Arial" w:cs="Arial"/>
          <w:lang w:eastAsia="pl-PL"/>
        </w:rPr>
        <w:t>general</w:t>
      </w:r>
      <w:proofErr w:type="spellEnd"/>
      <w:r w:rsidR="00355269" w:rsidRPr="002F22B0">
        <w:rPr>
          <w:rFonts w:ascii="Arial" w:eastAsia="Times New Roman" w:hAnsi="Arial" w:cs="Arial"/>
          <w:lang w:eastAsia="pl-PL"/>
        </w:rPr>
        <w:t xml:space="preserve"> </w:t>
      </w:r>
      <w:proofErr w:type="spellStart"/>
      <w:r w:rsidR="00355269" w:rsidRPr="002F22B0">
        <w:rPr>
          <w:rFonts w:ascii="Arial" w:eastAsia="Times New Roman" w:hAnsi="Arial" w:cs="Arial"/>
          <w:lang w:eastAsia="pl-PL"/>
        </w:rPr>
        <w:t>block</w:t>
      </w:r>
      <w:proofErr w:type="spellEnd"/>
      <w:r w:rsidR="00355269" w:rsidRPr="002F22B0">
        <w:rPr>
          <w:rFonts w:ascii="Arial" w:eastAsia="Times New Roman" w:hAnsi="Arial" w:cs="Arial"/>
          <w:lang w:eastAsia="pl-PL"/>
        </w:rPr>
        <w:t xml:space="preserve"> </w:t>
      </w:r>
      <w:proofErr w:type="spellStart"/>
      <w:r w:rsidR="00355269" w:rsidRPr="002F22B0">
        <w:rPr>
          <w:rFonts w:ascii="Arial" w:eastAsia="Times New Roman" w:hAnsi="Arial" w:cs="Arial"/>
          <w:lang w:eastAsia="pl-PL"/>
        </w:rPr>
        <w:t>exemption</w:t>
      </w:r>
      <w:proofErr w:type="spellEnd"/>
      <w:r w:rsidR="00355269" w:rsidRPr="002F22B0">
        <w:rPr>
          <w:rFonts w:ascii="Arial" w:eastAsia="Times New Roman" w:hAnsi="Arial" w:cs="Arial"/>
          <w:lang w:eastAsia="pl-PL"/>
        </w:rPr>
        <w:t xml:space="preserve"> </w:t>
      </w:r>
      <w:proofErr w:type="spellStart"/>
      <w:r w:rsidR="00355269" w:rsidRPr="002F22B0">
        <w:rPr>
          <w:rFonts w:ascii="Arial" w:eastAsia="Times New Roman" w:hAnsi="Arial" w:cs="Arial"/>
          <w:lang w:eastAsia="pl-PL"/>
        </w:rPr>
        <w:t>regulation</w:t>
      </w:r>
      <w:proofErr w:type="spellEnd"/>
      <w:r w:rsidR="00355269" w:rsidRPr="002F22B0">
        <w:rPr>
          <w:rFonts w:ascii="Arial" w:eastAsia="Times New Roman" w:hAnsi="Arial" w:cs="Arial"/>
          <w:lang w:eastAsia="pl-PL"/>
        </w:rPr>
        <w:t xml:space="preserve"> (</w:t>
      </w:r>
      <w:r w:rsidRPr="002F22B0">
        <w:rPr>
          <w:rFonts w:ascii="Arial" w:eastAsia="Times New Roman" w:hAnsi="Arial" w:cs="Arial"/>
          <w:lang w:eastAsia="pl-PL"/>
        </w:rPr>
        <w:t>generalne wyłączenie blokowe</w:t>
      </w:r>
      <w:r w:rsidR="00355269" w:rsidRPr="002F22B0">
        <w:rPr>
          <w:rFonts w:ascii="Arial" w:eastAsia="Times New Roman" w:hAnsi="Arial" w:cs="Arial"/>
          <w:lang w:eastAsia="pl-PL"/>
        </w:rPr>
        <w:t>)</w:t>
      </w:r>
      <w:r w:rsidR="002F22B0">
        <w:rPr>
          <w:rFonts w:ascii="Arial" w:eastAsia="Times New Roman" w:hAnsi="Arial" w:cs="Arial"/>
          <w:lang w:eastAsia="pl-PL"/>
        </w:rPr>
        <w:t xml:space="preserve"> - </w:t>
      </w:r>
      <w:r w:rsidR="002F22B0" w:rsidRPr="007E469E">
        <w:rPr>
          <w:rFonts w:ascii="Arial" w:hAnsi="Arial" w:cs="Arial"/>
        </w:rPr>
        <w:t xml:space="preserve">rozporządzenie </w:t>
      </w:r>
      <w:r w:rsidR="005F0287">
        <w:rPr>
          <w:rFonts w:ascii="Arial" w:hAnsi="Arial" w:cs="Arial"/>
        </w:rPr>
        <w:t>KE</w:t>
      </w:r>
      <w:r w:rsidR="002F22B0" w:rsidRPr="007E469E">
        <w:rPr>
          <w:rFonts w:ascii="Arial" w:hAnsi="Arial" w:cs="Arial"/>
        </w:rPr>
        <w:t xml:space="preserve"> nr 651/2014;</w:t>
      </w:r>
    </w:p>
    <w:p w:rsidR="00396BAB"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IP PO</w:t>
      </w:r>
      <w:r w:rsidR="006C560E" w:rsidRPr="007E469E">
        <w:rPr>
          <w:rFonts w:ascii="Arial" w:eastAsia="Times New Roman" w:hAnsi="Arial" w:cs="Arial"/>
          <w:lang w:eastAsia="pl-PL"/>
        </w:rPr>
        <w:t>PC</w:t>
      </w:r>
      <w:r w:rsidR="00866EDB" w:rsidRPr="007E469E">
        <w:rPr>
          <w:rFonts w:ascii="Arial" w:eastAsia="Times New Roman" w:hAnsi="Arial" w:cs="Arial"/>
          <w:lang w:eastAsia="pl-PL"/>
        </w:rPr>
        <w:t xml:space="preserve"> </w:t>
      </w:r>
      <w:r w:rsidRPr="007E469E">
        <w:rPr>
          <w:rFonts w:ascii="Arial" w:eastAsia="Times New Roman" w:hAnsi="Arial" w:cs="Arial"/>
          <w:lang w:eastAsia="pl-PL"/>
        </w:rPr>
        <w:t>– Instytucj</w:t>
      </w:r>
      <w:r w:rsidR="004E5FD5">
        <w:rPr>
          <w:rFonts w:ascii="Arial" w:eastAsia="Times New Roman" w:hAnsi="Arial" w:cs="Arial"/>
          <w:lang w:eastAsia="pl-PL"/>
        </w:rPr>
        <w:t>ę</w:t>
      </w:r>
      <w:r w:rsidRPr="007E469E">
        <w:rPr>
          <w:rFonts w:ascii="Arial" w:eastAsia="Times New Roman" w:hAnsi="Arial" w:cs="Arial"/>
          <w:lang w:eastAsia="pl-PL"/>
        </w:rPr>
        <w:t xml:space="preserve"> Pośrednicząc</w:t>
      </w:r>
      <w:r w:rsidR="004E5FD5">
        <w:rPr>
          <w:rFonts w:ascii="Arial" w:eastAsia="Times New Roman" w:hAnsi="Arial" w:cs="Arial"/>
          <w:lang w:eastAsia="pl-PL"/>
        </w:rPr>
        <w:t>ą</w:t>
      </w:r>
      <w:r w:rsidRPr="007E469E">
        <w:rPr>
          <w:rFonts w:ascii="Arial" w:eastAsia="Times New Roman" w:hAnsi="Arial" w:cs="Arial"/>
          <w:lang w:eastAsia="pl-PL"/>
        </w:rPr>
        <w:t xml:space="preserve"> POPC,</w:t>
      </w:r>
    </w:p>
    <w:p w:rsidR="0042436A" w:rsidRPr="007E469E" w:rsidRDefault="00396BAB"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 xml:space="preserve">IRU </w:t>
      </w:r>
      <w:r w:rsidR="0080707A">
        <w:rPr>
          <w:rFonts w:ascii="Arial" w:eastAsia="Times New Roman" w:hAnsi="Arial" w:cs="Arial"/>
          <w:lang w:eastAsia="pl-PL"/>
        </w:rPr>
        <w:t>–</w:t>
      </w:r>
      <w:r>
        <w:rPr>
          <w:rFonts w:ascii="Arial" w:eastAsia="Times New Roman" w:hAnsi="Arial" w:cs="Arial"/>
          <w:lang w:eastAsia="pl-PL"/>
        </w:rPr>
        <w:t xml:space="preserve"> </w:t>
      </w:r>
      <w:r w:rsidR="0080707A">
        <w:rPr>
          <w:rFonts w:ascii="Arial" w:eastAsia="Times New Roman" w:hAnsi="Arial" w:cs="Arial"/>
          <w:lang w:eastAsia="pl-PL"/>
        </w:rPr>
        <w:t xml:space="preserve">ang. </w:t>
      </w:r>
      <w:proofErr w:type="spellStart"/>
      <w:r w:rsidR="0080707A">
        <w:rPr>
          <w:rFonts w:ascii="Arial" w:eastAsia="Times New Roman" w:hAnsi="Arial" w:cs="Arial"/>
          <w:lang w:eastAsia="pl-PL"/>
        </w:rPr>
        <w:t>Indefeasible</w:t>
      </w:r>
      <w:proofErr w:type="spellEnd"/>
      <w:r w:rsidR="0080707A">
        <w:rPr>
          <w:rFonts w:ascii="Arial" w:eastAsia="Times New Roman" w:hAnsi="Arial" w:cs="Arial"/>
          <w:lang w:eastAsia="pl-PL"/>
        </w:rPr>
        <w:t xml:space="preserve"> Right of </w:t>
      </w:r>
      <w:proofErr w:type="spellStart"/>
      <w:r w:rsidR="0080707A">
        <w:rPr>
          <w:rFonts w:ascii="Arial" w:eastAsia="Times New Roman" w:hAnsi="Arial" w:cs="Arial"/>
          <w:lang w:eastAsia="pl-PL"/>
        </w:rPr>
        <w:t>Use</w:t>
      </w:r>
      <w:proofErr w:type="spellEnd"/>
      <w:r w:rsidR="0080707A">
        <w:rPr>
          <w:rFonts w:ascii="Arial" w:eastAsia="Times New Roman" w:hAnsi="Arial" w:cs="Arial"/>
          <w:lang w:eastAsia="pl-PL"/>
        </w:rPr>
        <w:t xml:space="preserve">, nieodwoływalne prawo używania </w:t>
      </w:r>
      <w:r w:rsidR="00E94D7A">
        <w:rPr>
          <w:rFonts w:ascii="Arial" w:eastAsia="Times New Roman" w:hAnsi="Arial" w:cs="Arial"/>
          <w:lang w:eastAsia="pl-PL"/>
        </w:rPr>
        <w:t xml:space="preserve"> </w:t>
      </w:r>
    </w:p>
    <w:p w:rsidR="00DB008D" w:rsidRPr="007E469E" w:rsidRDefault="00DB008D"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IZ POPC</w:t>
      </w:r>
      <w:r w:rsidR="00866EDB" w:rsidRPr="007E469E">
        <w:rPr>
          <w:rFonts w:ascii="Arial" w:eastAsia="Times New Roman" w:hAnsi="Arial" w:cs="Arial"/>
          <w:lang w:eastAsia="pl-PL"/>
        </w:rPr>
        <w:t xml:space="preserve"> </w:t>
      </w:r>
      <w:r w:rsidRPr="007E469E">
        <w:rPr>
          <w:rFonts w:ascii="Arial" w:eastAsia="Times New Roman" w:hAnsi="Arial" w:cs="Arial"/>
          <w:lang w:eastAsia="pl-PL"/>
        </w:rPr>
        <w:t xml:space="preserve">– </w:t>
      </w:r>
      <w:r w:rsidR="004E5FD5" w:rsidRPr="007E469E">
        <w:rPr>
          <w:rFonts w:ascii="Arial" w:eastAsia="Times New Roman" w:hAnsi="Arial" w:cs="Arial"/>
          <w:lang w:eastAsia="pl-PL"/>
        </w:rPr>
        <w:t>Instytucj</w:t>
      </w:r>
      <w:r w:rsidR="004E5FD5">
        <w:rPr>
          <w:rFonts w:ascii="Arial" w:eastAsia="Times New Roman" w:hAnsi="Arial" w:cs="Arial"/>
          <w:lang w:eastAsia="pl-PL"/>
        </w:rPr>
        <w:t>ę</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Zarządzając</w:t>
      </w:r>
      <w:r w:rsidR="004E5FD5">
        <w:rPr>
          <w:rFonts w:ascii="Arial" w:eastAsia="Times New Roman" w:hAnsi="Arial" w:cs="Arial"/>
          <w:lang w:eastAsia="pl-PL"/>
        </w:rPr>
        <w:t>ą</w:t>
      </w:r>
      <w:r w:rsidRPr="007E469E">
        <w:rPr>
          <w:rFonts w:ascii="Arial" w:eastAsia="Times New Roman" w:hAnsi="Arial" w:cs="Arial"/>
          <w:lang w:eastAsia="pl-PL"/>
        </w:rPr>
        <w:t xml:space="preserve"> POPC,</w:t>
      </w:r>
    </w:p>
    <w:p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KE – Komisj</w:t>
      </w:r>
      <w:r w:rsidR="004E5FD5">
        <w:rPr>
          <w:rFonts w:ascii="Arial" w:eastAsia="Times New Roman" w:hAnsi="Arial" w:cs="Arial"/>
          <w:lang w:eastAsia="pl-PL"/>
        </w:rPr>
        <w:t>ę</w:t>
      </w:r>
      <w:r w:rsidRPr="007E469E">
        <w:rPr>
          <w:rFonts w:ascii="Arial" w:eastAsia="Times New Roman" w:hAnsi="Arial" w:cs="Arial"/>
          <w:lang w:eastAsia="pl-PL"/>
        </w:rPr>
        <w:t xml:space="preserve"> Europejsk</w:t>
      </w:r>
      <w:r w:rsidR="004E5FD5">
        <w:rPr>
          <w:rFonts w:ascii="Arial" w:eastAsia="Times New Roman" w:hAnsi="Arial" w:cs="Arial"/>
          <w:lang w:eastAsia="pl-PL"/>
        </w:rPr>
        <w:t>ą</w:t>
      </w:r>
      <w:r w:rsidRPr="007E469E">
        <w:rPr>
          <w:rFonts w:ascii="Arial" w:eastAsia="Times New Roman" w:hAnsi="Arial" w:cs="Arial"/>
          <w:lang w:eastAsia="pl-PL"/>
        </w:rPr>
        <w:t>,</w:t>
      </w:r>
    </w:p>
    <w:p w:rsidR="00533293"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 xml:space="preserve">MŚP – </w:t>
      </w:r>
      <w:r w:rsidR="007A7031">
        <w:rPr>
          <w:rFonts w:ascii="Arial" w:eastAsia="Times New Roman" w:hAnsi="Arial" w:cs="Arial"/>
          <w:lang w:eastAsia="pl-PL"/>
        </w:rPr>
        <w:t xml:space="preserve">mikro, </w:t>
      </w:r>
      <w:r w:rsidRPr="007E469E">
        <w:rPr>
          <w:rFonts w:ascii="Arial" w:eastAsia="Times New Roman" w:hAnsi="Arial" w:cs="Arial"/>
          <w:lang w:eastAsia="pl-PL"/>
        </w:rPr>
        <w:t>małe i średnie przedsiębiorstwa</w:t>
      </w:r>
      <w:r w:rsidR="006358A8" w:rsidRPr="007E469E">
        <w:rPr>
          <w:rFonts w:ascii="Arial" w:eastAsia="Times New Roman" w:hAnsi="Arial" w:cs="Arial"/>
          <w:lang w:eastAsia="pl-PL"/>
        </w:rPr>
        <w:t>,</w:t>
      </w:r>
    </w:p>
    <w:p w:rsidR="0042436A" w:rsidRDefault="00946F3B"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P</w:t>
      </w:r>
      <w:r w:rsidR="0042436A" w:rsidRPr="007E469E">
        <w:rPr>
          <w:rFonts w:ascii="Arial" w:eastAsia="Times New Roman" w:hAnsi="Arial" w:cs="Arial"/>
          <w:lang w:eastAsia="pl-PL"/>
        </w:rPr>
        <w:t>OPC</w:t>
      </w:r>
      <w:r w:rsidR="00B77FD2" w:rsidRPr="007E469E">
        <w:rPr>
          <w:rFonts w:ascii="Arial" w:eastAsia="Times New Roman" w:hAnsi="Arial" w:cs="Arial"/>
          <w:lang w:eastAsia="pl-PL"/>
        </w:rPr>
        <w:t xml:space="preserve"> </w:t>
      </w:r>
      <w:r w:rsidR="0042436A" w:rsidRPr="007E469E">
        <w:rPr>
          <w:rFonts w:ascii="Arial" w:eastAsia="Times New Roman" w:hAnsi="Arial" w:cs="Arial"/>
          <w:lang w:eastAsia="pl-PL"/>
        </w:rPr>
        <w:t xml:space="preserve">– Program Operacyjny Polska Cyfrowa </w:t>
      </w:r>
      <w:r w:rsidR="00B77FD2" w:rsidRPr="007E469E">
        <w:rPr>
          <w:rFonts w:ascii="Arial" w:eastAsia="Times New Roman" w:hAnsi="Arial" w:cs="Arial"/>
          <w:lang w:eastAsia="pl-PL"/>
        </w:rPr>
        <w:t xml:space="preserve">na lata </w:t>
      </w:r>
      <w:r w:rsidR="0042436A" w:rsidRPr="007E469E">
        <w:rPr>
          <w:rFonts w:ascii="Arial" w:eastAsia="Times New Roman" w:hAnsi="Arial" w:cs="Arial"/>
          <w:lang w:eastAsia="pl-PL"/>
        </w:rPr>
        <w:t>2014-2020,</w:t>
      </w:r>
    </w:p>
    <w:p w:rsidR="007A7031" w:rsidRPr="007E469E" w:rsidRDefault="007A7031" w:rsidP="0030426E">
      <w:pPr>
        <w:numPr>
          <w:ilvl w:val="0"/>
          <w:numId w:val="2"/>
        </w:numPr>
        <w:spacing w:before="240" w:after="240" w:line="360" w:lineRule="auto"/>
        <w:ind w:left="426" w:hanging="426"/>
        <w:jc w:val="both"/>
        <w:outlineLvl w:val="5"/>
        <w:rPr>
          <w:rFonts w:ascii="Arial" w:eastAsia="Times New Roman" w:hAnsi="Arial" w:cs="Arial"/>
          <w:lang w:eastAsia="pl-PL"/>
        </w:rPr>
      </w:pPr>
      <w:proofErr w:type="spellStart"/>
      <w:r>
        <w:rPr>
          <w:rFonts w:ascii="Arial" w:eastAsia="Times New Roman" w:hAnsi="Arial" w:cs="Arial"/>
          <w:lang w:eastAsia="pl-PL"/>
        </w:rPr>
        <w:t>Pzp</w:t>
      </w:r>
      <w:proofErr w:type="spellEnd"/>
      <w:r>
        <w:rPr>
          <w:rFonts w:ascii="Arial" w:eastAsia="Times New Roman" w:hAnsi="Arial" w:cs="Arial"/>
          <w:lang w:eastAsia="pl-PL"/>
        </w:rPr>
        <w:t xml:space="preserve"> – ustawę z dnia 29 stycznia 2004 r. – Prawo zamówień publicznych (Dz. U. z 201</w:t>
      </w:r>
      <w:r w:rsidR="00596030">
        <w:rPr>
          <w:rFonts w:ascii="Arial" w:eastAsia="Times New Roman" w:hAnsi="Arial" w:cs="Arial"/>
          <w:lang w:eastAsia="pl-PL"/>
        </w:rPr>
        <w:t>7</w:t>
      </w:r>
      <w:r>
        <w:rPr>
          <w:rFonts w:ascii="Arial" w:eastAsia="Times New Roman" w:hAnsi="Arial" w:cs="Arial"/>
          <w:lang w:eastAsia="pl-PL"/>
        </w:rPr>
        <w:t xml:space="preserve"> r. poz. </w:t>
      </w:r>
      <w:r w:rsidR="00596030">
        <w:rPr>
          <w:rFonts w:ascii="Arial" w:eastAsia="Times New Roman" w:hAnsi="Arial" w:cs="Arial"/>
          <w:lang w:eastAsia="pl-PL"/>
        </w:rPr>
        <w:t>1579</w:t>
      </w:r>
      <w:r>
        <w:rPr>
          <w:rFonts w:ascii="Arial" w:eastAsia="Times New Roman" w:hAnsi="Arial" w:cs="Arial"/>
          <w:lang w:eastAsia="pl-PL"/>
        </w:rPr>
        <w:t>),</w:t>
      </w:r>
    </w:p>
    <w:p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SZO</w:t>
      </w:r>
      <w:r w:rsidR="004E5FD5">
        <w:rPr>
          <w:rFonts w:ascii="Arial" w:eastAsia="Times New Roman" w:hAnsi="Arial" w:cs="Arial"/>
          <w:lang w:eastAsia="pl-PL"/>
        </w:rPr>
        <w:t>O</w:t>
      </w:r>
      <w:r w:rsidRPr="007E469E">
        <w:rPr>
          <w:rFonts w:ascii="Arial" w:eastAsia="Times New Roman" w:hAnsi="Arial" w:cs="Arial"/>
          <w:lang w:eastAsia="pl-PL"/>
        </w:rPr>
        <w:t xml:space="preserve">P – </w:t>
      </w:r>
      <w:r w:rsidR="00DE048C">
        <w:rPr>
          <w:rFonts w:ascii="Arial" w:eastAsia="Times New Roman" w:hAnsi="Arial" w:cs="Arial"/>
          <w:lang w:eastAsia="pl-PL"/>
        </w:rPr>
        <w:t>S</w:t>
      </w:r>
      <w:r w:rsidR="00B77FD2" w:rsidRPr="007E469E">
        <w:rPr>
          <w:rFonts w:ascii="Arial" w:eastAsia="Times New Roman" w:hAnsi="Arial" w:cs="Arial"/>
          <w:lang w:eastAsia="pl-PL"/>
        </w:rPr>
        <w:t xml:space="preserve">zczegółowy opis osi priorytetowych </w:t>
      </w:r>
      <w:r w:rsidR="00DE048C">
        <w:rPr>
          <w:rFonts w:ascii="Arial" w:eastAsia="Times New Roman" w:hAnsi="Arial" w:cs="Arial"/>
          <w:lang w:eastAsia="pl-PL"/>
        </w:rPr>
        <w:t>POPC</w:t>
      </w:r>
      <w:r w:rsidR="004E5FD5">
        <w:rPr>
          <w:rFonts w:ascii="Arial" w:eastAsia="Times New Roman" w:hAnsi="Arial" w:cs="Arial"/>
          <w:lang w:eastAsia="pl-PL"/>
        </w:rPr>
        <w:t xml:space="preserve">, </w:t>
      </w:r>
    </w:p>
    <w:p w:rsidR="004B2034" w:rsidRPr="007E469E" w:rsidRDefault="004B2034"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TFUE – Traktat o f</w:t>
      </w:r>
      <w:r w:rsidR="006237BF" w:rsidRPr="007E469E">
        <w:rPr>
          <w:rFonts w:ascii="Arial" w:eastAsia="Times New Roman" w:hAnsi="Arial" w:cs="Arial"/>
          <w:lang w:eastAsia="pl-PL"/>
        </w:rPr>
        <w:t>unkcjonowaniu Unii Europejskiej,</w:t>
      </w:r>
    </w:p>
    <w:p w:rsidR="00332032" w:rsidRPr="00E94D7A" w:rsidRDefault="004B2034" w:rsidP="00E94D7A">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 xml:space="preserve">UE – </w:t>
      </w:r>
      <w:r w:rsidR="004E5FD5" w:rsidRPr="007E469E">
        <w:rPr>
          <w:rFonts w:ascii="Arial" w:eastAsia="Times New Roman" w:hAnsi="Arial" w:cs="Arial"/>
          <w:lang w:eastAsia="pl-PL"/>
        </w:rPr>
        <w:t>Uni</w:t>
      </w:r>
      <w:r w:rsidR="004E5FD5">
        <w:rPr>
          <w:rFonts w:ascii="Arial" w:eastAsia="Times New Roman" w:hAnsi="Arial" w:cs="Arial"/>
          <w:lang w:eastAsia="pl-PL"/>
        </w:rPr>
        <w:t>ę</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Europejsk</w:t>
      </w:r>
      <w:r w:rsidR="004E5FD5">
        <w:rPr>
          <w:rFonts w:ascii="Arial" w:eastAsia="Times New Roman" w:hAnsi="Arial" w:cs="Arial"/>
          <w:lang w:eastAsia="pl-PL"/>
        </w:rPr>
        <w:t>ą</w:t>
      </w:r>
      <w:r w:rsidR="006237BF" w:rsidRPr="007E469E">
        <w:rPr>
          <w:rFonts w:ascii="Arial" w:eastAsia="Times New Roman" w:hAnsi="Arial" w:cs="Arial"/>
          <w:lang w:eastAsia="pl-PL"/>
        </w:rPr>
        <w:t>,</w:t>
      </w:r>
      <w:r w:rsidR="00332032" w:rsidRPr="00E94D7A">
        <w:rPr>
          <w:rFonts w:ascii="Arial" w:eastAsia="Times New Roman" w:hAnsi="Arial" w:cs="Arial"/>
          <w:lang w:eastAsia="pl-PL"/>
        </w:rPr>
        <w:br w:type="page"/>
      </w:r>
    </w:p>
    <w:p w:rsidR="00966A85" w:rsidRPr="007E469E" w:rsidRDefault="00966A85" w:rsidP="00472BC4">
      <w:pPr>
        <w:pStyle w:val="Nagwek1"/>
        <w:numPr>
          <w:ilvl w:val="0"/>
          <w:numId w:val="1"/>
        </w:numPr>
        <w:spacing w:before="240" w:after="60" w:line="360" w:lineRule="auto"/>
        <w:ind w:left="714" w:hanging="357"/>
        <w:jc w:val="center"/>
        <w:rPr>
          <w:rFonts w:ascii="Arial" w:hAnsi="Arial" w:cs="Arial"/>
          <w:color w:val="auto"/>
          <w:sz w:val="24"/>
          <w:szCs w:val="24"/>
        </w:rPr>
      </w:pPr>
      <w:bookmarkStart w:id="12" w:name="_Toc496191524"/>
      <w:bookmarkStart w:id="13" w:name="_Toc496191574"/>
      <w:bookmarkStart w:id="14" w:name="_Toc496191525"/>
      <w:bookmarkStart w:id="15" w:name="_Toc496191575"/>
      <w:bookmarkStart w:id="16" w:name="_Toc496191526"/>
      <w:bookmarkStart w:id="17" w:name="_Toc496191576"/>
      <w:bookmarkStart w:id="18" w:name="_Toc508630098"/>
      <w:bookmarkEnd w:id="12"/>
      <w:bookmarkEnd w:id="13"/>
      <w:bookmarkEnd w:id="14"/>
      <w:bookmarkEnd w:id="15"/>
      <w:bookmarkEnd w:id="16"/>
      <w:bookmarkEnd w:id="17"/>
      <w:r w:rsidRPr="007E469E">
        <w:rPr>
          <w:rFonts w:ascii="Arial" w:hAnsi="Arial" w:cs="Arial"/>
          <w:color w:val="auto"/>
          <w:sz w:val="24"/>
          <w:szCs w:val="24"/>
        </w:rPr>
        <w:lastRenderedPageBreak/>
        <w:t>Rozdział - Słowniczek pojęć</w:t>
      </w:r>
      <w:bookmarkEnd w:id="18"/>
    </w:p>
    <w:p w:rsidR="00740FCE" w:rsidRPr="007E469E" w:rsidRDefault="00740FCE" w:rsidP="00740FCE">
      <w:pPr>
        <w:spacing w:before="240" w:after="240" w:line="360" w:lineRule="auto"/>
        <w:jc w:val="both"/>
        <w:rPr>
          <w:rFonts w:ascii="Arial" w:eastAsia="Calibri" w:hAnsi="Arial" w:cs="Arial"/>
        </w:rPr>
      </w:pPr>
      <w:r w:rsidRPr="007E469E">
        <w:rPr>
          <w:rFonts w:ascii="Arial" w:eastAsia="Calibri" w:hAnsi="Arial" w:cs="Arial"/>
        </w:rPr>
        <w:t xml:space="preserve">Użyte w </w:t>
      </w:r>
      <w:r w:rsidR="00423B97">
        <w:rPr>
          <w:rFonts w:ascii="Arial" w:eastAsia="Calibri" w:hAnsi="Arial" w:cs="Arial"/>
          <w:i/>
        </w:rPr>
        <w:t>Katalogu</w:t>
      </w:r>
      <w:r w:rsidRPr="007E469E">
        <w:rPr>
          <w:rFonts w:ascii="Arial" w:eastAsia="Calibri" w:hAnsi="Arial" w:cs="Arial"/>
        </w:rPr>
        <w:t xml:space="preserve"> określenia oznaczają: </w:t>
      </w:r>
    </w:p>
    <w:p w:rsidR="00D05645" w:rsidRPr="007E469E" w:rsidRDefault="00740FCE" w:rsidP="00137BC9">
      <w:pPr>
        <w:numPr>
          <w:ilvl w:val="0"/>
          <w:numId w:val="10"/>
        </w:numPr>
        <w:spacing w:before="240" w:after="240" w:line="360" w:lineRule="auto"/>
        <w:contextualSpacing/>
        <w:jc w:val="both"/>
        <w:rPr>
          <w:rFonts w:ascii="Arial" w:eastAsia="Calibri" w:hAnsi="Arial" w:cs="Arial"/>
        </w:rPr>
      </w:pPr>
      <w:r w:rsidRPr="007E469E">
        <w:rPr>
          <w:rFonts w:ascii="Arial" w:eastAsia="Calibri" w:hAnsi="Arial" w:cs="Arial"/>
        </w:rPr>
        <w:t xml:space="preserve">beneficjent – podmiot, o którym mowa w art. 2 pkt 10 lub w art. 63 rozporządzenia </w:t>
      </w:r>
      <w:r w:rsidR="007D28CA" w:rsidRPr="007E469E">
        <w:rPr>
          <w:rFonts w:ascii="Arial" w:eastAsia="Calibri" w:hAnsi="Arial" w:cs="Arial"/>
        </w:rPr>
        <w:t>ogólnego</w:t>
      </w:r>
      <w:r w:rsidRPr="007E469E">
        <w:rPr>
          <w:rFonts w:ascii="Arial" w:eastAsia="Calibri" w:hAnsi="Arial" w:cs="Arial"/>
        </w:rPr>
        <w:t xml:space="preserve">; </w:t>
      </w:r>
      <w:r w:rsidR="00AF2250">
        <w:rPr>
          <w:rFonts w:ascii="Arial" w:eastAsia="Calibri" w:hAnsi="Arial" w:cs="Arial"/>
        </w:rPr>
        <w:t>na potrzeby niniejsz</w:t>
      </w:r>
      <w:r w:rsidR="00423B97">
        <w:rPr>
          <w:rFonts w:ascii="Arial" w:eastAsia="Calibri" w:hAnsi="Arial" w:cs="Arial"/>
        </w:rPr>
        <w:t xml:space="preserve">ego </w:t>
      </w:r>
      <w:r w:rsidR="00423B97" w:rsidRPr="00423B97">
        <w:rPr>
          <w:rFonts w:ascii="Arial" w:eastAsia="Calibri" w:hAnsi="Arial" w:cs="Arial"/>
          <w:i/>
        </w:rPr>
        <w:t>Katalogu</w:t>
      </w:r>
      <w:r w:rsidR="00AF2250">
        <w:rPr>
          <w:rFonts w:ascii="Arial" w:eastAsia="Calibri" w:hAnsi="Arial" w:cs="Arial"/>
        </w:rPr>
        <w:t xml:space="preserve"> </w:t>
      </w:r>
      <w:r w:rsidRPr="007E469E">
        <w:rPr>
          <w:rFonts w:ascii="Arial" w:eastAsia="Calibri" w:hAnsi="Arial" w:cs="Arial"/>
        </w:rPr>
        <w:t xml:space="preserve">ilekroć jest mowa o </w:t>
      </w:r>
      <w:r w:rsidR="00150EC2" w:rsidRPr="007E469E">
        <w:rPr>
          <w:rFonts w:ascii="Arial" w:eastAsia="Calibri" w:hAnsi="Arial" w:cs="Arial"/>
        </w:rPr>
        <w:t xml:space="preserve">beneficjencie, </w:t>
      </w:r>
      <w:r w:rsidR="00AF2250">
        <w:rPr>
          <w:rFonts w:ascii="Arial" w:eastAsia="Calibri" w:hAnsi="Arial" w:cs="Arial"/>
        </w:rPr>
        <w:t xml:space="preserve">należy </w:t>
      </w:r>
      <w:r w:rsidR="000833F8">
        <w:rPr>
          <w:rFonts w:ascii="Arial" w:eastAsia="Calibri" w:hAnsi="Arial" w:cs="Arial"/>
        </w:rPr>
        <w:t xml:space="preserve">przez to </w:t>
      </w:r>
      <w:r w:rsidR="00AF2250">
        <w:rPr>
          <w:rFonts w:ascii="Arial" w:eastAsia="Calibri" w:hAnsi="Arial" w:cs="Arial"/>
        </w:rPr>
        <w:t xml:space="preserve">również rozumieć </w:t>
      </w:r>
      <w:r w:rsidR="000833F8">
        <w:rPr>
          <w:rFonts w:ascii="Arial" w:eastAsia="Calibri" w:hAnsi="Arial" w:cs="Arial"/>
        </w:rPr>
        <w:t xml:space="preserve">wskazanych w umowie o dofinansowanie projektu </w:t>
      </w:r>
      <w:r w:rsidRPr="007E469E">
        <w:rPr>
          <w:rFonts w:ascii="Arial" w:eastAsia="Calibri" w:hAnsi="Arial" w:cs="Arial"/>
        </w:rPr>
        <w:t>partnera</w:t>
      </w:r>
      <w:r w:rsidR="000833F8">
        <w:rPr>
          <w:rFonts w:ascii="Arial" w:eastAsia="Calibri" w:hAnsi="Arial" w:cs="Arial"/>
        </w:rPr>
        <w:t xml:space="preserve"> i</w:t>
      </w:r>
      <w:r w:rsidRPr="007E469E">
        <w:rPr>
          <w:rFonts w:ascii="Arial" w:eastAsia="Calibri" w:hAnsi="Arial" w:cs="Arial"/>
        </w:rPr>
        <w:t xml:space="preserve"> podmiot upoważniony </w:t>
      </w:r>
      <w:r w:rsidR="009C4FF9" w:rsidRPr="007E469E">
        <w:rPr>
          <w:rFonts w:ascii="Arial" w:eastAsia="Calibri" w:hAnsi="Arial" w:cs="Arial"/>
        </w:rPr>
        <w:t xml:space="preserve">do </w:t>
      </w:r>
      <w:r w:rsidR="000833F8">
        <w:rPr>
          <w:rFonts w:ascii="Arial" w:eastAsia="Calibri" w:hAnsi="Arial" w:cs="Arial"/>
        </w:rPr>
        <w:t>ponoszenia</w:t>
      </w:r>
      <w:r w:rsidR="000833F8" w:rsidRPr="007E469E">
        <w:rPr>
          <w:rFonts w:ascii="Arial" w:eastAsia="Calibri" w:hAnsi="Arial" w:cs="Arial"/>
        </w:rPr>
        <w:t xml:space="preserve"> </w:t>
      </w:r>
      <w:r w:rsidR="009C4FF9" w:rsidRPr="007E469E">
        <w:rPr>
          <w:rFonts w:ascii="Arial" w:eastAsia="Calibri" w:hAnsi="Arial" w:cs="Arial"/>
        </w:rPr>
        <w:t>wydatków</w:t>
      </w:r>
      <w:r w:rsidR="00DA53E2" w:rsidRPr="007E469E">
        <w:rPr>
          <w:rFonts w:ascii="Arial" w:eastAsia="Times New Roman" w:hAnsi="Arial" w:cs="Arial"/>
          <w:lang w:eastAsia="pl-PL"/>
        </w:rPr>
        <w:t xml:space="preserve"> </w:t>
      </w:r>
      <w:r w:rsidRPr="007E469E">
        <w:rPr>
          <w:rFonts w:ascii="Arial" w:eastAsia="Calibri" w:hAnsi="Arial" w:cs="Arial"/>
        </w:rPr>
        <w:t xml:space="preserve">chyba, że z treści </w:t>
      </w:r>
      <w:r w:rsidR="005B528A" w:rsidRPr="007E469E">
        <w:rPr>
          <w:rFonts w:ascii="Arial" w:eastAsia="Calibri" w:hAnsi="Arial" w:cs="Arial"/>
          <w:i/>
        </w:rPr>
        <w:t>Wytycznych</w:t>
      </w:r>
      <w:r w:rsidR="005B528A" w:rsidRPr="007E469E">
        <w:rPr>
          <w:rFonts w:ascii="Arial" w:eastAsia="Calibri" w:hAnsi="Arial" w:cs="Arial"/>
        </w:rPr>
        <w:t xml:space="preserve"> lub </w:t>
      </w:r>
      <w:r w:rsidR="00423B97">
        <w:rPr>
          <w:rFonts w:ascii="Arial" w:eastAsia="Calibri" w:hAnsi="Arial" w:cs="Arial"/>
          <w:i/>
        </w:rPr>
        <w:t>Katalogu</w:t>
      </w:r>
      <w:r w:rsidR="00423B97" w:rsidRPr="007E469E">
        <w:rPr>
          <w:rFonts w:ascii="Arial" w:eastAsia="Calibri" w:hAnsi="Arial" w:cs="Arial"/>
        </w:rPr>
        <w:t xml:space="preserve"> </w:t>
      </w:r>
      <w:r w:rsidRPr="007E469E">
        <w:rPr>
          <w:rFonts w:ascii="Arial" w:eastAsia="Calibri" w:hAnsi="Arial" w:cs="Arial"/>
        </w:rPr>
        <w:t xml:space="preserve">wynika, że </w:t>
      </w:r>
      <w:r w:rsidR="00AF2250">
        <w:rPr>
          <w:rFonts w:ascii="Arial" w:eastAsia="Calibri" w:hAnsi="Arial" w:cs="Arial"/>
        </w:rPr>
        <w:t xml:space="preserve">w danym kontekście </w:t>
      </w:r>
      <w:r w:rsidRPr="007E469E">
        <w:rPr>
          <w:rFonts w:ascii="Arial" w:eastAsia="Calibri" w:hAnsi="Arial" w:cs="Arial"/>
        </w:rPr>
        <w:t>chodzi o beneficjenta jako stronę umowy</w:t>
      </w:r>
      <w:r w:rsidR="00846ADE">
        <w:rPr>
          <w:rFonts w:ascii="Arial" w:eastAsia="Calibri" w:hAnsi="Arial" w:cs="Arial"/>
        </w:rPr>
        <w:t xml:space="preserve"> </w:t>
      </w:r>
      <w:r w:rsidRPr="007E469E">
        <w:rPr>
          <w:rFonts w:ascii="Arial" w:eastAsia="Calibri" w:hAnsi="Arial" w:cs="Arial"/>
        </w:rPr>
        <w:t>o dofinansowanie</w:t>
      </w:r>
      <w:r w:rsidR="00701B4A">
        <w:rPr>
          <w:rFonts w:ascii="Arial" w:eastAsia="Calibri" w:hAnsi="Arial" w:cs="Arial"/>
        </w:rPr>
        <w:t xml:space="preserve"> projektu</w:t>
      </w:r>
      <w:r w:rsidR="005F5959">
        <w:rPr>
          <w:rFonts w:ascii="Arial" w:eastAsia="Calibri" w:hAnsi="Arial" w:cs="Arial"/>
        </w:rPr>
        <w:t>;</w:t>
      </w:r>
    </w:p>
    <w:p w:rsidR="00416C45" w:rsidRPr="00F04887" w:rsidRDefault="00416C45" w:rsidP="00137BC9">
      <w:pPr>
        <w:numPr>
          <w:ilvl w:val="0"/>
          <w:numId w:val="10"/>
        </w:numPr>
        <w:spacing w:before="240" w:after="240" w:line="360" w:lineRule="auto"/>
        <w:contextualSpacing/>
        <w:jc w:val="both"/>
        <w:rPr>
          <w:rFonts w:ascii="Arial" w:eastAsia="Calibri" w:hAnsi="Arial" w:cs="Arial"/>
        </w:rPr>
      </w:pPr>
      <w:r w:rsidRPr="005476DC">
        <w:rPr>
          <w:rFonts w:ascii="Arial" w:eastAsia="Calibri" w:hAnsi="Arial" w:cs="Arial"/>
        </w:rPr>
        <w:t xml:space="preserve">dochód wygenerowany podczas realizacji projektu – </w:t>
      </w:r>
      <w:r w:rsidR="00731FAC">
        <w:rPr>
          <w:rFonts w:ascii="Arial" w:eastAsia="Calibri" w:hAnsi="Arial" w:cs="Arial"/>
        </w:rPr>
        <w:t xml:space="preserve">zgodnie z art. 65 ust. 8 rozporządzenia ogólnego </w:t>
      </w:r>
      <w:r w:rsidRPr="005476DC">
        <w:rPr>
          <w:rFonts w:ascii="Arial" w:eastAsia="Calibri" w:hAnsi="Arial" w:cs="Arial"/>
        </w:rPr>
        <w:t>dochód</w:t>
      </w:r>
      <w:r w:rsidRPr="00395C47">
        <w:rPr>
          <w:rStyle w:val="Odwoanieprzypisudolnego"/>
          <w:rFonts w:eastAsiaTheme="majorEastAsia"/>
          <w:sz w:val="18"/>
          <w:szCs w:val="18"/>
          <w:lang w:val="x-none"/>
        </w:rPr>
        <w:footnoteReference w:id="1"/>
      </w:r>
      <w:r w:rsidRPr="005476DC">
        <w:rPr>
          <w:rFonts w:ascii="Arial" w:eastAsia="Calibri" w:hAnsi="Arial" w:cs="Arial"/>
        </w:rPr>
        <w:t xml:space="preserve">, który nie został wzięty pod uwagę w czasie zatwierdzania projektu, wygenerowany wyłącznie podczas jego wdrażania, </w:t>
      </w:r>
      <w:r w:rsidR="00731FAC">
        <w:rPr>
          <w:rFonts w:ascii="Arial" w:eastAsia="Calibri" w:hAnsi="Arial" w:cs="Arial"/>
        </w:rPr>
        <w:t xml:space="preserve">wykazany </w:t>
      </w:r>
      <w:r w:rsidRPr="005476DC">
        <w:rPr>
          <w:rFonts w:ascii="Arial" w:eastAsia="Calibri" w:hAnsi="Arial" w:cs="Arial"/>
        </w:rPr>
        <w:t>nie później niż w momencie złożenia przez beneficj</w:t>
      </w:r>
      <w:r w:rsidR="007548E0" w:rsidRPr="005476DC">
        <w:rPr>
          <w:rFonts w:ascii="Arial" w:eastAsia="Calibri" w:hAnsi="Arial" w:cs="Arial"/>
        </w:rPr>
        <w:t>enta wniosku o płatność końcową;</w:t>
      </w:r>
    </w:p>
    <w:p w:rsidR="00731FAC" w:rsidRPr="00FC112E" w:rsidRDefault="00731FAC" w:rsidP="00137BC9">
      <w:pPr>
        <w:numPr>
          <w:ilvl w:val="0"/>
          <w:numId w:val="10"/>
        </w:numPr>
        <w:spacing w:before="240" w:after="240" w:line="360" w:lineRule="auto"/>
        <w:contextualSpacing/>
        <w:jc w:val="both"/>
        <w:rPr>
          <w:rFonts w:ascii="Arial" w:eastAsia="Calibri" w:hAnsi="Arial" w:cs="Arial"/>
        </w:rPr>
      </w:pPr>
      <w:r w:rsidRPr="00E00B2F">
        <w:rPr>
          <w:rFonts w:ascii="Arial" w:eastAsia="Calibri" w:hAnsi="Arial" w:cs="Arial"/>
        </w:rPr>
        <w:t xml:space="preserve">dochód </w:t>
      </w:r>
      <w:r>
        <w:rPr>
          <w:rFonts w:ascii="Arial" w:eastAsia="Calibri" w:hAnsi="Arial" w:cs="Arial"/>
        </w:rPr>
        <w:t xml:space="preserve">wygenerowany </w:t>
      </w:r>
      <w:r w:rsidRPr="00E00B2F">
        <w:rPr>
          <w:rFonts w:ascii="Arial" w:eastAsia="Calibri" w:hAnsi="Arial" w:cs="Arial"/>
        </w:rPr>
        <w:t xml:space="preserve">po </w:t>
      </w:r>
      <w:r>
        <w:rPr>
          <w:rFonts w:ascii="Arial" w:eastAsia="Calibri" w:hAnsi="Arial" w:cs="Arial"/>
        </w:rPr>
        <w:t>za</w:t>
      </w:r>
      <w:r w:rsidRPr="00E00B2F">
        <w:rPr>
          <w:rFonts w:ascii="Arial" w:eastAsia="Calibri" w:hAnsi="Arial" w:cs="Arial"/>
        </w:rPr>
        <w:t xml:space="preserve">kończeniu </w:t>
      </w:r>
      <w:r>
        <w:rPr>
          <w:rFonts w:ascii="Arial" w:eastAsia="Calibri" w:hAnsi="Arial" w:cs="Arial"/>
        </w:rPr>
        <w:t>projektu</w:t>
      </w:r>
      <w:r w:rsidR="0047547E" w:rsidRPr="00395C47">
        <w:rPr>
          <w:rStyle w:val="Odwoanieprzypisudolnego"/>
          <w:rFonts w:ascii="Arial" w:eastAsia="Calibri" w:hAnsi="Arial" w:cs="Arial"/>
          <w:sz w:val="18"/>
          <w:szCs w:val="18"/>
        </w:rPr>
        <w:footnoteReference w:id="2"/>
      </w:r>
      <w:r>
        <w:rPr>
          <w:rFonts w:ascii="Arial" w:eastAsia="Calibri" w:hAnsi="Arial" w:cs="Arial"/>
        </w:rPr>
        <w:t xml:space="preserve"> </w:t>
      </w:r>
      <w:r w:rsidRPr="00E00B2F">
        <w:rPr>
          <w:rFonts w:ascii="Arial" w:eastAsia="Calibri" w:hAnsi="Arial" w:cs="Arial"/>
        </w:rPr>
        <w:t>– dochód</w:t>
      </w:r>
      <w:r w:rsidR="00DD0764">
        <w:rPr>
          <w:rFonts w:ascii="Arial" w:eastAsia="Calibri" w:hAnsi="Arial" w:cs="Arial"/>
        </w:rPr>
        <w:t xml:space="preserve"> w rozumieniu art. 61 ust. 1 – rozporządzenia ogólnego, </w:t>
      </w:r>
      <w:r w:rsidRPr="00E00B2F">
        <w:rPr>
          <w:rFonts w:ascii="Arial" w:eastAsia="Calibri" w:hAnsi="Arial" w:cs="Arial"/>
        </w:rPr>
        <w:t>tj.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osiągnięte przez operacj</w:t>
      </w:r>
      <w:r>
        <w:rPr>
          <w:rFonts w:ascii="Arial" w:eastAsia="Calibri" w:hAnsi="Arial" w:cs="Arial"/>
        </w:rPr>
        <w:t>ę</w:t>
      </w:r>
      <w:r w:rsidRPr="00E00B2F">
        <w:rPr>
          <w:rFonts w:ascii="Arial" w:eastAsia="Calibri" w:hAnsi="Arial" w:cs="Arial"/>
        </w:rPr>
        <w:t xml:space="preserve">, chyba że są skompensowane równoważnym zmniejszeniem dotacji na działalność. </w:t>
      </w:r>
      <w:r w:rsidRPr="00FC112E">
        <w:rPr>
          <w:rFonts w:ascii="Arial" w:eastAsia="Calibri" w:hAnsi="Arial" w:cs="Arial"/>
        </w:rPr>
        <w:t>Powyższa definicja odnosi się do dochodu wygenerowanego w okresie odniesienia obejmującym zarówno realizację tej operacji, jak i okres po jej ukończeniu;</w:t>
      </w:r>
    </w:p>
    <w:p w:rsidR="00740FCE" w:rsidRPr="007E469E" w:rsidRDefault="00740FCE" w:rsidP="00137BC9">
      <w:pPr>
        <w:numPr>
          <w:ilvl w:val="0"/>
          <w:numId w:val="10"/>
        </w:numPr>
        <w:spacing w:before="240" w:after="240" w:line="360" w:lineRule="auto"/>
        <w:contextualSpacing/>
        <w:jc w:val="both"/>
        <w:rPr>
          <w:rFonts w:ascii="Arial" w:eastAsia="Calibri" w:hAnsi="Arial" w:cs="Arial"/>
        </w:rPr>
      </w:pPr>
      <w:r w:rsidRPr="007E469E">
        <w:rPr>
          <w:rFonts w:ascii="Arial" w:eastAsia="Calibri" w:hAnsi="Arial" w:cs="Arial"/>
        </w:rPr>
        <w:t>dofinansowanie –</w:t>
      </w:r>
      <w:r w:rsidR="00C401DF">
        <w:rPr>
          <w:rFonts w:ascii="Arial" w:eastAsia="Calibri" w:hAnsi="Arial" w:cs="Arial"/>
        </w:rPr>
        <w:t xml:space="preserve"> </w:t>
      </w:r>
      <w:r w:rsidRPr="007E469E">
        <w:rPr>
          <w:rFonts w:ascii="Arial" w:eastAsia="Calibri" w:hAnsi="Arial" w:cs="Arial"/>
        </w:rPr>
        <w:t xml:space="preserve">współfinansowanie </w:t>
      </w:r>
      <w:r w:rsidR="00BC1FED">
        <w:rPr>
          <w:rFonts w:ascii="Arial" w:eastAsia="Calibri" w:hAnsi="Arial" w:cs="Arial"/>
        </w:rPr>
        <w:t xml:space="preserve">z budżetu </w:t>
      </w:r>
      <w:r w:rsidRPr="007E469E">
        <w:rPr>
          <w:rFonts w:ascii="Arial" w:eastAsia="Calibri" w:hAnsi="Arial" w:cs="Arial"/>
        </w:rPr>
        <w:t>UE lub współfinanso</w:t>
      </w:r>
      <w:r w:rsidR="00E72277" w:rsidRPr="007E469E">
        <w:rPr>
          <w:rFonts w:ascii="Arial" w:eastAsia="Calibri" w:hAnsi="Arial" w:cs="Arial"/>
        </w:rPr>
        <w:t>wanie krajowe z budżetu państwa</w:t>
      </w:r>
      <w:r w:rsidR="00EF3A1D" w:rsidRPr="00395C47">
        <w:rPr>
          <w:sz w:val="18"/>
          <w:szCs w:val="18"/>
          <w:vertAlign w:val="superscript"/>
        </w:rPr>
        <w:footnoteReference w:id="3"/>
      </w:r>
      <w:r w:rsidR="00E72277" w:rsidRPr="007E469E">
        <w:rPr>
          <w:rFonts w:ascii="Arial" w:eastAsia="Calibri" w:hAnsi="Arial" w:cs="Arial"/>
        </w:rPr>
        <w:t>;</w:t>
      </w:r>
    </w:p>
    <w:p w:rsidR="00B00420" w:rsidRPr="00B00420" w:rsidRDefault="00740FCE" w:rsidP="00137BC9">
      <w:pPr>
        <w:numPr>
          <w:ilvl w:val="0"/>
          <w:numId w:val="10"/>
        </w:numPr>
        <w:spacing w:before="240" w:after="240" w:line="360" w:lineRule="auto"/>
        <w:contextualSpacing/>
        <w:jc w:val="both"/>
        <w:rPr>
          <w:rFonts w:ascii="Arial" w:eastAsia="Calibri" w:hAnsi="Arial" w:cs="Arial"/>
        </w:rPr>
      </w:pPr>
      <w:r w:rsidRPr="00B00420">
        <w:rPr>
          <w:rFonts w:ascii="Arial" w:eastAsia="Calibri" w:hAnsi="Arial" w:cs="Arial"/>
        </w:rPr>
        <w:t>duży projekt – projekt</w:t>
      </w:r>
      <w:r w:rsidR="00B00420">
        <w:rPr>
          <w:rFonts w:ascii="Arial" w:eastAsia="Calibri" w:hAnsi="Arial" w:cs="Arial"/>
        </w:rPr>
        <w:t>,</w:t>
      </w:r>
      <w:r w:rsidRPr="00B00420">
        <w:rPr>
          <w:rFonts w:ascii="Arial" w:eastAsia="Calibri" w:hAnsi="Arial" w:cs="Arial"/>
        </w:rPr>
        <w:t xml:space="preserve"> </w:t>
      </w:r>
      <w:r w:rsidR="00B00420" w:rsidRPr="00B00420">
        <w:rPr>
          <w:rFonts w:ascii="Arial" w:eastAsia="Calibri" w:hAnsi="Arial" w:cs="Arial"/>
        </w:rPr>
        <w:t xml:space="preserve">który </w:t>
      </w:r>
      <w:r w:rsidR="0078484B">
        <w:rPr>
          <w:rFonts w:ascii="Arial" w:eastAsia="Calibri" w:hAnsi="Arial" w:cs="Arial"/>
        </w:rPr>
        <w:t xml:space="preserve">w rozumieniu </w:t>
      </w:r>
      <w:r w:rsidR="00B00420" w:rsidRPr="00B00420">
        <w:rPr>
          <w:rFonts w:ascii="Arial" w:eastAsia="Calibri" w:hAnsi="Arial" w:cs="Arial"/>
        </w:rPr>
        <w:t xml:space="preserve"> art. 100 rozporządzenia ogólnego, obejmuje szereg robót, działań lub usług służący wykonaniu niepodzielnego zadania </w:t>
      </w:r>
      <w:r w:rsidR="00B00420" w:rsidRPr="00836AAF">
        <w:rPr>
          <w:rFonts w:ascii="Arial" w:eastAsia="Calibri" w:hAnsi="Arial" w:cs="Arial"/>
        </w:rPr>
        <w:t xml:space="preserve">o sprecyzowanym charakterze gospodarczym lub technicznym, który posiada jasno określone cele i którego całkowite </w:t>
      </w:r>
      <w:r w:rsidR="00AD16DB">
        <w:rPr>
          <w:rFonts w:ascii="Arial" w:eastAsia="Calibri" w:hAnsi="Arial" w:cs="Arial"/>
        </w:rPr>
        <w:t xml:space="preserve">wydatki </w:t>
      </w:r>
      <w:r w:rsidR="00B00420" w:rsidRPr="00836AAF">
        <w:rPr>
          <w:rFonts w:ascii="Arial" w:eastAsia="Calibri" w:hAnsi="Arial" w:cs="Arial"/>
        </w:rPr>
        <w:t xml:space="preserve">kwalifikowalne przekraczają kwotę </w:t>
      </w:r>
      <w:r w:rsidR="008F28EB">
        <w:rPr>
          <w:rFonts w:ascii="Arial" w:eastAsia="Calibri" w:hAnsi="Arial" w:cs="Arial"/>
        </w:rPr>
        <w:br/>
      </w:r>
      <w:r w:rsidR="00B00420" w:rsidRPr="00836AAF">
        <w:rPr>
          <w:rFonts w:ascii="Arial" w:eastAsia="Calibri" w:hAnsi="Arial" w:cs="Arial"/>
        </w:rPr>
        <w:t xml:space="preserve">50 000 000 EUR, a w przypadku operacji przyczyniających się do osiągnięcia celu tematycznego na mocy art. 9 pkt 7 akapit pierwszy (tj. promowanie zrównoważonego </w:t>
      </w:r>
      <w:r w:rsidR="00B00420" w:rsidRPr="00836AAF">
        <w:rPr>
          <w:rFonts w:ascii="Arial" w:eastAsia="Calibri" w:hAnsi="Arial" w:cs="Arial"/>
        </w:rPr>
        <w:lastRenderedPageBreak/>
        <w:t>transportu i usuwanie niedoborów przepustowości w działaniu najważniejszej infrastr</w:t>
      </w:r>
      <w:r w:rsidR="00B00420" w:rsidRPr="00B00420">
        <w:rPr>
          <w:rFonts w:ascii="Arial" w:eastAsia="Calibri" w:hAnsi="Arial" w:cs="Arial"/>
        </w:rPr>
        <w:t xml:space="preserve">uktury sieciowej), którego całkowite </w:t>
      </w:r>
      <w:r w:rsidR="00AD16DB">
        <w:rPr>
          <w:rFonts w:ascii="Arial" w:eastAsia="Calibri" w:hAnsi="Arial" w:cs="Arial"/>
        </w:rPr>
        <w:t xml:space="preserve"> wydatki</w:t>
      </w:r>
      <w:r w:rsidR="00B00420" w:rsidRPr="00B00420">
        <w:rPr>
          <w:rFonts w:ascii="Arial" w:eastAsia="Calibri" w:hAnsi="Arial" w:cs="Arial"/>
        </w:rPr>
        <w:t xml:space="preserve"> kwalifikowalne przekraczają kwotę 75 000 000 EUR,</w:t>
      </w:r>
    </w:p>
    <w:p w:rsidR="00F86FBF" w:rsidRPr="007E469E" w:rsidRDefault="00993C18" w:rsidP="00137BC9">
      <w:pPr>
        <w:numPr>
          <w:ilvl w:val="0"/>
          <w:numId w:val="10"/>
        </w:numPr>
        <w:spacing w:before="240" w:after="240" w:line="360" w:lineRule="auto"/>
        <w:contextualSpacing/>
        <w:jc w:val="both"/>
        <w:rPr>
          <w:rFonts w:ascii="Arial" w:eastAsia="Calibri" w:hAnsi="Arial" w:cs="Arial"/>
        </w:rPr>
      </w:pPr>
      <w:r w:rsidRPr="005476DC">
        <w:rPr>
          <w:rFonts w:ascii="Arial" w:eastAsia="Calibri" w:hAnsi="Arial" w:cs="Arial"/>
        </w:rPr>
        <w:t xml:space="preserve">fundusze EFSI – wspólne określenie dla Europejskiego Funduszu Rozwoju Regionalnego, Europejskiego Funduszu </w:t>
      </w:r>
      <w:r w:rsidR="00E72277" w:rsidRPr="005476DC">
        <w:rPr>
          <w:rFonts w:ascii="Arial" w:eastAsia="Calibri" w:hAnsi="Arial" w:cs="Arial"/>
        </w:rPr>
        <w:t>Społecznego, Funduszu Spójności</w:t>
      </w:r>
      <w:r w:rsidR="00222F1A">
        <w:rPr>
          <w:rFonts w:ascii="Arial" w:eastAsia="Calibri" w:hAnsi="Arial" w:cs="Arial"/>
        </w:rPr>
        <w:t>,</w:t>
      </w:r>
      <w:r w:rsidRPr="005476DC">
        <w:rPr>
          <w:rFonts w:ascii="Arial" w:eastAsia="Calibri" w:hAnsi="Arial" w:cs="Arial"/>
        </w:rPr>
        <w:t xml:space="preserve"> Europejskiego Funduszu Rolnego na rzecz Rozwoju Obszarów Wiejskich oraz Europejskiego </w:t>
      </w:r>
      <w:r w:rsidR="00E72277" w:rsidRPr="005476DC">
        <w:rPr>
          <w:rFonts w:ascii="Arial" w:eastAsia="Calibri" w:hAnsi="Arial" w:cs="Arial"/>
        </w:rPr>
        <w:t>Funduszu Morskiego i Rybackiego;</w:t>
      </w:r>
    </w:p>
    <w:p w:rsidR="00740FCE" w:rsidRPr="007E469E" w:rsidRDefault="00740FCE" w:rsidP="00137BC9">
      <w:pPr>
        <w:numPr>
          <w:ilvl w:val="0"/>
          <w:numId w:val="10"/>
        </w:numPr>
        <w:spacing w:after="0" w:line="360" w:lineRule="auto"/>
        <w:ind w:left="499" w:hanging="357"/>
        <w:contextualSpacing/>
        <w:jc w:val="both"/>
        <w:rPr>
          <w:rFonts w:ascii="Arial" w:eastAsia="Calibri" w:hAnsi="Arial" w:cs="Arial"/>
        </w:rPr>
      </w:pPr>
      <w:r w:rsidRPr="007E469E">
        <w:rPr>
          <w:rFonts w:ascii="Arial" w:eastAsia="Calibri" w:hAnsi="Arial" w:cs="Arial"/>
        </w:rPr>
        <w:t>fundusze strukturalne – Europejski Fundusz Rozwoju Regionalnego ora</w:t>
      </w:r>
      <w:r w:rsidR="00E72277" w:rsidRPr="007E469E">
        <w:rPr>
          <w:rFonts w:ascii="Arial" w:eastAsia="Calibri" w:hAnsi="Arial" w:cs="Arial"/>
        </w:rPr>
        <w:t>z Europejski Fundusz Społeczny;</w:t>
      </w:r>
    </w:p>
    <w:p w:rsidR="003F5665" w:rsidRPr="005476DC" w:rsidRDefault="003F5665" w:rsidP="00137BC9">
      <w:pPr>
        <w:pStyle w:val="Akapit"/>
        <w:keepNext w:val="0"/>
        <w:numPr>
          <w:ilvl w:val="0"/>
          <w:numId w:val="10"/>
        </w:numPr>
        <w:ind w:left="499" w:hanging="357"/>
        <w:contextualSpacing/>
        <w:outlineLvl w:val="5"/>
        <w:rPr>
          <w:rFonts w:eastAsia="Calibri" w:cs="Arial"/>
        </w:rPr>
      </w:pPr>
      <w:r>
        <w:rPr>
          <w:rFonts w:eastAsia="Calibri" w:cs="Arial"/>
        </w:rPr>
        <w:t>instrument finansowy – instrument, o którym mowa w art. 2 pkt 7 ustawy wdrożeniowej oraz w części drugiej w tytule IV rozporządzenia ogólnego,</w:t>
      </w:r>
    </w:p>
    <w:p w:rsidR="00AA5D96" w:rsidRDefault="00740FCE" w:rsidP="00137BC9">
      <w:pPr>
        <w:pStyle w:val="Akapit"/>
        <w:keepNext w:val="0"/>
        <w:numPr>
          <w:ilvl w:val="0"/>
          <w:numId w:val="10"/>
        </w:numPr>
        <w:spacing w:before="240" w:after="240"/>
        <w:contextualSpacing/>
        <w:outlineLvl w:val="5"/>
        <w:rPr>
          <w:rFonts w:eastAsia="Calibri" w:cs="Arial"/>
        </w:rPr>
      </w:pPr>
      <w:r w:rsidRPr="00AA5D96">
        <w:rPr>
          <w:rFonts w:eastAsia="Calibri" w:cs="Arial"/>
        </w:rPr>
        <w:t xml:space="preserve">instytucja pośrednicząca – </w:t>
      </w:r>
      <w:r w:rsidR="00DA7EEE" w:rsidRPr="00AA5D96">
        <w:rPr>
          <w:rFonts w:eastAsia="Calibri" w:cs="Arial"/>
        </w:rPr>
        <w:t>instytucj</w:t>
      </w:r>
      <w:r w:rsidR="00632896" w:rsidRPr="00AA5D96">
        <w:rPr>
          <w:rFonts w:eastAsia="Calibri" w:cs="Arial"/>
        </w:rPr>
        <w:t>ę</w:t>
      </w:r>
      <w:r w:rsidR="00DE47B1" w:rsidRPr="00AA5D96">
        <w:rPr>
          <w:rFonts w:eastAsia="Calibri" w:cs="Arial"/>
        </w:rPr>
        <w:t xml:space="preserve">, </w:t>
      </w:r>
      <w:r w:rsidR="00DA7EEE" w:rsidRPr="00AA5D96">
        <w:rPr>
          <w:rFonts w:eastAsia="Calibri" w:cs="Arial"/>
        </w:rPr>
        <w:t>o której mowa w art. 2 pkt 9 ustawy wdrożeniowej</w:t>
      </w:r>
      <w:r w:rsidR="003E0718">
        <w:rPr>
          <w:rFonts w:eastAsia="Calibri" w:cs="Arial"/>
        </w:rPr>
        <w:t>, tj. podmiot, któremu została powierzona, w drodze porozumienia zawart</w:t>
      </w:r>
      <w:r w:rsidR="0063582E">
        <w:rPr>
          <w:rFonts w:eastAsia="Calibri" w:cs="Arial"/>
        </w:rPr>
        <w:t>e</w:t>
      </w:r>
      <w:r w:rsidR="00C52157">
        <w:rPr>
          <w:rFonts w:eastAsia="Calibri" w:cs="Arial"/>
        </w:rPr>
        <w:t>go</w:t>
      </w:r>
      <w:r w:rsidR="003E0718">
        <w:rPr>
          <w:rFonts w:eastAsia="Calibri" w:cs="Arial"/>
        </w:rPr>
        <w:t xml:space="preserve"> z instytucją zarządzającą, realizacja zadań w </w:t>
      </w:r>
      <w:r w:rsidR="0063582E">
        <w:rPr>
          <w:rFonts w:eastAsia="Calibri" w:cs="Arial"/>
        </w:rPr>
        <w:t>POPC</w:t>
      </w:r>
      <w:r w:rsidR="00C52157">
        <w:rPr>
          <w:rFonts w:eastAsia="Calibri" w:cs="Arial"/>
        </w:rPr>
        <w:t xml:space="preserve">. Rolę </w:t>
      </w:r>
      <w:r w:rsidR="0078484B">
        <w:rPr>
          <w:rFonts w:eastAsia="Calibri" w:cs="Arial"/>
        </w:rPr>
        <w:t xml:space="preserve">instytucji pośredniczącej </w:t>
      </w:r>
      <w:r w:rsidR="00C52157">
        <w:rPr>
          <w:rFonts w:eastAsia="Calibri" w:cs="Arial"/>
        </w:rPr>
        <w:t>POPC pełni Centrum Projektów Polska Cyfrowa;</w:t>
      </w:r>
      <w:r w:rsidR="00DA7EEE" w:rsidRPr="00AA5D96">
        <w:rPr>
          <w:rFonts w:eastAsia="Calibri" w:cs="Arial"/>
        </w:rPr>
        <w:t xml:space="preserve"> </w:t>
      </w:r>
    </w:p>
    <w:p w:rsidR="00AA5D96" w:rsidRDefault="00632896" w:rsidP="00137BC9">
      <w:pPr>
        <w:pStyle w:val="Akapit"/>
        <w:keepNext w:val="0"/>
        <w:numPr>
          <w:ilvl w:val="0"/>
          <w:numId w:val="10"/>
        </w:numPr>
        <w:spacing w:before="240" w:after="240"/>
        <w:contextualSpacing/>
        <w:outlineLvl w:val="5"/>
        <w:rPr>
          <w:rFonts w:cs="Arial"/>
        </w:rPr>
      </w:pPr>
      <w:r w:rsidRPr="00AA5D96">
        <w:rPr>
          <w:rFonts w:eastAsia="Calibri" w:cs="Arial"/>
        </w:rPr>
        <w:t>instytucja zarządzająca – instytucję, o której mowa w art. 125 rozporządzenia ogólnego</w:t>
      </w:r>
      <w:r w:rsidR="003E0718">
        <w:rPr>
          <w:rFonts w:eastAsia="Calibri" w:cs="Arial"/>
        </w:rPr>
        <w:t>, tj. instytucja, która odpowiada za zarządzanie programem operacyjnym zgodnie z zasadą należytego zarządzania finansami</w:t>
      </w:r>
      <w:r w:rsidRPr="00AA5D96">
        <w:rPr>
          <w:rFonts w:eastAsia="Calibri" w:cs="Arial"/>
        </w:rPr>
        <w:t xml:space="preserve">. </w:t>
      </w:r>
      <w:r w:rsidR="00A64D34" w:rsidRPr="00AA5D96">
        <w:rPr>
          <w:rFonts w:eastAsia="Calibri" w:cs="Arial"/>
        </w:rPr>
        <w:t>Zgodnie z ustawą wdrożeniową, r</w:t>
      </w:r>
      <w:r w:rsidRPr="00AA5D96">
        <w:rPr>
          <w:rFonts w:eastAsia="Calibri" w:cs="Arial"/>
        </w:rPr>
        <w:t xml:space="preserve">olę instytucji zarządzającej </w:t>
      </w:r>
      <w:r w:rsidR="00A64D34" w:rsidRPr="00AA5D96">
        <w:rPr>
          <w:rFonts w:eastAsia="Calibri" w:cs="Arial"/>
        </w:rPr>
        <w:t xml:space="preserve">POPC </w:t>
      </w:r>
      <w:r w:rsidRPr="00AA5D96">
        <w:rPr>
          <w:rFonts w:eastAsia="Calibri" w:cs="Arial"/>
        </w:rPr>
        <w:t>pełni minister właściw</w:t>
      </w:r>
      <w:r w:rsidR="003D08E1" w:rsidRPr="00AA5D96">
        <w:rPr>
          <w:rFonts w:eastAsia="Calibri" w:cs="Arial"/>
        </w:rPr>
        <w:t>y do spraw rozwoju regionalnego;</w:t>
      </w:r>
    </w:p>
    <w:p w:rsidR="00AA5D96" w:rsidRPr="00F93F49" w:rsidRDefault="00224492" w:rsidP="00137BC9">
      <w:pPr>
        <w:pStyle w:val="Akapit"/>
        <w:keepNext w:val="0"/>
        <w:numPr>
          <w:ilvl w:val="0"/>
          <w:numId w:val="10"/>
        </w:numPr>
        <w:spacing w:before="240" w:after="240"/>
        <w:contextualSpacing/>
        <w:outlineLvl w:val="5"/>
        <w:rPr>
          <w:rFonts w:cs="Arial"/>
        </w:rPr>
      </w:pPr>
      <w:r w:rsidRPr="005476DC">
        <w:rPr>
          <w:rFonts w:cs="Arial"/>
          <w:bCs w:val="0"/>
        </w:rPr>
        <w:t xml:space="preserve">IRU </w:t>
      </w:r>
      <w:r w:rsidR="00132BE3">
        <w:rPr>
          <w:rFonts w:cs="Arial"/>
          <w:bCs w:val="0"/>
        </w:rPr>
        <w:t xml:space="preserve">(ang. </w:t>
      </w:r>
      <w:proofErr w:type="spellStart"/>
      <w:r w:rsidR="00132BE3">
        <w:rPr>
          <w:rStyle w:val="st"/>
        </w:rPr>
        <w:t>Indefeasible</w:t>
      </w:r>
      <w:proofErr w:type="spellEnd"/>
      <w:r w:rsidR="00132BE3">
        <w:rPr>
          <w:rStyle w:val="st"/>
        </w:rPr>
        <w:t xml:space="preserve"> Right of </w:t>
      </w:r>
      <w:proofErr w:type="spellStart"/>
      <w:r w:rsidR="00132BE3">
        <w:rPr>
          <w:rStyle w:val="st"/>
        </w:rPr>
        <w:t>Use</w:t>
      </w:r>
      <w:proofErr w:type="spellEnd"/>
      <w:r w:rsidR="00132BE3">
        <w:rPr>
          <w:rStyle w:val="st"/>
        </w:rPr>
        <w:t xml:space="preserve">) </w:t>
      </w:r>
      <w:r w:rsidRPr="005476DC">
        <w:rPr>
          <w:rFonts w:cs="Arial"/>
          <w:bCs w:val="0"/>
        </w:rPr>
        <w:t>– rzeczywiste, długookresowe (najczęściej na około 20 lat, aczkolwiek</w:t>
      </w:r>
      <w:r w:rsidR="00132BE3">
        <w:rPr>
          <w:rFonts w:cs="Arial"/>
          <w:bCs w:val="0"/>
        </w:rPr>
        <w:t xml:space="preserve"> </w:t>
      </w:r>
      <w:r w:rsidRPr="005476DC">
        <w:rPr>
          <w:rFonts w:cs="Arial"/>
          <w:bCs w:val="0"/>
        </w:rPr>
        <w:t>w praktyce stosowane są również umowy na krótszy okres) nabycie uprawnień do wyłącznego używania infrastruktury telekomunikacyjnej (najczęściej kanalizacji kablowej, kabla lub włókna światłowodowego), pozwalające na działanie przez nabywającego w sferze finansowo-księgowej, jak gdyby był właścicielem infrastruktury</w:t>
      </w:r>
      <w:r w:rsidR="007548E0" w:rsidRPr="005476DC">
        <w:rPr>
          <w:rFonts w:cs="Arial"/>
          <w:bCs w:val="0"/>
        </w:rPr>
        <w:t>;</w:t>
      </w:r>
    </w:p>
    <w:p w:rsidR="00F93F49" w:rsidRPr="005476DC" w:rsidRDefault="00F93F49" w:rsidP="00137BC9">
      <w:pPr>
        <w:pStyle w:val="Akapit"/>
        <w:keepNext w:val="0"/>
        <w:numPr>
          <w:ilvl w:val="0"/>
          <w:numId w:val="10"/>
        </w:numPr>
        <w:spacing w:before="240" w:after="240"/>
        <w:contextualSpacing/>
        <w:outlineLvl w:val="5"/>
        <w:rPr>
          <w:rFonts w:cs="Arial"/>
        </w:rPr>
      </w:pPr>
      <w:r>
        <w:rPr>
          <w:rFonts w:cs="Arial"/>
          <w:bCs w:val="0"/>
        </w:rPr>
        <w:t>Katalog</w:t>
      </w:r>
      <w:r w:rsidR="00F34971">
        <w:rPr>
          <w:rFonts w:cs="Arial"/>
          <w:bCs w:val="0"/>
        </w:rPr>
        <w:t xml:space="preserve"> – Katalog wydatków kwalifikowalnych w projektach realizowanych w ramach I osi priorytetowej POPC;</w:t>
      </w:r>
    </w:p>
    <w:p w:rsidR="002814CF" w:rsidRPr="0055586F" w:rsidRDefault="002814CF" w:rsidP="00137BC9">
      <w:pPr>
        <w:pStyle w:val="Akapit"/>
        <w:keepNext w:val="0"/>
        <w:numPr>
          <w:ilvl w:val="0"/>
          <w:numId w:val="10"/>
        </w:numPr>
        <w:spacing w:before="240" w:after="240"/>
        <w:contextualSpacing/>
        <w:outlineLvl w:val="5"/>
        <w:rPr>
          <w:rFonts w:cs="Arial"/>
        </w:rPr>
      </w:pPr>
      <w:proofErr w:type="spellStart"/>
      <w:r w:rsidRPr="0055586F">
        <w:rPr>
          <w:rFonts w:cs="Arial"/>
          <w:bCs w:val="0"/>
        </w:rPr>
        <w:t>megaustawa</w:t>
      </w:r>
      <w:proofErr w:type="spellEnd"/>
      <w:r w:rsidRPr="0055586F">
        <w:rPr>
          <w:rFonts w:cs="Arial"/>
          <w:bCs w:val="0"/>
        </w:rPr>
        <w:t xml:space="preserve"> - ustawa z dnia 7 maja 2010 r. o wspieraniu rozwoju usług i sieci telekomunikacyjnych (Dz. U. z 201</w:t>
      </w:r>
      <w:r w:rsidR="009F6909" w:rsidRPr="0055586F">
        <w:rPr>
          <w:rFonts w:cs="Arial"/>
          <w:bCs w:val="0"/>
        </w:rPr>
        <w:t>6</w:t>
      </w:r>
      <w:r w:rsidRPr="0055586F">
        <w:rPr>
          <w:rFonts w:cs="Arial"/>
          <w:bCs w:val="0"/>
        </w:rPr>
        <w:t xml:space="preserve"> r. </w:t>
      </w:r>
      <w:r w:rsidR="0041107B" w:rsidRPr="0055586F">
        <w:rPr>
          <w:rFonts w:cs="Arial"/>
          <w:bCs w:val="0"/>
        </w:rPr>
        <w:t xml:space="preserve">poz. 1537 </w:t>
      </w:r>
      <w:proofErr w:type="spellStart"/>
      <w:r w:rsidR="0041107B" w:rsidRPr="0055586F">
        <w:rPr>
          <w:rFonts w:cs="Arial"/>
          <w:bCs w:val="0"/>
        </w:rPr>
        <w:t>t.j</w:t>
      </w:r>
      <w:proofErr w:type="spellEnd"/>
      <w:r w:rsidRPr="0055586F">
        <w:rPr>
          <w:rFonts w:cs="Arial"/>
          <w:bCs w:val="0"/>
        </w:rPr>
        <w:t xml:space="preserve"> z </w:t>
      </w:r>
      <w:proofErr w:type="spellStart"/>
      <w:r w:rsidRPr="0055586F">
        <w:rPr>
          <w:rFonts w:cs="Arial"/>
          <w:bCs w:val="0"/>
        </w:rPr>
        <w:t>późn</w:t>
      </w:r>
      <w:proofErr w:type="spellEnd"/>
      <w:r w:rsidRPr="0055586F">
        <w:rPr>
          <w:rFonts w:cs="Arial"/>
          <w:bCs w:val="0"/>
        </w:rPr>
        <w:t>. zm.)</w:t>
      </w:r>
      <w:r w:rsidR="00F34971" w:rsidRPr="0055586F">
        <w:rPr>
          <w:rFonts w:cs="Arial"/>
          <w:bCs w:val="0"/>
        </w:rPr>
        <w:t>;</w:t>
      </w:r>
    </w:p>
    <w:p w:rsidR="00811906" w:rsidRPr="0055586F" w:rsidRDefault="00811906" w:rsidP="00137BC9">
      <w:pPr>
        <w:pStyle w:val="Akapit"/>
        <w:keepNext w:val="0"/>
        <w:numPr>
          <w:ilvl w:val="0"/>
          <w:numId w:val="10"/>
        </w:numPr>
        <w:spacing w:before="240" w:after="240"/>
        <w:contextualSpacing/>
        <w:outlineLvl w:val="5"/>
        <w:rPr>
          <w:rFonts w:cs="Arial"/>
        </w:rPr>
      </w:pPr>
      <w:r w:rsidRPr="0055586F">
        <w:rPr>
          <w:rFonts w:cs="Arial"/>
          <w:bCs w:val="0"/>
        </w:rPr>
        <w:t xml:space="preserve">mikro, małe i średnie przedsiębiorstwa – </w:t>
      </w:r>
      <w:r w:rsidR="00AD5069" w:rsidRPr="0055586F">
        <w:rPr>
          <w:rFonts w:cs="Arial"/>
          <w:bCs w:val="0"/>
        </w:rPr>
        <w:t>mikro, małe i średnie przedsiębiorstwa</w:t>
      </w:r>
      <w:r w:rsidR="00BC1FED" w:rsidRPr="0055586F">
        <w:rPr>
          <w:rFonts w:cs="Arial"/>
          <w:bCs w:val="0"/>
        </w:rPr>
        <w:t>,</w:t>
      </w:r>
      <w:r w:rsidR="00AD5069" w:rsidRPr="0055586F">
        <w:rPr>
          <w:rFonts w:cs="Arial"/>
          <w:bCs w:val="0"/>
        </w:rPr>
        <w:t xml:space="preserve"> </w:t>
      </w:r>
      <w:r w:rsidR="00BC1FED" w:rsidRPr="0055586F">
        <w:rPr>
          <w:rFonts w:cs="Arial"/>
          <w:bCs w:val="0"/>
        </w:rPr>
        <w:br/>
        <w:t xml:space="preserve">o jakich mowa w </w:t>
      </w:r>
      <w:r w:rsidR="00AD5069" w:rsidRPr="0055586F">
        <w:rPr>
          <w:rFonts w:cs="Arial"/>
          <w:bCs w:val="0"/>
        </w:rPr>
        <w:t xml:space="preserve"> załącznik</w:t>
      </w:r>
      <w:r w:rsidR="00BC1FED" w:rsidRPr="0055586F">
        <w:rPr>
          <w:rFonts w:cs="Arial"/>
          <w:bCs w:val="0"/>
        </w:rPr>
        <w:t>u</w:t>
      </w:r>
      <w:r w:rsidR="00AD5069" w:rsidRPr="0055586F">
        <w:rPr>
          <w:rFonts w:cs="Arial"/>
          <w:bCs w:val="0"/>
        </w:rPr>
        <w:t xml:space="preserve"> I do rozporządzenia </w:t>
      </w:r>
      <w:r w:rsidR="005F0287" w:rsidRPr="0055586F">
        <w:rPr>
          <w:rFonts w:cs="Arial"/>
          <w:bCs w:val="0"/>
        </w:rPr>
        <w:t>KE</w:t>
      </w:r>
      <w:r w:rsidR="00AD5069" w:rsidRPr="0055586F">
        <w:rPr>
          <w:rFonts w:cs="Arial"/>
          <w:bCs w:val="0"/>
        </w:rPr>
        <w:t xml:space="preserve"> </w:t>
      </w:r>
      <w:r w:rsidR="005F0287" w:rsidRPr="0055586F">
        <w:rPr>
          <w:rFonts w:cs="Arial"/>
          <w:bCs w:val="0"/>
        </w:rPr>
        <w:t xml:space="preserve">nr </w:t>
      </w:r>
      <w:r w:rsidR="00AD5069" w:rsidRPr="0055586F">
        <w:rPr>
          <w:rFonts w:cs="Arial"/>
          <w:bCs w:val="0"/>
        </w:rPr>
        <w:t>651/2014</w:t>
      </w:r>
      <w:r w:rsidR="003D08E1" w:rsidRPr="0055586F">
        <w:rPr>
          <w:rFonts w:cs="Arial"/>
          <w:bCs w:val="0"/>
        </w:rPr>
        <w:t>;</w:t>
      </w:r>
    </w:p>
    <w:p w:rsidR="00740FCE" w:rsidRPr="00F04887" w:rsidRDefault="00470A70" w:rsidP="00137BC9">
      <w:pPr>
        <w:pStyle w:val="Akapit"/>
        <w:keepNext w:val="0"/>
        <w:numPr>
          <w:ilvl w:val="0"/>
          <w:numId w:val="10"/>
        </w:numPr>
        <w:spacing w:before="240" w:after="240"/>
        <w:contextualSpacing/>
        <w:outlineLvl w:val="5"/>
      </w:pPr>
      <w:r w:rsidRPr="0055586F">
        <w:rPr>
          <w:rFonts w:cs="Arial"/>
          <w:bCs w:val="0"/>
        </w:rPr>
        <w:t xml:space="preserve">nieruchomości – </w:t>
      </w:r>
      <w:r w:rsidR="00E64834" w:rsidRPr="0055586F">
        <w:rPr>
          <w:rFonts w:cs="Arial"/>
          <w:bCs w:val="0"/>
        </w:rPr>
        <w:t>nieruchomości w rozumieniu</w:t>
      </w:r>
      <w:r w:rsidRPr="0055586F">
        <w:rPr>
          <w:rFonts w:cs="Arial"/>
          <w:bCs w:val="0"/>
        </w:rPr>
        <w:t xml:space="preserve"> art. 46 § 1 ustawy z dnia </w:t>
      </w:r>
      <w:r w:rsidR="00836AAF" w:rsidRPr="0055586F">
        <w:rPr>
          <w:rFonts w:cs="Arial"/>
          <w:bCs w:val="0"/>
        </w:rPr>
        <w:t>23 kwietnia 1964 r.</w:t>
      </w:r>
      <w:r w:rsidRPr="0055586F">
        <w:rPr>
          <w:rFonts w:cs="Arial"/>
          <w:bCs w:val="0"/>
        </w:rPr>
        <w:t>- Kodeks cywilny (Dz. U. z 201</w:t>
      </w:r>
      <w:r w:rsidR="0041107B" w:rsidRPr="0055586F">
        <w:rPr>
          <w:rFonts w:cs="Arial"/>
          <w:bCs w:val="0"/>
        </w:rPr>
        <w:t>7</w:t>
      </w:r>
      <w:r w:rsidRPr="0055586F">
        <w:rPr>
          <w:rFonts w:cs="Arial"/>
          <w:bCs w:val="0"/>
        </w:rPr>
        <w:t xml:space="preserve"> r. poz. </w:t>
      </w:r>
      <w:r w:rsidR="0041107B" w:rsidRPr="0055586F">
        <w:rPr>
          <w:rFonts w:cs="Arial"/>
          <w:bCs w:val="0"/>
        </w:rPr>
        <w:t xml:space="preserve">459 z </w:t>
      </w:r>
      <w:proofErr w:type="spellStart"/>
      <w:r w:rsidR="0041107B" w:rsidRPr="0055586F">
        <w:rPr>
          <w:rFonts w:cs="Arial"/>
          <w:bCs w:val="0"/>
        </w:rPr>
        <w:t>późn</w:t>
      </w:r>
      <w:proofErr w:type="spellEnd"/>
      <w:r w:rsidR="0041107B" w:rsidRPr="0055586F">
        <w:rPr>
          <w:rFonts w:cs="Arial"/>
          <w:bCs w:val="0"/>
        </w:rPr>
        <w:t>. zm.</w:t>
      </w:r>
      <w:r w:rsidRPr="0055586F">
        <w:rPr>
          <w:rFonts w:cs="Arial"/>
          <w:bCs w:val="0"/>
        </w:rPr>
        <w:t>.),</w:t>
      </w:r>
      <w:r w:rsidR="00440BAD" w:rsidRPr="0055586F">
        <w:rPr>
          <w:rFonts w:cs="Arial"/>
          <w:bCs w:val="0"/>
        </w:rPr>
        <w:t xml:space="preserve"> </w:t>
      </w:r>
      <w:r w:rsidRPr="0055586F">
        <w:rPr>
          <w:rFonts w:cs="Arial"/>
          <w:bCs w:val="0"/>
        </w:rPr>
        <w:t>części powierzchni</w:t>
      </w:r>
      <w:r w:rsidRPr="005476DC">
        <w:t xml:space="preserve"> ziemskiej stanowiące odrębny przedmiot własności (grunty), jak również budynki trwale z gruntem związane lub części takich budynków, jeżeli na mocy przepisów szczególnych stanowią odrębny od gruntu przedmiot własności</w:t>
      </w:r>
      <w:r w:rsidR="007548E0" w:rsidRPr="005476DC">
        <w:t>;</w:t>
      </w:r>
    </w:p>
    <w:p w:rsidR="00175527" w:rsidRDefault="00740FCE" w:rsidP="00137BC9">
      <w:pPr>
        <w:numPr>
          <w:ilvl w:val="0"/>
          <w:numId w:val="10"/>
        </w:numPr>
        <w:spacing w:before="240" w:after="240" w:line="360" w:lineRule="auto"/>
        <w:contextualSpacing/>
        <w:jc w:val="both"/>
        <w:rPr>
          <w:rFonts w:ascii="Arial" w:hAnsi="Arial"/>
        </w:rPr>
      </w:pPr>
      <w:r w:rsidRPr="00F13F71">
        <w:rPr>
          <w:rFonts w:ascii="Arial" w:hAnsi="Arial"/>
        </w:rPr>
        <w:lastRenderedPageBreak/>
        <w:t xml:space="preserve">odbiorca ostateczny – </w:t>
      </w:r>
      <w:r w:rsidR="002B4022">
        <w:rPr>
          <w:rFonts w:ascii="Arial" w:hAnsi="Arial"/>
        </w:rPr>
        <w:t xml:space="preserve">podmiot należący do grupy docelowej projektów finansowanych z </w:t>
      </w:r>
      <w:r w:rsidR="00C5464E" w:rsidRPr="00F13F71">
        <w:rPr>
          <w:rFonts w:ascii="Arial" w:hAnsi="Arial"/>
        </w:rPr>
        <w:t xml:space="preserve"> </w:t>
      </w:r>
      <w:proofErr w:type="spellStart"/>
      <w:r w:rsidR="00C5464E" w:rsidRPr="00F13F71">
        <w:rPr>
          <w:rFonts w:ascii="Arial" w:hAnsi="Arial"/>
        </w:rPr>
        <w:t>z</w:t>
      </w:r>
      <w:proofErr w:type="spellEnd"/>
      <w:r w:rsidR="00C5464E" w:rsidRPr="00F13F71">
        <w:rPr>
          <w:rFonts w:ascii="Arial" w:hAnsi="Arial"/>
        </w:rPr>
        <w:t xml:space="preserve"> EFRR </w:t>
      </w:r>
      <w:r w:rsidRPr="00F13F71">
        <w:rPr>
          <w:rFonts w:ascii="Arial" w:hAnsi="Arial"/>
        </w:rPr>
        <w:t>(</w:t>
      </w:r>
      <w:r w:rsidR="002B4022">
        <w:rPr>
          <w:rFonts w:ascii="Arial" w:hAnsi="Arial"/>
        </w:rPr>
        <w:t xml:space="preserve">np. </w:t>
      </w:r>
      <w:r w:rsidR="002B4022" w:rsidRPr="00F13F71">
        <w:rPr>
          <w:rFonts w:ascii="Arial" w:hAnsi="Arial"/>
        </w:rPr>
        <w:t>osob</w:t>
      </w:r>
      <w:r w:rsidR="002B4022">
        <w:rPr>
          <w:rFonts w:ascii="Arial" w:hAnsi="Arial"/>
        </w:rPr>
        <w:t>a</w:t>
      </w:r>
      <w:r w:rsidR="002B4022" w:rsidRPr="00F13F71">
        <w:rPr>
          <w:rFonts w:ascii="Arial" w:hAnsi="Arial"/>
        </w:rPr>
        <w:t xml:space="preserve"> fizyczn</w:t>
      </w:r>
      <w:r w:rsidR="002B4022">
        <w:rPr>
          <w:rFonts w:ascii="Arial" w:hAnsi="Arial"/>
        </w:rPr>
        <w:t>a</w:t>
      </w:r>
      <w:r w:rsidR="005D37FE" w:rsidRPr="00F13F71">
        <w:rPr>
          <w:rFonts w:ascii="Arial" w:hAnsi="Arial"/>
        </w:rPr>
        <w:t xml:space="preserve">, </w:t>
      </w:r>
      <w:r w:rsidR="002B4022" w:rsidRPr="00F13F71">
        <w:rPr>
          <w:rFonts w:ascii="Arial" w:hAnsi="Arial"/>
        </w:rPr>
        <w:t>osob</w:t>
      </w:r>
      <w:r w:rsidR="002B4022">
        <w:rPr>
          <w:rFonts w:ascii="Arial" w:hAnsi="Arial"/>
        </w:rPr>
        <w:t>a</w:t>
      </w:r>
      <w:r w:rsidR="002B4022" w:rsidRPr="00F13F71">
        <w:rPr>
          <w:rFonts w:ascii="Arial" w:hAnsi="Arial"/>
        </w:rPr>
        <w:t xml:space="preserve"> prawn</w:t>
      </w:r>
      <w:r w:rsidR="002B4022">
        <w:rPr>
          <w:rFonts w:ascii="Arial" w:hAnsi="Arial"/>
        </w:rPr>
        <w:t>a</w:t>
      </w:r>
      <w:r w:rsidR="005D37FE" w:rsidRPr="00F13F71">
        <w:rPr>
          <w:rFonts w:ascii="Arial" w:hAnsi="Arial"/>
        </w:rPr>
        <w:t xml:space="preserve">, </w:t>
      </w:r>
      <w:r w:rsidR="002B4022" w:rsidRPr="00F13F71">
        <w:rPr>
          <w:rFonts w:ascii="Arial" w:hAnsi="Arial"/>
        </w:rPr>
        <w:t>jednostk</w:t>
      </w:r>
      <w:r w:rsidR="002B4022">
        <w:rPr>
          <w:rFonts w:ascii="Arial" w:hAnsi="Arial"/>
        </w:rPr>
        <w:t>a</w:t>
      </w:r>
      <w:r w:rsidR="002B4022" w:rsidRPr="00F13F71">
        <w:rPr>
          <w:rFonts w:ascii="Arial" w:hAnsi="Arial"/>
        </w:rPr>
        <w:t xml:space="preserve"> organizacyjn</w:t>
      </w:r>
      <w:r w:rsidR="002B4022">
        <w:rPr>
          <w:rFonts w:ascii="Arial" w:hAnsi="Arial"/>
        </w:rPr>
        <w:t>a</w:t>
      </w:r>
      <w:r w:rsidR="002B4022" w:rsidRPr="00F13F71">
        <w:rPr>
          <w:rFonts w:ascii="Arial" w:hAnsi="Arial"/>
        </w:rPr>
        <w:t xml:space="preserve"> </w:t>
      </w:r>
      <w:r w:rsidR="005D37FE" w:rsidRPr="00F13F71">
        <w:rPr>
          <w:rFonts w:ascii="Arial" w:hAnsi="Arial"/>
        </w:rPr>
        <w:t xml:space="preserve">nie </w:t>
      </w:r>
      <w:r w:rsidR="002B4022" w:rsidRPr="00F13F71">
        <w:rPr>
          <w:rFonts w:ascii="Arial" w:hAnsi="Arial"/>
        </w:rPr>
        <w:t>posiadając</w:t>
      </w:r>
      <w:r w:rsidR="002B4022">
        <w:rPr>
          <w:rFonts w:ascii="Arial" w:hAnsi="Arial"/>
        </w:rPr>
        <w:t>a</w:t>
      </w:r>
      <w:r w:rsidR="002B4022" w:rsidRPr="00F13F71">
        <w:rPr>
          <w:rFonts w:ascii="Arial" w:hAnsi="Arial"/>
        </w:rPr>
        <w:t xml:space="preserve"> </w:t>
      </w:r>
      <w:r w:rsidR="005D37FE" w:rsidRPr="00F13F71">
        <w:rPr>
          <w:rFonts w:ascii="Arial" w:hAnsi="Arial"/>
        </w:rPr>
        <w:t>osobowości prawnej</w:t>
      </w:r>
      <w:r w:rsidRPr="00F13F71">
        <w:rPr>
          <w:rFonts w:ascii="Arial" w:hAnsi="Arial"/>
        </w:rPr>
        <w:t>)</w:t>
      </w:r>
      <w:r w:rsidR="005D37FE" w:rsidRPr="00F13F71">
        <w:rPr>
          <w:rFonts w:ascii="Arial" w:hAnsi="Arial"/>
        </w:rPr>
        <w:t>,</w:t>
      </w:r>
      <w:r w:rsidRPr="00F13F71">
        <w:rPr>
          <w:rFonts w:ascii="Arial" w:hAnsi="Arial"/>
        </w:rPr>
        <w:t xml:space="preserve"> </w:t>
      </w:r>
      <w:r w:rsidR="002B4022" w:rsidRPr="00F13F71">
        <w:rPr>
          <w:rFonts w:ascii="Arial" w:hAnsi="Arial"/>
        </w:rPr>
        <w:t>któr</w:t>
      </w:r>
      <w:r w:rsidR="002B4022">
        <w:rPr>
          <w:rFonts w:ascii="Arial" w:hAnsi="Arial"/>
        </w:rPr>
        <w:t>y</w:t>
      </w:r>
      <w:r w:rsidR="002B4022" w:rsidRPr="00F13F71">
        <w:rPr>
          <w:rFonts w:ascii="Arial" w:hAnsi="Arial"/>
        </w:rPr>
        <w:t xml:space="preserve"> </w:t>
      </w:r>
      <w:r w:rsidR="0086362C" w:rsidRPr="00F13F71">
        <w:rPr>
          <w:rFonts w:ascii="Arial" w:hAnsi="Arial"/>
        </w:rPr>
        <w:t xml:space="preserve">będzie korzystał z </w:t>
      </w:r>
      <w:r w:rsidR="00D46B2C" w:rsidRPr="00F13F71">
        <w:rPr>
          <w:rFonts w:ascii="Arial" w:hAnsi="Arial"/>
        </w:rPr>
        <w:t xml:space="preserve">efektów/rezultatów powstałych w wyniku realizacji projektu </w:t>
      </w:r>
      <w:r w:rsidR="0086362C" w:rsidRPr="00F13F71">
        <w:rPr>
          <w:rFonts w:ascii="Arial" w:hAnsi="Arial"/>
        </w:rPr>
        <w:t xml:space="preserve">w ramach </w:t>
      </w:r>
      <w:r w:rsidR="003D08E1" w:rsidRPr="00F13F71">
        <w:rPr>
          <w:rFonts w:ascii="Arial" w:hAnsi="Arial"/>
        </w:rPr>
        <w:t>POPC;</w:t>
      </w:r>
      <w:r w:rsidR="002B4022">
        <w:rPr>
          <w:rFonts w:ascii="Arial" w:hAnsi="Arial"/>
        </w:rPr>
        <w:t xml:space="preserve"> w przypadku instrumentów finansowych oznacza osobę prawną lub fizyczną, która otrzymuje wsparcie finansowe z instrumentu finansowego,</w:t>
      </w:r>
    </w:p>
    <w:p w:rsidR="00F93F49" w:rsidRPr="00F13F71" w:rsidRDefault="00F93F49" w:rsidP="00137BC9">
      <w:pPr>
        <w:numPr>
          <w:ilvl w:val="0"/>
          <w:numId w:val="10"/>
        </w:numPr>
        <w:spacing w:before="240" w:after="240" w:line="360" w:lineRule="auto"/>
        <w:contextualSpacing/>
        <w:jc w:val="both"/>
        <w:rPr>
          <w:rFonts w:ascii="Arial" w:hAnsi="Arial"/>
        </w:rPr>
      </w:pPr>
      <w:r>
        <w:rPr>
          <w:rFonts w:ascii="Arial" w:hAnsi="Arial"/>
        </w:rPr>
        <w:t>osoba samozatrudniona – osobę fizyczną prowadzącą działalność gospodarczą, która jest beneficjentem projektu i jednocześnie stanowi personel tego projektu,</w:t>
      </w:r>
    </w:p>
    <w:p w:rsidR="00740FCE" w:rsidRPr="008B5852" w:rsidRDefault="00740FCE" w:rsidP="00137BC9">
      <w:pPr>
        <w:numPr>
          <w:ilvl w:val="0"/>
          <w:numId w:val="10"/>
        </w:numPr>
        <w:spacing w:before="240" w:after="240" w:line="360" w:lineRule="auto"/>
        <w:contextualSpacing/>
        <w:jc w:val="both"/>
        <w:rPr>
          <w:rFonts w:ascii="Arial" w:hAnsi="Arial"/>
        </w:rPr>
      </w:pPr>
      <w:r w:rsidRPr="008B5852">
        <w:rPr>
          <w:rFonts w:ascii="Arial" w:hAnsi="Arial"/>
        </w:rPr>
        <w:t xml:space="preserve">partner – </w:t>
      </w:r>
      <w:r w:rsidR="00D26E50" w:rsidRPr="008B5852">
        <w:rPr>
          <w:rFonts w:ascii="Arial" w:hAnsi="Arial"/>
        </w:rPr>
        <w:t>podmiot w rozumieniu art. 33 ust. 1 ustawy wdrożeniowej, który jest wymieniony w</w:t>
      </w:r>
      <w:r w:rsidR="00836AAF" w:rsidRPr="008B5852">
        <w:rPr>
          <w:rFonts w:ascii="Arial" w:hAnsi="Arial"/>
        </w:rPr>
        <w:t xml:space="preserve"> zatwierdzonym </w:t>
      </w:r>
      <w:r w:rsidR="00D26E50" w:rsidRPr="008B5852">
        <w:rPr>
          <w:rFonts w:ascii="Arial" w:hAnsi="Arial"/>
        </w:rPr>
        <w:t xml:space="preserve">wniosku o dofinansowanie projektu, realizujący wspólnie z beneficjentem (i ewentualnie innymi partnerami) projekt na warunkach określonych w </w:t>
      </w:r>
      <w:r w:rsidR="00A453AA" w:rsidRPr="008B5852">
        <w:rPr>
          <w:rFonts w:ascii="Arial" w:hAnsi="Arial"/>
        </w:rPr>
        <w:t xml:space="preserve">umowie </w:t>
      </w:r>
      <w:r w:rsidR="00D26E50" w:rsidRPr="008B5852">
        <w:rPr>
          <w:rFonts w:ascii="Arial" w:hAnsi="Arial"/>
        </w:rPr>
        <w:t>o dofinansowanie</w:t>
      </w:r>
      <w:r w:rsidR="00701B4A" w:rsidRPr="008B5852">
        <w:rPr>
          <w:rFonts w:ascii="Arial" w:hAnsi="Arial"/>
        </w:rPr>
        <w:t xml:space="preserve"> projektu</w:t>
      </w:r>
      <w:r w:rsidR="00D26E50" w:rsidRPr="008B5852">
        <w:rPr>
          <w:rFonts w:ascii="Arial" w:hAnsi="Arial"/>
        </w:rPr>
        <w:t xml:space="preserve"> i porozumieniu</w:t>
      </w:r>
      <w:r w:rsidR="00E64834">
        <w:rPr>
          <w:rFonts w:ascii="Arial" w:hAnsi="Arial"/>
        </w:rPr>
        <w:t xml:space="preserve"> albo </w:t>
      </w:r>
      <w:r w:rsidR="00D26E50" w:rsidRPr="008B5852">
        <w:rPr>
          <w:rFonts w:ascii="Arial" w:hAnsi="Arial"/>
        </w:rPr>
        <w:t>umowie o partnerstwie</w:t>
      </w:r>
      <w:r w:rsidR="00F86FA6">
        <w:rPr>
          <w:rFonts w:ascii="Arial" w:hAnsi="Arial"/>
        </w:rPr>
        <w:t>,</w:t>
      </w:r>
      <w:r w:rsidR="00D26E50" w:rsidRPr="008B5852">
        <w:rPr>
          <w:rFonts w:ascii="Arial" w:hAnsi="Arial"/>
        </w:rPr>
        <w:t xml:space="preserve"> wnoszący do projektu zasoby ludzkie, organiza</w:t>
      </w:r>
      <w:r w:rsidR="008A467D" w:rsidRPr="008B5852">
        <w:rPr>
          <w:rFonts w:ascii="Arial" w:hAnsi="Arial"/>
        </w:rPr>
        <w:t>cyjne, techniczne lub finansowe</w:t>
      </w:r>
      <w:r w:rsidR="00962D35">
        <w:rPr>
          <w:rFonts w:ascii="Arial" w:hAnsi="Arial"/>
        </w:rPr>
        <w:t>.</w:t>
      </w:r>
      <w:r w:rsidR="00962D35" w:rsidRPr="008B5852">
        <w:t xml:space="preserve"> </w:t>
      </w:r>
      <w:r w:rsidR="00962D35">
        <w:rPr>
          <w:rFonts w:ascii="Arial" w:hAnsi="Arial"/>
        </w:rPr>
        <w:t>Z</w:t>
      </w:r>
      <w:r w:rsidR="008B5852" w:rsidRPr="008B5852">
        <w:rPr>
          <w:rFonts w:ascii="Arial" w:hAnsi="Arial"/>
        </w:rPr>
        <w:t xml:space="preserve">godnie z </w:t>
      </w:r>
      <w:r w:rsidR="008B5852" w:rsidRPr="008B5852">
        <w:rPr>
          <w:rFonts w:ascii="Arial" w:hAnsi="Arial"/>
          <w:i/>
        </w:rPr>
        <w:t>Wytycznymi</w:t>
      </w:r>
      <w:r w:rsidR="008B5852" w:rsidRPr="008B5852">
        <w:rPr>
          <w:rFonts w:ascii="Arial" w:hAnsi="Arial"/>
        </w:rPr>
        <w:t xml:space="preserve"> jest to </w:t>
      </w:r>
      <w:r w:rsidR="00B04CE8" w:rsidRPr="008B5852">
        <w:rPr>
          <w:rFonts w:ascii="Arial" w:hAnsi="Arial"/>
        </w:rPr>
        <w:t>podmiot</w:t>
      </w:r>
      <w:r w:rsidR="00B04CE8">
        <w:rPr>
          <w:rFonts w:ascii="Arial" w:hAnsi="Arial"/>
        </w:rPr>
        <w:t xml:space="preserve">, który ma prawo do </w:t>
      </w:r>
      <w:r w:rsidR="008B5852" w:rsidRPr="008B5852">
        <w:rPr>
          <w:rFonts w:ascii="Arial" w:hAnsi="Arial"/>
        </w:rPr>
        <w:t xml:space="preserve">ponoszenia wydatków na równi z beneficjentem, chyba że z treści </w:t>
      </w:r>
      <w:r w:rsidR="00DC7DDC">
        <w:rPr>
          <w:rFonts w:ascii="Arial" w:hAnsi="Arial"/>
        </w:rPr>
        <w:t>niniejsz</w:t>
      </w:r>
      <w:r w:rsidR="0041107B">
        <w:rPr>
          <w:rFonts w:ascii="Arial" w:hAnsi="Arial"/>
        </w:rPr>
        <w:t>ego</w:t>
      </w:r>
      <w:r w:rsidR="00DC7DDC">
        <w:rPr>
          <w:rFonts w:ascii="Arial" w:hAnsi="Arial"/>
        </w:rPr>
        <w:t xml:space="preserve"> </w:t>
      </w:r>
      <w:r w:rsidR="008B5852" w:rsidRPr="008B5852">
        <w:rPr>
          <w:rFonts w:ascii="Arial" w:hAnsi="Arial"/>
        </w:rPr>
        <w:t xml:space="preserve"> </w:t>
      </w:r>
      <w:r w:rsidR="0041107B">
        <w:rPr>
          <w:rFonts w:ascii="Arial" w:hAnsi="Arial"/>
          <w:i/>
        </w:rPr>
        <w:t>Katalogu</w:t>
      </w:r>
      <w:r w:rsidR="0041107B" w:rsidRPr="008B5852">
        <w:rPr>
          <w:rFonts w:ascii="Arial" w:hAnsi="Arial"/>
        </w:rPr>
        <w:t xml:space="preserve"> </w:t>
      </w:r>
      <w:r w:rsidR="008B5852" w:rsidRPr="008B5852">
        <w:rPr>
          <w:rFonts w:ascii="Arial" w:hAnsi="Arial"/>
        </w:rPr>
        <w:t>wynika, że chodzi o beneficjenta jako stronę umowy o dofinansowanie</w:t>
      </w:r>
      <w:r w:rsidR="008A467D" w:rsidRPr="008B5852">
        <w:rPr>
          <w:rFonts w:ascii="Arial" w:hAnsi="Arial"/>
        </w:rPr>
        <w:t>;</w:t>
      </w:r>
    </w:p>
    <w:p w:rsidR="005A349B" w:rsidRPr="007E469E" w:rsidRDefault="005A349B" w:rsidP="00137BC9">
      <w:pPr>
        <w:numPr>
          <w:ilvl w:val="0"/>
          <w:numId w:val="10"/>
        </w:numPr>
        <w:spacing w:before="240" w:after="240" w:line="360" w:lineRule="auto"/>
        <w:contextualSpacing/>
        <w:jc w:val="both"/>
        <w:rPr>
          <w:rFonts w:ascii="Arial" w:hAnsi="Arial"/>
        </w:rPr>
      </w:pPr>
      <w:r w:rsidRPr="00EF5BA8">
        <w:rPr>
          <w:rFonts w:ascii="Arial" w:hAnsi="Arial"/>
        </w:rPr>
        <w:t xml:space="preserve">personel projektu – osoby zaangażowane do realizacji zadań lub czynności w ramach projektu na podstawie stosunku pracy, osoby samozatrudnione w rozumieniu </w:t>
      </w:r>
      <w:r w:rsidR="0041107B">
        <w:rPr>
          <w:rFonts w:ascii="Arial" w:hAnsi="Arial"/>
        </w:rPr>
        <w:t>pkt</w:t>
      </w:r>
      <w:r w:rsidR="00F93F49">
        <w:rPr>
          <w:rFonts w:ascii="Arial" w:hAnsi="Arial"/>
        </w:rPr>
        <w:t xml:space="preserve"> 16,</w:t>
      </w:r>
      <w:r w:rsidRPr="00EF5BA8">
        <w:rPr>
          <w:rFonts w:ascii="Arial" w:hAnsi="Arial"/>
        </w:rPr>
        <w:t xml:space="preserve"> osoby współpracujące </w:t>
      </w:r>
      <w:r w:rsidR="008B5852">
        <w:rPr>
          <w:rFonts w:ascii="Arial" w:hAnsi="Arial"/>
        </w:rPr>
        <w:t>w rozumieniu art. 13 pkt 5 ustawy z dnia 13 października 1998 r. o systemie ubezpieczeń społecznych (</w:t>
      </w:r>
      <w:r w:rsidR="00440BAD">
        <w:rPr>
          <w:rFonts w:ascii="Arial" w:hAnsi="Arial"/>
        </w:rPr>
        <w:t xml:space="preserve"> </w:t>
      </w:r>
      <w:r w:rsidR="008B5852">
        <w:rPr>
          <w:rFonts w:ascii="Arial" w:hAnsi="Arial"/>
        </w:rPr>
        <w:t>Dz. U</w:t>
      </w:r>
      <w:r w:rsidR="00440BAD">
        <w:rPr>
          <w:rFonts w:ascii="Arial" w:hAnsi="Arial"/>
        </w:rPr>
        <w:t>.</w:t>
      </w:r>
      <w:r w:rsidR="008B5852">
        <w:rPr>
          <w:rFonts w:ascii="Arial" w:hAnsi="Arial"/>
        </w:rPr>
        <w:t xml:space="preserve"> z 201</w:t>
      </w:r>
      <w:r w:rsidR="00EE0AC6">
        <w:rPr>
          <w:rFonts w:ascii="Arial" w:hAnsi="Arial"/>
        </w:rPr>
        <w:t>7</w:t>
      </w:r>
      <w:r w:rsidR="008B5852">
        <w:rPr>
          <w:rFonts w:ascii="Arial" w:hAnsi="Arial"/>
        </w:rPr>
        <w:t xml:space="preserve"> r. poz. </w:t>
      </w:r>
      <w:r w:rsidR="00EE0AC6">
        <w:rPr>
          <w:rFonts w:ascii="Arial" w:hAnsi="Arial"/>
        </w:rPr>
        <w:t>1778</w:t>
      </w:r>
      <w:r w:rsidR="00854B6B">
        <w:rPr>
          <w:rFonts w:ascii="Arial" w:hAnsi="Arial"/>
        </w:rPr>
        <w:t xml:space="preserve">, z </w:t>
      </w:r>
      <w:proofErr w:type="spellStart"/>
      <w:r w:rsidR="00854B6B">
        <w:rPr>
          <w:rFonts w:ascii="Arial" w:hAnsi="Arial"/>
        </w:rPr>
        <w:t>późn</w:t>
      </w:r>
      <w:proofErr w:type="spellEnd"/>
      <w:r w:rsidR="00854B6B">
        <w:rPr>
          <w:rFonts w:ascii="Arial" w:hAnsi="Arial"/>
        </w:rPr>
        <w:t>. zm.</w:t>
      </w:r>
      <w:r w:rsidR="008B5852">
        <w:rPr>
          <w:rFonts w:ascii="Arial" w:hAnsi="Arial"/>
        </w:rPr>
        <w:t>)</w:t>
      </w:r>
      <w:r w:rsidR="004A1A3D">
        <w:rPr>
          <w:rFonts w:ascii="Arial" w:hAnsi="Arial"/>
        </w:rPr>
        <w:t xml:space="preserve"> </w:t>
      </w:r>
      <w:r w:rsidRPr="00EF5BA8">
        <w:rPr>
          <w:rFonts w:ascii="Arial" w:hAnsi="Arial"/>
        </w:rPr>
        <w:t>oraz wolontariusz</w:t>
      </w:r>
      <w:r w:rsidR="0041107B">
        <w:rPr>
          <w:rFonts w:ascii="Arial" w:hAnsi="Arial"/>
        </w:rPr>
        <w:t>e</w:t>
      </w:r>
      <w:r w:rsidRPr="00EF5BA8">
        <w:rPr>
          <w:rFonts w:ascii="Arial" w:hAnsi="Arial"/>
        </w:rPr>
        <w:t xml:space="preserve"> wykonujący świadczenia na zasadach określonych w ustawie z dnia 24 kwietnia 2003 r. o działalności pożytku publicznego i o wolontariacie</w:t>
      </w:r>
      <w:r w:rsidR="0041107B">
        <w:rPr>
          <w:rFonts w:ascii="Arial" w:hAnsi="Arial"/>
        </w:rPr>
        <w:t xml:space="preserve"> (Dz. U. z 2016 r. poz. 1817, z </w:t>
      </w:r>
      <w:proofErr w:type="spellStart"/>
      <w:r w:rsidR="0041107B">
        <w:rPr>
          <w:rFonts w:ascii="Arial" w:hAnsi="Arial"/>
        </w:rPr>
        <w:t>późn</w:t>
      </w:r>
      <w:proofErr w:type="spellEnd"/>
      <w:r w:rsidR="0041107B">
        <w:rPr>
          <w:rFonts w:ascii="Arial" w:hAnsi="Arial"/>
        </w:rPr>
        <w:t>. zm.)</w:t>
      </w:r>
      <w:r w:rsidRPr="00EF5BA8">
        <w:rPr>
          <w:rFonts w:ascii="Arial" w:hAnsi="Arial"/>
        </w:rPr>
        <w:t>,</w:t>
      </w:r>
    </w:p>
    <w:p w:rsidR="00FC219D" w:rsidRDefault="004B15BF" w:rsidP="00137BC9">
      <w:pPr>
        <w:numPr>
          <w:ilvl w:val="0"/>
          <w:numId w:val="10"/>
        </w:numPr>
        <w:spacing w:before="240" w:after="240" w:line="360" w:lineRule="auto"/>
        <w:contextualSpacing/>
        <w:jc w:val="both"/>
        <w:rPr>
          <w:rFonts w:ascii="Arial" w:hAnsi="Arial"/>
        </w:rPr>
      </w:pPr>
      <w:r w:rsidRPr="004A1A3D">
        <w:rPr>
          <w:rFonts w:ascii="Arial" w:hAnsi="Arial"/>
        </w:rPr>
        <w:t xml:space="preserve">pomoc </w:t>
      </w:r>
      <w:r w:rsidRPr="00E64834">
        <w:rPr>
          <w:rFonts w:ascii="Arial" w:hAnsi="Arial"/>
          <w:i/>
        </w:rPr>
        <w:t xml:space="preserve">de </w:t>
      </w:r>
      <w:proofErr w:type="spellStart"/>
      <w:r w:rsidRPr="00E64834">
        <w:rPr>
          <w:rFonts w:ascii="Arial" w:hAnsi="Arial"/>
          <w:i/>
        </w:rPr>
        <w:t>minimis</w:t>
      </w:r>
      <w:proofErr w:type="spellEnd"/>
      <w:r w:rsidRPr="004A1A3D">
        <w:rPr>
          <w:rFonts w:ascii="Arial" w:hAnsi="Arial"/>
        </w:rPr>
        <w:t xml:space="preserve"> – </w:t>
      </w:r>
      <w:r w:rsidR="00FC219D" w:rsidRPr="004A1A3D">
        <w:rPr>
          <w:rFonts w:ascii="Arial" w:hAnsi="Arial"/>
        </w:rPr>
        <w:t xml:space="preserve">pomoc zgodną z przepisami rozporządzenia Komisji (UE) nr 1407/2013 z dnia 18 </w:t>
      </w:r>
      <w:r w:rsidR="00FC219D" w:rsidRPr="004A1A3D">
        <w:rPr>
          <w:rFonts w:ascii="Arial" w:hAnsi="Arial" w:cs="Arial"/>
        </w:rPr>
        <w:t xml:space="preserve">grudnia 2013 r. w sprawie stosowania art. 107 i 108 Traktatu o funkcjonowaniu Unii Europejskiej do pomocy </w:t>
      </w:r>
      <w:r w:rsidR="00FC219D" w:rsidRPr="004A1A3D">
        <w:rPr>
          <w:rFonts w:ascii="Arial" w:hAnsi="Arial" w:cs="Arial"/>
          <w:i/>
        </w:rPr>
        <w:t xml:space="preserve">de </w:t>
      </w:r>
      <w:proofErr w:type="spellStart"/>
      <w:r w:rsidR="00FC219D" w:rsidRPr="004A1A3D">
        <w:rPr>
          <w:rFonts w:ascii="Arial" w:hAnsi="Arial" w:cs="Arial"/>
          <w:i/>
        </w:rPr>
        <w:t>minimis</w:t>
      </w:r>
      <w:proofErr w:type="spellEnd"/>
      <w:r w:rsidR="00FC219D" w:rsidRPr="004A1A3D">
        <w:rPr>
          <w:rFonts w:ascii="Arial" w:hAnsi="Arial"/>
          <w:i/>
        </w:rPr>
        <w:t xml:space="preserve"> </w:t>
      </w:r>
      <w:r w:rsidR="00FC219D" w:rsidRPr="004A1A3D">
        <w:rPr>
          <w:rFonts w:ascii="Arial" w:hAnsi="Arial"/>
        </w:rPr>
        <w:t xml:space="preserve">(Dz. Urz. </w:t>
      </w:r>
      <w:r w:rsidR="00FC219D" w:rsidRPr="004A1A3D">
        <w:rPr>
          <w:rFonts w:ascii="Arial" w:hAnsi="Arial" w:cs="Arial"/>
        </w:rPr>
        <w:t>UE L 352 z 24.12.2013, str. 1)</w:t>
      </w:r>
      <w:r w:rsidR="004A1A3D" w:rsidRPr="004A1A3D">
        <w:rPr>
          <w:rFonts w:ascii="Arial" w:hAnsi="Arial" w:cs="Arial"/>
        </w:rPr>
        <w:t xml:space="preserve"> oraz z rozporządzeniem Komisji (UE) nr 360/2012 z dnia 25 kwietnia 2012 r. w sprawie stosowania art. 107 i 108 Traktatu o funkcjonowaniu Unii Europejskiej do pomocy de </w:t>
      </w:r>
      <w:proofErr w:type="spellStart"/>
      <w:r w:rsidR="004A1A3D" w:rsidRPr="004A1A3D">
        <w:rPr>
          <w:rFonts w:ascii="Arial" w:hAnsi="Arial" w:cs="Arial"/>
        </w:rPr>
        <w:t>minimis</w:t>
      </w:r>
      <w:proofErr w:type="spellEnd"/>
      <w:r w:rsidR="004A1A3D" w:rsidRPr="004A1A3D">
        <w:rPr>
          <w:rFonts w:ascii="Arial" w:hAnsi="Arial" w:cs="Arial"/>
        </w:rPr>
        <w:t xml:space="preserve"> przyznawanej przedsiębiorstwom wykonującym usługi świadczone w ogólnym interesie gospodarczym (Dz. </w:t>
      </w:r>
      <w:r w:rsidR="004A1A3D">
        <w:rPr>
          <w:rFonts w:ascii="Arial" w:hAnsi="Arial" w:cs="Arial"/>
        </w:rPr>
        <w:t>Urz. UE L 114 z 26.04.2012</w:t>
      </w:r>
      <w:r w:rsidR="004A1A3D" w:rsidRPr="004A1A3D">
        <w:rPr>
          <w:rFonts w:ascii="Arial" w:hAnsi="Arial" w:cs="Arial"/>
        </w:rPr>
        <w:t>, str. 8)</w:t>
      </w:r>
      <w:r w:rsidR="007548E0" w:rsidRPr="004A1A3D">
        <w:rPr>
          <w:rFonts w:ascii="Arial" w:hAnsi="Arial"/>
        </w:rPr>
        <w:t>;</w:t>
      </w:r>
    </w:p>
    <w:p w:rsidR="00AA145E" w:rsidRPr="006A27E1" w:rsidRDefault="00AA145E" w:rsidP="00137BC9">
      <w:pPr>
        <w:numPr>
          <w:ilvl w:val="0"/>
          <w:numId w:val="10"/>
        </w:numPr>
        <w:spacing w:before="240" w:after="240" w:line="360" w:lineRule="auto"/>
        <w:contextualSpacing/>
        <w:jc w:val="both"/>
        <w:rPr>
          <w:rFonts w:ascii="Arial" w:hAnsi="Arial"/>
        </w:rPr>
      </w:pPr>
      <w:r>
        <w:rPr>
          <w:rFonts w:ascii="Arial" w:hAnsi="Arial"/>
        </w:rPr>
        <w:t>pomoc publiczna – pomoc objętą przepisami art. 107 ust.</w:t>
      </w:r>
      <w:r w:rsidR="00CB01A4">
        <w:rPr>
          <w:rFonts w:ascii="Arial" w:hAnsi="Arial"/>
        </w:rPr>
        <w:t xml:space="preserve"> </w:t>
      </w:r>
      <w:r>
        <w:rPr>
          <w:rFonts w:ascii="Arial" w:hAnsi="Arial"/>
        </w:rPr>
        <w:t>1 TFUE. Uznaje się, że do celów niniejsz</w:t>
      </w:r>
      <w:r w:rsidR="0041107B">
        <w:rPr>
          <w:rFonts w:ascii="Arial" w:hAnsi="Arial"/>
        </w:rPr>
        <w:t xml:space="preserve">ego </w:t>
      </w:r>
      <w:r w:rsidR="0041107B">
        <w:rPr>
          <w:rFonts w:ascii="Arial" w:hAnsi="Arial"/>
          <w:i/>
        </w:rPr>
        <w:t>Katalogu</w:t>
      </w:r>
      <w:r>
        <w:rPr>
          <w:rFonts w:ascii="Arial" w:hAnsi="Arial"/>
        </w:rPr>
        <w:t xml:space="preserve"> przedmiotowe pojęcie obejmuje również pomoc </w:t>
      </w:r>
      <w:r w:rsidRPr="005A373A">
        <w:rPr>
          <w:rFonts w:ascii="Arial" w:hAnsi="Arial"/>
          <w:i/>
        </w:rPr>
        <w:t xml:space="preserve">de </w:t>
      </w:r>
      <w:proofErr w:type="spellStart"/>
      <w:r w:rsidRPr="005A373A">
        <w:rPr>
          <w:rFonts w:ascii="Arial" w:hAnsi="Arial"/>
          <w:i/>
        </w:rPr>
        <w:t>minimis</w:t>
      </w:r>
      <w:proofErr w:type="spellEnd"/>
      <w:r>
        <w:rPr>
          <w:rFonts w:ascii="Arial" w:hAnsi="Arial"/>
          <w:i/>
        </w:rPr>
        <w:t>;</w:t>
      </w:r>
    </w:p>
    <w:p w:rsidR="00893E1A" w:rsidRPr="004A1A3D" w:rsidRDefault="00893E1A" w:rsidP="00137BC9">
      <w:pPr>
        <w:numPr>
          <w:ilvl w:val="0"/>
          <w:numId w:val="10"/>
        </w:numPr>
        <w:spacing w:before="240" w:after="240" w:line="360" w:lineRule="auto"/>
        <w:contextualSpacing/>
        <w:jc w:val="both"/>
        <w:rPr>
          <w:rFonts w:ascii="Arial" w:hAnsi="Arial"/>
        </w:rPr>
      </w:pPr>
      <w:r w:rsidRPr="006A27E1">
        <w:rPr>
          <w:rFonts w:ascii="Arial" w:hAnsi="Arial"/>
        </w:rPr>
        <w:t xml:space="preserve">Prawo </w:t>
      </w:r>
      <w:r w:rsidR="00734B08">
        <w:rPr>
          <w:rFonts w:ascii="Arial" w:hAnsi="Arial"/>
        </w:rPr>
        <w:t>t</w:t>
      </w:r>
      <w:r w:rsidRPr="006A27E1">
        <w:rPr>
          <w:rFonts w:ascii="Arial" w:hAnsi="Arial"/>
        </w:rPr>
        <w:t>elekomunikacyjne</w:t>
      </w:r>
      <w:r>
        <w:rPr>
          <w:rFonts w:ascii="Arial" w:hAnsi="Arial"/>
          <w:i/>
        </w:rPr>
        <w:t xml:space="preserve"> – </w:t>
      </w:r>
      <w:r>
        <w:rPr>
          <w:rFonts w:ascii="Arial" w:hAnsi="Arial"/>
        </w:rPr>
        <w:t>ustawa z dnia 16 lipca 2004 r. Prawo telekomunikacyjne (</w:t>
      </w:r>
      <w:proofErr w:type="spellStart"/>
      <w:r w:rsidR="00734B08">
        <w:rPr>
          <w:rFonts w:ascii="Arial" w:hAnsi="Arial"/>
        </w:rPr>
        <w:t>t.j</w:t>
      </w:r>
      <w:proofErr w:type="spellEnd"/>
      <w:r w:rsidR="00734B08">
        <w:rPr>
          <w:rFonts w:ascii="Arial" w:hAnsi="Arial"/>
        </w:rPr>
        <w:t xml:space="preserve">. </w:t>
      </w:r>
      <w:r>
        <w:rPr>
          <w:rFonts w:ascii="Arial" w:hAnsi="Arial"/>
        </w:rPr>
        <w:t>Dz. U. 201</w:t>
      </w:r>
      <w:r w:rsidR="00EE0AC6">
        <w:rPr>
          <w:rFonts w:ascii="Arial" w:hAnsi="Arial"/>
        </w:rPr>
        <w:t>7</w:t>
      </w:r>
      <w:r>
        <w:rPr>
          <w:rFonts w:ascii="Arial" w:hAnsi="Arial"/>
        </w:rPr>
        <w:t xml:space="preserve"> r., poz. 1</w:t>
      </w:r>
      <w:r w:rsidR="00EE0AC6">
        <w:rPr>
          <w:rFonts w:ascii="Arial" w:hAnsi="Arial"/>
        </w:rPr>
        <w:t>907</w:t>
      </w:r>
      <w:r>
        <w:rPr>
          <w:rFonts w:ascii="Arial" w:hAnsi="Arial"/>
        </w:rPr>
        <w:t>);</w:t>
      </w:r>
    </w:p>
    <w:p w:rsidR="001E0F55" w:rsidRPr="00576223" w:rsidRDefault="00175527" w:rsidP="00137BC9">
      <w:pPr>
        <w:numPr>
          <w:ilvl w:val="0"/>
          <w:numId w:val="10"/>
        </w:numPr>
        <w:spacing w:before="240" w:after="240" w:line="360" w:lineRule="auto"/>
        <w:contextualSpacing/>
        <w:jc w:val="both"/>
        <w:rPr>
          <w:rFonts w:ascii="Arial" w:hAnsi="Arial"/>
        </w:rPr>
      </w:pPr>
      <w:r w:rsidRPr="00FC112E">
        <w:rPr>
          <w:rFonts w:ascii="Arial" w:hAnsi="Arial"/>
        </w:rPr>
        <w:t>program pomocowy</w:t>
      </w:r>
      <w:r w:rsidR="00E64834">
        <w:rPr>
          <w:rFonts w:ascii="Arial" w:hAnsi="Arial"/>
        </w:rPr>
        <w:t xml:space="preserve"> </w:t>
      </w:r>
      <w:r w:rsidRPr="00FC112E">
        <w:rPr>
          <w:rFonts w:ascii="Arial" w:hAnsi="Arial"/>
        </w:rPr>
        <w:t>–</w:t>
      </w:r>
      <w:r w:rsidR="000F289A" w:rsidRPr="00961AFC">
        <w:rPr>
          <w:rFonts w:ascii="Arial" w:hAnsi="Arial"/>
        </w:rPr>
        <w:t xml:space="preserve"> </w:t>
      </w:r>
      <w:r w:rsidR="00013639" w:rsidRPr="00961AFC">
        <w:rPr>
          <w:rFonts w:ascii="Arial" w:hAnsi="Arial"/>
        </w:rPr>
        <w:t>na gruncie niniejsz</w:t>
      </w:r>
      <w:r w:rsidR="00443B3F">
        <w:rPr>
          <w:rFonts w:ascii="Arial" w:hAnsi="Arial"/>
        </w:rPr>
        <w:t>ego</w:t>
      </w:r>
      <w:r w:rsidR="00013639" w:rsidRPr="00961AFC">
        <w:rPr>
          <w:rFonts w:ascii="Arial" w:hAnsi="Arial"/>
        </w:rPr>
        <w:t xml:space="preserve"> </w:t>
      </w:r>
      <w:r w:rsidR="00443B3F">
        <w:rPr>
          <w:rFonts w:ascii="Arial" w:hAnsi="Arial"/>
          <w:i/>
        </w:rPr>
        <w:t>Katalogu</w:t>
      </w:r>
      <w:r w:rsidR="00F155A0" w:rsidRPr="00576223">
        <w:rPr>
          <w:rFonts w:ascii="Arial" w:hAnsi="Arial"/>
        </w:rPr>
        <w:t xml:space="preserve">: rozporządzenie wydane przez właściwego ministra na podstawie delegacji ustawowej </w:t>
      </w:r>
      <w:r w:rsidR="00CB01A4">
        <w:rPr>
          <w:rFonts w:ascii="Arial" w:hAnsi="Arial"/>
        </w:rPr>
        <w:t xml:space="preserve"> wpisanej</w:t>
      </w:r>
      <w:r w:rsidR="00F155A0" w:rsidRPr="00576223">
        <w:rPr>
          <w:rFonts w:ascii="Arial" w:hAnsi="Arial"/>
        </w:rPr>
        <w:t xml:space="preserve"> w art. 27 ust. 4 ustawy </w:t>
      </w:r>
      <w:r w:rsidR="00F155A0" w:rsidRPr="00576223">
        <w:rPr>
          <w:rFonts w:ascii="Arial" w:hAnsi="Arial"/>
        </w:rPr>
        <w:lastRenderedPageBreak/>
        <w:t xml:space="preserve">wdrożeniowej określające, zgodnie z przedmiotową delegacją – szczegółowe warunki i przeznaczenie pomocy publicznej lub pomocy </w:t>
      </w:r>
      <w:r w:rsidR="00F155A0" w:rsidRPr="006A27E1">
        <w:rPr>
          <w:rFonts w:ascii="Arial" w:hAnsi="Arial"/>
          <w:i/>
        </w:rPr>
        <w:t xml:space="preserve">de </w:t>
      </w:r>
      <w:proofErr w:type="spellStart"/>
      <w:r w:rsidR="00F155A0" w:rsidRPr="006A27E1">
        <w:rPr>
          <w:rFonts w:ascii="Arial" w:hAnsi="Arial"/>
          <w:i/>
        </w:rPr>
        <w:t>minimis</w:t>
      </w:r>
      <w:proofErr w:type="spellEnd"/>
      <w:r w:rsidR="00F155A0" w:rsidRPr="00576223">
        <w:rPr>
          <w:rFonts w:ascii="Arial" w:hAnsi="Arial"/>
        </w:rPr>
        <w:t>, będącej przedmiotem jego regulacji;</w:t>
      </w:r>
    </w:p>
    <w:p w:rsidR="00091A7E" w:rsidRDefault="0003090B" w:rsidP="00137BC9">
      <w:pPr>
        <w:numPr>
          <w:ilvl w:val="0"/>
          <w:numId w:val="10"/>
        </w:numPr>
        <w:spacing w:before="240" w:after="240" w:line="360" w:lineRule="auto"/>
        <w:contextualSpacing/>
        <w:jc w:val="both"/>
        <w:rPr>
          <w:rFonts w:ascii="Arial" w:hAnsi="Arial"/>
        </w:rPr>
      </w:pPr>
      <w:r w:rsidRPr="007E469E">
        <w:rPr>
          <w:rFonts w:ascii="Arial" w:hAnsi="Arial"/>
        </w:rPr>
        <w:t xml:space="preserve">projekt – </w:t>
      </w:r>
      <w:r w:rsidR="00854B6B">
        <w:rPr>
          <w:rFonts w:ascii="Arial" w:hAnsi="Arial"/>
        </w:rPr>
        <w:t>przedsięwzięcie</w:t>
      </w:r>
      <w:r w:rsidRPr="007E469E">
        <w:rPr>
          <w:rFonts w:ascii="Arial" w:hAnsi="Arial"/>
        </w:rPr>
        <w:t xml:space="preserve"> w rozumieniu art. 2 pkt 1</w:t>
      </w:r>
      <w:r w:rsidR="00E64834">
        <w:rPr>
          <w:rFonts w:ascii="Arial" w:hAnsi="Arial"/>
        </w:rPr>
        <w:t>8</w:t>
      </w:r>
      <w:r w:rsidRPr="007E469E">
        <w:rPr>
          <w:rFonts w:ascii="Arial" w:hAnsi="Arial"/>
        </w:rPr>
        <w:t xml:space="preserve"> ustawy wdrożeniowej</w:t>
      </w:r>
      <w:r w:rsidR="001D5656" w:rsidRPr="007E469E">
        <w:rPr>
          <w:rFonts w:ascii="Arial" w:hAnsi="Arial"/>
        </w:rPr>
        <w:t xml:space="preserve"> zmierzające do osiągnięcia założonego celu określonego wskaźnikami, z określonym początkiem i końcem realizacji, zgłoszone do objęcia albo objęte współfinansowaniem UE jednego z funduszy strukturalnych albo Funduszu Spójności w ramach programu operacyjnego</w:t>
      </w:r>
      <w:r w:rsidRPr="007E469E">
        <w:rPr>
          <w:rFonts w:ascii="Arial" w:hAnsi="Arial"/>
        </w:rPr>
        <w:t xml:space="preserve">; </w:t>
      </w:r>
    </w:p>
    <w:p w:rsidR="0003137D" w:rsidRPr="007548E0" w:rsidRDefault="0003137D" w:rsidP="00137BC9">
      <w:pPr>
        <w:numPr>
          <w:ilvl w:val="0"/>
          <w:numId w:val="10"/>
        </w:numPr>
        <w:spacing w:before="240" w:after="240" w:line="360" w:lineRule="auto"/>
        <w:contextualSpacing/>
        <w:jc w:val="both"/>
        <w:rPr>
          <w:rFonts w:ascii="Arial" w:hAnsi="Arial"/>
        </w:rPr>
      </w:pPr>
      <w:r>
        <w:rPr>
          <w:rFonts w:ascii="Arial" w:hAnsi="Arial"/>
        </w:rPr>
        <w:t xml:space="preserve">projekt partnerski – projekt </w:t>
      </w:r>
      <w:r w:rsidR="00F86FA6">
        <w:rPr>
          <w:rFonts w:ascii="Arial" w:hAnsi="Arial"/>
        </w:rPr>
        <w:t xml:space="preserve">opisany w </w:t>
      </w:r>
      <w:r>
        <w:rPr>
          <w:rFonts w:ascii="Arial" w:hAnsi="Arial"/>
        </w:rPr>
        <w:t>art. 33 ustawy wdrożeniowej;</w:t>
      </w:r>
    </w:p>
    <w:p w:rsidR="00DC1597" w:rsidRPr="007E469E" w:rsidRDefault="00DC1597" w:rsidP="00137BC9">
      <w:pPr>
        <w:numPr>
          <w:ilvl w:val="0"/>
          <w:numId w:val="10"/>
        </w:numPr>
        <w:spacing w:before="240" w:after="240" w:line="360" w:lineRule="auto"/>
        <w:contextualSpacing/>
        <w:jc w:val="both"/>
        <w:rPr>
          <w:rFonts w:ascii="Arial" w:hAnsi="Arial"/>
        </w:rPr>
      </w:pPr>
      <w:r w:rsidRPr="007E469E">
        <w:rPr>
          <w:rFonts w:ascii="Arial" w:hAnsi="Arial"/>
        </w:rPr>
        <w:t xml:space="preserve">regionalna pomoc inwestycyjna - </w:t>
      </w:r>
      <w:r w:rsidR="004B2034" w:rsidRPr="007E469E">
        <w:rPr>
          <w:rFonts w:ascii="Arial" w:hAnsi="Arial"/>
        </w:rPr>
        <w:t>pomoc, o której mowa w art. 14 r</w:t>
      </w:r>
      <w:r w:rsidR="00CC6E84" w:rsidRPr="007E469E">
        <w:rPr>
          <w:rFonts w:ascii="Arial" w:hAnsi="Arial"/>
        </w:rPr>
        <w:t xml:space="preserve">ozporządzenia KE </w:t>
      </w:r>
      <w:r w:rsidR="00CB01A4">
        <w:rPr>
          <w:rFonts w:ascii="Arial" w:hAnsi="Arial"/>
        </w:rPr>
        <w:br/>
      </w:r>
      <w:r w:rsidR="00CC6E84" w:rsidRPr="007E469E">
        <w:rPr>
          <w:rFonts w:ascii="Arial" w:hAnsi="Arial"/>
        </w:rPr>
        <w:t>nr 651/2014;</w:t>
      </w:r>
    </w:p>
    <w:p w:rsidR="00740FCE" w:rsidRPr="007E469E" w:rsidRDefault="00740FCE" w:rsidP="00137BC9">
      <w:pPr>
        <w:numPr>
          <w:ilvl w:val="0"/>
          <w:numId w:val="10"/>
        </w:numPr>
        <w:spacing w:before="240" w:after="240" w:line="360" w:lineRule="auto"/>
        <w:contextualSpacing/>
        <w:jc w:val="both"/>
        <w:rPr>
          <w:rFonts w:ascii="Arial" w:hAnsi="Arial"/>
        </w:rPr>
      </w:pPr>
      <w:r w:rsidRPr="007E469E">
        <w:rPr>
          <w:rFonts w:ascii="Arial" w:hAnsi="Arial"/>
        </w:rPr>
        <w:t>rozporządzenie EFRR –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w:t>
      </w:r>
      <w:r w:rsidR="004425CF" w:rsidRPr="007E469E">
        <w:rPr>
          <w:rFonts w:ascii="Arial" w:hAnsi="Arial"/>
        </w:rPr>
        <w:t>E L 347 z 20.12.2013, str. 289);</w:t>
      </w:r>
    </w:p>
    <w:p w:rsidR="00740FCE" w:rsidRPr="007E469E" w:rsidRDefault="00740FCE" w:rsidP="00137BC9">
      <w:pPr>
        <w:numPr>
          <w:ilvl w:val="0"/>
          <w:numId w:val="10"/>
        </w:numPr>
        <w:spacing w:before="240" w:after="240" w:line="360" w:lineRule="auto"/>
        <w:contextualSpacing/>
        <w:jc w:val="both"/>
        <w:rPr>
          <w:rFonts w:ascii="Arial" w:hAnsi="Arial"/>
        </w:rPr>
      </w:pPr>
      <w:r w:rsidRPr="007E469E">
        <w:rPr>
          <w:rFonts w:ascii="Arial" w:hAnsi="Arial"/>
        </w:rPr>
        <w:t>rozporządzenie EFS – rozporządzenie Parlamentu Europejskiego i Rady (UE) nr 1304/2013 z dnia 17 grudnia 2013 r. w sprawie Europejskiego Funduszu Społecznego i uchylające rozporządzenie Rady (WE) nr 1081/2006 (Dz. Urz. U</w:t>
      </w:r>
      <w:r w:rsidR="004425CF" w:rsidRPr="007E469E">
        <w:rPr>
          <w:rFonts w:ascii="Arial" w:hAnsi="Arial"/>
        </w:rPr>
        <w:t>E L 347 z 20.12.2013, str. 470);</w:t>
      </w:r>
    </w:p>
    <w:p w:rsidR="00740FCE" w:rsidRPr="007E469E" w:rsidRDefault="00740FCE" w:rsidP="00137BC9">
      <w:pPr>
        <w:numPr>
          <w:ilvl w:val="0"/>
          <w:numId w:val="10"/>
        </w:numPr>
        <w:spacing w:before="240" w:after="240" w:line="360" w:lineRule="auto"/>
        <w:contextualSpacing/>
        <w:jc w:val="both"/>
        <w:rPr>
          <w:rFonts w:ascii="Arial" w:hAnsi="Arial"/>
        </w:rPr>
      </w:pPr>
      <w:r w:rsidRPr="007E469E">
        <w:rPr>
          <w:rFonts w:ascii="Arial" w:hAnsi="Arial"/>
        </w:rPr>
        <w:t xml:space="preserve">rozporządzenie </w:t>
      </w:r>
      <w:r w:rsidR="007D28CA" w:rsidRPr="007E469E">
        <w:rPr>
          <w:rFonts w:ascii="Arial" w:hAnsi="Arial"/>
        </w:rPr>
        <w:t>ogólne</w:t>
      </w:r>
      <w:r w:rsidR="002B013C" w:rsidRPr="007E469E">
        <w:rPr>
          <w:rFonts w:ascii="Arial" w:hAnsi="Arial"/>
        </w:rPr>
        <w:t xml:space="preserve"> </w:t>
      </w:r>
      <w:r w:rsidRPr="007E469E">
        <w:rPr>
          <w:rFonts w:ascii="Arial" w:hAnsi="Arial"/>
        </w:rPr>
        <w:t>–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w:t>
      </w:r>
      <w:r w:rsidR="004425CF" w:rsidRPr="007E469E">
        <w:rPr>
          <w:rFonts w:ascii="Arial" w:hAnsi="Arial"/>
        </w:rPr>
        <w:t>E L 347 z 20.12.2013, str. 320);</w:t>
      </w:r>
    </w:p>
    <w:p w:rsidR="00CC6E84" w:rsidRPr="007E469E" w:rsidRDefault="00CC6E84" w:rsidP="00137BC9">
      <w:pPr>
        <w:numPr>
          <w:ilvl w:val="0"/>
          <w:numId w:val="10"/>
        </w:numPr>
        <w:spacing w:after="0" w:line="360" w:lineRule="auto"/>
        <w:ind w:left="499" w:hanging="357"/>
        <w:jc w:val="both"/>
        <w:rPr>
          <w:rFonts w:ascii="Arial" w:hAnsi="Arial" w:cs="Arial"/>
        </w:rPr>
      </w:pPr>
      <w:r w:rsidRPr="007E469E">
        <w:rPr>
          <w:rFonts w:ascii="Arial" w:hAnsi="Arial" w:cs="Arial"/>
        </w:rPr>
        <w:t>ro</w:t>
      </w:r>
      <w:r w:rsidR="00EF73BA" w:rsidRPr="007E469E">
        <w:rPr>
          <w:rFonts w:ascii="Arial" w:hAnsi="Arial" w:cs="Arial"/>
        </w:rPr>
        <w:t>zporządzenie KE nr 651/2014</w:t>
      </w:r>
      <w:r w:rsidRPr="007E469E">
        <w:rPr>
          <w:rFonts w:ascii="Arial" w:hAnsi="Arial" w:cs="Arial"/>
        </w:rPr>
        <w:t xml:space="preserve"> –</w:t>
      </w:r>
      <w:r w:rsidR="00EF73BA" w:rsidRPr="007E469E">
        <w:rPr>
          <w:rFonts w:ascii="Arial" w:hAnsi="Arial" w:cs="Arial"/>
        </w:rPr>
        <w:t xml:space="preserve"> </w:t>
      </w:r>
      <w:r w:rsidR="004425CF" w:rsidRPr="007E469E">
        <w:rPr>
          <w:rFonts w:ascii="Arial" w:hAnsi="Arial" w:cs="Arial"/>
        </w:rPr>
        <w:t>r</w:t>
      </w:r>
      <w:r w:rsidRPr="007E469E">
        <w:rPr>
          <w:rFonts w:ascii="Arial" w:hAnsi="Arial" w:cs="Arial"/>
        </w:rPr>
        <w:t xml:space="preserve">ozporządzenie Komisji (UE) nr 651/2014 z dnia </w:t>
      </w:r>
      <w:r w:rsidR="00CB01A4">
        <w:rPr>
          <w:rFonts w:ascii="Arial" w:hAnsi="Arial" w:cs="Arial"/>
        </w:rPr>
        <w:br/>
      </w:r>
      <w:r w:rsidR="00EF73BA" w:rsidRPr="007E469E">
        <w:rPr>
          <w:rFonts w:ascii="Arial" w:hAnsi="Arial" w:cs="Arial"/>
        </w:rPr>
        <w:t>17 czerwca 2014 r.</w:t>
      </w:r>
      <w:r w:rsidR="00271BFC" w:rsidRPr="00271BFC">
        <w:rPr>
          <w:rFonts w:ascii="Arial" w:eastAsia="Calibri" w:hAnsi="Arial" w:cs="Arial"/>
        </w:rPr>
        <w:t xml:space="preserve"> </w:t>
      </w:r>
      <w:r w:rsidR="00271BFC" w:rsidRPr="00194B2A">
        <w:rPr>
          <w:rFonts w:ascii="Arial" w:eastAsia="Calibri" w:hAnsi="Arial" w:cs="Arial"/>
        </w:rPr>
        <w:t>uznające niektóre rodzaje pomocy za zgodne z rynkiem wewnętrznym w zastosowaniu art. 107 i 108 Traktatu</w:t>
      </w:r>
      <w:r w:rsidR="00EF73BA" w:rsidRPr="007E469E">
        <w:rPr>
          <w:rFonts w:ascii="Arial" w:hAnsi="Arial" w:cs="Arial"/>
        </w:rPr>
        <w:t xml:space="preserve"> (Dz. Urz.</w:t>
      </w:r>
      <w:r w:rsidRPr="007E469E">
        <w:rPr>
          <w:rFonts w:ascii="Arial" w:hAnsi="Arial" w:cs="Arial"/>
        </w:rPr>
        <w:t xml:space="preserve"> </w:t>
      </w:r>
      <w:r w:rsidR="00EF73BA" w:rsidRPr="007E469E">
        <w:rPr>
          <w:rFonts w:ascii="Arial" w:hAnsi="Arial" w:cs="Arial"/>
        </w:rPr>
        <w:t xml:space="preserve">UE L z </w:t>
      </w:r>
      <w:r w:rsidR="004051C0" w:rsidRPr="007E469E">
        <w:rPr>
          <w:rFonts w:ascii="Arial" w:hAnsi="Arial" w:cs="Arial"/>
        </w:rPr>
        <w:t>26.06.</w:t>
      </w:r>
      <w:r w:rsidR="00EF73BA" w:rsidRPr="007E469E">
        <w:rPr>
          <w:rFonts w:ascii="Arial" w:hAnsi="Arial" w:cs="Arial"/>
        </w:rPr>
        <w:t>2014 r.)</w:t>
      </w:r>
      <w:r w:rsidR="00FF6DFC">
        <w:rPr>
          <w:rFonts w:ascii="Arial" w:hAnsi="Arial" w:cs="Arial"/>
        </w:rPr>
        <w:t>,</w:t>
      </w:r>
      <w:r w:rsidR="002F22B0">
        <w:rPr>
          <w:rFonts w:ascii="Arial" w:hAnsi="Arial" w:cs="Arial"/>
        </w:rPr>
        <w:t xml:space="preserve"> </w:t>
      </w:r>
      <w:r w:rsidR="00FF6DFC">
        <w:rPr>
          <w:rFonts w:ascii="Arial" w:hAnsi="Arial" w:cs="Arial"/>
        </w:rPr>
        <w:t>s</w:t>
      </w:r>
      <w:r w:rsidR="002F22B0" w:rsidRPr="007E0360">
        <w:rPr>
          <w:rFonts w:ascii="Arial" w:eastAsia="Calibri" w:hAnsi="Arial" w:cs="Arial"/>
        </w:rPr>
        <w:t>tanowi</w:t>
      </w:r>
      <w:r w:rsidR="00053E19">
        <w:rPr>
          <w:rFonts w:ascii="Arial" w:eastAsia="Calibri" w:hAnsi="Arial" w:cs="Arial"/>
        </w:rPr>
        <w:t>ące</w:t>
      </w:r>
      <w:r w:rsidR="002F22B0" w:rsidRPr="007E0360">
        <w:rPr>
          <w:rFonts w:ascii="Arial" w:eastAsia="Calibri" w:hAnsi="Arial" w:cs="Arial"/>
        </w:rPr>
        <w:t xml:space="preserve"> podstawę do opracowywania programów pomocowych albo pomocy indywidualnej (w tym pomocy </w:t>
      </w:r>
      <w:r w:rsidR="002F22B0" w:rsidRPr="00395C47">
        <w:rPr>
          <w:rFonts w:ascii="Arial" w:eastAsia="Calibri" w:hAnsi="Arial" w:cs="Arial"/>
          <w:i/>
        </w:rPr>
        <w:t>ad hoc</w:t>
      </w:r>
      <w:r w:rsidR="002F22B0" w:rsidRPr="007E0360">
        <w:rPr>
          <w:rFonts w:ascii="Arial" w:eastAsia="Calibri" w:hAnsi="Arial" w:cs="Arial"/>
        </w:rPr>
        <w:t xml:space="preserve"> – poza programem pomocowym) w obszarach wskazanych w tym rozporządzeniu – tzw. poszczególnych </w:t>
      </w:r>
      <w:proofErr w:type="spellStart"/>
      <w:r w:rsidR="002F22B0" w:rsidRPr="007E0360">
        <w:rPr>
          <w:rFonts w:ascii="Arial" w:eastAsia="Calibri" w:hAnsi="Arial" w:cs="Arial"/>
        </w:rPr>
        <w:t>w</w:t>
      </w:r>
      <w:r w:rsidR="002F22B0">
        <w:rPr>
          <w:rFonts w:ascii="Arial" w:eastAsia="Calibri" w:hAnsi="Arial" w:cs="Arial"/>
        </w:rPr>
        <w:t>y</w:t>
      </w:r>
      <w:r w:rsidR="002F22B0" w:rsidRPr="007E0360">
        <w:rPr>
          <w:rFonts w:ascii="Arial" w:eastAsia="Calibri" w:hAnsi="Arial" w:cs="Arial"/>
        </w:rPr>
        <w:t>łączeniach</w:t>
      </w:r>
      <w:proofErr w:type="spellEnd"/>
      <w:r w:rsidR="002F22B0" w:rsidRPr="007E0360">
        <w:rPr>
          <w:rFonts w:ascii="Arial" w:eastAsia="Calibri" w:hAnsi="Arial" w:cs="Arial"/>
        </w:rPr>
        <w:t xml:space="preserve"> blokowych/grupowych</w:t>
      </w:r>
      <w:r w:rsidR="000F289A" w:rsidRPr="007E469E">
        <w:rPr>
          <w:rFonts w:ascii="Arial" w:hAnsi="Arial" w:cs="Arial"/>
        </w:rPr>
        <w:t>;</w:t>
      </w:r>
    </w:p>
    <w:p w:rsidR="00CC6E84" w:rsidRPr="007E469E" w:rsidRDefault="00EF73BA" w:rsidP="00137BC9">
      <w:pPr>
        <w:numPr>
          <w:ilvl w:val="0"/>
          <w:numId w:val="10"/>
        </w:numPr>
        <w:spacing w:after="0" w:line="360" w:lineRule="auto"/>
        <w:ind w:left="499" w:hanging="357"/>
        <w:jc w:val="both"/>
        <w:rPr>
          <w:rFonts w:ascii="Arial" w:hAnsi="Arial" w:cs="Arial"/>
        </w:rPr>
      </w:pPr>
      <w:r w:rsidRPr="007E469E">
        <w:rPr>
          <w:rFonts w:ascii="Arial" w:hAnsi="Arial" w:cs="Arial"/>
        </w:rPr>
        <w:lastRenderedPageBreak/>
        <w:t>rozporządzenie KE nr 1407/2013</w:t>
      </w:r>
      <w:r w:rsidR="00CC6E84" w:rsidRPr="007E469E">
        <w:rPr>
          <w:rFonts w:ascii="Arial" w:hAnsi="Arial" w:cs="Arial"/>
        </w:rPr>
        <w:t xml:space="preserve"> –</w:t>
      </w:r>
      <w:r w:rsidRPr="007E469E">
        <w:rPr>
          <w:rFonts w:ascii="Arial" w:hAnsi="Arial" w:cs="Arial"/>
        </w:rPr>
        <w:t xml:space="preserve"> </w:t>
      </w:r>
      <w:r w:rsidR="004425CF" w:rsidRPr="007E469E">
        <w:rPr>
          <w:rFonts w:ascii="Arial" w:hAnsi="Arial" w:cs="Arial"/>
        </w:rPr>
        <w:t>r</w:t>
      </w:r>
      <w:r w:rsidR="00CC6E84" w:rsidRPr="007E469E">
        <w:rPr>
          <w:rFonts w:ascii="Arial" w:hAnsi="Arial" w:cs="Arial"/>
        </w:rPr>
        <w:t xml:space="preserve">ozporządzenie Komisji (UE) nr 1407/ 2013 z dnia 18 grudnia 2013 r. w sprawie stosowania art. 107 i 108 Traktatu o funkcjonowaniu Unii Europejskiej do pomocy de </w:t>
      </w:r>
      <w:proofErr w:type="spellStart"/>
      <w:r w:rsidR="00CC6E84" w:rsidRPr="007E469E">
        <w:rPr>
          <w:rFonts w:ascii="Arial" w:hAnsi="Arial" w:cs="Arial"/>
        </w:rPr>
        <w:t>minimis</w:t>
      </w:r>
      <w:proofErr w:type="spellEnd"/>
      <w:r w:rsidR="00CC6E84" w:rsidRPr="007E469E">
        <w:rPr>
          <w:rFonts w:ascii="Arial" w:hAnsi="Arial" w:cs="Arial"/>
        </w:rPr>
        <w:t xml:space="preserve"> (Dz. Urz. UE L 352 z 24</w:t>
      </w:r>
      <w:r w:rsidR="00C141C2" w:rsidRPr="007E469E">
        <w:rPr>
          <w:rFonts w:ascii="Arial" w:hAnsi="Arial" w:cs="Arial"/>
        </w:rPr>
        <w:t xml:space="preserve">.12 </w:t>
      </w:r>
      <w:r w:rsidR="00CC6E84" w:rsidRPr="007E469E">
        <w:rPr>
          <w:rFonts w:ascii="Arial" w:hAnsi="Arial" w:cs="Arial"/>
        </w:rPr>
        <w:t>2013 r.)</w:t>
      </w:r>
      <w:r w:rsidR="000F289A" w:rsidRPr="007E469E">
        <w:rPr>
          <w:rFonts w:ascii="Arial" w:hAnsi="Arial" w:cs="Arial"/>
        </w:rPr>
        <w:t>;</w:t>
      </w:r>
    </w:p>
    <w:p w:rsidR="004425CF" w:rsidRPr="007E469E" w:rsidRDefault="004425CF" w:rsidP="00137BC9">
      <w:pPr>
        <w:numPr>
          <w:ilvl w:val="0"/>
          <w:numId w:val="10"/>
        </w:numPr>
        <w:spacing w:after="0" w:line="360" w:lineRule="auto"/>
        <w:ind w:left="499" w:hanging="357"/>
        <w:jc w:val="both"/>
        <w:rPr>
          <w:rFonts w:ascii="Arial" w:hAnsi="Arial" w:cs="Arial"/>
        </w:rPr>
      </w:pPr>
      <w:r w:rsidRPr="007E469E">
        <w:rPr>
          <w:rFonts w:ascii="Arial" w:eastAsia="Times New Roman" w:hAnsi="Arial" w:cs="Arial"/>
          <w:lang w:eastAsia="pl-PL"/>
        </w:rPr>
        <w:t xml:space="preserve">rozporządzenie nr 966/2012 – rozporządzenie Parlamentu Europejskiego i Rady (UE, </w:t>
      </w:r>
      <w:proofErr w:type="spellStart"/>
      <w:r w:rsidRPr="007E469E">
        <w:rPr>
          <w:rFonts w:ascii="Arial" w:eastAsia="Times New Roman" w:hAnsi="Arial" w:cs="Arial"/>
          <w:lang w:eastAsia="pl-PL"/>
        </w:rPr>
        <w:t>Euratom</w:t>
      </w:r>
      <w:proofErr w:type="spellEnd"/>
      <w:r w:rsidRPr="007E469E">
        <w:rPr>
          <w:rFonts w:ascii="Arial" w:eastAsia="Times New Roman" w:hAnsi="Arial" w:cs="Arial"/>
          <w:lang w:eastAsia="pl-PL"/>
        </w:rPr>
        <w:t xml:space="preserve">) nr 966/2012 z dnia 25 października 2012 r. w sprawie zasad finansowych mających zastosowanie do budżetu ogólnego Unii oraz uchylające rozporządzenie Rady (WE, </w:t>
      </w:r>
      <w:proofErr w:type="spellStart"/>
      <w:r w:rsidRPr="007E469E">
        <w:rPr>
          <w:rFonts w:ascii="Arial" w:eastAsia="Times New Roman" w:hAnsi="Arial" w:cs="Arial"/>
          <w:lang w:eastAsia="pl-PL"/>
        </w:rPr>
        <w:t>Euratom</w:t>
      </w:r>
      <w:proofErr w:type="spellEnd"/>
      <w:r w:rsidRPr="007E469E">
        <w:rPr>
          <w:rFonts w:ascii="Arial" w:eastAsia="Times New Roman" w:hAnsi="Arial" w:cs="Arial"/>
          <w:lang w:eastAsia="pl-PL"/>
        </w:rPr>
        <w:t>) nr 1605/2002;</w:t>
      </w:r>
    </w:p>
    <w:p w:rsidR="00740FCE" w:rsidRPr="007E469E" w:rsidRDefault="00740FCE" w:rsidP="00137BC9">
      <w:pPr>
        <w:numPr>
          <w:ilvl w:val="0"/>
          <w:numId w:val="10"/>
        </w:numPr>
        <w:spacing w:after="0" w:line="360" w:lineRule="auto"/>
        <w:ind w:left="499" w:hanging="357"/>
        <w:jc w:val="both"/>
        <w:rPr>
          <w:rFonts w:ascii="Arial" w:hAnsi="Arial" w:cs="Arial"/>
        </w:rPr>
      </w:pPr>
      <w:r w:rsidRPr="007E469E">
        <w:rPr>
          <w:rFonts w:ascii="Arial" w:hAnsi="Arial" w:cs="Arial"/>
        </w:rPr>
        <w:t>szczegółowy opis osi priorytetowych programu operacyjnego –</w:t>
      </w:r>
      <w:r w:rsidR="00355269">
        <w:rPr>
          <w:rFonts w:ascii="Arial" w:hAnsi="Arial" w:cs="Arial"/>
        </w:rPr>
        <w:t xml:space="preserve"> </w:t>
      </w:r>
      <w:r w:rsidRPr="007E469E">
        <w:rPr>
          <w:rFonts w:ascii="Arial" w:hAnsi="Arial" w:cs="Arial"/>
        </w:rPr>
        <w:t xml:space="preserve">dokument </w:t>
      </w:r>
      <w:r w:rsidR="00A96253">
        <w:rPr>
          <w:rFonts w:ascii="Arial" w:hAnsi="Arial" w:cs="Arial"/>
        </w:rPr>
        <w:t xml:space="preserve">zdefiniowany </w:t>
      </w:r>
      <w:r w:rsidR="00355269" w:rsidRPr="00EF5BA8">
        <w:rPr>
          <w:rFonts w:ascii="Arial" w:hAnsi="Arial"/>
        </w:rPr>
        <w:t xml:space="preserve">w art. 2 pkt 25 ustawy </w:t>
      </w:r>
      <w:r w:rsidR="00355269">
        <w:rPr>
          <w:rFonts w:ascii="Arial" w:hAnsi="Arial" w:cs="Arial"/>
        </w:rPr>
        <w:t xml:space="preserve">wdrożeniowej </w:t>
      </w:r>
      <w:r w:rsidRPr="007E469E">
        <w:rPr>
          <w:rFonts w:ascii="Arial" w:hAnsi="Arial" w:cs="Arial"/>
        </w:rPr>
        <w:t xml:space="preserve">przygotowany </w:t>
      </w:r>
      <w:r w:rsidR="00B1308B">
        <w:rPr>
          <w:rFonts w:ascii="Arial" w:hAnsi="Arial" w:cs="Arial"/>
        </w:rPr>
        <w:t xml:space="preserve">i przyjęty </w:t>
      </w:r>
      <w:r w:rsidRPr="007E469E">
        <w:rPr>
          <w:rFonts w:ascii="Arial" w:hAnsi="Arial" w:cs="Arial"/>
        </w:rPr>
        <w:t xml:space="preserve">przez </w:t>
      </w:r>
      <w:r w:rsidR="002B01CE" w:rsidRPr="007E469E">
        <w:rPr>
          <w:rFonts w:ascii="Arial" w:hAnsi="Arial" w:cs="Arial"/>
        </w:rPr>
        <w:t>IZ</w:t>
      </w:r>
      <w:r w:rsidRPr="007E469E">
        <w:rPr>
          <w:rFonts w:ascii="Arial" w:hAnsi="Arial" w:cs="Arial"/>
        </w:rPr>
        <w:t xml:space="preserve"> POPC </w:t>
      </w:r>
      <w:r w:rsidR="00B1308B">
        <w:rPr>
          <w:rFonts w:ascii="Arial" w:hAnsi="Arial" w:cs="Arial"/>
        </w:rPr>
        <w:t xml:space="preserve">oraz zatwierdzony w zakresie kryteriów wyboru projektów </w:t>
      </w:r>
      <w:r w:rsidRPr="007E469E">
        <w:rPr>
          <w:rFonts w:ascii="Arial" w:hAnsi="Arial" w:cs="Arial"/>
        </w:rPr>
        <w:t>przez komitet monitorujący, o którym mowa w art. 47 rozporządzenia ogólnego, określający w szczególności zakres działań lub poddziałań w ramach poszczeg</w:t>
      </w:r>
      <w:r w:rsidR="004425CF" w:rsidRPr="007E469E">
        <w:rPr>
          <w:rFonts w:ascii="Arial" w:hAnsi="Arial" w:cs="Arial"/>
        </w:rPr>
        <w:t>ólnych osi priorytetowych POPC;</w:t>
      </w:r>
    </w:p>
    <w:p w:rsidR="00740FCE" w:rsidRPr="007E469E" w:rsidRDefault="00740FCE" w:rsidP="00137BC9">
      <w:pPr>
        <w:numPr>
          <w:ilvl w:val="0"/>
          <w:numId w:val="10"/>
        </w:numPr>
        <w:spacing w:after="0" w:line="360" w:lineRule="auto"/>
        <w:ind w:left="499" w:hanging="357"/>
        <w:jc w:val="both"/>
        <w:rPr>
          <w:rFonts w:ascii="Arial" w:hAnsi="Arial" w:cs="Arial"/>
        </w:rPr>
      </w:pPr>
      <w:r w:rsidRPr="007E469E">
        <w:rPr>
          <w:rFonts w:ascii="Arial" w:hAnsi="Arial" w:cs="Arial"/>
        </w:rPr>
        <w:t>środk</w:t>
      </w:r>
      <w:r w:rsidR="00B1308B">
        <w:rPr>
          <w:rFonts w:ascii="Arial" w:hAnsi="Arial" w:cs="Arial"/>
        </w:rPr>
        <w:t>i</w:t>
      </w:r>
      <w:r w:rsidRPr="007E469E">
        <w:rPr>
          <w:rFonts w:ascii="Arial" w:hAnsi="Arial" w:cs="Arial"/>
        </w:rPr>
        <w:t xml:space="preserve"> trwał</w:t>
      </w:r>
      <w:r w:rsidR="00B1308B">
        <w:rPr>
          <w:rFonts w:ascii="Arial" w:hAnsi="Arial" w:cs="Arial"/>
        </w:rPr>
        <w:t>e</w:t>
      </w:r>
      <w:r w:rsidRPr="007E469E">
        <w:rPr>
          <w:rFonts w:ascii="Arial" w:hAnsi="Arial" w:cs="Arial"/>
        </w:rPr>
        <w:t xml:space="preserve"> –</w:t>
      </w:r>
      <w:r w:rsidR="00914E6F">
        <w:rPr>
          <w:rFonts w:ascii="Arial" w:hAnsi="Arial" w:cs="Arial"/>
        </w:rPr>
        <w:t xml:space="preserve"> </w:t>
      </w:r>
      <w:r w:rsidR="00A91770">
        <w:rPr>
          <w:rFonts w:ascii="Arial" w:hAnsi="Arial" w:cs="Arial"/>
        </w:rPr>
        <w:t xml:space="preserve">aktywa w rozumieniu </w:t>
      </w:r>
      <w:r w:rsidR="008E35A2" w:rsidRPr="00EF5BA8">
        <w:rPr>
          <w:rFonts w:ascii="Arial" w:hAnsi="Arial"/>
        </w:rPr>
        <w:t>art. 3 ust. 1 pkt 15 ustawy z dnia 29 wr</w:t>
      </w:r>
      <w:r w:rsidR="008E35A2">
        <w:rPr>
          <w:rFonts w:ascii="Arial" w:hAnsi="Arial"/>
        </w:rPr>
        <w:t>ześnia 1994 r</w:t>
      </w:r>
      <w:r w:rsidR="00247D35">
        <w:rPr>
          <w:rFonts w:ascii="Arial" w:hAnsi="Arial"/>
        </w:rPr>
        <w:t>.</w:t>
      </w:r>
      <w:r w:rsidR="008E35A2">
        <w:rPr>
          <w:rFonts w:ascii="Arial" w:hAnsi="Arial"/>
        </w:rPr>
        <w:t xml:space="preserve"> o rachunkowości (</w:t>
      </w:r>
      <w:r w:rsidR="008E35A2" w:rsidRPr="00EF5BA8">
        <w:rPr>
          <w:rFonts w:ascii="Arial" w:hAnsi="Arial"/>
        </w:rPr>
        <w:t>Dz.</w:t>
      </w:r>
      <w:r w:rsidR="00A96253">
        <w:rPr>
          <w:rFonts w:ascii="Arial" w:hAnsi="Arial"/>
        </w:rPr>
        <w:t xml:space="preserve"> </w:t>
      </w:r>
      <w:r w:rsidR="008E35A2" w:rsidRPr="00EF5BA8">
        <w:rPr>
          <w:rFonts w:ascii="Arial" w:hAnsi="Arial"/>
        </w:rPr>
        <w:t>U.</w:t>
      </w:r>
      <w:r w:rsidR="00A96253">
        <w:rPr>
          <w:rFonts w:ascii="Arial" w:hAnsi="Arial"/>
        </w:rPr>
        <w:t xml:space="preserve"> </w:t>
      </w:r>
      <w:r w:rsidR="00B1308B">
        <w:rPr>
          <w:rFonts w:ascii="Arial" w:hAnsi="Arial"/>
        </w:rPr>
        <w:t>201</w:t>
      </w:r>
      <w:r w:rsidR="00751D63">
        <w:rPr>
          <w:rFonts w:ascii="Arial" w:hAnsi="Arial"/>
        </w:rPr>
        <w:t>6</w:t>
      </w:r>
      <w:r w:rsidR="00B1308B">
        <w:rPr>
          <w:rFonts w:ascii="Arial" w:hAnsi="Arial"/>
        </w:rPr>
        <w:t xml:space="preserve"> r.</w:t>
      </w:r>
      <w:r w:rsidR="008E35A2">
        <w:rPr>
          <w:rFonts w:ascii="Arial" w:hAnsi="Arial"/>
        </w:rPr>
        <w:t>,</w:t>
      </w:r>
      <w:r w:rsidR="008E35A2" w:rsidRPr="00EF5BA8">
        <w:rPr>
          <w:rFonts w:ascii="Arial" w:hAnsi="Arial"/>
        </w:rPr>
        <w:t xml:space="preserve"> poz. </w:t>
      </w:r>
      <w:r w:rsidR="00751D63">
        <w:rPr>
          <w:rFonts w:ascii="Arial" w:hAnsi="Arial"/>
        </w:rPr>
        <w:t>1047</w:t>
      </w:r>
      <w:r w:rsidR="008E35A2">
        <w:rPr>
          <w:rFonts w:ascii="Arial" w:hAnsi="Arial"/>
        </w:rPr>
        <w:t xml:space="preserve">, z </w:t>
      </w:r>
      <w:proofErr w:type="spellStart"/>
      <w:r w:rsidR="008E35A2">
        <w:rPr>
          <w:rFonts w:ascii="Arial" w:hAnsi="Arial"/>
        </w:rPr>
        <w:t>późn</w:t>
      </w:r>
      <w:proofErr w:type="spellEnd"/>
      <w:r w:rsidR="008E35A2">
        <w:rPr>
          <w:rFonts w:ascii="Arial" w:hAnsi="Arial"/>
        </w:rPr>
        <w:t>.</w:t>
      </w:r>
      <w:r w:rsidR="00387ABF">
        <w:rPr>
          <w:rFonts w:ascii="Arial" w:hAnsi="Arial"/>
        </w:rPr>
        <w:t xml:space="preserve"> </w:t>
      </w:r>
      <w:r w:rsidR="008E35A2">
        <w:rPr>
          <w:rFonts w:ascii="Arial" w:hAnsi="Arial"/>
        </w:rPr>
        <w:t>zm.</w:t>
      </w:r>
      <w:r w:rsidR="008E35A2" w:rsidRPr="00EF5BA8">
        <w:rPr>
          <w:rFonts w:ascii="Arial" w:hAnsi="Arial"/>
        </w:rPr>
        <w:t>),</w:t>
      </w:r>
      <w:r w:rsidR="008E35A2" w:rsidRPr="00EF5BA8">
        <w:rPr>
          <w:rFonts w:ascii="Arial" w:eastAsia="MS Mincho" w:hAnsi="Arial" w:cs="Arial"/>
          <w:lang w:eastAsia="ja-JP"/>
        </w:rPr>
        <w:t xml:space="preserve">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r w:rsidR="004425CF" w:rsidRPr="007E469E">
        <w:rPr>
          <w:rFonts w:ascii="Arial" w:hAnsi="Arial" w:cs="Arial"/>
        </w:rPr>
        <w:t>;</w:t>
      </w:r>
    </w:p>
    <w:p w:rsidR="00500BC0" w:rsidRPr="00261940" w:rsidRDefault="00740FCE" w:rsidP="00137BC9">
      <w:pPr>
        <w:numPr>
          <w:ilvl w:val="0"/>
          <w:numId w:val="10"/>
        </w:numPr>
        <w:spacing w:after="0" w:line="360" w:lineRule="auto"/>
        <w:jc w:val="both"/>
        <w:rPr>
          <w:rFonts w:ascii="Arial" w:hAnsi="Arial" w:cs="Arial"/>
        </w:rPr>
      </w:pPr>
      <w:r w:rsidRPr="00500BC0">
        <w:rPr>
          <w:rFonts w:ascii="Arial" w:hAnsi="Arial" w:cs="Arial"/>
        </w:rPr>
        <w:t xml:space="preserve">umowa o dofinansowanie </w:t>
      </w:r>
      <w:r w:rsidR="001D5656" w:rsidRPr="00500BC0">
        <w:rPr>
          <w:rFonts w:ascii="Arial" w:hAnsi="Arial" w:cs="Arial"/>
        </w:rPr>
        <w:t xml:space="preserve">projektu </w:t>
      </w:r>
      <w:r w:rsidRPr="00500BC0">
        <w:rPr>
          <w:rFonts w:ascii="Arial" w:hAnsi="Arial" w:cs="Arial"/>
        </w:rPr>
        <w:t>–</w:t>
      </w:r>
      <w:r w:rsidR="00C66350" w:rsidRPr="00500BC0">
        <w:rPr>
          <w:rFonts w:ascii="Arial" w:hAnsi="Arial" w:cs="Arial"/>
        </w:rPr>
        <w:t xml:space="preserve"> </w:t>
      </w:r>
      <w:r w:rsidRPr="00500BC0">
        <w:rPr>
          <w:rFonts w:ascii="Arial" w:hAnsi="Arial" w:cs="Arial"/>
        </w:rPr>
        <w:t>decyzj</w:t>
      </w:r>
      <w:r w:rsidR="001D5656" w:rsidRPr="00500BC0">
        <w:rPr>
          <w:rFonts w:ascii="Arial" w:hAnsi="Arial" w:cs="Arial"/>
        </w:rPr>
        <w:t xml:space="preserve">ę o </w:t>
      </w:r>
      <w:r w:rsidR="002D557B" w:rsidRPr="00500BC0">
        <w:rPr>
          <w:rFonts w:ascii="Arial" w:hAnsi="Arial" w:cs="Arial"/>
        </w:rPr>
        <w:t>dofinansowani</w:t>
      </w:r>
      <w:r w:rsidR="002D557B">
        <w:rPr>
          <w:rFonts w:ascii="Arial" w:hAnsi="Arial" w:cs="Arial"/>
        </w:rPr>
        <w:t>u</w:t>
      </w:r>
      <w:r w:rsidR="001D5656" w:rsidRPr="00500BC0">
        <w:rPr>
          <w:rFonts w:ascii="Arial" w:hAnsi="Arial" w:cs="Arial"/>
        </w:rPr>
        <w:t xml:space="preserve"> projektu</w:t>
      </w:r>
      <w:r w:rsidRPr="00500BC0">
        <w:rPr>
          <w:rFonts w:ascii="Arial" w:hAnsi="Arial" w:cs="Arial"/>
        </w:rPr>
        <w:t>, o któr</w:t>
      </w:r>
      <w:r w:rsidR="001D5656" w:rsidRPr="00500BC0">
        <w:rPr>
          <w:rFonts w:ascii="Arial" w:hAnsi="Arial" w:cs="Arial"/>
        </w:rPr>
        <w:t>ej</w:t>
      </w:r>
      <w:r w:rsidRPr="00500BC0">
        <w:rPr>
          <w:rFonts w:ascii="Arial" w:hAnsi="Arial" w:cs="Arial"/>
        </w:rPr>
        <w:t xml:space="preserve"> mowa  w art. </w:t>
      </w:r>
      <w:r w:rsidR="001D5656" w:rsidRPr="00500BC0">
        <w:rPr>
          <w:rFonts w:ascii="Arial" w:hAnsi="Arial" w:cs="Arial"/>
        </w:rPr>
        <w:t>2 pkt 2 ustawy wdrożeniowej</w:t>
      </w:r>
      <w:r w:rsidR="00500BC0" w:rsidRPr="00500BC0">
        <w:rPr>
          <w:rFonts w:ascii="Arial" w:hAnsi="Arial" w:cs="Arial"/>
        </w:rPr>
        <w:t xml:space="preserve"> </w:t>
      </w:r>
      <w:r w:rsidR="001D5656" w:rsidRPr="00CF6608">
        <w:rPr>
          <w:rFonts w:ascii="Arial" w:hAnsi="Arial" w:cs="Arial"/>
        </w:rPr>
        <w:t xml:space="preserve">lub umowę o </w:t>
      </w:r>
      <w:r w:rsidR="002D557B" w:rsidRPr="00CF6608">
        <w:rPr>
          <w:rFonts w:ascii="Arial" w:hAnsi="Arial" w:cs="Arial"/>
        </w:rPr>
        <w:t>dofinansowani</w:t>
      </w:r>
      <w:r w:rsidR="002D557B">
        <w:rPr>
          <w:rFonts w:ascii="Arial" w:hAnsi="Arial" w:cs="Arial"/>
        </w:rPr>
        <w:t>e</w:t>
      </w:r>
      <w:r w:rsidR="002D557B" w:rsidRPr="00CF6608">
        <w:rPr>
          <w:rFonts w:ascii="Arial" w:hAnsi="Arial" w:cs="Arial"/>
        </w:rPr>
        <w:t xml:space="preserve"> </w:t>
      </w:r>
      <w:r w:rsidR="001D5656" w:rsidRPr="00CF6608">
        <w:rPr>
          <w:rFonts w:ascii="Arial" w:hAnsi="Arial" w:cs="Arial"/>
        </w:rPr>
        <w:t xml:space="preserve">projektu, o której mowa w art. </w:t>
      </w:r>
      <w:r w:rsidRPr="002C5156">
        <w:rPr>
          <w:rFonts w:ascii="Arial" w:hAnsi="Arial" w:cs="Arial"/>
        </w:rPr>
        <w:t>2 pkt 2</w:t>
      </w:r>
      <w:r w:rsidR="001D5656" w:rsidRPr="00250FF7">
        <w:rPr>
          <w:rFonts w:ascii="Arial" w:hAnsi="Arial" w:cs="Arial"/>
        </w:rPr>
        <w:t xml:space="preserve">6 </w:t>
      </w:r>
      <w:r w:rsidR="004425CF" w:rsidRPr="00250FF7">
        <w:rPr>
          <w:rFonts w:ascii="Arial" w:hAnsi="Arial" w:cs="Arial"/>
        </w:rPr>
        <w:t>ustawy wdrożeniowej</w:t>
      </w:r>
      <w:r w:rsidR="00500BC0" w:rsidRPr="00250FF7">
        <w:rPr>
          <w:rFonts w:ascii="Arial" w:hAnsi="Arial" w:cs="Arial"/>
        </w:rPr>
        <w:t xml:space="preserve"> </w:t>
      </w:r>
      <w:r w:rsidR="00500BC0" w:rsidRPr="00261940">
        <w:rPr>
          <w:rFonts w:ascii="Arial" w:hAnsi="Arial" w:cs="Arial"/>
        </w:rPr>
        <w:t>tzn.:</w:t>
      </w:r>
    </w:p>
    <w:p w:rsidR="00500BC0" w:rsidRPr="003C75A8" w:rsidRDefault="00500BC0" w:rsidP="00137BC9">
      <w:pPr>
        <w:pStyle w:val="Akapitzlist"/>
        <w:numPr>
          <w:ilvl w:val="1"/>
          <w:numId w:val="10"/>
        </w:numPr>
        <w:spacing w:after="0" w:line="360" w:lineRule="auto"/>
        <w:jc w:val="both"/>
        <w:rPr>
          <w:rFonts w:ascii="Arial" w:hAnsi="Arial" w:cs="Arial"/>
        </w:rPr>
      </w:pPr>
      <w:r w:rsidRPr="003C75A8">
        <w:rPr>
          <w:rFonts w:ascii="Arial" w:hAnsi="Arial" w:cs="Arial"/>
        </w:rPr>
        <w:t xml:space="preserve">umowę zawartą między </w:t>
      </w:r>
      <w:r w:rsidR="002D557B">
        <w:rPr>
          <w:rFonts w:ascii="Arial" w:hAnsi="Arial" w:cs="Arial"/>
        </w:rPr>
        <w:t>IP POPC</w:t>
      </w:r>
      <w:r w:rsidRPr="003C75A8">
        <w:rPr>
          <w:rFonts w:ascii="Arial" w:hAnsi="Arial" w:cs="Arial"/>
        </w:rPr>
        <w:t xml:space="preserve"> a wnioskodawcą, którego projekt został wybrany do dofinansowania, zawierającą co najmniej elementy, o których mowa w art. 206 ust. 2 ustawy z dnia 27 sierpnia 2009 r. o finansach publicznych (Dz. U. z 201</w:t>
      </w:r>
      <w:r w:rsidR="00751D63">
        <w:rPr>
          <w:rFonts w:ascii="Arial" w:hAnsi="Arial" w:cs="Arial"/>
        </w:rPr>
        <w:t>6</w:t>
      </w:r>
      <w:r w:rsidRPr="003C75A8">
        <w:rPr>
          <w:rFonts w:ascii="Arial" w:hAnsi="Arial" w:cs="Arial"/>
        </w:rPr>
        <w:t xml:space="preserve"> r. poz. </w:t>
      </w:r>
      <w:r w:rsidR="00751D63">
        <w:rPr>
          <w:rFonts w:ascii="Arial" w:hAnsi="Arial" w:cs="Arial"/>
        </w:rPr>
        <w:t>1</w:t>
      </w:r>
      <w:r w:rsidRPr="003C75A8">
        <w:rPr>
          <w:rFonts w:ascii="Arial" w:hAnsi="Arial" w:cs="Arial"/>
        </w:rPr>
        <w:t>8</w:t>
      </w:r>
      <w:r w:rsidR="00751D63">
        <w:rPr>
          <w:rFonts w:ascii="Arial" w:hAnsi="Arial" w:cs="Arial"/>
        </w:rPr>
        <w:t>70</w:t>
      </w:r>
      <w:r w:rsidRPr="003C75A8">
        <w:rPr>
          <w:rFonts w:ascii="Arial" w:hAnsi="Arial" w:cs="Arial"/>
        </w:rPr>
        <w:t xml:space="preserve">, z </w:t>
      </w:r>
      <w:proofErr w:type="spellStart"/>
      <w:r w:rsidRPr="003C75A8">
        <w:rPr>
          <w:rFonts w:ascii="Arial" w:hAnsi="Arial" w:cs="Arial"/>
        </w:rPr>
        <w:t>późn</w:t>
      </w:r>
      <w:proofErr w:type="spellEnd"/>
      <w:r w:rsidRPr="003C75A8">
        <w:rPr>
          <w:rFonts w:ascii="Arial" w:hAnsi="Arial" w:cs="Arial"/>
        </w:rPr>
        <w:t>. zm.),</w:t>
      </w:r>
    </w:p>
    <w:p w:rsidR="00740FCE" w:rsidRPr="003C75A8" w:rsidRDefault="00500BC0" w:rsidP="00137BC9">
      <w:pPr>
        <w:pStyle w:val="Akapitzlist"/>
        <w:numPr>
          <w:ilvl w:val="1"/>
          <w:numId w:val="10"/>
        </w:numPr>
        <w:spacing w:after="0" w:line="360" w:lineRule="auto"/>
        <w:jc w:val="both"/>
        <w:rPr>
          <w:rFonts w:ascii="Arial" w:hAnsi="Arial" w:cs="Arial"/>
        </w:rPr>
      </w:pPr>
      <w:r w:rsidRPr="003C75A8">
        <w:rPr>
          <w:rFonts w:ascii="Arial" w:hAnsi="Arial" w:cs="Arial"/>
        </w:rPr>
        <w:t xml:space="preserve">porozumienie, o którym mowa w art. 206 ust. 5 ustawy z dnia 27 sierpnia </w:t>
      </w:r>
      <w:r w:rsidRPr="00500BC0">
        <w:rPr>
          <w:rFonts w:ascii="Arial" w:hAnsi="Arial" w:cs="Arial"/>
        </w:rPr>
        <w:t>2009</w:t>
      </w:r>
      <w:r w:rsidR="0045470F">
        <w:rPr>
          <w:rFonts w:ascii="Arial" w:hAnsi="Arial" w:cs="Arial"/>
        </w:rPr>
        <w:t> </w:t>
      </w:r>
      <w:r w:rsidRPr="00500BC0">
        <w:rPr>
          <w:rFonts w:ascii="Arial" w:hAnsi="Arial" w:cs="Arial"/>
        </w:rPr>
        <w:t xml:space="preserve">r. o finansach publicznych, zawarte między </w:t>
      </w:r>
      <w:r w:rsidR="002D557B">
        <w:rPr>
          <w:rFonts w:ascii="Arial" w:hAnsi="Arial" w:cs="Arial"/>
        </w:rPr>
        <w:t>IP POPC</w:t>
      </w:r>
      <w:r w:rsidRPr="00500BC0">
        <w:rPr>
          <w:rFonts w:ascii="Arial" w:hAnsi="Arial" w:cs="Arial"/>
        </w:rPr>
        <w:t xml:space="preserve"> a wnioskodawcą, którego projekt został wybrany do dofinansowania,</w:t>
      </w:r>
    </w:p>
    <w:p w:rsidR="00FC14EC" w:rsidRDefault="00F33CCF" w:rsidP="00137BC9">
      <w:pPr>
        <w:numPr>
          <w:ilvl w:val="0"/>
          <w:numId w:val="10"/>
        </w:numPr>
        <w:spacing w:after="0" w:line="360" w:lineRule="auto"/>
        <w:ind w:left="499" w:hanging="357"/>
        <w:jc w:val="both"/>
        <w:rPr>
          <w:rFonts w:ascii="Arial" w:hAnsi="Arial" w:cs="Arial"/>
        </w:rPr>
      </w:pPr>
      <w:r w:rsidRPr="00500BC0">
        <w:rPr>
          <w:rFonts w:ascii="Arial" w:hAnsi="Arial" w:cs="Arial"/>
        </w:rPr>
        <w:t>umowa o partnerstwie – umowę lub porozumienie, o których mowa w art</w:t>
      </w:r>
      <w:r w:rsidR="004425CF" w:rsidRPr="00500BC0">
        <w:rPr>
          <w:rFonts w:ascii="Arial" w:hAnsi="Arial" w:cs="Arial"/>
        </w:rPr>
        <w:t>. 33</w:t>
      </w:r>
      <w:r w:rsidR="00500BC0" w:rsidRPr="00CF6608">
        <w:rPr>
          <w:rFonts w:ascii="Arial" w:hAnsi="Arial" w:cs="Arial"/>
        </w:rPr>
        <w:t xml:space="preserve"> ust. 5</w:t>
      </w:r>
      <w:r w:rsidR="004425CF" w:rsidRPr="00CF6608">
        <w:rPr>
          <w:rFonts w:ascii="Arial" w:hAnsi="Arial" w:cs="Arial"/>
        </w:rPr>
        <w:t xml:space="preserve"> ustawy wdrożeniowej</w:t>
      </w:r>
      <w:r w:rsidR="00500BC0">
        <w:rPr>
          <w:rFonts w:ascii="Arial" w:hAnsi="Arial" w:cs="Arial"/>
        </w:rPr>
        <w:t>,</w:t>
      </w:r>
      <w:r w:rsidR="00500BC0" w:rsidRPr="00500BC0">
        <w:rPr>
          <w:rFonts w:ascii="Arial" w:hAnsi="Arial" w:cs="Arial"/>
        </w:rPr>
        <w:t xml:space="preserve"> </w:t>
      </w:r>
      <w:r w:rsidR="00500BC0" w:rsidRPr="00CF6608">
        <w:rPr>
          <w:rFonts w:ascii="Arial" w:hAnsi="Arial" w:cs="Arial"/>
        </w:rPr>
        <w:t>określające w szczególności: przedmiot porozumienia albo umowy, prawa i obowiązki stron, zakres i formę udziału poszczególnych partnerów w projekcie, partnera wiodącego uprawnionego do reprezentowania pozostałych partnerów projektu, sposób przekazywania dofinansowania na pokrycie kosztów ponoszonych przez poszczególnych partnerów projektu umożliwiający określenie kw</w:t>
      </w:r>
      <w:r w:rsidR="00500BC0" w:rsidRPr="002C5156">
        <w:rPr>
          <w:rFonts w:ascii="Arial" w:hAnsi="Arial" w:cs="Arial"/>
        </w:rPr>
        <w:t xml:space="preserve">oty </w:t>
      </w:r>
      <w:r w:rsidR="00500BC0" w:rsidRPr="002C5156">
        <w:rPr>
          <w:rFonts w:ascii="Arial" w:hAnsi="Arial" w:cs="Arial"/>
        </w:rPr>
        <w:lastRenderedPageBreak/>
        <w:t xml:space="preserve">dofinansowania udzielonego każdemu z partnerów, sposób postępowania </w:t>
      </w:r>
      <w:r w:rsidR="00500BC0" w:rsidRPr="00250FF7">
        <w:rPr>
          <w:rFonts w:ascii="Arial" w:hAnsi="Arial" w:cs="Arial"/>
        </w:rPr>
        <w:t>w przypadku naruszenia lub niewywiązania się stron z porozumienia lub umowy</w:t>
      </w:r>
      <w:r w:rsidR="004425CF" w:rsidRPr="00250FF7">
        <w:rPr>
          <w:rFonts w:ascii="Arial" w:hAnsi="Arial" w:cs="Arial"/>
        </w:rPr>
        <w:t>;</w:t>
      </w:r>
    </w:p>
    <w:p w:rsidR="00C62948" w:rsidRPr="007E469E" w:rsidRDefault="00C62948" w:rsidP="00137BC9">
      <w:pPr>
        <w:numPr>
          <w:ilvl w:val="0"/>
          <w:numId w:val="10"/>
        </w:numPr>
        <w:spacing w:after="0" w:line="360" w:lineRule="auto"/>
        <w:ind w:left="499" w:hanging="357"/>
        <w:jc w:val="both"/>
        <w:rPr>
          <w:rFonts w:ascii="Arial" w:hAnsi="Arial" w:cs="Arial"/>
        </w:rPr>
      </w:pPr>
      <w:r>
        <w:rPr>
          <w:rFonts w:ascii="Arial" w:hAnsi="Arial"/>
        </w:rPr>
        <w:t xml:space="preserve">ustawa o VAT - </w:t>
      </w:r>
      <w:r w:rsidRPr="00EF5BA8">
        <w:rPr>
          <w:rFonts w:ascii="Arial" w:hAnsi="Arial"/>
        </w:rPr>
        <w:t>ustaw</w:t>
      </w:r>
      <w:r>
        <w:rPr>
          <w:rFonts w:ascii="Arial" w:hAnsi="Arial"/>
        </w:rPr>
        <w:t>ę</w:t>
      </w:r>
      <w:r w:rsidRPr="00EF5BA8">
        <w:rPr>
          <w:rFonts w:ascii="Arial" w:hAnsi="Arial"/>
        </w:rPr>
        <w:t xml:space="preserve"> z dnia 11 marca 2004 r. o podatku od towarów i usług (</w:t>
      </w:r>
      <w:proofErr w:type="spellStart"/>
      <w:r w:rsidR="00634F23">
        <w:rPr>
          <w:rFonts w:ascii="Arial" w:hAnsi="Arial"/>
        </w:rPr>
        <w:t>t.j</w:t>
      </w:r>
      <w:proofErr w:type="spellEnd"/>
      <w:r w:rsidR="00634F23">
        <w:rPr>
          <w:rFonts w:ascii="Arial" w:hAnsi="Arial"/>
        </w:rPr>
        <w:t xml:space="preserve">. </w:t>
      </w:r>
      <w:r w:rsidRPr="00EF5BA8">
        <w:rPr>
          <w:rFonts w:ascii="Arial" w:hAnsi="Arial"/>
        </w:rPr>
        <w:t xml:space="preserve">Dz. U. </w:t>
      </w:r>
      <w:r w:rsidR="0005508B">
        <w:rPr>
          <w:rFonts w:ascii="Arial" w:hAnsi="Arial"/>
        </w:rPr>
        <w:t>z 201</w:t>
      </w:r>
      <w:r w:rsidR="00A4723B">
        <w:rPr>
          <w:rFonts w:ascii="Arial" w:hAnsi="Arial"/>
        </w:rPr>
        <w:t>7</w:t>
      </w:r>
      <w:r w:rsidR="0005508B">
        <w:rPr>
          <w:rFonts w:ascii="Arial" w:hAnsi="Arial"/>
        </w:rPr>
        <w:t xml:space="preserve"> r.</w:t>
      </w:r>
      <w:r w:rsidR="00634F23">
        <w:rPr>
          <w:rFonts w:ascii="Arial" w:hAnsi="Arial"/>
        </w:rPr>
        <w:t xml:space="preserve"> </w:t>
      </w:r>
      <w:r w:rsidRPr="00EF5BA8">
        <w:rPr>
          <w:rFonts w:ascii="Arial" w:hAnsi="Arial"/>
        </w:rPr>
        <w:t xml:space="preserve">poz. </w:t>
      </w:r>
      <w:r w:rsidR="00A4723B">
        <w:rPr>
          <w:rFonts w:ascii="Arial" w:hAnsi="Arial"/>
        </w:rPr>
        <w:t>1221</w:t>
      </w:r>
      <w:r w:rsidRPr="00EF5BA8">
        <w:rPr>
          <w:rFonts w:ascii="Arial" w:hAnsi="Arial"/>
        </w:rPr>
        <w:t>)</w:t>
      </w:r>
      <w:r>
        <w:rPr>
          <w:rFonts w:ascii="Arial" w:hAnsi="Arial"/>
        </w:rPr>
        <w:t>;</w:t>
      </w:r>
    </w:p>
    <w:p w:rsidR="00DA6F73" w:rsidRPr="000D79AE" w:rsidRDefault="00DA6F73" w:rsidP="00137BC9">
      <w:pPr>
        <w:pStyle w:val="Akapitzlist"/>
        <w:numPr>
          <w:ilvl w:val="0"/>
          <w:numId w:val="10"/>
        </w:numPr>
        <w:spacing w:after="0" w:line="360" w:lineRule="auto"/>
        <w:ind w:left="499" w:hanging="357"/>
        <w:jc w:val="both"/>
        <w:rPr>
          <w:rFonts w:ascii="Arial" w:hAnsi="Arial" w:cs="Arial"/>
        </w:rPr>
      </w:pPr>
      <w:r w:rsidRPr="000D79AE">
        <w:rPr>
          <w:rFonts w:ascii="Arial" w:hAnsi="Arial" w:cs="Arial"/>
        </w:rPr>
        <w:t>ustawa Prawo budowlane - ustawa z dnia 7 lipca 1994 - Prawo budowlane (</w:t>
      </w:r>
      <w:proofErr w:type="spellStart"/>
      <w:r w:rsidRPr="000D79AE">
        <w:rPr>
          <w:rFonts w:ascii="Arial" w:hAnsi="Arial" w:cs="Arial"/>
        </w:rPr>
        <w:t>t</w:t>
      </w:r>
      <w:r w:rsidR="00634F23">
        <w:rPr>
          <w:rFonts w:ascii="Arial" w:hAnsi="Arial" w:cs="Arial"/>
        </w:rPr>
        <w:t>.</w:t>
      </w:r>
      <w:r w:rsidRPr="000D79AE">
        <w:rPr>
          <w:rFonts w:ascii="Arial" w:hAnsi="Arial" w:cs="Arial"/>
        </w:rPr>
        <w:t>j</w:t>
      </w:r>
      <w:proofErr w:type="spellEnd"/>
      <w:r w:rsidR="00634F23">
        <w:rPr>
          <w:rFonts w:ascii="Arial" w:hAnsi="Arial" w:cs="Arial"/>
        </w:rPr>
        <w:t xml:space="preserve">. </w:t>
      </w:r>
      <w:r w:rsidRPr="000D79AE">
        <w:rPr>
          <w:rFonts w:ascii="Arial" w:hAnsi="Arial" w:cs="Arial"/>
        </w:rPr>
        <w:t>Dz. U. z 201</w:t>
      </w:r>
      <w:r w:rsidR="00751D63">
        <w:rPr>
          <w:rFonts w:ascii="Arial" w:hAnsi="Arial" w:cs="Arial"/>
        </w:rPr>
        <w:t>7</w:t>
      </w:r>
      <w:r w:rsidRPr="000D79AE">
        <w:rPr>
          <w:rFonts w:ascii="Arial" w:hAnsi="Arial" w:cs="Arial"/>
        </w:rPr>
        <w:t xml:space="preserve"> r. poz. </w:t>
      </w:r>
      <w:r w:rsidR="00751D63">
        <w:rPr>
          <w:rFonts w:ascii="Arial" w:hAnsi="Arial" w:cs="Arial"/>
        </w:rPr>
        <w:t xml:space="preserve">1332 </w:t>
      </w:r>
      <w:r w:rsidRPr="000D79AE">
        <w:rPr>
          <w:rFonts w:ascii="Arial" w:hAnsi="Arial" w:cs="Arial"/>
        </w:rPr>
        <w:t>);</w:t>
      </w:r>
    </w:p>
    <w:p w:rsidR="004B4ED8" w:rsidRPr="00F04887" w:rsidRDefault="004B4ED8" w:rsidP="00137BC9">
      <w:pPr>
        <w:numPr>
          <w:ilvl w:val="0"/>
          <w:numId w:val="10"/>
        </w:numPr>
        <w:spacing w:after="0" w:line="360" w:lineRule="auto"/>
        <w:ind w:left="499" w:hanging="357"/>
        <w:jc w:val="both"/>
        <w:rPr>
          <w:rFonts w:ascii="Arial" w:hAnsi="Arial" w:cs="Arial"/>
        </w:rPr>
      </w:pPr>
      <w:r w:rsidRPr="00F04887">
        <w:rPr>
          <w:rFonts w:ascii="Arial" w:hAnsi="Arial" w:cs="Arial"/>
        </w:rPr>
        <w:t xml:space="preserve">wartości niematerialne i prawne – </w:t>
      </w:r>
      <w:r w:rsidR="00521C36">
        <w:rPr>
          <w:rFonts w:ascii="Arial" w:hAnsi="Arial" w:cs="Arial"/>
        </w:rPr>
        <w:t xml:space="preserve">wartości niematerialne i prawne w rozumieniu </w:t>
      </w:r>
      <w:r w:rsidRPr="00F04887">
        <w:rPr>
          <w:rFonts w:ascii="Arial" w:hAnsi="Arial" w:cs="Arial"/>
        </w:rPr>
        <w:t xml:space="preserve">art. 3 ust. 1 pkt 14 ustawy z dnia 29 września 1994 r. </w:t>
      </w:r>
      <w:r w:rsidR="00CF6608">
        <w:rPr>
          <w:rFonts w:ascii="Arial" w:hAnsi="Arial" w:cs="Arial"/>
        </w:rPr>
        <w:t>o rachunkowości</w:t>
      </w:r>
      <w:r w:rsidR="002520B8">
        <w:rPr>
          <w:rFonts w:ascii="Arial" w:hAnsi="Arial" w:cs="Arial"/>
        </w:rPr>
        <w:t>,</w:t>
      </w:r>
      <w:r w:rsidR="00CF6608">
        <w:rPr>
          <w:rFonts w:ascii="Arial" w:hAnsi="Arial" w:cs="Arial"/>
        </w:rPr>
        <w:t xml:space="preserve"> z zastrzeżeniem inwestycji, o których mowa w art. 3 ust. 1 pkt 17 tej ustawy, </w:t>
      </w:r>
      <w:r w:rsidR="00E740C1">
        <w:rPr>
          <w:rFonts w:ascii="Arial" w:hAnsi="Arial" w:cs="Arial"/>
        </w:rPr>
        <w:t xml:space="preserve">są to </w:t>
      </w:r>
      <w:r w:rsidRPr="00F04887">
        <w:rPr>
          <w:rFonts w:ascii="Arial" w:hAnsi="Arial" w:cs="Arial"/>
        </w:rPr>
        <w:t>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r w:rsidR="002C5156" w:rsidRPr="00395C47">
        <w:rPr>
          <w:rStyle w:val="Odwoanieprzypisudolnego"/>
          <w:rFonts w:ascii="Arial" w:hAnsi="Arial" w:cs="Arial"/>
          <w:sz w:val="18"/>
          <w:szCs w:val="18"/>
        </w:rPr>
        <w:footnoteReference w:id="4"/>
      </w:r>
      <w:r w:rsidRPr="00EF5BA8">
        <w:rPr>
          <w:rFonts w:ascii="Arial" w:hAnsi="Arial" w:cs="Arial"/>
        </w:rPr>
        <w:t>;</w:t>
      </w:r>
    </w:p>
    <w:p w:rsidR="006A017C" w:rsidRDefault="00FC14EC" w:rsidP="00137BC9">
      <w:pPr>
        <w:numPr>
          <w:ilvl w:val="0"/>
          <w:numId w:val="10"/>
        </w:numPr>
        <w:spacing w:after="0" w:line="360" w:lineRule="auto"/>
        <w:ind w:left="499" w:hanging="357"/>
        <w:jc w:val="both"/>
        <w:rPr>
          <w:rFonts w:ascii="Arial" w:hAnsi="Arial" w:cs="Arial"/>
        </w:rPr>
      </w:pPr>
      <w:r w:rsidRPr="007E469E">
        <w:rPr>
          <w:rFonts w:ascii="Arial" w:hAnsi="Arial" w:cs="Arial"/>
        </w:rPr>
        <w:t>wkład własny</w:t>
      </w:r>
      <w:r w:rsidR="00F4208B" w:rsidRPr="007E469E">
        <w:rPr>
          <w:rFonts w:ascii="Arial" w:hAnsi="Arial" w:cs="Arial"/>
        </w:rPr>
        <w:t xml:space="preserve"> </w:t>
      </w:r>
      <w:r w:rsidRPr="007E469E">
        <w:rPr>
          <w:rFonts w:ascii="Arial" w:hAnsi="Arial" w:cs="Arial"/>
        </w:rPr>
        <w:t xml:space="preserve">– środki finansowe </w:t>
      </w:r>
      <w:r w:rsidR="002C5156">
        <w:rPr>
          <w:rFonts w:ascii="Arial" w:hAnsi="Arial" w:cs="Arial"/>
        </w:rPr>
        <w:t>lub</w:t>
      </w:r>
      <w:r w:rsidRPr="007E469E">
        <w:rPr>
          <w:rFonts w:ascii="Arial" w:hAnsi="Arial" w:cs="Arial"/>
        </w:rPr>
        <w:t xml:space="preserve"> </w:t>
      </w:r>
      <w:r w:rsidR="008A0460" w:rsidRPr="00EF5BA8">
        <w:rPr>
          <w:rFonts w:ascii="Arial" w:hAnsi="Arial" w:cs="Arial"/>
        </w:rPr>
        <w:t xml:space="preserve">wkład niepieniężny </w:t>
      </w:r>
      <w:r w:rsidRPr="007E469E">
        <w:rPr>
          <w:rFonts w:ascii="Arial" w:hAnsi="Arial" w:cs="Arial"/>
        </w:rPr>
        <w:t>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00250FF7" w:rsidRPr="00395C47">
        <w:rPr>
          <w:rStyle w:val="Odwoanieprzypisudolnego"/>
          <w:rFonts w:ascii="Arial" w:hAnsi="Arial" w:cs="Arial"/>
          <w:sz w:val="18"/>
          <w:szCs w:val="18"/>
        </w:rPr>
        <w:footnoteReference w:id="5"/>
      </w:r>
      <w:r w:rsidR="004425CF" w:rsidRPr="007E469E">
        <w:rPr>
          <w:rFonts w:ascii="Arial" w:hAnsi="Arial" w:cs="Arial"/>
        </w:rPr>
        <w:t>;</w:t>
      </w:r>
    </w:p>
    <w:p w:rsidR="00521C36" w:rsidRPr="00521C36" w:rsidRDefault="00521C36" w:rsidP="00137BC9">
      <w:pPr>
        <w:numPr>
          <w:ilvl w:val="0"/>
          <w:numId w:val="10"/>
        </w:numPr>
        <w:spacing w:after="0" w:line="360" w:lineRule="auto"/>
        <w:ind w:left="499" w:hanging="357"/>
        <w:jc w:val="both"/>
        <w:rPr>
          <w:rFonts w:ascii="Arial" w:hAnsi="Arial" w:cs="Arial"/>
        </w:rPr>
      </w:pPr>
      <w:r w:rsidRPr="00261940">
        <w:rPr>
          <w:rFonts w:ascii="Arial" w:hAnsi="Arial" w:cs="Arial"/>
        </w:rPr>
        <w:t xml:space="preserve">wnioskodawca – </w:t>
      </w:r>
      <w:r w:rsidR="0089388D">
        <w:rPr>
          <w:rFonts w:ascii="Arial" w:hAnsi="Arial" w:cs="Arial"/>
        </w:rPr>
        <w:t xml:space="preserve">wnioskodawca w rozumieniu </w:t>
      </w:r>
      <w:r w:rsidRPr="00261940">
        <w:rPr>
          <w:rFonts w:ascii="Arial" w:hAnsi="Arial" w:cs="Arial"/>
        </w:rPr>
        <w:t>art. 2 pkt 28 ustawy wdrożeniowej, podmiot, który złożył wniosek o dofinansowanie projektu w ramach POPC;</w:t>
      </w:r>
    </w:p>
    <w:p w:rsidR="00284CBD" w:rsidRPr="00284CBD" w:rsidRDefault="00284CBD" w:rsidP="00137BC9">
      <w:pPr>
        <w:numPr>
          <w:ilvl w:val="0"/>
          <w:numId w:val="10"/>
        </w:numPr>
        <w:spacing w:after="0" w:line="360" w:lineRule="auto"/>
        <w:ind w:left="499" w:hanging="357"/>
        <w:jc w:val="both"/>
        <w:rPr>
          <w:rFonts w:ascii="Arial" w:hAnsi="Arial" w:cs="Arial"/>
        </w:rPr>
      </w:pPr>
      <w:r w:rsidRPr="00284CBD">
        <w:rPr>
          <w:rFonts w:ascii="Arial" w:hAnsi="Arial" w:cs="Arial"/>
        </w:rPr>
        <w:t>współfinansowanie UE – zgodnie z art. 2 pkt 31 ustawy wdrożeniowej, środki pochodzące z budżetu środków europejskich, o 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w:t>
      </w:r>
      <w:r w:rsidRPr="00640E59">
        <w:rPr>
          <w:rFonts w:ascii="Arial" w:hAnsi="Arial" w:cs="Arial"/>
        </w:rPr>
        <w:t>nduszu Rozwoju Regionalnego pochodzące z budżetu programu EWT, wypłacane na rzecz beneficjenta w ramach projektu – w przypadku programu EWT,</w:t>
      </w:r>
    </w:p>
    <w:p w:rsidR="00CB0346" w:rsidRPr="007E469E" w:rsidRDefault="00CB0346" w:rsidP="00137BC9">
      <w:pPr>
        <w:numPr>
          <w:ilvl w:val="0"/>
          <w:numId w:val="10"/>
        </w:numPr>
        <w:spacing w:after="0" w:line="360" w:lineRule="auto"/>
        <w:ind w:left="499" w:hanging="357"/>
        <w:jc w:val="both"/>
        <w:rPr>
          <w:rFonts w:ascii="Arial" w:hAnsi="Arial" w:cs="Arial"/>
        </w:rPr>
      </w:pPr>
      <w:r w:rsidRPr="007E469E">
        <w:rPr>
          <w:rFonts w:ascii="Arial" w:hAnsi="Arial" w:cs="Arial"/>
        </w:rPr>
        <w:lastRenderedPageBreak/>
        <w:t xml:space="preserve">wydatek kwalifikowalny – </w:t>
      </w:r>
      <w:r w:rsidR="002B6EAF" w:rsidRPr="009D4E19">
        <w:rPr>
          <w:rFonts w:ascii="Arial" w:hAnsi="Arial" w:cs="Arial"/>
        </w:rPr>
        <w:t>wydatek lub koszt poniesiony w związku z realizacją projektu w ramach PO</w:t>
      </w:r>
      <w:r w:rsidR="007A4971">
        <w:rPr>
          <w:rFonts w:ascii="Arial" w:hAnsi="Arial" w:cs="Arial"/>
        </w:rPr>
        <w:t>PC</w:t>
      </w:r>
      <w:r w:rsidR="002B6EAF" w:rsidRPr="009D4E19">
        <w:rPr>
          <w:rFonts w:ascii="Arial" w:hAnsi="Arial" w:cs="Arial"/>
        </w:rPr>
        <w:t>, któr</w:t>
      </w:r>
      <w:r w:rsidR="00F93F49">
        <w:rPr>
          <w:rFonts w:ascii="Arial" w:hAnsi="Arial" w:cs="Arial"/>
        </w:rPr>
        <w:t>e</w:t>
      </w:r>
      <w:r w:rsidR="002B6EAF" w:rsidRPr="009D4E19">
        <w:rPr>
          <w:rFonts w:ascii="Arial" w:hAnsi="Arial" w:cs="Arial"/>
        </w:rPr>
        <w:t xml:space="preserve"> </w:t>
      </w:r>
      <w:r w:rsidR="00F93F49">
        <w:rPr>
          <w:rFonts w:ascii="Arial" w:hAnsi="Arial" w:cs="Arial"/>
        </w:rPr>
        <w:t xml:space="preserve">spełniają kryteria </w:t>
      </w:r>
      <w:r w:rsidR="002B6EAF" w:rsidRPr="009D4E19">
        <w:rPr>
          <w:rFonts w:ascii="Arial" w:hAnsi="Arial" w:cs="Arial"/>
        </w:rPr>
        <w:t xml:space="preserve">refundacji, rozliczenia (w przypadku systemu zaliczkowego) </w:t>
      </w:r>
      <w:r w:rsidR="00701B4A">
        <w:rPr>
          <w:rFonts w:ascii="Arial" w:hAnsi="Arial" w:cs="Arial"/>
        </w:rPr>
        <w:t xml:space="preserve">- </w:t>
      </w:r>
      <w:r w:rsidR="002B6EAF" w:rsidRPr="009D4E19">
        <w:rPr>
          <w:rFonts w:ascii="Arial" w:hAnsi="Arial" w:cs="Arial"/>
        </w:rPr>
        <w:t>zgodnie z umową o dofinansowanie</w:t>
      </w:r>
      <w:r w:rsidR="004425CF" w:rsidRPr="007E469E">
        <w:rPr>
          <w:rFonts w:ascii="Arial" w:hAnsi="Arial" w:cs="Arial"/>
        </w:rPr>
        <w:t>;</w:t>
      </w:r>
    </w:p>
    <w:p w:rsidR="00CB0346" w:rsidRPr="007E469E" w:rsidRDefault="00CB0346" w:rsidP="00137BC9">
      <w:pPr>
        <w:numPr>
          <w:ilvl w:val="0"/>
          <w:numId w:val="10"/>
        </w:numPr>
        <w:spacing w:after="0" w:line="360" w:lineRule="auto"/>
        <w:ind w:left="499" w:hanging="357"/>
        <w:jc w:val="both"/>
        <w:rPr>
          <w:rFonts w:ascii="Arial" w:hAnsi="Arial" w:cs="Arial"/>
        </w:rPr>
      </w:pPr>
      <w:r w:rsidRPr="007E469E">
        <w:rPr>
          <w:rFonts w:ascii="Arial" w:hAnsi="Arial" w:cs="Arial"/>
        </w:rPr>
        <w:t>wydatek niekwalifikowalny –</w:t>
      </w:r>
      <w:r w:rsidR="00416C45">
        <w:rPr>
          <w:rFonts w:ascii="Arial" w:hAnsi="Arial" w:cs="Arial"/>
        </w:rPr>
        <w:t xml:space="preserve"> </w:t>
      </w:r>
      <w:r w:rsidR="008E50AF" w:rsidRPr="00EF5BA8">
        <w:rPr>
          <w:rFonts w:ascii="Arial" w:hAnsi="Arial" w:cs="Arial"/>
        </w:rPr>
        <w:t>każdy wydatek lub koszt poniesiony, który nie jest wydatkiem kwalifikowalnym</w:t>
      </w:r>
      <w:r w:rsidR="004425CF" w:rsidRPr="007E469E">
        <w:rPr>
          <w:rFonts w:ascii="Arial" w:hAnsi="Arial" w:cs="Arial"/>
        </w:rPr>
        <w:t>;</w:t>
      </w:r>
    </w:p>
    <w:p w:rsidR="00740FCE" w:rsidRPr="00F21869" w:rsidRDefault="00445172" w:rsidP="00137BC9">
      <w:pPr>
        <w:numPr>
          <w:ilvl w:val="0"/>
          <w:numId w:val="10"/>
        </w:numPr>
        <w:spacing w:after="0" w:line="360" w:lineRule="auto"/>
        <w:ind w:left="499" w:hanging="357"/>
        <w:jc w:val="both"/>
        <w:rPr>
          <w:rFonts w:ascii="Arial" w:hAnsi="Arial" w:cs="Arial"/>
        </w:rPr>
      </w:pPr>
      <w:r w:rsidRPr="00F21869">
        <w:rPr>
          <w:rFonts w:ascii="Arial" w:hAnsi="Arial" w:cs="Arial"/>
        </w:rPr>
        <w:t>wykonawca –</w:t>
      </w:r>
      <w:r w:rsidR="00416C45" w:rsidRPr="00F21869">
        <w:rPr>
          <w:rFonts w:ascii="Arial" w:hAnsi="Arial" w:cs="Arial"/>
        </w:rPr>
        <w:t xml:space="preserve"> </w:t>
      </w:r>
      <w:r w:rsidR="008E50AF" w:rsidRPr="00F21869">
        <w:rPr>
          <w:rFonts w:ascii="Arial" w:hAnsi="Arial" w:cs="Arial"/>
        </w:rPr>
        <w:t>osobę fizyczną</w:t>
      </w:r>
      <w:r w:rsidR="00F93F49">
        <w:rPr>
          <w:rStyle w:val="Odwoanieprzypisudolnego"/>
          <w:rFonts w:ascii="Arial" w:hAnsi="Arial" w:cs="Arial"/>
        </w:rPr>
        <w:footnoteReference w:id="6"/>
      </w:r>
      <w:r w:rsidR="008E50AF" w:rsidRPr="00F21869">
        <w:rPr>
          <w:rFonts w:ascii="Arial" w:hAnsi="Arial" w:cs="Arial"/>
        </w:rPr>
        <w:t xml:space="preserve">, osobę prawną albo jednostkę organizacyjną nieposiadającą osobowości prawnej, która oferuje </w:t>
      </w:r>
      <w:r w:rsidR="00F93F49">
        <w:rPr>
          <w:rFonts w:ascii="Arial" w:hAnsi="Arial" w:cs="Arial"/>
        </w:rPr>
        <w:t xml:space="preserve">realizację robót budowlanych, </w:t>
      </w:r>
      <w:r w:rsidR="008E50AF" w:rsidRPr="00F21869">
        <w:rPr>
          <w:rFonts w:ascii="Arial" w:hAnsi="Arial" w:cs="Arial"/>
        </w:rPr>
        <w:t xml:space="preserve">określone produkty lub usługi na rynku lub zawarła umowę w sprawie realizacji zamówienia </w:t>
      </w:r>
      <w:r w:rsidR="00C8666E">
        <w:rPr>
          <w:rFonts w:ascii="Arial" w:hAnsi="Arial" w:cs="Arial"/>
        </w:rPr>
        <w:t xml:space="preserve">publicznego </w:t>
      </w:r>
      <w:r w:rsidR="008E50AF" w:rsidRPr="00F21869">
        <w:rPr>
          <w:rFonts w:ascii="Arial" w:hAnsi="Arial" w:cs="Arial"/>
        </w:rPr>
        <w:t>będącego efektem działań podjętych przez zamawiającego w projekcie realizowanym w ramach POPC;</w:t>
      </w:r>
    </w:p>
    <w:p w:rsidR="0063423F" w:rsidRPr="00833A56" w:rsidRDefault="005D3ED4" w:rsidP="00137BC9">
      <w:pPr>
        <w:numPr>
          <w:ilvl w:val="0"/>
          <w:numId w:val="10"/>
        </w:numPr>
        <w:spacing w:after="0" w:line="360" w:lineRule="auto"/>
        <w:ind w:left="499" w:hanging="357"/>
        <w:jc w:val="both"/>
        <w:rPr>
          <w:rFonts w:ascii="Arial" w:hAnsi="Arial" w:cs="Arial"/>
        </w:rPr>
      </w:pPr>
      <w:r w:rsidRPr="007E469E">
        <w:rPr>
          <w:rFonts w:ascii="Arial" w:hAnsi="Arial" w:cs="Arial"/>
        </w:rPr>
        <w:t>W</w:t>
      </w:r>
      <w:r w:rsidR="0063423F" w:rsidRPr="007E469E">
        <w:rPr>
          <w:rFonts w:ascii="Arial" w:hAnsi="Arial" w:cs="Arial"/>
        </w:rPr>
        <w:t>ytyczne</w:t>
      </w:r>
      <w:r w:rsidR="00AC1FBA" w:rsidRPr="007E469E">
        <w:rPr>
          <w:rFonts w:ascii="Arial" w:hAnsi="Arial" w:cs="Arial"/>
        </w:rPr>
        <w:t>–</w:t>
      </w:r>
      <w:r w:rsidR="00BD724E">
        <w:rPr>
          <w:rFonts w:ascii="Arial" w:hAnsi="Arial" w:cs="Arial"/>
        </w:rPr>
        <w:t xml:space="preserve"> W</w:t>
      </w:r>
      <w:r w:rsidR="00BD724E" w:rsidRPr="007E469E">
        <w:rPr>
          <w:rFonts w:ascii="Arial" w:hAnsi="Arial" w:cs="Arial"/>
        </w:rPr>
        <w:t>ytyczn</w:t>
      </w:r>
      <w:r w:rsidR="00BD724E">
        <w:rPr>
          <w:rFonts w:ascii="Arial" w:hAnsi="Arial" w:cs="Arial"/>
        </w:rPr>
        <w:t>e</w:t>
      </w:r>
      <w:r w:rsidR="00BD724E" w:rsidRPr="007E469E">
        <w:rPr>
          <w:rFonts w:ascii="Arial" w:hAnsi="Arial" w:cs="Arial"/>
        </w:rPr>
        <w:t xml:space="preserve"> </w:t>
      </w:r>
      <w:r w:rsidR="00AC1FBA" w:rsidRPr="007E469E">
        <w:rPr>
          <w:rFonts w:ascii="Arial" w:hAnsi="Arial" w:cs="Arial"/>
        </w:rPr>
        <w:t>w zakresie kwalifikowa</w:t>
      </w:r>
      <w:r w:rsidR="00971F94">
        <w:rPr>
          <w:rFonts w:ascii="Arial" w:hAnsi="Arial" w:cs="Arial"/>
        </w:rPr>
        <w:t>lności</w:t>
      </w:r>
      <w:r w:rsidR="00AC1FBA" w:rsidRPr="007E469E">
        <w:rPr>
          <w:rFonts w:ascii="Arial" w:hAnsi="Arial" w:cs="Arial"/>
        </w:rPr>
        <w:t xml:space="preserve"> wydatków w </w:t>
      </w:r>
      <w:r w:rsidR="00A80B06">
        <w:rPr>
          <w:rFonts w:ascii="Arial" w:hAnsi="Arial" w:cs="Arial"/>
        </w:rPr>
        <w:t>ramach</w:t>
      </w:r>
      <w:r w:rsidR="00971F94" w:rsidRPr="007E469E">
        <w:rPr>
          <w:rFonts w:ascii="Arial" w:hAnsi="Arial" w:cs="Arial"/>
        </w:rPr>
        <w:t xml:space="preserve"> </w:t>
      </w:r>
      <w:r w:rsidR="00226AF8" w:rsidRPr="007E469E">
        <w:rPr>
          <w:rFonts w:ascii="Arial" w:hAnsi="Arial" w:cs="Arial"/>
        </w:rPr>
        <w:t xml:space="preserve">Europejskiego Funduszu Rozwoju Regionalnego, Europejskiego Funduszu Społecznego oraz Funduszu Spójności </w:t>
      </w:r>
      <w:r w:rsidR="00971F94">
        <w:rPr>
          <w:rFonts w:ascii="Arial" w:hAnsi="Arial" w:cs="Arial"/>
        </w:rPr>
        <w:t>na lata</w:t>
      </w:r>
      <w:r w:rsidR="00226AF8" w:rsidRPr="007E469E">
        <w:rPr>
          <w:rFonts w:ascii="Arial" w:hAnsi="Arial" w:cs="Arial"/>
        </w:rPr>
        <w:t xml:space="preserve"> 2014-</w:t>
      </w:r>
      <w:r w:rsidR="00226AF8" w:rsidRPr="00833A56">
        <w:rPr>
          <w:rFonts w:ascii="Arial" w:hAnsi="Arial" w:cs="Arial"/>
        </w:rPr>
        <w:t>2020</w:t>
      </w:r>
      <w:r w:rsidR="00833A56">
        <w:rPr>
          <w:rFonts w:ascii="Arial" w:hAnsi="Arial" w:cs="Arial"/>
        </w:rPr>
        <w:t>;</w:t>
      </w:r>
    </w:p>
    <w:p w:rsidR="005611CD" w:rsidRPr="00F21869" w:rsidRDefault="004B2034" w:rsidP="00137BC9">
      <w:pPr>
        <w:numPr>
          <w:ilvl w:val="0"/>
          <w:numId w:val="10"/>
        </w:numPr>
        <w:spacing w:after="0" w:line="360" w:lineRule="auto"/>
        <w:ind w:left="499" w:hanging="357"/>
        <w:jc w:val="both"/>
        <w:rPr>
          <w:rFonts w:ascii="Arial" w:hAnsi="Arial" w:cs="Arial"/>
        </w:rPr>
      </w:pPr>
      <w:r w:rsidRPr="00F21869">
        <w:rPr>
          <w:rFonts w:ascii="Arial" w:hAnsi="Arial" w:cs="Arial"/>
        </w:rPr>
        <w:t xml:space="preserve">Wytyczne </w:t>
      </w:r>
      <w:proofErr w:type="spellStart"/>
      <w:r w:rsidRPr="00F21869">
        <w:rPr>
          <w:rFonts w:ascii="Arial" w:hAnsi="Arial" w:cs="Arial"/>
        </w:rPr>
        <w:t>ws</w:t>
      </w:r>
      <w:proofErr w:type="spellEnd"/>
      <w:r w:rsidRPr="00F21869">
        <w:rPr>
          <w:rFonts w:ascii="Arial" w:hAnsi="Arial" w:cs="Arial"/>
        </w:rPr>
        <w:t xml:space="preserve">. pomocy regionalnej </w:t>
      </w:r>
      <w:r w:rsidR="00C66350" w:rsidRPr="00F21869">
        <w:rPr>
          <w:rFonts w:ascii="Arial" w:hAnsi="Arial" w:cs="Arial"/>
        </w:rPr>
        <w:t>–</w:t>
      </w:r>
      <w:r w:rsidRPr="00F21869">
        <w:rPr>
          <w:rFonts w:ascii="Arial" w:hAnsi="Arial" w:cs="Arial"/>
        </w:rPr>
        <w:t xml:space="preserve"> </w:t>
      </w:r>
      <w:r w:rsidR="00FF1AB4" w:rsidRPr="00F21869">
        <w:rPr>
          <w:rFonts w:ascii="Arial" w:hAnsi="Arial" w:cs="Arial"/>
        </w:rPr>
        <w:t>Wytyczne</w:t>
      </w:r>
      <w:r w:rsidR="00C66350" w:rsidRPr="00F21869">
        <w:rPr>
          <w:rFonts w:ascii="Arial" w:hAnsi="Arial" w:cs="Arial"/>
        </w:rPr>
        <w:t xml:space="preserve"> </w:t>
      </w:r>
      <w:r w:rsidRPr="00F21869">
        <w:rPr>
          <w:rFonts w:ascii="Arial" w:hAnsi="Arial" w:cs="Arial"/>
        </w:rPr>
        <w:t xml:space="preserve">w sprawie </w:t>
      </w:r>
      <w:r w:rsidR="00FF1AB4" w:rsidRPr="00F21869">
        <w:rPr>
          <w:rFonts w:ascii="Arial" w:hAnsi="Arial" w:cs="Arial"/>
        </w:rPr>
        <w:t xml:space="preserve">krajowej </w:t>
      </w:r>
      <w:r w:rsidRPr="00F21869">
        <w:rPr>
          <w:rFonts w:ascii="Arial" w:hAnsi="Arial" w:cs="Arial"/>
        </w:rPr>
        <w:t>pomocy regi</w:t>
      </w:r>
      <w:r w:rsidR="00FF1AB4" w:rsidRPr="00F21869">
        <w:rPr>
          <w:rFonts w:ascii="Arial" w:hAnsi="Arial" w:cs="Arial"/>
        </w:rPr>
        <w:t xml:space="preserve">onalnej na lata 2014-2020 </w:t>
      </w:r>
      <w:hyperlink r:id="rId10" w:tooltip="Wytyczne w sprawie krajowej pomocy regionalnej na lata 2014-2020 (Dz. Urz. C 209 z 27.07.2013)" w:history="1">
        <w:r w:rsidR="00FF1AB4" w:rsidRPr="00F21869">
          <w:rPr>
            <w:rFonts w:ascii="Arial" w:hAnsi="Arial" w:cs="Arial"/>
          </w:rPr>
          <w:t>(Dz. Urz. C 209 z 27</w:t>
        </w:r>
        <w:r w:rsidR="00C141C2" w:rsidRPr="00F21869">
          <w:rPr>
            <w:rFonts w:ascii="Arial" w:hAnsi="Arial" w:cs="Arial"/>
          </w:rPr>
          <w:t>.07.</w:t>
        </w:r>
        <w:r w:rsidR="00FF1AB4" w:rsidRPr="00F21869">
          <w:rPr>
            <w:rFonts w:ascii="Arial" w:hAnsi="Arial" w:cs="Arial"/>
          </w:rPr>
          <w:t>2013 r.)</w:t>
        </w:r>
      </w:hyperlink>
      <w:r w:rsidR="00FF1AB4" w:rsidRPr="00F21869">
        <w:rPr>
          <w:rFonts w:ascii="Arial" w:hAnsi="Arial" w:cs="Arial"/>
        </w:rPr>
        <w:t>;</w:t>
      </w:r>
    </w:p>
    <w:p w:rsidR="00315AD2" w:rsidRPr="00C401DF" w:rsidRDefault="005A2B28" w:rsidP="00137BC9">
      <w:pPr>
        <w:numPr>
          <w:ilvl w:val="0"/>
          <w:numId w:val="10"/>
        </w:numPr>
        <w:spacing w:after="0" w:line="360" w:lineRule="auto"/>
        <w:jc w:val="both"/>
        <w:rPr>
          <w:rFonts w:ascii="Arial" w:hAnsi="Arial" w:cs="Arial"/>
        </w:rPr>
      </w:pPr>
      <w:r w:rsidRPr="00C401DF">
        <w:rPr>
          <w:rFonts w:ascii="Arial" w:hAnsi="Arial" w:cs="Arial"/>
        </w:rPr>
        <w:t>z</w:t>
      </w:r>
      <w:r w:rsidR="0019373C" w:rsidRPr="00C401DF">
        <w:rPr>
          <w:rFonts w:ascii="Arial" w:hAnsi="Arial" w:cs="Arial"/>
        </w:rPr>
        <w:t>amówienie</w:t>
      </w:r>
      <w:r w:rsidR="002F1E2A" w:rsidRPr="00C401DF">
        <w:rPr>
          <w:rFonts w:ascii="Arial" w:hAnsi="Arial" w:cs="Arial"/>
        </w:rPr>
        <w:t xml:space="preserve"> </w:t>
      </w:r>
      <w:r w:rsidR="00280D01" w:rsidRPr="00C401DF">
        <w:rPr>
          <w:rFonts w:ascii="Arial" w:hAnsi="Arial" w:cs="Arial"/>
        </w:rPr>
        <w:t>–</w:t>
      </w:r>
      <w:r w:rsidR="001C0046" w:rsidRPr="00C401DF">
        <w:rPr>
          <w:rFonts w:ascii="Arial" w:hAnsi="Arial" w:cs="Arial"/>
        </w:rPr>
        <w:t xml:space="preserve"> </w:t>
      </w:r>
      <w:r w:rsidR="0019373C" w:rsidRPr="00C401DF">
        <w:rPr>
          <w:rFonts w:ascii="Arial" w:hAnsi="Arial" w:cs="Arial"/>
        </w:rPr>
        <w:t>umowę</w:t>
      </w:r>
      <w:r w:rsidR="00280D01" w:rsidRPr="00C401DF">
        <w:rPr>
          <w:rFonts w:ascii="Arial" w:hAnsi="Arial" w:cs="Arial"/>
        </w:rPr>
        <w:t xml:space="preserve"> </w:t>
      </w:r>
      <w:r w:rsidR="0019373C" w:rsidRPr="00C401DF">
        <w:rPr>
          <w:rFonts w:ascii="Arial" w:hAnsi="Arial" w:cs="Arial"/>
        </w:rPr>
        <w:t xml:space="preserve">odpłatną, zawartą </w:t>
      </w:r>
      <w:r w:rsidR="00446B30">
        <w:rPr>
          <w:rFonts w:ascii="Arial" w:hAnsi="Arial" w:cs="Arial"/>
        </w:rPr>
        <w:t xml:space="preserve">zgodnie z warunkami wynikającymi z </w:t>
      </w:r>
      <w:proofErr w:type="spellStart"/>
      <w:r w:rsidR="00446B30">
        <w:rPr>
          <w:rFonts w:ascii="Arial" w:hAnsi="Arial" w:cs="Arial"/>
        </w:rPr>
        <w:t>Pzp</w:t>
      </w:r>
      <w:proofErr w:type="spellEnd"/>
      <w:r w:rsidR="00446B30">
        <w:rPr>
          <w:rFonts w:ascii="Arial" w:hAnsi="Arial" w:cs="Arial"/>
        </w:rPr>
        <w:t xml:space="preserve">, albo z umowy o dofinansowanie projektu </w:t>
      </w:r>
      <w:r w:rsidR="0019373C" w:rsidRPr="00C401DF">
        <w:rPr>
          <w:rFonts w:ascii="Arial" w:hAnsi="Arial" w:cs="Arial"/>
        </w:rPr>
        <w:t>pomiędzy zamawiającym</w:t>
      </w:r>
      <w:r w:rsidR="00EA5CAA" w:rsidRPr="00C401DF">
        <w:rPr>
          <w:rFonts w:ascii="Arial" w:hAnsi="Arial" w:cs="Arial"/>
        </w:rPr>
        <w:t xml:space="preserve"> </w:t>
      </w:r>
      <w:r w:rsidR="0019373C" w:rsidRPr="00C401DF">
        <w:rPr>
          <w:rFonts w:ascii="Arial" w:hAnsi="Arial" w:cs="Arial"/>
        </w:rPr>
        <w:t>a wykonawcą, której przedmiotem są usługi, dostawy lub roboty budowlane przewidziane w projekcie realizowanym w ramach PO</w:t>
      </w:r>
      <w:r w:rsidR="00ED5095" w:rsidRPr="00C401DF">
        <w:rPr>
          <w:rFonts w:ascii="Arial" w:hAnsi="Arial" w:cs="Arial"/>
        </w:rPr>
        <w:t>PC</w:t>
      </w:r>
      <w:r w:rsidR="00315AD2" w:rsidRPr="00C401DF">
        <w:rPr>
          <w:rFonts w:ascii="Arial" w:hAnsi="Arial" w:cs="Arial"/>
          <w:i/>
        </w:rPr>
        <w:t>;</w:t>
      </w:r>
    </w:p>
    <w:p w:rsidR="00284CBD" w:rsidRDefault="00284CBD" w:rsidP="00137BC9">
      <w:pPr>
        <w:numPr>
          <w:ilvl w:val="0"/>
          <w:numId w:val="10"/>
        </w:numPr>
        <w:spacing w:after="0" w:line="360" w:lineRule="auto"/>
        <w:ind w:left="499" w:hanging="357"/>
        <w:jc w:val="both"/>
        <w:rPr>
          <w:rFonts w:ascii="Arial" w:hAnsi="Arial" w:cs="Arial"/>
        </w:rPr>
      </w:pPr>
      <w:r w:rsidRPr="00284CBD">
        <w:rPr>
          <w:rFonts w:ascii="Arial" w:hAnsi="Arial" w:cs="Arial"/>
        </w:rPr>
        <w:t xml:space="preserve">zatwierdzony wniosek o dofinansowanie – wniosek spełniający kryteria wyboru projektów, przyjęty do realizacji, umieszczony na liście ocenionych projektów zatwierdzonej przez </w:t>
      </w:r>
      <w:r w:rsidRPr="00640E59">
        <w:rPr>
          <w:rFonts w:ascii="Arial" w:hAnsi="Arial" w:cs="Arial"/>
        </w:rPr>
        <w:t>IP POPC</w:t>
      </w:r>
      <w:r w:rsidRPr="00593439">
        <w:rPr>
          <w:rFonts w:ascii="Arial" w:hAnsi="Arial" w:cs="Arial"/>
        </w:rPr>
        <w:t xml:space="preserve">, a w przypadku przeprowadzenia procesu negocjacji </w:t>
      </w:r>
      <w:r w:rsidR="00CD1492">
        <w:rPr>
          <w:rFonts w:ascii="Arial" w:hAnsi="Arial" w:cs="Arial"/>
        </w:rPr>
        <w:br/>
      </w:r>
      <w:r w:rsidRPr="00593439">
        <w:rPr>
          <w:rFonts w:ascii="Arial" w:hAnsi="Arial" w:cs="Arial"/>
        </w:rPr>
        <w:t xml:space="preserve">w odniesieniu do danego projektu – zatwierdzona wersja wniosku po negocjacjach. </w:t>
      </w:r>
      <w:r w:rsidR="00CD1492">
        <w:rPr>
          <w:rFonts w:ascii="Arial" w:hAnsi="Arial" w:cs="Arial"/>
        </w:rPr>
        <w:br/>
      </w:r>
      <w:r w:rsidRPr="00593439">
        <w:rPr>
          <w:rFonts w:ascii="Arial" w:hAnsi="Arial" w:cs="Arial"/>
        </w:rPr>
        <w:t>W przypadku zmian w projekcie dokon</w:t>
      </w:r>
      <w:r w:rsidR="00BD724E">
        <w:rPr>
          <w:rFonts w:ascii="Arial" w:hAnsi="Arial" w:cs="Arial"/>
        </w:rPr>
        <w:t>anych w trakcie jego realizacji</w:t>
      </w:r>
      <w:r w:rsidRPr="00593439">
        <w:rPr>
          <w:rFonts w:ascii="Arial" w:hAnsi="Arial" w:cs="Arial"/>
        </w:rPr>
        <w:t>, zatwierdzonym wnioskiem o dofinansowanie jest wersja wniosku zmieniona i zatwierdzona na warunkach określonych w umowie</w:t>
      </w:r>
      <w:r w:rsidRPr="00284CBD">
        <w:rPr>
          <w:rFonts w:ascii="Arial" w:hAnsi="Arial" w:cs="Arial"/>
        </w:rPr>
        <w:t xml:space="preserve"> o dofinansowanie.</w:t>
      </w:r>
    </w:p>
    <w:p w:rsidR="00F34971" w:rsidRDefault="00F34971" w:rsidP="00316996">
      <w:pPr>
        <w:spacing w:after="0" w:line="360" w:lineRule="auto"/>
        <w:ind w:left="499"/>
        <w:jc w:val="both"/>
        <w:rPr>
          <w:rFonts w:ascii="Arial" w:hAnsi="Arial" w:cs="Arial"/>
        </w:rPr>
      </w:pPr>
    </w:p>
    <w:p w:rsidR="00A4723B" w:rsidRDefault="00A4723B" w:rsidP="00316996">
      <w:pPr>
        <w:spacing w:after="0" w:line="360" w:lineRule="auto"/>
        <w:ind w:left="499"/>
        <w:jc w:val="both"/>
        <w:rPr>
          <w:rFonts w:ascii="Arial" w:hAnsi="Arial" w:cs="Arial"/>
        </w:rPr>
      </w:pPr>
    </w:p>
    <w:p w:rsidR="00A4723B" w:rsidRDefault="00A4723B" w:rsidP="00316996">
      <w:pPr>
        <w:spacing w:after="0" w:line="360" w:lineRule="auto"/>
        <w:ind w:left="499"/>
        <w:jc w:val="both"/>
        <w:rPr>
          <w:rFonts w:ascii="Arial" w:hAnsi="Arial" w:cs="Arial"/>
        </w:rPr>
      </w:pPr>
    </w:p>
    <w:p w:rsidR="00DD0F75" w:rsidRDefault="00DD0F75" w:rsidP="00316996">
      <w:pPr>
        <w:spacing w:after="0" w:line="360" w:lineRule="auto"/>
        <w:ind w:left="499"/>
        <w:jc w:val="both"/>
        <w:rPr>
          <w:rFonts w:ascii="Arial" w:hAnsi="Arial" w:cs="Arial"/>
        </w:rPr>
      </w:pPr>
    </w:p>
    <w:p w:rsidR="00DD0F75" w:rsidRDefault="00DD0F75" w:rsidP="00316996">
      <w:pPr>
        <w:spacing w:after="0" w:line="360" w:lineRule="auto"/>
        <w:ind w:left="499"/>
        <w:jc w:val="both"/>
        <w:rPr>
          <w:rFonts w:ascii="Arial" w:hAnsi="Arial" w:cs="Arial"/>
        </w:rPr>
      </w:pPr>
    </w:p>
    <w:p w:rsidR="00F34971" w:rsidRPr="00F21869" w:rsidRDefault="00F34971" w:rsidP="00316996">
      <w:pPr>
        <w:spacing w:after="0" w:line="360" w:lineRule="auto"/>
        <w:ind w:left="499"/>
        <w:jc w:val="both"/>
        <w:rPr>
          <w:rFonts w:ascii="Arial" w:hAnsi="Arial" w:cs="Arial"/>
        </w:rPr>
      </w:pPr>
    </w:p>
    <w:p w:rsidR="00441E3D" w:rsidRDefault="00441E3D">
      <w:pPr>
        <w:rPr>
          <w:rFonts w:ascii="Arial" w:eastAsiaTheme="majorEastAsia" w:hAnsi="Arial" w:cs="Arial"/>
          <w:b/>
          <w:bCs/>
          <w:sz w:val="24"/>
          <w:szCs w:val="24"/>
        </w:rPr>
      </w:pPr>
      <w:bookmarkStart w:id="19" w:name="_Toc384969091"/>
      <w:r>
        <w:rPr>
          <w:rFonts w:ascii="Arial" w:hAnsi="Arial" w:cs="Arial"/>
          <w:sz w:val="24"/>
          <w:szCs w:val="24"/>
        </w:rPr>
        <w:br w:type="page"/>
      </w:r>
    </w:p>
    <w:p w:rsidR="00F510FD" w:rsidRPr="007E469E" w:rsidRDefault="00F510FD" w:rsidP="00E80614">
      <w:pPr>
        <w:pStyle w:val="Nagwek1"/>
        <w:numPr>
          <w:ilvl w:val="0"/>
          <w:numId w:val="1"/>
        </w:numPr>
        <w:spacing w:before="240" w:after="60" w:line="360" w:lineRule="auto"/>
        <w:ind w:left="714" w:hanging="357"/>
        <w:jc w:val="center"/>
        <w:rPr>
          <w:rFonts w:ascii="Arial" w:hAnsi="Arial" w:cs="Arial"/>
          <w:color w:val="auto"/>
          <w:sz w:val="24"/>
          <w:szCs w:val="24"/>
        </w:rPr>
      </w:pPr>
      <w:bookmarkStart w:id="20" w:name="_Toc508630099"/>
      <w:r w:rsidRPr="007E469E">
        <w:rPr>
          <w:rFonts w:ascii="Arial" w:hAnsi="Arial" w:cs="Arial"/>
          <w:color w:val="auto"/>
          <w:sz w:val="24"/>
          <w:szCs w:val="24"/>
        </w:rPr>
        <w:lastRenderedPageBreak/>
        <w:t xml:space="preserve">Rozdział - Cel, zakres oraz obowiązywanie </w:t>
      </w:r>
      <w:bookmarkEnd w:id="19"/>
      <w:r w:rsidR="00F34971">
        <w:rPr>
          <w:rFonts w:ascii="Arial" w:hAnsi="Arial" w:cs="Arial"/>
          <w:i/>
          <w:color w:val="auto"/>
          <w:sz w:val="24"/>
          <w:szCs w:val="24"/>
        </w:rPr>
        <w:t>Katalogu</w:t>
      </w:r>
      <w:bookmarkEnd w:id="20"/>
    </w:p>
    <w:p w:rsidR="00D05645" w:rsidRPr="00B81671" w:rsidRDefault="00D05645"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Niniejsz</w:t>
      </w:r>
      <w:r w:rsidR="00F34971">
        <w:rPr>
          <w:rFonts w:ascii="Arial" w:eastAsia="Times New Roman" w:hAnsi="Arial" w:cs="Times New Roman"/>
          <w:szCs w:val="24"/>
          <w:lang w:eastAsia="pl-PL"/>
        </w:rPr>
        <w:t>y</w:t>
      </w:r>
      <w:r w:rsidRPr="00B81671">
        <w:rPr>
          <w:rFonts w:ascii="Arial" w:eastAsia="Times New Roman" w:hAnsi="Arial" w:cs="Times New Roman"/>
          <w:szCs w:val="24"/>
          <w:lang w:eastAsia="pl-PL"/>
        </w:rPr>
        <w:t xml:space="preserve"> </w:t>
      </w:r>
      <w:r w:rsidR="00F34971">
        <w:rPr>
          <w:rFonts w:ascii="Arial" w:eastAsia="Times New Roman" w:hAnsi="Arial" w:cs="Times New Roman"/>
          <w:i/>
          <w:szCs w:val="24"/>
          <w:lang w:eastAsia="pl-PL"/>
        </w:rPr>
        <w:t>Katalog</w:t>
      </w:r>
      <w:r w:rsidRPr="00B81671">
        <w:rPr>
          <w:rFonts w:ascii="Arial" w:eastAsia="Times New Roman" w:hAnsi="Arial" w:cs="Times New Roman"/>
          <w:szCs w:val="24"/>
          <w:lang w:eastAsia="pl-PL"/>
        </w:rPr>
        <w:t xml:space="preserve"> dotycz</w:t>
      </w:r>
      <w:r w:rsidR="00F34971">
        <w:rPr>
          <w:rFonts w:ascii="Arial" w:eastAsia="Times New Roman" w:hAnsi="Arial" w:cs="Times New Roman"/>
          <w:szCs w:val="24"/>
          <w:lang w:eastAsia="pl-PL"/>
        </w:rPr>
        <w:t>y</w:t>
      </w:r>
      <w:r w:rsidRPr="00B81671">
        <w:rPr>
          <w:rFonts w:ascii="Arial" w:eastAsia="Times New Roman" w:hAnsi="Arial" w:cs="Times New Roman"/>
          <w:szCs w:val="24"/>
          <w:lang w:eastAsia="pl-PL"/>
        </w:rPr>
        <w:t xml:space="preserve"> kwalifikowalności wydatków dla projektów współfinansowanych w ramach </w:t>
      </w:r>
      <w:r w:rsidR="00F34971">
        <w:rPr>
          <w:rFonts w:ascii="Arial" w:eastAsia="Times New Roman" w:hAnsi="Arial" w:cs="Times New Roman"/>
          <w:szCs w:val="24"/>
          <w:lang w:eastAsia="pl-PL"/>
        </w:rPr>
        <w:t xml:space="preserve">I osi priorytetowej </w:t>
      </w:r>
      <w:r w:rsidR="00D86371" w:rsidRPr="00B81671">
        <w:rPr>
          <w:rFonts w:ascii="Arial" w:eastAsia="Times New Roman" w:hAnsi="Arial" w:cs="Times New Roman"/>
          <w:szCs w:val="24"/>
          <w:lang w:eastAsia="pl-PL"/>
        </w:rPr>
        <w:t>Programu</w:t>
      </w:r>
      <w:r w:rsidRPr="00B81671">
        <w:rPr>
          <w:rFonts w:ascii="Arial" w:eastAsia="Times New Roman" w:hAnsi="Arial" w:cs="Times New Roman"/>
          <w:szCs w:val="24"/>
          <w:lang w:eastAsia="pl-PL"/>
        </w:rPr>
        <w:t xml:space="preserve"> Operacyjnego Polska Cyfrowa 2014-2020</w:t>
      </w:r>
      <w:r w:rsidR="00F34971">
        <w:rPr>
          <w:rFonts w:ascii="Arial" w:eastAsia="Times New Roman" w:hAnsi="Arial" w:cs="Times New Roman"/>
          <w:szCs w:val="24"/>
          <w:lang w:eastAsia="pl-PL"/>
        </w:rPr>
        <w:t xml:space="preserve">. Rozdział 4 niniejszego dokumentu </w:t>
      </w:r>
      <w:r w:rsidR="00104059">
        <w:rPr>
          <w:rFonts w:ascii="Arial" w:eastAsia="Times New Roman" w:hAnsi="Arial" w:cs="Times New Roman"/>
          <w:szCs w:val="24"/>
          <w:lang w:eastAsia="pl-PL"/>
        </w:rPr>
        <w:t xml:space="preserve">zawiera listę wydatków kwalifikowalnych </w:t>
      </w:r>
      <w:r w:rsidR="007F6138">
        <w:rPr>
          <w:rFonts w:ascii="Arial" w:eastAsia="Times New Roman" w:hAnsi="Arial" w:cs="Times New Roman"/>
          <w:szCs w:val="24"/>
          <w:lang w:eastAsia="pl-PL"/>
        </w:rPr>
        <w:t>oraz</w:t>
      </w:r>
      <w:r w:rsidR="00104059">
        <w:rPr>
          <w:rFonts w:ascii="Arial" w:eastAsia="Times New Roman" w:hAnsi="Arial" w:cs="Times New Roman"/>
          <w:szCs w:val="24"/>
          <w:lang w:eastAsia="pl-PL"/>
        </w:rPr>
        <w:t xml:space="preserve"> niekwalifikowalnych dla poszczególnych naborów organizowanych w ramach działania 1.1 POPC. </w:t>
      </w:r>
      <w:r w:rsidRPr="00B81671">
        <w:rPr>
          <w:rFonts w:ascii="Arial" w:eastAsia="Times New Roman" w:hAnsi="Arial" w:cs="Times New Roman"/>
          <w:szCs w:val="24"/>
          <w:lang w:eastAsia="pl-PL"/>
        </w:rPr>
        <w:t xml:space="preserve"> </w:t>
      </w:r>
    </w:p>
    <w:p w:rsidR="00E678C0" w:rsidRPr="00B81671" w:rsidRDefault="00104059"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i/>
          <w:szCs w:val="24"/>
          <w:lang w:eastAsia="pl-PL"/>
        </w:rPr>
        <w:t>Katalog</w:t>
      </w:r>
      <w:r w:rsidR="00F510FD" w:rsidRPr="00B81671">
        <w:rPr>
          <w:rFonts w:ascii="Arial" w:eastAsia="Times New Roman" w:hAnsi="Arial" w:cs="Times New Roman"/>
          <w:szCs w:val="24"/>
          <w:lang w:eastAsia="pl-PL"/>
        </w:rPr>
        <w:t xml:space="preserve"> </w:t>
      </w:r>
      <w:r>
        <w:rPr>
          <w:rFonts w:ascii="Arial" w:eastAsia="Times New Roman" w:hAnsi="Arial" w:cs="Times New Roman"/>
          <w:szCs w:val="24"/>
          <w:lang w:eastAsia="pl-PL"/>
        </w:rPr>
        <w:t>jest</w:t>
      </w:r>
      <w:r w:rsidR="00F510FD" w:rsidRPr="00B81671">
        <w:rPr>
          <w:rFonts w:ascii="Arial" w:eastAsia="Times New Roman" w:hAnsi="Arial" w:cs="Times New Roman"/>
          <w:szCs w:val="24"/>
          <w:lang w:eastAsia="pl-PL"/>
        </w:rPr>
        <w:t xml:space="preserve"> zgodn</w:t>
      </w:r>
      <w:r>
        <w:rPr>
          <w:rFonts w:ascii="Arial" w:eastAsia="Times New Roman" w:hAnsi="Arial" w:cs="Times New Roman"/>
          <w:szCs w:val="24"/>
          <w:lang w:eastAsia="pl-PL"/>
        </w:rPr>
        <w:t>y</w:t>
      </w:r>
      <w:r w:rsidR="00F510FD" w:rsidRPr="00B81671">
        <w:rPr>
          <w:rFonts w:ascii="Arial" w:eastAsia="Times New Roman" w:hAnsi="Arial" w:cs="Times New Roman"/>
          <w:szCs w:val="24"/>
          <w:lang w:eastAsia="pl-PL"/>
        </w:rPr>
        <w:t xml:space="preserve"> z postanowieniami </w:t>
      </w:r>
      <w:r w:rsidR="00D2674D" w:rsidRPr="00B81671">
        <w:rPr>
          <w:rFonts w:ascii="Arial" w:eastAsia="Times New Roman" w:hAnsi="Arial" w:cs="Times New Roman"/>
          <w:i/>
          <w:szCs w:val="24"/>
          <w:lang w:eastAsia="pl-PL"/>
        </w:rPr>
        <w:t>Wytycznych</w:t>
      </w:r>
      <w:r w:rsidR="00F510FD" w:rsidRPr="00B81671">
        <w:rPr>
          <w:rFonts w:ascii="Arial" w:eastAsia="Times New Roman" w:hAnsi="Arial" w:cs="Times New Roman"/>
          <w:i/>
          <w:szCs w:val="24"/>
          <w:lang w:eastAsia="pl-PL"/>
        </w:rPr>
        <w:t xml:space="preserve"> </w:t>
      </w:r>
      <w:r w:rsidR="00772F3A" w:rsidRPr="00B81671">
        <w:rPr>
          <w:rFonts w:ascii="Arial" w:eastAsia="Times New Roman" w:hAnsi="Arial" w:cs="Times New Roman"/>
          <w:szCs w:val="24"/>
          <w:lang w:eastAsia="pl-PL"/>
        </w:rPr>
        <w:t>oraz</w:t>
      </w:r>
      <w:r w:rsidR="00F510FD" w:rsidRPr="00B81671">
        <w:rPr>
          <w:rFonts w:ascii="Arial" w:eastAsia="Times New Roman" w:hAnsi="Arial" w:cs="Times New Roman"/>
          <w:szCs w:val="24"/>
          <w:lang w:eastAsia="pl-PL"/>
        </w:rPr>
        <w:t xml:space="preserve"> stanowi ich uszczegółowienie </w:t>
      </w:r>
      <w:r w:rsidR="00772F3A" w:rsidRPr="00B81671">
        <w:rPr>
          <w:rFonts w:ascii="Arial" w:eastAsia="Times New Roman" w:hAnsi="Arial" w:cs="Times New Roman"/>
          <w:szCs w:val="24"/>
          <w:lang w:eastAsia="pl-PL"/>
        </w:rPr>
        <w:t xml:space="preserve">i uzupełnienie </w:t>
      </w:r>
      <w:r w:rsidR="00F510FD" w:rsidRPr="00B81671">
        <w:rPr>
          <w:rFonts w:ascii="Arial" w:eastAsia="Times New Roman" w:hAnsi="Arial" w:cs="Times New Roman"/>
          <w:szCs w:val="24"/>
          <w:lang w:eastAsia="pl-PL"/>
        </w:rPr>
        <w:t xml:space="preserve">w zakresie, w jakim </w:t>
      </w:r>
      <w:r w:rsidR="002B01CE" w:rsidRPr="00B81671">
        <w:rPr>
          <w:rFonts w:ascii="Arial" w:eastAsia="Times New Roman" w:hAnsi="Arial" w:cs="Times New Roman"/>
          <w:szCs w:val="24"/>
          <w:lang w:eastAsia="pl-PL"/>
        </w:rPr>
        <w:t>IZ POPC</w:t>
      </w:r>
      <w:r w:rsidR="00F510FD" w:rsidRPr="00B81671">
        <w:rPr>
          <w:rFonts w:ascii="Arial" w:eastAsia="Times New Roman" w:hAnsi="Arial" w:cs="Times New Roman"/>
          <w:szCs w:val="24"/>
          <w:lang w:eastAsia="pl-PL"/>
        </w:rPr>
        <w:t xml:space="preserve"> jest uprawniona do określania szczegółowych warunków kwalifikowalności wydatków w ramach Programu Operacyjnego Polska Cyfrowa 2014-2020. </w:t>
      </w:r>
      <w:r w:rsidR="00A23C4B" w:rsidRPr="00B81671">
        <w:rPr>
          <w:rFonts w:ascii="Arial" w:eastAsia="Times New Roman" w:hAnsi="Arial" w:cs="Times New Roman"/>
          <w:szCs w:val="24"/>
          <w:lang w:eastAsia="pl-PL"/>
        </w:rPr>
        <w:t>O</w:t>
      </w:r>
      <w:r w:rsidR="00F9200B" w:rsidRPr="00B81671">
        <w:rPr>
          <w:rFonts w:ascii="Arial" w:eastAsia="Times New Roman" w:hAnsi="Arial" w:cs="Times New Roman"/>
          <w:szCs w:val="24"/>
          <w:lang w:eastAsia="pl-PL"/>
        </w:rPr>
        <w:t xml:space="preserve">znacza </w:t>
      </w:r>
      <w:r w:rsidR="00A23C4B" w:rsidRPr="00B81671">
        <w:rPr>
          <w:rFonts w:ascii="Arial" w:eastAsia="Times New Roman" w:hAnsi="Arial" w:cs="Times New Roman"/>
          <w:szCs w:val="24"/>
          <w:lang w:eastAsia="pl-PL"/>
        </w:rPr>
        <w:t>to</w:t>
      </w:r>
      <w:r w:rsidR="00A845B0" w:rsidRPr="00B81671">
        <w:rPr>
          <w:rFonts w:ascii="Arial" w:eastAsia="Times New Roman" w:hAnsi="Arial" w:cs="Times New Roman"/>
          <w:szCs w:val="24"/>
          <w:lang w:eastAsia="pl-PL"/>
        </w:rPr>
        <w:t>,</w:t>
      </w:r>
      <w:r w:rsidR="00F9200B" w:rsidRPr="00B81671">
        <w:rPr>
          <w:rFonts w:ascii="Arial" w:eastAsia="Times New Roman" w:hAnsi="Arial" w:cs="Times New Roman"/>
          <w:szCs w:val="24"/>
          <w:lang w:eastAsia="pl-PL"/>
        </w:rPr>
        <w:t xml:space="preserve"> że wyżej wymienione </w:t>
      </w:r>
      <w:r w:rsidR="00A265AD" w:rsidRPr="00B81671">
        <w:rPr>
          <w:rFonts w:ascii="Arial" w:eastAsia="Times New Roman" w:hAnsi="Arial" w:cs="Times New Roman"/>
          <w:b/>
          <w:i/>
          <w:szCs w:val="24"/>
          <w:lang w:eastAsia="pl-PL"/>
        </w:rPr>
        <w:t xml:space="preserve">Wytyczne </w:t>
      </w:r>
      <w:r w:rsidR="00A265AD" w:rsidRPr="00B81671">
        <w:rPr>
          <w:rFonts w:ascii="Arial" w:eastAsia="Times New Roman" w:hAnsi="Arial" w:cs="Times New Roman"/>
          <w:b/>
          <w:szCs w:val="24"/>
          <w:lang w:eastAsia="pl-PL"/>
        </w:rPr>
        <w:t xml:space="preserve">i </w:t>
      </w:r>
      <w:r>
        <w:rPr>
          <w:rFonts w:ascii="Arial" w:eastAsia="Times New Roman" w:hAnsi="Arial" w:cs="Times New Roman"/>
          <w:b/>
          <w:i/>
          <w:szCs w:val="24"/>
          <w:lang w:eastAsia="pl-PL"/>
        </w:rPr>
        <w:t>Katalog</w:t>
      </w:r>
      <w:r w:rsidR="00F9200B" w:rsidRPr="00B81671">
        <w:rPr>
          <w:rFonts w:ascii="Arial" w:eastAsia="Times New Roman" w:hAnsi="Arial" w:cs="Times New Roman"/>
          <w:b/>
          <w:szCs w:val="24"/>
          <w:lang w:eastAsia="pl-PL"/>
        </w:rPr>
        <w:t xml:space="preserve"> są komplementarne i należy je stosować łącznie.</w:t>
      </w:r>
    </w:p>
    <w:p w:rsidR="00E678C0" w:rsidRPr="00B81671" w:rsidRDefault="00E678C0"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Zakres </w:t>
      </w:r>
      <w:r w:rsidR="00104059" w:rsidRPr="00B81671">
        <w:rPr>
          <w:rFonts w:ascii="Arial" w:eastAsia="Times New Roman" w:hAnsi="Arial" w:cs="Times New Roman"/>
          <w:szCs w:val="24"/>
          <w:lang w:eastAsia="pl-PL"/>
        </w:rPr>
        <w:t>niniejsz</w:t>
      </w:r>
      <w:r w:rsidR="00104059">
        <w:rPr>
          <w:rFonts w:ascii="Arial" w:eastAsia="Times New Roman" w:hAnsi="Arial" w:cs="Times New Roman"/>
          <w:szCs w:val="24"/>
          <w:lang w:eastAsia="pl-PL"/>
        </w:rPr>
        <w:t>ego</w:t>
      </w:r>
      <w:r w:rsidR="00104059" w:rsidRPr="00B81671">
        <w:rPr>
          <w:rFonts w:ascii="Arial" w:eastAsia="Times New Roman" w:hAnsi="Arial" w:cs="Times New Roman"/>
          <w:szCs w:val="24"/>
          <w:lang w:eastAsia="pl-PL"/>
        </w:rPr>
        <w:t xml:space="preserve"> </w:t>
      </w:r>
      <w:r w:rsidR="00104059">
        <w:rPr>
          <w:rFonts w:ascii="Arial" w:eastAsia="Times New Roman" w:hAnsi="Arial" w:cs="Times New Roman"/>
          <w:i/>
          <w:szCs w:val="24"/>
          <w:lang w:eastAsia="pl-PL"/>
        </w:rPr>
        <w:t>Katalogu</w:t>
      </w:r>
      <w:r w:rsidRPr="00B81671">
        <w:rPr>
          <w:rFonts w:ascii="Arial" w:eastAsia="Times New Roman" w:hAnsi="Arial" w:cs="Times New Roman"/>
          <w:szCs w:val="24"/>
          <w:lang w:eastAsia="pl-PL"/>
        </w:rPr>
        <w:t xml:space="preserve"> został określony m.in. poprzez odwołanie się do odpowiednich zapisów w </w:t>
      </w:r>
      <w:r w:rsidRPr="00B81671">
        <w:rPr>
          <w:rFonts w:ascii="Arial" w:eastAsia="Times New Roman" w:hAnsi="Arial" w:cs="Times New Roman"/>
          <w:i/>
          <w:szCs w:val="24"/>
          <w:lang w:eastAsia="pl-PL"/>
        </w:rPr>
        <w:t>Wytycznych</w:t>
      </w:r>
      <w:r w:rsidRPr="00B81671">
        <w:rPr>
          <w:rFonts w:ascii="Arial" w:eastAsia="Times New Roman" w:hAnsi="Arial" w:cs="Times New Roman"/>
          <w:szCs w:val="24"/>
          <w:lang w:eastAsia="pl-PL"/>
        </w:rPr>
        <w:t>, stanowiących delegację dla IZ POPC</w:t>
      </w:r>
      <w:r w:rsidR="008D204A" w:rsidRPr="00B81671">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 xml:space="preserve">do </w:t>
      </w:r>
      <w:r w:rsidR="0032038A" w:rsidRPr="00B81671">
        <w:rPr>
          <w:rFonts w:ascii="Arial" w:eastAsia="Times New Roman" w:hAnsi="Arial" w:cs="Times New Roman"/>
          <w:szCs w:val="24"/>
          <w:lang w:eastAsia="pl-PL"/>
        </w:rPr>
        <w:t>uregulowania bądź doprecyzowania</w:t>
      </w:r>
      <w:r w:rsidRPr="00B81671">
        <w:rPr>
          <w:rFonts w:ascii="Arial" w:eastAsia="Times New Roman" w:hAnsi="Arial" w:cs="Times New Roman"/>
          <w:szCs w:val="24"/>
          <w:lang w:eastAsia="pl-PL"/>
        </w:rPr>
        <w:t xml:space="preserve"> poszczególnych obszarów tematycznych w dokumentach programowych.</w:t>
      </w:r>
    </w:p>
    <w:p w:rsidR="00A265AD" w:rsidRPr="00B81671" w:rsidRDefault="00A265AD" w:rsidP="0030426E">
      <w:pPr>
        <w:keepNext/>
        <w:numPr>
          <w:ilvl w:val="0"/>
          <w:numId w:val="4"/>
        </w:numPr>
        <w:spacing w:before="120" w:after="120" w:line="360" w:lineRule="auto"/>
        <w:ind w:left="403" w:hanging="403"/>
        <w:jc w:val="both"/>
        <w:outlineLvl w:val="5"/>
        <w:rPr>
          <w:rFonts w:ascii="Arial" w:eastAsia="Times New Roman" w:hAnsi="Arial" w:cs="Arial"/>
          <w:lang w:eastAsia="pl-PL"/>
        </w:rPr>
      </w:pPr>
      <w:r w:rsidRPr="00B81671">
        <w:rPr>
          <w:rFonts w:ascii="Arial" w:hAnsi="Arial" w:cs="Arial"/>
          <w:color w:val="000000"/>
        </w:rPr>
        <w:t xml:space="preserve">W przypadku projektów objętych zasadami pomocy publicznej w rozumieniu </w:t>
      </w:r>
      <w:r w:rsidR="009679E0" w:rsidRPr="00B81671">
        <w:rPr>
          <w:rFonts w:ascii="Arial" w:hAnsi="Arial" w:cs="Arial"/>
          <w:color w:val="000000"/>
        </w:rPr>
        <w:t xml:space="preserve">art. 107 </w:t>
      </w:r>
      <w:r w:rsidRPr="00B81671">
        <w:rPr>
          <w:rFonts w:ascii="Arial" w:hAnsi="Arial" w:cs="Arial"/>
          <w:color w:val="000000"/>
        </w:rPr>
        <w:t xml:space="preserve">Traktatu o funkcjonowaniu Unii Europejskiej, za kwalifikowalne mogą być uznane tylko te wydatki, które spełniają łącznie warunki określone w </w:t>
      </w:r>
      <w:r w:rsidRPr="00B81671">
        <w:rPr>
          <w:rFonts w:ascii="Arial" w:hAnsi="Arial" w:cs="Arial"/>
          <w:i/>
          <w:color w:val="000000"/>
        </w:rPr>
        <w:t>Wytycznych</w:t>
      </w:r>
      <w:r w:rsidR="008B1037" w:rsidRPr="00B81671">
        <w:rPr>
          <w:rFonts w:ascii="Arial" w:hAnsi="Arial" w:cs="Arial"/>
          <w:i/>
          <w:color w:val="000000"/>
        </w:rPr>
        <w:t xml:space="preserve"> </w:t>
      </w:r>
      <w:r w:rsidR="008B1037" w:rsidRPr="00B81671">
        <w:rPr>
          <w:rFonts w:ascii="Arial" w:hAnsi="Arial" w:cs="Arial"/>
          <w:color w:val="000000"/>
        </w:rPr>
        <w:t xml:space="preserve">i </w:t>
      </w:r>
      <w:r w:rsidR="00104059" w:rsidRPr="00B81671">
        <w:rPr>
          <w:rFonts w:ascii="Arial" w:hAnsi="Arial" w:cs="Arial"/>
          <w:i/>
          <w:color w:val="000000"/>
        </w:rPr>
        <w:t>niniejsz</w:t>
      </w:r>
      <w:r w:rsidR="00D97006">
        <w:rPr>
          <w:rFonts w:ascii="Arial" w:hAnsi="Arial" w:cs="Arial"/>
          <w:i/>
          <w:color w:val="000000"/>
        </w:rPr>
        <w:t>ym</w:t>
      </w:r>
      <w:r w:rsidR="00104059" w:rsidRPr="00B81671">
        <w:rPr>
          <w:rFonts w:ascii="Arial" w:hAnsi="Arial" w:cs="Arial"/>
          <w:i/>
          <w:color w:val="000000"/>
        </w:rPr>
        <w:t xml:space="preserve"> </w:t>
      </w:r>
      <w:r w:rsidR="00104059">
        <w:rPr>
          <w:rFonts w:ascii="Arial" w:hAnsi="Arial" w:cs="Arial"/>
          <w:i/>
          <w:color w:val="000000"/>
        </w:rPr>
        <w:t>Katalogu</w:t>
      </w:r>
      <w:r w:rsidRPr="00B81671">
        <w:rPr>
          <w:rFonts w:ascii="Arial" w:hAnsi="Arial" w:cs="Arial"/>
          <w:color w:val="000000"/>
        </w:rPr>
        <w:t xml:space="preserve"> i warunki wynikające z odpowiednich regulacji w zakresie pomocy publicznej, przyjętych na poziomie unijnym lub krajowym. Dla celów </w:t>
      </w:r>
      <w:r w:rsidR="00104059">
        <w:rPr>
          <w:rFonts w:ascii="Arial" w:hAnsi="Arial" w:cs="Arial"/>
          <w:i/>
          <w:color w:val="000000"/>
        </w:rPr>
        <w:t>Katalogu</w:t>
      </w:r>
      <w:r w:rsidR="00104059" w:rsidRPr="00B81671">
        <w:rPr>
          <w:rFonts w:ascii="Arial" w:hAnsi="Arial" w:cs="Arial"/>
          <w:color w:val="000000"/>
        </w:rPr>
        <w:t xml:space="preserve"> </w:t>
      </w:r>
      <w:r w:rsidRPr="00B81671">
        <w:rPr>
          <w:rFonts w:ascii="Arial" w:hAnsi="Arial" w:cs="Arial"/>
          <w:color w:val="000000"/>
        </w:rPr>
        <w:t xml:space="preserve">uznaje się, że pomoc publiczna obejmuje także pomoc </w:t>
      </w:r>
      <w:r w:rsidRPr="00B81671">
        <w:rPr>
          <w:rFonts w:ascii="Arial" w:hAnsi="Arial" w:cs="Arial"/>
          <w:i/>
          <w:color w:val="000000"/>
        </w:rPr>
        <w:t xml:space="preserve">de </w:t>
      </w:r>
      <w:proofErr w:type="spellStart"/>
      <w:r w:rsidRPr="00B81671">
        <w:rPr>
          <w:rFonts w:ascii="Arial" w:hAnsi="Arial" w:cs="Arial"/>
          <w:i/>
          <w:color w:val="000000"/>
        </w:rPr>
        <w:t>minimis</w:t>
      </w:r>
      <w:proofErr w:type="spellEnd"/>
      <w:r w:rsidRPr="00B81671">
        <w:rPr>
          <w:rFonts w:ascii="Arial" w:hAnsi="Arial" w:cs="Arial"/>
          <w:color w:val="000000"/>
        </w:rPr>
        <w:t xml:space="preserve">, o której mowa w rozporządzeniu Komisji (UE) nr 1407/2013 z dnia 18 grudnia 2013 r. w sprawie stosowania art. 107 i 108 Traktatu o funkcjonowaniu Unii Europejskiej do pomocy de </w:t>
      </w:r>
      <w:proofErr w:type="spellStart"/>
      <w:r w:rsidRPr="00B81671">
        <w:rPr>
          <w:rFonts w:ascii="Arial" w:hAnsi="Arial" w:cs="Arial"/>
          <w:color w:val="000000"/>
        </w:rPr>
        <w:t>minimis</w:t>
      </w:r>
      <w:proofErr w:type="spellEnd"/>
      <w:r w:rsidRPr="00B81671">
        <w:rPr>
          <w:rFonts w:ascii="Arial" w:hAnsi="Arial" w:cs="Arial"/>
          <w:color w:val="000000"/>
        </w:rPr>
        <w:t xml:space="preserve"> (Dz. Urz. UE L nr 352 z 24.12.2013 r., str. 1-8) oraz w rozporządzeniu Komisji (UE) nr 360/2012 z dnia 25 kwietnia 2012 r. w sprawie stosowania art. 107 i 108 Traktatu o funkcjonowaniu Unii Europejskiej do pomocy de </w:t>
      </w:r>
      <w:proofErr w:type="spellStart"/>
      <w:r w:rsidRPr="00B81671">
        <w:rPr>
          <w:rFonts w:ascii="Arial" w:hAnsi="Arial" w:cs="Arial"/>
          <w:color w:val="000000"/>
        </w:rPr>
        <w:t>minimis</w:t>
      </w:r>
      <w:proofErr w:type="spellEnd"/>
      <w:r w:rsidRPr="00B81671">
        <w:rPr>
          <w:rFonts w:ascii="Arial" w:hAnsi="Arial" w:cs="Arial"/>
          <w:color w:val="000000"/>
        </w:rPr>
        <w:t xml:space="preserve"> przyznawanej przedsiębiorstwom wykonującym usługi świadczone w ogólnym interesie gospodarczym (Dz. Urz. UE L nr 114 z 26.04.2012 r., str. 8-13).</w:t>
      </w:r>
    </w:p>
    <w:p w:rsidR="00F510FD" w:rsidRPr="00B81671" w:rsidRDefault="00F510FD" w:rsidP="0030426E">
      <w:pPr>
        <w:keepNext/>
        <w:numPr>
          <w:ilvl w:val="0"/>
          <w:numId w:val="4"/>
        </w:numPr>
        <w:spacing w:before="120" w:after="120" w:line="360" w:lineRule="auto"/>
        <w:ind w:left="403" w:hanging="403"/>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Kategorie beneficjentów, którzy mogą ubiegać się o dofinansowanie w ramach </w:t>
      </w:r>
      <w:r w:rsidR="00104059">
        <w:rPr>
          <w:rFonts w:ascii="Arial" w:eastAsia="Times New Roman" w:hAnsi="Arial" w:cs="Times New Roman"/>
          <w:szCs w:val="24"/>
          <w:lang w:eastAsia="pl-PL"/>
        </w:rPr>
        <w:t xml:space="preserve">I osi priorytetowej </w:t>
      </w:r>
      <w:r w:rsidRPr="00B81671">
        <w:rPr>
          <w:rFonts w:ascii="Arial" w:eastAsia="Times New Roman" w:hAnsi="Arial" w:cs="Times New Roman"/>
          <w:szCs w:val="24"/>
          <w:lang w:eastAsia="pl-PL"/>
        </w:rPr>
        <w:t>POPC określa SZ</w:t>
      </w:r>
      <w:r w:rsidR="0069677D" w:rsidRPr="00B81671">
        <w:rPr>
          <w:rFonts w:ascii="Arial" w:eastAsia="Times New Roman" w:hAnsi="Arial" w:cs="Times New Roman"/>
          <w:szCs w:val="24"/>
          <w:lang w:eastAsia="pl-PL"/>
        </w:rPr>
        <w:t>O</w:t>
      </w:r>
      <w:r w:rsidRPr="00B81671">
        <w:rPr>
          <w:rFonts w:ascii="Arial" w:eastAsia="Times New Roman" w:hAnsi="Arial" w:cs="Times New Roman"/>
          <w:szCs w:val="24"/>
          <w:lang w:eastAsia="pl-PL"/>
        </w:rPr>
        <w:t>OP</w:t>
      </w:r>
      <w:r w:rsidRPr="00B81671">
        <w:rPr>
          <w:rFonts w:ascii="Arial" w:eastAsia="Times New Roman" w:hAnsi="Arial" w:cs="Times New Roman"/>
          <w:i/>
          <w:snapToGrid w:val="0"/>
          <w:szCs w:val="24"/>
          <w:lang w:eastAsia="pl-PL"/>
        </w:rPr>
        <w:t>.</w:t>
      </w:r>
    </w:p>
    <w:p w:rsidR="00D9767A" w:rsidRPr="00B81671" w:rsidRDefault="00D9767A" w:rsidP="0030426E">
      <w:pPr>
        <w:numPr>
          <w:ilvl w:val="0"/>
          <w:numId w:val="4"/>
        </w:numPr>
        <w:spacing w:before="120" w:after="120" w:line="360" w:lineRule="auto"/>
        <w:ind w:left="403" w:hanging="403"/>
        <w:jc w:val="both"/>
        <w:rPr>
          <w:rFonts w:ascii="Arial" w:eastAsia="Times New Roman" w:hAnsi="Arial" w:cs="Arial"/>
          <w:lang w:eastAsia="pl-PL"/>
        </w:rPr>
      </w:pPr>
      <w:r w:rsidRPr="00B81671">
        <w:rPr>
          <w:rFonts w:ascii="Arial" w:eastAsia="MS Mincho" w:hAnsi="Arial" w:cs="Arial"/>
          <w:lang w:eastAsia="ja-JP"/>
        </w:rPr>
        <w:t>Każdy podmiot</w:t>
      </w:r>
      <w:r w:rsidR="00185B94" w:rsidRPr="00B81671">
        <w:rPr>
          <w:rFonts w:ascii="Arial" w:eastAsia="MS Mincho" w:hAnsi="Arial" w:cs="Arial"/>
          <w:lang w:eastAsia="ja-JP"/>
        </w:rPr>
        <w:t xml:space="preserve"> </w:t>
      </w:r>
      <w:r w:rsidRPr="00B81671">
        <w:rPr>
          <w:rFonts w:ascii="Arial" w:eastAsia="MS Mincho" w:hAnsi="Arial" w:cs="Arial"/>
          <w:lang w:eastAsia="ja-JP"/>
        </w:rPr>
        <w:t xml:space="preserve">może zwrócić się na piśmie z prośbą o dokonanie indywidualnej interpretacji postanowień </w:t>
      </w:r>
      <w:r w:rsidR="00104059">
        <w:rPr>
          <w:rFonts w:ascii="Arial" w:eastAsia="MS Mincho" w:hAnsi="Arial" w:cs="Arial"/>
          <w:i/>
          <w:lang w:eastAsia="ja-JP"/>
        </w:rPr>
        <w:t>Katalogu</w:t>
      </w:r>
      <w:r w:rsidRPr="00B81671">
        <w:rPr>
          <w:rFonts w:ascii="Arial" w:eastAsia="MS Mincho" w:hAnsi="Arial" w:cs="Arial"/>
          <w:lang w:eastAsia="ja-JP"/>
        </w:rPr>
        <w:t xml:space="preserve"> w zakresie kwalifikowania wydatków obowiązujących w ramach POPC dla konkretnego stanu faktycznego. W pierwszej kolejności pytania należy kierować do </w:t>
      </w:r>
      <w:r w:rsidR="00344A80" w:rsidRPr="00B81671">
        <w:rPr>
          <w:rFonts w:ascii="Arial" w:eastAsia="MS Mincho" w:hAnsi="Arial" w:cs="Arial"/>
          <w:lang w:eastAsia="ja-JP"/>
        </w:rPr>
        <w:t>IP POPC</w:t>
      </w:r>
      <w:r w:rsidR="00032F2E" w:rsidRPr="00B81671">
        <w:rPr>
          <w:rFonts w:ascii="Arial" w:eastAsia="MS Mincho" w:hAnsi="Arial" w:cs="Arial"/>
          <w:lang w:eastAsia="ja-JP"/>
        </w:rPr>
        <w:t>.</w:t>
      </w:r>
      <w:r w:rsidR="00344A80" w:rsidRPr="00B81671">
        <w:rPr>
          <w:rFonts w:ascii="Arial" w:eastAsia="MS Mincho" w:hAnsi="Arial" w:cs="Arial"/>
          <w:lang w:eastAsia="ja-JP"/>
        </w:rPr>
        <w:t xml:space="preserve"> </w:t>
      </w:r>
      <w:r w:rsidRPr="00B81671">
        <w:rPr>
          <w:rFonts w:ascii="Arial" w:eastAsia="MS Mincho" w:hAnsi="Arial" w:cs="Arial"/>
          <w:lang w:eastAsia="ja-JP"/>
        </w:rPr>
        <w:t>W przypadku wątpliwości dotyczącej rozstrzygnięcia danej kwestii, przed udzieleniem odpowiedzi</w:t>
      </w:r>
      <w:r w:rsidR="00BF7E93" w:rsidRPr="00B81671">
        <w:rPr>
          <w:rFonts w:ascii="Arial" w:eastAsia="MS Mincho" w:hAnsi="Arial" w:cs="Arial"/>
          <w:lang w:eastAsia="ja-JP"/>
        </w:rPr>
        <w:t>,</w:t>
      </w:r>
      <w:r w:rsidRPr="00B81671">
        <w:rPr>
          <w:rFonts w:ascii="Arial" w:eastAsia="MS Mincho" w:hAnsi="Arial" w:cs="Arial"/>
          <w:lang w:eastAsia="ja-JP"/>
        </w:rPr>
        <w:t xml:space="preserve"> </w:t>
      </w:r>
      <w:r w:rsidR="00BF7E93" w:rsidRPr="00B81671">
        <w:rPr>
          <w:rFonts w:ascii="Arial" w:eastAsia="MS Mincho" w:hAnsi="Arial" w:cs="Arial"/>
          <w:lang w:eastAsia="ja-JP"/>
        </w:rPr>
        <w:t xml:space="preserve">IP POPC </w:t>
      </w:r>
      <w:r w:rsidRPr="00B81671">
        <w:rPr>
          <w:rFonts w:ascii="Arial" w:eastAsia="MS Mincho" w:hAnsi="Arial" w:cs="Arial"/>
          <w:lang w:eastAsia="ja-JP"/>
        </w:rPr>
        <w:t xml:space="preserve">powinna zwrócić się </w:t>
      </w:r>
      <w:r w:rsidR="006C586B" w:rsidRPr="00B81671">
        <w:rPr>
          <w:rFonts w:ascii="Arial" w:eastAsia="MS Mincho" w:hAnsi="Arial" w:cs="Arial"/>
          <w:lang w:eastAsia="ja-JP"/>
        </w:rPr>
        <w:t>do</w:t>
      </w:r>
      <w:r w:rsidRPr="00B81671">
        <w:rPr>
          <w:rFonts w:ascii="Arial" w:eastAsia="MS Mincho" w:hAnsi="Arial" w:cs="Arial"/>
          <w:lang w:eastAsia="ja-JP"/>
        </w:rPr>
        <w:t xml:space="preserve"> IZ POPC. </w:t>
      </w:r>
    </w:p>
    <w:p w:rsidR="00903FFD" w:rsidRPr="00B81671" w:rsidRDefault="00D002C3" w:rsidP="0030426E">
      <w:pPr>
        <w:numPr>
          <w:ilvl w:val="0"/>
          <w:numId w:val="4"/>
        </w:numPr>
        <w:spacing w:before="120" w:after="120" w:line="360" w:lineRule="auto"/>
        <w:ind w:left="403" w:hanging="403"/>
        <w:jc w:val="both"/>
        <w:rPr>
          <w:rFonts w:ascii="Arial" w:eastAsia="Times New Roman" w:hAnsi="Arial" w:cs="Arial"/>
          <w:lang w:eastAsia="pl-PL"/>
        </w:rPr>
      </w:pPr>
      <w:r w:rsidRPr="00B81671">
        <w:rPr>
          <w:rFonts w:ascii="Arial" w:eastAsia="MS Mincho" w:hAnsi="Arial" w:cs="Arial"/>
          <w:lang w:eastAsia="ja-JP"/>
        </w:rPr>
        <w:lastRenderedPageBreak/>
        <w:t xml:space="preserve">Każdy podmiot </w:t>
      </w:r>
      <w:r w:rsidR="0066313B" w:rsidRPr="00B81671">
        <w:rPr>
          <w:rFonts w:ascii="Arial" w:eastAsia="MS Mincho" w:hAnsi="Arial" w:cs="Arial"/>
          <w:lang w:eastAsia="ja-JP"/>
        </w:rPr>
        <w:t xml:space="preserve">może zwrócić się bezpośrednio do IZ POPC jedynie w sytuacji, gdy nie zgadza się z interpretacją wydaną przez IP POPC, a IP </w:t>
      </w:r>
      <w:r w:rsidR="00866EDB" w:rsidRPr="00B81671">
        <w:rPr>
          <w:rFonts w:ascii="Arial" w:eastAsia="MS Mincho" w:hAnsi="Arial" w:cs="Arial"/>
          <w:lang w:eastAsia="ja-JP"/>
        </w:rPr>
        <w:t xml:space="preserve">POPC </w:t>
      </w:r>
      <w:r w:rsidR="0066313B" w:rsidRPr="00B81671">
        <w:rPr>
          <w:rFonts w:ascii="Arial" w:eastAsia="MS Mincho" w:hAnsi="Arial" w:cs="Arial"/>
          <w:lang w:eastAsia="ja-JP"/>
        </w:rPr>
        <w:t>odmówiła skierowania pytania do IZ POPC. W takiej sytuacji IZ POPC, do której wpłynęło zapytanie o interpretację, informuje o tym fakcie IP POPC, a następnie przekazuje jej – do wiadomości, udzieloną odpowiedź</w:t>
      </w:r>
      <w:r w:rsidR="006D3D7A" w:rsidRPr="00B81671">
        <w:rPr>
          <w:rFonts w:ascii="Arial" w:eastAsia="MS Mincho" w:hAnsi="Arial" w:cs="Arial"/>
          <w:lang w:eastAsia="ja-JP"/>
        </w:rPr>
        <w:t>.</w:t>
      </w:r>
      <w:bookmarkStart w:id="21" w:name="39"/>
      <w:bookmarkStart w:id="22" w:name="_Toc396130032"/>
      <w:bookmarkStart w:id="23" w:name="_Toc396130107"/>
      <w:bookmarkEnd w:id="21"/>
      <w:bookmarkEnd w:id="22"/>
      <w:bookmarkEnd w:id="23"/>
    </w:p>
    <w:p w:rsidR="00944E2A" w:rsidRDefault="00944E2A">
      <w:pPr>
        <w:rPr>
          <w:rFonts w:ascii="Arial" w:eastAsiaTheme="majorEastAsia" w:hAnsi="Arial" w:cs="Arial"/>
          <w:b/>
          <w:bCs/>
          <w:sz w:val="24"/>
          <w:szCs w:val="24"/>
        </w:rPr>
      </w:pPr>
      <w:r>
        <w:rPr>
          <w:rFonts w:ascii="Arial" w:hAnsi="Arial" w:cs="Arial"/>
          <w:sz w:val="24"/>
          <w:szCs w:val="24"/>
        </w:rPr>
        <w:br w:type="page"/>
      </w:r>
    </w:p>
    <w:p w:rsidR="00903FFD" w:rsidRPr="007E469E" w:rsidRDefault="00903FFD" w:rsidP="00903FFD">
      <w:pPr>
        <w:pStyle w:val="Nagwek1"/>
        <w:numPr>
          <w:ilvl w:val="0"/>
          <w:numId w:val="1"/>
        </w:numPr>
        <w:spacing w:before="240" w:after="60" w:line="360" w:lineRule="auto"/>
        <w:ind w:left="714" w:hanging="357"/>
        <w:jc w:val="center"/>
        <w:rPr>
          <w:rFonts w:ascii="Arial" w:hAnsi="Arial" w:cs="Arial"/>
          <w:color w:val="auto"/>
          <w:sz w:val="24"/>
          <w:szCs w:val="24"/>
        </w:rPr>
      </w:pPr>
      <w:bookmarkStart w:id="24" w:name="_Toc508630100"/>
      <w:r w:rsidRPr="007E469E">
        <w:rPr>
          <w:rFonts w:ascii="Arial" w:hAnsi="Arial" w:cs="Arial"/>
          <w:color w:val="auto"/>
          <w:sz w:val="24"/>
          <w:szCs w:val="24"/>
        </w:rPr>
        <w:lastRenderedPageBreak/>
        <w:t>Rozdział - Wspólne warunki i procedury w zakresie kwalifikowalności wydatków</w:t>
      </w:r>
      <w:bookmarkEnd w:id="24"/>
    </w:p>
    <w:p w:rsidR="00903FFD" w:rsidRDefault="00903FFD" w:rsidP="00903FFD">
      <w:pPr>
        <w:spacing w:before="120" w:after="120" w:line="360" w:lineRule="auto"/>
        <w:jc w:val="both"/>
        <w:rPr>
          <w:rFonts w:ascii="Arial" w:hAnsi="Arial" w:cs="Arial"/>
        </w:rPr>
      </w:pPr>
      <w:r w:rsidRPr="007E469E">
        <w:rPr>
          <w:rFonts w:ascii="Arial" w:hAnsi="Arial" w:cs="Arial"/>
        </w:rPr>
        <w:t xml:space="preserve">Zasady i warunki określone w niniejszym rozdziale stanowią uzupełnienie lub uszczegółowienie zasad i warunków określonych w </w:t>
      </w:r>
      <w:r w:rsidRPr="007E469E">
        <w:rPr>
          <w:rFonts w:ascii="Arial" w:hAnsi="Arial" w:cs="Arial"/>
          <w:i/>
        </w:rPr>
        <w:t>Wytycznych</w:t>
      </w:r>
      <w:r w:rsidRPr="007E469E">
        <w:rPr>
          <w:rFonts w:ascii="Arial" w:hAnsi="Arial" w:cs="Arial"/>
        </w:rPr>
        <w:t xml:space="preserve">. </w:t>
      </w:r>
    </w:p>
    <w:p w:rsidR="0047796B" w:rsidRPr="007E469E" w:rsidRDefault="0047796B" w:rsidP="00903FFD">
      <w:pPr>
        <w:spacing w:before="120" w:after="120" w:line="360" w:lineRule="auto"/>
        <w:jc w:val="both"/>
        <w:rPr>
          <w:rFonts w:ascii="Arial" w:hAnsi="Arial" w:cs="Arial"/>
        </w:rPr>
      </w:pPr>
    </w:p>
    <w:p w:rsidR="00903FFD" w:rsidRPr="007E469E"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25" w:name="_Toc508630101"/>
      <w:r w:rsidRPr="007E469E">
        <w:rPr>
          <w:rFonts w:ascii="Arial" w:hAnsi="Arial" w:cs="Arial"/>
          <w:i/>
          <w:color w:val="auto"/>
          <w:sz w:val="24"/>
          <w:szCs w:val="24"/>
        </w:rPr>
        <w:t>Ocena kwalifikowalności wydatku.</w:t>
      </w:r>
      <w:bookmarkEnd w:id="25"/>
    </w:p>
    <w:p w:rsidR="00903FFD" w:rsidRPr="007E469E" w:rsidRDefault="00903FFD" w:rsidP="00137BC9">
      <w:pPr>
        <w:pStyle w:val="Akapitzlist"/>
        <w:numPr>
          <w:ilvl w:val="0"/>
          <w:numId w:val="11"/>
        </w:numPr>
        <w:spacing w:before="120" w:after="120" w:line="360" w:lineRule="auto"/>
        <w:jc w:val="both"/>
        <w:rPr>
          <w:rFonts w:ascii="Arial" w:hAnsi="Arial" w:cs="Arial"/>
        </w:rPr>
      </w:pPr>
      <w:r w:rsidRPr="007E469E">
        <w:rPr>
          <w:rFonts w:ascii="Arial" w:hAnsi="Arial" w:cs="Arial"/>
        </w:rPr>
        <w:t xml:space="preserve">Do oceny kwalifikowalności wydatków zastosowanie mają zasady określone w </w:t>
      </w:r>
      <w:r w:rsidRPr="007E469E">
        <w:rPr>
          <w:rFonts w:ascii="Arial" w:hAnsi="Arial" w:cs="Arial"/>
          <w:i/>
        </w:rPr>
        <w:t xml:space="preserve">Wytycznych </w:t>
      </w:r>
      <w:r w:rsidRPr="007E469E">
        <w:rPr>
          <w:rFonts w:ascii="Arial" w:hAnsi="Arial" w:cs="Arial"/>
        </w:rPr>
        <w:t>w podrozdziale 6.2 oraz w niniejszy</w:t>
      </w:r>
      <w:r w:rsidR="00E150F1">
        <w:rPr>
          <w:rFonts w:ascii="Arial" w:hAnsi="Arial" w:cs="Arial"/>
        </w:rPr>
        <w:t>m</w:t>
      </w:r>
      <w:r w:rsidRPr="007E469E">
        <w:rPr>
          <w:rFonts w:ascii="Arial" w:hAnsi="Arial" w:cs="Arial"/>
        </w:rPr>
        <w:t xml:space="preserve"> </w:t>
      </w:r>
      <w:r w:rsidR="00E150F1">
        <w:rPr>
          <w:rFonts w:ascii="Arial" w:hAnsi="Arial" w:cs="Arial"/>
          <w:i/>
        </w:rPr>
        <w:t>Katalogu</w:t>
      </w:r>
      <w:r w:rsidRPr="007E469E">
        <w:rPr>
          <w:rFonts w:ascii="Arial" w:hAnsi="Arial" w:cs="Arial"/>
        </w:rPr>
        <w:t>.</w:t>
      </w:r>
    </w:p>
    <w:p w:rsidR="002D3F7E" w:rsidRPr="00B81671" w:rsidRDefault="00AC0BF2" w:rsidP="00137BC9">
      <w:pPr>
        <w:keepNext/>
        <w:numPr>
          <w:ilvl w:val="0"/>
          <w:numId w:val="11"/>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Ponoszone wydatki mogą stanowić wydatek kwalifikowalny w ramach </w:t>
      </w:r>
      <w:r w:rsidR="00E150F1">
        <w:rPr>
          <w:rFonts w:ascii="Arial" w:eastAsia="Times New Roman" w:hAnsi="Arial" w:cs="Times New Roman"/>
          <w:szCs w:val="24"/>
          <w:lang w:eastAsia="pl-PL"/>
        </w:rPr>
        <w:t xml:space="preserve">I osi priorytetowej </w:t>
      </w:r>
      <w:r w:rsidRPr="00B81671">
        <w:rPr>
          <w:rFonts w:ascii="Arial" w:eastAsia="Times New Roman" w:hAnsi="Arial" w:cs="Times New Roman"/>
          <w:szCs w:val="24"/>
          <w:lang w:eastAsia="pl-PL"/>
        </w:rPr>
        <w:t xml:space="preserve">POPC, o ile mieszczą się w wykazach wydatków kwalifikowalnych zamieszczonych w </w:t>
      </w:r>
      <w:r w:rsidR="00E150F1">
        <w:rPr>
          <w:rFonts w:ascii="Arial" w:eastAsia="Times New Roman" w:hAnsi="Arial" w:cs="Times New Roman"/>
          <w:szCs w:val="24"/>
          <w:lang w:eastAsia="pl-PL"/>
        </w:rPr>
        <w:t xml:space="preserve">rozdziale 4 niniejszego </w:t>
      </w:r>
      <w:r w:rsidR="00E150F1">
        <w:rPr>
          <w:rFonts w:ascii="Arial" w:eastAsia="Times New Roman" w:hAnsi="Arial" w:cs="Times New Roman"/>
          <w:i/>
          <w:szCs w:val="24"/>
          <w:lang w:eastAsia="pl-PL"/>
        </w:rPr>
        <w:t>Katalogu</w:t>
      </w:r>
      <w:r w:rsidRPr="00B81671">
        <w:rPr>
          <w:rFonts w:ascii="Arial" w:eastAsia="Times New Roman" w:hAnsi="Arial" w:cs="Times New Roman"/>
          <w:szCs w:val="24"/>
          <w:lang w:eastAsia="pl-PL"/>
        </w:rPr>
        <w:t>.</w:t>
      </w:r>
      <w:r w:rsidR="002520B8" w:rsidRPr="00B81671">
        <w:rPr>
          <w:rFonts w:ascii="Arial" w:eastAsia="Times New Roman" w:hAnsi="Arial" w:cs="Times New Roman"/>
          <w:szCs w:val="24"/>
          <w:lang w:eastAsia="pl-PL"/>
        </w:rPr>
        <w:t xml:space="preserve"> </w:t>
      </w:r>
    </w:p>
    <w:p w:rsidR="00AC0BF2" w:rsidRPr="00B81671" w:rsidRDefault="002520B8" w:rsidP="00137BC9">
      <w:pPr>
        <w:keepNext/>
        <w:numPr>
          <w:ilvl w:val="0"/>
          <w:numId w:val="11"/>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W przypadku projektów objętych pomocą publiczną udzielaną na podstawie programu pomocowego, warunkiem kwalifikowalności wydatku jest również jego zgodność z programem pomocowym. </w:t>
      </w:r>
    </w:p>
    <w:p w:rsidR="00903FFD" w:rsidRPr="007E469E" w:rsidRDefault="00903FFD" w:rsidP="00903FFD">
      <w:pPr>
        <w:spacing w:after="0" w:line="240" w:lineRule="auto"/>
        <w:rPr>
          <w:rFonts w:ascii="Arial" w:eastAsia="Times New Roman" w:hAnsi="Arial" w:cs="Times New Roman"/>
          <w:bCs/>
          <w:sz w:val="18"/>
          <w:szCs w:val="18"/>
          <w:lang w:eastAsia="pl-PL"/>
        </w:rPr>
      </w:pPr>
    </w:p>
    <w:p w:rsidR="00903FFD" w:rsidRPr="007E469E"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26" w:name="_Toc508630102"/>
      <w:r w:rsidRPr="007E469E">
        <w:rPr>
          <w:rFonts w:ascii="Arial" w:hAnsi="Arial" w:cs="Arial"/>
          <w:i/>
          <w:color w:val="auto"/>
          <w:sz w:val="24"/>
          <w:szCs w:val="24"/>
        </w:rPr>
        <w:t>Wydatki niekwalifikowalne</w:t>
      </w:r>
      <w:bookmarkEnd w:id="26"/>
    </w:p>
    <w:p w:rsidR="00903FFD" w:rsidRPr="007E469E" w:rsidRDefault="00903FFD" w:rsidP="00137BC9">
      <w:pPr>
        <w:pStyle w:val="Akapitzlist"/>
        <w:numPr>
          <w:ilvl w:val="0"/>
          <w:numId w:val="13"/>
        </w:numPr>
        <w:spacing w:before="120" w:after="120" w:line="360" w:lineRule="auto"/>
        <w:jc w:val="both"/>
        <w:rPr>
          <w:rFonts w:ascii="Arial" w:hAnsi="Arial" w:cs="Arial"/>
        </w:rPr>
      </w:pPr>
      <w:r w:rsidRPr="007E469E">
        <w:rPr>
          <w:rFonts w:ascii="Arial" w:hAnsi="Arial" w:cs="Arial"/>
        </w:rPr>
        <w:t xml:space="preserve">Do współfinansowania nie kwalifikują się wszelkie wydatki niezgodne z </w:t>
      </w:r>
      <w:r w:rsidRPr="007E469E">
        <w:rPr>
          <w:rFonts w:ascii="Arial" w:hAnsi="Arial" w:cs="Arial"/>
          <w:i/>
        </w:rPr>
        <w:t>Wytycznymi</w:t>
      </w:r>
      <w:r w:rsidRPr="007E469E">
        <w:rPr>
          <w:rFonts w:ascii="Arial" w:hAnsi="Arial" w:cs="Arial"/>
        </w:rPr>
        <w:t xml:space="preserve"> oraz wydatki wyłączone z kwalifikowalności poprzez odpowiednie zapisy </w:t>
      </w:r>
      <w:r w:rsidRPr="007E469E">
        <w:rPr>
          <w:rFonts w:ascii="Arial" w:hAnsi="Arial" w:cs="Arial"/>
          <w:i/>
        </w:rPr>
        <w:t>Wytycznych</w:t>
      </w:r>
      <w:r w:rsidRPr="007E469E">
        <w:rPr>
          <w:rFonts w:ascii="Arial" w:hAnsi="Arial" w:cs="Arial"/>
        </w:rPr>
        <w:t xml:space="preserve">. </w:t>
      </w:r>
    </w:p>
    <w:p w:rsidR="00903FFD" w:rsidRPr="00B81671" w:rsidRDefault="00903FFD" w:rsidP="00137BC9">
      <w:pPr>
        <w:pStyle w:val="Akapitzlist"/>
        <w:numPr>
          <w:ilvl w:val="0"/>
          <w:numId w:val="13"/>
        </w:numPr>
        <w:spacing w:before="120" w:after="120" w:line="360" w:lineRule="auto"/>
        <w:jc w:val="both"/>
        <w:rPr>
          <w:rFonts w:ascii="Arial" w:hAnsi="Arial" w:cs="Arial"/>
        </w:rPr>
      </w:pPr>
      <w:r w:rsidRPr="00B81671">
        <w:rPr>
          <w:rFonts w:ascii="Arial" w:hAnsi="Arial" w:cs="Arial"/>
        </w:rPr>
        <w:t xml:space="preserve">Do współfinansowania nie kwalifikują się również wszelkie wydatki niezgodne z </w:t>
      </w:r>
      <w:r w:rsidR="00F23948" w:rsidRPr="00B81671">
        <w:rPr>
          <w:rFonts w:ascii="Arial" w:hAnsi="Arial" w:cs="Arial"/>
        </w:rPr>
        <w:t xml:space="preserve">niniejszym </w:t>
      </w:r>
      <w:r w:rsidR="00E150F1">
        <w:rPr>
          <w:rFonts w:ascii="Arial" w:hAnsi="Arial" w:cs="Arial"/>
          <w:i/>
        </w:rPr>
        <w:t>Katalogiem</w:t>
      </w:r>
      <w:r w:rsidRPr="00B81671">
        <w:rPr>
          <w:rFonts w:ascii="Arial" w:hAnsi="Arial" w:cs="Arial"/>
        </w:rPr>
        <w:t xml:space="preserve"> oraz wydatki wyłączone z kwalifikowalności poprzez odpowiednie zapisy</w:t>
      </w:r>
      <w:r w:rsidR="00CE07AA" w:rsidRPr="00B81671">
        <w:rPr>
          <w:rFonts w:ascii="Arial" w:hAnsi="Arial" w:cs="Arial"/>
        </w:rPr>
        <w:t xml:space="preserve"> </w:t>
      </w:r>
      <w:r w:rsidR="00E150F1" w:rsidRPr="00B81671">
        <w:rPr>
          <w:rFonts w:ascii="Arial" w:hAnsi="Arial" w:cs="Arial"/>
        </w:rPr>
        <w:t>niniejsz</w:t>
      </w:r>
      <w:r w:rsidR="00E150F1">
        <w:rPr>
          <w:rFonts w:ascii="Arial" w:hAnsi="Arial" w:cs="Arial"/>
        </w:rPr>
        <w:t>ego</w:t>
      </w:r>
      <w:r w:rsidR="00E150F1" w:rsidRPr="00B81671">
        <w:rPr>
          <w:rFonts w:ascii="Arial" w:hAnsi="Arial" w:cs="Arial"/>
        </w:rPr>
        <w:t xml:space="preserve"> </w:t>
      </w:r>
      <w:r w:rsidR="00E150F1">
        <w:rPr>
          <w:rFonts w:ascii="Arial" w:hAnsi="Arial" w:cs="Arial"/>
          <w:i/>
        </w:rPr>
        <w:t>Katalogu</w:t>
      </w:r>
      <w:r w:rsidR="00386929" w:rsidRPr="00B81671">
        <w:rPr>
          <w:rFonts w:ascii="Arial" w:hAnsi="Arial" w:cs="Arial"/>
          <w:i/>
        </w:rPr>
        <w:t xml:space="preserve">, </w:t>
      </w:r>
      <w:r w:rsidR="00386929" w:rsidRPr="00B81671">
        <w:rPr>
          <w:rFonts w:ascii="Arial" w:hAnsi="Arial" w:cs="Arial"/>
        </w:rPr>
        <w:t>Regulaminu konkursu</w:t>
      </w:r>
      <w:r w:rsidRPr="00B81671">
        <w:rPr>
          <w:rFonts w:ascii="Arial" w:hAnsi="Arial" w:cs="Arial"/>
        </w:rPr>
        <w:t xml:space="preserve"> lub umowy o dofinansowanie</w:t>
      </w:r>
      <w:r w:rsidR="00701B4A" w:rsidRPr="00B81671">
        <w:rPr>
          <w:rFonts w:ascii="Arial" w:hAnsi="Arial" w:cs="Arial"/>
        </w:rPr>
        <w:t xml:space="preserve"> projektu</w:t>
      </w:r>
      <w:r w:rsidRPr="00B81671">
        <w:rPr>
          <w:rFonts w:ascii="Arial" w:hAnsi="Arial" w:cs="Arial"/>
        </w:rPr>
        <w:t xml:space="preserve">. Listy wydatków wyłączonych przez IZ POPC z kwalifikowalności w ramach poszczególnych </w:t>
      </w:r>
      <w:r w:rsidR="00E150F1">
        <w:rPr>
          <w:rFonts w:ascii="Arial" w:hAnsi="Arial" w:cs="Arial"/>
        </w:rPr>
        <w:t>naborów w ramach działania 1.1</w:t>
      </w:r>
      <w:r w:rsidRPr="00B81671">
        <w:rPr>
          <w:rFonts w:ascii="Arial" w:hAnsi="Arial" w:cs="Arial"/>
        </w:rPr>
        <w:t xml:space="preserve"> POPC znajdują się w </w:t>
      </w:r>
      <w:r w:rsidR="00E150F1">
        <w:rPr>
          <w:rFonts w:ascii="Arial" w:hAnsi="Arial" w:cs="Arial"/>
        </w:rPr>
        <w:t xml:space="preserve">rozdziale 4 </w:t>
      </w:r>
      <w:r w:rsidRPr="00B81671">
        <w:rPr>
          <w:rFonts w:ascii="Arial" w:hAnsi="Arial" w:cs="Arial"/>
        </w:rPr>
        <w:t>niniejsz</w:t>
      </w:r>
      <w:r w:rsidR="00E150F1">
        <w:rPr>
          <w:rFonts w:ascii="Arial" w:hAnsi="Arial" w:cs="Arial"/>
        </w:rPr>
        <w:t>ego</w:t>
      </w:r>
      <w:r w:rsidRPr="00B81671">
        <w:rPr>
          <w:rFonts w:ascii="Arial" w:hAnsi="Arial" w:cs="Arial"/>
        </w:rPr>
        <w:t xml:space="preserve"> </w:t>
      </w:r>
      <w:r w:rsidR="00E150F1">
        <w:rPr>
          <w:rFonts w:ascii="Arial" w:hAnsi="Arial" w:cs="Arial"/>
          <w:i/>
        </w:rPr>
        <w:t>Katalogu</w:t>
      </w:r>
      <w:r w:rsidRPr="00B81671">
        <w:rPr>
          <w:rFonts w:ascii="Arial" w:hAnsi="Arial" w:cs="Arial"/>
        </w:rPr>
        <w:t>.</w:t>
      </w:r>
    </w:p>
    <w:p w:rsidR="00903FFD" w:rsidRPr="007E469E" w:rsidRDefault="00903FFD" w:rsidP="00903FFD">
      <w:pPr>
        <w:pStyle w:val="Akapitzlist"/>
        <w:spacing w:before="120" w:after="120" w:line="360" w:lineRule="auto"/>
        <w:ind w:left="360"/>
        <w:jc w:val="both"/>
        <w:rPr>
          <w:rFonts w:ascii="Arial" w:hAnsi="Arial" w:cs="Arial"/>
        </w:rPr>
      </w:pPr>
    </w:p>
    <w:p w:rsidR="00903FFD" w:rsidRPr="00B81671"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27" w:name="_Toc508630103"/>
      <w:r w:rsidRPr="00B81671">
        <w:rPr>
          <w:rFonts w:ascii="Arial" w:hAnsi="Arial" w:cs="Arial"/>
          <w:i/>
          <w:color w:val="auto"/>
          <w:sz w:val="24"/>
          <w:szCs w:val="24"/>
        </w:rPr>
        <w:t>Zasada faktycznego poniesienia wydatku</w:t>
      </w:r>
      <w:bookmarkEnd w:id="27"/>
    </w:p>
    <w:p w:rsidR="00903FFD" w:rsidRPr="00B81671" w:rsidRDefault="00903FFD" w:rsidP="00137BC9">
      <w:pPr>
        <w:pStyle w:val="Akapitzlist"/>
        <w:numPr>
          <w:ilvl w:val="0"/>
          <w:numId w:val="14"/>
        </w:numPr>
        <w:spacing w:before="120" w:after="120" w:line="360" w:lineRule="auto"/>
        <w:ind w:hanging="357"/>
        <w:jc w:val="both"/>
        <w:rPr>
          <w:rFonts w:ascii="Arial" w:hAnsi="Arial" w:cs="Arial"/>
        </w:rPr>
      </w:pPr>
      <w:r w:rsidRPr="00B81671">
        <w:rPr>
          <w:rFonts w:ascii="Arial" w:hAnsi="Arial" w:cs="Arial"/>
        </w:rPr>
        <w:t xml:space="preserve">Zasady faktycznego poniesienia wydatku zostały określone </w:t>
      </w:r>
      <w:r w:rsidR="00EA379B" w:rsidRPr="00B81671">
        <w:rPr>
          <w:rFonts w:ascii="Arial" w:hAnsi="Arial" w:cs="Arial"/>
        </w:rPr>
        <w:t xml:space="preserve">w </w:t>
      </w:r>
      <w:r w:rsidRPr="00B81671">
        <w:rPr>
          <w:rFonts w:ascii="Arial" w:hAnsi="Arial" w:cs="Arial"/>
          <w:i/>
        </w:rPr>
        <w:t xml:space="preserve">Wytycznych </w:t>
      </w:r>
      <w:r w:rsidRPr="00B81671">
        <w:rPr>
          <w:rFonts w:ascii="Arial" w:hAnsi="Arial" w:cs="Arial"/>
        </w:rPr>
        <w:t xml:space="preserve">w podrozdziale 6.4 oraz w </w:t>
      </w:r>
      <w:r w:rsidR="00E150F1" w:rsidRPr="00B81671">
        <w:rPr>
          <w:rFonts w:ascii="Arial" w:hAnsi="Arial" w:cs="Arial"/>
        </w:rPr>
        <w:t>niniejszy</w:t>
      </w:r>
      <w:r w:rsidR="00E150F1">
        <w:rPr>
          <w:rFonts w:ascii="Arial" w:hAnsi="Arial" w:cs="Arial"/>
        </w:rPr>
        <w:t>m</w:t>
      </w:r>
      <w:r w:rsidR="00E150F1" w:rsidRPr="00B81671">
        <w:rPr>
          <w:rFonts w:ascii="Arial" w:hAnsi="Arial" w:cs="Arial"/>
        </w:rPr>
        <w:t xml:space="preserve"> </w:t>
      </w:r>
      <w:r w:rsidR="00E150F1">
        <w:rPr>
          <w:rFonts w:ascii="Arial" w:hAnsi="Arial" w:cs="Arial"/>
          <w:i/>
        </w:rPr>
        <w:t>Katalogu</w:t>
      </w:r>
      <w:r w:rsidRPr="00B81671">
        <w:rPr>
          <w:rFonts w:ascii="Arial" w:hAnsi="Arial" w:cs="Arial"/>
        </w:rPr>
        <w:t>.</w:t>
      </w:r>
    </w:p>
    <w:p w:rsidR="00D11C3F" w:rsidRPr="00B81671" w:rsidRDefault="00D11C3F" w:rsidP="00137BC9">
      <w:pPr>
        <w:pStyle w:val="Akapitzlist"/>
        <w:numPr>
          <w:ilvl w:val="0"/>
          <w:numId w:val="14"/>
        </w:numPr>
        <w:spacing w:before="120" w:after="120" w:line="360" w:lineRule="auto"/>
        <w:ind w:hanging="357"/>
        <w:jc w:val="both"/>
        <w:rPr>
          <w:rFonts w:ascii="Arial" w:hAnsi="Arial" w:cs="Arial"/>
        </w:rPr>
      </w:pPr>
      <w:r w:rsidRPr="00B81671">
        <w:rPr>
          <w:rFonts w:ascii="Arial" w:hAnsi="Arial" w:cs="Arial"/>
        </w:rPr>
        <w:t xml:space="preserve">W przypadku, gdy przewiduje to system realizacji danego działania, określony w szczególności w umowie o dofinansowanie projektu, do </w:t>
      </w:r>
      <w:r w:rsidR="00AD16DB" w:rsidRPr="00B81671">
        <w:rPr>
          <w:rFonts w:ascii="Arial" w:hAnsi="Arial" w:cs="Arial"/>
        </w:rPr>
        <w:t xml:space="preserve">wydatków </w:t>
      </w:r>
      <w:r w:rsidRPr="00B81671">
        <w:rPr>
          <w:rFonts w:ascii="Arial" w:hAnsi="Arial" w:cs="Arial"/>
        </w:rPr>
        <w:t xml:space="preserve">kwalifikowalnych projektu zalicza się </w:t>
      </w:r>
      <w:r w:rsidR="00AD16DB" w:rsidRPr="00B81671">
        <w:rPr>
          <w:rFonts w:ascii="Arial" w:hAnsi="Arial" w:cs="Arial"/>
        </w:rPr>
        <w:t>wydatki</w:t>
      </w:r>
      <w:r w:rsidRPr="00B81671">
        <w:rPr>
          <w:rFonts w:ascii="Arial" w:hAnsi="Arial" w:cs="Arial"/>
        </w:rPr>
        <w:t xml:space="preserve"> ponoszone przez podmioty inne niż beneficjent</w:t>
      </w:r>
      <w:r w:rsidR="00B87ED7" w:rsidRPr="00B81671">
        <w:rPr>
          <w:rFonts w:ascii="Arial" w:hAnsi="Arial" w:cs="Arial"/>
        </w:rPr>
        <w:t xml:space="preserve"> lub </w:t>
      </w:r>
      <w:r w:rsidR="00F665EF" w:rsidRPr="00B81671">
        <w:rPr>
          <w:rFonts w:ascii="Arial" w:hAnsi="Arial" w:cs="Arial"/>
        </w:rPr>
        <w:t xml:space="preserve">partner </w:t>
      </w:r>
      <w:r w:rsidR="00B87ED7" w:rsidRPr="00B81671">
        <w:rPr>
          <w:rFonts w:ascii="Arial" w:hAnsi="Arial" w:cs="Arial"/>
        </w:rPr>
        <w:t xml:space="preserve">wskazany jako </w:t>
      </w:r>
      <w:r w:rsidR="00F665EF" w:rsidRPr="00B81671">
        <w:rPr>
          <w:rFonts w:ascii="Arial" w:hAnsi="Arial" w:cs="Arial"/>
        </w:rPr>
        <w:t>podmiot upoważniony</w:t>
      </w:r>
      <w:r w:rsidR="00B87ED7" w:rsidRPr="00B81671">
        <w:rPr>
          <w:rFonts w:ascii="Arial" w:hAnsi="Arial" w:cs="Arial"/>
        </w:rPr>
        <w:t xml:space="preserve"> do ponoszenia wydatków</w:t>
      </w:r>
      <w:r w:rsidRPr="00B81671">
        <w:rPr>
          <w:rFonts w:ascii="Arial" w:hAnsi="Arial" w:cs="Arial"/>
        </w:rPr>
        <w:t xml:space="preserve">. </w:t>
      </w:r>
    </w:p>
    <w:p w:rsidR="00132869" w:rsidRPr="00B81671" w:rsidRDefault="00132869" w:rsidP="00137BC9">
      <w:pPr>
        <w:pStyle w:val="Akapitzlist"/>
        <w:numPr>
          <w:ilvl w:val="0"/>
          <w:numId w:val="14"/>
        </w:numPr>
        <w:spacing w:before="120" w:after="120" w:line="360" w:lineRule="auto"/>
        <w:ind w:left="363" w:hanging="357"/>
        <w:jc w:val="both"/>
        <w:rPr>
          <w:rFonts w:ascii="Arial" w:hAnsi="Arial" w:cs="Arial"/>
        </w:rPr>
      </w:pPr>
      <w:r w:rsidRPr="00B81671">
        <w:rPr>
          <w:rFonts w:ascii="Arial" w:hAnsi="Arial" w:cs="Arial"/>
        </w:rPr>
        <w:lastRenderedPageBreak/>
        <w:t>Wydatki kwalifikowalne muszą być oparte na prawnie wiążących umowach, porozumieniach lub innych dokumentach, zatem niezbędne jest posiadanie przez beneficjenta należytej dokumentacji będącej podstawą poniesienia wydatku.</w:t>
      </w:r>
      <w:r w:rsidR="00CE07AA" w:rsidRPr="00B81671">
        <w:rPr>
          <w:rFonts w:ascii="Arial" w:hAnsi="Arial" w:cs="Arial"/>
        </w:rPr>
        <w:t xml:space="preserve"> Minimalny zakres takiej dokumentacji określa pkt 4.</w:t>
      </w:r>
    </w:p>
    <w:p w:rsidR="00132869" w:rsidRPr="00B81671" w:rsidRDefault="00132869" w:rsidP="00137BC9">
      <w:pPr>
        <w:pStyle w:val="Akapitzlist"/>
        <w:numPr>
          <w:ilvl w:val="0"/>
          <w:numId w:val="14"/>
        </w:numPr>
        <w:spacing w:before="120" w:after="120" w:line="360" w:lineRule="auto"/>
        <w:ind w:left="363" w:hanging="357"/>
        <w:jc w:val="both"/>
        <w:rPr>
          <w:rFonts w:ascii="Arial" w:hAnsi="Arial" w:cs="Arial"/>
        </w:rPr>
      </w:pPr>
      <w:r w:rsidRPr="00B81671">
        <w:rPr>
          <w:rFonts w:ascii="Arial" w:hAnsi="Arial" w:cs="Arial"/>
        </w:rPr>
        <w:t xml:space="preserve">Wydatek faktycznie poniesiony </w:t>
      </w:r>
      <w:r w:rsidR="00791621" w:rsidRPr="00B81671">
        <w:rPr>
          <w:rFonts w:ascii="Arial" w:hAnsi="Arial" w:cs="Arial"/>
        </w:rPr>
        <w:t xml:space="preserve">przedkładany do rozliczenia </w:t>
      </w:r>
      <w:r w:rsidRPr="00B81671">
        <w:rPr>
          <w:rFonts w:ascii="Arial" w:hAnsi="Arial" w:cs="Arial"/>
        </w:rPr>
        <w:t>powinien być poparty</w:t>
      </w:r>
      <w:r w:rsidR="00B14D05" w:rsidRPr="00B81671">
        <w:rPr>
          <w:rFonts w:ascii="Arial" w:hAnsi="Arial" w:cs="Arial"/>
        </w:rPr>
        <w:t xml:space="preserve"> w szczególności</w:t>
      </w:r>
      <w:r w:rsidRPr="00B81671">
        <w:rPr>
          <w:rFonts w:ascii="Arial" w:hAnsi="Arial" w:cs="Arial"/>
        </w:rPr>
        <w:t>:</w:t>
      </w:r>
    </w:p>
    <w:p w:rsidR="00132869" w:rsidRPr="00B81671" w:rsidRDefault="00132869" w:rsidP="009E7AB2">
      <w:pPr>
        <w:pStyle w:val="Akapitzlist"/>
        <w:spacing w:before="120" w:after="120" w:line="360" w:lineRule="auto"/>
        <w:ind w:left="360" w:hanging="357"/>
        <w:jc w:val="both"/>
        <w:rPr>
          <w:rFonts w:ascii="Arial" w:hAnsi="Arial" w:cs="Arial"/>
        </w:rPr>
      </w:pPr>
      <w:r w:rsidRPr="00B81671">
        <w:rPr>
          <w:rFonts w:ascii="Arial" w:hAnsi="Arial" w:cs="Arial"/>
        </w:rPr>
        <w:t>a) fakturą/rachunkiem z oznaczeniem zapłaty lub dokumentem księgowym o równoważnej wartości dowodowej</w:t>
      </w:r>
      <w:r w:rsidR="00C67786" w:rsidRPr="00B81671">
        <w:rPr>
          <w:rFonts w:ascii="Arial" w:hAnsi="Arial" w:cs="Arial"/>
        </w:rPr>
        <w:t>,</w:t>
      </w:r>
      <w:r w:rsidRPr="00B81671">
        <w:rPr>
          <w:rFonts w:ascii="Arial" w:hAnsi="Arial" w:cs="Arial"/>
        </w:rPr>
        <w:t xml:space="preserve"> </w:t>
      </w:r>
    </w:p>
    <w:p w:rsidR="00C65CDF" w:rsidRPr="00B81671" w:rsidRDefault="004D0C3C"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b) z zastrzeżeniem wyjątków wskazanych w rozdziale 6.4 pkt 2 </w:t>
      </w:r>
      <w:r w:rsidRPr="00B81671">
        <w:rPr>
          <w:rFonts w:ascii="Arial" w:hAnsi="Arial" w:cs="Arial"/>
          <w:i/>
        </w:rPr>
        <w:t>Wytycznych,</w:t>
      </w:r>
      <w:r w:rsidRPr="00B81671">
        <w:rPr>
          <w:rFonts w:ascii="Arial" w:hAnsi="Arial" w:cs="Arial"/>
        </w:rPr>
        <w:t xml:space="preserve"> </w:t>
      </w:r>
      <w:r w:rsidR="00132869" w:rsidRPr="00B81671">
        <w:rPr>
          <w:rFonts w:ascii="Arial" w:hAnsi="Arial" w:cs="Arial"/>
        </w:rPr>
        <w:t xml:space="preserve">potwierdzeniem płatności na rzecz wykonawcy w postaci wyciągu z rachunku bankowego lub tzw. historii rachunku lub </w:t>
      </w:r>
      <w:r w:rsidR="003F6B74" w:rsidRPr="00B81671">
        <w:rPr>
          <w:rFonts w:ascii="Arial" w:hAnsi="Arial" w:cs="Arial"/>
        </w:rPr>
        <w:t xml:space="preserve">potwierdzeniem </w:t>
      </w:r>
      <w:r w:rsidR="00132869" w:rsidRPr="00B81671">
        <w:rPr>
          <w:rFonts w:ascii="Arial" w:hAnsi="Arial" w:cs="Arial"/>
        </w:rPr>
        <w:t xml:space="preserve">dokonania (zrealizowania) przelewu lub </w:t>
      </w:r>
      <w:r w:rsidR="003F6B74" w:rsidRPr="00B81671">
        <w:rPr>
          <w:rFonts w:ascii="Arial" w:hAnsi="Arial" w:cs="Arial"/>
        </w:rPr>
        <w:t>dokument</w:t>
      </w:r>
      <w:r w:rsidR="00B616AE" w:rsidRPr="00B81671">
        <w:rPr>
          <w:rFonts w:ascii="Arial" w:hAnsi="Arial" w:cs="Arial"/>
        </w:rPr>
        <w:t>ami</w:t>
      </w:r>
      <w:r w:rsidR="003F6B74" w:rsidRPr="00B81671">
        <w:rPr>
          <w:rFonts w:ascii="Arial" w:hAnsi="Arial" w:cs="Arial"/>
        </w:rPr>
        <w:t xml:space="preserve"> </w:t>
      </w:r>
      <w:r w:rsidR="00132869" w:rsidRPr="00B81671">
        <w:rPr>
          <w:rFonts w:ascii="Arial" w:hAnsi="Arial" w:cs="Arial"/>
        </w:rPr>
        <w:t>potwierdzający</w:t>
      </w:r>
      <w:r w:rsidR="00B616AE" w:rsidRPr="00B81671">
        <w:rPr>
          <w:rFonts w:ascii="Arial" w:hAnsi="Arial" w:cs="Arial"/>
        </w:rPr>
        <w:t>mi</w:t>
      </w:r>
      <w:r w:rsidR="00132869" w:rsidRPr="00B81671">
        <w:rPr>
          <w:rFonts w:ascii="Arial" w:hAnsi="Arial" w:cs="Arial"/>
        </w:rPr>
        <w:t xml:space="preserve"> dokonanie płatności gotówką, o których mowa w pkt </w:t>
      </w:r>
      <w:r w:rsidR="00E03004" w:rsidRPr="00B81671">
        <w:rPr>
          <w:rFonts w:ascii="Arial" w:hAnsi="Arial" w:cs="Arial"/>
        </w:rPr>
        <w:t>6</w:t>
      </w:r>
      <w:r w:rsidR="00132869" w:rsidRPr="00B81671">
        <w:rPr>
          <w:rFonts w:ascii="Arial" w:hAnsi="Arial" w:cs="Arial"/>
        </w:rPr>
        <w:t>. Dowodem potwierdzającym poniesienie wydatku jest również wydrukowany wyciąg bankowy</w:t>
      </w:r>
      <w:r w:rsidR="00791621" w:rsidRPr="00B81671">
        <w:rPr>
          <w:rFonts w:ascii="Arial" w:hAnsi="Arial" w:cs="Arial"/>
        </w:rPr>
        <w:t xml:space="preserve"> lub</w:t>
      </w:r>
      <w:r w:rsidR="00132869" w:rsidRPr="00B81671">
        <w:rPr>
          <w:rFonts w:ascii="Arial" w:hAnsi="Arial" w:cs="Arial"/>
        </w:rPr>
        <w:t xml:space="preserve"> historia rachunku wygenerowana elektronicznie na podstawie art. 7 ustawy Prawo bankowe</w:t>
      </w:r>
      <w:r w:rsidR="00B176BD" w:rsidRPr="00B81671">
        <w:rPr>
          <w:rFonts w:ascii="Arial" w:hAnsi="Arial" w:cs="Arial"/>
        </w:rPr>
        <w:t xml:space="preserve"> (</w:t>
      </w:r>
      <w:r w:rsidR="0061474F" w:rsidRPr="00B81671">
        <w:rPr>
          <w:rFonts w:ascii="Arial" w:hAnsi="Arial" w:cs="Arial"/>
        </w:rPr>
        <w:t>t.</w:t>
      </w:r>
      <w:r w:rsidR="00480B94" w:rsidRPr="00B81671">
        <w:rPr>
          <w:rFonts w:ascii="Arial" w:hAnsi="Arial" w:cs="Arial"/>
        </w:rPr>
        <w:t xml:space="preserve"> </w:t>
      </w:r>
      <w:r w:rsidR="0061474F" w:rsidRPr="00B81671">
        <w:rPr>
          <w:rFonts w:ascii="Arial" w:hAnsi="Arial" w:cs="Arial"/>
        </w:rPr>
        <w:t xml:space="preserve">j. </w:t>
      </w:r>
      <w:r w:rsidR="00B176BD" w:rsidRPr="00B81671">
        <w:rPr>
          <w:rFonts w:ascii="Arial" w:hAnsi="Arial" w:cs="Arial"/>
        </w:rPr>
        <w:t xml:space="preserve">Dz. U. z </w:t>
      </w:r>
      <w:r w:rsidRPr="00B81671">
        <w:rPr>
          <w:rFonts w:ascii="Arial" w:hAnsi="Arial" w:cs="Arial"/>
        </w:rPr>
        <w:t>201</w:t>
      </w:r>
      <w:r w:rsidR="007642B8">
        <w:rPr>
          <w:rFonts w:ascii="Arial" w:hAnsi="Arial" w:cs="Arial"/>
        </w:rPr>
        <w:t>7</w:t>
      </w:r>
      <w:r w:rsidR="00B176BD" w:rsidRPr="00B81671">
        <w:rPr>
          <w:rFonts w:ascii="Arial" w:hAnsi="Arial" w:cs="Arial"/>
        </w:rPr>
        <w:t xml:space="preserve"> r. poz. </w:t>
      </w:r>
      <w:r w:rsidRPr="00B81671">
        <w:rPr>
          <w:rFonts w:ascii="Arial" w:hAnsi="Arial" w:cs="Arial"/>
        </w:rPr>
        <w:t>1</w:t>
      </w:r>
      <w:r w:rsidR="00E54E1F">
        <w:rPr>
          <w:rFonts w:ascii="Arial" w:hAnsi="Arial" w:cs="Arial"/>
        </w:rPr>
        <w:t>8</w:t>
      </w:r>
      <w:r w:rsidR="007642B8">
        <w:rPr>
          <w:rFonts w:ascii="Arial" w:hAnsi="Arial" w:cs="Arial"/>
        </w:rPr>
        <w:t>76</w:t>
      </w:r>
      <w:r w:rsidR="0061474F" w:rsidRPr="00B81671">
        <w:rPr>
          <w:rFonts w:ascii="Arial" w:hAnsi="Arial" w:cs="Arial"/>
        </w:rPr>
        <w:t xml:space="preserve"> z </w:t>
      </w:r>
      <w:proofErr w:type="spellStart"/>
      <w:r w:rsidR="0061474F" w:rsidRPr="00B81671">
        <w:rPr>
          <w:rFonts w:ascii="Arial" w:hAnsi="Arial" w:cs="Arial"/>
        </w:rPr>
        <w:t>późn</w:t>
      </w:r>
      <w:proofErr w:type="spellEnd"/>
      <w:r w:rsidR="0061474F" w:rsidRPr="00B81671">
        <w:rPr>
          <w:rFonts w:ascii="Arial" w:hAnsi="Arial" w:cs="Arial"/>
        </w:rPr>
        <w:t>. zm</w:t>
      </w:r>
      <w:r w:rsidRPr="00B81671">
        <w:rPr>
          <w:rFonts w:ascii="Arial" w:hAnsi="Arial" w:cs="Arial"/>
        </w:rPr>
        <w:t>.)</w:t>
      </w:r>
      <w:r w:rsidR="00132869" w:rsidRPr="00B81671">
        <w:rPr>
          <w:rFonts w:ascii="Arial" w:hAnsi="Arial" w:cs="Arial"/>
        </w:rPr>
        <w:t>, któr</w:t>
      </w:r>
      <w:r w:rsidR="00791621" w:rsidRPr="00B81671">
        <w:rPr>
          <w:rFonts w:ascii="Arial" w:hAnsi="Arial" w:cs="Arial"/>
        </w:rPr>
        <w:t>a</w:t>
      </w:r>
      <w:r w:rsidR="00132869" w:rsidRPr="00B81671">
        <w:rPr>
          <w:rFonts w:ascii="Arial" w:hAnsi="Arial" w:cs="Arial"/>
        </w:rPr>
        <w:t xml:space="preserve"> nie wymaga podpisu ani stempla</w:t>
      </w:r>
      <w:r w:rsidR="00D64AA3" w:rsidRPr="00B81671">
        <w:rPr>
          <w:rFonts w:ascii="Arial" w:hAnsi="Arial" w:cs="Arial"/>
        </w:rPr>
        <w:t>. W</w:t>
      </w:r>
      <w:r w:rsidRPr="00B81671">
        <w:rPr>
          <w:rFonts w:ascii="Arial" w:hAnsi="Arial" w:cs="Arial"/>
        </w:rPr>
        <w:t>arunkiem rozliczenia w</w:t>
      </w:r>
      <w:r w:rsidR="00D64AA3" w:rsidRPr="00B81671">
        <w:rPr>
          <w:rFonts w:ascii="Arial" w:hAnsi="Arial" w:cs="Arial"/>
        </w:rPr>
        <w:t>ydatk</w:t>
      </w:r>
      <w:r w:rsidRPr="00B81671">
        <w:rPr>
          <w:rFonts w:ascii="Arial" w:hAnsi="Arial" w:cs="Arial"/>
        </w:rPr>
        <w:t>u</w:t>
      </w:r>
      <w:r w:rsidR="00D64AA3" w:rsidRPr="00B81671">
        <w:rPr>
          <w:rFonts w:ascii="Arial" w:hAnsi="Arial" w:cs="Arial"/>
        </w:rPr>
        <w:t xml:space="preserve"> jest </w:t>
      </w:r>
      <w:r w:rsidR="00C65CDF" w:rsidRPr="00B81671">
        <w:rPr>
          <w:rFonts w:ascii="Arial" w:hAnsi="Arial" w:cs="Arial"/>
        </w:rPr>
        <w:t>opłacenie</w:t>
      </w:r>
      <w:r w:rsidRPr="00B81671">
        <w:rPr>
          <w:rFonts w:ascii="Arial" w:hAnsi="Arial" w:cs="Arial"/>
        </w:rPr>
        <w:t xml:space="preserve"> faktury </w:t>
      </w:r>
      <w:r w:rsidR="00C65CDF" w:rsidRPr="00B81671">
        <w:rPr>
          <w:rFonts w:ascii="Arial" w:hAnsi="Arial" w:cs="Arial"/>
        </w:rPr>
        <w:t>lub innego dokumentu księgowego o równoważnej wartości dowodowej w całości, tj. zarówno w części kwalifikowalnej jak i niekwalifikowalnej</w:t>
      </w:r>
      <w:r w:rsidR="00272054" w:rsidRPr="00B81671">
        <w:rPr>
          <w:rFonts w:ascii="Arial" w:hAnsi="Arial" w:cs="Arial"/>
        </w:rPr>
        <w:t>,</w:t>
      </w:r>
    </w:p>
    <w:p w:rsidR="00132869" w:rsidRPr="00B81671" w:rsidRDefault="00C65CDF"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c) </w:t>
      </w:r>
      <w:r w:rsidR="00272054" w:rsidRPr="00B81671">
        <w:rPr>
          <w:rFonts w:ascii="Arial" w:hAnsi="Arial" w:cs="Arial"/>
        </w:rPr>
        <w:t>umową, porozumieniem lub innym dokumentem potwierdzającym wzajemne zobowiązanie stron związane z realizacją dostaw, usług lub robót budowlanych,</w:t>
      </w:r>
    </w:p>
    <w:p w:rsidR="00646752" w:rsidRPr="00B81671" w:rsidRDefault="00646752"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d) kopiami protokołów odbioru dokumentujących wykonanie robót, dostaw, usług lub innych dokumentów potwierdzających spełnienie świadczenia pomiędzy stronami </w:t>
      </w:r>
      <w:r w:rsidR="00A15602" w:rsidRPr="00B81671">
        <w:rPr>
          <w:rFonts w:ascii="Arial" w:hAnsi="Arial" w:cs="Arial"/>
        </w:rPr>
        <w:t>(w przypadku, gdy obowiązek protokolarnego odbioru nie wynika z umowy z wykonawcą oraz świadczenie dotyczy drobnych zakupów możliwe jest potwierdzenie jego spełnienia pomiędzy stronami poprzez właściwą adnotację zamawiającego na fakturze potwierdzającą odbiór towaru),</w:t>
      </w:r>
    </w:p>
    <w:p w:rsidR="00A15602" w:rsidRPr="00B81671" w:rsidRDefault="00A15602" w:rsidP="009E7AB2">
      <w:pPr>
        <w:pStyle w:val="Akapitzlist"/>
        <w:spacing w:before="120" w:after="120" w:line="360" w:lineRule="auto"/>
        <w:ind w:left="360" w:hanging="357"/>
        <w:jc w:val="both"/>
        <w:rPr>
          <w:rFonts w:ascii="Arial" w:hAnsi="Arial" w:cs="Arial"/>
        </w:rPr>
      </w:pPr>
      <w:r w:rsidRPr="00B81671">
        <w:rPr>
          <w:rFonts w:ascii="Arial" w:hAnsi="Arial" w:cs="Arial"/>
        </w:rPr>
        <w:t>e) w przypadku środków trwałych i robót</w:t>
      </w:r>
      <w:r w:rsidR="00CB0A52" w:rsidRPr="00B81671">
        <w:rPr>
          <w:rFonts w:ascii="Arial" w:hAnsi="Arial" w:cs="Arial"/>
        </w:rPr>
        <w:t xml:space="preserve"> budowlanych, poza wskazanymi w lit. a) - d):</w:t>
      </w:r>
    </w:p>
    <w:p w:rsidR="00132869" w:rsidRPr="00B81671" w:rsidRDefault="00132869" w:rsidP="00137BC9">
      <w:pPr>
        <w:pStyle w:val="Akapitzlist"/>
        <w:numPr>
          <w:ilvl w:val="1"/>
          <w:numId w:val="21"/>
        </w:numPr>
        <w:spacing w:before="120" w:after="120" w:line="360" w:lineRule="auto"/>
        <w:jc w:val="both"/>
        <w:rPr>
          <w:rFonts w:ascii="Arial" w:hAnsi="Arial" w:cs="Arial"/>
        </w:rPr>
      </w:pPr>
      <w:r w:rsidRPr="00B81671">
        <w:rPr>
          <w:rFonts w:ascii="Arial" w:hAnsi="Arial" w:cs="Arial"/>
        </w:rPr>
        <w:t xml:space="preserve">dokumentem przyjęcia środka trwałego </w:t>
      </w:r>
      <w:r w:rsidR="00080A0C" w:rsidRPr="00B81671">
        <w:rPr>
          <w:rFonts w:ascii="Arial" w:hAnsi="Arial" w:cs="Arial"/>
        </w:rPr>
        <w:t xml:space="preserve">oraz wartości niematerialnych i prawnych </w:t>
      </w:r>
      <w:r w:rsidRPr="00B81671">
        <w:rPr>
          <w:rFonts w:ascii="Arial" w:hAnsi="Arial" w:cs="Arial"/>
        </w:rPr>
        <w:t>(OT)</w:t>
      </w:r>
      <w:r w:rsidR="00CB0A52" w:rsidRPr="00B81671">
        <w:rPr>
          <w:rFonts w:ascii="Arial" w:hAnsi="Arial" w:cs="Arial"/>
        </w:rPr>
        <w:t>,</w:t>
      </w:r>
      <w:r w:rsidR="00080A0C" w:rsidRPr="00B81671">
        <w:rPr>
          <w:rFonts w:ascii="Arial" w:hAnsi="Arial" w:cs="Arial"/>
        </w:rPr>
        <w:t xml:space="preserve"> </w:t>
      </w:r>
      <w:r w:rsidR="00AA0D56" w:rsidRPr="00B81671">
        <w:rPr>
          <w:rFonts w:ascii="Arial" w:hAnsi="Arial" w:cs="Arial"/>
        </w:rPr>
        <w:t>(jeśli dotyczy)</w:t>
      </w:r>
      <w:r w:rsidR="00C67786" w:rsidRPr="00B81671">
        <w:rPr>
          <w:rFonts w:ascii="Arial" w:hAnsi="Arial" w:cs="Arial"/>
        </w:rPr>
        <w:t>,</w:t>
      </w:r>
    </w:p>
    <w:p w:rsidR="00103AA7" w:rsidRPr="00B81671" w:rsidRDefault="00CB0A52" w:rsidP="00137BC9">
      <w:pPr>
        <w:pStyle w:val="Akapitzlist"/>
        <w:numPr>
          <w:ilvl w:val="1"/>
          <w:numId w:val="21"/>
        </w:numPr>
        <w:spacing w:before="120" w:after="120" w:line="360" w:lineRule="auto"/>
        <w:jc w:val="both"/>
        <w:rPr>
          <w:rFonts w:ascii="Arial" w:hAnsi="Arial" w:cs="Arial"/>
        </w:rPr>
      </w:pPr>
      <w:r w:rsidRPr="00B81671">
        <w:rPr>
          <w:rFonts w:ascii="Arial" w:hAnsi="Arial" w:cs="Arial"/>
        </w:rPr>
        <w:t xml:space="preserve">w przypadku zakupu nowego środka trwałego należy udokumentować fakt, </w:t>
      </w:r>
      <w:r w:rsidR="00103AA7" w:rsidRPr="00B81671">
        <w:rPr>
          <w:rFonts w:ascii="Arial" w:hAnsi="Arial" w:cs="Arial"/>
        </w:rPr>
        <w:t>że środek ten jest fabrycznie nowy. Warunek ten jest spełniony</w:t>
      </w:r>
      <w:r w:rsidR="007A523D" w:rsidRPr="00B81671">
        <w:rPr>
          <w:rFonts w:ascii="Arial" w:hAnsi="Arial" w:cs="Arial"/>
        </w:rPr>
        <w:t xml:space="preserve">, </w:t>
      </w:r>
      <w:r w:rsidR="00103AA7" w:rsidRPr="00B81671">
        <w:rPr>
          <w:rFonts w:ascii="Arial" w:hAnsi="Arial" w:cs="Arial"/>
        </w:rPr>
        <w:t>gdy</w:t>
      </w:r>
      <w:r w:rsidR="008F0E09" w:rsidRPr="00B81671">
        <w:rPr>
          <w:rFonts w:ascii="Arial" w:hAnsi="Arial" w:cs="Arial"/>
        </w:rPr>
        <w:t xml:space="preserve"> zastosowane zostanie jedno z poniższych rozwiązań</w:t>
      </w:r>
      <w:r w:rsidR="00103AA7" w:rsidRPr="00B81671">
        <w:rPr>
          <w:rFonts w:ascii="Arial" w:hAnsi="Arial" w:cs="Arial"/>
        </w:rPr>
        <w:t>:</w:t>
      </w:r>
    </w:p>
    <w:p w:rsidR="00103AA7" w:rsidRPr="00B81671" w:rsidRDefault="00103AA7" w:rsidP="009E7AB2">
      <w:pPr>
        <w:pStyle w:val="Akapitzlist"/>
        <w:spacing w:before="120" w:after="120" w:line="360" w:lineRule="auto"/>
        <w:jc w:val="both"/>
        <w:rPr>
          <w:rFonts w:ascii="Arial" w:hAnsi="Arial" w:cs="Arial"/>
        </w:rPr>
      </w:pPr>
      <w:r w:rsidRPr="00B81671">
        <w:rPr>
          <w:rFonts w:ascii="Arial" w:hAnsi="Arial" w:cs="Arial"/>
        </w:rPr>
        <w:t xml:space="preserve">- </w:t>
      </w:r>
      <w:r w:rsidR="00336ADA" w:rsidRPr="00B81671">
        <w:rPr>
          <w:rFonts w:ascii="Arial" w:hAnsi="Arial" w:cs="Arial"/>
        </w:rPr>
        <w:t xml:space="preserve">umowa podpisana z dostawcą </w:t>
      </w:r>
      <w:r w:rsidRPr="00B81671">
        <w:rPr>
          <w:rFonts w:ascii="Arial" w:hAnsi="Arial" w:cs="Arial"/>
        </w:rPr>
        <w:t xml:space="preserve">tego </w:t>
      </w:r>
      <w:r w:rsidR="00336ADA" w:rsidRPr="00B81671">
        <w:rPr>
          <w:rFonts w:ascii="Arial" w:hAnsi="Arial" w:cs="Arial"/>
        </w:rPr>
        <w:t xml:space="preserve">środka </w:t>
      </w:r>
      <w:r w:rsidR="008F0E09" w:rsidRPr="00B81671">
        <w:rPr>
          <w:rFonts w:ascii="Arial" w:hAnsi="Arial" w:cs="Arial"/>
        </w:rPr>
        <w:t xml:space="preserve">trwałego </w:t>
      </w:r>
      <w:r w:rsidR="00336ADA" w:rsidRPr="00B81671">
        <w:rPr>
          <w:rFonts w:ascii="Arial" w:hAnsi="Arial" w:cs="Arial"/>
        </w:rPr>
        <w:t xml:space="preserve">zawiera zapis </w:t>
      </w:r>
      <w:r w:rsidR="007A523D" w:rsidRPr="00B81671">
        <w:rPr>
          <w:rFonts w:ascii="Arial" w:hAnsi="Arial" w:cs="Arial"/>
        </w:rPr>
        <w:t>jednoznacznie wskazujący, że nabywany środek trwały jest fabrycznie nowy</w:t>
      </w:r>
      <w:r w:rsidRPr="00B81671">
        <w:rPr>
          <w:rFonts w:ascii="Arial" w:hAnsi="Arial" w:cs="Arial"/>
        </w:rPr>
        <w:t>,</w:t>
      </w:r>
    </w:p>
    <w:p w:rsidR="000D309A" w:rsidRPr="00B81671" w:rsidRDefault="00103AA7" w:rsidP="009E7AB2">
      <w:pPr>
        <w:pStyle w:val="Akapitzlist"/>
        <w:spacing w:before="120" w:after="120" w:line="360" w:lineRule="auto"/>
        <w:jc w:val="both"/>
        <w:rPr>
          <w:rFonts w:ascii="Arial" w:hAnsi="Arial" w:cs="Arial"/>
        </w:rPr>
      </w:pPr>
      <w:r w:rsidRPr="00B81671">
        <w:rPr>
          <w:rFonts w:ascii="Arial" w:hAnsi="Arial" w:cs="Arial"/>
        </w:rPr>
        <w:t>-</w:t>
      </w:r>
      <w:r w:rsidR="008F0E09" w:rsidRPr="00B81671">
        <w:rPr>
          <w:rFonts w:ascii="Arial" w:hAnsi="Arial" w:cs="Arial"/>
        </w:rPr>
        <w:t xml:space="preserve"> </w:t>
      </w:r>
      <w:r w:rsidRPr="00B81671">
        <w:rPr>
          <w:rFonts w:ascii="Arial" w:hAnsi="Arial" w:cs="Arial"/>
        </w:rPr>
        <w:t xml:space="preserve">do dokumentacji </w:t>
      </w:r>
      <w:r w:rsidR="00336ADA" w:rsidRPr="00B81671">
        <w:rPr>
          <w:rFonts w:ascii="Arial" w:hAnsi="Arial" w:cs="Arial"/>
        </w:rPr>
        <w:t>dołącz</w:t>
      </w:r>
      <w:r w:rsidR="008F0E09" w:rsidRPr="00B81671">
        <w:rPr>
          <w:rFonts w:ascii="Arial" w:hAnsi="Arial" w:cs="Arial"/>
        </w:rPr>
        <w:t>ono</w:t>
      </w:r>
      <w:r w:rsidR="00336ADA" w:rsidRPr="00B81671">
        <w:rPr>
          <w:rFonts w:ascii="Arial" w:hAnsi="Arial" w:cs="Arial"/>
        </w:rPr>
        <w:t xml:space="preserve"> oświadczeni</w:t>
      </w:r>
      <w:r w:rsidRPr="00B81671">
        <w:rPr>
          <w:rFonts w:ascii="Arial" w:hAnsi="Arial" w:cs="Arial"/>
        </w:rPr>
        <w:t>e</w:t>
      </w:r>
      <w:r w:rsidR="00336ADA" w:rsidRPr="00B81671">
        <w:rPr>
          <w:rFonts w:ascii="Arial" w:hAnsi="Arial" w:cs="Arial"/>
        </w:rPr>
        <w:t xml:space="preserve"> </w:t>
      </w:r>
      <w:r w:rsidR="008F0E09" w:rsidRPr="00B81671">
        <w:rPr>
          <w:rFonts w:ascii="Arial" w:hAnsi="Arial" w:cs="Arial"/>
        </w:rPr>
        <w:t xml:space="preserve">beneficjenta </w:t>
      </w:r>
      <w:r w:rsidR="00336ADA" w:rsidRPr="00B81671">
        <w:rPr>
          <w:rFonts w:ascii="Arial" w:hAnsi="Arial" w:cs="Arial"/>
        </w:rPr>
        <w:t>potwierdzające, że nabyty środek trwały jest fabrycznie nowy</w:t>
      </w:r>
      <w:r w:rsidR="000D309A" w:rsidRPr="00B81671">
        <w:rPr>
          <w:rFonts w:ascii="Arial" w:hAnsi="Arial" w:cs="Arial"/>
        </w:rPr>
        <w:t>,</w:t>
      </w:r>
    </w:p>
    <w:p w:rsidR="00E22797" w:rsidRPr="00B81671" w:rsidRDefault="00E22797" w:rsidP="00137BC9">
      <w:pPr>
        <w:pStyle w:val="Akapitzlist"/>
        <w:numPr>
          <w:ilvl w:val="1"/>
          <w:numId w:val="21"/>
        </w:numPr>
        <w:spacing w:before="120" w:after="120" w:line="360" w:lineRule="auto"/>
        <w:jc w:val="both"/>
        <w:rPr>
          <w:rFonts w:ascii="Arial" w:hAnsi="Arial" w:cs="Arial"/>
        </w:rPr>
      </w:pPr>
      <w:r w:rsidRPr="00B81671">
        <w:rPr>
          <w:rFonts w:ascii="Arial" w:hAnsi="Arial" w:cs="Arial"/>
        </w:rPr>
        <w:t>w przypadku zakupu używanych środków trwałych:</w:t>
      </w:r>
    </w:p>
    <w:p w:rsidR="00E22797" w:rsidRPr="00B81671" w:rsidRDefault="00E22797" w:rsidP="009E7AB2">
      <w:pPr>
        <w:pStyle w:val="Akapitzlist"/>
        <w:spacing w:before="120" w:after="120" w:line="360" w:lineRule="auto"/>
        <w:jc w:val="both"/>
        <w:rPr>
          <w:rFonts w:ascii="Arial" w:hAnsi="Arial" w:cs="Arial"/>
        </w:rPr>
      </w:pPr>
      <w:r w:rsidRPr="00B81671">
        <w:rPr>
          <w:rFonts w:ascii="Arial" w:hAnsi="Arial" w:cs="Arial"/>
        </w:rPr>
        <w:lastRenderedPageBreak/>
        <w:t xml:space="preserve">- oświadczeniem podmiotu zbywającego, </w:t>
      </w:r>
      <w:r w:rsidR="0061474F" w:rsidRPr="00B81671">
        <w:rPr>
          <w:rFonts w:ascii="Arial" w:hAnsi="Arial" w:cs="Arial"/>
        </w:rPr>
        <w:t>ż</w:t>
      </w:r>
      <w:r w:rsidRPr="00B81671">
        <w:rPr>
          <w:rFonts w:ascii="Arial" w:hAnsi="Arial" w:cs="Arial"/>
        </w:rPr>
        <w:t xml:space="preserve">e w okresie 7 lat (w przypadku nieruchomości 10 lat) poprzedzających datę nabycia środka trwałego nie był on finansowany ze środków unijnych ani z krajowych środków pomocy publicznej lub pomocy </w:t>
      </w:r>
      <w:r w:rsidRPr="00B81671">
        <w:rPr>
          <w:rFonts w:ascii="Arial" w:hAnsi="Arial" w:cs="Arial"/>
          <w:i/>
        </w:rPr>
        <w:t xml:space="preserve">de </w:t>
      </w:r>
      <w:proofErr w:type="spellStart"/>
      <w:r w:rsidRPr="00B81671">
        <w:rPr>
          <w:rFonts w:ascii="Arial" w:hAnsi="Arial" w:cs="Arial"/>
          <w:i/>
        </w:rPr>
        <w:t>minimis</w:t>
      </w:r>
      <w:proofErr w:type="spellEnd"/>
      <w:r w:rsidRPr="00B81671">
        <w:rPr>
          <w:rFonts w:ascii="Arial" w:hAnsi="Arial" w:cs="Arial"/>
        </w:rPr>
        <w:t xml:space="preserve">, </w:t>
      </w:r>
    </w:p>
    <w:p w:rsidR="00E22797" w:rsidRPr="00B81671" w:rsidRDefault="00684817" w:rsidP="009E7AB2">
      <w:pPr>
        <w:pStyle w:val="Akapitzlist"/>
        <w:spacing w:before="120" w:after="120" w:line="360" w:lineRule="auto"/>
        <w:jc w:val="both"/>
        <w:rPr>
          <w:rFonts w:ascii="Arial" w:hAnsi="Arial" w:cs="Arial"/>
        </w:rPr>
      </w:pPr>
      <w:r w:rsidRPr="00B81671">
        <w:rPr>
          <w:rFonts w:ascii="Arial" w:hAnsi="Arial" w:cs="Arial"/>
        </w:rPr>
        <w:t>- oświadczeniem beneficjenta, że cena używanego środka trwałego nie przekracza jego wartości rynkowej i jest niższa niż cena podobnego, nowego środka trwałego,</w:t>
      </w:r>
    </w:p>
    <w:p w:rsidR="00684817" w:rsidRPr="00B81671" w:rsidRDefault="00684817" w:rsidP="009E7AB2">
      <w:pPr>
        <w:pStyle w:val="Akapitzlist"/>
        <w:spacing w:before="120" w:after="120" w:line="360" w:lineRule="auto"/>
        <w:jc w:val="both"/>
        <w:rPr>
          <w:rFonts w:ascii="Arial" w:hAnsi="Arial" w:cs="Arial"/>
        </w:rPr>
      </w:pPr>
      <w:r w:rsidRPr="00B81671">
        <w:rPr>
          <w:rFonts w:ascii="Arial" w:hAnsi="Arial" w:cs="Arial"/>
        </w:rPr>
        <w:t>- deklaracją sprzedającego określającą pochodzenie danego używanego środka trwałego,</w:t>
      </w:r>
    </w:p>
    <w:p w:rsidR="007A523D" w:rsidRPr="00B81671" w:rsidRDefault="001163F6" w:rsidP="009E7AB2">
      <w:pPr>
        <w:spacing w:before="120" w:after="120" w:line="360" w:lineRule="auto"/>
        <w:ind w:left="357" w:hanging="215"/>
        <w:jc w:val="both"/>
      </w:pPr>
      <w:r w:rsidRPr="00B81671">
        <w:rPr>
          <w:rFonts w:ascii="Arial" w:hAnsi="Arial" w:cs="Arial"/>
        </w:rPr>
        <w:t xml:space="preserve">f) </w:t>
      </w:r>
      <w:r w:rsidR="000D309A" w:rsidRPr="00B81671">
        <w:rPr>
          <w:rFonts w:ascii="Arial" w:hAnsi="Arial" w:cs="Arial"/>
        </w:rPr>
        <w:t>w przypadku analiz, ekspertyz</w:t>
      </w:r>
      <w:r w:rsidR="00F27D09" w:rsidRPr="00B81671">
        <w:rPr>
          <w:rFonts w:ascii="Arial" w:hAnsi="Arial" w:cs="Arial"/>
        </w:rPr>
        <w:t>, badań,</w:t>
      </w:r>
      <w:r w:rsidR="000D309A" w:rsidRPr="00B81671">
        <w:rPr>
          <w:rFonts w:ascii="Arial" w:hAnsi="Arial" w:cs="Arial"/>
        </w:rPr>
        <w:t xml:space="preserve"> opracowań</w:t>
      </w:r>
      <w:r w:rsidR="00F27D09" w:rsidRPr="00B81671">
        <w:rPr>
          <w:rFonts w:ascii="Arial" w:hAnsi="Arial" w:cs="Arial"/>
        </w:rPr>
        <w:t xml:space="preserve"> itp., </w:t>
      </w:r>
      <w:r w:rsidR="00684817" w:rsidRPr="00B81671">
        <w:rPr>
          <w:rFonts w:ascii="Arial" w:hAnsi="Arial" w:cs="Arial"/>
        </w:rPr>
        <w:t>poza dokumentami wskazanymi w lit. a) - d)</w:t>
      </w:r>
      <w:r w:rsidRPr="00B81671">
        <w:rPr>
          <w:rFonts w:ascii="Arial" w:hAnsi="Arial" w:cs="Arial"/>
        </w:rPr>
        <w:t xml:space="preserve"> beneficjent musi być w posiadaniu dokumentu będącego wynikiem zleconej </w:t>
      </w:r>
      <w:r w:rsidR="00D02883" w:rsidRPr="00B81671">
        <w:rPr>
          <w:rFonts w:ascii="Arial" w:hAnsi="Arial" w:cs="Arial"/>
        </w:rPr>
        <w:t>usługi</w:t>
      </w:r>
      <w:r w:rsidR="00684817" w:rsidRPr="00B81671">
        <w:rPr>
          <w:rFonts w:ascii="Arial" w:hAnsi="Arial" w:cs="Arial"/>
        </w:rPr>
        <w:t xml:space="preserve">, </w:t>
      </w:r>
      <w:r w:rsidR="00D02883" w:rsidRPr="00B81671">
        <w:rPr>
          <w:rFonts w:ascii="Arial" w:hAnsi="Arial" w:cs="Arial"/>
        </w:rPr>
        <w:t>jednakże decyzja o konieczności załączenia opracowania do wniosku o płatność podejmowana jest przez IP</w:t>
      </w:r>
      <w:r w:rsidR="003F6B74" w:rsidRPr="00B81671">
        <w:rPr>
          <w:rFonts w:ascii="Arial" w:hAnsi="Arial" w:cs="Arial"/>
        </w:rPr>
        <w:t xml:space="preserve"> POPC</w:t>
      </w:r>
      <w:r w:rsidR="00D02883" w:rsidRPr="00B81671">
        <w:rPr>
          <w:rFonts w:ascii="Arial" w:hAnsi="Arial" w:cs="Arial"/>
        </w:rPr>
        <w:t xml:space="preserve"> w indywidualnych przypadkach. W </w:t>
      </w:r>
      <w:r w:rsidR="003F6B74" w:rsidRPr="00B81671">
        <w:rPr>
          <w:rFonts w:ascii="Arial" w:hAnsi="Arial" w:cs="Arial"/>
        </w:rPr>
        <w:t xml:space="preserve">sytuacji gdy zajdzie konieczność </w:t>
      </w:r>
      <w:r w:rsidR="00D02883" w:rsidRPr="00B81671">
        <w:rPr>
          <w:rFonts w:ascii="Arial" w:hAnsi="Arial" w:cs="Arial"/>
        </w:rPr>
        <w:t>załączenia dokumentów beneficjent zostanie o tym poinformowany,</w:t>
      </w:r>
    </w:p>
    <w:p w:rsidR="007142F7" w:rsidRPr="00B81671" w:rsidRDefault="00684817" w:rsidP="009E7AB2">
      <w:pPr>
        <w:pStyle w:val="Akapitzlist"/>
        <w:spacing w:before="120" w:after="120" w:line="360" w:lineRule="auto"/>
        <w:ind w:left="360" w:hanging="218"/>
        <w:jc w:val="both"/>
        <w:rPr>
          <w:rFonts w:ascii="Arial" w:hAnsi="Arial" w:cs="Arial"/>
        </w:rPr>
      </w:pPr>
      <w:r w:rsidRPr="00B81671">
        <w:rPr>
          <w:rFonts w:ascii="Arial" w:hAnsi="Arial" w:cs="Arial"/>
        </w:rPr>
        <w:t>g</w:t>
      </w:r>
      <w:r w:rsidR="007A523D" w:rsidRPr="00B81671">
        <w:rPr>
          <w:rFonts w:ascii="Arial" w:hAnsi="Arial" w:cs="Arial"/>
        </w:rPr>
        <w:t xml:space="preserve">) </w:t>
      </w:r>
      <w:r w:rsidR="00132869" w:rsidRPr="00B81671">
        <w:rPr>
          <w:rFonts w:ascii="Arial" w:hAnsi="Arial" w:cs="Arial"/>
        </w:rPr>
        <w:t>w przypadku zakupu materiałów informacyjno-promocyjnych</w:t>
      </w:r>
      <w:r w:rsidRPr="00B81671">
        <w:rPr>
          <w:rFonts w:ascii="Arial" w:hAnsi="Arial" w:cs="Arial"/>
        </w:rPr>
        <w:t>, promocyjnych, poza dokumentami wskazanymi w lit. a) - d)</w:t>
      </w:r>
      <w:r w:rsidR="00132869" w:rsidRPr="00B81671">
        <w:rPr>
          <w:rFonts w:ascii="Arial" w:hAnsi="Arial" w:cs="Arial"/>
        </w:rPr>
        <w:t xml:space="preserve">: </w:t>
      </w:r>
    </w:p>
    <w:p w:rsidR="00132869" w:rsidRPr="00B81671" w:rsidRDefault="00132869" w:rsidP="00137BC9">
      <w:pPr>
        <w:pStyle w:val="Akapitzlist"/>
        <w:numPr>
          <w:ilvl w:val="1"/>
          <w:numId w:val="47"/>
        </w:numPr>
        <w:spacing w:before="120" w:after="120" w:line="360" w:lineRule="auto"/>
        <w:jc w:val="both"/>
        <w:rPr>
          <w:rFonts w:ascii="Arial" w:hAnsi="Arial" w:cs="Arial"/>
        </w:rPr>
      </w:pPr>
      <w:r w:rsidRPr="00B81671">
        <w:rPr>
          <w:rFonts w:ascii="Arial" w:hAnsi="Arial" w:cs="Arial"/>
        </w:rPr>
        <w:t>kopiami, zdjęciami</w:t>
      </w:r>
      <w:r w:rsidR="00B54EE8" w:rsidRPr="00B81671">
        <w:rPr>
          <w:rFonts w:ascii="Arial" w:hAnsi="Arial" w:cs="Arial"/>
        </w:rPr>
        <w:t xml:space="preserve"> lub inaczej utrwalonymi odpowiednimi dla danego typu materiału informacyjnego sposobami </w:t>
      </w:r>
      <w:r w:rsidR="00791621" w:rsidRPr="00B81671">
        <w:rPr>
          <w:rFonts w:ascii="Arial" w:hAnsi="Arial" w:cs="Arial"/>
        </w:rPr>
        <w:t>wykazania zakupu materiałów</w:t>
      </w:r>
      <w:r w:rsidR="00C67786" w:rsidRPr="00B81671">
        <w:rPr>
          <w:rFonts w:ascii="Arial" w:hAnsi="Arial" w:cs="Arial"/>
        </w:rPr>
        <w:t>,</w:t>
      </w:r>
    </w:p>
    <w:p w:rsidR="007142F7" w:rsidRPr="00B81671" w:rsidRDefault="007142F7" w:rsidP="00137BC9">
      <w:pPr>
        <w:pStyle w:val="Akapitzlist"/>
        <w:numPr>
          <w:ilvl w:val="1"/>
          <w:numId w:val="47"/>
        </w:numPr>
        <w:spacing w:before="120" w:after="120" w:line="360" w:lineRule="auto"/>
        <w:jc w:val="both"/>
        <w:rPr>
          <w:rFonts w:ascii="Arial" w:hAnsi="Arial" w:cs="Arial"/>
        </w:rPr>
      </w:pPr>
      <w:r w:rsidRPr="00B81671">
        <w:rPr>
          <w:rFonts w:ascii="Arial" w:hAnsi="Arial" w:cs="Arial"/>
        </w:rPr>
        <w:t xml:space="preserve">umową przeniesienia </w:t>
      </w:r>
      <w:r w:rsidR="00080A0C" w:rsidRPr="00B81671">
        <w:rPr>
          <w:rFonts w:ascii="Arial" w:hAnsi="Arial" w:cs="Arial"/>
        </w:rPr>
        <w:t>autorskich praw majątkowych i praw wykonywania praw zależnych do projektów materiałó</w:t>
      </w:r>
      <w:r w:rsidR="009D6562" w:rsidRPr="00B81671">
        <w:rPr>
          <w:rFonts w:ascii="Arial" w:hAnsi="Arial" w:cs="Arial"/>
        </w:rPr>
        <w:t>w</w:t>
      </w:r>
      <w:r w:rsidR="00080A0C" w:rsidRPr="00B81671">
        <w:rPr>
          <w:rFonts w:ascii="Arial" w:hAnsi="Arial" w:cs="Arial"/>
        </w:rPr>
        <w:t xml:space="preserve"> informacyjno-promocyjnych na polach eksploatacji w zakresie niezbędnym do korzystania z tych materiałów</w:t>
      </w:r>
      <w:r w:rsidR="00D02883" w:rsidRPr="00B81671">
        <w:rPr>
          <w:rFonts w:ascii="Arial" w:hAnsi="Arial" w:cs="Arial"/>
        </w:rPr>
        <w:t xml:space="preserve"> (jeśli dotyczy)</w:t>
      </w:r>
      <w:r w:rsidR="00684817" w:rsidRPr="00B81671">
        <w:rPr>
          <w:rFonts w:ascii="Arial" w:hAnsi="Arial" w:cs="Arial"/>
        </w:rPr>
        <w:t>,</w:t>
      </w:r>
      <w:r w:rsidR="00080A0C" w:rsidRPr="00B81671">
        <w:rPr>
          <w:rFonts w:ascii="Arial" w:hAnsi="Arial" w:cs="Arial"/>
        </w:rPr>
        <w:t xml:space="preserve"> </w:t>
      </w:r>
    </w:p>
    <w:p w:rsidR="00132869" w:rsidRPr="00B81671" w:rsidRDefault="001D1819" w:rsidP="009E7AB2">
      <w:pPr>
        <w:pStyle w:val="Akapitzlist"/>
        <w:spacing w:before="120" w:after="120" w:line="360" w:lineRule="auto"/>
        <w:ind w:left="360" w:hanging="218"/>
        <w:jc w:val="both"/>
        <w:rPr>
          <w:rFonts w:ascii="Arial" w:hAnsi="Arial" w:cs="Arial"/>
        </w:rPr>
      </w:pPr>
      <w:r w:rsidRPr="00B81671">
        <w:rPr>
          <w:rFonts w:ascii="Arial" w:hAnsi="Arial" w:cs="Arial"/>
        </w:rPr>
        <w:t>h</w:t>
      </w:r>
      <w:r w:rsidR="00132869" w:rsidRPr="00B81671">
        <w:rPr>
          <w:rFonts w:ascii="Arial" w:hAnsi="Arial" w:cs="Arial"/>
        </w:rPr>
        <w:t xml:space="preserve">) </w:t>
      </w:r>
      <w:r w:rsidR="00157A42" w:rsidRPr="00B81671">
        <w:rPr>
          <w:rFonts w:ascii="Arial" w:hAnsi="Arial" w:cs="Arial"/>
        </w:rPr>
        <w:t xml:space="preserve">w </w:t>
      </w:r>
      <w:r w:rsidR="00132869" w:rsidRPr="00B81671">
        <w:rPr>
          <w:rFonts w:ascii="Arial" w:hAnsi="Arial" w:cs="Arial"/>
        </w:rPr>
        <w:t>przypadku szkole</w:t>
      </w:r>
      <w:r w:rsidR="00284CBD" w:rsidRPr="00B81671">
        <w:rPr>
          <w:rFonts w:ascii="Arial" w:hAnsi="Arial" w:cs="Arial"/>
        </w:rPr>
        <w:t>ń</w:t>
      </w:r>
      <w:r w:rsidR="00540B91" w:rsidRPr="00B81671">
        <w:rPr>
          <w:rFonts w:ascii="Arial" w:hAnsi="Arial" w:cs="Arial"/>
        </w:rPr>
        <w:t>/warsztatów/seminariów/konferencji</w:t>
      </w:r>
      <w:r w:rsidRPr="00B81671">
        <w:rPr>
          <w:rFonts w:ascii="Arial" w:hAnsi="Arial" w:cs="Arial"/>
        </w:rPr>
        <w:t>, poza dokumentami wskazanymi w lit. a) - d)</w:t>
      </w:r>
      <w:r w:rsidR="00A34C99" w:rsidRPr="00B81671">
        <w:rPr>
          <w:rFonts w:ascii="Arial" w:hAnsi="Arial" w:cs="Arial"/>
        </w:rPr>
        <w:t>:</w:t>
      </w:r>
      <w:r w:rsidR="007D733F" w:rsidRPr="00B81671">
        <w:rPr>
          <w:rFonts w:ascii="Arial" w:hAnsi="Arial" w:cs="Arial"/>
        </w:rPr>
        <w:t xml:space="preserve"> </w:t>
      </w:r>
    </w:p>
    <w:p w:rsidR="00132869" w:rsidRPr="00B81671" w:rsidRDefault="007D733F" w:rsidP="009E7AB2">
      <w:pPr>
        <w:pStyle w:val="Akapitzlist"/>
        <w:ind w:hanging="294"/>
        <w:rPr>
          <w:rFonts w:ascii="Arial" w:hAnsi="Arial" w:cs="Arial"/>
          <w:lang w:eastAsia="pl-PL"/>
        </w:rPr>
      </w:pPr>
      <w:r w:rsidRPr="00B81671">
        <w:rPr>
          <w:rFonts w:ascii="Arial" w:hAnsi="Arial" w:cs="Arial"/>
          <w:lang w:eastAsia="pl-PL"/>
        </w:rPr>
        <w:t xml:space="preserve">i) </w:t>
      </w:r>
      <w:r w:rsidR="00132869" w:rsidRPr="00B81671">
        <w:rPr>
          <w:rFonts w:ascii="Arial" w:hAnsi="Arial" w:cs="Arial"/>
          <w:lang w:eastAsia="pl-PL"/>
        </w:rPr>
        <w:t>programem szkolenia</w:t>
      </w:r>
      <w:r w:rsidR="00540B91" w:rsidRPr="00B81671">
        <w:rPr>
          <w:rFonts w:ascii="Arial" w:hAnsi="Arial" w:cs="Arial"/>
          <w:lang w:eastAsia="pl-PL"/>
        </w:rPr>
        <w:t>/warsztatu/seminarium/konferencji</w:t>
      </w:r>
      <w:r w:rsidR="00E03004" w:rsidRPr="00B81671">
        <w:rPr>
          <w:rFonts w:ascii="Arial" w:hAnsi="Arial" w:cs="Arial"/>
          <w:lang w:eastAsia="pl-PL"/>
        </w:rPr>
        <w:t>,</w:t>
      </w:r>
    </w:p>
    <w:p w:rsidR="00132869" w:rsidRPr="00B81671" w:rsidRDefault="00132869" w:rsidP="00137BC9">
      <w:pPr>
        <w:numPr>
          <w:ilvl w:val="0"/>
          <w:numId w:val="50"/>
        </w:numPr>
        <w:spacing w:before="120" w:after="120" w:line="360" w:lineRule="auto"/>
        <w:ind w:hanging="76"/>
        <w:jc w:val="both"/>
        <w:rPr>
          <w:rFonts w:ascii="Arial" w:eastAsia="Times New Roman" w:hAnsi="Arial" w:cs="Arial"/>
          <w:lang w:eastAsia="pl-PL"/>
        </w:rPr>
      </w:pPr>
      <w:r w:rsidRPr="00B81671">
        <w:rPr>
          <w:rFonts w:ascii="Arial" w:eastAsia="Times New Roman" w:hAnsi="Arial" w:cs="Arial"/>
          <w:lang w:eastAsia="pl-PL"/>
        </w:rPr>
        <w:t>listami obecności podpisanymi przez uczestników szkolenia</w:t>
      </w:r>
      <w:r w:rsidR="00540B91" w:rsidRPr="00B81671">
        <w:rPr>
          <w:rFonts w:ascii="Arial" w:eastAsia="Times New Roman" w:hAnsi="Arial" w:cs="Arial"/>
          <w:lang w:eastAsia="pl-PL"/>
        </w:rPr>
        <w:t>/warsztatów/seminariów/konferencji</w:t>
      </w:r>
      <w:r w:rsidR="001D1819" w:rsidRPr="00B81671">
        <w:rPr>
          <w:rFonts w:ascii="Arial" w:eastAsia="Times New Roman" w:hAnsi="Arial" w:cs="Arial"/>
          <w:lang w:eastAsia="pl-PL"/>
        </w:rPr>
        <w:t xml:space="preserve"> (w sytuacji, gdy beneficjent jest organizatorem)</w:t>
      </w:r>
      <w:r w:rsidR="00E03004" w:rsidRPr="00B81671">
        <w:rPr>
          <w:rFonts w:ascii="Arial" w:eastAsia="Times New Roman" w:hAnsi="Arial" w:cs="Arial"/>
          <w:lang w:eastAsia="pl-PL"/>
        </w:rPr>
        <w:t>,</w:t>
      </w:r>
    </w:p>
    <w:p w:rsidR="00132869" w:rsidRPr="00B81671" w:rsidRDefault="00132869" w:rsidP="00137BC9">
      <w:pPr>
        <w:numPr>
          <w:ilvl w:val="0"/>
          <w:numId w:val="50"/>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kopiami </w:t>
      </w:r>
      <w:r w:rsidR="000E1269" w:rsidRPr="00B81671">
        <w:rPr>
          <w:rFonts w:ascii="Arial" w:eastAsia="Times New Roman" w:hAnsi="Arial" w:cs="Arial"/>
          <w:lang w:eastAsia="pl-PL"/>
        </w:rPr>
        <w:t>w wersji papierowej lub wydruk</w:t>
      </w:r>
      <w:r w:rsidR="009D6562" w:rsidRPr="00B81671">
        <w:rPr>
          <w:rFonts w:ascii="Arial" w:eastAsia="Times New Roman" w:hAnsi="Arial" w:cs="Arial"/>
          <w:lang w:eastAsia="pl-PL"/>
        </w:rPr>
        <w:t>iem</w:t>
      </w:r>
      <w:r w:rsidR="000E1269" w:rsidRPr="00B81671">
        <w:rPr>
          <w:rFonts w:ascii="Arial" w:eastAsia="Times New Roman" w:hAnsi="Arial" w:cs="Arial"/>
          <w:lang w:eastAsia="pl-PL"/>
        </w:rPr>
        <w:t xml:space="preserve"> zeskanowanego obrazu elektronicznego oryginalnych </w:t>
      </w:r>
      <w:r w:rsidRPr="00B81671">
        <w:rPr>
          <w:rFonts w:ascii="Arial" w:eastAsia="Times New Roman" w:hAnsi="Arial" w:cs="Arial"/>
          <w:lang w:eastAsia="pl-PL"/>
        </w:rPr>
        <w:t>certyfikatów uczestnictwa przeznaczonych dla uczestników</w:t>
      </w:r>
      <w:r w:rsidR="001D1819" w:rsidRPr="00B81671">
        <w:rPr>
          <w:rFonts w:ascii="Arial" w:eastAsia="Times New Roman" w:hAnsi="Arial" w:cs="Arial"/>
          <w:lang w:eastAsia="pl-PL"/>
        </w:rPr>
        <w:t xml:space="preserve"> (w sytuacji, gdy takie certyfikaty były wydawane),</w:t>
      </w:r>
    </w:p>
    <w:p w:rsidR="00132869" w:rsidRPr="00B81671" w:rsidRDefault="001D1819" w:rsidP="00B11EE1">
      <w:pPr>
        <w:pStyle w:val="Akapitzlist"/>
        <w:spacing w:before="120" w:after="120" w:line="360" w:lineRule="auto"/>
        <w:ind w:left="567" w:hanging="425"/>
        <w:jc w:val="both"/>
        <w:rPr>
          <w:rFonts w:ascii="Arial" w:hAnsi="Arial" w:cs="Arial"/>
        </w:rPr>
      </w:pPr>
      <w:r w:rsidRPr="00B81671">
        <w:rPr>
          <w:rFonts w:ascii="Arial" w:hAnsi="Arial" w:cs="Arial"/>
        </w:rPr>
        <w:t>i</w:t>
      </w:r>
      <w:r w:rsidR="00132869" w:rsidRPr="00B81671">
        <w:rPr>
          <w:rFonts w:ascii="Arial" w:hAnsi="Arial" w:cs="Arial"/>
        </w:rPr>
        <w:t xml:space="preserve">) </w:t>
      </w:r>
      <w:r w:rsidR="00157A42" w:rsidRPr="00B81671">
        <w:rPr>
          <w:rFonts w:ascii="Arial" w:hAnsi="Arial" w:cs="Arial"/>
        </w:rPr>
        <w:t xml:space="preserve">w </w:t>
      </w:r>
      <w:r w:rsidR="00132869" w:rsidRPr="00B81671">
        <w:rPr>
          <w:rFonts w:ascii="Arial" w:hAnsi="Arial" w:cs="Arial"/>
        </w:rPr>
        <w:t xml:space="preserve">przypadku wydatków </w:t>
      </w:r>
      <w:r w:rsidR="00284CBD" w:rsidRPr="00B81671">
        <w:rPr>
          <w:rFonts w:ascii="Arial" w:hAnsi="Arial" w:cs="Arial"/>
        </w:rPr>
        <w:t xml:space="preserve">na </w:t>
      </w:r>
      <w:r w:rsidR="00132869" w:rsidRPr="00B81671">
        <w:rPr>
          <w:rFonts w:ascii="Arial" w:hAnsi="Arial" w:cs="Arial"/>
        </w:rPr>
        <w:t xml:space="preserve">wynagrodzenia pracowników wykonujących czynności </w:t>
      </w:r>
      <w:r w:rsidR="00700782" w:rsidRPr="00B81671">
        <w:rPr>
          <w:rFonts w:ascii="Arial" w:hAnsi="Arial" w:cs="Arial"/>
        </w:rPr>
        <w:t xml:space="preserve">bezpośrednio </w:t>
      </w:r>
      <w:r w:rsidR="00132869" w:rsidRPr="00B81671">
        <w:rPr>
          <w:rFonts w:ascii="Arial" w:hAnsi="Arial" w:cs="Arial"/>
        </w:rPr>
        <w:t xml:space="preserve">związane z realizacją </w:t>
      </w:r>
      <w:r w:rsidR="00700782" w:rsidRPr="00B81671">
        <w:rPr>
          <w:rFonts w:ascii="Arial" w:hAnsi="Arial" w:cs="Arial"/>
        </w:rPr>
        <w:t>danego</w:t>
      </w:r>
      <w:r w:rsidR="00132869" w:rsidRPr="00B81671">
        <w:rPr>
          <w:rFonts w:ascii="Arial" w:hAnsi="Arial" w:cs="Arial"/>
        </w:rPr>
        <w:t xml:space="preserve"> projektu oraz wynagrodzeń ujętych w</w:t>
      </w:r>
      <w:r w:rsidR="00284CBD" w:rsidRPr="00B81671">
        <w:rPr>
          <w:rFonts w:ascii="Arial" w:hAnsi="Arial" w:cs="Arial"/>
        </w:rPr>
        <w:t xml:space="preserve"> kosztach </w:t>
      </w:r>
      <w:r w:rsidR="00132869" w:rsidRPr="00B81671">
        <w:rPr>
          <w:rFonts w:ascii="Arial" w:hAnsi="Arial" w:cs="Arial"/>
        </w:rPr>
        <w:t>pośredni</w:t>
      </w:r>
      <w:r w:rsidR="00284CBD" w:rsidRPr="00B81671">
        <w:rPr>
          <w:rFonts w:ascii="Arial" w:hAnsi="Arial" w:cs="Arial"/>
        </w:rPr>
        <w:t>ch</w:t>
      </w:r>
      <w:r w:rsidR="00132869" w:rsidRPr="00B81671">
        <w:rPr>
          <w:rFonts w:ascii="Arial" w:hAnsi="Arial" w:cs="Arial"/>
        </w:rPr>
        <w:t>:</w:t>
      </w:r>
    </w:p>
    <w:p w:rsidR="00132869" w:rsidRPr="00B81671" w:rsidRDefault="00B142DE" w:rsidP="00137BC9">
      <w:pPr>
        <w:numPr>
          <w:ilvl w:val="0"/>
          <w:numId w:val="25"/>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wszystkimi </w:t>
      </w:r>
      <w:r w:rsidR="00132869" w:rsidRPr="00B81671">
        <w:rPr>
          <w:rFonts w:ascii="Arial" w:eastAsia="Times New Roman" w:hAnsi="Arial" w:cs="Arial"/>
          <w:lang w:eastAsia="pl-PL"/>
        </w:rPr>
        <w:t>umowami o pracę</w:t>
      </w:r>
      <w:r w:rsidRPr="00B81671">
        <w:rPr>
          <w:rFonts w:ascii="Arial" w:eastAsia="Times New Roman" w:hAnsi="Arial" w:cs="Arial"/>
          <w:lang w:eastAsia="pl-PL"/>
        </w:rPr>
        <w:t xml:space="preserve"> oraz decyzjami o przyznanie</w:t>
      </w:r>
      <w:r w:rsidR="00132869" w:rsidRPr="00B81671">
        <w:rPr>
          <w:rFonts w:ascii="Arial" w:eastAsia="Times New Roman" w:hAnsi="Arial" w:cs="Arial"/>
          <w:lang w:eastAsia="pl-PL"/>
        </w:rPr>
        <w:t xml:space="preserve"> dodatk</w:t>
      </w:r>
      <w:r w:rsidRPr="00B81671">
        <w:rPr>
          <w:rFonts w:ascii="Arial" w:eastAsia="Times New Roman" w:hAnsi="Arial" w:cs="Arial"/>
          <w:lang w:eastAsia="pl-PL"/>
        </w:rPr>
        <w:t>ów,</w:t>
      </w:r>
      <w:r w:rsidR="001D1819" w:rsidRPr="00B81671">
        <w:rPr>
          <w:rFonts w:ascii="Arial" w:eastAsia="Times New Roman" w:hAnsi="Arial" w:cs="Arial"/>
          <w:lang w:eastAsia="pl-PL"/>
        </w:rPr>
        <w:t xml:space="preserve"> </w:t>
      </w:r>
      <w:r w:rsidRPr="00B81671">
        <w:rPr>
          <w:rFonts w:ascii="Arial" w:eastAsia="Times New Roman" w:hAnsi="Arial" w:cs="Arial"/>
          <w:lang w:eastAsia="pl-PL"/>
        </w:rPr>
        <w:t>premii lub innych form wynagradzania pracownika zatrudnionego w danej instytucji obowiązującymi w okresie</w:t>
      </w:r>
      <w:r w:rsidR="00F07EFC" w:rsidRPr="00B81671">
        <w:rPr>
          <w:rFonts w:ascii="Arial" w:eastAsia="Times New Roman" w:hAnsi="Arial" w:cs="Arial"/>
          <w:lang w:eastAsia="pl-PL"/>
        </w:rPr>
        <w:t xml:space="preserve"> zaangażowania pracownika w związku z realizacją </w:t>
      </w:r>
      <w:r w:rsidR="00F07EFC" w:rsidRPr="00B81671">
        <w:rPr>
          <w:rFonts w:ascii="Arial" w:eastAsia="Times New Roman" w:hAnsi="Arial" w:cs="Arial"/>
          <w:lang w:eastAsia="pl-PL"/>
        </w:rPr>
        <w:lastRenderedPageBreak/>
        <w:t>projektu</w:t>
      </w:r>
      <w:r w:rsidR="00132869" w:rsidRPr="00B81671">
        <w:rPr>
          <w:rFonts w:ascii="Arial" w:eastAsia="Times New Roman" w:hAnsi="Arial" w:cs="Arial"/>
          <w:lang w:eastAsia="pl-PL"/>
        </w:rPr>
        <w:t xml:space="preserve"> i innymi dokumentami na podstawie których następuje wypłata wynagrodzenia w ramach projektu</w:t>
      </w:r>
      <w:r w:rsidR="00700782" w:rsidRPr="00B81671">
        <w:rPr>
          <w:rFonts w:ascii="Arial" w:eastAsia="Times New Roman" w:hAnsi="Arial" w:cs="Arial"/>
          <w:lang w:eastAsia="pl-PL"/>
        </w:rPr>
        <w:t>,</w:t>
      </w:r>
    </w:p>
    <w:p w:rsidR="00132869" w:rsidRPr="00B81671" w:rsidRDefault="00132869" w:rsidP="00137BC9">
      <w:pPr>
        <w:numPr>
          <w:ilvl w:val="0"/>
          <w:numId w:val="25"/>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regulaminem pracy i/lub regulaminem wynagradzania w instytucji</w:t>
      </w:r>
      <w:r w:rsidR="00700782" w:rsidRPr="00B81671">
        <w:rPr>
          <w:rFonts w:ascii="Arial" w:eastAsia="Times New Roman" w:hAnsi="Arial" w:cs="Arial"/>
          <w:lang w:eastAsia="pl-PL"/>
        </w:rPr>
        <w:t>,</w:t>
      </w:r>
    </w:p>
    <w:p w:rsidR="00132869" w:rsidRPr="00B81671" w:rsidRDefault="00132869" w:rsidP="00137BC9">
      <w:pPr>
        <w:numPr>
          <w:ilvl w:val="0"/>
          <w:numId w:val="25"/>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kartami czasu pracy i/lub listami obecności jeżeli pracownik jest rozliczany w systemie godzin</w:t>
      </w:r>
      <w:r w:rsidR="00A34C99" w:rsidRPr="00B81671">
        <w:rPr>
          <w:rFonts w:ascii="Arial" w:eastAsia="Times New Roman" w:hAnsi="Arial" w:cs="Arial"/>
          <w:lang w:eastAsia="pl-PL"/>
        </w:rPr>
        <w:t>ow</w:t>
      </w:r>
      <w:r w:rsidRPr="00B81671">
        <w:rPr>
          <w:rFonts w:ascii="Arial" w:eastAsia="Times New Roman" w:hAnsi="Arial" w:cs="Arial"/>
          <w:lang w:eastAsia="pl-PL"/>
        </w:rPr>
        <w:t>ym</w:t>
      </w:r>
      <w:r w:rsidR="00700782" w:rsidRPr="00B81671">
        <w:rPr>
          <w:rFonts w:ascii="Arial" w:eastAsia="Times New Roman" w:hAnsi="Arial" w:cs="Arial"/>
          <w:lang w:eastAsia="pl-PL"/>
        </w:rPr>
        <w:t>,</w:t>
      </w:r>
    </w:p>
    <w:p w:rsidR="00132869" w:rsidRPr="00B81671" w:rsidRDefault="00F07EFC" w:rsidP="00137BC9">
      <w:pPr>
        <w:numPr>
          <w:ilvl w:val="0"/>
          <w:numId w:val="25"/>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dowodami zapłaty (bankowymi lub kasowymi) potwierdzającymi zapłatę  wynagrodzenia </w:t>
      </w:r>
      <w:r w:rsidR="00D02883" w:rsidRPr="00B81671">
        <w:rPr>
          <w:rFonts w:ascii="Arial" w:eastAsia="Times New Roman" w:hAnsi="Arial" w:cs="Arial"/>
          <w:lang w:eastAsia="pl-PL"/>
        </w:rPr>
        <w:t xml:space="preserve">wraz z potrąceniami </w:t>
      </w:r>
      <w:r w:rsidRPr="00B81671">
        <w:rPr>
          <w:rFonts w:ascii="Arial" w:eastAsia="Times New Roman" w:hAnsi="Arial" w:cs="Arial"/>
          <w:lang w:eastAsia="pl-PL"/>
        </w:rPr>
        <w:t>oraz pochodnych od wynagrodzenia, w tym m.in.</w:t>
      </w:r>
      <w:r w:rsidR="00C35303" w:rsidRPr="00B81671">
        <w:rPr>
          <w:rFonts w:ascii="Arial" w:eastAsia="Times New Roman" w:hAnsi="Arial" w:cs="Arial"/>
          <w:lang w:eastAsia="pl-PL"/>
        </w:rPr>
        <w:t xml:space="preserve"> kwoty netto, składki PZU, składki i spłaty pożyczek mieszkaniowych, składki na ubezpieczenia społeczne, składki na ubezpieczenia zdrowotne, składki na Fundusz Pracy, podatek dochodowy od osób fizycznych, </w:t>
      </w:r>
    </w:p>
    <w:p w:rsidR="00C35303" w:rsidRPr="00B81671" w:rsidRDefault="00C35303" w:rsidP="00137BC9">
      <w:pPr>
        <w:numPr>
          <w:ilvl w:val="0"/>
          <w:numId w:val="25"/>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listami płac,</w:t>
      </w:r>
    </w:p>
    <w:p w:rsidR="00C35303" w:rsidRPr="00B81671" w:rsidRDefault="00C35303" w:rsidP="00137BC9">
      <w:pPr>
        <w:numPr>
          <w:ilvl w:val="0"/>
          <w:numId w:val="25"/>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zakresem obowiązków lub opisem stanowisk pracy, z których bezpośrednio wynika zakres czynności realizowanych przez pracownika,</w:t>
      </w:r>
    </w:p>
    <w:p w:rsidR="00C35303" w:rsidRPr="00B81671" w:rsidRDefault="00C35303" w:rsidP="00137BC9">
      <w:pPr>
        <w:numPr>
          <w:ilvl w:val="0"/>
          <w:numId w:val="25"/>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dokumentacją potwierdzającą procentowe zaangażowanie pracownika w projekt w odniesieniu do jego zakresu obowiązków (jeśli nie wynika to z </w:t>
      </w:r>
      <w:r w:rsidR="00D02883" w:rsidRPr="00B81671">
        <w:rPr>
          <w:rFonts w:ascii="Arial" w:eastAsia="Times New Roman" w:hAnsi="Arial" w:cs="Arial"/>
          <w:lang w:eastAsia="pl-PL"/>
        </w:rPr>
        <w:t xml:space="preserve">dokumentów wskazanych w </w:t>
      </w:r>
      <w:proofErr w:type="spellStart"/>
      <w:r w:rsidR="006B7A31" w:rsidRPr="00B81671">
        <w:rPr>
          <w:rFonts w:ascii="Arial" w:eastAsia="Times New Roman" w:hAnsi="Arial" w:cs="Arial"/>
          <w:lang w:eastAsia="pl-PL"/>
        </w:rPr>
        <w:t>tiret</w:t>
      </w:r>
      <w:proofErr w:type="spellEnd"/>
      <w:r w:rsidR="00D02883" w:rsidRPr="00B81671">
        <w:rPr>
          <w:rFonts w:ascii="Arial" w:eastAsia="Times New Roman" w:hAnsi="Arial" w:cs="Arial"/>
          <w:lang w:eastAsia="pl-PL"/>
        </w:rPr>
        <w:t xml:space="preserve"> vi</w:t>
      </w:r>
      <w:r w:rsidRPr="00B81671">
        <w:rPr>
          <w:rFonts w:ascii="Arial" w:eastAsia="Times New Roman" w:hAnsi="Arial" w:cs="Arial"/>
          <w:lang w:eastAsia="pl-PL"/>
        </w:rPr>
        <w:t>),</w:t>
      </w:r>
    </w:p>
    <w:p w:rsidR="00C35303" w:rsidRPr="00B81671" w:rsidRDefault="00347890" w:rsidP="00137BC9">
      <w:pPr>
        <w:numPr>
          <w:ilvl w:val="0"/>
          <w:numId w:val="25"/>
        </w:numPr>
        <w:tabs>
          <w:tab w:val="left" w:pos="851"/>
        </w:tabs>
        <w:spacing w:before="120" w:after="120" w:line="360" w:lineRule="auto"/>
        <w:ind w:left="709" w:hanging="284"/>
        <w:jc w:val="both"/>
        <w:rPr>
          <w:rFonts w:ascii="Arial" w:eastAsia="Times New Roman" w:hAnsi="Arial" w:cs="Arial"/>
          <w:lang w:eastAsia="pl-PL"/>
        </w:rPr>
      </w:pPr>
      <w:r w:rsidRPr="00B81671">
        <w:rPr>
          <w:rFonts w:ascii="Arial" w:eastAsia="Times New Roman" w:hAnsi="Arial" w:cs="Arial"/>
          <w:lang w:eastAsia="pl-PL"/>
        </w:rPr>
        <w:t>oświadczeniem pracownika, że łączne zaangażowanie zawodowe tej osoby w realizację wszystkich projektów finansowanych z funduszy strukturalnych i FS oraz działań finansowanych z innych źródeł, w tym środków własnych beneficjenta i innych podmiotów, nie przekracza 276 godzin miesięcznie,</w:t>
      </w:r>
    </w:p>
    <w:p w:rsidR="00132869" w:rsidRPr="00B81671" w:rsidRDefault="007C48BE" w:rsidP="00395C47">
      <w:pPr>
        <w:pStyle w:val="Akapitzlist"/>
        <w:spacing w:before="120" w:after="120" w:line="360" w:lineRule="auto"/>
        <w:ind w:left="567" w:hanging="141"/>
        <w:contextualSpacing w:val="0"/>
        <w:jc w:val="both"/>
        <w:rPr>
          <w:rFonts w:ascii="Arial" w:hAnsi="Arial" w:cs="Arial"/>
        </w:rPr>
      </w:pPr>
      <w:r w:rsidRPr="00B81671">
        <w:rPr>
          <w:rFonts w:ascii="Arial" w:hAnsi="Arial" w:cs="Arial"/>
        </w:rPr>
        <w:t>j</w:t>
      </w:r>
      <w:r w:rsidR="00132869" w:rsidRPr="00B81671">
        <w:rPr>
          <w:rFonts w:ascii="Arial" w:hAnsi="Arial" w:cs="Arial"/>
        </w:rPr>
        <w:t xml:space="preserve">) </w:t>
      </w:r>
      <w:r w:rsidR="007A523D" w:rsidRPr="00B81671">
        <w:rPr>
          <w:rFonts w:ascii="Arial" w:hAnsi="Arial" w:cs="Arial"/>
        </w:rPr>
        <w:t xml:space="preserve">w </w:t>
      </w:r>
      <w:r w:rsidR="00132869" w:rsidRPr="00B81671">
        <w:rPr>
          <w:rFonts w:ascii="Arial" w:hAnsi="Arial" w:cs="Arial"/>
        </w:rPr>
        <w:t>przypadku wydatków</w:t>
      </w:r>
      <w:r w:rsidR="00284CBD" w:rsidRPr="00B81671">
        <w:rPr>
          <w:rFonts w:ascii="Arial" w:hAnsi="Arial" w:cs="Arial"/>
        </w:rPr>
        <w:t xml:space="preserve"> na</w:t>
      </w:r>
      <w:r w:rsidR="00132869" w:rsidRPr="00B81671">
        <w:rPr>
          <w:rFonts w:ascii="Arial" w:hAnsi="Arial" w:cs="Arial"/>
        </w:rPr>
        <w:t xml:space="preserve"> zakup nieruchomości</w:t>
      </w:r>
      <w:r w:rsidR="00E03004" w:rsidRPr="00B81671">
        <w:rPr>
          <w:rFonts w:ascii="Arial" w:hAnsi="Arial" w:cs="Arial"/>
        </w:rPr>
        <w:t>/</w:t>
      </w:r>
      <w:r w:rsidR="00132869" w:rsidRPr="00B81671">
        <w:rPr>
          <w:rFonts w:ascii="Arial" w:hAnsi="Arial" w:cs="Arial"/>
        </w:rPr>
        <w:t>gruntu</w:t>
      </w:r>
      <w:r w:rsidRPr="00B81671">
        <w:rPr>
          <w:rFonts w:ascii="Arial" w:hAnsi="Arial" w:cs="Arial"/>
        </w:rPr>
        <w:t>, poza dokumentami wskazanymi w lit. a) - d)</w:t>
      </w:r>
      <w:r w:rsidR="00700782" w:rsidRPr="00B81671">
        <w:rPr>
          <w:rFonts w:ascii="Arial" w:hAnsi="Arial" w:cs="Arial"/>
        </w:rPr>
        <w:t>:</w:t>
      </w:r>
    </w:p>
    <w:p w:rsidR="00132869" w:rsidRPr="00B81671" w:rsidRDefault="00132869" w:rsidP="00137BC9">
      <w:pPr>
        <w:numPr>
          <w:ilvl w:val="0"/>
          <w:numId w:val="26"/>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dokumentem</w:t>
      </w:r>
      <w:r w:rsidR="007E7165" w:rsidRPr="00B81671">
        <w:rPr>
          <w:rFonts w:ascii="Arial" w:eastAsia="Times New Roman" w:hAnsi="Arial" w:cs="Arial"/>
          <w:lang w:eastAsia="pl-PL"/>
        </w:rPr>
        <w:t xml:space="preserve"> księgowym</w:t>
      </w:r>
      <w:r w:rsidRPr="00B81671">
        <w:rPr>
          <w:rFonts w:ascii="Arial" w:eastAsia="Times New Roman" w:hAnsi="Arial" w:cs="Arial"/>
          <w:lang w:eastAsia="pl-PL"/>
        </w:rPr>
        <w:t xml:space="preserve">, który określa wartość nieruchomości </w:t>
      </w:r>
      <w:r w:rsidR="007E7165" w:rsidRPr="00B81671">
        <w:rPr>
          <w:rFonts w:ascii="Arial" w:eastAsia="Times New Roman" w:hAnsi="Arial" w:cs="Arial"/>
          <w:lang w:eastAsia="pl-PL"/>
        </w:rPr>
        <w:t>(</w:t>
      </w:r>
      <w:r w:rsidRPr="00B81671">
        <w:rPr>
          <w:rFonts w:ascii="Arial" w:eastAsia="Times New Roman" w:hAnsi="Arial" w:cs="Arial"/>
          <w:lang w:eastAsia="pl-PL"/>
        </w:rPr>
        <w:t xml:space="preserve">np. akt notarialny) </w:t>
      </w:r>
      <w:r w:rsidR="00D75DC0" w:rsidRPr="00B81671">
        <w:rPr>
          <w:rFonts w:ascii="Arial" w:eastAsia="Times New Roman" w:hAnsi="Arial" w:cs="Arial"/>
          <w:lang w:eastAsia="pl-PL"/>
        </w:rPr>
        <w:t xml:space="preserve">wraz z </w:t>
      </w:r>
      <w:r w:rsidRPr="00B81671">
        <w:rPr>
          <w:rFonts w:ascii="Arial" w:eastAsia="Times New Roman" w:hAnsi="Arial" w:cs="Arial"/>
          <w:lang w:eastAsia="pl-PL"/>
        </w:rPr>
        <w:t>operatem szacunkowym</w:t>
      </w:r>
      <w:r w:rsidR="00347890" w:rsidRPr="00B81671">
        <w:rPr>
          <w:rFonts w:ascii="Arial" w:eastAsia="Times New Roman" w:hAnsi="Arial" w:cs="Arial"/>
          <w:lang w:eastAsia="pl-PL"/>
        </w:rPr>
        <w:t xml:space="preserve">, ważnym </w:t>
      </w:r>
      <w:r w:rsidR="00FD42C8" w:rsidRPr="00B81671">
        <w:rPr>
          <w:rFonts w:ascii="Arial" w:eastAsia="Times New Roman" w:hAnsi="Arial" w:cs="Arial"/>
          <w:lang w:eastAsia="pl-PL"/>
        </w:rPr>
        <w:t>w okresie</w:t>
      </w:r>
      <w:r w:rsidR="004107D5" w:rsidRPr="00B81671">
        <w:rPr>
          <w:rFonts w:ascii="Arial" w:eastAsia="Times New Roman" w:hAnsi="Arial" w:cs="Arial"/>
          <w:lang w:eastAsia="pl-PL"/>
        </w:rPr>
        <w:t xml:space="preserve"> 12 miesięcy poprzedzających moment poniesienia wydatku,</w:t>
      </w:r>
      <w:r w:rsidRPr="00B81671">
        <w:rPr>
          <w:rFonts w:ascii="Arial" w:eastAsia="Times New Roman" w:hAnsi="Arial" w:cs="Arial"/>
          <w:lang w:eastAsia="pl-PL"/>
        </w:rPr>
        <w:t xml:space="preserve"> określającym wartość rynkową nieruchomości</w:t>
      </w:r>
      <w:r w:rsidR="004107D5" w:rsidRPr="00B81671">
        <w:rPr>
          <w:rFonts w:ascii="Arial" w:eastAsia="Times New Roman" w:hAnsi="Arial" w:cs="Arial"/>
          <w:lang w:eastAsia="pl-PL"/>
        </w:rPr>
        <w:t xml:space="preserve"> sporządzonym </w:t>
      </w:r>
      <w:r w:rsidR="0052190D" w:rsidRPr="00B81671">
        <w:rPr>
          <w:rFonts w:ascii="Arial" w:eastAsia="Times New Roman" w:hAnsi="Arial" w:cs="Arial"/>
          <w:lang w:eastAsia="pl-PL"/>
        </w:rPr>
        <w:t>przez rzeczoznawcę majątkowego, zgodnie z przepisami ustawy z dnia 21 sierpnia 1997 r. o gospodarce nieruchomościami (</w:t>
      </w:r>
      <w:r w:rsidR="00FD42C8" w:rsidRPr="00B81671">
        <w:rPr>
          <w:rFonts w:ascii="Arial" w:eastAsia="Times New Roman" w:hAnsi="Arial" w:cs="Arial"/>
          <w:lang w:eastAsia="pl-PL"/>
        </w:rPr>
        <w:t xml:space="preserve">t. j. </w:t>
      </w:r>
      <w:r w:rsidR="0052190D" w:rsidRPr="00B81671">
        <w:rPr>
          <w:rFonts w:ascii="Arial" w:eastAsia="Times New Roman" w:hAnsi="Arial" w:cs="Arial"/>
          <w:lang w:eastAsia="pl-PL"/>
        </w:rPr>
        <w:t>Dz. U. z 201</w:t>
      </w:r>
      <w:r w:rsidR="00F623F7">
        <w:rPr>
          <w:rFonts w:ascii="Arial" w:eastAsia="Times New Roman" w:hAnsi="Arial" w:cs="Arial"/>
          <w:lang w:eastAsia="pl-PL"/>
        </w:rPr>
        <w:t>6</w:t>
      </w:r>
      <w:r w:rsidR="0052190D" w:rsidRPr="00B81671">
        <w:rPr>
          <w:rFonts w:ascii="Arial" w:eastAsia="Times New Roman" w:hAnsi="Arial" w:cs="Arial"/>
          <w:lang w:eastAsia="pl-PL"/>
        </w:rPr>
        <w:t xml:space="preserve"> r. poz. </w:t>
      </w:r>
      <w:r w:rsidR="00F623F7">
        <w:rPr>
          <w:rFonts w:ascii="Arial" w:eastAsia="Times New Roman" w:hAnsi="Arial" w:cs="Arial"/>
          <w:lang w:eastAsia="pl-PL"/>
        </w:rPr>
        <w:t>2147</w:t>
      </w:r>
      <w:r w:rsidR="0052190D" w:rsidRPr="00B81671">
        <w:rPr>
          <w:rFonts w:ascii="Arial" w:eastAsia="Times New Roman" w:hAnsi="Arial" w:cs="Arial"/>
          <w:lang w:eastAsia="pl-PL"/>
        </w:rPr>
        <w:t xml:space="preserve">, z </w:t>
      </w:r>
      <w:proofErr w:type="spellStart"/>
      <w:r w:rsidR="0052190D" w:rsidRPr="00B81671">
        <w:rPr>
          <w:rFonts w:ascii="Arial" w:eastAsia="Times New Roman" w:hAnsi="Arial" w:cs="Arial"/>
          <w:lang w:eastAsia="pl-PL"/>
        </w:rPr>
        <w:t>późn</w:t>
      </w:r>
      <w:proofErr w:type="spellEnd"/>
      <w:r w:rsidR="0052190D" w:rsidRPr="00B81671">
        <w:rPr>
          <w:rFonts w:ascii="Arial" w:eastAsia="Times New Roman" w:hAnsi="Arial" w:cs="Arial"/>
          <w:lang w:eastAsia="pl-PL"/>
        </w:rPr>
        <w:t>. zm.)</w:t>
      </w:r>
      <w:r w:rsidRPr="00B81671">
        <w:rPr>
          <w:rFonts w:ascii="Arial" w:eastAsia="Times New Roman" w:hAnsi="Arial" w:cs="Arial"/>
          <w:lang w:eastAsia="pl-PL"/>
        </w:rPr>
        <w:t xml:space="preserve">. W przypadku, gdy dokument księgowy opiewa na wyższą wartość niż </w:t>
      </w:r>
      <w:r w:rsidR="00FD42C8" w:rsidRPr="00B81671">
        <w:rPr>
          <w:rFonts w:ascii="Arial" w:eastAsia="Times New Roman" w:hAnsi="Arial" w:cs="Arial"/>
          <w:lang w:eastAsia="pl-PL"/>
        </w:rPr>
        <w:t xml:space="preserve">ww. </w:t>
      </w:r>
      <w:r w:rsidRPr="00B81671">
        <w:rPr>
          <w:rFonts w:ascii="Arial" w:eastAsia="Times New Roman" w:hAnsi="Arial" w:cs="Arial"/>
          <w:lang w:eastAsia="pl-PL"/>
        </w:rPr>
        <w:t>operat szacunkowy</w:t>
      </w:r>
      <w:r w:rsidR="00D75DC0" w:rsidRPr="00B81671">
        <w:rPr>
          <w:rFonts w:ascii="Arial" w:eastAsia="Times New Roman" w:hAnsi="Arial" w:cs="Arial"/>
          <w:lang w:eastAsia="pl-PL"/>
        </w:rPr>
        <w:t>,</w:t>
      </w:r>
      <w:r w:rsidRPr="00B81671">
        <w:rPr>
          <w:rFonts w:ascii="Arial" w:eastAsia="Times New Roman" w:hAnsi="Arial" w:cs="Arial"/>
          <w:lang w:eastAsia="pl-PL"/>
        </w:rPr>
        <w:t xml:space="preserve"> należy zadeklarować jako wydatek kwalifikowalny kwotę do wysokości określonej w </w:t>
      </w:r>
      <w:r w:rsidR="00FD42C8" w:rsidRPr="00B81671">
        <w:rPr>
          <w:rFonts w:ascii="Arial" w:eastAsia="Times New Roman" w:hAnsi="Arial" w:cs="Arial"/>
          <w:lang w:eastAsia="pl-PL"/>
        </w:rPr>
        <w:t xml:space="preserve">tym </w:t>
      </w:r>
      <w:r w:rsidRPr="00B81671">
        <w:rPr>
          <w:rFonts w:ascii="Arial" w:eastAsia="Times New Roman" w:hAnsi="Arial" w:cs="Arial"/>
          <w:lang w:eastAsia="pl-PL"/>
        </w:rPr>
        <w:t xml:space="preserve">operacie szacunkowym. </w:t>
      </w:r>
      <w:r w:rsidR="00D66C51" w:rsidRPr="00B81671">
        <w:rPr>
          <w:rFonts w:ascii="Arial" w:eastAsia="Times New Roman" w:hAnsi="Arial" w:cs="Arial"/>
          <w:lang w:eastAsia="pl-PL"/>
        </w:rPr>
        <w:t>W sytuacji, gdy</w:t>
      </w:r>
      <w:r w:rsidRPr="00B81671">
        <w:rPr>
          <w:rFonts w:ascii="Arial" w:eastAsia="Times New Roman" w:hAnsi="Arial" w:cs="Arial"/>
          <w:lang w:eastAsia="pl-PL"/>
        </w:rPr>
        <w:t xml:space="preserve"> dokument księgowy opiewa na niższą kwotę niż operat szacunkowy należy zadeklarować jako kwalifikowalną kwotę do wysokości określonej w dokumencie księgowym.</w:t>
      </w:r>
    </w:p>
    <w:p w:rsidR="00C35285" w:rsidRPr="00B81671" w:rsidRDefault="00E02F39" w:rsidP="009E7AB2">
      <w:pPr>
        <w:spacing w:before="120" w:after="120" w:line="360" w:lineRule="auto"/>
        <w:ind w:left="568" w:hanging="426"/>
        <w:jc w:val="both"/>
        <w:rPr>
          <w:rFonts w:ascii="Arial" w:eastAsia="Times New Roman" w:hAnsi="Arial" w:cs="Arial"/>
          <w:lang w:eastAsia="pl-PL"/>
        </w:rPr>
      </w:pPr>
      <w:r w:rsidRPr="00B81671">
        <w:rPr>
          <w:rFonts w:ascii="Arial" w:eastAsia="Times New Roman" w:hAnsi="Arial" w:cs="Arial"/>
          <w:lang w:eastAsia="pl-PL"/>
        </w:rPr>
        <w:t>k</w:t>
      </w:r>
      <w:r w:rsidR="00C35285" w:rsidRPr="00B81671">
        <w:rPr>
          <w:rFonts w:ascii="Arial" w:eastAsia="Times New Roman" w:hAnsi="Arial" w:cs="Arial"/>
          <w:lang w:eastAsia="pl-PL"/>
        </w:rPr>
        <w:t>) w przypadku wydatków dotyczących podróży służbowych i zakwaterowania pracowników:</w:t>
      </w:r>
    </w:p>
    <w:p w:rsidR="00C35285" w:rsidRPr="00B81671" w:rsidRDefault="00C35285" w:rsidP="00137BC9">
      <w:pPr>
        <w:numPr>
          <w:ilvl w:val="0"/>
          <w:numId w:val="48"/>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lastRenderedPageBreak/>
        <w:t>wnioskiem/poleceniem wyjazdu służbowego wraz z rozliczeniem delegacji,</w:t>
      </w:r>
    </w:p>
    <w:p w:rsidR="00C35285" w:rsidRPr="00B81671" w:rsidRDefault="00C35285" w:rsidP="00137BC9">
      <w:pPr>
        <w:numPr>
          <w:ilvl w:val="0"/>
          <w:numId w:val="48"/>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dowodami zapłaty kwot związanych z delegacją (kwot faktur VAT/rachunków/diet/ryczałtów), a jeśli były wypłacane zaliczki także dowodami wypłaty zaliczek,</w:t>
      </w:r>
    </w:p>
    <w:p w:rsidR="00C35285" w:rsidRPr="00B81671" w:rsidRDefault="00C35285" w:rsidP="00137BC9">
      <w:pPr>
        <w:numPr>
          <w:ilvl w:val="0"/>
          <w:numId w:val="48"/>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biletami lotniczymi wystawionymi w formie papierowej lub elektronicznej, wraz z fakturami VAT i dowodami zapłaty,</w:t>
      </w:r>
    </w:p>
    <w:p w:rsidR="00C35285" w:rsidRPr="00B81671" w:rsidRDefault="00C35285" w:rsidP="00137BC9">
      <w:pPr>
        <w:numPr>
          <w:ilvl w:val="0"/>
          <w:numId w:val="48"/>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biletami kolejowymi, autobusowymi, promowymi i innymi,</w:t>
      </w:r>
    </w:p>
    <w:p w:rsidR="00C35285" w:rsidRPr="00B81671" w:rsidRDefault="00C35285" w:rsidP="00137BC9">
      <w:pPr>
        <w:numPr>
          <w:ilvl w:val="0"/>
          <w:numId w:val="48"/>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fakturami VAT za bilety kolejowe, autobusowe, promowe i inne (jeśli takie wystawiono),</w:t>
      </w:r>
    </w:p>
    <w:p w:rsidR="00C35285" w:rsidRPr="00B81671" w:rsidRDefault="00C35285" w:rsidP="00137BC9">
      <w:pPr>
        <w:numPr>
          <w:ilvl w:val="0"/>
          <w:numId w:val="48"/>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fakturami VAT/rachunkami za nocleg,</w:t>
      </w:r>
    </w:p>
    <w:p w:rsidR="00C35285" w:rsidRPr="00B81671" w:rsidRDefault="00C35285" w:rsidP="00137BC9">
      <w:pPr>
        <w:numPr>
          <w:ilvl w:val="0"/>
          <w:numId w:val="48"/>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agendą spotkania/seminarium/konferencji,</w:t>
      </w:r>
    </w:p>
    <w:p w:rsidR="00C35285" w:rsidRPr="00B81671" w:rsidRDefault="00C35285" w:rsidP="00137BC9">
      <w:pPr>
        <w:numPr>
          <w:ilvl w:val="0"/>
          <w:numId w:val="48"/>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sprawozdaniem z wyjazdu służbowego, o ile brak jest innych dokumentów potwierdzających udział i związek delegacji z projektem,</w:t>
      </w:r>
    </w:p>
    <w:p w:rsidR="00C35285" w:rsidRPr="00B81671" w:rsidRDefault="00C35285" w:rsidP="00137BC9">
      <w:pPr>
        <w:numPr>
          <w:ilvl w:val="0"/>
          <w:numId w:val="48"/>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diet za podróże służbowe należy przedstawić informację o zapewnionych/niezapewnionych posiłkach</w:t>
      </w:r>
      <w:r w:rsidR="008F7E83">
        <w:rPr>
          <w:rFonts w:ascii="Arial" w:eastAsia="Times New Roman" w:hAnsi="Arial" w:cs="Arial"/>
          <w:lang w:eastAsia="pl-PL"/>
        </w:rPr>
        <w:t xml:space="preserve"> i przejazdach</w:t>
      </w:r>
      <w:r w:rsidRPr="00B81671">
        <w:rPr>
          <w:rFonts w:ascii="Arial" w:eastAsia="Times New Roman" w:hAnsi="Arial" w:cs="Arial"/>
          <w:lang w:eastAsia="pl-PL"/>
        </w:rPr>
        <w:t>,</w:t>
      </w:r>
    </w:p>
    <w:p w:rsidR="00C35285" w:rsidRPr="00B81671" w:rsidRDefault="00C35285" w:rsidP="00137BC9">
      <w:pPr>
        <w:numPr>
          <w:ilvl w:val="0"/>
          <w:numId w:val="48"/>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ubezpieczenia na czas podróży zagranicznej należy przedstawić polisę ubezpieczeniową wraz z dowodem zapłaty za nią. Ubezpieczenie powinno dotyczyć tylko takich sytuacji, w związku z którymi poniesienie wydatku było zasadne, konieczne i nie zostało wykluczone na podstawie obowiązujących przepisów krajowych i wewnętrznych,</w:t>
      </w:r>
    </w:p>
    <w:p w:rsidR="00C35285" w:rsidRPr="00B81671" w:rsidRDefault="00C35285" w:rsidP="00137BC9">
      <w:pPr>
        <w:numPr>
          <w:ilvl w:val="0"/>
          <w:numId w:val="48"/>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paliwa do samochodu służbowego</w:t>
      </w:r>
      <w:r w:rsidR="008F7E83">
        <w:rPr>
          <w:rFonts w:ascii="Arial" w:eastAsia="Times New Roman" w:hAnsi="Arial" w:cs="Arial"/>
          <w:lang w:eastAsia="pl-PL"/>
        </w:rPr>
        <w:t>/prywatnego</w:t>
      </w:r>
      <w:r w:rsidRPr="00B81671">
        <w:rPr>
          <w:rFonts w:ascii="Arial" w:eastAsia="Times New Roman" w:hAnsi="Arial" w:cs="Arial"/>
          <w:lang w:eastAsia="pl-PL"/>
        </w:rPr>
        <w:t xml:space="preserve"> – faktur</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VAT </w:t>
      </w:r>
      <w:r w:rsidR="009B5CA2" w:rsidRPr="00B81671">
        <w:rPr>
          <w:rFonts w:ascii="Arial" w:eastAsia="Times New Roman" w:hAnsi="Arial" w:cs="Arial"/>
          <w:lang w:eastAsia="pl-PL"/>
        </w:rPr>
        <w:t>wystawion</w:t>
      </w:r>
      <w:r w:rsidR="009E7AB2" w:rsidRPr="00B81671">
        <w:rPr>
          <w:rFonts w:ascii="Arial" w:eastAsia="Times New Roman" w:hAnsi="Arial" w:cs="Arial"/>
          <w:lang w:eastAsia="pl-PL"/>
        </w:rPr>
        <w:t>ą</w:t>
      </w:r>
      <w:r w:rsidR="009B5CA2" w:rsidRPr="00B81671">
        <w:rPr>
          <w:rFonts w:ascii="Arial" w:eastAsia="Times New Roman" w:hAnsi="Arial" w:cs="Arial"/>
          <w:lang w:eastAsia="pl-PL"/>
        </w:rPr>
        <w:t xml:space="preserve"> </w:t>
      </w:r>
      <w:r w:rsidRPr="00B81671">
        <w:rPr>
          <w:rFonts w:ascii="Arial" w:eastAsia="Times New Roman" w:hAnsi="Arial" w:cs="Arial"/>
          <w:lang w:eastAsia="pl-PL"/>
        </w:rPr>
        <w:t>za zakup paliwa, kart</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drogow</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samochodu służbowego oraz kalkulacj</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kosztów paliwa zużytego na cel delegacji w ramach projektu</w:t>
      </w:r>
      <w:r w:rsidR="000D309A" w:rsidRPr="00B81671">
        <w:rPr>
          <w:rFonts w:ascii="Arial" w:eastAsia="Times New Roman" w:hAnsi="Arial" w:cs="Arial"/>
          <w:lang w:eastAsia="pl-PL"/>
        </w:rPr>
        <w:t>,</w:t>
      </w:r>
    </w:p>
    <w:p w:rsidR="000D309A" w:rsidRPr="00B81671" w:rsidRDefault="000D309A" w:rsidP="00137BC9">
      <w:pPr>
        <w:numPr>
          <w:ilvl w:val="0"/>
          <w:numId w:val="48"/>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rozliczenia kosztu winiet i parkingów należy przedstawić faktury </w:t>
      </w:r>
      <w:r w:rsidR="009B5CA2" w:rsidRPr="00B81671">
        <w:rPr>
          <w:rFonts w:ascii="Arial" w:eastAsia="Times New Roman" w:hAnsi="Arial" w:cs="Arial"/>
          <w:lang w:eastAsia="pl-PL"/>
        </w:rPr>
        <w:t xml:space="preserve">VAT </w:t>
      </w:r>
      <w:r w:rsidR="00F55434" w:rsidRPr="00B81671">
        <w:rPr>
          <w:rFonts w:ascii="Arial" w:eastAsia="Times New Roman" w:hAnsi="Arial" w:cs="Arial"/>
          <w:lang w:eastAsia="pl-PL"/>
        </w:rPr>
        <w:t xml:space="preserve">wystawione </w:t>
      </w:r>
      <w:r w:rsidRPr="00B81671">
        <w:rPr>
          <w:rFonts w:ascii="Arial" w:eastAsia="Times New Roman" w:hAnsi="Arial" w:cs="Arial"/>
          <w:lang w:eastAsia="pl-PL"/>
        </w:rPr>
        <w:t xml:space="preserve">za winiety i parking, a gdy nie było takich faktur – wydruki poświadczające opłacenie </w:t>
      </w:r>
      <w:r w:rsidR="004C0BC9" w:rsidRPr="00B81671">
        <w:rPr>
          <w:rFonts w:ascii="Arial" w:eastAsia="Times New Roman" w:hAnsi="Arial" w:cs="Arial"/>
          <w:lang w:eastAsia="pl-PL"/>
        </w:rPr>
        <w:t xml:space="preserve">winiety i </w:t>
      </w:r>
      <w:r w:rsidRPr="00B81671">
        <w:rPr>
          <w:rFonts w:ascii="Arial" w:eastAsia="Times New Roman" w:hAnsi="Arial" w:cs="Arial"/>
          <w:lang w:eastAsia="pl-PL"/>
        </w:rPr>
        <w:t>parkingu,</w:t>
      </w:r>
    </w:p>
    <w:p w:rsidR="00132869" w:rsidRPr="00B81671" w:rsidRDefault="000D309A" w:rsidP="00137BC9">
      <w:pPr>
        <w:numPr>
          <w:ilvl w:val="0"/>
          <w:numId w:val="48"/>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w przypadku przekroczenia limitu hotelowego – zgodą kierownika jednostki na przekroczenie limitu hotelowego wraz z uzasadnieniem.</w:t>
      </w:r>
    </w:p>
    <w:p w:rsidR="00132869" w:rsidRPr="00B81671" w:rsidRDefault="00132869" w:rsidP="00137BC9">
      <w:pPr>
        <w:pStyle w:val="Akapitzlist"/>
        <w:numPr>
          <w:ilvl w:val="0"/>
          <w:numId w:val="14"/>
        </w:numPr>
        <w:spacing w:before="120" w:after="120" w:line="360" w:lineRule="auto"/>
        <w:jc w:val="both"/>
        <w:rPr>
          <w:rFonts w:ascii="Arial" w:hAnsi="Arial" w:cs="Arial"/>
        </w:rPr>
      </w:pPr>
      <w:r w:rsidRPr="00B81671">
        <w:rPr>
          <w:rFonts w:ascii="Arial" w:hAnsi="Arial" w:cs="Arial"/>
        </w:rPr>
        <w:t>Przez dokument o równoważnej wartości dowodowej należy rozumieć każdy dokument przedstawiony przez beneficjenta w celu potwierdzenia, że zapis księgowy podaje prawdziwy i rzetelny obraz transakcji faktycznie wykonanych, zgodnie z ustawą o rachunkowości.</w:t>
      </w:r>
    </w:p>
    <w:p w:rsidR="00132869" w:rsidRPr="00B81671" w:rsidRDefault="00132869" w:rsidP="00137BC9">
      <w:pPr>
        <w:pStyle w:val="Akapitzlist"/>
        <w:numPr>
          <w:ilvl w:val="0"/>
          <w:numId w:val="14"/>
        </w:numPr>
        <w:spacing w:before="120" w:after="120" w:line="360" w:lineRule="auto"/>
        <w:jc w:val="both"/>
        <w:rPr>
          <w:rFonts w:ascii="Arial" w:hAnsi="Arial" w:cs="Arial"/>
        </w:rPr>
      </w:pPr>
      <w:r w:rsidRPr="00B81671">
        <w:rPr>
          <w:rFonts w:ascii="Arial" w:hAnsi="Arial" w:cs="Arial"/>
        </w:rPr>
        <w:t>Przez dokument potwierdzający dokonanie płatności gotówkowej należy rozumieć:</w:t>
      </w:r>
    </w:p>
    <w:p w:rsidR="00132869" w:rsidRPr="00B81671" w:rsidRDefault="00132869" w:rsidP="00137BC9">
      <w:pPr>
        <w:pStyle w:val="Akapitzlist"/>
        <w:numPr>
          <w:ilvl w:val="1"/>
          <w:numId w:val="27"/>
        </w:numPr>
        <w:spacing w:before="120" w:after="120" w:line="360" w:lineRule="auto"/>
        <w:jc w:val="both"/>
        <w:rPr>
          <w:rFonts w:ascii="Arial" w:hAnsi="Arial" w:cs="Arial"/>
        </w:rPr>
      </w:pPr>
      <w:r w:rsidRPr="00B81671">
        <w:rPr>
          <w:rFonts w:ascii="Arial" w:hAnsi="Arial" w:cs="Arial"/>
        </w:rPr>
        <w:lastRenderedPageBreak/>
        <w:t>fakturę lub dokument księgowy o równoważnej wartości dowodowej z oznaczeniem, iż zapłacono gotówką lub</w:t>
      </w:r>
    </w:p>
    <w:p w:rsidR="00132869" w:rsidRPr="00B81671" w:rsidRDefault="00132869" w:rsidP="00137BC9">
      <w:pPr>
        <w:pStyle w:val="Akapitzlist"/>
        <w:numPr>
          <w:ilvl w:val="1"/>
          <w:numId w:val="27"/>
        </w:numPr>
        <w:spacing w:before="120" w:after="120" w:line="360" w:lineRule="auto"/>
        <w:jc w:val="both"/>
        <w:rPr>
          <w:rFonts w:ascii="Arial" w:hAnsi="Arial" w:cs="Arial"/>
        </w:rPr>
      </w:pPr>
      <w:r w:rsidRPr="00B81671">
        <w:rPr>
          <w:rFonts w:ascii="Arial" w:hAnsi="Arial" w:cs="Arial"/>
        </w:rPr>
        <w:t>dokument „Kasa przyjmie” (KP) lub „Kasa wypłaci” (KW) – zawierający odniesienie do faktury lub dokumentu księgowego o równoważnej wartości dowodowej, którego KP/KW dotyczy oraz wskazujący datę dokonania płatności wraz z raportem kasowym zawierającym odniesienie do faktury lub dokumentu księgowego o równoważnej wartości dowodowej, którego KP/KW dotyczy oraz wskazującym datę dokonania płatności. Jeżeli nie jest możliwe, aby KP/KW zawierały odniesienie do faktury lub dokumentu księgowego o równoważnej wartości dowodowej, w opisie faktury konieczne jest zamieszczenie informacji o numerach KP/KW.</w:t>
      </w:r>
    </w:p>
    <w:p w:rsidR="00132869" w:rsidRPr="00B81671" w:rsidRDefault="00132869" w:rsidP="00137BC9">
      <w:pPr>
        <w:pStyle w:val="Akapitzlist"/>
        <w:numPr>
          <w:ilvl w:val="0"/>
          <w:numId w:val="14"/>
        </w:numPr>
        <w:spacing w:before="120" w:after="120" w:line="360" w:lineRule="auto"/>
        <w:ind w:hanging="357"/>
        <w:jc w:val="both"/>
        <w:rPr>
          <w:rFonts w:ascii="Arial" w:hAnsi="Arial" w:cs="Arial"/>
        </w:rPr>
      </w:pPr>
      <w:r w:rsidRPr="00B81671">
        <w:rPr>
          <w:rFonts w:ascii="Arial" w:hAnsi="Arial" w:cs="Arial"/>
        </w:rPr>
        <w:t>Przez dokument potwierdzający poniesienie kosztu związanego z wkładem niepieniężnym (z wyłączeniem wkładu niepieniężnego w formie nieodpłatnej pracy wolontariuszy) lub amortyzacją należy rozumieć dokumenty księgowe lub wyciągi z ksiąg rachunkowych odzwierciedlające wysokość poniesionych kosztów i potwierdzone przez upoważnione osoby.</w:t>
      </w:r>
    </w:p>
    <w:p w:rsidR="00132869" w:rsidRPr="00B81671" w:rsidRDefault="00132869" w:rsidP="00137BC9">
      <w:pPr>
        <w:pStyle w:val="Akapitzlist"/>
        <w:numPr>
          <w:ilvl w:val="0"/>
          <w:numId w:val="14"/>
        </w:numPr>
        <w:spacing w:before="120" w:after="120" w:line="360" w:lineRule="auto"/>
        <w:ind w:hanging="357"/>
        <w:jc w:val="both"/>
        <w:rPr>
          <w:rFonts w:ascii="Arial" w:hAnsi="Arial" w:cs="Arial"/>
        </w:rPr>
      </w:pPr>
      <w:r w:rsidRPr="00B81671">
        <w:rPr>
          <w:rFonts w:ascii="Arial" w:hAnsi="Arial" w:cs="Arial"/>
        </w:rPr>
        <w:t>Przez dokumenty potwierdzające poniesienie kosztu związanego z wkładem niepieniężnym w postaci nieruchomości lub prawa użytkowania wieczystego do nieruchomości, należy rozumieć:</w:t>
      </w:r>
    </w:p>
    <w:p w:rsidR="00132869" w:rsidRPr="00B81671" w:rsidRDefault="00132869" w:rsidP="00137BC9">
      <w:pPr>
        <w:pStyle w:val="Akapitzlist"/>
        <w:numPr>
          <w:ilvl w:val="1"/>
          <w:numId w:val="14"/>
        </w:numPr>
        <w:spacing w:before="120" w:after="120" w:line="360" w:lineRule="auto"/>
        <w:jc w:val="both"/>
        <w:rPr>
          <w:rFonts w:ascii="Arial" w:hAnsi="Arial" w:cs="Arial"/>
        </w:rPr>
      </w:pPr>
      <w:r w:rsidRPr="00B81671">
        <w:rPr>
          <w:rFonts w:ascii="Arial" w:hAnsi="Arial" w:cs="Arial"/>
        </w:rPr>
        <w:t xml:space="preserve">dokumenty, o których mowa w pkt </w:t>
      </w:r>
      <w:r w:rsidR="00791B55" w:rsidRPr="00B81671">
        <w:rPr>
          <w:rFonts w:ascii="Arial" w:hAnsi="Arial" w:cs="Arial"/>
        </w:rPr>
        <w:t>7</w:t>
      </w:r>
      <w:r w:rsidRPr="00B81671">
        <w:rPr>
          <w:rFonts w:ascii="Arial" w:hAnsi="Arial" w:cs="Arial"/>
        </w:rPr>
        <w:t xml:space="preserve"> oraz</w:t>
      </w:r>
    </w:p>
    <w:p w:rsidR="00132869" w:rsidRPr="00B81671" w:rsidRDefault="00132869" w:rsidP="00137BC9">
      <w:pPr>
        <w:pStyle w:val="Akapitzlist"/>
        <w:numPr>
          <w:ilvl w:val="1"/>
          <w:numId w:val="14"/>
        </w:numPr>
        <w:spacing w:before="120" w:after="120" w:line="360" w:lineRule="auto"/>
        <w:jc w:val="both"/>
        <w:rPr>
          <w:rFonts w:ascii="Arial" w:hAnsi="Arial" w:cs="Arial"/>
        </w:rPr>
      </w:pPr>
      <w:r w:rsidRPr="00B81671">
        <w:rPr>
          <w:rFonts w:ascii="Arial" w:hAnsi="Arial" w:cs="Arial"/>
        </w:rPr>
        <w:t>operat szacunkowy sporządzony przez uprawnionego rzeczoznawcę, potwierdzający, iż zadeklarowana wysokość wkładu niepieniężnego nie przekracza wartości rynkowej nieruchomości lub wartości prawa użytkowania wieczystego nieruchomości oraz</w:t>
      </w:r>
    </w:p>
    <w:p w:rsidR="00132869" w:rsidRPr="00B81671" w:rsidRDefault="00132869" w:rsidP="00137BC9">
      <w:pPr>
        <w:pStyle w:val="Akapitzlist"/>
        <w:numPr>
          <w:ilvl w:val="1"/>
          <w:numId w:val="14"/>
        </w:numPr>
        <w:spacing w:before="120" w:after="120" w:line="360" w:lineRule="auto"/>
        <w:jc w:val="both"/>
        <w:rPr>
          <w:rFonts w:ascii="Arial" w:hAnsi="Arial" w:cs="Arial"/>
        </w:rPr>
      </w:pPr>
      <w:r w:rsidRPr="00B81671">
        <w:rPr>
          <w:rFonts w:ascii="Arial" w:hAnsi="Arial" w:cs="Arial"/>
        </w:rPr>
        <w:t>odpowiednio – akt notarialny (w przypadku własności nieruchomości) lub dokument potwierdzający dysponowanie prawem użytkowania wieczystego (w przypadku wniesienia prawa użytkowania wieczystego nieruchomości).</w:t>
      </w:r>
    </w:p>
    <w:p w:rsidR="00132869" w:rsidRPr="00B81671" w:rsidRDefault="00132869" w:rsidP="00137BC9">
      <w:pPr>
        <w:pStyle w:val="Akapitzlist"/>
        <w:numPr>
          <w:ilvl w:val="0"/>
          <w:numId w:val="14"/>
        </w:numPr>
        <w:spacing w:before="120" w:after="120" w:line="360" w:lineRule="auto"/>
        <w:ind w:hanging="357"/>
        <w:jc w:val="both"/>
        <w:rPr>
          <w:rFonts w:ascii="Arial" w:hAnsi="Arial" w:cs="Arial"/>
        </w:rPr>
      </w:pPr>
      <w:r w:rsidRPr="00B81671">
        <w:rPr>
          <w:rFonts w:ascii="Arial" w:hAnsi="Arial" w:cs="Arial"/>
        </w:rPr>
        <w:t xml:space="preserve">W przypadku wkładu niepieniężnego w postaci nieruchomości podstawowym dokumentem, który określa wartość nieruchomości jest dokument księgowy. Operat szacunkowy jest dokumentem pomocniczym, określającym wartość rynkową nieruchomości. W przypadku, gdy dokument księgowy opiewa na wyższą wartość niż operat szacunkowy należy zadeklarować jako wkład niepieniężny kwotę do wysokości określonej w operacie szacunkowym. </w:t>
      </w:r>
      <w:r w:rsidR="00D66C51" w:rsidRPr="00B81671">
        <w:rPr>
          <w:rFonts w:ascii="Arial" w:hAnsi="Arial" w:cs="Arial"/>
        </w:rPr>
        <w:t>W sytuacji, gdy</w:t>
      </w:r>
      <w:r w:rsidRPr="00B81671">
        <w:rPr>
          <w:rFonts w:ascii="Arial" w:hAnsi="Arial" w:cs="Arial"/>
        </w:rPr>
        <w:t xml:space="preserve"> dokument księgowy opiewa na niższą kwotę niż operat szacunkowy należy zadeklarować jako kwalifikowalną kwotę do wysokości określonej w dokumencie księgowym.</w:t>
      </w:r>
    </w:p>
    <w:p w:rsidR="00A34C99" w:rsidRPr="00B81671" w:rsidRDefault="00132869" w:rsidP="00137BC9">
      <w:pPr>
        <w:pStyle w:val="Akapitzlist"/>
        <w:numPr>
          <w:ilvl w:val="0"/>
          <w:numId w:val="14"/>
        </w:numPr>
        <w:spacing w:before="120" w:after="120" w:line="360" w:lineRule="auto"/>
        <w:jc w:val="both"/>
        <w:rPr>
          <w:rFonts w:ascii="Arial" w:hAnsi="Arial" w:cs="Arial"/>
        </w:rPr>
      </w:pPr>
      <w:r w:rsidRPr="00B81671">
        <w:rPr>
          <w:rFonts w:ascii="Arial" w:hAnsi="Arial" w:cs="Arial"/>
        </w:rPr>
        <w:t xml:space="preserve">Przez dokument potwierdzający wysokość wkładu niepieniężnego w postaci nieodpłatnej pracy wolontariuszy, należy rozumieć porozumienie pomiędzy wolontariuszem a korzystającym (określające zakres, sposób i czas wykonywania świadczeń wolontariuszy) oraz karty prac wykonywanych przez poszczególnych wolontariuszy, </w:t>
      </w:r>
      <w:r w:rsidRPr="00B81671">
        <w:rPr>
          <w:rFonts w:ascii="Arial" w:hAnsi="Arial" w:cs="Arial"/>
        </w:rPr>
        <w:lastRenderedPageBreak/>
        <w:t xml:space="preserve">potwierdzone przez pracodawcę (korzystającego z usług wolontariusza). Karta pracy woluntariusza powinna zawierać co najmniej następujące informacje: </w:t>
      </w:r>
    </w:p>
    <w:p w:rsidR="00A34C99" w:rsidRPr="00B81671" w:rsidRDefault="00132869" w:rsidP="00137BC9">
      <w:pPr>
        <w:pStyle w:val="Akapitzlist"/>
        <w:numPr>
          <w:ilvl w:val="1"/>
          <w:numId w:val="14"/>
        </w:numPr>
        <w:spacing w:before="120" w:after="120" w:line="360" w:lineRule="auto"/>
        <w:jc w:val="both"/>
        <w:rPr>
          <w:rFonts w:ascii="Arial" w:hAnsi="Arial" w:cs="Arial"/>
        </w:rPr>
      </w:pPr>
      <w:r w:rsidRPr="00B81671">
        <w:rPr>
          <w:rFonts w:ascii="Arial" w:hAnsi="Arial" w:cs="Arial"/>
        </w:rPr>
        <w:t xml:space="preserve">imię i nazwisko wolontariusza, </w:t>
      </w:r>
    </w:p>
    <w:p w:rsidR="00A34C99" w:rsidRPr="00B81671" w:rsidRDefault="00132869" w:rsidP="00137BC9">
      <w:pPr>
        <w:pStyle w:val="Akapitzlist"/>
        <w:numPr>
          <w:ilvl w:val="1"/>
          <w:numId w:val="14"/>
        </w:numPr>
        <w:spacing w:before="120" w:after="120" w:line="360" w:lineRule="auto"/>
        <w:jc w:val="both"/>
        <w:rPr>
          <w:rFonts w:ascii="Arial" w:hAnsi="Arial" w:cs="Arial"/>
        </w:rPr>
      </w:pPr>
      <w:r w:rsidRPr="00B81671">
        <w:rPr>
          <w:rFonts w:ascii="Arial" w:hAnsi="Arial" w:cs="Arial"/>
        </w:rPr>
        <w:t xml:space="preserve">datę świadczenia pracy, </w:t>
      </w:r>
    </w:p>
    <w:p w:rsidR="00A34C99" w:rsidRPr="00B81671" w:rsidRDefault="00132869" w:rsidP="00137BC9">
      <w:pPr>
        <w:pStyle w:val="Akapitzlist"/>
        <w:numPr>
          <w:ilvl w:val="1"/>
          <w:numId w:val="14"/>
        </w:numPr>
        <w:spacing w:before="120" w:after="120" w:line="360" w:lineRule="auto"/>
        <w:jc w:val="both"/>
        <w:rPr>
          <w:rFonts w:ascii="Arial" w:hAnsi="Arial" w:cs="Arial"/>
        </w:rPr>
      </w:pPr>
      <w:r w:rsidRPr="00B81671">
        <w:rPr>
          <w:rFonts w:ascii="Arial" w:hAnsi="Arial" w:cs="Arial"/>
        </w:rPr>
        <w:t xml:space="preserve">wymiar godzinowy, </w:t>
      </w:r>
    </w:p>
    <w:p w:rsidR="000E1269" w:rsidRPr="00B81671" w:rsidRDefault="00132869" w:rsidP="00137BC9">
      <w:pPr>
        <w:pStyle w:val="Akapitzlist"/>
        <w:numPr>
          <w:ilvl w:val="1"/>
          <w:numId w:val="14"/>
        </w:numPr>
        <w:spacing w:before="120" w:after="120" w:line="360" w:lineRule="auto"/>
        <w:jc w:val="both"/>
        <w:rPr>
          <w:rFonts w:ascii="Arial" w:hAnsi="Arial" w:cs="Arial"/>
        </w:rPr>
      </w:pPr>
      <w:r w:rsidRPr="00B81671">
        <w:rPr>
          <w:rFonts w:ascii="Arial" w:hAnsi="Arial" w:cs="Arial"/>
        </w:rPr>
        <w:t>zakres realizowanych zadań oraz uzasadnienie ich związku z projektem</w:t>
      </w:r>
      <w:r w:rsidR="000E1269" w:rsidRPr="00B81671">
        <w:rPr>
          <w:rFonts w:ascii="Arial" w:hAnsi="Arial" w:cs="Arial"/>
        </w:rPr>
        <w:t>,</w:t>
      </w:r>
    </w:p>
    <w:p w:rsidR="00A34C99" w:rsidRPr="00B81671" w:rsidRDefault="00132869" w:rsidP="00137BC9">
      <w:pPr>
        <w:pStyle w:val="Akapitzlist"/>
        <w:numPr>
          <w:ilvl w:val="1"/>
          <w:numId w:val="14"/>
        </w:numPr>
        <w:spacing w:before="120" w:after="120" w:line="360" w:lineRule="auto"/>
        <w:jc w:val="both"/>
        <w:rPr>
          <w:rFonts w:ascii="Arial" w:hAnsi="Arial" w:cs="Arial"/>
        </w:rPr>
      </w:pPr>
      <w:r w:rsidRPr="00B81671">
        <w:rPr>
          <w:rFonts w:ascii="Arial" w:hAnsi="Arial" w:cs="Arial"/>
        </w:rPr>
        <w:t xml:space="preserve">uzasadnienie obliczenia </w:t>
      </w:r>
      <w:r w:rsidR="000E1269" w:rsidRPr="00B81671">
        <w:rPr>
          <w:rFonts w:ascii="Arial" w:hAnsi="Arial" w:cs="Arial"/>
        </w:rPr>
        <w:t xml:space="preserve">szacunkowej </w:t>
      </w:r>
      <w:r w:rsidRPr="00B81671">
        <w:rPr>
          <w:rFonts w:ascii="Arial" w:hAnsi="Arial" w:cs="Arial"/>
        </w:rPr>
        <w:t>wartości</w:t>
      </w:r>
      <w:r w:rsidR="000E1269" w:rsidRPr="00B81671">
        <w:rPr>
          <w:rFonts w:ascii="Arial" w:hAnsi="Arial" w:cs="Arial"/>
        </w:rPr>
        <w:t xml:space="preserve"> </w:t>
      </w:r>
      <w:r w:rsidR="00D07FC1" w:rsidRPr="00B81671">
        <w:rPr>
          <w:rFonts w:ascii="Arial" w:hAnsi="Arial" w:cs="Arial"/>
        </w:rPr>
        <w:t xml:space="preserve">zadań </w:t>
      </w:r>
      <w:r w:rsidR="000E1269" w:rsidRPr="00B81671">
        <w:rPr>
          <w:rFonts w:ascii="Arial" w:hAnsi="Arial" w:cs="Arial"/>
        </w:rPr>
        <w:t>uwzględniającej powszechnie stosowane stawki rynkowe dla analogicznych zadań wykonywanych komercyjnie,</w:t>
      </w:r>
      <w:r w:rsidRPr="00B81671">
        <w:rPr>
          <w:rFonts w:ascii="Arial" w:hAnsi="Arial" w:cs="Arial"/>
        </w:rPr>
        <w:t xml:space="preserve"> </w:t>
      </w:r>
    </w:p>
    <w:p w:rsidR="00132869" w:rsidRPr="00B81671" w:rsidRDefault="00132869" w:rsidP="00137BC9">
      <w:pPr>
        <w:pStyle w:val="Akapitzlist"/>
        <w:numPr>
          <w:ilvl w:val="1"/>
          <w:numId w:val="14"/>
        </w:numPr>
        <w:spacing w:before="120" w:after="120" w:line="360" w:lineRule="auto"/>
        <w:jc w:val="both"/>
        <w:rPr>
          <w:rFonts w:ascii="Arial" w:hAnsi="Arial" w:cs="Arial"/>
        </w:rPr>
      </w:pPr>
      <w:r w:rsidRPr="00B81671">
        <w:rPr>
          <w:rFonts w:ascii="Arial" w:hAnsi="Arial" w:cs="Arial"/>
        </w:rPr>
        <w:t>podpis wolontariusza i pracodawcy.</w:t>
      </w:r>
    </w:p>
    <w:p w:rsidR="00B14D05" w:rsidRPr="00B81671" w:rsidRDefault="00AA0D56" w:rsidP="00137BC9">
      <w:pPr>
        <w:pStyle w:val="Akapitzlist"/>
        <w:numPr>
          <w:ilvl w:val="0"/>
          <w:numId w:val="14"/>
        </w:numPr>
        <w:spacing w:before="120" w:after="120" w:line="360" w:lineRule="auto"/>
        <w:jc w:val="both"/>
        <w:rPr>
          <w:rFonts w:ascii="Arial" w:hAnsi="Arial" w:cs="Arial"/>
        </w:rPr>
      </w:pPr>
      <w:r w:rsidRPr="00B81671">
        <w:rPr>
          <w:rFonts w:ascii="Arial" w:hAnsi="Arial" w:cs="Arial"/>
        </w:rPr>
        <w:t>Dokumenty potwierdzające poniesione wydatki powinny być</w:t>
      </w:r>
      <w:r w:rsidR="00B14D05" w:rsidRPr="00B81671">
        <w:rPr>
          <w:rFonts w:ascii="Arial" w:hAnsi="Arial" w:cs="Arial"/>
        </w:rPr>
        <w:t xml:space="preserve"> opisane w taki sposób, aby widoczny był związek danego wydatku z realizowanym projektem oraz powinny odnosić się do konkretne</w:t>
      </w:r>
      <w:r w:rsidR="008F7E83">
        <w:rPr>
          <w:rFonts w:ascii="Arial" w:hAnsi="Arial" w:cs="Arial"/>
        </w:rPr>
        <w:t>go zadania/podzadania</w:t>
      </w:r>
      <w:r w:rsidR="00B14D05" w:rsidRPr="00B81671">
        <w:rPr>
          <w:rFonts w:ascii="Arial" w:hAnsi="Arial" w:cs="Arial"/>
        </w:rPr>
        <w:t xml:space="preserve"> wynikające</w:t>
      </w:r>
      <w:r w:rsidR="008F7E83">
        <w:rPr>
          <w:rFonts w:ascii="Arial" w:hAnsi="Arial" w:cs="Arial"/>
        </w:rPr>
        <w:t>go</w:t>
      </w:r>
      <w:r w:rsidR="00B14D05" w:rsidRPr="00B81671">
        <w:rPr>
          <w:rFonts w:ascii="Arial" w:hAnsi="Arial" w:cs="Arial"/>
        </w:rPr>
        <w:t xml:space="preserve"> z wniosku o dofinansowanie. </w:t>
      </w:r>
      <w:r w:rsidR="002C6429" w:rsidRPr="00B81671">
        <w:rPr>
          <w:rFonts w:ascii="Arial" w:hAnsi="Arial" w:cs="Arial"/>
        </w:rPr>
        <w:t>Oryginał d</w:t>
      </w:r>
      <w:r w:rsidR="00B14D05" w:rsidRPr="00B81671">
        <w:rPr>
          <w:rFonts w:ascii="Arial" w:hAnsi="Arial" w:cs="Arial"/>
        </w:rPr>
        <w:t>ow</w:t>
      </w:r>
      <w:r w:rsidR="002C6429" w:rsidRPr="00B81671">
        <w:rPr>
          <w:rFonts w:ascii="Arial" w:hAnsi="Arial" w:cs="Arial"/>
        </w:rPr>
        <w:t>o</w:t>
      </w:r>
      <w:r w:rsidR="00B14D05" w:rsidRPr="00B81671">
        <w:rPr>
          <w:rFonts w:ascii="Arial" w:hAnsi="Arial" w:cs="Arial"/>
        </w:rPr>
        <w:t>d</w:t>
      </w:r>
      <w:r w:rsidR="002C6429" w:rsidRPr="00B81671">
        <w:rPr>
          <w:rFonts w:ascii="Arial" w:hAnsi="Arial" w:cs="Arial"/>
        </w:rPr>
        <w:t>u</w:t>
      </w:r>
      <w:r w:rsidR="00B14D05" w:rsidRPr="00B81671">
        <w:rPr>
          <w:rFonts w:ascii="Arial" w:hAnsi="Arial" w:cs="Arial"/>
        </w:rPr>
        <w:t xml:space="preserve"> księgow</w:t>
      </w:r>
      <w:r w:rsidR="002C6429" w:rsidRPr="00B81671">
        <w:rPr>
          <w:rFonts w:ascii="Arial" w:hAnsi="Arial" w:cs="Arial"/>
        </w:rPr>
        <w:t>ego</w:t>
      </w:r>
      <w:r w:rsidR="00B14D05" w:rsidRPr="00B81671">
        <w:rPr>
          <w:rFonts w:ascii="Arial" w:hAnsi="Arial" w:cs="Arial"/>
        </w:rPr>
        <w:t xml:space="preserve"> powinien być również podpisany przez osobę akceptującą dokument oraz zawierać dekretację (lub trwałe dołączenie wydruku dekretu do dokumentu), numer księgowy</w:t>
      </w:r>
      <w:r w:rsidR="002C6429" w:rsidRPr="00B81671">
        <w:rPr>
          <w:rFonts w:ascii="Arial" w:hAnsi="Arial" w:cs="Arial"/>
        </w:rPr>
        <w:t>. Na orygina</w:t>
      </w:r>
      <w:r w:rsidR="008F7E83">
        <w:rPr>
          <w:rFonts w:ascii="Arial" w:hAnsi="Arial" w:cs="Arial"/>
        </w:rPr>
        <w:t>le</w:t>
      </w:r>
      <w:r w:rsidR="002C6429" w:rsidRPr="00B81671">
        <w:rPr>
          <w:rFonts w:ascii="Arial" w:hAnsi="Arial" w:cs="Arial"/>
        </w:rPr>
        <w:t xml:space="preserve"> dokumentu należy zawrzeć</w:t>
      </w:r>
      <w:r w:rsidR="00B14D05" w:rsidRPr="00B81671">
        <w:rPr>
          <w:rFonts w:ascii="Arial" w:hAnsi="Arial" w:cs="Arial"/>
        </w:rPr>
        <w:t>, numer umowy o dofinansowanie</w:t>
      </w:r>
      <w:r w:rsidR="002C6429" w:rsidRPr="00B81671">
        <w:rPr>
          <w:rFonts w:ascii="Arial" w:hAnsi="Arial" w:cs="Arial"/>
        </w:rPr>
        <w:t xml:space="preserve">, </w:t>
      </w:r>
      <w:r w:rsidR="00B14D05" w:rsidRPr="00B81671">
        <w:rPr>
          <w:rFonts w:ascii="Arial" w:hAnsi="Arial" w:cs="Arial"/>
        </w:rPr>
        <w:t>informację o wspó</w:t>
      </w:r>
      <w:r w:rsidRPr="00B81671">
        <w:rPr>
          <w:rFonts w:ascii="Arial" w:hAnsi="Arial" w:cs="Arial"/>
        </w:rPr>
        <w:t>łfinansowaniu z EFRR</w:t>
      </w:r>
      <w:r w:rsidR="002C6429" w:rsidRPr="00B81671">
        <w:rPr>
          <w:rFonts w:ascii="Arial" w:hAnsi="Arial" w:cs="Arial"/>
        </w:rPr>
        <w:t xml:space="preserve"> oraz kwotę wydatków kwalifikowalnych w ramach projektu</w:t>
      </w:r>
      <w:r w:rsidR="00B14D05" w:rsidRPr="00B81671">
        <w:rPr>
          <w:rFonts w:ascii="Arial" w:hAnsi="Arial" w:cs="Arial"/>
        </w:rPr>
        <w:t>. W przypadku dokumentowania wydatków za pomocą faktury elektronicznej należy przedstawić wydruk (wizualizację) dokumentu księgowego, co jest równoważne kopii tradycyjnego dokumentu księgowego. Beneficjent dokonuje ww. opisu na wydruku (wizualizacji) faktury elektronicznej.</w:t>
      </w:r>
      <w:r w:rsidR="002C6429" w:rsidRPr="00B81671">
        <w:rPr>
          <w:rFonts w:ascii="Arial" w:hAnsi="Arial" w:cs="Arial"/>
        </w:rPr>
        <w:t xml:space="preserve"> Dodatkowo na oryginale dokumentu lub w formie załącznika należy przedstawić opis potwierdzający związek danego wydatku z realizowanym projektem, odniesienie do daty zawarcia i numeru umowy z wykonawcą oraz odniesienie do konkretnej pozycji wynikającej z harmonogramu rzeczowo-finansowego projektu</w:t>
      </w:r>
      <w:r w:rsidR="00F01779" w:rsidRPr="00B81671">
        <w:rPr>
          <w:rFonts w:ascii="Arial" w:hAnsi="Arial" w:cs="Arial"/>
        </w:rPr>
        <w:t xml:space="preserve"> </w:t>
      </w:r>
      <w:r w:rsidR="009E7AB2" w:rsidRPr="00B81671">
        <w:rPr>
          <w:rFonts w:ascii="Arial" w:hAnsi="Arial" w:cs="Arial"/>
        </w:rPr>
        <w:t>(w tym nr zadania i nazwa kategorii)</w:t>
      </w:r>
      <w:r w:rsidR="002C6429" w:rsidRPr="00B81671">
        <w:rPr>
          <w:rFonts w:ascii="Arial" w:hAnsi="Arial" w:cs="Arial"/>
        </w:rPr>
        <w:t>, w której wydatek jest ujęty.</w:t>
      </w:r>
      <w:r w:rsidR="008F7E83">
        <w:rPr>
          <w:rFonts w:ascii="Arial" w:hAnsi="Arial" w:cs="Arial"/>
        </w:rPr>
        <w:t xml:space="preserve"> W przypadku opisu w formie załącznika należy na oryginale dokumentu księgowego umieścić informację, że dokument posiada załącznik - opis </w:t>
      </w:r>
      <w:r w:rsidR="0055586F">
        <w:rPr>
          <w:rFonts w:ascii="Arial" w:hAnsi="Arial" w:cs="Arial"/>
        </w:rPr>
        <w:t>merytoryczny</w:t>
      </w:r>
      <w:r w:rsidR="008F7E83">
        <w:rPr>
          <w:rFonts w:ascii="Arial" w:hAnsi="Arial" w:cs="Arial"/>
        </w:rPr>
        <w:t>.</w:t>
      </w:r>
    </w:p>
    <w:p w:rsidR="00132869" w:rsidRPr="00B81671" w:rsidRDefault="00D04FFE" w:rsidP="00137BC9">
      <w:pPr>
        <w:pStyle w:val="Akapitzlist"/>
        <w:numPr>
          <w:ilvl w:val="0"/>
          <w:numId w:val="14"/>
        </w:numPr>
        <w:spacing w:before="120" w:after="120" w:line="360" w:lineRule="auto"/>
        <w:ind w:hanging="357"/>
        <w:jc w:val="both"/>
        <w:rPr>
          <w:rFonts w:ascii="Arial" w:hAnsi="Arial" w:cs="Arial"/>
        </w:rPr>
      </w:pPr>
      <w:r w:rsidRPr="00B81671">
        <w:rPr>
          <w:rFonts w:ascii="Arial" w:hAnsi="Arial" w:cs="Arial"/>
        </w:rPr>
        <w:t xml:space="preserve">W ramach projektu należy prowadzić </w:t>
      </w:r>
      <w:r w:rsidR="00356615" w:rsidRPr="00B81671">
        <w:rPr>
          <w:rFonts w:ascii="Arial" w:hAnsi="Arial" w:cs="Arial"/>
        </w:rPr>
        <w:t>wyodrębnion</w:t>
      </w:r>
      <w:r w:rsidRPr="00B81671">
        <w:rPr>
          <w:rFonts w:ascii="Arial" w:hAnsi="Arial" w:cs="Arial"/>
        </w:rPr>
        <w:t>ą</w:t>
      </w:r>
      <w:r w:rsidR="00356615" w:rsidRPr="00B81671">
        <w:rPr>
          <w:rFonts w:ascii="Arial" w:hAnsi="Arial" w:cs="Arial"/>
        </w:rPr>
        <w:t xml:space="preserve"> </w:t>
      </w:r>
      <w:r w:rsidR="00132869" w:rsidRPr="00B81671">
        <w:rPr>
          <w:rFonts w:ascii="Arial" w:hAnsi="Arial" w:cs="Arial"/>
        </w:rPr>
        <w:t>ewidencj</w:t>
      </w:r>
      <w:r w:rsidRPr="00B81671">
        <w:rPr>
          <w:rFonts w:ascii="Arial" w:hAnsi="Arial" w:cs="Arial"/>
        </w:rPr>
        <w:t>ę</w:t>
      </w:r>
      <w:r w:rsidR="00132869" w:rsidRPr="00B81671">
        <w:rPr>
          <w:rFonts w:ascii="Arial" w:hAnsi="Arial" w:cs="Arial"/>
        </w:rPr>
        <w:t xml:space="preserve"> księgow</w:t>
      </w:r>
      <w:r w:rsidRPr="00B81671">
        <w:rPr>
          <w:rFonts w:ascii="Arial" w:hAnsi="Arial" w:cs="Arial"/>
        </w:rPr>
        <w:t>ą</w:t>
      </w:r>
      <w:r w:rsidR="00132869" w:rsidRPr="00B81671">
        <w:rPr>
          <w:rFonts w:ascii="Arial" w:hAnsi="Arial" w:cs="Arial"/>
        </w:rPr>
        <w:t xml:space="preserve"> kosztów, wydatków</w:t>
      </w:r>
      <w:r w:rsidR="00626F88" w:rsidRPr="00B81671">
        <w:rPr>
          <w:rFonts w:ascii="Arial" w:hAnsi="Arial" w:cs="Arial"/>
        </w:rPr>
        <w:t xml:space="preserve"> i</w:t>
      </w:r>
      <w:r w:rsidR="00132869" w:rsidRPr="00B81671">
        <w:rPr>
          <w:rFonts w:ascii="Arial" w:hAnsi="Arial" w:cs="Arial"/>
        </w:rPr>
        <w:t xml:space="preserve"> przychodów</w:t>
      </w:r>
      <w:r w:rsidR="00356615" w:rsidRPr="00B81671">
        <w:rPr>
          <w:rFonts w:ascii="Arial" w:hAnsi="Arial" w:cs="Arial"/>
        </w:rPr>
        <w:t>, polegając</w:t>
      </w:r>
      <w:r w:rsidRPr="00B81671">
        <w:rPr>
          <w:rFonts w:ascii="Arial" w:hAnsi="Arial" w:cs="Arial"/>
        </w:rPr>
        <w:t>ą</w:t>
      </w:r>
      <w:r w:rsidR="00356615" w:rsidRPr="00B81671">
        <w:rPr>
          <w:rFonts w:ascii="Arial" w:hAnsi="Arial" w:cs="Arial"/>
        </w:rPr>
        <w:t xml:space="preserve"> w szczególności na </w:t>
      </w:r>
      <w:r w:rsidR="00626F88" w:rsidRPr="00B81671">
        <w:rPr>
          <w:rFonts w:ascii="Arial" w:hAnsi="Arial" w:cs="Arial"/>
        </w:rPr>
        <w:t>prowadzeniu odrębnego systemu księgowego</w:t>
      </w:r>
      <w:r w:rsidR="00657432" w:rsidRPr="00B81671">
        <w:rPr>
          <w:rStyle w:val="Odwoanieprzypisudolnego"/>
          <w:rFonts w:ascii="Arial" w:hAnsi="Arial" w:cs="Arial"/>
          <w:sz w:val="18"/>
          <w:szCs w:val="18"/>
        </w:rPr>
        <w:footnoteReference w:id="7"/>
      </w:r>
      <w:r w:rsidR="00626F88" w:rsidRPr="00B81671">
        <w:rPr>
          <w:rFonts w:ascii="Arial" w:hAnsi="Arial" w:cs="Arial"/>
        </w:rPr>
        <w:t xml:space="preserve"> lub </w:t>
      </w:r>
      <w:r w:rsidR="00132869" w:rsidRPr="00B81671">
        <w:rPr>
          <w:rFonts w:ascii="Arial" w:hAnsi="Arial" w:cs="Arial"/>
        </w:rPr>
        <w:t>stosowani</w:t>
      </w:r>
      <w:r w:rsidR="00356615" w:rsidRPr="00B81671">
        <w:rPr>
          <w:rFonts w:ascii="Arial" w:hAnsi="Arial" w:cs="Arial"/>
        </w:rPr>
        <w:t>u</w:t>
      </w:r>
      <w:r w:rsidR="00132869" w:rsidRPr="00B81671">
        <w:rPr>
          <w:rFonts w:ascii="Arial" w:hAnsi="Arial" w:cs="Arial"/>
        </w:rPr>
        <w:t xml:space="preserve"> w ramach istniejącego systemu księgowe</w:t>
      </w:r>
      <w:r w:rsidR="00626F88" w:rsidRPr="00B81671">
        <w:rPr>
          <w:rFonts w:ascii="Arial" w:hAnsi="Arial" w:cs="Arial"/>
        </w:rPr>
        <w:t>go</w:t>
      </w:r>
      <w:r w:rsidR="00132869" w:rsidRPr="00B81671">
        <w:rPr>
          <w:rFonts w:ascii="Arial" w:hAnsi="Arial" w:cs="Arial"/>
        </w:rPr>
        <w:t xml:space="preserve"> odrębnego kodu księgowego umożliwiającego identyfikację wszystkich transakcji oraz poszczególnych operacji bankowych związanych z projektem oraz zapewni</w:t>
      </w:r>
      <w:r w:rsidRPr="00B81671">
        <w:rPr>
          <w:rFonts w:ascii="Arial" w:hAnsi="Arial" w:cs="Arial"/>
        </w:rPr>
        <w:t>ć</w:t>
      </w:r>
      <w:r w:rsidR="00132869" w:rsidRPr="00B81671">
        <w:rPr>
          <w:rFonts w:ascii="Arial" w:hAnsi="Arial" w:cs="Arial"/>
        </w:rPr>
        <w:t>, że operacje gospodarcze są ewidencjonowane zgodnie z obowiązującymi przepisami.</w:t>
      </w:r>
    </w:p>
    <w:p w:rsidR="00132869" w:rsidRPr="00B81671" w:rsidRDefault="00132869" w:rsidP="00137BC9">
      <w:pPr>
        <w:pStyle w:val="Akapitzlist"/>
        <w:numPr>
          <w:ilvl w:val="0"/>
          <w:numId w:val="14"/>
        </w:numPr>
        <w:spacing w:before="120" w:after="120" w:line="360" w:lineRule="auto"/>
        <w:ind w:hanging="357"/>
        <w:jc w:val="both"/>
        <w:rPr>
          <w:rFonts w:ascii="Arial" w:hAnsi="Arial" w:cs="Arial"/>
        </w:rPr>
      </w:pPr>
      <w:r w:rsidRPr="00B81671">
        <w:rPr>
          <w:rFonts w:ascii="Arial" w:hAnsi="Arial" w:cs="Arial"/>
        </w:rPr>
        <w:t>Dokumenty związane z realizacją projektu powinny być przechowywane przez okres wskazany w umowie o dofinansowanie.</w:t>
      </w:r>
    </w:p>
    <w:p w:rsidR="00126CDA" w:rsidRPr="00B81671" w:rsidRDefault="00126CDA" w:rsidP="00137BC9">
      <w:pPr>
        <w:pStyle w:val="Akapitzlist"/>
        <w:numPr>
          <w:ilvl w:val="0"/>
          <w:numId w:val="14"/>
        </w:numPr>
        <w:spacing w:before="120" w:after="120" w:line="360" w:lineRule="auto"/>
        <w:ind w:hanging="357"/>
        <w:jc w:val="both"/>
        <w:rPr>
          <w:rFonts w:ascii="Arial" w:hAnsi="Arial" w:cs="Arial"/>
        </w:rPr>
      </w:pPr>
      <w:r w:rsidRPr="00B81671">
        <w:rPr>
          <w:rFonts w:ascii="Arial" w:hAnsi="Arial" w:cs="Arial"/>
        </w:rPr>
        <w:lastRenderedPageBreak/>
        <w:t>W</w:t>
      </w:r>
      <w:r w:rsidR="00657432" w:rsidRPr="00B81671">
        <w:rPr>
          <w:rFonts w:ascii="Arial" w:hAnsi="Arial" w:cs="Arial"/>
        </w:rPr>
        <w:t xml:space="preserve"> sytuacji poniesienia w</w:t>
      </w:r>
      <w:r w:rsidRPr="00B81671">
        <w:rPr>
          <w:rFonts w:ascii="Arial" w:hAnsi="Arial" w:cs="Arial"/>
        </w:rPr>
        <w:t>ydatk</w:t>
      </w:r>
      <w:r w:rsidR="00657432" w:rsidRPr="00B81671">
        <w:rPr>
          <w:rFonts w:ascii="Arial" w:hAnsi="Arial" w:cs="Arial"/>
        </w:rPr>
        <w:t xml:space="preserve">u </w:t>
      </w:r>
      <w:r w:rsidR="006423EA" w:rsidRPr="00B81671">
        <w:rPr>
          <w:rFonts w:ascii="Arial" w:hAnsi="Arial" w:cs="Arial"/>
        </w:rPr>
        <w:t>w walucie innej niż PLN</w:t>
      </w:r>
      <w:r w:rsidR="00657432" w:rsidRPr="00B81671">
        <w:rPr>
          <w:rFonts w:ascii="Arial" w:hAnsi="Arial" w:cs="Arial"/>
        </w:rPr>
        <w:t xml:space="preserve">, ujemne różnice kursowe nie są kwalifikowalne. Dodatnie różnice kursowe nie są traktowane jako przychód w projekcie, jednakże za kwalifikowalny może zostać uznany wydatek w wysokości nie większej </w:t>
      </w:r>
      <w:r w:rsidR="0030208A" w:rsidRPr="00B81671">
        <w:rPr>
          <w:rFonts w:ascii="Arial" w:hAnsi="Arial" w:cs="Arial"/>
        </w:rPr>
        <w:t xml:space="preserve">niż faktycznie poniesiony i odzwierciedlony w księgach rachunkowych beneficjenta, zgodnie z przepisami krajowymi w zakresie rachunkowości oraz podatku </w:t>
      </w:r>
      <w:r w:rsidR="004D52F8" w:rsidRPr="00B81671">
        <w:rPr>
          <w:rFonts w:ascii="Arial" w:hAnsi="Arial" w:cs="Arial"/>
        </w:rPr>
        <w:t xml:space="preserve">o </w:t>
      </w:r>
      <w:r w:rsidR="0030208A" w:rsidRPr="00B81671">
        <w:rPr>
          <w:rFonts w:ascii="Arial" w:hAnsi="Arial" w:cs="Arial"/>
        </w:rPr>
        <w:t>VAT</w:t>
      </w:r>
      <w:r w:rsidR="006423EA" w:rsidRPr="00B81671">
        <w:rPr>
          <w:rFonts w:ascii="Arial" w:hAnsi="Arial" w:cs="Arial"/>
        </w:rPr>
        <w:t xml:space="preserve"> </w:t>
      </w:r>
    </w:p>
    <w:p w:rsidR="00132869" w:rsidRPr="00B81671" w:rsidRDefault="00132869" w:rsidP="00137BC9">
      <w:pPr>
        <w:pStyle w:val="Akapitzlist"/>
        <w:numPr>
          <w:ilvl w:val="0"/>
          <w:numId w:val="14"/>
        </w:numPr>
        <w:spacing w:before="120" w:after="120" w:line="360" w:lineRule="auto"/>
        <w:ind w:hanging="357"/>
        <w:jc w:val="both"/>
        <w:rPr>
          <w:rFonts w:ascii="Arial" w:hAnsi="Arial" w:cs="Arial"/>
        </w:rPr>
      </w:pPr>
      <w:r w:rsidRPr="00B81671">
        <w:rPr>
          <w:rFonts w:ascii="Arial" w:hAnsi="Arial" w:cs="Arial"/>
        </w:rPr>
        <w:t>W przypadku</w:t>
      </w:r>
      <w:r w:rsidR="0030208A" w:rsidRPr="00B81671">
        <w:rPr>
          <w:rFonts w:ascii="Arial" w:hAnsi="Arial" w:cs="Arial"/>
        </w:rPr>
        <w:t xml:space="preserve">, gdy rozporządzenie dotyczące danego programu pomocowego określa inny sposób przeliczenia wydatków w walucie innej niż PLN od tego wskazanego w pkt 14, stosuje się zapisy tego rozporządzenia </w:t>
      </w:r>
      <w:r w:rsidRPr="00B81671">
        <w:rPr>
          <w:rFonts w:ascii="Arial" w:hAnsi="Arial" w:cs="Arial"/>
        </w:rPr>
        <w:t>.</w:t>
      </w:r>
    </w:p>
    <w:p w:rsidR="00903FFD" w:rsidRPr="00B81671" w:rsidRDefault="00132869" w:rsidP="00137BC9">
      <w:pPr>
        <w:pStyle w:val="Akapitzlist"/>
        <w:numPr>
          <w:ilvl w:val="0"/>
          <w:numId w:val="14"/>
        </w:numPr>
        <w:spacing w:before="120" w:after="120" w:line="360" w:lineRule="auto"/>
        <w:ind w:hanging="357"/>
        <w:jc w:val="both"/>
        <w:rPr>
          <w:rFonts w:ascii="Arial" w:hAnsi="Arial" w:cs="Arial"/>
        </w:rPr>
      </w:pPr>
      <w:r w:rsidRPr="00B81671">
        <w:rPr>
          <w:rFonts w:ascii="Arial" w:hAnsi="Arial" w:cs="Arial"/>
        </w:rPr>
        <w:t xml:space="preserve">W przypadku rozliczania, jako kwalifikowalne wydatków finansowanych z zaliczek wypłacanych pracownikom beneficjenta w celu odbycia delegacji zagranicznej, za kwalifikowalną może być uznana kwota faktycznie wykorzystanej zaliczki, po </w:t>
      </w:r>
      <w:r w:rsidR="0030208A" w:rsidRPr="00B81671">
        <w:rPr>
          <w:rFonts w:ascii="Arial" w:hAnsi="Arial" w:cs="Arial"/>
        </w:rPr>
        <w:t>kursie zgodnym z zasadami rachunkowości stosowanymi u beneficjenta</w:t>
      </w:r>
      <w:r w:rsidRPr="00B81671">
        <w:rPr>
          <w:rFonts w:ascii="Arial" w:hAnsi="Arial" w:cs="Arial"/>
        </w:rPr>
        <w:t>.</w:t>
      </w:r>
    </w:p>
    <w:p w:rsidR="00AA40E5" w:rsidRPr="00A555CE" w:rsidRDefault="00AA40E5" w:rsidP="007D733F">
      <w:pPr>
        <w:pStyle w:val="Akapitzlist"/>
        <w:spacing w:after="0" w:line="360" w:lineRule="auto"/>
        <w:ind w:left="360"/>
        <w:jc w:val="both"/>
        <w:rPr>
          <w:rFonts w:ascii="Arial" w:hAnsi="Arial" w:cs="Arial"/>
        </w:rPr>
      </w:pPr>
    </w:p>
    <w:p w:rsidR="00903FFD" w:rsidRPr="00B81671" w:rsidRDefault="00903FFD" w:rsidP="00903FFD">
      <w:pPr>
        <w:pStyle w:val="Nagwek2"/>
        <w:numPr>
          <w:ilvl w:val="1"/>
          <w:numId w:val="1"/>
        </w:numPr>
        <w:spacing w:before="240" w:after="60" w:line="360" w:lineRule="auto"/>
        <w:ind w:left="1077"/>
        <w:jc w:val="center"/>
        <w:rPr>
          <w:rFonts w:ascii="Arial" w:hAnsi="Arial" w:cs="Arial"/>
          <w:i/>
          <w:color w:val="auto"/>
          <w:sz w:val="24"/>
          <w:szCs w:val="24"/>
        </w:rPr>
      </w:pPr>
      <w:bookmarkStart w:id="28" w:name="_Toc508630104"/>
      <w:bookmarkStart w:id="29" w:name="_Toc399917175"/>
      <w:r w:rsidRPr="00B81671">
        <w:rPr>
          <w:rFonts w:ascii="Arial" w:hAnsi="Arial" w:cs="Arial"/>
          <w:i/>
          <w:color w:val="auto"/>
          <w:sz w:val="24"/>
          <w:szCs w:val="24"/>
        </w:rPr>
        <w:t>Warunki oraz okres kwalifikowania wydatków w projektach podlegających zasadom pomocy publicznej</w:t>
      </w:r>
      <w:bookmarkEnd w:id="28"/>
    </w:p>
    <w:p w:rsidR="001C278F" w:rsidRPr="00B81671" w:rsidRDefault="001C278F" w:rsidP="00137BC9">
      <w:pPr>
        <w:pStyle w:val="Akapitzlist"/>
        <w:numPr>
          <w:ilvl w:val="0"/>
          <w:numId w:val="12"/>
        </w:numPr>
        <w:spacing w:before="120" w:after="120" w:line="360" w:lineRule="auto"/>
        <w:jc w:val="both"/>
        <w:rPr>
          <w:rFonts w:ascii="Arial" w:hAnsi="Arial" w:cs="Arial"/>
        </w:rPr>
      </w:pPr>
      <w:r w:rsidRPr="00B81671">
        <w:rPr>
          <w:rFonts w:ascii="Arial" w:hAnsi="Arial" w:cs="Arial"/>
        </w:rPr>
        <w:t>Ramy czasowe kwalifikowalności dla projektów objętych pomocą publiczną:</w:t>
      </w:r>
    </w:p>
    <w:p w:rsidR="001C278F" w:rsidRPr="00B81671" w:rsidRDefault="001C278F" w:rsidP="00137BC9">
      <w:pPr>
        <w:pStyle w:val="Akapitzlist"/>
        <w:numPr>
          <w:ilvl w:val="1"/>
          <w:numId w:val="19"/>
        </w:numPr>
        <w:spacing w:after="0" w:line="360" w:lineRule="auto"/>
        <w:jc w:val="both"/>
        <w:rPr>
          <w:rFonts w:ascii="Arial" w:hAnsi="Arial" w:cs="Arial"/>
        </w:rPr>
      </w:pPr>
      <w:r w:rsidRPr="00B81671">
        <w:rPr>
          <w:rFonts w:ascii="Arial" w:hAnsi="Arial" w:cs="Arial"/>
        </w:rPr>
        <w:t>W przypadku projektów objętych programem pomocowym</w:t>
      </w:r>
      <w:r w:rsidRPr="00B81671">
        <w:rPr>
          <w:rStyle w:val="Odwoanieprzypisudolnego"/>
          <w:rFonts w:ascii="Arial" w:eastAsia="Times New Roman" w:hAnsi="Arial" w:cs="Arial"/>
          <w:sz w:val="18"/>
          <w:szCs w:val="18"/>
          <w:lang w:val="x-none"/>
        </w:rPr>
        <w:footnoteReference w:id="8"/>
      </w:r>
      <w:r w:rsidRPr="00B81671">
        <w:rPr>
          <w:rFonts w:ascii="Arial" w:hAnsi="Arial" w:cs="Arial"/>
        </w:rPr>
        <w:t xml:space="preserve"> – obowiązują ramy czasowe określone w tym akcie.</w:t>
      </w:r>
    </w:p>
    <w:p w:rsidR="001C278F" w:rsidRPr="00B81671" w:rsidRDefault="001C278F" w:rsidP="00137BC9">
      <w:pPr>
        <w:pStyle w:val="Akapitzlist"/>
        <w:numPr>
          <w:ilvl w:val="1"/>
          <w:numId w:val="19"/>
        </w:numPr>
        <w:spacing w:after="0" w:line="360" w:lineRule="auto"/>
        <w:jc w:val="both"/>
        <w:rPr>
          <w:rFonts w:ascii="Arial" w:hAnsi="Arial" w:cs="Arial"/>
        </w:rPr>
      </w:pPr>
      <w:r w:rsidRPr="00B81671">
        <w:rPr>
          <w:rFonts w:ascii="Arial" w:hAnsi="Arial" w:cs="Arial"/>
        </w:rPr>
        <w:t>W przypadku projektów, na które została przyznana pomoc indywidualna – obowiązują ramy czasowe określone w akcie przyznającym tę pomoc albo programie pomocowym, na podstawie którego pomoc ta ma być przyznana.</w:t>
      </w:r>
    </w:p>
    <w:p w:rsidR="001C278F" w:rsidRPr="00B81671" w:rsidRDefault="001C278F" w:rsidP="00137BC9">
      <w:pPr>
        <w:pStyle w:val="Akapitzlist"/>
        <w:numPr>
          <w:ilvl w:val="0"/>
          <w:numId w:val="12"/>
        </w:numPr>
        <w:spacing w:before="120" w:after="120" w:line="360" w:lineRule="auto"/>
        <w:jc w:val="both"/>
        <w:rPr>
          <w:rFonts w:ascii="Arial" w:hAnsi="Arial" w:cs="Arial"/>
        </w:rPr>
      </w:pPr>
      <w:r w:rsidRPr="00B81671">
        <w:rPr>
          <w:rFonts w:ascii="Arial" w:hAnsi="Arial" w:cs="Arial"/>
        </w:rPr>
        <w:t xml:space="preserve">Ze środków POPC mogą być udzielane, na podstawie programu pomocowego lub jako pomoc indywidualna następujące rodzaje pomocy: </w:t>
      </w:r>
    </w:p>
    <w:p w:rsidR="001C278F" w:rsidRPr="00B81671" w:rsidRDefault="001C278F" w:rsidP="00137BC9">
      <w:pPr>
        <w:pStyle w:val="Akapitzlist"/>
        <w:numPr>
          <w:ilvl w:val="1"/>
          <w:numId w:val="20"/>
        </w:numPr>
        <w:spacing w:after="0" w:line="360" w:lineRule="auto"/>
        <w:jc w:val="both"/>
        <w:rPr>
          <w:rFonts w:ascii="Arial" w:hAnsi="Arial" w:cs="Arial"/>
        </w:rPr>
      </w:pPr>
      <w:r w:rsidRPr="00B81671">
        <w:rPr>
          <w:rFonts w:ascii="Arial" w:hAnsi="Arial" w:cs="Arial"/>
        </w:rPr>
        <w:t>Regionalna pomoc inwestycyjna (unijna podstawa prawna: art. 14 rozporządzenia KE nr  651/ 2014),</w:t>
      </w:r>
    </w:p>
    <w:p w:rsidR="001C278F" w:rsidRPr="00B81671" w:rsidRDefault="001C278F" w:rsidP="00137BC9">
      <w:pPr>
        <w:pStyle w:val="Akapitzlist"/>
        <w:numPr>
          <w:ilvl w:val="1"/>
          <w:numId w:val="20"/>
        </w:numPr>
        <w:spacing w:after="0" w:line="360" w:lineRule="auto"/>
        <w:jc w:val="both"/>
        <w:rPr>
          <w:rFonts w:ascii="Arial" w:hAnsi="Arial" w:cs="Arial"/>
        </w:rPr>
      </w:pPr>
      <w:r w:rsidRPr="00B81671">
        <w:rPr>
          <w:rFonts w:ascii="Arial" w:hAnsi="Arial" w:cs="Arial"/>
        </w:rPr>
        <w:t>Pomoc na infrastrukturę szerokopasmową (unijna podstawa prawna: art. 52 rozporządzenia KE nr 651/ 2014),</w:t>
      </w:r>
    </w:p>
    <w:p w:rsidR="001C278F" w:rsidRPr="00B81671" w:rsidRDefault="001C278F" w:rsidP="00137BC9">
      <w:pPr>
        <w:pStyle w:val="Akapitzlist"/>
        <w:numPr>
          <w:ilvl w:val="1"/>
          <w:numId w:val="20"/>
        </w:numPr>
        <w:spacing w:after="0" w:line="360" w:lineRule="auto"/>
        <w:jc w:val="both"/>
        <w:rPr>
          <w:rFonts w:ascii="Arial" w:hAnsi="Arial" w:cs="Arial"/>
        </w:rPr>
      </w:pPr>
      <w:r w:rsidRPr="00B81671">
        <w:rPr>
          <w:rFonts w:ascii="Arial" w:hAnsi="Arial" w:cs="Arial"/>
        </w:rPr>
        <w:t>Pomoc na kulturę i zachowanie dziedzictwa kulturowego (unijna podstawa prawna: art. 53 rozporządzenia KE nr 651/ 2014),</w:t>
      </w:r>
    </w:p>
    <w:p w:rsidR="005F0287" w:rsidRPr="00B81671" w:rsidRDefault="005F0287" w:rsidP="00137BC9">
      <w:pPr>
        <w:pStyle w:val="Akapitzlist"/>
        <w:numPr>
          <w:ilvl w:val="1"/>
          <w:numId w:val="20"/>
        </w:numPr>
        <w:spacing w:after="0" w:line="360" w:lineRule="auto"/>
        <w:jc w:val="both"/>
        <w:rPr>
          <w:rFonts w:ascii="Arial" w:hAnsi="Arial" w:cs="Arial"/>
        </w:rPr>
      </w:pPr>
      <w:r w:rsidRPr="00B81671">
        <w:rPr>
          <w:rFonts w:ascii="Arial" w:hAnsi="Arial" w:cs="Arial"/>
        </w:rPr>
        <w:t>Pomoc szkoleniowa (podstawa prawna: art. 31 rozporządzenia KE nr 651/ 2014),</w:t>
      </w:r>
    </w:p>
    <w:p w:rsidR="001C278F" w:rsidRPr="00B81671" w:rsidRDefault="001C278F" w:rsidP="00137BC9">
      <w:pPr>
        <w:pStyle w:val="Akapitzlist"/>
        <w:numPr>
          <w:ilvl w:val="1"/>
          <w:numId w:val="20"/>
        </w:numPr>
        <w:spacing w:after="0" w:line="360" w:lineRule="auto"/>
        <w:jc w:val="both"/>
        <w:rPr>
          <w:rFonts w:ascii="Arial" w:hAnsi="Arial" w:cs="Arial"/>
        </w:rPr>
      </w:pPr>
      <w:r w:rsidRPr="00B81671">
        <w:rPr>
          <w:rFonts w:ascii="Arial" w:hAnsi="Arial" w:cs="Arial"/>
        </w:rPr>
        <w:t xml:space="preserve">Pomoc de </w:t>
      </w:r>
      <w:proofErr w:type="spellStart"/>
      <w:r w:rsidRPr="00B81671">
        <w:rPr>
          <w:rFonts w:ascii="Arial" w:hAnsi="Arial" w:cs="Arial"/>
        </w:rPr>
        <w:t>minimis</w:t>
      </w:r>
      <w:proofErr w:type="spellEnd"/>
      <w:r w:rsidRPr="00B81671">
        <w:rPr>
          <w:rFonts w:ascii="Arial" w:hAnsi="Arial" w:cs="Arial"/>
        </w:rPr>
        <w:t xml:space="preserve"> –  podstawa prawna:</w:t>
      </w:r>
      <w:r w:rsidR="000B655A" w:rsidRPr="00B81671">
        <w:rPr>
          <w:rFonts w:ascii="Arial" w:hAnsi="Arial" w:cs="Arial"/>
        </w:rPr>
        <w:t xml:space="preserve"> przepisy</w:t>
      </w:r>
      <w:r w:rsidRPr="00B81671">
        <w:rPr>
          <w:rFonts w:ascii="Arial" w:hAnsi="Arial" w:cs="Arial"/>
        </w:rPr>
        <w:t xml:space="preserve"> rozporządzeni</w:t>
      </w:r>
      <w:r w:rsidR="000B655A" w:rsidRPr="00B81671">
        <w:rPr>
          <w:rFonts w:ascii="Arial" w:hAnsi="Arial" w:cs="Arial"/>
        </w:rPr>
        <w:t>a</w:t>
      </w:r>
      <w:r w:rsidRPr="00B81671">
        <w:rPr>
          <w:rFonts w:ascii="Arial" w:hAnsi="Arial" w:cs="Arial"/>
        </w:rPr>
        <w:t xml:space="preserve"> KE nr 1407/2013 </w:t>
      </w:r>
      <w:proofErr w:type="spellStart"/>
      <w:r w:rsidRPr="00B81671">
        <w:rPr>
          <w:rFonts w:ascii="Arial" w:hAnsi="Arial" w:cs="Arial"/>
        </w:rPr>
        <w:t>ws</w:t>
      </w:r>
      <w:proofErr w:type="spellEnd"/>
      <w:r w:rsidRPr="00B81671">
        <w:rPr>
          <w:rFonts w:ascii="Arial" w:hAnsi="Arial" w:cs="Arial"/>
        </w:rPr>
        <w:t xml:space="preserve">. pomocy de </w:t>
      </w:r>
      <w:proofErr w:type="spellStart"/>
      <w:r w:rsidRPr="00B81671">
        <w:rPr>
          <w:rFonts w:ascii="Arial" w:hAnsi="Arial" w:cs="Arial"/>
        </w:rPr>
        <w:t>minimis</w:t>
      </w:r>
      <w:proofErr w:type="spellEnd"/>
      <w:r w:rsidRPr="00B81671">
        <w:rPr>
          <w:rFonts w:ascii="Arial" w:hAnsi="Arial" w:cs="Arial"/>
        </w:rPr>
        <w:t>.</w:t>
      </w:r>
    </w:p>
    <w:p w:rsidR="001C278F" w:rsidRPr="00B81671" w:rsidRDefault="001C278F" w:rsidP="00137BC9">
      <w:pPr>
        <w:pStyle w:val="Akapitzlist"/>
        <w:numPr>
          <w:ilvl w:val="0"/>
          <w:numId w:val="12"/>
        </w:numPr>
        <w:spacing w:before="120" w:after="120" w:line="360" w:lineRule="auto"/>
        <w:jc w:val="both"/>
        <w:rPr>
          <w:rFonts w:ascii="Arial" w:hAnsi="Arial" w:cs="Arial"/>
        </w:rPr>
      </w:pPr>
      <w:r w:rsidRPr="00B81671">
        <w:rPr>
          <w:rFonts w:ascii="Arial" w:hAnsi="Arial" w:cs="Arial"/>
        </w:rPr>
        <w:lastRenderedPageBreak/>
        <w:t>Każdy z ww. rodzajów pomocy charakteryzuje się pewnymi szczegółowymi dla siebie warunkami</w:t>
      </w:r>
      <w:r w:rsidR="000A0535" w:rsidRPr="00B81671">
        <w:rPr>
          <w:rFonts w:ascii="Arial" w:hAnsi="Arial" w:cs="Arial"/>
        </w:rPr>
        <w:t>.</w:t>
      </w:r>
      <w:r w:rsidRPr="00B81671">
        <w:rPr>
          <w:rFonts w:ascii="Arial" w:hAnsi="Arial" w:cs="Arial"/>
        </w:rPr>
        <w:t xml:space="preserve"> Niemniej, dla większości ww. rodzajów pomocy wskazanych w pkt 2 a)-</w:t>
      </w:r>
      <w:r w:rsidR="000C2C01">
        <w:rPr>
          <w:rFonts w:ascii="Arial" w:hAnsi="Arial" w:cs="Arial"/>
        </w:rPr>
        <w:t>e</w:t>
      </w:r>
      <w:r w:rsidRPr="00B81671">
        <w:rPr>
          <w:rFonts w:ascii="Arial" w:hAnsi="Arial" w:cs="Arial"/>
        </w:rPr>
        <w:t>), istnieją pewne warunki wspólne, tj.:</w:t>
      </w:r>
    </w:p>
    <w:p w:rsidR="001C278F" w:rsidRPr="00B81671" w:rsidRDefault="001C278F" w:rsidP="00137BC9">
      <w:pPr>
        <w:pStyle w:val="Akapitzlist"/>
        <w:numPr>
          <w:ilvl w:val="1"/>
          <w:numId w:val="22"/>
        </w:numPr>
        <w:spacing w:after="0" w:line="360" w:lineRule="auto"/>
        <w:jc w:val="both"/>
        <w:rPr>
          <w:rFonts w:ascii="Arial" w:hAnsi="Arial" w:cs="Arial"/>
        </w:rPr>
      </w:pPr>
      <w:r w:rsidRPr="00B81671">
        <w:rPr>
          <w:rFonts w:ascii="Arial" w:hAnsi="Arial" w:cs="Arial"/>
        </w:rPr>
        <w:t>obowiązek spełnienia przez planowaną pomoc tzw. efektu zachęty,</w:t>
      </w:r>
    </w:p>
    <w:p w:rsidR="001C278F" w:rsidRPr="00B81671" w:rsidRDefault="001C278F" w:rsidP="00137BC9">
      <w:pPr>
        <w:pStyle w:val="Akapitzlist"/>
        <w:numPr>
          <w:ilvl w:val="1"/>
          <w:numId w:val="22"/>
        </w:numPr>
        <w:spacing w:after="0" w:line="360" w:lineRule="auto"/>
        <w:jc w:val="both"/>
        <w:rPr>
          <w:rFonts w:ascii="Arial" w:hAnsi="Arial" w:cs="Arial"/>
        </w:rPr>
      </w:pPr>
      <w:r w:rsidRPr="00B81671">
        <w:rPr>
          <w:rFonts w:ascii="Arial" w:hAnsi="Arial" w:cs="Arial"/>
        </w:rPr>
        <w:t>obowiązek przestrzegania zasad kumulacji pomocy,</w:t>
      </w:r>
    </w:p>
    <w:p w:rsidR="001C278F" w:rsidRPr="00B81671" w:rsidRDefault="001C278F" w:rsidP="00137BC9">
      <w:pPr>
        <w:pStyle w:val="Akapitzlist"/>
        <w:numPr>
          <w:ilvl w:val="1"/>
          <w:numId w:val="22"/>
        </w:numPr>
        <w:spacing w:after="0" w:line="360" w:lineRule="auto"/>
        <w:jc w:val="both"/>
        <w:rPr>
          <w:rFonts w:ascii="Arial" w:hAnsi="Arial" w:cs="Arial"/>
        </w:rPr>
      </w:pPr>
      <w:r w:rsidRPr="00B81671">
        <w:rPr>
          <w:rFonts w:ascii="Arial" w:hAnsi="Arial" w:cs="Arial"/>
        </w:rPr>
        <w:t>obowiązek deklaracji przez podmiot ubiegający się o pomoc odpowiadający obowiązkowi weryfikacji przez podmiot udzielający pomocy: statusu przedsiębiorstwa (wnioskodawcy),</w:t>
      </w:r>
    </w:p>
    <w:p w:rsidR="001C278F" w:rsidRPr="00B81671" w:rsidRDefault="001C278F" w:rsidP="00137BC9">
      <w:pPr>
        <w:pStyle w:val="Akapitzlist"/>
        <w:numPr>
          <w:ilvl w:val="1"/>
          <w:numId w:val="22"/>
        </w:numPr>
        <w:spacing w:after="0" w:line="360" w:lineRule="auto"/>
        <w:jc w:val="both"/>
        <w:rPr>
          <w:rFonts w:ascii="Arial" w:hAnsi="Arial" w:cs="Arial"/>
        </w:rPr>
      </w:pPr>
      <w:r w:rsidRPr="00B81671">
        <w:rPr>
          <w:rFonts w:ascii="Arial" w:hAnsi="Arial" w:cs="Arial"/>
        </w:rPr>
        <w:t>obowiązek dyskontowania.</w:t>
      </w:r>
    </w:p>
    <w:p w:rsidR="001C278F" w:rsidRPr="00B81671" w:rsidRDefault="001C278F" w:rsidP="00A2693A">
      <w:pPr>
        <w:pStyle w:val="Akapitzlist"/>
        <w:spacing w:before="120" w:after="120" w:line="360" w:lineRule="auto"/>
        <w:ind w:left="360"/>
        <w:jc w:val="both"/>
        <w:rPr>
          <w:rFonts w:ascii="Arial" w:hAnsi="Arial" w:cs="Arial"/>
        </w:rPr>
      </w:pPr>
      <w:r w:rsidRPr="00B81671">
        <w:rPr>
          <w:rFonts w:ascii="Arial" w:hAnsi="Arial" w:cs="Arial"/>
        </w:rPr>
        <w:t xml:space="preserve">Warunki te zostały szczegółowo omówione w punktach poniżej. </w:t>
      </w:r>
    </w:p>
    <w:p w:rsidR="001C278F" w:rsidRPr="00B81671" w:rsidRDefault="001C278F" w:rsidP="00137BC9">
      <w:pPr>
        <w:pStyle w:val="Akapitzlist"/>
        <w:numPr>
          <w:ilvl w:val="0"/>
          <w:numId w:val="12"/>
        </w:numPr>
        <w:spacing w:before="120" w:after="120" w:line="360" w:lineRule="auto"/>
        <w:jc w:val="both"/>
        <w:rPr>
          <w:rFonts w:ascii="Arial" w:hAnsi="Arial" w:cs="Arial"/>
        </w:rPr>
      </w:pPr>
      <w:r w:rsidRPr="00B81671">
        <w:rPr>
          <w:rFonts w:ascii="Arial" w:hAnsi="Arial" w:cs="Arial"/>
        </w:rPr>
        <w:t>Obowiązek spełnienia przez planowaną pomoc tzw. efektu zachęty</w:t>
      </w:r>
      <w:r w:rsidR="00077774" w:rsidRPr="00B81671">
        <w:rPr>
          <w:rStyle w:val="Odwoanieprzypisudolnego"/>
          <w:rFonts w:ascii="Arial" w:hAnsi="Arial" w:cs="Arial"/>
          <w:sz w:val="18"/>
          <w:szCs w:val="18"/>
        </w:rPr>
        <w:footnoteReference w:id="9"/>
      </w:r>
      <w:r w:rsidRPr="00B81671">
        <w:rPr>
          <w:rFonts w:ascii="Arial" w:hAnsi="Arial" w:cs="Arial"/>
        </w:rPr>
        <w:t xml:space="preserve"> – jest to podstawowy warunek przesądzający o kwalifikowalności projektu w zakresie większości z ww. rodzajów pomocy. Spełnienie przez pomoc „efektu zachęty” równoznaczne jest z uzasadnionym przekonaniem podmiotu, który ma udzielić pomocy, iż realizacja danego działania/ projektu nie zostałaby podjęta w tych samych ramach czasowych, czy w tym samym (pełnym) zakresie</w:t>
      </w:r>
      <w:r w:rsidR="00AE18B5" w:rsidRPr="00B81671">
        <w:rPr>
          <w:rFonts w:ascii="Arial" w:hAnsi="Arial" w:cs="Arial"/>
        </w:rPr>
        <w:t>,</w:t>
      </w:r>
      <w:r w:rsidRPr="00B81671">
        <w:rPr>
          <w:rFonts w:ascii="Arial" w:hAnsi="Arial" w:cs="Arial"/>
        </w:rPr>
        <w:t xml:space="preserve"> albo nie zostałaby w ogóle zrealizowana, bez pomocy ze strony państwa (bez udzielenia na dany projekt pomocy publicznej).</w:t>
      </w:r>
      <w:r w:rsidR="004E6298" w:rsidRPr="00B81671">
        <w:rPr>
          <w:rFonts w:ascii="Arial" w:hAnsi="Arial" w:cs="Arial"/>
        </w:rPr>
        <w:t xml:space="preserve"> W przypadku pomocy de </w:t>
      </w:r>
      <w:proofErr w:type="spellStart"/>
      <w:r w:rsidR="004E6298" w:rsidRPr="00B81671">
        <w:rPr>
          <w:rFonts w:ascii="Arial" w:hAnsi="Arial" w:cs="Arial"/>
        </w:rPr>
        <w:t>minimis</w:t>
      </w:r>
      <w:proofErr w:type="spellEnd"/>
      <w:r w:rsidR="004E6298" w:rsidRPr="00B81671">
        <w:rPr>
          <w:rFonts w:ascii="Arial" w:hAnsi="Arial" w:cs="Arial"/>
        </w:rPr>
        <w:t xml:space="preserve"> </w:t>
      </w:r>
      <w:r w:rsidR="00494766" w:rsidRPr="00B81671">
        <w:rPr>
          <w:rFonts w:ascii="Arial" w:hAnsi="Arial" w:cs="Arial"/>
        </w:rPr>
        <w:t xml:space="preserve">oraz pomocy na kulturę i zachowanie dziedzictwa kulturowego </w:t>
      </w:r>
      <w:r w:rsidR="004E6298" w:rsidRPr="00B81671">
        <w:rPr>
          <w:rFonts w:ascii="Arial" w:hAnsi="Arial" w:cs="Arial"/>
        </w:rPr>
        <w:t>nie ma obowiązku spełnienia efektu zachęty.</w:t>
      </w:r>
    </w:p>
    <w:p w:rsidR="001C278F" w:rsidRPr="00B81671" w:rsidRDefault="001C278F" w:rsidP="00137BC9">
      <w:pPr>
        <w:pStyle w:val="Akapitzlist"/>
        <w:numPr>
          <w:ilvl w:val="0"/>
          <w:numId w:val="12"/>
        </w:numPr>
        <w:spacing w:before="120" w:after="120" w:line="360" w:lineRule="auto"/>
        <w:jc w:val="both"/>
        <w:rPr>
          <w:rFonts w:ascii="Arial" w:hAnsi="Arial" w:cs="Arial"/>
        </w:rPr>
      </w:pPr>
      <w:r w:rsidRPr="00B81671">
        <w:rPr>
          <w:rFonts w:ascii="Arial" w:hAnsi="Arial" w:cs="Arial"/>
        </w:rPr>
        <w:t>W przypadku rodzajów pomocy</w:t>
      </w:r>
      <w:r w:rsidR="00494766" w:rsidRPr="00B81671">
        <w:rPr>
          <w:rFonts w:ascii="Arial" w:hAnsi="Arial" w:cs="Arial"/>
        </w:rPr>
        <w:t xml:space="preserve"> wskazanych w pkt 2)</w:t>
      </w:r>
      <w:r w:rsidRPr="00B81671">
        <w:rPr>
          <w:rFonts w:ascii="Arial" w:hAnsi="Arial" w:cs="Arial"/>
        </w:rPr>
        <w:t xml:space="preserve">, dla których  podstawą prawną </w:t>
      </w:r>
      <w:r w:rsidR="000B655A" w:rsidRPr="00B81671">
        <w:rPr>
          <w:rFonts w:ascii="Arial" w:hAnsi="Arial" w:cs="Arial"/>
        </w:rPr>
        <w:t xml:space="preserve">są </w:t>
      </w:r>
      <w:r w:rsidRPr="00B81671">
        <w:rPr>
          <w:rFonts w:ascii="Arial" w:hAnsi="Arial" w:cs="Arial"/>
        </w:rPr>
        <w:t xml:space="preserve"> </w:t>
      </w:r>
      <w:r w:rsidR="000B655A" w:rsidRPr="00B81671">
        <w:rPr>
          <w:rFonts w:ascii="Arial" w:hAnsi="Arial" w:cs="Arial"/>
        </w:rPr>
        <w:t xml:space="preserve">przepisy </w:t>
      </w:r>
      <w:r w:rsidR="005F0287" w:rsidRPr="00B81671">
        <w:rPr>
          <w:rFonts w:ascii="Arial" w:hAnsi="Arial" w:cs="Arial"/>
        </w:rPr>
        <w:t>rozporządzeni</w:t>
      </w:r>
      <w:r w:rsidR="000B655A" w:rsidRPr="00B81671">
        <w:rPr>
          <w:rFonts w:ascii="Arial" w:hAnsi="Arial" w:cs="Arial"/>
        </w:rPr>
        <w:t>a</w:t>
      </w:r>
      <w:r w:rsidR="005F0287" w:rsidRPr="00B81671">
        <w:rPr>
          <w:rFonts w:ascii="Arial" w:hAnsi="Arial" w:cs="Arial"/>
        </w:rPr>
        <w:t xml:space="preserve"> </w:t>
      </w:r>
      <w:r w:rsidRPr="00B81671">
        <w:rPr>
          <w:rFonts w:ascii="Arial" w:hAnsi="Arial" w:cs="Arial"/>
        </w:rPr>
        <w:t xml:space="preserve">KE nr 651/2014 </w:t>
      </w:r>
      <w:r w:rsidR="00494766" w:rsidRPr="00B81671">
        <w:rPr>
          <w:rFonts w:ascii="Arial" w:hAnsi="Arial" w:cs="Arial"/>
        </w:rPr>
        <w:t>(z wyłączeniem pom</w:t>
      </w:r>
      <w:r w:rsidR="008415EC" w:rsidRPr="00B81671">
        <w:rPr>
          <w:rFonts w:ascii="Arial" w:hAnsi="Arial" w:cs="Arial"/>
        </w:rPr>
        <w:t>o</w:t>
      </w:r>
      <w:r w:rsidR="00494766" w:rsidRPr="00B81671">
        <w:rPr>
          <w:rFonts w:ascii="Arial" w:hAnsi="Arial" w:cs="Arial"/>
        </w:rPr>
        <w:t xml:space="preserve">cy na kulturę i zachowanie dziedzictwa kulturowego) </w:t>
      </w:r>
      <w:r w:rsidRPr="00B81671">
        <w:rPr>
          <w:rFonts w:ascii="Arial" w:hAnsi="Arial" w:cs="Arial"/>
        </w:rPr>
        <w:t xml:space="preserve">spełnienie przez planowaną pomoc efektu zachęty weryfikowane jest poprzez fakt, iż wnioskodawca powstrzymał się z </w:t>
      </w:r>
      <w:r w:rsidR="00A34C99" w:rsidRPr="00B81671">
        <w:rPr>
          <w:rFonts w:ascii="Arial" w:hAnsi="Arial" w:cs="Arial"/>
        </w:rPr>
        <w:t xml:space="preserve">rozpoczęciem </w:t>
      </w:r>
      <w:r w:rsidRPr="00B81671">
        <w:rPr>
          <w:rFonts w:ascii="Arial" w:hAnsi="Arial" w:cs="Arial"/>
        </w:rPr>
        <w:t>prac nad projektem do czasu złożenia wniosku o przyznanie pomocy (dofinasowanie). Warunek ten dotyczy wszystkich podmiotów – zarówno MŚP, jak i dużych przedsiębiorstw</w:t>
      </w:r>
      <w:r w:rsidRPr="00B81671">
        <w:rPr>
          <w:rFonts w:ascii="Arial" w:hAnsi="Arial"/>
          <w:sz w:val="18"/>
          <w:szCs w:val="18"/>
          <w:vertAlign w:val="superscript"/>
        </w:rPr>
        <w:footnoteReference w:id="10"/>
      </w:r>
      <w:r w:rsidR="004D07F4" w:rsidRPr="00B81671">
        <w:rPr>
          <w:rFonts w:ascii="Arial" w:hAnsi="Arial" w:cs="Arial"/>
        </w:rPr>
        <w:t>.</w:t>
      </w:r>
    </w:p>
    <w:p w:rsidR="001C278F" w:rsidRPr="00B81671" w:rsidRDefault="001C278F" w:rsidP="00137BC9">
      <w:pPr>
        <w:pStyle w:val="Akapitzlist"/>
        <w:numPr>
          <w:ilvl w:val="0"/>
          <w:numId w:val="12"/>
        </w:numPr>
        <w:spacing w:before="120" w:after="120" w:line="360" w:lineRule="auto"/>
        <w:jc w:val="both"/>
        <w:rPr>
          <w:rFonts w:ascii="Arial" w:hAnsi="Arial" w:cs="Arial"/>
        </w:rPr>
      </w:pPr>
      <w:r w:rsidRPr="00B81671">
        <w:rPr>
          <w:rFonts w:ascii="Arial" w:hAnsi="Arial" w:cs="Arial"/>
        </w:rPr>
        <w:t xml:space="preserve">W stosunku do dużych przedsiębiorstw, którym ma być udzielona pomoc ad hoc na podstawie </w:t>
      </w:r>
      <w:r w:rsidR="000B655A" w:rsidRPr="00B81671">
        <w:rPr>
          <w:rFonts w:ascii="Arial" w:hAnsi="Arial" w:cs="Arial"/>
        </w:rPr>
        <w:t xml:space="preserve">przepisów </w:t>
      </w:r>
      <w:r w:rsidR="005F0287" w:rsidRPr="00B81671">
        <w:rPr>
          <w:rFonts w:ascii="Arial" w:hAnsi="Arial" w:cs="Arial"/>
        </w:rPr>
        <w:t xml:space="preserve">rozporządzenia </w:t>
      </w:r>
      <w:r w:rsidRPr="00B81671">
        <w:rPr>
          <w:rFonts w:ascii="Arial" w:hAnsi="Arial" w:cs="Arial"/>
        </w:rPr>
        <w:t xml:space="preserve">KE nr 651/2014 (pomoc poza krajowym programem pomocowym, bezpośrednio na podstawie ww. przepisów unijnych) istnieje dodatkowy warunek: przed udzieleniem pomocy istnieje obowiązek zweryfikowania, że dokumentacja dostarczona przez wnioskodawcę dowodzi, iż planowana pomoc </w:t>
      </w:r>
      <w:r w:rsidRPr="00B81671">
        <w:rPr>
          <w:rFonts w:ascii="Arial" w:hAnsi="Arial" w:cs="Arial"/>
        </w:rPr>
        <w:lastRenderedPageBreak/>
        <w:t xml:space="preserve">przyniesie co najmniej jeden z efektów wskazanych w art. 6 ust. 3 Rozporządzenia KE nr 651/2014. </w:t>
      </w:r>
    </w:p>
    <w:p w:rsidR="001C278F" w:rsidRPr="00AC1DA9" w:rsidRDefault="001C278F" w:rsidP="00137BC9">
      <w:pPr>
        <w:pStyle w:val="Akapit"/>
        <w:numPr>
          <w:ilvl w:val="0"/>
          <w:numId w:val="12"/>
        </w:numPr>
        <w:tabs>
          <w:tab w:val="num" w:pos="403"/>
        </w:tabs>
        <w:spacing w:before="120" w:after="120"/>
        <w:ind w:left="403" w:hanging="403"/>
        <w:outlineLvl w:val="5"/>
        <w:rPr>
          <w:rFonts w:cs="Arial"/>
        </w:rPr>
      </w:pPr>
      <w:r w:rsidRPr="00B81671">
        <w:rPr>
          <w:rFonts w:cs="Arial"/>
        </w:rPr>
        <w:t xml:space="preserve">Przez rozpoczęcie prac w rozumieniu </w:t>
      </w:r>
      <w:r w:rsidR="000B655A" w:rsidRPr="00B81671">
        <w:rPr>
          <w:rFonts w:cs="Arial"/>
        </w:rPr>
        <w:t>przepisów</w:t>
      </w:r>
      <w:r w:rsidR="00E639F6" w:rsidRPr="00B81671">
        <w:rPr>
          <w:rFonts w:cs="Arial"/>
        </w:rPr>
        <w:t xml:space="preserve"> </w:t>
      </w:r>
      <w:r w:rsidR="005F0287" w:rsidRPr="00B81671">
        <w:rPr>
          <w:rFonts w:cs="Arial"/>
        </w:rPr>
        <w:t xml:space="preserve">rozporządzenia </w:t>
      </w:r>
      <w:r w:rsidRPr="00B81671">
        <w:rPr>
          <w:rFonts w:cs="Arial"/>
        </w:rPr>
        <w:t xml:space="preserve">KE nr 651/ 2014 należy rozumieć: podjęcie prac budowlanych lub prawnie wiążącego zobowiązania do zamówienia urządzeń (ruchomych środków trwałych) lub innego zobowiązania które sprawia, że inwestycja staje się nieodwracalna, w zależności od tego, co nastąpi najpierw. Należy jednocześnie wskazać, iż zakupu nieruchomości gruntowej, ani prac przygotowawczych, takich jak uzyskanie stosownych zezwoleń, czy przeprowadzenie </w:t>
      </w:r>
      <w:r w:rsidRPr="00AC1DA9">
        <w:rPr>
          <w:rFonts w:cs="Arial"/>
          <w:bCs w:val="0"/>
          <w:szCs w:val="22"/>
        </w:rPr>
        <w:t>studiów wykonalności, co do zasady, nie uważa się za rozpoczęcie prac.</w:t>
      </w:r>
    </w:p>
    <w:p w:rsidR="001C278F" w:rsidRPr="00B81671" w:rsidRDefault="001C278F" w:rsidP="00137BC9">
      <w:pPr>
        <w:pStyle w:val="Akapit"/>
        <w:numPr>
          <w:ilvl w:val="0"/>
          <w:numId w:val="12"/>
        </w:numPr>
        <w:tabs>
          <w:tab w:val="num" w:pos="403"/>
        </w:tabs>
        <w:spacing w:before="120" w:after="120"/>
        <w:ind w:left="403" w:hanging="403"/>
        <w:outlineLvl w:val="5"/>
        <w:rPr>
          <w:rFonts w:cs="Arial"/>
          <w:bCs w:val="0"/>
          <w:szCs w:val="22"/>
        </w:rPr>
      </w:pPr>
      <w:r w:rsidRPr="00B81671">
        <w:rPr>
          <w:rFonts w:cs="Arial"/>
          <w:bCs w:val="0"/>
          <w:szCs w:val="22"/>
        </w:rPr>
        <w:t xml:space="preserve">Uwzględniając powyższą definicję, prace uważa się za rozpoczęte, jeśli zobowiązania (zobowiązanie) podjęte przez wnioskodawcę przed złożeniem wniosku o udzielenie pomocy powodują, z biznesowego punktu widzenia, trudności z wycofaniem się z realizacji projektu, w szczególności, gdy wycofanie się z projektu równoznaczne byłoby ze stratami finansowymi. </w:t>
      </w:r>
    </w:p>
    <w:p w:rsidR="001C278F" w:rsidRPr="00B81671" w:rsidRDefault="001C278F" w:rsidP="00137BC9">
      <w:pPr>
        <w:pStyle w:val="Akapit"/>
        <w:numPr>
          <w:ilvl w:val="0"/>
          <w:numId w:val="12"/>
        </w:numPr>
        <w:tabs>
          <w:tab w:val="num" w:pos="403"/>
        </w:tabs>
        <w:spacing w:before="120" w:after="120"/>
        <w:ind w:left="403" w:hanging="403"/>
        <w:outlineLvl w:val="5"/>
        <w:rPr>
          <w:rFonts w:cs="Arial"/>
          <w:bCs w:val="0"/>
          <w:szCs w:val="22"/>
        </w:rPr>
      </w:pPr>
      <w:r w:rsidRPr="00B81671">
        <w:rPr>
          <w:rFonts w:cs="Arial"/>
          <w:bCs w:val="0"/>
          <w:szCs w:val="22"/>
        </w:rPr>
        <w:t xml:space="preserve">W zakresie samych prac budowlanych –  należy odwoływać się do regulacji </w:t>
      </w:r>
      <w:r w:rsidR="000B655A" w:rsidRPr="00B81671">
        <w:rPr>
          <w:rFonts w:cs="Arial"/>
          <w:bCs w:val="0"/>
          <w:szCs w:val="22"/>
        </w:rPr>
        <w:t xml:space="preserve">prawnych zawartych w </w:t>
      </w:r>
      <w:r w:rsidRPr="00B81671">
        <w:rPr>
          <w:rFonts w:cs="Arial"/>
          <w:bCs w:val="0"/>
          <w:szCs w:val="22"/>
        </w:rPr>
        <w:t>ustaw</w:t>
      </w:r>
      <w:r w:rsidR="000B655A" w:rsidRPr="00B81671">
        <w:rPr>
          <w:rFonts w:cs="Arial"/>
          <w:bCs w:val="0"/>
          <w:szCs w:val="22"/>
        </w:rPr>
        <w:t>ie</w:t>
      </w:r>
      <w:r w:rsidR="00A3517B" w:rsidRPr="00B81671">
        <w:rPr>
          <w:rFonts w:cs="Arial"/>
          <w:bCs w:val="0"/>
          <w:szCs w:val="22"/>
        </w:rPr>
        <w:t xml:space="preserve"> </w:t>
      </w:r>
      <w:r w:rsidR="00297AC7" w:rsidRPr="00B81671">
        <w:rPr>
          <w:rFonts w:cs="Arial"/>
          <w:bCs w:val="0"/>
          <w:szCs w:val="22"/>
        </w:rPr>
        <w:t xml:space="preserve">- </w:t>
      </w:r>
      <w:r w:rsidRPr="00B81671">
        <w:rPr>
          <w:rFonts w:cs="Arial"/>
          <w:bCs w:val="0"/>
          <w:szCs w:val="22"/>
        </w:rPr>
        <w:t xml:space="preserve">Prawo </w:t>
      </w:r>
      <w:r w:rsidR="00297AC7" w:rsidRPr="00B81671">
        <w:rPr>
          <w:rFonts w:cs="Arial"/>
          <w:bCs w:val="0"/>
          <w:szCs w:val="22"/>
        </w:rPr>
        <w:t>budowlane</w:t>
      </w:r>
      <w:r w:rsidR="00A3517B" w:rsidRPr="00B81671">
        <w:rPr>
          <w:rFonts w:cs="Arial"/>
          <w:bCs w:val="0"/>
          <w:szCs w:val="22"/>
        </w:rPr>
        <w:t>. W</w:t>
      </w:r>
      <w:r w:rsidRPr="00B81671">
        <w:rPr>
          <w:rFonts w:cs="Arial"/>
          <w:bCs w:val="0"/>
          <w:szCs w:val="22"/>
        </w:rPr>
        <w:t xml:space="preserve"> szczególności, zgodnie z art. 3 pkt 6 i 7 ww. ustawy, przez roboty budowlane rozumie się: budowę (wykonywanie obiektu budowlanego w określonym miejscu, odbudowę, rozbudowę, nadbudowę obiektu budowlanego), a także prace polegające na przebudowie, montażu, remoncie lub rozbiórce obiektu budowlanego. Natomiast w myśl art. 41</w:t>
      </w:r>
      <w:r w:rsidR="00E8501E" w:rsidRPr="00B81671">
        <w:rPr>
          <w:rFonts w:cs="Arial"/>
          <w:bCs w:val="0"/>
          <w:szCs w:val="22"/>
        </w:rPr>
        <w:t xml:space="preserve"> tej ustawy</w:t>
      </w:r>
      <w:r w:rsidRPr="00B81671">
        <w:rPr>
          <w:rFonts w:cs="Arial"/>
          <w:bCs w:val="0"/>
          <w:szCs w:val="22"/>
        </w:rPr>
        <w:t>: rozpoczęcie budowy następuje z chwilą podjęcia prac przygotowawczych na terenie budowy, tj.:</w:t>
      </w:r>
    </w:p>
    <w:p w:rsidR="001C278F" w:rsidRPr="00B81671" w:rsidRDefault="001C278F" w:rsidP="00137BC9">
      <w:pPr>
        <w:pStyle w:val="Akapitzlist"/>
        <w:numPr>
          <w:ilvl w:val="1"/>
          <w:numId w:val="28"/>
        </w:numPr>
        <w:spacing w:after="0" w:line="360" w:lineRule="auto"/>
        <w:jc w:val="both"/>
        <w:rPr>
          <w:rFonts w:ascii="Arial" w:hAnsi="Arial" w:cs="Arial"/>
        </w:rPr>
      </w:pPr>
      <w:r w:rsidRPr="00B81671">
        <w:rPr>
          <w:rFonts w:ascii="Arial" w:hAnsi="Arial" w:cs="Arial"/>
        </w:rPr>
        <w:t>wytyczenia geodezyjnego obiektów w terenie,</w:t>
      </w:r>
    </w:p>
    <w:p w:rsidR="001C278F" w:rsidRPr="00B81671" w:rsidRDefault="001C278F" w:rsidP="00137BC9">
      <w:pPr>
        <w:pStyle w:val="Akapitzlist"/>
        <w:numPr>
          <w:ilvl w:val="1"/>
          <w:numId w:val="28"/>
        </w:numPr>
        <w:spacing w:after="0" w:line="360" w:lineRule="auto"/>
        <w:jc w:val="both"/>
        <w:rPr>
          <w:rFonts w:ascii="Arial" w:hAnsi="Arial" w:cs="Arial"/>
        </w:rPr>
      </w:pPr>
      <w:r w:rsidRPr="00B81671">
        <w:rPr>
          <w:rFonts w:ascii="Arial" w:hAnsi="Arial" w:cs="Arial"/>
        </w:rPr>
        <w:t xml:space="preserve">wykonania niwelacji terenu, </w:t>
      </w:r>
    </w:p>
    <w:p w:rsidR="001C278F" w:rsidRPr="00B81671" w:rsidRDefault="001C278F" w:rsidP="00137BC9">
      <w:pPr>
        <w:pStyle w:val="Akapitzlist"/>
        <w:numPr>
          <w:ilvl w:val="1"/>
          <w:numId w:val="28"/>
        </w:numPr>
        <w:spacing w:after="0" w:line="360" w:lineRule="auto"/>
        <w:jc w:val="both"/>
        <w:rPr>
          <w:rFonts w:ascii="Arial" w:hAnsi="Arial" w:cs="Arial"/>
        </w:rPr>
      </w:pPr>
      <w:r w:rsidRPr="00B81671">
        <w:rPr>
          <w:rFonts w:ascii="Arial" w:hAnsi="Arial" w:cs="Arial"/>
        </w:rPr>
        <w:t xml:space="preserve">zagospodarowania terenu budowy wraz z budową tymczasowych obiektów, </w:t>
      </w:r>
    </w:p>
    <w:p w:rsidR="001C278F" w:rsidRPr="00B81671" w:rsidRDefault="001C278F" w:rsidP="00137BC9">
      <w:pPr>
        <w:pStyle w:val="Akapitzlist"/>
        <w:numPr>
          <w:ilvl w:val="1"/>
          <w:numId w:val="28"/>
        </w:numPr>
        <w:spacing w:after="0" w:line="360" w:lineRule="auto"/>
        <w:jc w:val="both"/>
        <w:rPr>
          <w:rFonts w:ascii="Arial" w:hAnsi="Arial" w:cs="Arial"/>
        </w:rPr>
      </w:pPr>
      <w:r w:rsidRPr="00B81671">
        <w:rPr>
          <w:rFonts w:ascii="Arial" w:hAnsi="Arial" w:cs="Arial"/>
        </w:rPr>
        <w:t>wykonania przyłączy do sieci infrastruktury technicznej na potrzeby budowy.</w:t>
      </w:r>
    </w:p>
    <w:p w:rsidR="001C278F" w:rsidRPr="00B81671" w:rsidRDefault="001C278F" w:rsidP="00137BC9">
      <w:pPr>
        <w:pStyle w:val="Akapitzlist"/>
        <w:numPr>
          <w:ilvl w:val="0"/>
          <w:numId w:val="12"/>
        </w:numPr>
        <w:spacing w:before="120" w:after="120" w:line="360" w:lineRule="auto"/>
        <w:jc w:val="both"/>
        <w:rPr>
          <w:rFonts w:ascii="Arial" w:hAnsi="Arial" w:cs="Arial"/>
        </w:rPr>
      </w:pPr>
      <w:r w:rsidRPr="00B81671">
        <w:rPr>
          <w:rFonts w:ascii="Arial" w:hAnsi="Arial" w:cs="Arial"/>
        </w:rPr>
        <w:t xml:space="preserve">Za rozpoczęcie prac budowlanych uważa się zatem: </w:t>
      </w:r>
    </w:p>
    <w:p w:rsidR="001C278F" w:rsidRPr="00B81671" w:rsidRDefault="001C278F" w:rsidP="00137BC9">
      <w:pPr>
        <w:pStyle w:val="Akapitzlist"/>
        <w:numPr>
          <w:ilvl w:val="1"/>
          <w:numId w:val="23"/>
        </w:numPr>
        <w:spacing w:after="0" w:line="360" w:lineRule="auto"/>
        <w:jc w:val="both"/>
        <w:rPr>
          <w:rFonts w:ascii="Arial" w:hAnsi="Arial" w:cs="Arial"/>
        </w:rPr>
      </w:pPr>
      <w:r w:rsidRPr="00B81671">
        <w:rPr>
          <w:rFonts w:ascii="Arial" w:hAnsi="Arial" w:cs="Arial"/>
        </w:rPr>
        <w:t xml:space="preserve">faktyczne rozpoczęcie tych prac, co w praktyce jest odzwierciedlone w dzienniku budowy jako pierwszy wpis do tego dokumentu (dotyczący rozpoczęcia prac przygotowawczych lub budowlanych), jak również: </w:t>
      </w:r>
    </w:p>
    <w:p w:rsidR="001C278F" w:rsidRPr="00B81671" w:rsidRDefault="001C278F" w:rsidP="00137BC9">
      <w:pPr>
        <w:pStyle w:val="Akapitzlist"/>
        <w:numPr>
          <w:ilvl w:val="1"/>
          <w:numId w:val="23"/>
        </w:numPr>
        <w:spacing w:after="0" w:line="360" w:lineRule="auto"/>
        <w:jc w:val="both"/>
        <w:rPr>
          <w:rFonts w:ascii="Arial" w:hAnsi="Arial" w:cs="Arial"/>
        </w:rPr>
      </w:pPr>
      <w:r w:rsidRPr="00B81671">
        <w:rPr>
          <w:rFonts w:ascii="Arial" w:hAnsi="Arial" w:cs="Arial"/>
        </w:rPr>
        <w:t xml:space="preserve">podpisanie umowy z wykonawcą (podjęcie prawnie wiążącego zobowiązania, nawet jeżeli prace faktycznie nie rozpoczęły się). </w:t>
      </w:r>
    </w:p>
    <w:p w:rsidR="001C278F" w:rsidRPr="00B81671" w:rsidRDefault="001C278F" w:rsidP="00137BC9">
      <w:pPr>
        <w:pStyle w:val="Akapitzlist"/>
        <w:numPr>
          <w:ilvl w:val="0"/>
          <w:numId w:val="12"/>
        </w:numPr>
        <w:spacing w:before="120" w:after="120" w:line="360" w:lineRule="auto"/>
        <w:jc w:val="both"/>
        <w:rPr>
          <w:rFonts w:ascii="Arial" w:hAnsi="Arial" w:cs="Arial"/>
        </w:rPr>
      </w:pPr>
      <w:r w:rsidRPr="00B81671">
        <w:rPr>
          <w:rFonts w:ascii="Arial" w:hAnsi="Arial" w:cs="Arial"/>
        </w:rPr>
        <w:t xml:space="preserve">W zakresie zamówienia (urządzeń) ruchomych środków trwałych - „pierwsze wiążące zobowiązanie” do zamówienia urządzeń/ruchomych środków trwałych należy oceniać z punktu widzenia charakteru i treści warunków umowy, a nie z punktu widzenia jej formalnej klasyfikacji. </w:t>
      </w:r>
    </w:p>
    <w:p w:rsidR="001C278F" w:rsidRPr="00B81671" w:rsidRDefault="001C278F" w:rsidP="00137BC9">
      <w:pPr>
        <w:pStyle w:val="Akapitzlist"/>
        <w:numPr>
          <w:ilvl w:val="0"/>
          <w:numId w:val="12"/>
        </w:numPr>
        <w:spacing w:before="120" w:after="120" w:line="360" w:lineRule="auto"/>
        <w:jc w:val="both"/>
        <w:rPr>
          <w:rFonts w:ascii="Arial" w:hAnsi="Arial" w:cs="Arial"/>
        </w:rPr>
      </w:pPr>
      <w:r w:rsidRPr="00B81671">
        <w:rPr>
          <w:rFonts w:ascii="Arial" w:hAnsi="Arial" w:cs="Arial"/>
        </w:rPr>
        <w:lastRenderedPageBreak/>
        <w:t xml:space="preserve">Obowiązek przestrzegania zasad kumulacji pomocy – różne rodzaje pomocy publicznej (a także różne rodzaje pomocy publicznej z pomocą de </w:t>
      </w:r>
      <w:proofErr w:type="spellStart"/>
      <w:r w:rsidRPr="00B81671">
        <w:rPr>
          <w:rFonts w:ascii="Arial" w:hAnsi="Arial" w:cs="Arial"/>
        </w:rPr>
        <w:t>minimis</w:t>
      </w:r>
      <w:proofErr w:type="spellEnd"/>
      <w:r w:rsidRPr="00B81671">
        <w:rPr>
          <w:rFonts w:ascii="Arial" w:hAnsi="Arial" w:cs="Arial"/>
        </w:rPr>
        <w:t xml:space="preserve">) można kumulować ze sobą w stosunku do tych samych wydatków kwalifikowalnych do poziomu najwyższej dopuszczalnej intensywności przewidzianej dla danego rodzaju pomocy publicznej. </w:t>
      </w:r>
    </w:p>
    <w:p w:rsidR="00FD52C4" w:rsidRPr="00B81671" w:rsidRDefault="001C278F" w:rsidP="00137BC9">
      <w:pPr>
        <w:pStyle w:val="Akapitzlist"/>
        <w:numPr>
          <w:ilvl w:val="0"/>
          <w:numId w:val="12"/>
        </w:numPr>
        <w:spacing w:before="120" w:after="120" w:line="360" w:lineRule="auto"/>
        <w:jc w:val="both"/>
        <w:rPr>
          <w:rFonts w:ascii="Arial" w:hAnsi="Arial" w:cs="Arial"/>
        </w:rPr>
      </w:pPr>
      <w:r w:rsidRPr="00B81671">
        <w:rPr>
          <w:rFonts w:ascii="Arial" w:hAnsi="Arial" w:cs="Arial"/>
        </w:rPr>
        <w:t xml:space="preserve">Obowiązek deklaracji przez podmiot ubiegający się o pomoc odpowiadający obowiązkowi weryfikacji przez podmiot udzielający pomocy: statusu przedsiębiorstwa (wnioskodawcy) – w przypadku rodzajów pomocy publicznej regulowanych rozporządzeniem KE nr 651/ 2014 – zastosowanie mają regulacje Załącznika I do tego Rozporządzenia. W przypadku pomocy de </w:t>
      </w:r>
      <w:proofErr w:type="spellStart"/>
      <w:r w:rsidRPr="00B81671">
        <w:rPr>
          <w:rFonts w:ascii="Arial" w:hAnsi="Arial" w:cs="Arial"/>
        </w:rPr>
        <w:t>minimis</w:t>
      </w:r>
      <w:proofErr w:type="spellEnd"/>
      <w:r w:rsidRPr="00B81671">
        <w:rPr>
          <w:rFonts w:ascii="Arial" w:hAnsi="Arial" w:cs="Arial"/>
        </w:rPr>
        <w:t xml:space="preserve"> – zastosowanie znajduj</w:t>
      </w:r>
      <w:r w:rsidR="00FD52C4" w:rsidRPr="00B81671">
        <w:rPr>
          <w:rFonts w:ascii="Arial" w:hAnsi="Arial" w:cs="Arial"/>
        </w:rPr>
        <w:t>e</w:t>
      </w:r>
      <w:r w:rsidRPr="00B81671">
        <w:rPr>
          <w:rFonts w:ascii="Arial" w:hAnsi="Arial" w:cs="Arial"/>
        </w:rPr>
        <w:t xml:space="preserve"> regulacj</w:t>
      </w:r>
      <w:r w:rsidR="00FD52C4" w:rsidRPr="00B81671">
        <w:rPr>
          <w:rFonts w:ascii="Arial" w:hAnsi="Arial" w:cs="Arial"/>
        </w:rPr>
        <w:t>a art. 2 ust. 2 Rozporządzenia KE nr 1407/2013</w:t>
      </w:r>
      <w:r w:rsidR="009F10D5" w:rsidRPr="00B81671">
        <w:rPr>
          <w:rFonts w:ascii="Arial" w:hAnsi="Arial" w:cs="Arial"/>
        </w:rPr>
        <w:t>, z uwzględnieniem Zalecenia Komisji 2003/361/WE z dnia 6 maja 2003 r., które dotyczy definicji przedsiębiorstw mikro, małych i średnich (Dz. Urz. L 124 z 20.5.2003, str. 36).</w:t>
      </w:r>
    </w:p>
    <w:p w:rsidR="001C278F" w:rsidRPr="00B81671" w:rsidRDefault="001C278F" w:rsidP="00137BC9">
      <w:pPr>
        <w:pStyle w:val="Akapitzlist"/>
        <w:numPr>
          <w:ilvl w:val="0"/>
          <w:numId w:val="12"/>
        </w:numPr>
        <w:spacing w:before="120" w:after="120" w:line="360" w:lineRule="auto"/>
        <w:jc w:val="both"/>
        <w:rPr>
          <w:rFonts w:ascii="Arial" w:hAnsi="Arial" w:cs="Arial"/>
        </w:rPr>
      </w:pPr>
      <w:r w:rsidRPr="00B81671">
        <w:rPr>
          <w:rFonts w:ascii="Arial" w:hAnsi="Arial" w:cs="Arial"/>
        </w:rPr>
        <w:t>Ocena statusu przedsiębiorstwa jest jednym z kluczowych aspektów decyzji instytucji przyznającej pomoc co do warunków udzielanej pomocy (m.in. w zakresie dopuszczalnej wysokości/intensywności</w:t>
      </w:r>
      <w:r w:rsidR="00A34C99" w:rsidRPr="00B81671">
        <w:rPr>
          <w:rFonts w:ascii="Arial" w:hAnsi="Arial" w:cs="Arial"/>
        </w:rPr>
        <w:t xml:space="preserve"> pomocy</w:t>
      </w:r>
      <w:r w:rsidRPr="00B81671">
        <w:rPr>
          <w:rFonts w:ascii="Arial" w:hAnsi="Arial" w:cs="Arial"/>
        </w:rPr>
        <w:t>, jak również dopuszczalności możliwości udzielania danego rodzaju pomocy w ogóle).</w:t>
      </w:r>
    </w:p>
    <w:p w:rsidR="001C278F" w:rsidRPr="00B81671" w:rsidRDefault="001C278F" w:rsidP="00137BC9">
      <w:pPr>
        <w:pStyle w:val="Akapitzlist"/>
        <w:numPr>
          <w:ilvl w:val="0"/>
          <w:numId w:val="12"/>
        </w:numPr>
        <w:spacing w:before="120" w:after="120" w:line="360" w:lineRule="auto"/>
        <w:jc w:val="both"/>
        <w:rPr>
          <w:rFonts w:ascii="Arial" w:hAnsi="Arial" w:cs="Arial"/>
        </w:rPr>
      </w:pPr>
      <w:r w:rsidRPr="00B81671">
        <w:rPr>
          <w:rFonts w:ascii="Arial" w:hAnsi="Arial" w:cs="Arial"/>
        </w:rPr>
        <w:t>Obowiązek dyskontowania – zgodnie z art. § 5 ust. 1 rozporządzenia Rady Ministrów z dnia 11 sierpnia 2004 r. w sprawie szczegółowego sposobu obliczania wartości pomocy publicznej udzielanej w różnych formach</w:t>
      </w:r>
      <w:r w:rsidRPr="00B81671">
        <w:rPr>
          <w:rFonts w:ascii="Arial" w:hAnsi="Arial"/>
          <w:sz w:val="18"/>
          <w:szCs w:val="18"/>
          <w:vertAlign w:val="superscript"/>
        </w:rPr>
        <w:footnoteReference w:id="11"/>
      </w:r>
      <w:r w:rsidRPr="00B81671">
        <w:rPr>
          <w:rFonts w:ascii="Arial" w:hAnsi="Arial" w:cs="Arial"/>
        </w:rPr>
        <w:t>: w przypadku pomocy rozłożonej w czasie, na przykład dotacji przekazywanej w transzach, przy obliczaniu EDB uwzględnia się zdyskontowaną kwotę tej pomocy. Wymóg dyskontowania, zgodnie ze stanowiskiem Urzędu Ochrony Konkurencji i Konsumentów</w:t>
      </w:r>
      <w:r w:rsidR="00F80636" w:rsidRPr="00B81671">
        <w:rPr>
          <w:sz w:val="18"/>
          <w:szCs w:val="18"/>
          <w:vertAlign w:val="superscript"/>
        </w:rPr>
        <w:footnoteReference w:id="12"/>
      </w:r>
      <w:r w:rsidRPr="00B81671">
        <w:rPr>
          <w:rFonts w:ascii="Arial" w:hAnsi="Arial" w:cs="Arial"/>
        </w:rPr>
        <w:t>, odnosi się jednak wyłącznie do pomocy, w przypadku której od samego początku, z założenia, wypłata będzie następowała w częściach, w określonych momentach lub będzie ona wypłacona w całości po upływie określonego czasu, a terminy wypłat nie będą zależne od przedsiębiorcy. Jest to tzw. pomoc z założenia rozłożona w czasie. W takim przypadku w celu obliczenia EDB należy zastosować wyłącznie stopę dyskontową obowiązującą w dniu udzielenia pomocy, tj. podpisania umowy o dofinansowanie projektu. Zmiana stopy dyskontowej w trakcie realizacji projektu nie powoduje zmiany EDB. Zasada ta obowiązuje również w przypadku, gdy w wyniku zmiany harmonogramu realizacji płatności pojawia się konieczność przeliczenia EDB. Zatem w przypadku ponownego ustalania wartości pomocy (według zaktualizowanego harmonogramu wypłat) zastosowana powinna być stopa dyskontowa obowiązująca w dniu udzielenia pomocy.</w:t>
      </w:r>
    </w:p>
    <w:p w:rsidR="00EB6109" w:rsidRPr="00B81671" w:rsidRDefault="001C278F" w:rsidP="00137BC9">
      <w:pPr>
        <w:pStyle w:val="Akapitzlist"/>
        <w:numPr>
          <w:ilvl w:val="0"/>
          <w:numId w:val="12"/>
        </w:numPr>
        <w:spacing w:before="120" w:after="120" w:line="360" w:lineRule="auto"/>
        <w:jc w:val="both"/>
        <w:rPr>
          <w:rFonts w:ascii="Arial" w:hAnsi="Arial" w:cs="Arial"/>
        </w:rPr>
      </w:pPr>
      <w:r w:rsidRPr="00B81671">
        <w:rPr>
          <w:rFonts w:ascii="Arial" w:hAnsi="Arial" w:cs="Arial"/>
        </w:rPr>
        <w:t xml:space="preserve">W sytuacji natomiast, gdy harmonogram przekazywania kolejnych transz dotacji przewidziany w umowie o dofinasowanie nie jest sztywny i nie podlega bezwzględnej </w:t>
      </w:r>
      <w:r w:rsidRPr="00B81671">
        <w:rPr>
          <w:rFonts w:ascii="Arial" w:hAnsi="Arial" w:cs="Arial"/>
        </w:rPr>
        <w:lastRenderedPageBreak/>
        <w:t>realizacji</w:t>
      </w:r>
      <w:r w:rsidRPr="00B81671">
        <w:rPr>
          <w:rFonts w:ascii="Arial" w:hAnsi="Arial"/>
          <w:sz w:val="18"/>
          <w:szCs w:val="18"/>
          <w:vertAlign w:val="superscript"/>
        </w:rPr>
        <w:footnoteReference w:id="13"/>
      </w:r>
      <w:r w:rsidRPr="00B81671">
        <w:rPr>
          <w:rFonts w:ascii="Arial" w:hAnsi="Arial" w:cs="Arial"/>
        </w:rPr>
        <w:t xml:space="preserve"> dyskontowanie pomocy nie jest konieczne. Oznacza to, iż EDB tak udzielanej pomocy równa </w:t>
      </w:r>
      <w:r w:rsidR="0095095B" w:rsidRPr="00B81671">
        <w:rPr>
          <w:rFonts w:ascii="Arial" w:hAnsi="Arial" w:cs="Arial"/>
        </w:rPr>
        <w:t>jest</w:t>
      </w:r>
      <w:r w:rsidRPr="00B81671">
        <w:rPr>
          <w:rFonts w:ascii="Arial" w:hAnsi="Arial" w:cs="Arial"/>
        </w:rPr>
        <w:t xml:space="preserve"> wartości nominalnej pomocy, czyli całkowitej kwocie dofinansowania projektu.</w:t>
      </w:r>
    </w:p>
    <w:p w:rsidR="00C33055" w:rsidRPr="00C33055" w:rsidRDefault="00C33055" w:rsidP="00C33055">
      <w:bookmarkStart w:id="30" w:name="_Toc407115848"/>
      <w:bookmarkStart w:id="31" w:name="_Toc407116378"/>
      <w:bookmarkStart w:id="32" w:name="_Toc406509583"/>
      <w:bookmarkEnd w:id="30"/>
      <w:bookmarkEnd w:id="31"/>
    </w:p>
    <w:p w:rsidR="008D2E9C" w:rsidRPr="00B81671" w:rsidRDefault="00AC1DA9" w:rsidP="00903FFD">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33" w:name="_Toc428535187"/>
      <w:bookmarkStart w:id="34" w:name="_Toc431295988"/>
      <w:bookmarkStart w:id="35" w:name="_Toc508630105"/>
      <w:r>
        <w:rPr>
          <w:rFonts w:ascii="Arial" w:hAnsi="Arial" w:cs="Arial"/>
          <w:i/>
          <w:color w:val="000000" w:themeColor="text1"/>
          <w:sz w:val="24"/>
          <w:szCs w:val="24"/>
        </w:rPr>
        <w:t>Zamówienia udzielane w projektach</w:t>
      </w:r>
      <w:bookmarkEnd w:id="33"/>
      <w:bookmarkEnd w:id="34"/>
      <w:bookmarkEnd w:id="35"/>
    </w:p>
    <w:p w:rsidR="00AC1DA9" w:rsidRPr="00463A68" w:rsidRDefault="00AC1DA9" w:rsidP="00137BC9">
      <w:pPr>
        <w:numPr>
          <w:ilvl w:val="0"/>
          <w:numId w:val="17"/>
        </w:numPr>
        <w:spacing w:before="120" w:after="120" w:line="360" w:lineRule="auto"/>
        <w:ind w:left="403" w:hanging="403"/>
        <w:jc w:val="both"/>
        <w:rPr>
          <w:rFonts w:ascii="Arial" w:eastAsia="MS Mincho" w:hAnsi="Arial" w:cs="Arial"/>
          <w:i/>
          <w:lang w:eastAsia="ja-JP"/>
        </w:rPr>
      </w:pPr>
      <w:r w:rsidRPr="00F861DC">
        <w:rPr>
          <w:rFonts w:ascii="Arial" w:eastAsia="MS Mincho" w:hAnsi="Arial" w:cs="Arial"/>
          <w:lang w:eastAsia="ja-JP"/>
        </w:rPr>
        <w:t xml:space="preserve">Warunki i zasady udzielania zamówień w projektach realizowanych w ramach I osi priorytetowej POPC określają zapisy podrozdziału 6.5 </w:t>
      </w:r>
      <w:r w:rsidRPr="00F861DC">
        <w:rPr>
          <w:rFonts w:ascii="Arial" w:eastAsia="MS Mincho" w:hAnsi="Arial" w:cs="Arial"/>
          <w:i/>
          <w:lang w:eastAsia="ja-JP"/>
        </w:rPr>
        <w:t>Wytycznych.</w:t>
      </w:r>
      <w:r w:rsidRPr="00F861DC">
        <w:rPr>
          <w:rFonts w:ascii="Arial" w:eastAsia="MS Mincho" w:hAnsi="Arial" w:cs="Arial"/>
          <w:lang w:eastAsia="ja-JP"/>
        </w:rPr>
        <w:t xml:space="preserve"> </w:t>
      </w:r>
    </w:p>
    <w:p w:rsidR="00463A68" w:rsidRPr="00463A68" w:rsidRDefault="00463A68" w:rsidP="00137BC9">
      <w:pPr>
        <w:numPr>
          <w:ilvl w:val="0"/>
          <w:numId w:val="17"/>
        </w:numPr>
        <w:spacing w:before="120" w:after="120" w:line="360" w:lineRule="auto"/>
        <w:ind w:left="403" w:hanging="403"/>
        <w:jc w:val="both"/>
        <w:rPr>
          <w:rFonts w:ascii="Arial" w:eastAsia="MS Mincho" w:hAnsi="Arial" w:cs="Arial"/>
          <w:lang w:eastAsia="ja-JP"/>
        </w:rPr>
      </w:pPr>
      <w:r w:rsidRPr="00463A68">
        <w:rPr>
          <w:rFonts w:ascii="Arial" w:eastAsia="MS Mincho" w:hAnsi="Arial" w:cs="Arial"/>
          <w:lang w:eastAsia="ja-JP"/>
        </w:rPr>
        <w:t>Wnioskodawca</w:t>
      </w:r>
      <w:r w:rsidR="008A0D8A">
        <w:rPr>
          <w:rFonts w:ascii="Arial" w:eastAsia="MS Mincho" w:hAnsi="Arial" w:cs="Arial"/>
          <w:lang w:eastAsia="ja-JP"/>
        </w:rPr>
        <w:t>, który</w:t>
      </w:r>
      <w:r w:rsidRPr="00463A68">
        <w:rPr>
          <w:rFonts w:ascii="Arial" w:eastAsia="MS Mincho" w:hAnsi="Arial" w:cs="Arial"/>
          <w:lang w:eastAsia="ja-JP"/>
        </w:rPr>
        <w:t xml:space="preserve"> rozpoczyna realizację </w:t>
      </w:r>
      <w:r w:rsidR="008A0D8A">
        <w:rPr>
          <w:rFonts w:ascii="Arial" w:eastAsia="MS Mincho" w:hAnsi="Arial" w:cs="Arial"/>
          <w:lang w:eastAsia="ja-JP"/>
        </w:rPr>
        <w:t xml:space="preserve">projektu </w:t>
      </w:r>
      <w:r w:rsidRPr="00463A68">
        <w:rPr>
          <w:rFonts w:ascii="Arial" w:eastAsia="MS Mincho" w:hAnsi="Arial" w:cs="Arial"/>
          <w:lang w:eastAsia="ja-JP"/>
        </w:rPr>
        <w:t xml:space="preserve">na własne ryzyko przed podpisaniem umowy o dofinansowanie, </w:t>
      </w:r>
      <w:r w:rsidR="008A0D8A">
        <w:rPr>
          <w:rFonts w:ascii="Arial" w:eastAsia="MS Mincho" w:hAnsi="Arial" w:cs="Arial"/>
          <w:lang w:eastAsia="ja-JP"/>
        </w:rPr>
        <w:t xml:space="preserve">powinien </w:t>
      </w:r>
      <w:r w:rsidRPr="00463A68">
        <w:rPr>
          <w:rFonts w:ascii="Arial" w:eastAsia="MS Mincho" w:hAnsi="Arial" w:cs="Arial"/>
          <w:lang w:eastAsia="ja-JP"/>
        </w:rPr>
        <w:t>upubliczni</w:t>
      </w:r>
      <w:r w:rsidR="008A0D8A">
        <w:rPr>
          <w:rFonts w:ascii="Arial" w:eastAsia="MS Mincho" w:hAnsi="Arial" w:cs="Arial"/>
          <w:lang w:eastAsia="ja-JP"/>
        </w:rPr>
        <w:t>ć</w:t>
      </w:r>
      <w:r w:rsidRPr="00463A68">
        <w:rPr>
          <w:rFonts w:ascii="Arial" w:eastAsia="MS Mincho" w:hAnsi="Arial" w:cs="Arial"/>
          <w:lang w:eastAsia="ja-JP"/>
        </w:rPr>
        <w:t xml:space="preserve"> zapytani</w:t>
      </w:r>
      <w:r w:rsidR="008A0D8A">
        <w:rPr>
          <w:rFonts w:ascii="Arial" w:eastAsia="MS Mincho" w:hAnsi="Arial" w:cs="Arial"/>
          <w:lang w:eastAsia="ja-JP"/>
        </w:rPr>
        <w:t>e ofertowe</w:t>
      </w:r>
      <w:r w:rsidRPr="00463A68">
        <w:rPr>
          <w:rFonts w:ascii="Arial" w:eastAsia="MS Mincho" w:hAnsi="Arial" w:cs="Arial"/>
          <w:lang w:eastAsia="ja-JP"/>
        </w:rPr>
        <w:t xml:space="preserve">, o którym mowa w sekcji 6.5.2 </w:t>
      </w:r>
      <w:r w:rsidRPr="00463A68">
        <w:rPr>
          <w:rFonts w:ascii="Arial" w:eastAsia="MS Mincho" w:hAnsi="Arial" w:cs="Arial"/>
          <w:i/>
          <w:lang w:eastAsia="ja-JP"/>
        </w:rPr>
        <w:t>Wytycznych</w:t>
      </w:r>
      <w:r w:rsidRPr="00463A68">
        <w:rPr>
          <w:rFonts w:ascii="Arial" w:eastAsia="MS Mincho" w:hAnsi="Arial" w:cs="Arial"/>
          <w:lang w:eastAsia="ja-JP"/>
        </w:rPr>
        <w:t>:</w:t>
      </w:r>
    </w:p>
    <w:p w:rsidR="00463A68" w:rsidRPr="00463A68" w:rsidRDefault="00463A68" w:rsidP="00137BC9">
      <w:pPr>
        <w:pStyle w:val="Akapitzlist"/>
        <w:numPr>
          <w:ilvl w:val="0"/>
          <w:numId w:val="87"/>
        </w:numPr>
        <w:spacing w:before="120" w:after="120" w:line="360" w:lineRule="auto"/>
        <w:jc w:val="both"/>
        <w:rPr>
          <w:rFonts w:ascii="Arial" w:eastAsia="MS Mincho" w:hAnsi="Arial" w:cs="Arial"/>
          <w:lang w:eastAsia="ja-JP"/>
        </w:rPr>
      </w:pPr>
      <w:r w:rsidRPr="00463A68">
        <w:rPr>
          <w:rFonts w:ascii="Arial" w:eastAsia="MS Mincho" w:hAnsi="Arial" w:cs="Arial"/>
          <w:lang w:eastAsia="ja-JP"/>
        </w:rPr>
        <w:t xml:space="preserve">przed ogłoszeniem konkursu lub naboru - na stronie internetowej www.cppc.gov.pl, </w:t>
      </w:r>
    </w:p>
    <w:p w:rsidR="00463A68" w:rsidRPr="00463A68" w:rsidRDefault="00463A68" w:rsidP="00137BC9">
      <w:pPr>
        <w:pStyle w:val="Akapitzlist"/>
        <w:numPr>
          <w:ilvl w:val="0"/>
          <w:numId w:val="87"/>
        </w:numPr>
        <w:spacing w:before="120" w:after="120" w:line="360" w:lineRule="auto"/>
        <w:jc w:val="both"/>
        <w:rPr>
          <w:rFonts w:ascii="Arial" w:eastAsia="MS Mincho" w:hAnsi="Arial" w:cs="Arial"/>
          <w:lang w:eastAsia="ja-JP"/>
        </w:rPr>
      </w:pPr>
      <w:r w:rsidRPr="00463A68">
        <w:rPr>
          <w:rFonts w:ascii="Arial" w:eastAsia="MS Mincho" w:hAnsi="Arial" w:cs="Arial"/>
          <w:lang w:eastAsia="ja-JP"/>
        </w:rPr>
        <w:t xml:space="preserve">po ogłoszeniu konkursu lub naboru - w bazie konkurencyjności, o której mowa w punkcie 13 sekcji 6.5.2 </w:t>
      </w:r>
      <w:r w:rsidRPr="00463A68">
        <w:rPr>
          <w:rFonts w:ascii="Arial" w:eastAsia="MS Mincho" w:hAnsi="Arial" w:cs="Arial"/>
          <w:i/>
          <w:lang w:eastAsia="ja-JP"/>
        </w:rPr>
        <w:t>Wytycznych</w:t>
      </w:r>
      <w:r w:rsidRPr="00463A68">
        <w:rPr>
          <w:rFonts w:ascii="Arial" w:eastAsia="MS Mincho" w:hAnsi="Arial" w:cs="Arial"/>
          <w:lang w:eastAsia="ja-JP"/>
        </w:rPr>
        <w:t>.</w:t>
      </w:r>
    </w:p>
    <w:p w:rsidR="008D2E9C" w:rsidRPr="00F116D9" w:rsidRDefault="00AC1DA9" w:rsidP="00137BC9">
      <w:pPr>
        <w:numPr>
          <w:ilvl w:val="0"/>
          <w:numId w:val="17"/>
        </w:numPr>
        <w:spacing w:before="120" w:after="120" w:line="360" w:lineRule="auto"/>
        <w:ind w:left="403" w:hanging="403"/>
        <w:jc w:val="both"/>
        <w:rPr>
          <w:rFonts w:ascii="Arial" w:eastAsia="MS Mincho" w:hAnsi="Arial" w:cs="Arial"/>
          <w:i/>
          <w:lang w:eastAsia="ja-JP"/>
        </w:rPr>
      </w:pPr>
      <w:r w:rsidRPr="00F861DC">
        <w:rPr>
          <w:rFonts w:ascii="Arial" w:eastAsia="MS Mincho" w:hAnsi="Arial" w:cs="Arial"/>
          <w:lang w:eastAsia="ja-JP"/>
        </w:rPr>
        <w:t>W przypadku, gdy beneficjent nie jest zobligowany do stosowania przepisów</w:t>
      </w:r>
      <w:r w:rsidR="008D2E9C" w:rsidRPr="00F116D9">
        <w:rPr>
          <w:rFonts w:ascii="Arial" w:eastAsia="MS Mincho" w:hAnsi="Arial" w:cs="Arial"/>
          <w:lang w:eastAsia="ja-JP"/>
        </w:rPr>
        <w:t xml:space="preserve"> </w:t>
      </w:r>
      <w:proofErr w:type="spellStart"/>
      <w:r w:rsidR="008D2E9C" w:rsidRPr="00F116D9">
        <w:rPr>
          <w:rFonts w:ascii="Arial" w:eastAsia="MS Mincho" w:hAnsi="Arial" w:cs="Arial"/>
          <w:lang w:eastAsia="ja-JP"/>
        </w:rPr>
        <w:t>Pzp</w:t>
      </w:r>
      <w:proofErr w:type="spellEnd"/>
      <w:r w:rsidRPr="00F861DC">
        <w:rPr>
          <w:rFonts w:ascii="Arial" w:eastAsia="MS Mincho" w:hAnsi="Arial" w:cs="Arial"/>
          <w:lang w:eastAsia="ja-JP"/>
        </w:rPr>
        <w:t xml:space="preserve"> ani zasady konkurencyjności, o której mowa w sekcji 6.5.2 </w:t>
      </w:r>
      <w:r w:rsidRPr="00F861DC">
        <w:rPr>
          <w:rFonts w:ascii="Arial" w:eastAsia="MS Mincho" w:hAnsi="Arial" w:cs="Arial"/>
          <w:i/>
          <w:lang w:eastAsia="ja-JP"/>
        </w:rPr>
        <w:t>Wytycznych</w:t>
      </w:r>
      <w:r w:rsidRPr="00F861DC">
        <w:rPr>
          <w:rFonts w:ascii="Arial" w:eastAsia="MS Mincho" w:hAnsi="Arial" w:cs="Arial"/>
          <w:lang w:eastAsia="ja-JP"/>
        </w:rPr>
        <w:t xml:space="preserve">, udzielenie zamówienia o wartości przekraczającej 50 tys. </w:t>
      </w:r>
      <w:r w:rsidR="00F116D9" w:rsidRPr="00F861DC">
        <w:rPr>
          <w:rFonts w:ascii="Arial" w:eastAsia="MS Mincho" w:hAnsi="Arial" w:cs="Arial"/>
          <w:lang w:eastAsia="ja-JP"/>
        </w:rPr>
        <w:t xml:space="preserve">PLN netto może nastąpić po przeprowadzeniu procedury rozeznania rynku określonej w sekcji 6.5.1 </w:t>
      </w:r>
      <w:r w:rsidR="00F116D9" w:rsidRPr="00F861DC">
        <w:rPr>
          <w:rFonts w:ascii="Arial" w:eastAsia="MS Mincho" w:hAnsi="Arial" w:cs="Arial"/>
          <w:i/>
          <w:lang w:eastAsia="ja-JP"/>
        </w:rPr>
        <w:t>Wytycznych</w:t>
      </w:r>
      <w:r w:rsidR="00F116D9" w:rsidRPr="00F861DC">
        <w:rPr>
          <w:rFonts w:ascii="Arial" w:eastAsia="MS Mincho" w:hAnsi="Arial" w:cs="Arial"/>
          <w:lang w:eastAsia="ja-JP"/>
        </w:rPr>
        <w:t xml:space="preserve">. </w:t>
      </w:r>
    </w:p>
    <w:p w:rsidR="008D2E9C" w:rsidRPr="00F116D9" w:rsidRDefault="008D2E9C" w:rsidP="00137BC9">
      <w:pPr>
        <w:numPr>
          <w:ilvl w:val="0"/>
          <w:numId w:val="17"/>
        </w:numPr>
        <w:spacing w:before="120" w:after="120" w:line="360" w:lineRule="auto"/>
        <w:ind w:left="403" w:hanging="403"/>
        <w:jc w:val="both"/>
        <w:rPr>
          <w:rFonts w:ascii="Arial" w:eastAsia="MS Mincho" w:hAnsi="Arial" w:cs="Arial"/>
          <w:i/>
          <w:lang w:eastAsia="ja-JP"/>
        </w:rPr>
      </w:pPr>
      <w:r w:rsidRPr="00F116D9">
        <w:rPr>
          <w:rFonts w:ascii="Arial" w:eastAsia="MS Mincho" w:hAnsi="Arial" w:cs="Arial"/>
          <w:lang w:eastAsia="ja-JP"/>
        </w:rPr>
        <w:t xml:space="preserve">Przykładowy wykaz często spotykanych nieprawidłowości w zakresie zamówień został opisany w załączniku nr </w:t>
      </w:r>
      <w:r w:rsidR="00F116D9" w:rsidRPr="00F861DC">
        <w:rPr>
          <w:rFonts w:ascii="Arial" w:eastAsia="MS Mincho" w:hAnsi="Arial" w:cs="Arial"/>
          <w:lang w:eastAsia="ja-JP"/>
        </w:rPr>
        <w:t>1</w:t>
      </w:r>
      <w:r w:rsidR="00F116D9" w:rsidRPr="00F116D9">
        <w:rPr>
          <w:rFonts w:ascii="Arial" w:eastAsia="MS Mincho" w:hAnsi="Arial" w:cs="Arial"/>
          <w:lang w:eastAsia="ja-JP"/>
        </w:rPr>
        <w:t xml:space="preserve"> </w:t>
      </w:r>
      <w:r w:rsidRPr="00F116D9">
        <w:rPr>
          <w:rFonts w:ascii="Arial" w:eastAsia="MS Mincho" w:hAnsi="Arial" w:cs="Arial"/>
          <w:lang w:eastAsia="ja-JP"/>
        </w:rPr>
        <w:t>do</w:t>
      </w:r>
      <w:r w:rsidR="000475A0" w:rsidRPr="00F116D9">
        <w:rPr>
          <w:rFonts w:ascii="Arial" w:eastAsia="MS Mincho" w:hAnsi="Arial" w:cs="Arial"/>
          <w:lang w:eastAsia="ja-JP"/>
        </w:rPr>
        <w:t xml:space="preserve"> </w:t>
      </w:r>
      <w:r w:rsidR="0095095B" w:rsidRPr="00F116D9">
        <w:rPr>
          <w:rFonts w:ascii="Arial" w:eastAsia="MS Mincho" w:hAnsi="Arial" w:cs="Arial"/>
          <w:lang w:eastAsia="ja-JP"/>
        </w:rPr>
        <w:t>niniejsz</w:t>
      </w:r>
      <w:r w:rsidR="00F116D9" w:rsidRPr="00F861DC">
        <w:rPr>
          <w:rFonts w:ascii="Arial" w:eastAsia="MS Mincho" w:hAnsi="Arial" w:cs="Arial"/>
          <w:lang w:eastAsia="ja-JP"/>
        </w:rPr>
        <w:t xml:space="preserve">ego </w:t>
      </w:r>
      <w:r w:rsidR="00F116D9" w:rsidRPr="00F861DC">
        <w:rPr>
          <w:rFonts w:ascii="Arial" w:eastAsia="MS Mincho" w:hAnsi="Arial" w:cs="Arial"/>
          <w:i/>
          <w:lang w:eastAsia="ja-JP"/>
        </w:rPr>
        <w:t>Katalogu</w:t>
      </w:r>
      <w:r w:rsidRPr="00F116D9">
        <w:rPr>
          <w:rFonts w:ascii="Arial" w:eastAsia="MS Mincho" w:hAnsi="Arial" w:cs="Arial"/>
          <w:i/>
          <w:lang w:eastAsia="ja-JP"/>
        </w:rPr>
        <w:t>.</w:t>
      </w:r>
    </w:p>
    <w:p w:rsidR="008D2E9C" w:rsidRPr="00B81671" w:rsidRDefault="008D2E9C" w:rsidP="00137BC9">
      <w:pPr>
        <w:numPr>
          <w:ilvl w:val="0"/>
          <w:numId w:val="17"/>
        </w:numPr>
        <w:spacing w:before="120" w:after="120" w:line="360" w:lineRule="auto"/>
        <w:ind w:left="403" w:hanging="403"/>
        <w:jc w:val="both"/>
        <w:rPr>
          <w:rFonts w:ascii="Arial" w:eastAsia="MS Mincho" w:hAnsi="Arial" w:cs="Arial"/>
          <w:i/>
          <w:lang w:eastAsia="ja-JP"/>
        </w:rPr>
      </w:pPr>
      <w:r w:rsidRPr="00B81671">
        <w:rPr>
          <w:rFonts w:ascii="Arial" w:eastAsia="MS Mincho" w:hAnsi="Arial" w:cs="Arial"/>
          <w:lang w:eastAsia="ja-JP"/>
        </w:rPr>
        <w:t xml:space="preserve">Załącznik nr </w:t>
      </w:r>
      <w:r w:rsidR="00F116D9">
        <w:rPr>
          <w:rFonts w:ascii="Arial" w:eastAsia="MS Mincho" w:hAnsi="Arial" w:cs="Arial"/>
          <w:lang w:eastAsia="ja-JP"/>
        </w:rPr>
        <w:t>2</w:t>
      </w:r>
      <w:r w:rsidR="00F116D9" w:rsidRPr="00B81671">
        <w:rPr>
          <w:rFonts w:ascii="Arial" w:eastAsia="MS Mincho" w:hAnsi="Arial" w:cs="Arial"/>
          <w:lang w:eastAsia="ja-JP"/>
        </w:rPr>
        <w:t xml:space="preserve"> </w:t>
      </w:r>
      <w:r w:rsidRPr="00B81671">
        <w:rPr>
          <w:rFonts w:ascii="Arial" w:eastAsia="MS Mincho" w:hAnsi="Arial" w:cs="Arial"/>
          <w:lang w:eastAsia="ja-JP"/>
        </w:rPr>
        <w:t>zawiera zestawienie regulacji w zakresie zasady konkurenc</w:t>
      </w:r>
      <w:r w:rsidR="00F116D9">
        <w:rPr>
          <w:rFonts w:ascii="Arial" w:eastAsia="MS Mincho" w:hAnsi="Arial" w:cs="Arial"/>
          <w:lang w:eastAsia="ja-JP"/>
        </w:rPr>
        <w:t>y</w:t>
      </w:r>
      <w:r w:rsidRPr="00B81671">
        <w:rPr>
          <w:rFonts w:ascii="Arial" w:eastAsia="MS Mincho" w:hAnsi="Arial" w:cs="Arial"/>
          <w:lang w:eastAsia="ja-JP"/>
        </w:rPr>
        <w:t>j</w:t>
      </w:r>
      <w:r w:rsidR="00F116D9">
        <w:rPr>
          <w:rFonts w:ascii="Arial" w:eastAsia="MS Mincho" w:hAnsi="Arial" w:cs="Arial"/>
          <w:lang w:eastAsia="ja-JP"/>
        </w:rPr>
        <w:t>nośc</w:t>
      </w:r>
      <w:r w:rsidRPr="00B81671">
        <w:rPr>
          <w:rFonts w:ascii="Arial" w:eastAsia="MS Mincho" w:hAnsi="Arial" w:cs="Arial"/>
          <w:lang w:eastAsia="ja-JP"/>
        </w:rPr>
        <w:t>i w odniesieniu do konieczności stosowania przez zamawiającego określonej ścieżki postępowania.</w:t>
      </w:r>
    </w:p>
    <w:p w:rsidR="0035124D" w:rsidRPr="007E469E" w:rsidRDefault="0035124D" w:rsidP="0035124D">
      <w:pPr>
        <w:keepNext/>
        <w:spacing w:before="120" w:after="120" w:line="360" w:lineRule="auto"/>
        <w:ind w:left="403"/>
        <w:jc w:val="both"/>
        <w:outlineLvl w:val="5"/>
        <w:rPr>
          <w:rFonts w:ascii="Arial" w:eastAsia="Times New Roman" w:hAnsi="Arial" w:cs="Times New Roman"/>
          <w:szCs w:val="24"/>
          <w:lang w:eastAsia="pl-PL"/>
        </w:rPr>
      </w:pPr>
      <w:bookmarkStart w:id="36" w:name="_Toc496191535"/>
      <w:bookmarkStart w:id="37" w:name="_Toc496191585"/>
      <w:bookmarkStart w:id="38" w:name="_Toc496191539"/>
      <w:bookmarkStart w:id="39" w:name="_Toc496191589"/>
      <w:bookmarkStart w:id="40" w:name="_Toc429043882"/>
      <w:bookmarkEnd w:id="29"/>
      <w:bookmarkEnd w:id="32"/>
      <w:bookmarkEnd w:id="36"/>
      <w:bookmarkEnd w:id="37"/>
      <w:bookmarkEnd w:id="38"/>
      <w:bookmarkEnd w:id="39"/>
      <w:bookmarkEnd w:id="40"/>
    </w:p>
    <w:p w:rsidR="00A423E6" w:rsidRPr="00C60541" w:rsidRDefault="00A423E6" w:rsidP="005A373A">
      <w:pPr>
        <w:pStyle w:val="Nagwek2"/>
        <w:numPr>
          <w:ilvl w:val="1"/>
          <w:numId w:val="1"/>
        </w:numPr>
        <w:spacing w:before="240" w:after="60" w:line="360" w:lineRule="auto"/>
        <w:jc w:val="center"/>
        <w:rPr>
          <w:rFonts w:ascii="Arial" w:hAnsi="Arial" w:cs="Arial"/>
          <w:i/>
          <w:color w:val="auto"/>
          <w:sz w:val="24"/>
          <w:szCs w:val="24"/>
        </w:rPr>
      </w:pPr>
      <w:bookmarkStart w:id="41" w:name="_Toc508630106"/>
      <w:r w:rsidRPr="00C60541">
        <w:rPr>
          <w:rFonts w:ascii="Arial" w:hAnsi="Arial" w:cs="Arial"/>
          <w:i/>
          <w:color w:val="auto"/>
          <w:sz w:val="24"/>
          <w:szCs w:val="24"/>
        </w:rPr>
        <w:t>Leasing</w:t>
      </w:r>
      <w:bookmarkEnd w:id="41"/>
    </w:p>
    <w:p w:rsidR="006F58D2" w:rsidRDefault="006F58D2" w:rsidP="00137BC9">
      <w:pPr>
        <w:keepNext/>
        <w:numPr>
          <w:ilvl w:val="0"/>
          <w:numId w:val="24"/>
        </w:numPr>
        <w:spacing w:before="120" w:after="120" w:line="360" w:lineRule="auto"/>
        <w:jc w:val="both"/>
        <w:outlineLvl w:val="5"/>
        <w:rPr>
          <w:rFonts w:ascii="Arial" w:eastAsia="Times New Roman" w:hAnsi="Arial" w:cs="Times New Roman"/>
          <w:i/>
          <w:szCs w:val="24"/>
          <w:lang w:eastAsia="pl-PL"/>
        </w:rPr>
      </w:pPr>
      <w:r w:rsidRPr="00C60541">
        <w:rPr>
          <w:rFonts w:ascii="Arial" w:eastAsia="Times New Roman" w:hAnsi="Arial" w:cs="Times New Roman"/>
          <w:szCs w:val="24"/>
          <w:lang w:eastAsia="pl-PL"/>
        </w:rPr>
        <w:t xml:space="preserve">Leasing jest wydatkiem kwalifikowanym na zasadach określonych w </w:t>
      </w:r>
      <w:r w:rsidRPr="00043E8A">
        <w:rPr>
          <w:rFonts w:ascii="Arial" w:eastAsia="Times New Roman" w:hAnsi="Arial" w:cs="Times New Roman"/>
          <w:i/>
          <w:szCs w:val="24"/>
          <w:lang w:eastAsia="pl-PL"/>
        </w:rPr>
        <w:t xml:space="preserve">Wytycznych </w:t>
      </w:r>
      <w:r w:rsidR="006803C1" w:rsidRPr="006803C1">
        <w:rPr>
          <w:rFonts w:ascii="Arial" w:eastAsia="Times New Roman" w:hAnsi="Arial" w:cs="Times New Roman"/>
          <w:szCs w:val="24"/>
          <w:lang w:eastAsia="pl-PL"/>
        </w:rPr>
        <w:t>oraz w rozdzia</w:t>
      </w:r>
      <w:r w:rsidR="00620724">
        <w:rPr>
          <w:rFonts w:ascii="Arial" w:eastAsia="Times New Roman" w:hAnsi="Arial" w:cs="Times New Roman"/>
          <w:szCs w:val="24"/>
          <w:lang w:eastAsia="pl-PL"/>
        </w:rPr>
        <w:t xml:space="preserve">le 4 </w:t>
      </w:r>
      <w:r w:rsidR="006803C1" w:rsidRPr="006803C1">
        <w:rPr>
          <w:rFonts w:ascii="Arial" w:eastAsia="Times New Roman" w:hAnsi="Arial" w:cs="Times New Roman"/>
          <w:szCs w:val="24"/>
          <w:lang w:eastAsia="pl-PL"/>
        </w:rPr>
        <w:t>niniejsz</w:t>
      </w:r>
      <w:r w:rsidR="00620724">
        <w:rPr>
          <w:rFonts w:ascii="Arial" w:eastAsia="Times New Roman" w:hAnsi="Arial" w:cs="Times New Roman"/>
          <w:szCs w:val="24"/>
          <w:lang w:eastAsia="pl-PL"/>
        </w:rPr>
        <w:t>ego</w:t>
      </w:r>
      <w:r w:rsidR="006803C1" w:rsidRPr="006803C1">
        <w:rPr>
          <w:rFonts w:ascii="Arial" w:eastAsia="Times New Roman" w:hAnsi="Arial" w:cs="Times New Roman"/>
          <w:szCs w:val="24"/>
          <w:lang w:eastAsia="pl-PL"/>
        </w:rPr>
        <w:t xml:space="preserve"> </w:t>
      </w:r>
      <w:r w:rsidR="00620724">
        <w:rPr>
          <w:rFonts w:ascii="Arial" w:eastAsia="Times New Roman" w:hAnsi="Arial" w:cs="Times New Roman"/>
          <w:i/>
          <w:szCs w:val="24"/>
          <w:lang w:eastAsia="pl-PL"/>
        </w:rPr>
        <w:t>Katalogu</w:t>
      </w:r>
      <w:r w:rsidRPr="006803C1">
        <w:rPr>
          <w:rFonts w:ascii="Arial" w:eastAsia="Times New Roman" w:hAnsi="Arial" w:cs="Times New Roman"/>
          <w:szCs w:val="24"/>
          <w:lang w:eastAsia="pl-PL"/>
        </w:rPr>
        <w:t>.</w:t>
      </w:r>
    </w:p>
    <w:p w:rsidR="006F58D2" w:rsidRPr="00B81671" w:rsidRDefault="006F58D2" w:rsidP="00137BC9">
      <w:pPr>
        <w:keepNext/>
        <w:numPr>
          <w:ilvl w:val="0"/>
          <w:numId w:val="2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Za niekwalifikowalne uznaje się wydatki związane z umową leasingu </w:t>
      </w:r>
      <w:r w:rsidR="00AD16DB" w:rsidRPr="00B81671">
        <w:rPr>
          <w:rFonts w:ascii="Arial" w:eastAsia="Times New Roman" w:hAnsi="Arial" w:cs="Times New Roman"/>
          <w:szCs w:val="24"/>
          <w:lang w:eastAsia="pl-PL"/>
        </w:rPr>
        <w:t>poniesione na</w:t>
      </w:r>
      <w:r w:rsidRPr="00B81671">
        <w:rPr>
          <w:rFonts w:ascii="Arial" w:eastAsia="Times New Roman" w:hAnsi="Arial" w:cs="Times New Roman"/>
          <w:szCs w:val="24"/>
          <w:lang w:eastAsia="pl-PL"/>
        </w:rPr>
        <w:t>:</w:t>
      </w:r>
    </w:p>
    <w:p w:rsidR="006F58D2" w:rsidRPr="00B81671" w:rsidRDefault="006F58D2" w:rsidP="00B81671">
      <w:pPr>
        <w:ind w:left="709" w:hanging="283"/>
        <w:jc w:val="both"/>
        <w:rPr>
          <w:rFonts w:ascii="Arial" w:hAnsi="Arial" w:cs="Arial"/>
        </w:rPr>
      </w:pPr>
      <w:r w:rsidRPr="00B81671">
        <w:rPr>
          <w:rFonts w:ascii="Arial" w:hAnsi="Arial" w:cs="Arial"/>
        </w:rPr>
        <w:t>a) podatek związany z umową leasingu (nie dotyczy projektów, w których VAT jest wydatkiem kwalifikowalnym),</w:t>
      </w:r>
    </w:p>
    <w:p w:rsidR="006F58D2" w:rsidRPr="00B81671" w:rsidRDefault="006F58D2" w:rsidP="00C0534E">
      <w:pPr>
        <w:ind w:left="426"/>
        <w:jc w:val="both"/>
        <w:rPr>
          <w:rFonts w:ascii="Arial" w:hAnsi="Arial" w:cs="Arial"/>
        </w:rPr>
      </w:pPr>
      <w:r w:rsidRPr="00B81671">
        <w:rPr>
          <w:rFonts w:ascii="Arial" w:hAnsi="Arial" w:cs="Arial"/>
        </w:rPr>
        <w:t>b) marżę finansującego,</w:t>
      </w:r>
    </w:p>
    <w:p w:rsidR="006F58D2" w:rsidRPr="00B81671" w:rsidRDefault="006F58D2" w:rsidP="00C0534E">
      <w:pPr>
        <w:ind w:left="426"/>
        <w:jc w:val="both"/>
        <w:rPr>
          <w:rFonts w:ascii="Arial" w:hAnsi="Arial" w:cs="Arial"/>
        </w:rPr>
      </w:pPr>
      <w:r w:rsidRPr="00B81671">
        <w:rPr>
          <w:rFonts w:ascii="Arial" w:hAnsi="Arial" w:cs="Arial"/>
        </w:rPr>
        <w:lastRenderedPageBreak/>
        <w:t>c) odsetki od refinansowania kosztów,</w:t>
      </w:r>
    </w:p>
    <w:p w:rsidR="006F58D2" w:rsidRPr="00B81671" w:rsidRDefault="006F58D2" w:rsidP="00C0534E">
      <w:pPr>
        <w:ind w:left="426"/>
        <w:jc w:val="both"/>
        <w:rPr>
          <w:rFonts w:ascii="Arial" w:hAnsi="Arial" w:cs="Arial"/>
        </w:rPr>
      </w:pPr>
      <w:r w:rsidRPr="00B81671">
        <w:rPr>
          <w:rFonts w:ascii="Arial" w:hAnsi="Arial" w:cs="Arial"/>
        </w:rPr>
        <w:t>d)</w:t>
      </w:r>
      <w:r w:rsidR="00AD16DB" w:rsidRPr="00B81671">
        <w:rPr>
          <w:rFonts w:ascii="Arial" w:hAnsi="Arial" w:cs="Arial"/>
        </w:rPr>
        <w:t xml:space="preserve"> pokrycie</w:t>
      </w:r>
      <w:r w:rsidRPr="00B81671">
        <w:rPr>
          <w:rFonts w:ascii="Arial" w:hAnsi="Arial" w:cs="Arial"/>
        </w:rPr>
        <w:t xml:space="preserve"> koszt</w:t>
      </w:r>
      <w:r w:rsidR="00AD16DB" w:rsidRPr="00B81671">
        <w:rPr>
          <w:rFonts w:ascii="Arial" w:hAnsi="Arial" w:cs="Arial"/>
        </w:rPr>
        <w:t>ów</w:t>
      </w:r>
      <w:r w:rsidRPr="00B81671">
        <w:rPr>
          <w:rFonts w:ascii="Arial" w:hAnsi="Arial" w:cs="Arial"/>
        </w:rPr>
        <w:t xml:space="preserve"> </w:t>
      </w:r>
      <w:r w:rsidR="003C781C" w:rsidRPr="00B81671">
        <w:rPr>
          <w:rFonts w:ascii="Arial" w:hAnsi="Arial" w:cs="Arial"/>
        </w:rPr>
        <w:t>pośrednich</w:t>
      </w:r>
      <w:r w:rsidRPr="00B81671">
        <w:rPr>
          <w:rFonts w:ascii="Arial" w:hAnsi="Arial" w:cs="Arial"/>
        </w:rPr>
        <w:t>,</w:t>
      </w:r>
    </w:p>
    <w:p w:rsidR="00906D5B" w:rsidRPr="00C60541" w:rsidRDefault="006F58D2" w:rsidP="00C0534E">
      <w:pPr>
        <w:ind w:left="426"/>
        <w:jc w:val="both"/>
        <w:rPr>
          <w:rFonts w:ascii="Arial" w:hAnsi="Arial" w:cs="Arial"/>
        </w:rPr>
      </w:pPr>
      <w:r w:rsidRPr="00B81671">
        <w:rPr>
          <w:rFonts w:ascii="Arial" w:hAnsi="Arial" w:cs="Arial"/>
        </w:rPr>
        <w:t>e) opłaty ubezpieczeniowe.</w:t>
      </w:r>
    </w:p>
    <w:p w:rsidR="00903FFD" w:rsidRPr="00F861DC" w:rsidRDefault="00903FFD" w:rsidP="00906D5B">
      <w:pPr>
        <w:pStyle w:val="Nagwek2"/>
        <w:numPr>
          <w:ilvl w:val="1"/>
          <w:numId w:val="1"/>
        </w:numPr>
        <w:spacing w:before="240" w:after="60" w:line="360" w:lineRule="auto"/>
        <w:jc w:val="center"/>
        <w:rPr>
          <w:rFonts w:ascii="Arial" w:hAnsi="Arial" w:cs="Arial"/>
          <w:i/>
          <w:color w:val="auto"/>
          <w:sz w:val="24"/>
          <w:szCs w:val="24"/>
        </w:rPr>
      </w:pPr>
      <w:bookmarkStart w:id="42" w:name="_Toc498677422"/>
      <w:bookmarkStart w:id="43" w:name="_Toc498678408"/>
      <w:bookmarkStart w:id="44" w:name="_Toc498949797"/>
      <w:bookmarkStart w:id="45" w:name="_Toc498950449"/>
      <w:bookmarkStart w:id="46" w:name="_Toc499295101"/>
      <w:bookmarkStart w:id="47" w:name="_Toc499649351"/>
      <w:bookmarkStart w:id="48" w:name="_Toc499649391"/>
      <w:bookmarkStart w:id="49" w:name="_Toc508630107"/>
      <w:bookmarkEnd w:id="42"/>
      <w:bookmarkEnd w:id="43"/>
      <w:bookmarkEnd w:id="44"/>
      <w:bookmarkEnd w:id="45"/>
      <w:bookmarkEnd w:id="46"/>
      <w:bookmarkEnd w:id="47"/>
      <w:bookmarkEnd w:id="48"/>
      <w:r w:rsidRPr="00F861DC">
        <w:rPr>
          <w:rFonts w:ascii="Arial" w:hAnsi="Arial" w:cs="Arial"/>
          <w:i/>
          <w:color w:val="auto"/>
          <w:sz w:val="24"/>
          <w:szCs w:val="24"/>
        </w:rPr>
        <w:t>Projekty generujące dochód po zakończeniu realizacji projektów</w:t>
      </w:r>
      <w:bookmarkEnd w:id="49"/>
    </w:p>
    <w:p w:rsidR="002C0FB6" w:rsidRPr="00F861DC" w:rsidRDefault="008C5BFF" w:rsidP="00137BC9">
      <w:pPr>
        <w:keepNext/>
        <w:numPr>
          <w:ilvl w:val="0"/>
          <w:numId w:val="18"/>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szCs w:val="24"/>
          <w:lang w:eastAsia="pl-PL"/>
        </w:rPr>
        <w:t xml:space="preserve">Szczegółowe zasady odnoszące się do projektów generujących dochód w trakcie i po zakończeniu realizacji projektu </w:t>
      </w:r>
      <w:r w:rsidR="003D6B3B">
        <w:rPr>
          <w:rFonts w:ascii="Arial" w:eastAsia="Times New Roman" w:hAnsi="Arial" w:cs="Times New Roman"/>
          <w:szCs w:val="24"/>
          <w:lang w:eastAsia="pl-PL"/>
        </w:rPr>
        <w:t>znajdują się w</w:t>
      </w:r>
      <w:r w:rsidR="00620724">
        <w:rPr>
          <w:rFonts w:ascii="Arial" w:eastAsia="Times New Roman" w:hAnsi="Arial" w:cs="Times New Roman"/>
          <w:szCs w:val="24"/>
          <w:lang w:eastAsia="pl-PL"/>
        </w:rPr>
        <w:t xml:space="preserve"> rozdziałach 6.9 i 7.</w:t>
      </w:r>
      <w:r w:rsidR="0036761B">
        <w:rPr>
          <w:rFonts w:ascii="Arial" w:eastAsia="Times New Roman" w:hAnsi="Arial" w:cs="Times New Roman"/>
          <w:szCs w:val="24"/>
          <w:lang w:eastAsia="pl-PL"/>
        </w:rPr>
        <w:t>7</w:t>
      </w:r>
      <w:r>
        <w:rPr>
          <w:rFonts w:ascii="Arial" w:eastAsia="Times New Roman" w:hAnsi="Arial" w:cs="Times New Roman"/>
          <w:szCs w:val="24"/>
          <w:lang w:eastAsia="pl-PL"/>
        </w:rPr>
        <w:t xml:space="preserve"> </w:t>
      </w:r>
      <w:r w:rsidRPr="003D6B3B">
        <w:rPr>
          <w:rFonts w:ascii="Arial" w:eastAsia="Times New Roman" w:hAnsi="Arial" w:cs="Times New Roman"/>
          <w:i/>
          <w:szCs w:val="24"/>
          <w:lang w:eastAsia="pl-PL"/>
        </w:rPr>
        <w:t>Wytycznych</w:t>
      </w:r>
    </w:p>
    <w:p w:rsidR="00634991" w:rsidRPr="00B81671" w:rsidRDefault="00903FFD" w:rsidP="00137BC9">
      <w:pPr>
        <w:keepNext/>
        <w:numPr>
          <w:ilvl w:val="0"/>
          <w:numId w:val="18"/>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Potencjalne dochody </w:t>
      </w:r>
      <w:r w:rsidR="003D6B3B" w:rsidRPr="00B81671">
        <w:rPr>
          <w:rFonts w:ascii="Arial" w:eastAsia="Times New Roman" w:hAnsi="Arial" w:cs="Times New Roman"/>
          <w:szCs w:val="24"/>
          <w:lang w:eastAsia="pl-PL"/>
        </w:rPr>
        <w:t xml:space="preserve">w projektach realizowanych w ramach POPC </w:t>
      </w:r>
      <w:r w:rsidRPr="00B81671">
        <w:rPr>
          <w:rFonts w:ascii="Arial" w:eastAsia="Times New Roman" w:hAnsi="Arial" w:cs="Times New Roman"/>
          <w:szCs w:val="24"/>
          <w:lang w:eastAsia="pl-PL"/>
        </w:rPr>
        <w:t xml:space="preserve">są określane w dokumentacji wniosku o dofinansowanie </w:t>
      </w:r>
      <w:r w:rsidR="003D6B3B" w:rsidRPr="00B81671">
        <w:rPr>
          <w:rFonts w:ascii="Arial" w:eastAsia="Times New Roman" w:hAnsi="Arial" w:cs="Times New Roman"/>
          <w:szCs w:val="24"/>
          <w:lang w:eastAsia="pl-PL"/>
        </w:rPr>
        <w:t xml:space="preserve">poprzez </w:t>
      </w:r>
      <w:r w:rsidRPr="00B81671">
        <w:rPr>
          <w:rFonts w:ascii="Arial" w:eastAsia="Times New Roman" w:hAnsi="Arial" w:cs="Times New Roman"/>
          <w:szCs w:val="24"/>
          <w:lang w:eastAsia="pl-PL"/>
        </w:rPr>
        <w:t>obliczanie bieżącej wartości dochodu z projektu, z uwzględnieniem właściwego okresu odniesienia, spodziewanej rentowności, biorąc pod uwagę zastosowanie zasady „zanieczyszczający płaci” oraz, w stosownych przypadkach, zasady sprawiedliwości w powiązaniu ze względn</w:t>
      </w:r>
      <w:r w:rsidR="0084413D" w:rsidRPr="00B81671">
        <w:rPr>
          <w:rFonts w:ascii="Arial" w:eastAsia="Times New Roman" w:hAnsi="Arial" w:cs="Times New Roman"/>
          <w:szCs w:val="24"/>
          <w:lang w:eastAsia="pl-PL"/>
        </w:rPr>
        <w:t>ym stanem</w:t>
      </w:r>
      <w:r w:rsidRPr="00B81671">
        <w:rPr>
          <w:rFonts w:ascii="Arial" w:eastAsia="Times New Roman" w:hAnsi="Arial" w:cs="Times New Roman"/>
          <w:szCs w:val="24"/>
          <w:lang w:eastAsia="pl-PL"/>
        </w:rPr>
        <w:t xml:space="preserve"> zamożności danego państwa członkowskiego.</w:t>
      </w:r>
    </w:p>
    <w:p w:rsidR="00903FFD" w:rsidRPr="007E469E" w:rsidRDefault="00903FFD" w:rsidP="005476DC">
      <w:pPr>
        <w:keepNext/>
        <w:spacing w:before="120" w:after="120" w:line="360" w:lineRule="auto"/>
        <w:ind w:left="403"/>
        <w:jc w:val="both"/>
        <w:outlineLvl w:val="5"/>
        <w:rPr>
          <w:rFonts w:ascii="Arial" w:eastAsia="Times New Roman" w:hAnsi="Arial" w:cs="Times New Roman"/>
          <w:szCs w:val="24"/>
          <w:lang w:eastAsia="pl-PL"/>
        </w:rPr>
      </w:pPr>
    </w:p>
    <w:p w:rsidR="00903FFD" w:rsidRPr="007E469E" w:rsidRDefault="00903FFD" w:rsidP="005E0166">
      <w:pPr>
        <w:pStyle w:val="Nagwek2"/>
        <w:numPr>
          <w:ilvl w:val="1"/>
          <w:numId w:val="1"/>
        </w:numPr>
        <w:spacing w:before="240" w:after="60" w:line="360" w:lineRule="auto"/>
        <w:jc w:val="center"/>
        <w:rPr>
          <w:rFonts w:ascii="Arial" w:hAnsi="Arial" w:cs="Arial"/>
          <w:i/>
          <w:color w:val="auto"/>
          <w:sz w:val="24"/>
          <w:szCs w:val="24"/>
        </w:rPr>
      </w:pPr>
      <w:bookmarkStart w:id="50" w:name="_Toc407115853"/>
      <w:bookmarkStart w:id="51" w:name="_Toc407116383"/>
      <w:bookmarkStart w:id="52" w:name="_Toc508630108"/>
      <w:bookmarkEnd w:id="50"/>
      <w:bookmarkEnd w:id="51"/>
      <w:r w:rsidRPr="007E469E">
        <w:rPr>
          <w:rFonts w:ascii="Arial" w:hAnsi="Arial" w:cs="Arial"/>
          <w:i/>
          <w:color w:val="auto"/>
          <w:sz w:val="24"/>
          <w:szCs w:val="24"/>
        </w:rPr>
        <w:t>Kwalifikowalność podatku VAT i innych podatków, opłat i obciążeń</w:t>
      </w:r>
      <w:bookmarkEnd w:id="52"/>
    </w:p>
    <w:p w:rsidR="002D0AA9" w:rsidRPr="00B949A5" w:rsidRDefault="00A0475E" w:rsidP="00137BC9">
      <w:pPr>
        <w:keepNext/>
        <w:numPr>
          <w:ilvl w:val="0"/>
          <w:numId w:val="46"/>
        </w:numPr>
        <w:spacing w:before="120" w:after="120" w:line="360" w:lineRule="auto"/>
        <w:jc w:val="both"/>
        <w:outlineLvl w:val="5"/>
        <w:rPr>
          <w:rFonts w:ascii="Arial" w:eastAsia="Times New Roman" w:hAnsi="Arial" w:cs="Times New Roman"/>
          <w:i/>
          <w:szCs w:val="24"/>
          <w:lang w:eastAsia="pl-PL"/>
        </w:rPr>
      </w:pPr>
      <w:r>
        <w:rPr>
          <w:rFonts w:ascii="Arial" w:eastAsia="Times New Roman" w:hAnsi="Arial" w:cs="Times New Roman"/>
          <w:szCs w:val="24"/>
          <w:lang w:eastAsia="pl-PL"/>
        </w:rPr>
        <w:t xml:space="preserve">Kwoty </w:t>
      </w:r>
      <w:r w:rsidR="002D0AA9" w:rsidRPr="007E469E">
        <w:rPr>
          <w:rFonts w:ascii="Arial" w:eastAsia="Times New Roman" w:hAnsi="Arial" w:cs="Times New Roman"/>
          <w:szCs w:val="24"/>
          <w:lang w:eastAsia="pl-PL"/>
        </w:rPr>
        <w:t>podatku VAT oraz innych podatków, opłat i obciążeń</w:t>
      </w:r>
      <w:r w:rsidR="002D0AA9">
        <w:rPr>
          <w:rFonts w:ascii="Arial" w:eastAsia="Times New Roman" w:hAnsi="Arial" w:cs="Times New Roman"/>
          <w:szCs w:val="24"/>
          <w:lang w:eastAsia="pl-PL"/>
        </w:rPr>
        <w:t xml:space="preserve"> </w:t>
      </w:r>
      <w:r w:rsidR="00537C95">
        <w:rPr>
          <w:rFonts w:ascii="Arial" w:eastAsia="Times New Roman" w:hAnsi="Arial" w:cs="Times New Roman"/>
          <w:szCs w:val="24"/>
          <w:lang w:eastAsia="pl-PL"/>
        </w:rPr>
        <w:t>są</w:t>
      </w:r>
      <w:r w:rsidR="002D0AA9" w:rsidRPr="00777453">
        <w:rPr>
          <w:rFonts w:ascii="Arial" w:eastAsia="Times New Roman" w:hAnsi="Arial" w:cs="Times New Roman"/>
          <w:szCs w:val="24"/>
          <w:lang w:eastAsia="pl-PL"/>
        </w:rPr>
        <w:t xml:space="preserve"> kwalifikowalne w ramach projektu na warunkach określonych w</w:t>
      </w:r>
      <w:r w:rsidR="00620724">
        <w:rPr>
          <w:rFonts w:ascii="Arial" w:eastAsia="Times New Roman" w:hAnsi="Arial" w:cs="Times New Roman"/>
          <w:szCs w:val="24"/>
          <w:lang w:eastAsia="pl-PL"/>
        </w:rPr>
        <w:t xml:space="preserve"> podrozdziale 6.13</w:t>
      </w:r>
      <w:r w:rsidR="002D0AA9" w:rsidRPr="00777453">
        <w:rPr>
          <w:rFonts w:ascii="Arial" w:eastAsia="Times New Roman" w:hAnsi="Arial" w:cs="Times New Roman"/>
          <w:szCs w:val="24"/>
          <w:lang w:eastAsia="pl-PL"/>
        </w:rPr>
        <w:t xml:space="preserve"> </w:t>
      </w:r>
      <w:r w:rsidR="002D0AA9" w:rsidRPr="00B949A5">
        <w:rPr>
          <w:rFonts w:ascii="Arial" w:eastAsia="Times New Roman" w:hAnsi="Arial" w:cs="Times New Roman"/>
          <w:i/>
          <w:szCs w:val="24"/>
          <w:lang w:eastAsia="pl-PL"/>
        </w:rPr>
        <w:t xml:space="preserve">Wytycznych. </w:t>
      </w:r>
    </w:p>
    <w:p w:rsidR="00903FFD" w:rsidRPr="00B81671" w:rsidRDefault="005E0166" w:rsidP="00137BC9">
      <w:pPr>
        <w:keepNext/>
        <w:numPr>
          <w:ilvl w:val="0"/>
          <w:numId w:val="46"/>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IZ POPC nie dopuszcza możliwości kwalifikowania podatku VAT w stosunku do wydatków, dla których beneficjent odlicza ten podatek częściowo wg proporcji ustalonej zgodnie z art. 90 ust. </w:t>
      </w:r>
      <w:r w:rsidR="00E66D6D" w:rsidRPr="00B81671">
        <w:rPr>
          <w:rFonts w:ascii="Arial" w:eastAsia="Times New Roman" w:hAnsi="Arial" w:cs="Times New Roman"/>
          <w:szCs w:val="24"/>
          <w:lang w:eastAsia="pl-PL"/>
        </w:rPr>
        <w:t xml:space="preserve">2 </w:t>
      </w:r>
      <w:r w:rsidRPr="00B81671">
        <w:rPr>
          <w:rFonts w:ascii="Arial" w:eastAsia="Times New Roman" w:hAnsi="Arial" w:cs="Times New Roman"/>
          <w:szCs w:val="24"/>
          <w:lang w:eastAsia="pl-PL"/>
        </w:rPr>
        <w:t xml:space="preserve">ustawy o VAT. </w:t>
      </w:r>
    </w:p>
    <w:p w:rsidR="00DE349A" w:rsidRPr="007E469E" w:rsidRDefault="00DE349A" w:rsidP="00F4397A">
      <w:pPr>
        <w:keepNext/>
        <w:spacing w:before="120" w:after="120" w:line="360" w:lineRule="auto"/>
        <w:jc w:val="both"/>
        <w:outlineLvl w:val="5"/>
        <w:rPr>
          <w:rFonts w:ascii="Arial" w:eastAsia="Times New Roman" w:hAnsi="Arial" w:cs="Times New Roman"/>
          <w:szCs w:val="24"/>
          <w:lang w:eastAsia="pl-PL"/>
        </w:rPr>
      </w:pPr>
    </w:p>
    <w:p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53" w:name="_Toc496191547"/>
      <w:bookmarkStart w:id="54" w:name="_Toc496191597"/>
      <w:bookmarkStart w:id="55" w:name="_Toc498677428"/>
      <w:bookmarkStart w:id="56" w:name="_Toc498678414"/>
      <w:bookmarkStart w:id="57" w:name="_Toc498949803"/>
      <w:bookmarkStart w:id="58" w:name="_Toc496191548"/>
      <w:bookmarkStart w:id="59" w:name="_Toc496191598"/>
      <w:bookmarkStart w:id="60" w:name="_Toc498677429"/>
      <w:bookmarkStart w:id="61" w:name="_Toc498678415"/>
      <w:bookmarkStart w:id="62" w:name="_Toc498949804"/>
      <w:bookmarkStart w:id="63" w:name="_Toc496191549"/>
      <w:bookmarkStart w:id="64" w:name="_Toc496191599"/>
      <w:bookmarkStart w:id="65" w:name="_Toc498677430"/>
      <w:bookmarkStart w:id="66" w:name="_Toc498678416"/>
      <w:bookmarkStart w:id="67" w:name="_Toc498949805"/>
      <w:bookmarkStart w:id="68" w:name="_Toc496191551"/>
      <w:bookmarkStart w:id="69" w:name="_Toc496191601"/>
      <w:bookmarkStart w:id="70" w:name="_Toc498677432"/>
      <w:bookmarkStart w:id="71" w:name="_Toc498678418"/>
      <w:bookmarkStart w:id="72" w:name="_Toc498949807"/>
      <w:bookmarkStart w:id="73" w:name="_Toc496191552"/>
      <w:bookmarkStart w:id="74" w:name="_Toc496191602"/>
      <w:bookmarkStart w:id="75" w:name="_Toc498677433"/>
      <w:bookmarkStart w:id="76" w:name="_Toc498678419"/>
      <w:bookmarkStart w:id="77" w:name="_Toc498949808"/>
      <w:bookmarkStart w:id="78" w:name="_Toc496191553"/>
      <w:bookmarkStart w:id="79" w:name="_Toc496191603"/>
      <w:bookmarkStart w:id="80" w:name="_Toc498677434"/>
      <w:bookmarkStart w:id="81" w:name="_Toc498678420"/>
      <w:bookmarkStart w:id="82" w:name="_Toc498949809"/>
      <w:bookmarkStart w:id="83" w:name="_Toc417549284"/>
      <w:bookmarkStart w:id="84" w:name="_Toc417549353"/>
      <w:bookmarkStart w:id="85" w:name="_Toc417549422"/>
      <w:bookmarkStart w:id="86" w:name="_Toc418584390"/>
      <w:bookmarkStart w:id="87" w:name="_Toc418588606"/>
      <w:bookmarkStart w:id="88" w:name="_Toc496191554"/>
      <w:bookmarkStart w:id="89" w:name="_Toc496191604"/>
      <w:bookmarkStart w:id="90" w:name="_Toc498677435"/>
      <w:bookmarkStart w:id="91" w:name="_Toc498678421"/>
      <w:bookmarkStart w:id="92" w:name="_Toc498949810"/>
      <w:bookmarkStart w:id="93" w:name="_Toc496191556"/>
      <w:bookmarkStart w:id="94" w:name="_Toc496191606"/>
      <w:bookmarkStart w:id="95" w:name="_Toc498677437"/>
      <w:bookmarkStart w:id="96" w:name="_Toc498678423"/>
      <w:bookmarkStart w:id="97" w:name="_Toc498949812"/>
      <w:bookmarkStart w:id="98" w:name="_Toc496191557"/>
      <w:bookmarkStart w:id="99" w:name="_Toc496191607"/>
      <w:bookmarkStart w:id="100" w:name="_Toc498677438"/>
      <w:bookmarkStart w:id="101" w:name="_Toc498678424"/>
      <w:bookmarkStart w:id="102" w:name="_Toc498949813"/>
      <w:bookmarkStart w:id="103" w:name="_Toc407115859"/>
      <w:bookmarkStart w:id="104" w:name="_Toc407116389"/>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7E469E">
        <w:rPr>
          <w:rFonts w:ascii="Arial" w:hAnsi="Arial" w:cs="Arial"/>
          <w:i/>
          <w:color w:val="auto"/>
          <w:sz w:val="24"/>
          <w:szCs w:val="24"/>
        </w:rPr>
        <w:t xml:space="preserve"> </w:t>
      </w:r>
      <w:bookmarkStart w:id="105" w:name="_Toc508630109"/>
      <w:r w:rsidRPr="007E469E">
        <w:rPr>
          <w:rFonts w:ascii="Arial" w:hAnsi="Arial" w:cs="Arial"/>
          <w:i/>
          <w:color w:val="auto"/>
          <w:sz w:val="24"/>
          <w:szCs w:val="24"/>
        </w:rPr>
        <w:t>Zmiany projektów</w:t>
      </w:r>
      <w:bookmarkEnd w:id="105"/>
    </w:p>
    <w:p w:rsidR="00A06EE2" w:rsidRPr="007E469E" w:rsidRDefault="00A06EE2" w:rsidP="00137BC9">
      <w:pPr>
        <w:numPr>
          <w:ilvl w:val="0"/>
          <w:numId w:val="15"/>
        </w:numPr>
        <w:spacing w:before="120" w:after="120" w:line="360" w:lineRule="auto"/>
        <w:ind w:left="426"/>
        <w:jc w:val="both"/>
        <w:rPr>
          <w:rFonts w:ascii="Arial" w:hAnsi="Arial" w:cs="Arial"/>
        </w:rPr>
      </w:pPr>
      <w:r w:rsidRPr="007E469E">
        <w:rPr>
          <w:rFonts w:ascii="Arial" w:hAnsi="Arial" w:cs="Arial"/>
        </w:rPr>
        <w:t xml:space="preserve">Zmiany dotyczące realizacji projektu wymagają zgłoszenia do IP POPC przed ich wprowadzeniem. </w:t>
      </w:r>
    </w:p>
    <w:p w:rsidR="00903FFD" w:rsidRPr="007E469E" w:rsidRDefault="00903FFD" w:rsidP="00137BC9">
      <w:pPr>
        <w:numPr>
          <w:ilvl w:val="0"/>
          <w:numId w:val="15"/>
        </w:numPr>
        <w:spacing w:before="120" w:after="120" w:line="360" w:lineRule="auto"/>
        <w:ind w:left="426"/>
        <w:jc w:val="both"/>
        <w:rPr>
          <w:rFonts w:ascii="Arial" w:hAnsi="Arial" w:cs="Arial"/>
        </w:rPr>
      </w:pPr>
      <w:r w:rsidRPr="007E469E">
        <w:rPr>
          <w:rFonts w:ascii="Arial" w:hAnsi="Arial" w:cs="Arial"/>
        </w:rPr>
        <w:t xml:space="preserve">Szczegółowe warunki dotyczące zakresu zmian wymagających zmiany </w:t>
      </w:r>
      <w:r w:rsidRPr="007E469E">
        <w:rPr>
          <w:rFonts w:ascii="Arial" w:eastAsia="Times New Roman" w:hAnsi="Arial" w:cs="Arial"/>
          <w:bCs/>
          <w:lang w:eastAsia="pl-PL"/>
        </w:rPr>
        <w:t xml:space="preserve">umowy </w:t>
      </w:r>
      <w:r w:rsidRPr="007E469E">
        <w:rPr>
          <w:rFonts w:ascii="Arial" w:hAnsi="Arial" w:cs="Arial"/>
        </w:rPr>
        <w:t xml:space="preserve">o dofinansowanie </w:t>
      </w:r>
      <w:r w:rsidR="00312A9C">
        <w:rPr>
          <w:rFonts w:ascii="Arial" w:hAnsi="Arial" w:cs="Arial"/>
        </w:rPr>
        <w:t xml:space="preserve">projektu </w:t>
      </w:r>
      <w:r w:rsidRPr="007E469E">
        <w:rPr>
          <w:rFonts w:ascii="Arial" w:hAnsi="Arial" w:cs="Arial"/>
        </w:rPr>
        <w:t xml:space="preserve">są określone </w:t>
      </w:r>
      <w:r w:rsidR="00E537D4" w:rsidRPr="007E469E">
        <w:rPr>
          <w:rFonts w:ascii="Arial" w:hAnsi="Arial" w:cs="Arial"/>
        </w:rPr>
        <w:t>w</w:t>
      </w:r>
      <w:r w:rsidRPr="007E469E">
        <w:rPr>
          <w:rFonts w:ascii="Arial" w:hAnsi="Arial" w:cs="Arial"/>
        </w:rPr>
        <w:t xml:space="preserve"> </w:t>
      </w:r>
      <w:r w:rsidR="00E704ED" w:rsidRPr="007E469E">
        <w:rPr>
          <w:rFonts w:ascii="Arial" w:hAnsi="Arial" w:cs="Arial"/>
        </w:rPr>
        <w:t>umow</w:t>
      </w:r>
      <w:r w:rsidR="00E704ED">
        <w:rPr>
          <w:rFonts w:ascii="Arial" w:hAnsi="Arial" w:cs="Arial"/>
        </w:rPr>
        <w:t>ie</w:t>
      </w:r>
      <w:r w:rsidR="00E704ED" w:rsidRPr="007E469E">
        <w:rPr>
          <w:rFonts w:ascii="Arial" w:hAnsi="Arial" w:cs="Arial"/>
        </w:rPr>
        <w:t xml:space="preserve"> </w:t>
      </w:r>
      <w:r w:rsidRPr="007E469E">
        <w:rPr>
          <w:rFonts w:ascii="Arial" w:hAnsi="Arial" w:cs="Arial"/>
        </w:rPr>
        <w:t>o dofinansowanie</w:t>
      </w:r>
      <w:r w:rsidR="00312A9C">
        <w:rPr>
          <w:rFonts w:ascii="Arial" w:hAnsi="Arial" w:cs="Arial"/>
        </w:rPr>
        <w:t xml:space="preserve"> projektu</w:t>
      </w:r>
      <w:r w:rsidRPr="007E469E">
        <w:rPr>
          <w:rFonts w:ascii="Arial" w:hAnsi="Arial" w:cs="Arial"/>
        </w:rPr>
        <w:t>.</w:t>
      </w:r>
    </w:p>
    <w:p w:rsidR="00903FFD" w:rsidRPr="007E469E" w:rsidRDefault="00903FFD" w:rsidP="00AE4553">
      <w:pPr>
        <w:spacing w:before="120" w:after="120" w:line="360" w:lineRule="auto"/>
        <w:ind w:left="426"/>
        <w:jc w:val="both"/>
        <w:rPr>
          <w:rFonts w:ascii="Arial" w:hAnsi="Arial" w:cs="Arial"/>
        </w:rPr>
      </w:pPr>
    </w:p>
    <w:p w:rsidR="00903FFD" w:rsidRPr="00B81671" w:rsidRDefault="004D7D79" w:rsidP="005A373A">
      <w:pPr>
        <w:pStyle w:val="Nagwek2"/>
        <w:numPr>
          <w:ilvl w:val="1"/>
          <w:numId w:val="1"/>
        </w:numPr>
        <w:spacing w:before="240" w:after="60" w:line="360" w:lineRule="auto"/>
        <w:jc w:val="center"/>
        <w:rPr>
          <w:rFonts w:ascii="Arial" w:hAnsi="Arial" w:cs="Arial"/>
          <w:i/>
          <w:color w:val="auto"/>
          <w:sz w:val="24"/>
          <w:szCs w:val="24"/>
        </w:rPr>
      </w:pPr>
      <w:bookmarkStart w:id="106" w:name="_Toc508630110"/>
      <w:r w:rsidRPr="00B81671">
        <w:rPr>
          <w:rFonts w:ascii="Arial" w:hAnsi="Arial" w:cs="Arial"/>
          <w:i/>
          <w:color w:val="auto"/>
          <w:sz w:val="24"/>
          <w:szCs w:val="24"/>
        </w:rPr>
        <w:t>Duży projekt – zasady identyfikacji</w:t>
      </w:r>
      <w:bookmarkEnd w:id="106"/>
      <w:r w:rsidRPr="00B81671">
        <w:rPr>
          <w:rFonts w:ascii="Arial" w:hAnsi="Arial" w:cs="Arial"/>
          <w:i/>
          <w:color w:val="auto"/>
          <w:sz w:val="24"/>
          <w:szCs w:val="24"/>
        </w:rPr>
        <w:t xml:space="preserve"> </w:t>
      </w:r>
    </w:p>
    <w:p w:rsidR="00F0653C" w:rsidRPr="00B81671" w:rsidRDefault="00F0653C" w:rsidP="00137BC9">
      <w:pPr>
        <w:pStyle w:val="Akapit"/>
        <w:keepNext w:val="0"/>
        <w:numPr>
          <w:ilvl w:val="0"/>
          <w:numId w:val="7"/>
        </w:numPr>
        <w:spacing w:before="120" w:after="120"/>
        <w:ind w:left="426"/>
        <w:outlineLvl w:val="5"/>
        <w:rPr>
          <w:rFonts w:cs="Arial"/>
          <w:szCs w:val="22"/>
        </w:rPr>
      </w:pPr>
      <w:r w:rsidRPr="00B81671">
        <w:rPr>
          <w:rFonts w:cs="Arial"/>
          <w:szCs w:val="22"/>
        </w:rPr>
        <w:t xml:space="preserve">W ramach POPC nie </w:t>
      </w:r>
      <w:r w:rsidR="00892E05" w:rsidRPr="00B81671">
        <w:rPr>
          <w:rFonts w:cs="Arial"/>
          <w:szCs w:val="22"/>
        </w:rPr>
        <w:t>przewiduje</w:t>
      </w:r>
      <w:r w:rsidRPr="00B81671">
        <w:rPr>
          <w:rFonts w:cs="Arial"/>
          <w:szCs w:val="22"/>
        </w:rPr>
        <w:t xml:space="preserve"> się realizacji dużych projektów.</w:t>
      </w:r>
    </w:p>
    <w:p w:rsidR="00903FFD" w:rsidRPr="00B81671" w:rsidRDefault="00892E05" w:rsidP="00137BC9">
      <w:pPr>
        <w:pStyle w:val="Akapit"/>
        <w:keepNext w:val="0"/>
        <w:numPr>
          <w:ilvl w:val="0"/>
          <w:numId w:val="7"/>
        </w:numPr>
        <w:spacing w:before="120" w:after="120"/>
        <w:ind w:left="426"/>
        <w:outlineLvl w:val="5"/>
        <w:rPr>
          <w:rFonts w:cs="Arial"/>
          <w:szCs w:val="22"/>
        </w:rPr>
      </w:pPr>
      <w:r w:rsidRPr="00B81671">
        <w:rPr>
          <w:rFonts w:cs="Arial"/>
          <w:szCs w:val="22"/>
        </w:rPr>
        <w:t>Weryfikacja</w:t>
      </w:r>
      <w:r w:rsidR="00903FFD" w:rsidRPr="00B81671">
        <w:rPr>
          <w:rFonts w:cs="Arial"/>
          <w:szCs w:val="22"/>
        </w:rPr>
        <w:t xml:space="preserve"> danego projektu </w:t>
      </w:r>
      <w:r w:rsidRPr="00B81671">
        <w:rPr>
          <w:rFonts w:cs="Arial"/>
          <w:szCs w:val="22"/>
        </w:rPr>
        <w:t xml:space="preserve">pod kątem zaliczania się </w:t>
      </w:r>
      <w:r w:rsidR="00903FFD" w:rsidRPr="00B81671">
        <w:rPr>
          <w:rFonts w:cs="Arial"/>
          <w:szCs w:val="22"/>
        </w:rPr>
        <w:t>do grupy projektów dużych</w:t>
      </w:r>
      <w:r w:rsidR="00E62E0D" w:rsidRPr="00B81671">
        <w:rPr>
          <w:rFonts w:cs="Arial"/>
          <w:szCs w:val="22"/>
        </w:rPr>
        <w:t xml:space="preserve"> (określana mianem identyfikacji dużego projektu)</w:t>
      </w:r>
      <w:r w:rsidR="00136638" w:rsidRPr="00B81671">
        <w:rPr>
          <w:rFonts w:cs="Arial"/>
          <w:szCs w:val="22"/>
        </w:rPr>
        <w:t xml:space="preserve">, czyli takich których całkowite </w:t>
      </w:r>
      <w:r w:rsidR="00A0475E" w:rsidRPr="00B81671">
        <w:rPr>
          <w:rFonts w:cs="Arial"/>
          <w:szCs w:val="22"/>
        </w:rPr>
        <w:t>wydatki</w:t>
      </w:r>
      <w:r w:rsidR="00136638" w:rsidRPr="00B81671">
        <w:rPr>
          <w:rFonts w:cs="Arial"/>
          <w:szCs w:val="22"/>
        </w:rPr>
        <w:t xml:space="preserve"> </w:t>
      </w:r>
      <w:r w:rsidR="00136638" w:rsidRPr="00B81671">
        <w:rPr>
          <w:rFonts w:cs="Arial"/>
          <w:szCs w:val="22"/>
        </w:rPr>
        <w:lastRenderedPageBreak/>
        <w:t>kwalifikowalne przekraczają kwotę 50 </w:t>
      </w:r>
      <w:r w:rsidR="00BA3033" w:rsidRPr="00B81671">
        <w:rPr>
          <w:rFonts w:cs="Arial"/>
          <w:szCs w:val="22"/>
        </w:rPr>
        <w:t>mln</w:t>
      </w:r>
      <w:r w:rsidR="00136638" w:rsidRPr="00B81671">
        <w:rPr>
          <w:rFonts w:cs="Arial"/>
          <w:szCs w:val="22"/>
        </w:rPr>
        <w:t xml:space="preserve"> EUR</w:t>
      </w:r>
      <w:r w:rsidR="00E62E0D" w:rsidRPr="00B81671">
        <w:rPr>
          <w:rFonts w:cs="Arial"/>
          <w:szCs w:val="22"/>
        </w:rPr>
        <w:t>,</w:t>
      </w:r>
      <w:r w:rsidR="00903FFD" w:rsidRPr="00B81671">
        <w:rPr>
          <w:rFonts w:cs="Arial"/>
          <w:szCs w:val="22"/>
        </w:rPr>
        <w:t xml:space="preserve"> dotyczy każdego projektu, który ubiega się o wsparcie finansowe w ramach POPC. Następuje ona </w:t>
      </w:r>
      <w:r w:rsidRPr="00B81671">
        <w:rPr>
          <w:rFonts w:cs="Arial"/>
          <w:szCs w:val="22"/>
        </w:rPr>
        <w:t>po</w:t>
      </w:r>
      <w:r w:rsidR="00903FFD" w:rsidRPr="00B81671">
        <w:rPr>
          <w:rFonts w:cs="Arial"/>
          <w:szCs w:val="22"/>
        </w:rPr>
        <w:t xml:space="preserve"> </w:t>
      </w:r>
      <w:r w:rsidRPr="00B81671">
        <w:rPr>
          <w:rFonts w:cs="Arial"/>
          <w:szCs w:val="22"/>
        </w:rPr>
        <w:t xml:space="preserve">złożeniu </w:t>
      </w:r>
      <w:r w:rsidR="00903FFD" w:rsidRPr="00B81671">
        <w:rPr>
          <w:rFonts w:cs="Arial"/>
          <w:szCs w:val="22"/>
        </w:rPr>
        <w:t xml:space="preserve">przez </w:t>
      </w:r>
      <w:r w:rsidR="00D0310D" w:rsidRPr="00B81671">
        <w:rPr>
          <w:rFonts w:cs="Arial"/>
          <w:szCs w:val="22"/>
        </w:rPr>
        <w:t>wnioskodawcę</w:t>
      </w:r>
      <w:r w:rsidR="00903FFD" w:rsidRPr="00B81671">
        <w:rPr>
          <w:rFonts w:cs="Arial"/>
          <w:szCs w:val="22"/>
        </w:rPr>
        <w:t xml:space="preserve"> do IP</w:t>
      </w:r>
      <w:r w:rsidR="00003E0A" w:rsidRPr="00B81671">
        <w:rPr>
          <w:rFonts w:cs="Arial"/>
          <w:szCs w:val="22"/>
        </w:rPr>
        <w:t xml:space="preserve"> POPC</w:t>
      </w:r>
      <w:r w:rsidR="00903FFD" w:rsidRPr="00B81671">
        <w:rPr>
          <w:rFonts w:cs="Arial"/>
          <w:szCs w:val="22"/>
        </w:rPr>
        <w:t xml:space="preserve"> wniosku o dofinansowanie w ramach POPC. W tym celu bada się czy </w:t>
      </w:r>
      <w:r w:rsidR="00193874" w:rsidRPr="00B81671">
        <w:rPr>
          <w:rFonts w:cs="Arial"/>
          <w:szCs w:val="22"/>
        </w:rPr>
        <w:t xml:space="preserve">wydatki kwalifikowalne danego projektu </w:t>
      </w:r>
      <w:r w:rsidR="00903FFD" w:rsidRPr="00B81671">
        <w:rPr>
          <w:rFonts w:cs="Arial"/>
          <w:szCs w:val="22"/>
        </w:rPr>
        <w:t>wyrażon</w:t>
      </w:r>
      <w:r w:rsidR="00193874" w:rsidRPr="00B81671">
        <w:rPr>
          <w:rFonts w:cs="Arial"/>
          <w:szCs w:val="22"/>
        </w:rPr>
        <w:t>e</w:t>
      </w:r>
      <w:r w:rsidR="00903FFD" w:rsidRPr="00B81671">
        <w:rPr>
          <w:rFonts w:cs="Arial"/>
          <w:szCs w:val="22"/>
        </w:rPr>
        <w:t xml:space="preserve"> w EUR przekracza</w:t>
      </w:r>
      <w:r w:rsidR="00193874" w:rsidRPr="00B81671">
        <w:rPr>
          <w:rFonts w:cs="Arial"/>
          <w:szCs w:val="22"/>
        </w:rPr>
        <w:t>ją</w:t>
      </w:r>
      <w:r w:rsidR="00903FFD" w:rsidRPr="00B81671">
        <w:rPr>
          <w:rFonts w:cs="Arial"/>
          <w:szCs w:val="22"/>
        </w:rPr>
        <w:t xml:space="preserve"> próg dużego projektu, określony </w:t>
      </w:r>
      <w:r w:rsidR="0084413D" w:rsidRPr="00B81671">
        <w:rPr>
          <w:rFonts w:cs="Arial"/>
          <w:szCs w:val="22"/>
        </w:rPr>
        <w:t xml:space="preserve">w </w:t>
      </w:r>
      <w:r w:rsidR="00903FFD" w:rsidRPr="00B81671">
        <w:rPr>
          <w:rFonts w:cs="Arial"/>
          <w:szCs w:val="22"/>
        </w:rPr>
        <w:t xml:space="preserve"> art. 100 rozporządzenia ogólnego. </w:t>
      </w:r>
    </w:p>
    <w:p w:rsidR="00903FFD" w:rsidRPr="00B81671" w:rsidRDefault="00480F1B" w:rsidP="00137BC9">
      <w:pPr>
        <w:pStyle w:val="Akapit"/>
        <w:keepNext w:val="0"/>
        <w:numPr>
          <w:ilvl w:val="0"/>
          <w:numId w:val="7"/>
        </w:numPr>
        <w:spacing w:before="120" w:after="120"/>
        <w:ind w:left="426"/>
        <w:outlineLvl w:val="5"/>
        <w:rPr>
          <w:rFonts w:cs="Arial"/>
          <w:szCs w:val="22"/>
        </w:rPr>
      </w:pPr>
      <w:r w:rsidRPr="00B81671">
        <w:rPr>
          <w:rFonts w:cs="Arial"/>
          <w:szCs w:val="22"/>
        </w:rPr>
        <w:t xml:space="preserve">Aby dokonać konwersji walutowej PLN/EUR należy posłużyć się średnią arytmetyczną kursów </w:t>
      </w:r>
      <w:r w:rsidR="00B97E7F" w:rsidRPr="00B81671">
        <w:rPr>
          <w:rFonts w:cs="Arial"/>
          <w:szCs w:val="22"/>
        </w:rPr>
        <w:t>średnioważonych walut obcych w złotych</w:t>
      </w:r>
      <w:r w:rsidRPr="00B81671">
        <w:rPr>
          <w:rFonts w:cs="Arial"/>
          <w:szCs w:val="22"/>
        </w:rPr>
        <w:t xml:space="preserve"> </w:t>
      </w:r>
      <w:r w:rsidR="0099463F" w:rsidRPr="00B81671">
        <w:rPr>
          <w:rFonts w:cs="Arial"/>
          <w:szCs w:val="22"/>
        </w:rPr>
        <w:t>(</w:t>
      </w:r>
      <w:r w:rsidRPr="00B81671">
        <w:rPr>
          <w:rFonts w:cs="Arial"/>
          <w:szCs w:val="22"/>
        </w:rPr>
        <w:t>miesięcznych</w:t>
      </w:r>
      <w:r w:rsidR="0099463F" w:rsidRPr="00B81671">
        <w:rPr>
          <w:rFonts w:cs="Arial"/>
          <w:szCs w:val="22"/>
        </w:rPr>
        <w:t>)</w:t>
      </w:r>
      <w:r w:rsidRPr="00B81671">
        <w:rPr>
          <w:rFonts w:cs="Arial"/>
          <w:szCs w:val="22"/>
        </w:rPr>
        <w:t xml:space="preserve"> Narodowego Banku Polskiego, z ostatnich kolejno następujących po sobie sześciu miesięcy bezpośrednio poprzedzających miesiąc złożenia wniosku o dofinansowanie (kursy te publikowane są w mediach elektronicznych pod adresem: http://www.nbp.pl/home.asp</w:t>
      </w:r>
      <w:r w:rsidR="00136638" w:rsidRPr="00B81671">
        <w:rPr>
          <w:rFonts w:cs="Arial"/>
          <w:szCs w:val="22"/>
        </w:rPr>
        <w:t>x?f=/kursy/</w:t>
      </w:r>
      <w:r w:rsidR="00737A23">
        <w:rPr>
          <w:rFonts w:cs="Arial"/>
          <w:szCs w:val="22"/>
        </w:rPr>
        <w:t>kursy_</w:t>
      </w:r>
      <w:r w:rsidR="00136638" w:rsidRPr="00B81671">
        <w:rPr>
          <w:rFonts w:cs="Arial"/>
          <w:szCs w:val="22"/>
        </w:rPr>
        <w:t>arch</w:t>
      </w:r>
      <w:r w:rsidR="00737A23">
        <w:rPr>
          <w:rFonts w:cs="Arial"/>
          <w:szCs w:val="22"/>
        </w:rPr>
        <w:t>iwum</w:t>
      </w:r>
      <w:r w:rsidR="00136638" w:rsidRPr="00B81671">
        <w:rPr>
          <w:rFonts w:cs="Arial"/>
          <w:szCs w:val="22"/>
        </w:rPr>
        <w:t>.html</w:t>
      </w:r>
      <w:r w:rsidRPr="00B81671">
        <w:rPr>
          <w:rFonts w:cs="Arial"/>
          <w:szCs w:val="22"/>
        </w:rPr>
        <w:t>).</w:t>
      </w:r>
    </w:p>
    <w:p w:rsidR="00903FFD" w:rsidRPr="00B81671" w:rsidRDefault="00903FFD" w:rsidP="00137BC9">
      <w:pPr>
        <w:pStyle w:val="Akapit"/>
        <w:keepNext w:val="0"/>
        <w:numPr>
          <w:ilvl w:val="0"/>
          <w:numId w:val="7"/>
        </w:numPr>
        <w:spacing w:before="120" w:after="120"/>
        <w:ind w:left="426" w:hanging="426"/>
        <w:outlineLvl w:val="5"/>
        <w:rPr>
          <w:rFonts w:cs="Arial"/>
          <w:szCs w:val="22"/>
        </w:rPr>
      </w:pPr>
      <w:r w:rsidRPr="00B81671">
        <w:rPr>
          <w:rFonts w:cs="Arial"/>
          <w:szCs w:val="22"/>
        </w:rPr>
        <w:t>Określony w ten sposób kurs wymiany zostaje dla danego projektu „zamrożony” (tj. jest stały do zakończenia realizacji i ostatecznego rozliczenia projektu w ramach POPC) i jest wykorzystywany w następujących trzech obszarach:</w:t>
      </w:r>
    </w:p>
    <w:p w:rsidR="00903FFD" w:rsidRPr="00B81671" w:rsidRDefault="00903FFD" w:rsidP="00137BC9">
      <w:pPr>
        <w:pStyle w:val="Akapit"/>
        <w:keepNext w:val="0"/>
        <w:numPr>
          <w:ilvl w:val="1"/>
          <w:numId w:val="8"/>
        </w:numPr>
        <w:spacing w:before="120" w:after="120"/>
        <w:ind w:left="709"/>
        <w:outlineLvl w:val="5"/>
        <w:rPr>
          <w:rFonts w:cs="Arial"/>
          <w:szCs w:val="22"/>
        </w:rPr>
      </w:pPr>
      <w:r w:rsidRPr="00B81671">
        <w:rPr>
          <w:rFonts w:cs="Arial"/>
          <w:szCs w:val="22"/>
        </w:rPr>
        <w:t xml:space="preserve">identyfikacji dużego projektu, tj. określeniu, czy dany projekt ma status projektu dużego, czy </w:t>
      </w:r>
      <w:r w:rsidR="00F0720E" w:rsidRPr="00B81671">
        <w:rPr>
          <w:rFonts w:cs="Arial"/>
          <w:szCs w:val="22"/>
        </w:rPr>
        <w:t>tego statusu nie posiada</w:t>
      </w:r>
      <w:r w:rsidRPr="00B81671">
        <w:rPr>
          <w:rFonts w:cs="Arial"/>
          <w:szCs w:val="22"/>
        </w:rPr>
        <w:t>;</w:t>
      </w:r>
    </w:p>
    <w:p w:rsidR="00903FFD" w:rsidRPr="00B81671" w:rsidRDefault="00903FFD" w:rsidP="00137BC9">
      <w:pPr>
        <w:pStyle w:val="Akapit"/>
        <w:keepNext w:val="0"/>
        <w:numPr>
          <w:ilvl w:val="1"/>
          <w:numId w:val="8"/>
        </w:numPr>
        <w:spacing w:before="120" w:after="120"/>
        <w:ind w:left="709"/>
        <w:outlineLvl w:val="5"/>
        <w:rPr>
          <w:rFonts w:cs="Arial"/>
          <w:szCs w:val="22"/>
        </w:rPr>
      </w:pPr>
      <w:r w:rsidRPr="00B81671">
        <w:rPr>
          <w:rFonts w:cs="Arial"/>
          <w:szCs w:val="22"/>
        </w:rPr>
        <w:t>wypełnieniu formularza wniosku o potwierdzenie wkładu finansowego do dużego projektu w celu przekazania do oceny dokonywanej przez KE;</w:t>
      </w:r>
    </w:p>
    <w:p w:rsidR="00903FFD" w:rsidRPr="00B81671" w:rsidRDefault="00903FFD" w:rsidP="00137BC9">
      <w:pPr>
        <w:pStyle w:val="Akapit"/>
        <w:keepNext w:val="0"/>
        <w:numPr>
          <w:ilvl w:val="1"/>
          <w:numId w:val="8"/>
        </w:numPr>
        <w:spacing w:before="120" w:after="120"/>
        <w:ind w:left="709"/>
        <w:outlineLvl w:val="5"/>
        <w:rPr>
          <w:rFonts w:cs="Arial"/>
          <w:szCs w:val="22"/>
        </w:rPr>
      </w:pPr>
      <w:r w:rsidRPr="00B81671">
        <w:rPr>
          <w:rFonts w:cs="Arial"/>
          <w:szCs w:val="22"/>
        </w:rPr>
        <w:t>przeliczeniu wartości finansowych zawartych w decyzji KE potwierdzającej przyznanie dofinansowania w ramach POPC dla dużego projektu na potrzeby umowy o dofinansowanie.</w:t>
      </w:r>
    </w:p>
    <w:p w:rsidR="00F0653C" w:rsidRPr="00B81671" w:rsidRDefault="00892E05" w:rsidP="00137BC9">
      <w:pPr>
        <w:pStyle w:val="Akapit"/>
        <w:keepNext w:val="0"/>
        <w:numPr>
          <w:ilvl w:val="0"/>
          <w:numId w:val="7"/>
        </w:numPr>
        <w:spacing w:before="120" w:after="120"/>
        <w:ind w:left="426"/>
        <w:outlineLvl w:val="5"/>
        <w:rPr>
          <w:rFonts w:cs="Arial"/>
          <w:szCs w:val="22"/>
        </w:rPr>
      </w:pPr>
      <w:r w:rsidRPr="00B81671">
        <w:rPr>
          <w:rFonts w:cs="Arial"/>
          <w:szCs w:val="22"/>
        </w:rPr>
        <w:t xml:space="preserve">W przypadku przekroczenia wartości 50 mln EUR </w:t>
      </w:r>
      <w:r w:rsidR="008B1747" w:rsidRPr="00B81671">
        <w:rPr>
          <w:rFonts w:cs="Arial"/>
          <w:szCs w:val="22"/>
        </w:rPr>
        <w:t xml:space="preserve">wydatków kwalifikowalnych </w:t>
      </w:r>
      <w:r w:rsidRPr="00B81671">
        <w:rPr>
          <w:rFonts w:cs="Arial"/>
          <w:szCs w:val="22"/>
        </w:rPr>
        <w:t>projektu w trakcie jego realizacji, wydatki przekraczające</w:t>
      </w:r>
      <w:r w:rsidR="00F0653C" w:rsidRPr="00B81671">
        <w:rPr>
          <w:rFonts w:cs="Arial"/>
          <w:szCs w:val="22"/>
        </w:rPr>
        <w:t xml:space="preserve"> powyższ</w:t>
      </w:r>
      <w:r w:rsidRPr="00B81671">
        <w:rPr>
          <w:rFonts w:cs="Arial"/>
          <w:szCs w:val="22"/>
        </w:rPr>
        <w:t>y</w:t>
      </w:r>
      <w:r w:rsidR="00F0653C" w:rsidRPr="00B81671">
        <w:rPr>
          <w:rFonts w:cs="Arial"/>
          <w:szCs w:val="22"/>
        </w:rPr>
        <w:t xml:space="preserve"> limit uzna</w:t>
      </w:r>
      <w:r w:rsidRPr="00B81671">
        <w:rPr>
          <w:rFonts w:cs="Arial"/>
          <w:szCs w:val="22"/>
        </w:rPr>
        <w:t>je się</w:t>
      </w:r>
      <w:r w:rsidR="00F0653C" w:rsidRPr="00B81671">
        <w:rPr>
          <w:rFonts w:cs="Arial"/>
          <w:szCs w:val="22"/>
        </w:rPr>
        <w:t xml:space="preserve"> za </w:t>
      </w:r>
      <w:r w:rsidR="00136638" w:rsidRPr="00B81671">
        <w:rPr>
          <w:rFonts w:cs="Arial"/>
          <w:szCs w:val="22"/>
        </w:rPr>
        <w:t>niekwalifikowalne</w:t>
      </w:r>
      <w:r w:rsidR="00F0653C" w:rsidRPr="00B81671">
        <w:rPr>
          <w:rFonts w:cs="Arial"/>
          <w:szCs w:val="22"/>
        </w:rPr>
        <w:t>.</w:t>
      </w:r>
    </w:p>
    <w:p w:rsidR="00903FFD" w:rsidRPr="007E469E" w:rsidRDefault="00903FFD" w:rsidP="0069794E">
      <w:pPr>
        <w:pStyle w:val="Akapit"/>
        <w:keepNext w:val="0"/>
        <w:numPr>
          <w:ilvl w:val="0"/>
          <w:numId w:val="0"/>
        </w:numPr>
        <w:spacing w:before="120" w:after="120"/>
        <w:outlineLvl w:val="5"/>
        <w:rPr>
          <w:rFonts w:cs="Arial"/>
          <w:szCs w:val="22"/>
        </w:rPr>
      </w:pPr>
    </w:p>
    <w:p w:rsidR="00903FFD" w:rsidRPr="00B81671"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107" w:name="_Toc508630111"/>
      <w:r w:rsidRPr="00B81671">
        <w:rPr>
          <w:rFonts w:ascii="Arial" w:hAnsi="Arial" w:cs="Arial"/>
          <w:i/>
          <w:color w:val="auto"/>
          <w:sz w:val="24"/>
          <w:szCs w:val="24"/>
        </w:rPr>
        <w:t>Podmiot dokonujący wydatków kwalifikowalnych</w:t>
      </w:r>
      <w:bookmarkEnd w:id="107"/>
    </w:p>
    <w:p w:rsidR="00AC2A05" w:rsidRPr="00B81671" w:rsidRDefault="00903FFD" w:rsidP="00137BC9">
      <w:pPr>
        <w:numPr>
          <w:ilvl w:val="0"/>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Podmiotem </w:t>
      </w:r>
      <w:r w:rsidR="008B1747" w:rsidRPr="00B81671">
        <w:rPr>
          <w:rFonts w:ascii="Arial" w:eastAsia="Times New Roman" w:hAnsi="Arial" w:cs="Arial"/>
          <w:lang w:eastAsia="pl-PL"/>
        </w:rPr>
        <w:t xml:space="preserve">ponoszącym wydatki kwalifikowalne </w:t>
      </w:r>
      <w:r w:rsidRPr="00B81671">
        <w:rPr>
          <w:rFonts w:ascii="Arial" w:eastAsia="Times New Roman" w:hAnsi="Arial" w:cs="Arial"/>
          <w:lang w:eastAsia="pl-PL"/>
        </w:rPr>
        <w:t>jest beneficjent</w:t>
      </w:r>
      <w:r w:rsidR="00A51E38" w:rsidRPr="00B81671">
        <w:rPr>
          <w:rFonts w:ascii="Arial" w:eastAsia="Times New Roman" w:hAnsi="Arial" w:cs="Arial"/>
          <w:lang w:eastAsia="pl-PL"/>
        </w:rPr>
        <w:t xml:space="preserve">, określony w rozdziale </w:t>
      </w:r>
      <w:r w:rsidR="004B179F">
        <w:rPr>
          <w:rFonts w:ascii="Arial" w:eastAsia="Times New Roman" w:hAnsi="Arial" w:cs="Arial"/>
          <w:lang w:eastAsia="pl-PL"/>
        </w:rPr>
        <w:t>1</w:t>
      </w:r>
      <w:r w:rsidR="004B179F" w:rsidRPr="00B81671">
        <w:rPr>
          <w:rFonts w:ascii="Arial" w:eastAsia="Times New Roman" w:hAnsi="Arial" w:cs="Arial"/>
          <w:lang w:eastAsia="pl-PL"/>
        </w:rPr>
        <w:t xml:space="preserve"> </w:t>
      </w:r>
      <w:r w:rsidR="00A51E38" w:rsidRPr="00B81671">
        <w:rPr>
          <w:rFonts w:ascii="Arial" w:eastAsia="Times New Roman" w:hAnsi="Arial" w:cs="Arial"/>
          <w:lang w:eastAsia="pl-PL"/>
        </w:rPr>
        <w:t xml:space="preserve">pkt 1 </w:t>
      </w:r>
      <w:r w:rsidR="004B179F">
        <w:rPr>
          <w:rFonts w:ascii="Arial" w:eastAsia="Times New Roman" w:hAnsi="Arial" w:cs="Arial"/>
          <w:i/>
          <w:lang w:eastAsia="pl-PL"/>
        </w:rPr>
        <w:t>Katalogu</w:t>
      </w:r>
      <w:r w:rsidR="00F665EF" w:rsidRPr="00B81671">
        <w:rPr>
          <w:rFonts w:ascii="Arial" w:eastAsia="Times New Roman" w:hAnsi="Arial" w:cs="Arial"/>
          <w:i/>
          <w:lang w:eastAsia="pl-PL"/>
        </w:rPr>
        <w:t xml:space="preserve">, </w:t>
      </w:r>
      <w:r w:rsidR="00F665EF" w:rsidRPr="00B81671">
        <w:rPr>
          <w:rFonts w:ascii="Arial" w:eastAsia="Times New Roman" w:hAnsi="Arial" w:cs="Arial"/>
          <w:lang w:eastAsia="pl-PL"/>
        </w:rPr>
        <w:t xml:space="preserve">z zastrzeżeniem pkt 2 w </w:t>
      </w:r>
      <w:r w:rsidR="00B97E7F" w:rsidRPr="00B81671">
        <w:rPr>
          <w:rFonts w:ascii="Arial" w:eastAsia="Times New Roman" w:hAnsi="Arial" w:cs="Arial"/>
          <w:lang w:eastAsia="pl-PL"/>
        </w:rPr>
        <w:t>pod</w:t>
      </w:r>
      <w:r w:rsidR="00F665EF" w:rsidRPr="00B81671">
        <w:rPr>
          <w:rFonts w:ascii="Arial" w:eastAsia="Times New Roman" w:hAnsi="Arial" w:cs="Arial"/>
          <w:lang w:eastAsia="pl-PL"/>
        </w:rPr>
        <w:t xml:space="preserve">rozdziale </w:t>
      </w:r>
      <w:r w:rsidR="004B179F">
        <w:rPr>
          <w:rFonts w:ascii="Arial" w:eastAsia="Times New Roman" w:hAnsi="Arial" w:cs="Arial"/>
          <w:lang w:eastAsia="pl-PL"/>
        </w:rPr>
        <w:t>3</w:t>
      </w:r>
      <w:r w:rsidR="00F665EF" w:rsidRPr="00B81671">
        <w:rPr>
          <w:rFonts w:ascii="Arial" w:eastAsia="Times New Roman" w:hAnsi="Arial" w:cs="Arial"/>
          <w:lang w:eastAsia="pl-PL"/>
        </w:rPr>
        <w:t>.3</w:t>
      </w:r>
      <w:r w:rsidR="00F665EF" w:rsidRPr="00B81671">
        <w:rPr>
          <w:rFonts w:ascii="Arial" w:eastAsia="Times New Roman" w:hAnsi="Arial" w:cs="Arial"/>
          <w:i/>
          <w:lang w:eastAsia="pl-PL"/>
        </w:rPr>
        <w:t xml:space="preserve"> </w:t>
      </w:r>
      <w:r w:rsidR="00982440" w:rsidRPr="00B81671">
        <w:rPr>
          <w:rFonts w:ascii="Arial" w:eastAsia="Times New Roman" w:hAnsi="Arial" w:cs="Arial"/>
          <w:i/>
          <w:lang w:eastAsia="pl-PL"/>
        </w:rPr>
        <w:t>.</w:t>
      </w:r>
      <w:r w:rsidR="00BA3033" w:rsidRPr="00B81671">
        <w:rPr>
          <w:rFonts w:ascii="Arial" w:eastAsia="Times New Roman" w:hAnsi="Arial" w:cs="Arial"/>
          <w:i/>
          <w:lang w:eastAsia="pl-PL"/>
        </w:rPr>
        <w:t xml:space="preserve"> </w:t>
      </w:r>
    </w:p>
    <w:p w:rsidR="005B1CB4" w:rsidRPr="00B81671" w:rsidRDefault="005B1CB4" w:rsidP="00137BC9">
      <w:pPr>
        <w:numPr>
          <w:ilvl w:val="0"/>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Beneficjent może realizować projekt w partnerstwie na warunkach określonych w art. 33 ustawy wdrożeniowej. Umowa o partnerstwie, stanowiąca załącznik do wniosku o dofinansowanie, powinna wskazywać czy part</w:t>
      </w:r>
      <w:r w:rsidR="0036761B">
        <w:rPr>
          <w:rFonts w:ascii="Arial" w:eastAsia="Times New Roman" w:hAnsi="Arial" w:cs="Arial"/>
          <w:lang w:eastAsia="pl-PL"/>
        </w:rPr>
        <w:t>n</w:t>
      </w:r>
      <w:r w:rsidRPr="00B81671">
        <w:rPr>
          <w:rFonts w:ascii="Arial" w:eastAsia="Times New Roman" w:hAnsi="Arial" w:cs="Arial"/>
          <w:lang w:eastAsia="pl-PL"/>
        </w:rPr>
        <w:t>er lub partnerzy są jednocześnie upoważni</w:t>
      </w:r>
      <w:r w:rsidR="00583AEB" w:rsidRPr="00B81671">
        <w:rPr>
          <w:rFonts w:ascii="Arial" w:eastAsia="Times New Roman" w:hAnsi="Arial" w:cs="Arial"/>
          <w:lang w:eastAsia="pl-PL"/>
        </w:rPr>
        <w:t>eni</w:t>
      </w:r>
      <w:r w:rsidRPr="00B81671">
        <w:rPr>
          <w:rFonts w:ascii="Arial" w:eastAsia="Times New Roman" w:hAnsi="Arial" w:cs="Arial"/>
          <w:lang w:eastAsia="pl-PL"/>
        </w:rPr>
        <w:t xml:space="preserve"> do ponoszenia wydatków w projekcie.    </w:t>
      </w:r>
    </w:p>
    <w:p w:rsidR="00C837C2" w:rsidRPr="00B81671" w:rsidRDefault="00951794" w:rsidP="00137BC9">
      <w:pPr>
        <w:numPr>
          <w:ilvl w:val="0"/>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lastRenderedPageBreak/>
        <w:t>U</w:t>
      </w:r>
      <w:r w:rsidR="00A52331" w:rsidRPr="00B81671">
        <w:rPr>
          <w:rFonts w:ascii="Arial" w:eastAsia="Times New Roman" w:hAnsi="Arial" w:cs="Arial"/>
          <w:lang w:eastAsia="pl-PL"/>
        </w:rPr>
        <w:t>znani</w:t>
      </w:r>
      <w:r w:rsidRPr="00B81671">
        <w:rPr>
          <w:rFonts w:ascii="Arial" w:eastAsia="Times New Roman" w:hAnsi="Arial" w:cs="Arial"/>
          <w:lang w:eastAsia="pl-PL"/>
        </w:rPr>
        <w:t>e</w:t>
      </w:r>
      <w:r w:rsidR="00A52331" w:rsidRPr="00B81671">
        <w:rPr>
          <w:rFonts w:ascii="Arial" w:eastAsia="Times New Roman" w:hAnsi="Arial" w:cs="Arial"/>
          <w:lang w:eastAsia="pl-PL"/>
        </w:rPr>
        <w:t xml:space="preserve"> za kwalifikowalne wydatków poniesionych przez podmiot upoważniony do ponoszenia wydatków jest </w:t>
      </w:r>
      <w:r w:rsidRPr="00B81671">
        <w:rPr>
          <w:rFonts w:ascii="Arial" w:eastAsia="Times New Roman" w:hAnsi="Arial" w:cs="Arial"/>
          <w:lang w:eastAsia="pl-PL"/>
        </w:rPr>
        <w:t xml:space="preserve">warunkowane </w:t>
      </w:r>
      <w:r w:rsidR="00A52331" w:rsidRPr="00B81671">
        <w:rPr>
          <w:rFonts w:ascii="Arial" w:eastAsia="Times New Roman" w:hAnsi="Arial" w:cs="Arial"/>
          <w:lang w:eastAsia="pl-PL"/>
        </w:rPr>
        <w:t>podpisanie</w:t>
      </w:r>
      <w:r w:rsidRPr="00B81671">
        <w:rPr>
          <w:rFonts w:ascii="Arial" w:eastAsia="Times New Roman" w:hAnsi="Arial" w:cs="Arial"/>
          <w:lang w:eastAsia="pl-PL"/>
        </w:rPr>
        <w:t>m</w:t>
      </w:r>
      <w:r w:rsidR="00A52331" w:rsidRPr="00B81671">
        <w:rPr>
          <w:rFonts w:ascii="Arial" w:eastAsia="Times New Roman" w:hAnsi="Arial" w:cs="Arial"/>
          <w:lang w:eastAsia="pl-PL"/>
        </w:rPr>
        <w:t xml:space="preserve"> u</w:t>
      </w:r>
      <w:r w:rsidR="00115D70" w:rsidRPr="00B81671">
        <w:rPr>
          <w:rFonts w:ascii="Arial" w:eastAsia="Times New Roman" w:hAnsi="Arial" w:cs="Arial"/>
          <w:lang w:eastAsia="pl-PL"/>
        </w:rPr>
        <w:t>mow</w:t>
      </w:r>
      <w:r w:rsidR="00A52331" w:rsidRPr="00B81671">
        <w:rPr>
          <w:rFonts w:ascii="Arial" w:eastAsia="Times New Roman" w:hAnsi="Arial" w:cs="Arial"/>
          <w:lang w:eastAsia="pl-PL"/>
        </w:rPr>
        <w:t>y</w:t>
      </w:r>
      <w:r w:rsidR="00115D70" w:rsidRPr="00B81671">
        <w:rPr>
          <w:rFonts w:ascii="Arial" w:eastAsia="Times New Roman" w:hAnsi="Arial" w:cs="Arial"/>
          <w:lang w:eastAsia="pl-PL"/>
        </w:rPr>
        <w:t xml:space="preserve"> lub porozumieni</w:t>
      </w:r>
      <w:r w:rsidR="00A52331" w:rsidRPr="00B81671">
        <w:rPr>
          <w:rFonts w:ascii="Arial" w:eastAsia="Times New Roman" w:hAnsi="Arial" w:cs="Arial"/>
          <w:lang w:eastAsia="pl-PL"/>
        </w:rPr>
        <w:t>a</w:t>
      </w:r>
      <w:r w:rsidR="00115D70" w:rsidRPr="00B81671">
        <w:rPr>
          <w:rFonts w:ascii="Arial" w:eastAsia="Times New Roman" w:hAnsi="Arial" w:cs="Arial"/>
          <w:lang w:eastAsia="pl-PL"/>
        </w:rPr>
        <w:t xml:space="preserve"> </w:t>
      </w:r>
      <w:r w:rsidR="00A52331" w:rsidRPr="00B81671">
        <w:rPr>
          <w:rFonts w:ascii="Arial" w:eastAsia="Times New Roman" w:hAnsi="Arial" w:cs="Arial"/>
          <w:lang w:eastAsia="pl-PL"/>
        </w:rPr>
        <w:t>pomiędzy beneficjentem a podmiotem upoważnionym z poszanowaniem obowiązujących przepisów. Dokument ten stanowi załącznik do wniosku o dofinansowanie.</w:t>
      </w:r>
      <w:r w:rsidR="00A9699A" w:rsidRPr="00B81671">
        <w:rPr>
          <w:rFonts w:ascii="Arial" w:eastAsia="Times New Roman" w:hAnsi="Arial" w:cs="Arial"/>
          <w:lang w:eastAsia="pl-PL"/>
        </w:rPr>
        <w:t xml:space="preserve">   </w:t>
      </w:r>
      <w:r w:rsidR="000E529C" w:rsidRPr="00B81671">
        <w:rPr>
          <w:rFonts w:ascii="Arial" w:eastAsia="Times New Roman" w:hAnsi="Arial" w:cs="Arial"/>
          <w:lang w:eastAsia="pl-PL"/>
        </w:rPr>
        <w:t xml:space="preserve"> </w:t>
      </w:r>
    </w:p>
    <w:p w:rsidR="00951794" w:rsidRPr="00B81671" w:rsidRDefault="00951794" w:rsidP="00137BC9">
      <w:pPr>
        <w:numPr>
          <w:ilvl w:val="0"/>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Porozumienie lub umowa zawarta pomiędzy beneficjentem, jako stroną umowy o dofinansowanie, a podmiotem upoważnionym powinna </w:t>
      </w:r>
      <w:r w:rsidR="00A451CE" w:rsidRPr="00B81671">
        <w:rPr>
          <w:rFonts w:ascii="Arial" w:eastAsia="Times New Roman" w:hAnsi="Arial" w:cs="Arial"/>
          <w:lang w:eastAsia="pl-PL"/>
        </w:rPr>
        <w:t xml:space="preserve">zawierać zapisy dotyczące wzajemnych praw i obowiązków stron gwarantujące wypełnienie przez beneficjenta zobowiązań wynikających z umowy o dofinansowanie. </w:t>
      </w:r>
      <w:r w:rsidRPr="00B81671">
        <w:rPr>
          <w:rFonts w:ascii="Arial" w:eastAsia="Times New Roman" w:hAnsi="Arial" w:cs="Arial"/>
          <w:lang w:eastAsia="pl-PL"/>
        </w:rPr>
        <w:t xml:space="preserve"> </w:t>
      </w:r>
    </w:p>
    <w:p w:rsidR="00903FFD" w:rsidRPr="00B81671" w:rsidRDefault="00903FFD" w:rsidP="00137BC9">
      <w:pPr>
        <w:numPr>
          <w:ilvl w:val="0"/>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Niezależnie od tego, czy beneficjent upoważni inny podmiot do ponoszenia wydatków kwalifikowalnych, beneficjent</w:t>
      </w:r>
      <w:r w:rsidR="001C4734" w:rsidRPr="00B81671">
        <w:rPr>
          <w:rFonts w:ascii="Arial" w:eastAsia="Times New Roman" w:hAnsi="Arial" w:cs="Arial"/>
          <w:lang w:eastAsia="pl-PL"/>
        </w:rPr>
        <w:t xml:space="preserve">, </w:t>
      </w:r>
      <w:r w:rsidR="00423158" w:rsidRPr="00B81671">
        <w:rPr>
          <w:rFonts w:ascii="Arial" w:eastAsia="Times New Roman" w:hAnsi="Arial" w:cs="Arial"/>
          <w:lang w:eastAsia="pl-PL"/>
        </w:rPr>
        <w:t xml:space="preserve">jako strona </w:t>
      </w:r>
      <w:r w:rsidR="001C4734" w:rsidRPr="00B81671">
        <w:rPr>
          <w:rFonts w:ascii="Arial" w:eastAsia="Times New Roman" w:hAnsi="Arial" w:cs="Arial"/>
          <w:lang w:eastAsia="pl-PL"/>
        </w:rPr>
        <w:t>umow</w:t>
      </w:r>
      <w:r w:rsidR="00423158" w:rsidRPr="00B81671">
        <w:rPr>
          <w:rFonts w:ascii="Arial" w:eastAsia="Times New Roman" w:hAnsi="Arial" w:cs="Arial"/>
          <w:lang w:eastAsia="pl-PL"/>
        </w:rPr>
        <w:t>y</w:t>
      </w:r>
      <w:r w:rsidR="001C4734" w:rsidRPr="00B81671">
        <w:rPr>
          <w:rFonts w:ascii="Arial" w:eastAsia="Times New Roman" w:hAnsi="Arial" w:cs="Arial"/>
          <w:lang w:eastAsia="pl-PL"/>
        </w:rPr>
        <w:t xml:space="preserve"> o dofinansowanie</w:t>
      </w:r>
      <w:r w:rsidRPr="00B81671">
        <w:rPr>
          <w:rFonts w:ascii="Arial" w:eastAsia="Times New Roman" w:hAnsi="Arial" w:cs="Arial"/>
          <w:lang w:eastAsia="pl-PL"/>
        </w:rPr>
        <w:t>:</w:t>
      </w:r>
    </w:p>
    <w:p w:rsidR="00903FFD" w:rsidRPr="00B81671" w:rsidRDefault="00903FFD" w:rsidP="00137BC9">
      <w:pPr>
        <w:numPr>
          <w:ilvl w:val="1"/>
          <w:numId w:val="5"/>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zawsze pozostaje odpowiedzialny za prawidłowość rzeczowej i finansowej realizacji tego projektu i odpowiada przed instytucją, z którą podpisał umowę</w:t>
      </w:r>
      <w:r w:rsidR="008B1747" w:rsidRPr="00B81671">
        <w:rPr>
          <w:rFonts w:ascii="Arial" w:eastAsia="Times New Roman" w:hAnsi="Arial" w:cs="Arial"/>
          <w:lang w:eastAsia="pl-PL"/>
        </w:rPr>
        <w:t xml:space="preserve"> </w:t>
      </w:r>
      <w:r w:rsidRPr="00B81671">
        <w:rPr>
          <w:rFonts w:ascii="Arial" w:eastAsia="Times New Roman" w:hAnsi="Arial" w:cs="Arial"/>
          <w:lang w:eastAsia="pl-PL"/>
        </w:rPr>
        <w:t>o dofinansowanie, za prawidłowość całości wydatków kwalifikowalnych</w:t>
      </w:r>
      <w:r w:rsidR="008B1747" w:rsidRPr="00B81671">
        <w:rPr>
          <w:rFonts w:ascii="Arial" w:eastAsia="Times New Roman" w:hAnsi="Arial" w:cs="Arial"/>
          <w:lang w:eastAsia="pl-PL"/>
        </w:rPr>
        <w:t xml:space="preserve"> ponoszonych </w:t>
      </w:r>
      <w:r w:rsidRPr="00B81671">
        <w:rPr>
          <w:rFonts w:ascii="Arial" w:eastAsia="Times New Roman" w:hAnsi="Arial" w:cs="Arial"/>
          <w:lang w:eastAsia="pl-PL"/>
        </w:rPr>
        <w:t>w ramach projektu,</w:t>
      </w:r>
    </w:p>
    <w:p w:rsidR="00903FFD" w:rsidRPr="00B81671" w:rsidRDefault="00903FFD" w:rsidP="00137BC9">
      <w:pPr>
        <w:numPr>
          <w:ilvl w:val="1"/>
          <w:numId w:val="5"/>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zawsze pozostaje odpowiedzialny za zapewnienie trwałości projektu, zgodnie z</w:t>
      </w:r>
      <w:r w:rsidR="00C87A22" w:rsidRPr="00B81671">
        <w:rPr>
          <w:rFonts w:ascii="Arial" w:eastAsia="Times New Roman" w:hAnsi="Arial" w:cs="Arial"/>
          <w:lang w:eastAsia="pl-PL"/>
        </w:rPr>
        <w:t xml:space="preserve"> </w:t>
      </w:r>
      <w:r w:rsidRPr="00B81671">
        <w:rPr>
          <w:rFonts w:ascii="Arial" w:eastAsia="Times New Roman" w:hAnsi="Arial" w:cs="Arial"/>
          <w:lang w:eastAsia="pl-PL"/>
        </w:rPr>
        <w:t>art.</w:t>
      </w:r>
      <w:r w:rsidR="00C87A22" w:rsidRPr="00B81671">
        <w:rPr>
          <w:rFonts w:ascii="Arial" w:eastAsia="Times New Roman" w:hAnsi="Arial" w:cs="Arial"/>
          <w:lang w:eastAsia="pl-PL"/>
        </w:rPr>
        <w:t xml:space="preserve"> </w:t>
      </w:r>
      <w:r w:rsidRPr="00B81671">
        <w:rPr>
          <w:rFonts w:ascii="Arial" w:eastAsia="Times New Roman" w:hAnsi="Arial" w:cs="Arial"/>
          <w:lang w:eastAsia="pl-PL"/>
        </w:rPr>
        <w:t>71 rozporządzenia ogólnego,</w:t>
      </w:r>
    </w:p>
    <w:p w:rsidR="00903FFD" w:rsidRPr="00B81671" w:rsidRDefault="00903FFD" w:rsidP="00137BC9">
      <w:pPr>
        <w:numPr>
          <w:ilvl w:val="1"/>
          <w:numId w:val="5"/>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zawsze pozostaje jedynym podmiotem właściwym do kontaktów z instytucjami w systemie realizacji POPC, </w:t>
      </w:r>
      <w:r w:rsidR="008B1747" w:rsidRPr="00B81671">
        <w:rPr>
          <w:rFonts w:ascii="Arial" w:eastAsia="Times New Roman" w:hAnsi="Arial" w:cs="Arial"/>
          <w:lang w:eastAsia="pl-PL"/>
        </w:rPr>
        <w:t xml:space="preserve">do </w:t>
      </w:r>
      <w:r w:rsidRPr="00B81671">
        <w:rPr>
          <w:rFonts w:ascii="Arial" w:eastAsia="Times New Roman" w:hAnsi="Arial" w:cs="Arial"/>
          <w:lang w:eastAsia="pl-PL"/>
        </w:rPr>
        <w:t xml:space="preserve">przedstawiania wniosków o płatność oraz </w:t>
      </w:r>
      <w:r w:rsidR="008B1747" w:rsidRPr="00B81671">
        <w:rPr>
          <w:rFonts w:ascii="Arial" w:eastAsia="Times New Roman" w:hAnsi="Arial" w:cs="Arial"/>
          <w:lang w:eastAsia="pl-PL"/>
        </w:rPr>
        <w:t xml:space="preserve">do </w:t>
      </w:r>
      <w:r w:rsidRPr="00B81671">
        <w:rPr>
          <w:rFonts w:ascii="Arial" w:eastAsia="Times New Roman" w:hAnsi="Arial" w:cs="Arial"/>
          <w:lang w:eastAsia="pl-PL"/>
        </w:rPr>
        <w:t>otrzymywania dofinansowania ze środków przeznaczonych na realizację POPC.</w:t>
      </w:r>
    </w:p>
    <w:p w:rsidR="00903FFD" w:rsidRPr="00B81671" w:rsidRDefault="00903FFD" w:rsidP="00137BC9">
      <w:pPr>
        <w:numPr>
          <w:ilvl w:val="0"/>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Do wszystkich wydatków kwalifikowalnych mają zastosowanie te same wymogi dotyczące ich ponoszenia, dokumentowania, sporządzania wniosków o płatność itp., bez względu na to czy wydatek został poniesiony przez beneficjenta, </w:t>
      </w:r>
      <w:r w:rsidR="00B32EA7" w:rsidRPr="00B81671">
        <w:rPr>
          <w:rFonts w:ascii="Arial" w:eastAsia="Times New Roman" w:hAnsi="Arial" w:cs="Arial"/>
          <w:lang w:eastAsia="pl-PL"/>
        </w:rPr>
        <w:t xml:space="preserve">partnera </w:t>
      </w:r>
      <w:r w:rsidR="00C360B2" w:rsidRPr="00B81671">
        <w:rPr>
          <w:rFonts w:ascii="Arial" w:eastAsia="Times New Roman" w:hAnsi="Arial" w:cs="Arial"/>
          <w:lang w:eastAsia="pl-PL"/>
        </w:rPr>
        <w:t>czy przez inny podmiot przewidziany w systemie realizacji danego działania</w:t>
      </w:r>
      <w:r w:rsidRPr="00B81671">
        <w:rPr>
          <w:rFonts w:ascii="Arial" w:eastAsia="Times New Roman" w:hAnsi="Arial" w:cs="Arial"/>
          <w:lang w:eastAsia="pl-PL"/>
        </w:rPr>
        <w:t>.</w:t>
      </w:r>
    </w:p>
    <w:p w:rsidR="0069794E" w:rsidRPr="007E469E" w:rsidRDefault="0069794E" w:rsidP="0069794E">
      <w:pPr>
        <w:spacing w:before="120" w:after="120" w:line="360" w:lineRule="auto"/>
        <w:ind w:left="360"/>
        <w:jc w:val="both"/>
        <w:rPr>
          <w:rFonts w:ascii="Helv" w:eastAsia="MS Mincho" w:hAnsi="Helv" w:cs="Helv"/>
          <w:color w:val="000000"/>
          <w:sz w:val="20"/>
          <w:szCs w:val="20"/>
          <w:lang w:eastAsia="pl-PL"/>
        </w:rPr>
      </w:pPr>
    </w:p>
    <w:p w:rsidR="00903FFD" w:rsidRPr="00B81671"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108" w:name="_Toc508630112"/>
      <w:r w:rsidRPr="00B81671">
        <w:rPr>
          <w:rFonts w:ascii="Arial" w:hAnsi="Arial" w:cs="Arial"/>
          <w:i/>
          <w:color w:val="auto"/>
          <w:sz w:val="24"/>
          <w:szCs w:val="24"/>
        </w:rPr>
        <w:t>Podmiot na rzecz którego ponoszone są wydatki kwalifikowalne</w:t>
      </w:r>
      <w:bookmarkEnd w:id="108"/>
    </w:p>
    <w:p w:rsidR="00A011A3" w:rsidRPr="00B81671" w:rsidRDefault="00A011A3" w:rsidP="00137BC9">
      <w:pPr>
        <w:numPr>
          <w:ilvl w:val="0"/>
          <w:numId w:val="9"/>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Co do zasady, wydatki kwalifikowalne ponoszone są na rzecz podmiotu (wykonawcy) będącego stroną umowy lub wskazanego w umowie  dostaw</w:t>
      </w:r>
      <w:r w:rsidR="00C87A22" w:rsidRPr="00B81671">
        <w:rPr>
          <w:rFonts w:ascii="Arial" w:eastAsia="Times New Roman" w:hAnsi="Arial" w:cs="Arial"/>
          <w:lang w:eastAsia="pl-PL"/>
        </w:rPr>
        <w:t>y</w:t>
      </w:r>
      <w:r w:rsidRPr="00B81671">
        <w:rPr>
          <w:rFonts w:ascii="Arial" w:eastAsia="Times New Roman" w:hAnsi="Arial" w:cs="Arial"/>
          <w:lang w:eastAsia="pl-PL"/>
        </w:rPr>
        <w:t>,</w:t>
      </w:r>
      <w:r w:rsidR="00C87A22" w:rsidRPr="00B81671">
        <w:rPr>
          <w:rFonts w:ascii="Arial" w:eastAsia="Times New Roman" w:hAnsi="Arial" w:cs="Arial"/>
          <w:lang w:eastAsia="pl-PL"/>
        </w:rPr>
        <w:t xml:space="preserve"> umowie o roboty budowlane lub</w:t>
      </w:r>
      <w:r w:rsidR="002F1902" w:rsidRPr="00B81671">
        <w:rPr>
          <w:rFonts w:ascii="Arial" w:eastAsia="Times New Roman" w:hAnsi="Arial" w:cs="Arial"/>
          <w:lang w:eastAsia="pl-PL"/>
        </w:rPr>
        <w:t xml:space="preserve"> </w:t>
      </w:r>
      <w:r w:rsidR="00C87A22" w:rsidRPr="00B81671">
        <w:rPr>
          <w:rFonts w:ascii="Arial" w:eastAsia="Times New Roman" w:hAnsi="Arial" w:cs="Arial"/>
          <w:lang w:eastAsia="pl-PL"/>
        </w:rPr>
        <w:t xml:space="preserve">umowie o świadczenie usług </w:t>
      </w:r>
      <w:r w:rsidRPr="00B81671">
        <w:rPr>
          <w:rFonts w:ascii="Arial" w:eastAsia="Times New Roman" w:hAnsi="Arial" w:cs="Arial"/>
          <w:lang w:eastAsia="pl-PL"/>
        </w:rPr>
        <w:t>zawartej z beneficjentem (zamawiającym).</w:t>
      </w:r>
    </w:p>
    <w:p w:rsidR="00A011A3" w:rsidRPr="00B81671" w:rsidRDefault="00A011A3" w:rsidP="00137BC9">
      <w:pPr>
        <w:numPr>
          <w:ilvl w:val="0"/>
          <w:numId w:val="9"/>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Na podstawie umowy, o której mowa w pkt 1 beneficjent dokonuje płatności na rzecz wykonawcy.</w:t>
      </w:r>
    </w:p>
    <w:p w:rsidR="00A011A3" w:rsidRPr="00B81671" w:rsidRDefault="00A011A3" w:rsidP="00137BC9">
      <w:pPr>
        <w:numPr>
          <w:ilvl w:val="0"/>
          <w:numId w:val="9"/>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Mając na uwadze art. 143c ustawy </w:t>
      </w:r>
      <w:proofErr w:type="spellStart"/>
      <w:r w:rsidRPr="00B81671">
        <w:rPr>
          <w:rFonts w:ascii="Arial" w:eastAsia="Times New Roman" w:hAnsi="Arial" w:cs="Arial"/>
          <w:lang w:eastAsia="pl-PL"/>
        </w:rPr>
        <w:t>Pzp</w:t>
      </w:r>
      <w:proofErr w:type="spellEnd"/>
      <w:r w:rsidRPr="00B81671">
        <w:rPr>
          <w:rFonts w:ascii="Arial" w:eastAsia="Times New Roman" w:hAnsi="Arial" w:cs="Arial"/>
          <w:lang w:eastAsia="pl-PL"/>
        </w:rPr>
        <w:t xml:space="preserve">, za kwalifikowalne mogą zostać uznane wydatki poniesione na rzecz podmiotu innego niż wskazany w punkcie 1. Zgodnie z art. 143c ust. 1 ustawy </w:t>
      </w:r>
      <w:proofErr w:type="spellStart"/>
      <w:r w:rsidRPr="00B81671">
        <w:rPr>
          <w:rFonts w:ascii="Arial" w:eastAsia="Times New Roman" w:hAnsi="Arial" w:cs="Arial"/>
          <w:lang w:eastAsia="pl-PL"/>
        </w:rPr>
        <w:t>Pzp</w:t>
      </w:r>
      <w:proofErr w:type="spellEnd"/>
      <w:r w:rsidRPr="00B81671">
        <w:rPr>
          <w:rFonts w:ascii="Arial" w:eastAsia="Times New Roman" w:hAnsi="Arial" w:cs="Arial"/>
          <w:lang w:eastAsia="pl-PL"/>
        </w:rPr>
        <w:t xml:space="preserve">, zamawiający dokonuje </w:t>
      </w:r>
      <w:r w:rsidRPr="00B81671">
        <w:rPr>
          <w:rFonts w:ascii="A" w:hAnsi="A" w:cs="A"/>
        </w:rPr>
        <w:t xml:space="preserve">bezpośredniej zapłaty wymagalnego </w:t>
      </w:r>
      <w:r w:rsidRPr="00B81671">
        <w:rPr>
          <w:rFonts w:ascii="A" w:hAnsi="A" w:cs="A"/>
        </w:rPr>
        <w:lastRenderedPageBreak/>
        <w:t xml:space="preserve">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r w:rsidRPr="00B81671">
        <w:rPr>
          <w:rFonts w:ascii="Arial" w:eastAsia="Times New Roman" w:hAnsi="Arial" w:cs="Arial"/>
          <w:lang w:eastAsia="pl-PL"/>
        </w:rPr>
        <w:t xml:space="preserve"> </w:t>
      </w:r>
    </w:p>
    <w:p w:rsidR="00C4069A" w:rsidRPr="00B81671" w:rsidRDefault="00A011A3" w:rsidP="00137BC9">
      <w:pPr>
        <w:numPr>
          <w:ilvl w:val="0"/>
          <w:numId w:val="9"/>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Wydatki kwalifikowalne stanowi</w:t>
      </w:r>
      <w:r w:rsidR="00B97E7F" w:rsidRPr="00B81671">
        <w:rPr>
          <w:rFonts w:ascii="Arial" w:eastAsia="Times New Roman" w:hAnsi="Arial" w:cs="Arial"/>
          <w:lang w:eastAsia="pl-PL"/>
        </w:rPr>
        <w:t>ą</w:t>
      </w:r>
      <w:r w:rsidRPr="00B81671">
        <w:rPr>
          <w:rFonts w:ascii="Arial" w:eastAsia="Times New Roman" w:hAnsi="Arial" w:cs="Arial"/>
          <w:lang w:eastAsia="pl-PL"/>
        </w:rPr>
        <w:t xml:space="preserve"> wówczas</w:t>
      </w:r>
      <w:r w:rsidRPr="00B81671">
        <w:rPr>
          <w:rFonts w:ascii="A" w:hAnsi="A" w:cs="A"/>
        </w:rPr>
        <w:t xml:space="preserve"> wyłącznie wynagrodzenie dotyczące należności powstałych</w:t>
      </w:r>
      <w:r w:rsidR="00C4069A" w:rsidRPr="00B81671">
        <w:rPr>
          <w:rFonts w:ascii="A" w:hAnsi="A" w:cs="A"/>
        </w:rPr>
        <w:t>:</w:t>
      </w:r>
    </w:p>
    <w:p w:rsidR="00C4069A" w:rsidRPr="00B81671" w:rsidRDefault="00C4069A" w:rsidP="005A373A">
      <w:pPr>
        <w:spacing w:before="120" w:after="120" w:line="360" w:lineRule="auto"/>
        <w:ind w:left="360"/>
        <w:jc w:val="both"/>
        <w:rPr>
          <w:rFonts w:ascii="A" w:hAnsi="A" w:cs="A"/>
        </w:rPr>
      </w:pPr>
      <w:r w:rsidRPr="00B81671">
        <w:rPr>
          <w:rFonts w:ascii="A" w:hAnsi="A" w:cs="A"/>
        </w:rPr>
        <w:t xml:space="preserve">- </w:t>
      </w:r>
      <w:r w:rsidR="00A011A3" w:rsidRPr="00B81671">
        <w:rPr>
          <w:rFonts w:ascii="A" w:hAnsi="A" w:cs="A"/>
        </w:rPr>
        <w:t xml:space="preserve"> po zaakceptowaniu przez </w:t>
      </w:r>
      <w:r w:rsidR="00A011A3" w:rsidRPr="00B81671">
        <w:rPr>
          <w:rFonts w:ascii="Arial" w:eastAsia="Times New Roman" w:hAnsi="Arial" w:cs="Arial"/>
          <w:lang w:eastAsia="pl-PL"/>
        </w:rPr>
        <w:t xml:space="preserve">beneficjenta </w:t>
      </w:r>
      <w:r w:rsidR="00A011A3" w:rsidRPr="00B81671">
        <w:rPr>
          <w:rFonts w:ascii="A" w:hAnsi="A" w:cs="A"/>
        </w:rPr>
        <w:t>umowy o podwykonawstwo, której przedmiotem są roboty budowlane lub</w:t>
      </w:r>
      <w:r w:rsidR="00583AEB" w:rsidRPr="00B81671">
        <w:rPr>
          <w:rFonts w:ascii="A" w:hAnsi="A" w:cs="A"/>
        </w:rPr>
        <w:t>,</w:t>
      </w:r>
      <w:r w:rsidR="00A011A3" w:rsidRPr="00B81671">
        <w:rPr>
          <w:rFonts w:ascii="A" w:hAnsi="A" w:cs="A"/>
        </w:rPr>
        <w:t xml:space="preserve"> </w:t>
      </w:r>
    </w:p>
    <w:p w:rsidR="00A011A3" w:rsidRPr="00B81671" w:rsidRDefault="00C4069A" w:rsidP="005A373A">
      <w:pPr>
        <w:spacing w:before="120" w:after="120" w:line="360" w:lineRule="auto"/>
        <w:ind w:left="360"/>
        <w:jc w:val="both"/>
        <w:rPr>
          <w:rFonts w:ascii="Arial" w:eastAsia="Times New Roman" w:hAnsi="Arial" w:cs="Arial"/>
          <w:lang w:eastAsia="pl-PL"/>
        </w:rPr>
      </w:pPr>
      <w:r w:rsidRPr="00B81671">
        <w:rPr>
          <w:rFonts w:ascii="A" w:hAnsi="A" w:cs="A"/>
        </w:rPr>
        <w:t xml:space="preserve">- </w:t>
      </w:r>
      <w:r w:rsidR="00A011A3" w:rsidRPr="00B81671">
        <w:rPr>
          <w:rFonts w:ascii="A" w:hAnsi="A" w:cs="A"/>
        </w:rPr>
        <w:t>po przedłożeniu zamawiającemu poświadczonej za zgodność z oryginałem kopii umowy o podwykonawstwo, której przedmiotem</w:t>
      </w:r>
      <w:r w:rsidR="00010292" w:rsidRPr="00B81671">
        <w:rPr>
          <w:rFonts w:ascii="A" w:hAnsi="A" w:cs="A"/>
        </w:rPr>
        <w:t xml:space="preserve"> </w:t>
      </w:r>
      <w:r w:rsidR="00561A31" w:rsidRPr="00B81671">
        <w:rPr>
          <w:rFonts w:ascii="A" w:hAnsi="A" w:cs="A"/>
        </w:rPr>
        <w:t xml:space="preserve"> </w:t>
      </w:r>
      <w:r w:rsidR="00A011A3" w:rsidRPr="00B81671">
        <w:rPr>
          <w:rFonts w:ascii="A" w:hAnsi="A" w:cs="A"/>
        </w:rPr>
        <w:t>są dostawy lub usługi – bez odsetek, należnych podwykonawcy lub dalszemu podwykonawcy.</w:t>
      </w:r>
    </w:p>
    <w:p w:rsidR="00A011A3" w:rsidRPr="00B81671" w:rsidRDefault="00A011A3" w:rsidP="00137BC9">
      <w:pPr>
        <w:numPr>
          <w:ilvl w:val="0"/>
          <w:numId w:val="9"/>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gdy beneficjent dokonuje płatności bezpośrednio na rzecz podwykonawcy, wydatki dokonane w tym trybie mogą być uznane za kwalifikowalne, jeżeli zostały dokonane z zachowaniem pozostałych obowiązujących zasad i warunków dotyczących kwalifikowalności wydatków, w tym z zachowaniem zakazu podwójnego finansowania. </w:t>
      </w:r>
    </w:p>
    <w:p w:rsidR="00A011A3" w:rsidRPr="00B81671" w:rsidRDefault="00A011A3" w:rsidP="00137BC9">
      <w:pPr>
        <w:numPr>
          <w:ilvl w:val="0"/>
          <w:numId w:val="9"/>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Postanowienia, o których mowa w pkt 3-5 stosuje się odpowiednio do wydatków ponoszonych przez podmioty zobowiązane do stosowania zasady konkurencyjności, o której mowa w sekcji 6.5.</w:t>
      </w:r>
      <w:r w:rsidR="004B179F">
        <w:rPr>
          <w:rFonts w:ascii="Arial" w:eastAsia="Times New Roman" w:hAnsi="Arial" w:cs="Arial"/>
          <w:lang w:eastAsia="pl-PL"/>
        </w:rPr>
        <w:t>2</w:t>
      </w:r>
      <w:r w:rsidR="004B179F" w:rsidRPr="00B81671">
        <w:rPr>
          <w:rFonts w:ascii="Arial" w:eastAsia="Times New Roman" w:hAnsi="Arial" w:cs="Arial"/>
          <w:lang w:eastAsia="pl-PL"/>
        </w:rPr>
        <w:t xml:space="preserve"> </w:t>
      </w:r>
      <w:r w:rsidRPr="00B81671">
        <w:rPr>
          <w:rFonts w:ascii="Arial" w:eastAsia="Times New Roman" w:hAnsi="Arial" w:cs="Arial"/>
          <w:i/>
          <w:lang w:eastAsia="pl-PL"/>
        </w:rPr>
        <w:t>Wytycznych.</w:t>
      </w:r>
    </w:p>
    <w:p w:rsidR="00A011A3" w:rsidRPr="00B81671" w:rsidRDefault="00A011A3" w:rsidP="00137BC9">
      <w:pPr>
        <w:numPr>
          <w:ilvl w:val="0"/>
          <w:numId w:val="9"/>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W przypadku zajęcia płatności na rzecz wykonawcy przez komornika wydatek poniesiony na rachunek bankowy wskazany przez komornika może być kwalifikowalny, jeżeli został poniesiony zgodnie z pozostałymi warunkami dotyczącymi kwalifikowania wydatków.</w:t>
      </w:r>
    </w:p>
    <w:p w:rsidR="008C0F3D" w:rsidRDefault="008C0F3D" w:rsidP="00137BC9">
      <w:pPr>
        <w:numPr>
          <w:ilvl w:val="0"/>
          <w:numId w:val="9"/>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dokonania przez wykonawcę cesji wierzytelności na rzecz innego podmiotu, wydatki poniesione przez zamawiającego na rachunek bankowy </w:t>
      </w:r>
      <w:r w:rsidR="002F416C" w:rsidRPr="00B81671">
        <w:rPr>
          <w:rFonts w:ascii="Arial" w:eastAsia="Times New Roman" w:hAnsi="Arial" w:cs="Arial"/>
          <w:lang w:eastAsia="pl-PL"/>
        </w:rPr>
        <w:t>c</w:t>
      </w:r>
      <w:r w:rsidRPr="00B81671">
        <w:rPr>
          <w:rFonts w:ascii="Arial" w:eastAsia="Times New Roman" w:hAnsi="Arial" w:cs="Arial"/>
          <w:lang w:eastAsia="pl-PL"/>
        </w:rPr>
        <w:t>esjonariusza mogą być uznane za kwalifikowalne, jeśli zostaną poniesione zgodnie z pozostałymi wymogami dotyczącymi kwalifikowania wydatków oraz pod warunkiem dokonania cesji zgodnie z prawem.</w:t>
      </w:r>
    </w:p>
    <w:p w:rsidR="00FF5A15" w:rsidRDefault="00FF5A15" w:rsidP="00602DF9">
      <w:pPr>
        <w:spacing w:before="120" w:after="120" w:line="360" w:lineRule="auto"/>
        <w:ind w:left="360"/>
        <w:jc w:val="both"/>
        <w:rPr>
          <w:rFonts w:ascii="Arial" w:eastAsia="Times New Roman" w:hAnsi="Arial" w:cs="Arial"/>
          <w:lang w:eastAsia="pl-PL"/>
        </w:rPr>
      </w:pPr>
    </w:p>
    <w:p w:rsidR="00FF2954" w:rsidRDefault="00B7472D" w:rsidP="006A27E1">
      <w:pPr>
        <w:pStyle w:val="Nagwek2"/>
        <w:numPr>
          <w:ilvl w:val="1"/>
          <w:numId w:val="1"/>
        </w:numPr>
        <w:spacing w:before="240" w:after="60" w:line="360" w:lineRule="auto"/>
        <w:jc w:val="center"/>
        <w:rPr>
          <w:rFonts w:ascii="Arial" w:hAnsi="Arial" w:cs="Arial"/>
          <w:i/>
          <w:sz w:val="24"/>
          <w:szCs w:val="24"/>
        </w:rPr>
      </w:pPr>
      <w:bookmarkStart w:id="109" w:name="_Toc498677443"/>
      <w:bookmarkStart w:id="110" w:name="_Toc498678429"/>
      <w:bookmarkStart w:id="111" w:name="_Toc498949818"/>
      <w:bookmarkStart w:id="112" w:name="_Toc498950456"/>
      <w:bookmarkStart w:id="113" w:name="_Toc499295108"/>
      <w:bookmarkStart w:id="114" w:name="_Toc499649358"/>
      <w:bookmarkStart w:id="115" w:name="_Toc499649398"/>
      <w:bookmarkStart w:id="116" w:name="_Toc508630113"/>
      <w:bookmarkEnd w:id="109"/>
      <w:bookmarkEnd w:id="110"/>
      <w:bookmarkEnd w:id="111"/>
      <w:bookmarkEnd w:id="112"/>
      <w:bookmarkEnd w:id="113"/>
      <w:bookmarkEnd w:id="114"/>
      <w:bookmarkEnd w:id="115"/>
      <w:r w:rsidRPr="00602DF9">
        <w:rPr>
          <w:rFonts w:ascii="Arial" w:hAnsi="Arial" w:cs="Arial"/>
          <w:i/>
          <w:color w:val="auto"/>
          <w:sz w:val="24"/>
          <w:szCs w:val="24"/>
        </w:rPr>
        <w:lastRenderedPageBreak/>
        <w:t>Zasady kwalifikowalności wydatków w ramach instrumentów finansowych</w:t>
      </w:r>
      <w:bookmarkEnd w:id="116"/>
      <w:r w:rsidRPr="00602DF9">
        <w:rPr>
          <w:rFonts w:ascii="Arial" w:hAnsi="Arial" w:cs="Arial"/>
          <w:i/>
          <w:color w:val="auto"/>
          <w:sz w:val="24"/>
          <w:szCs w:val="24"/>
        </w:rPr>
        <w:t xml:space="preserve"> </w:t>
      </w:r>
    </w:p>
    <w:p w:rsidR="00B7472D" w:rsidRDefault="00B7472D" w:rsidP="00137BC9">
      <w:pPr>
        <w:numPr>
          <w:ilvl w:val="0"/>
          <w:numId w:val="72"/>
        </w:numPr>
        <w:spacing w:before="120" w:after="120" w:line="360" w:lineRule="auto"/>
        <w:jc w:val="both"/>
        <w:rPr>
          <w:rFonts w:ascii="Arial" w:eastAsia="Times New Roman" w:hAnsi="Arial" w:cs="Arial"/>
          <w:lang w:eastAsia="pl-PL"/>
        </w:rPr>
      </w:pPr>
      <w:r w:rsidRPr="00602DF9">
        <w:rPr>
          <w:rFonts w:ascii="Arial" w:eastAsia="Times New Roman" w:hAnsi="Arial" w:cs="Arial"/>
          <w:lang w:eastAsia="pl-PL"/>
        </w:rPr>
        <w:t xml:space="preserve">Warunki i zasady kwalifikowania wydatków w ramach instrumentów finansowych określają zapisy podrozdziału </w:t>
      </w:r>
      <w:r w:rsidRPr="00602DF9">
        <w:rPr>
          <w:rFonts w:ascii="Arial" w:eastAsia="Times New Roman" w:hAnsi="Arial" w:cs="Arial"/>
          <w:i/>
          <w:lang w:eastAsia="pl-PL"/>
        </w:rPr>
        <w:t>6.18 Wytycznych</w:t>
      </w:r>
      <w:r w:rsidRPr="00602DF9">
        <w:rPr>
          <w:rFonts w:ascii="Arial" w:eastAsia="Times New Roman" w:hAnsi="Arial" w:cs="Arial"/>
          <w:lang w:eastAsia="pl-PL"/>
        </w:rPr>
        <w:t xml:space="preserve">.  </w:t>
      </w:r>
    </w:p>
    <w:p w:rsidR="00A03923" w:rsidRDefault="00D103D8" w:rsidP="00137BC9">
      <w:pPr>
        <w:numPr>
          <w:ilvl w:val="0"/>
          <w:numId w:val="72"/>
        </w:numPr>
        <w:spacing w:before="120" w:after="120" w:line="360" w:lineRule="auto"/>
        <w:jc w:val="both"/>
        <w:rPr>
          <w:rFonts w:ascii="Arial" w:eastAsia="Times New Roman" w:hAnsi="Arial" w:cs="Arial"/>
          <w:lang w:eastAsia="pl-PL"/>
        </w:rPr>
      </w:pPr>
      <w:r>
        <w:rPr>
          <w:rFonts w:ascii="Arial" w:eastAsia="Times New Roman" w:hAnsi="Arial" w:cs="Arial"/>
          <w:lang w:eastAsia="pl-PL"/>
        </w:rPr>
        <w:t xml:space="preserve">Ramy czasowe ponoszenia wydatków w przypadku instrumentów finansowych zostały określone w sekcji 6.1.2 </w:t>
      </w:r>
      <w:r w:rsidRPr="00602DF9">
        <w:rPr>
          <w:rFonts w:ascii="Arial" w:eastAsia="Times New Roman" w:hAnsi="Arial" w:cs="Arial"/>
          <w:i/>
          <w:lang w:eastAsia="pl-PL"/>
        </w:rPr>
        <w:t>Wytycznych</w:t>
      </w:r>
      <w:r>
        <w:rPr>
          <w:rFonts w:ascii="Arial" w:eastAsia="Times New Roman" w:hAnsi="Arial" w:cs="Arial"/>
          <w:lang w:eastAsia="pl-PL"/>
        </w:rPr>
        <w:t xml:space="preserve">. </w:t>
      </w:r>
      <w:r w:rsidR="00A03923">
        <w:rPr>
          <w:rFonts w:ascii="Arial" w:eastAsia="Times New Roman" w:hAnsi="Arial" w:cs="Arial"/>
          <w:lang w:eastAsia="pl-PL"/>
        </w:rPr>
        <w:br w:type="page"/>
      </w:r>
    </w:p>
    <w:p w:rsidR="001C052F" w:rsidRDefault="001C052F" w:rsidP="005A373A">
      <w:pPr>
        <w:pStyle w:val="Nagwek1"/>
        <w:numPr>
          <w:ilvl w:val="0"/>
          <w:numId w:val="1"/>
        </w:numPr>
        <w:spacing w:before="240" w:after="60" w:line="360" w:lineRule="auto"/>
        <w:jc w:val="center"/>
        <w:rPr>
          <w:rFonts w:ascii="Arial" w:hAnsi="Arial" w:cs="Arial"/>
          <w:color w:val="auto"/>
          <w:sz w:val="24"/>
          <w:szCs w:val="24"/>
        </w:rPr>
      </w:pPr>
      <w:bookmarkStart w:id="117" w:name="_Toc508630114"/>
      <w:r>
        <w:rPr>
          <w:rFonts w:ascii="Arial" w:hAnsi="Arial" w:cs="Arial"/>
          <w:color w:val="auto"/>
          <w:sz w:val="24"/>
          <w:szCs w:val="24"/>
        </w:rPr>
        <w:lastRenderedPageBreak/>
        <w:t xml:space="preserve">Rozdział – Oś priorytetowa I. Powszechny dostęp do szybkiego </w:t>
      </w:r>
      <w:proofErr w:type="spellStart"/>
      <w:r>
        <w:rPr>
          <w:rFonts w:ascii="Arial" w:hAnsi="Arial" w:cs="Arial"/>
          <w:color w:val="auto"/>
          <w:sz w:val="24"/>
          <w:szCs w:val="24"/>
        </w:rPr>
        <w:t>internetu</w:t>
      </w:r>
      <w:proofErr w:type="spellEnd"/>
      <w:r>
        <w:rPr>
          <w:rFonts w:ascii="Arial" w:hAnsi="Arial" w:cs="Arial"/>
          <w:color w:val="auto"/>
          <w:sz w:val="24"/>
          <w:szCs w:val="24"/>
        </w:rPr>
        <w:t xml:space="preserve"> – szczegółowe zasady kwalifikowalności wydatków w ramach EFRR</w:t>
      </w:r>
      <w:bookmarkEnd w:id="117"/>
    </w:p>
    <w:p w:rsidR="00A532C5" w:rsidRPr="00316996" w:rsidRDefault="00A532C5" w:rsidP="00602DF9">
      <w:pPr>
        <w:pStyle w:val="Nagwek2"/>
        <w:numPr>
          <w:ilvl w:val="1"/>
          <w:numId w:val="1"/>
        </w:numPr>
        <w:spacing w:before="240" w:after="60" w:line="360" w:lineRule="auto"/>
        <w:jc w:val="center"/>
        <w:rPr>
          <w:rFonts w:ascii="Arial" w:hAnsi="Arial" w:cs="Arial"/>
          <w:i/>
          <w:sz w:val="24"/>
          <w:szCs w:val="24"/>
        </w:rPr>
      </w:pPr>
      <w:bookmarkStart w:id="118" w:name="_Toc429043896"/>
      <w:bookmarkStart w:id="119" w:name="_Toc508630115"/>
      <w:bookmarkEnd w:id="118"/>
      <w:r>
        <w:rPr>
          <w:rFonts w:ascii="Arial" w:hAnsi="Arial" w:cs="Arial"/>
          <w:i/>
          <w:color w:val="auto"/>
          <w:sz w:val="24"/>
          <w:szCs w:val="24"/>
        </w:rPr>
        <w:t xml:space="preserve">Katalog wydatków kwalifikowalnych w ramach Działania 1.1 </w:t>
      </w:r>
      <w:r w:rsidRPr="00A532C5">
        <w:rPr>
          <w:rFonts w:ascii="Arial" w:hAnsi="Arial" w:cs="Arial"/>
          <w:i/>
          <w:color w:val="auto"/>
          <w:sz w:val="24"/>
          <w:szCs w:val="24"/>
        </w:rPr>
        <w:t xml:space="preserve">„Wyeliminowanie terytorialnych różnic w możliwości dostępu do szerokopasmowego </w:t>
      </w:r>
      <w:proofErr w:type="spellStart"/>
      <w:r w:rsidRPr="00A532C5">
        <w:rPr>
          <w:rFonts w:ascii="Arial" w:hAnsi="Arial" w:cs="Arial"/>
          <w:i/>
          <w:color w:val="auto"/>
          <w:sz w:val="24"/>
          <w:szCs w:val="24"/>
        </w:rPr>
        <w:t>internetu</w:t>
      </w:r>
      <w:proofErr w:type="spellEnd"/>
      <w:r w:rsidRPr="00A532C5">
        <w:rPr>
          <w:rFonts w:ascii="Arial" w:hAnsi="Arial" w:cs="Arial"/>
          <w:i/>
          <w:color w:val="auto"/>
          <w:sz w:val="24"/>
          <w:szCs w:val="24"/>
        </w:rPr>
        <w:t xml:space="preserve"> o wysokich przepustowościach”</w:t>
      </w:r>
      <w:r>
        <w:rPr>
          <w:rFonts w:ascii="Arial" w:hAnsi="Arial" w:cs="Arial"/>
          <w:i/>
          <w:color w:val="auto"/>
          <w:sz w:val="24"/>
          <w:szCs w:val="24"/>
        </w:rPr>
        <w:t xml:space="preserve"> dla naboru </w:t>
      </w:r>
      <w:r w:rsidR="00DC1407">
        <w:rPr>
          <w:rFonts w:ascii="Arial" w:hAnsi="Arial" w:cs="Arial"/>
          <w:i/>
          <w:color w:val="auto"/>
          <w:sz w:val="24"/>
          <w:szCs w:val="24"/>
        </w:rPr>
        <w:t xml:space="preserve">nr </w:t>
      </w:r>
      <w:r>
        <w:rPr>
          <w:rFonts w:ascii="Arial" w:hAnsi="Arial" w:cs="Arial"/>
          <w:i/>
          <w:color w:val="auto"/>
          <w:sz w:val="24"/>
          <w:szCs w:val="24"/>
        </w:rPr>
        <w:t>POPC.01.01.00-IP.01-00-001/15</w:t>
      </w:r>
      <w:bookmarkEnd w:id="119"/>
    </w:p>
    <w:p w:rsidR="00D06CDD" w:rsidRPr="00722ACD" w:rsidRDefault="00D06CDD" w:rsidP="00316996">
      <w:pPr>
        <w:pStyle w:val="Nagwek2"/>
        <w:numPr>
          <w:ilvl w:val="2"/>
          <w:numId w:val="1"/>
        </w:numPr>
        <w:spacing w:before="240" w:after="60" w:line="360" w:lineRule="auto"/>
        <w:jc w:val="center"/>
        <w:rPr>
          <w:rFonts w:ascii="Arial" w:hAnsi="Arial" w:cs="Arial"/>
          <w:i/>
          <w:sz w:val="24"/>
          <w:szCs w:val="24"/>
        </w:rPr>
      </w:pPr>
      <w:bookmarkStart w:id="120" w:name="_Toc508630116"/>
      <w:r w:rsidRPr="00722ACD">
        <w:rPr>
          <w:rFonts w:ascii="Arial" w:hAnsi="Arial" w:cs="Arial"/>
          <w:i/>
          <w:color w:val="auto"/>
          <w:sz w:val="24"/>
          <w:szCs w:val="24"/>
        </w:rPr>
        <w:t>Wydatki kwalifikowalne</w:t>
      </w:r>
      <w:bookmarkEnd w:id="120"/>
    </w:p>
    <w:p w:rsidR="006101E2" w:rsidRPr="006101E2" w:rsidRDefault="006101E2" w:rsidP="006101E2">
      <w:pPr>
        <w:autoSpaceDE w:val="0"/>
        <w:autoSpaceDN w:val="0"/>
        <w:adjustRightInd w:val="0"/>
        <w:spacing w:before="120" w:after="120" w:line="360" w:lineRule="auto"/>
        <w:jc w:val="both"/>
        <w:rPr>
          <w:rFonts w:ascii="Arial" w:hAnsi="Arial" w:cs="Arial"/>
        </w:rPr>
      </w:pPr>
      <w:r w:rsidRPr="006101E2">
        <w:rPr>
          <w:rFonts w:ascii="Arial" w:hAnsi="Arial" w:cs="Arial"/>
        </w:rPr>
        <w:t>Wydatki kwalifikowalne określone zostały w rozporządzeniu Ministra Administracji i Cyfryzacji z dnia</w:t>
      </w:r>
      <w:r w:rsidR="00773FC4">
        <w:rPr>
          <w:rFonts w:ascii="Arial" w:hAnsi="Arial" w:cs="Arial"/>
        </w:rPr>
        <w:t xml:space="preserve"> 16 września 2015 r. </w:t>
      </w:r>
      <w:r w:rsidRPr="006101E2">
        <w:rPr>
          <w:rFonts w:ascii="Arial" w:hAnsi="Arial" w:cs="Arial"/>
          <w:i/>
        </w:rPr>
        <w:t>w sprawie udzielania pomocy na rozwój infrastruktury szerokopasmowej w ramach Programu Operacyjnego Polska Cyfrowa na lata 2014–2020</w:t>
      </w:r>
      <w:r w:rsidRPr="006101E2">
        <w:rPr>
          <w:rFonts w:ascii="Arial" w:hAnsi="Arial" w:cs="Arial"/>
        </w:rPr>
        <w:t xml:space="preserve"> </w:t>
      </w:r>
      <w:r w:rsidR="006C6D5C" w:rsidRPr="006C6D5C">
        <w:rPr>
          <w:rFonts w:ascii="Arial" w:hAnsi="Arial" w:cs="Arial"/>
        </w:rPr>
        <w:t>(Dz. U. z 2015 r. poz. 1466)</w:t>
      </w:r>
      <w:r w:rsidR="006C6D5C">
        <w:rPr>
          <w:rFonts w:ascii="Arial" w:hAnsi="Arial" w:cs="Arial"/>
        </w:rPr>
        <w:t xml:space="preserve">, </w:t>
      </w:r>
      <w:r w:rsidRPr="006101E2">
        <w:rPr>
          <w:rFonts w:ascii="Arial" w:hAnsi="Arial" w:cs="Arial"/>
        </w:rPr>
        <w:t xml:space="preserve">dalej jako „rozporządzenie pomocowe dla I osi”. </w:t>
      </w:r>
      <w:r w:rsidR="009E2E12" w:rsidRPr="006101E2">
        <w:rPr>
          <w:rFonts w:ascii="Arial" w:hAnsi="Arial" w:cs="Arial"/>
        </w:rPr>
        <w:t>Niniejsz</w:t>
      </w:r>
      <w:r w:rsidR="009E2E12">
        <w:rPr>
          <w:rFonts w:ascii="Arial" w:hAnsi="Arial" w:cs="Arial"/>
        </w:rPr>
        <w:t>y</w:t>
      </w:r>
      <w:r w:rsidR="009E2E12" w:rsidRPr="006101E2">
        <w:rPr>
          <w:rFonts w:ascii="Arial" w:hAnsi="Arial" w:cs="Arial"/>
        </w:rPr>
        <w:t xml:space="preserve"> </w:t>
      </w:r>
      <w:r w:rsidR="009E2E12" w:rsidRPr="00316996">
        <w:rPr>
          <w:rFonts w:ascii="Arial" w:hAnsi="Arial" w:cs="Arial"/>
          <w:i/>
        </w:rPr>
        <w:t>Katalog</w:t>
      </w:r>
      <w:r w:rsidR="009E2E12" w:rsidRPr="006101E2">
        <w:rPr>
          <w:rFonts w:ascii="Arial" w:hAnsi="Arial" w:cs="Arial"/>
        </w:rPr>
        <w:t xml:space="preserve"> </w:t>
      </w:r>
      <w:r w:rsidRPr="006101E2">
        <w:rPr>
          <w:rFonts w:ascii="Arial" w:hAnsi="Arial" w:cs="Arial"/>
        </w:rPr>
        <w:t xml:space="preserve">powtarza główne kategorie wydatków </w:t>
      </w:r>
      <w:r w:rsidR="002F416C">
        <w:rPr>
          <w:rFonts w:ascii="Arial" w:hAnsi="Arial" w:cs="Arial"/>
        </w:rPr>
        <w:t>wskazane</w:t>
      </w:r>
      <w:r w:rsidRPr="006101E2">
        <w:rPr>
          <w:rFonts w:ascii="Arial" w:hAnsi="Arial" w:cs="Arial"/>
        </w:rPr>
        <w:t xml:space="preserve"> w</w:t>
      </w:r>
      <w:r w:rsidR="00561A31">
        <w:rPr>
          <w:rFonts w:ascii="Arial" w:hAnsi="Arial" w:cs="Arial"/>
        </w:rPr>
        <w:t xml:space="preserve"> </w:t>
      </w:r>
      <w:r w:rsidRPr="006101E2">
        <w:rPr>
          <w:rFonts w:ascii="Arial" w:hAnsi="Arial" w:cs="Arial"/>
        </w:rPr>
        <w:t xml:space="preserve">rozporządzeniu, określając jednocześnie szczegółowe zasady ich kwalifikowania </w:t>
      </w:r>
      <w:r w:rsidR="002F416C">
        <w:rPr>
          <w:rFonts w:ascii="Arial" w:hAnsi="Arial" w:cs="Arial"/>
        </w:rPr>
        <w:t>z uwzględnieniem</w:t>
      </w:r>
      <w:r w:rsidRPr="006101E2">
        <w:rPr>
          <w:rFonts w:ascii="Arial" w:hAnsi="Arial" w:cs="Arial"/>
        </w:rPr>
        <w:t xml:space="preserve"> odpowiednich limitów i </w:t>
      </w:r>
      <w:proofErr w:type="spellStart"/>
      <w:r w:rsidRPr="006101E2">
        <w:rPr>
          <w:rFonts w:ascii="Arial" w:hAnsi="Arial" w:cs="Arial"/>
        </w:rPr>
        <w:t>wyłączeń</w:t>
      </w:r>
      <w:proofErr w:type="spellEnd"/>
      <w:r w:rsidRPr="006101E2">
        <w:rPr>
          <w:rFonts w:ascii="Arial" w:hAnsi="Arial" w:cs="Arial"/>
        </w:rPr>
        <w:t>.</w:t>
      </w:r>
    </w:p>
    <w:p w:rsidR="006101E2" w:rsidRPr="006101E2" w:rsidRDefault="006101E2" w:rsidP="006101E2">
      <w:pPr>
        <w:autoSpaceDE w:val="0"/>
        <w:autoSpaceDN w:val="0"/>
        <w:adjustRightInd w:val="0"/>
        <w:spacing w:before="120" w:after="120" w:line="360" w:lineRule="auto"/>
        <w:jc w:val="both"/>
        <w:rPr>
          <w:rFonts w:ascii="Arial" w:hAnsi="Arial" w:cs="Arial"/>
        </w:rPr>
      </w:pPr>
      <w:r w:rsidRPr="006101E2">
        <w:rPr>
          <w:rFonts w:ascii="Arial" w:hAnsi="Arial" w:cs="Arial"/>
        </w:rPr>
        <w:t>Tabela 1. Klasyfikacja wydatków w osi I POPC.</w:t>
      </w:r>
    </w:p>
    <w:tbl>
      <w:tblPr>
        <w:tblStyle w:val="Tabela-Siatka"/>
        <w:tblW w:w="0" w:type="auto"/>
        <w:tblLook w:val="04A0" w:firstRow="1" w:lastRow="0" w:firstColumn="1" w:lastColumn="0" w:noHBand="0" w:noVBand="1"/>
      </w:tblPr>
      <w:tblGrid>
        <w:gridCol w:w="4606"/>
        <w:gridCol w:w="4606"/>
      </w:tblGrid>
      <w:tr w:rsidR="006101E2" w:rsidRPr="006101E2" w:rsidTr="001359B7">
        <w:tc>
          <w:tcPr>
            <w:tcW w:w="4606" w:type="dxa"/>
            <w:shd w:val="clear" w:color="auto" w:fill="F2F2F2" w:themeFill="background1" w:themeFillShade="F2"/>
          </w:tcPr>
          <w:p w:rsidR="006101E2" w:rsidRPr="006101E2" w:rsidRDefault="006101E2" w:rsidP="008F6563">
            <w:pPr>
              <w:autoSpaceDE w:val="0"/>
              <w:autoSpaceDN w:val="0"/>
              <w:adjustRightInd w:val="0"/>
              <w:spacing w:before="120" w:after="120" w:line="360" w:lineRule="auto"/>
              <w:jc w:val="both"/>
              <w:rPr>
                <w:rFonts w:ascii="Arial" w:hAnsi="Arial" w:cs="Arial"/>
              </w:rPr>
            </w:pPr>
            <w:r w:rsidRPr="006101E2">
              <w:rPr>
                <w:rFonts w:ascii="Arial" w:hAnsi="Arial" w:cs="Arial"/>
              </w:rPr>
              <w:t xml:space="preserve">Wydatki poniesione na pokrycie kosztów, o których mowa w art. 52 ust. 2 lit. a), b) i d) GBER oraz określone w rozporządzeniu </w:t>
            </w:r>
            <w:r w:rsidR="008F6563">
              <w:rPr>
                <w:rFonts w:ascii="Arial" w:hAnsi="Arial" w:cs="Arial"/>
              </w:rPr>
              <w:t xml:space="preserve">pomocowym dla osi I </w:t>
            </w:r>
            <w:r w:rsidRPr="006101E2">
              <w:rPr>
                <w:rFonts w:ascii="Arial" w:hAnsi="Arial" w:cs="Arial"/>
              </w:rPr>
              <w:t>jako:</w:t>
            </w:r>
          </w:p>
        </w:tc>
        <w:tc>
          <w:tcPr>
            <w:tcW w:w="4606" w:type="dxa"/>
            <w:shd w:val="clear" w:color="auto" w:fill="F2F2F2" w:themeFill="background1" w:themeFillShade="F2"/>
          </w:tcPr>
          <w:p w:rsidR="006101E2" w:rsidRPr="006101E2" w:rsidRDefault="006101E2" w:rsidP="006101E2">
            <w:pPr>
              <w:autoSpaceDE w:val="0"/>
              <w:autoSpaceDN w:val="0"/>
              <w:adjustRightInd w:val="0"/>
              <w:spacing w:before="120" w:after="120" w:line="360" w:lineRule="auto"/>
              <w:jc w:val="center"/>
              <w:rPr>
                <w:rFonts w:ascii="Arial" w:hAnsi="Arial" w:cs="Arial"/>
              </w:rPr>
            </w:pPr>
            <w:r w:rsidRPr="006101E2">
              <w:rPr>
                <w:rFonts w:ascii="Arial" w:hAnsi="Arial" w:cs="Arial"/>
              </w:rPr>
              <w:t xml:space="preserve">Wydatki kwalifikujące się do wsparcia jako pomoc </w:t>
            </w:r>
            <w:r w:rsidRPr="00316996">
              <w:rPr>
                <w:rFonts w:ascii="Arial" w:hAnsi="Arial" w:cs="Arial"/>
                <w:i/>
              </w:rPr>
              <w:t xml:space="preserve">de </w:t>
            </w:r>
            <w:proofErr w:type="spellStart"/>
            <w:r w:rsidRPr="00316996">
              <w:rPr>
                <w:rFonts w:ascii="Arial" w:hAnsi="Arial" w:cs="Arial"/>
                <w:i/>
              </w:rPr>
              <w:t>minimis</w:t>
            </w:r>
            <w:proofErr w:type="spellEnd"/>
            <w:r w:rsidRPr="006101E2">
              <w:rPr>
                <w:rFonts w:ascii="Arial" w:hAnsi="Arial" w:cs="Arial"/>
              </w:rPr>
              <w:t xml:space="preserve"> udzielana na podstawie Rozporządzenia Komisji (UE) nr 1407/2013</w:t>
            </w:r>
            <w:r w:rsidR="008F6563">
              <w:rPr>
                <w:rFonts w:ascii="Arial" w:hAnsi="Arial" w:cs="Arial"/>
              </w:rPr>
              <w:t xml:space="preserve"> oraz określone w rozporządzeniu pomocowym dla I osi jako:</w:t>
            </w:r>
          </w:p>
        </w:tc>
      </w:tr>
      <w:tr w:rsidR="006101E2" w:rsidRPr="006101E2" w:rsidTr="001359B7">
        <w:trPr>
          <w:trHeight w:val="1931"/>
        </w:trPr>
        <w:tc>
          <w:tcPr>
            <w:tcW w:w="4606" w:type="dxa"/>
          </w:tcPr>
          <w:p w:rsidR="006101E2" w:rsidRPr="006101E2" w:rsidRDefault="006101E2" w:rsidP="00137BC9">
            <w:pPr>
              <w:numPr>
                <w:ilvl w:val="0"/>
                <w:numId w:val="37"/>
              </w:numPr>
              <w:spacing w:before="120" w:after="120" w:line="360" w:lineRule="auto"/>
              <w:ind w:left="426"/>
              <w:rPr>
                <w:rFonts w:ascii="Arial" w:hAnsi="Arial" w:cs="Arial"/>
                <w:bCs/>
              </w:rPr>
            </w:pPr>
            <w:r w:rsidRPr="006101E2">
              <w:rPr>
                <w:rFonts w:ascii="Arial" w:hAnsi="Arial" w:cs="Arial"/>
                <w:bCs/>
              </w:rPr>
              <w:t>koszty inwestycyjne budowy pasywnej infrastruktury szerokopasmowej</w:t>
            </w:r>
            <w:r w:rsidRPr="006101E2">
              <w:rPr>
                <w:rFonts w:ascii="Arial" w:hAnsi="Arial" w:cs="Arial"/>
                <w:bCs/>
                <w:vertAlign w:val="superscript"/>
              </w:rPr>
              <w:footnoteReference w:id="14"/>
            </w:r>
            <w:r w:rsidRPr="006101E2">
              <w:rPr>
                <w:rFonts w:ascii="Arial" w:hAnsi="Arial" w:cs="Arial"/>
                <w:bCs/>
              </w:rPr>
              <w:t xml:space="preserve">, w tym robót i materiałów budowlanych oraz dostaw i instalacji elementów  infrastruktury szerokopasmowej; </w:t>
            </w:r>
          </w:p>
        </w:tc>
        <w:tc>
          <w:tcPr>
            <w:tcW w:w="4606" w:type="dxa"/>
          </w:tcPr>
          <w:p w:rsidR="006101E2" w:rsidRPr="006101E2" w:rsidRDefault="006101E2" w:rsidP="00137BC9">
            <w:pPr>
              <w:numPr>
                <w:ilvl w:val="0"/>
                <w:numId w:val="38"/>
              </w:numPr>
              <w:spacing w:before="120" w:after="120" w:line="360" w:lineRule="auto"/>
              <w:ind w:left="356"/>
              <w:rPr>
                <w:rFonts w:ascii="Arial" w:hAnsi="Arial" w:cs="Arial"/>
              </w:rPr>
            </w:pPr>
            <w:r w:rsidRPr="006101E2">
              <w:rPr>
                <w:rFonts w:ascii="Arial" w:hAnsi="Arial" w:cs="Arial"/>
                <w:bCs/>
              </w:rPr>
              <w:t>opłaty publicznoprawne związane z przygotowaniem i realizacją projektu, w szczególności za wydanie decyzji, zgód, zezwoleń;</w:t>
            </w:r>
          </w:p>
        </w:tc>
      </w:tr>
      <w:tr w:rsidR="006101E2" w:rsidRPr="006101E2" w:rsidTr="001359B7">
        <w:tc>
          <w:tcPr>
            <w:tcW w:w="4606" w:type="dxa"/>
          </w:tcPr>
          <w:p w:rsidR="006101E2" w:rsidRPr="006101E2" w:rsidRDefault="006101E2" w:rsidP="00137BC9">
            <w:pPr>
              <w:numPr>
                <w:ilvl w:val="0"/>
                <w:numId w:val="37"/>
              </w:numPr>
              <w:spacing w:before="120" w:after="120" w:line="360" w:lineRule="auto"/>
              <w:ind w:left="426"/>
              <w:rPr>
                <w:rFonts w:ascii="Arial" w:hAnsi="Arial" w:cs="Arial"/>
                <w:bCs/>
              </w:rPr>
            </w:pPr>
            <w:r w:rsidRPr="006101E2">
              <w:rPr>
                <w:rFonts w:ascii="Arial" w:hAnsi="Arial" w:cs="Arial"/>
                <w:bCs/>
              </w:rPr>
              <w:lastRenderedPageBreak/>
              <w:t>koszty przygotowania dokumentacji niezbędnej do wykonania robót budowlanych, z wyłączeniem kosztów przygotowania dokumentacji powykonawczej</w:t>
            </w:r>
            <w:r w:rsidR="00ED1EF5">
              <w:rPr>
                <w:rFonts w:ascii="Arial" w:hAnsi="Arial" w:cs="Arial"/>
                <w:bCs/>
              </w:rPr>
              <w:t xml:space="preserve"> w rozumieniu </w:t>
            </w:r>
            <w:r w:rsidR="00297AC7">
              <w:rPr>
                <w:rFonts w:ascii="Arial" w:hAnsi="Arial" w:cs="Arial"/>
                <w:bCs/>
              </w:rPr>
              <w:t xml:space="preserve">ustawy - </w:t>
            </w:r>
            <w:r w:rsidR="00ED1EF5">
              <w:rPr>
                <w:rFonts w:ascii="Arial" w:hAnsi="Arial" w:cs="Arial"/>
                <w:bCs/>
              </w:rPr>
              <w:t>Prawo budowlane</w:t>
            </w:r>
            <w:r w:rsidRPr="006101E2">
              <w:rPr>
                <w:rFonts w:ascii="Arial" w:hAnsi="Arial" w:cs="Arial"/>
                <w:bCs/>
              </w:rPr>
              <w:t>;</w:t>
            </w:r>
          </w:p>
        </w:tc>
        <w:tc>
          <w:tcPr>
            <w:tcW w:w="4606" w:type="dxa"/>
          </w:tcPr>
          <w:p w:rsidR="006101E2" w:rsidRPr="006101E2" w:rsidRDefault="006101E2" w:rsidP="00137BC9">
            <w:pPr>
              <w:numPr>
                <w:ilvl w:val="0"/>
                <w:numId w:val="38"/>
              </w:numPr>
              <w:spacing w:before="120" w:after="120" w:line="360" w:lineRule="auto"/>
              <w:ind w:left="356"/>
              <w:rPr>
                <w:rFonts w:ascii="Arial" w:hAnsi="Arial" w:cs="Arial"/>
              </w:rPr>
            </w:pPr>
            <w:r w:rsidRPr="006101E2">
              <w:rPr>
                <w:rFonts w:ascii="Arial" w:hAnsi="Arial" w:cs="Arial"/>
                <w:bCs/>
              </w:rPr>
              <w:t>obsługa instrumentów zabezpieczających realizację umowy o</w:t>
            </w:r>
            <w:r w:rsidR="00883110">
              <w:rPr>
                <w:rFonts w:ascii="Arial" w:hAnsi="Arial" w:cs="Arial"/>
                <w:bCs/>
              </w:rPr>
              <w:t xml:space="preserve"> dofinansowanie</w:t>
            </w:r>
            <w:r w:rsidRPr="006101E2">
              <w:rPr>
                <w:rFonts w:ascii="Arial" w:hAnsi="Arial" w:cs="Arial"/>
                <w:bCs/>
              </w:rPr>
              <w:t>, określonych w umowie o dofinansowanie;</w:t>
            </w:r>
          </w:p>
        </w:tc>
      </w:tr>
      <w:tr w:rsidR="006101E2" w:rsidRPr="006101E2" w:rsidTr="001359B7">
        <w:tc>
          <w:tcPr>
            <w:tcW w:w="4606" w:type="dxa"/>
          </w:tcPr>
          <w:p w:rsidR="006101E2" w:rsidRPr="006101E2" w:rsidRDefault="006101E2" w:rsidP="00137BC9">
            <w:pPr>
              <w:numPr>
                <w:ilvl w:val="0"/>
                <w:numId w:val="37"/>
              </w:numPr>
              <w:spacing w:before="120" w:after="120" w:line="360" w:lineRule="auto"/>
              <w:ind w:left="426"/>
              <w:rPr>
                <w:rFonts w:ascii="Arial" w:hAnsi="Arial" w:cs="Arial"/>
                <w:bCs/>
              </w:rPr>
            </w:pPr>
            <w:r w:rsidRPr="006101E2">
              <w:rPr>
                <w:rFonts w:ascii="Arial" w:hAnsi="Arial" w:cs="Arial"/>
                <w:bCs/>
              </w:rPr>
              <w:t>koszty nabycia prawa do dysponowania nieruchomością związaną z realizacją projektu;</w:t>
            </w:r>
          </w:p>
        </w:tc>
        <w:tc>
          <w:tcPr>
            <w:tcW w:w="4606" w:type="dxa"/>
          </w:tcPr>
          <w:p w:rsidR="00347005" w:rsidRPr="0056167D" w:rsidRDefault="006101E2" w:rsidP="00137BC9">
            <w:pPr>
              <w:pStyle w:val="PKTpunkt"/>
              <w:numPr>
                <w:ilvl w:val="0"/>
                <w:numId w:val="51"/>
              </w:numPr>
              <w:rPr>
                <w:sz w:val="22"/>
                <w:szCs w:val="22"/>
              </w:rPr>
            </w:pPr>
            <w:r w:rsidRPr="0056167D">
              <w:rPr>
                <w:rFonts w:ascii="Arial" w:hAnsi="Arial"/>
                <w:bCs w:val="0"/>
                <w:sz w:val="22"/>
                <w:szCs w:val="22"/>
              </w:rPr>
              <w:t>przygotowanie projektu w zakresie niezbędnym do złożenia wniosku o udzielenie wsparcia, nie wcześniej niż 3 miesiące przed dniem złożenia wniosku, do wysokości 20 tysięcy złotych;</w:t>
            </w:r>
            <w:r w:rsidR="00347005" w:rsidRPr="0056167D">
              <w:rPr>
                <w:rFonts w:ascii="Arial" w:hAnsi="Arial"/>
                <w:bCs w:val="0"/>
                <w:sz w:val="22"/>
                <w:szCs w:val="22"/>
              </w:rPr>
              <w:t xml:space="preserve"> </w:t>
            </w:r>
            <w:r w:rsidR="00347005" w:rsidRPr="003E1D0C">
              <w:rPr>
                <w:rFonts w:ascii="Arial" w:hAnsi="Arial"/>
                <w:sz w:val="22"/>
                <w:szCs w:val="22"/>
              </w:rPr>
              <w:t>wsparcie nie obejmuje wydatków zwi</w:t>
            </w:r>
            <w:r w:rsidR="00347005" w:rsidRPr="003E1D0C">
              <w:rPr>
                <w:rFonts w:ascii="Arial" w:hAnsi="Arial" w:hint="eastAsia"/>
                <w:sz w:val="22"/>
                <w:szCs w:val="22"/>
              </w:rPr>
              <w:t>ą</w:t>
            </w:r>
            <w:r w:rsidR="00347005" w:rsidRPr="003E1D0C">
              <w:rPr>
                <w:rFonts w:ascii="Arial" w:hAnsi="Arial"/>
                <w:sz w:val="22"/>
                <w:szCs w:val="22"/>
              </w:rPr>
              <w:t>zanych z wype</w:t>
            </w:r>
            <w:r w:rsidR="00347005" w:rsidRPr="003E1D0C">
              <w:rPr>
                <w:rFonts w:ascii="Arial" w:hAnsi="Arial" w:hint="eastAsia"/>
                <w:sz w:val="22"/>
                <w:szCs w:val="22"/>
              </w:rPr>
              <w:t>ł</w:t>
            </w:r>
            <w:r w:rsidR="00347005" w:rsidRPr="003E1D0C">
              <w:rPr>
                <w:rFonts w:ascii="Arial" w:hAnsi="Arial"/>
                <w:sz w:val="22"/>
                <w:szCs w:val="22"/>
              </w:rPr>
              <w:t>nieniem formularza wniosku;</w:t>
            </w:r>
          </w:p>
          <w:p w:rsidR="006101E2" w:rsidRPr="006101E2" w:rsidRDefault="006101E2" w:rsidP="0056167D">
            <w:pPr>
              <w:spacing w:before="120" w:after="120" w:line="360" w:lineRule="auto"/>
              <w:ind w:left="356"/>
              <w:rPr>
                <w:rFonts w:ascii="Arial" w:hAnsi="Arial" w:cs="Arial"/>
              </w:rPr>
            </w:pPr>
          </w:p>
        </w:tc>
      </w:tr>
      <w:tr w:rsidR="006101E2" w:rsidRPr="006101E2" w:rsidTr="001359B7">
        <w:tc>
          <w:tcPr>
            <w:tcW w:w="4606" w:type="dxa"/>
          </w:tcPr>
          <w:p w:rsidR="006101E2" w:rsidRPr="006101E2" w:rsidRDefault="006101E2" w:rsidP="00137BC9">
            <w:pPr>
              <w:numPr>
                <w:ilvl w:val="0"/>
                <w:numId w:val="51"/>
              </w:numPr>
              <w:spacing w:before="120" w:after="120" w:line="360" w:lineRule="auto"/>
              <w:ind w:left="426"/>
              <w:rPr>
                <w:rFonts w:ascii="Arial" w:hAnsi="Arial" w:cs="Arial"/>
                <w:bCs/>
              </w:rPr>
            </w:pPr>
            <w:r w:rsidRPr="006101E2">
              <w:rPr>
                <w:rFonts w:ascii="Arial" w:hAnsi="Arial" w:cs="Arial"/>
                <w:bCs/>
              </w:rPr>
              <w:t>koszty dost</w:t>
            </w:r>
            <w:r w:rsidR="00773FC4">
              <w:rPr>
                <w:rFonts w:ascii="Arial" w:hAnsi="Arial" w:cs="Arial"/>
                <w:bCs/>
              </w:rPr>
              <w:t>a</w:t>
            </w:r>
            <w:r w:rsidR="003E1D0C">
              <w:rPr>
                <w:rFonts w:ascii="Arial" w:hAnsi="Arial" w:cs="Arial"/>
                <w:bCs/>
              </w:rPr>
              <w:t>wy</w:t>
            </w:r>
            <w:r w:rsidRPr="006101E2">
              <w:rPr>
                <w:rFonts w:ascii="Arial" w:hAnsi="Arial" w:cs="Arial"/>
                <w:bCs/>
              </w:rPr>
              <w:t>, instalacji i uruchomienia urządzeń telekomunikacyjnych stanowiących infrastrukturę aktywną sieci NGA;</w:t>
            </w:r>
          </w:p>
        </w:tc>
        <w:tc>
          <w:tcPr>
            <w:tcW w:w="4606" w:type="dxa"/>
            <w:vMerge w:val="restart"/>
          </w:tcPr>
          <w:p w:rsidR="006101E2" w:rsidRPr="006101E2" w:rsidRDefault="00714036" w:rsidP="006C29ED">
            <w:pPr>
              <w:spacing w:before="120" w:after="120" w:line="360" w:lineRule="auto"/>
              <w:rPr>
                <w:rFonts w:ascii="Arial" w:hAnsi="Arial" w:cs="Arial"/>
              </w:rPr>
            </w:pPr>
            <w:r>
              <w:rPr>
                <w:rFonts w:ascii="Arial" w:hAnsi="Arial" w:cs="Arial"/>
                <w:bCs/>
              </w:rPr>
              <w:t xml:space="preserve">4) </w:t>
            </w:r>
            <w:r w:rsidR="006101E2" w:rsidRPr="006C29ED">
              <w:rPr>
                <w:rFonts w:ascii="Arial" w:hAnsi="Arial" w:cs="Arial"/>
                <w:bCs/>
              </w:rPr>
              <w:t>przygotowanie dokumentacji powykonawczej w rozumieniu ustawy - Prawo budowlane</w:t>
            </w:r>
            <w:r w:rsidR="00440BAD" w:rsidRPr="006C29ED">
              <w:rPr>
                <w:rFonts w:ascii="Arial" w:hAnsi="Arial" w:cs="Arial"/>
                <w:bCs/>
              </w:rPr>
              <w:t>.</w:t>
            </w:r>
            <w:r w:rsidR="006101E2" w:rsidRPr="006C29ED">
              <w:rPr>
                <w:rFonts w:ascii="Arial" w:hAnsi="Arial" w:cs="Arial"/>
                <w:bCs/>
              </w:rPr>
              <w:t xml:space="preserve"> </w:t>
            </w:r>
          </w:p>
        </w:tc>
      </w:tr>
      <w:tr w:rsidR="006101E2" w:rsidRPr="006101E2" w:rsidTr="001359B7">
        <w:tc>
          <w:tcPr>
            <w:tcW w:w="4606" w:type="dxa"/>
          </w:tcPr>
          <w:p w:rsidR="006101E2" w:rsidRPr="006C29ED" w:rsidRDefault="006101E2" w:rsidP="00137BC9">
            <w:pPr>
              <w:pStyle w:val="Akapitzlist"/>
              <w:numPr>
                <w:ilvl w:val="0"/>
                <w:numId w:val="51"/>
              </w:numPr>
              <w:spacing w:before="120" w:after="120" w:line="360" w:lineRule="auto"/>
              <w:rPr>
                <w:rFonts w:ascii="Arial" w:hAnsi="Arial" w:cs="Arial"/>
                <w:bCs/>
              </w:rPr>
            </w:pPr>
            <w:r w:rsidRPr="006C29ED">
              <w:rPr>
                <w:rFonts w:ascii="Arial" w:hAnsi="Arial" w:cs="Arial"/>
                <w:bCs/>
              </w:rPr>
              <w:t>koszty najmu, dzierżawy lub leasingu pasywnej infrastruktury szerokopasmowej, a także elementów infrastruktury elektroenergetycznej, sanitarnej, wodociągowej oraz kanałów technologicznych;</w:t>
            </w:r>
          </w:p>
        </w:tc>
        <w:tc>
          <w:tcPr>
            <w:tcW w:w="4606" w:type="dxa"/>
            <w:vMerge/>
          </w:tcPr>
          <w:p w:rsidR="006101E2" w:rsidRPr="006101E2" w:rsidRDefault="006101E2" w:rsidP="006101E2">
            <w:pPr>
              <w:autoSpaceDE w:val="0"/>
              <w:autoSpaceDN w:val="0"/>
              <w:adjustRightInd w:val="0"/>
              <w:spacing w:before="120" w:after="120" w:line="360" w:lineRule="auto"/>
              <w:rPr>
                <w:rFonts w:ascii="Arial" w:hAnsi="Arial" w:cs="Arial"/>
              </w:rPr>
            </w:pPr>
          </w:p>
        </w:tc>
      </w:tr>
      <w:tr w:rsidR="006101E2" w:rsidRPr="006101E2" w:rsidTr="001359B7">
        <w:tc>
          <w:tcPr>
            <w:tcW w:w="4606" w:type="dxa"/>
          </w:tcPr>
          <w:p w:rsidR="006101E2" w:rsidRPr="006101E2" w:rsidRDefault="006101E2" w:rsidP="00137BC9">
            <w:pPr>
              <w:numPr>
                <w:ilvl w:val="0"/>
                <w:numId w:val="51"/>
              </w:numPr>
              <w:spacing w:before="120" w:after="120" w:line="360" w:lineRule="auto"/>
              <w:ind w:left="426"/>
              <w:rPr>
                <w:rFonts w:ascii="Arial" w:hAnsi="Arial" w:cs="Arial"/>
              </w:rPr>
            </w:pPr>
            <w:r w:rsidRPr="006101E2">
              <w:rPr>
                <w:rFonts w:ascii="Arial" w:hAnsi="Arial" w:cs="Arial"/>
                <w:bCs/>
              </w:rPr>
              <w:t>koszty inwestycyjne budowy sieci NGA, w tym związane z przebudową i</w:t>
            </w:r>
            <w:r w:rsidR="00883110">
              <w:rPr>
                <w:rFonts w:ascii="Arial" w:hAnsi="Arial" w:cs="Arial"/>
                <w:bCs/>
              </w:rPr>
              <w:t xml:space="preserve"> </w:t>
            </w:r>
            <w:r w:rsidRPr="006101E2">
              <w:rPr>
                <w:rFonts w:ascii="Arial" w:hAnsi="Arial" w:cs="Arial"/>
                <w:bCs/>
              </w:rPr>
              <w:t xml:space="preserve">rozbudową podstawowej sieci szerokopasmowej do standardu sieci NGA; </w:t>
            </w:r>
          </w:p>
        </w:tc>
        <w:tc>
          <w:tcPr>
            <w:tcW w:w="4606" w:type="dxa"/>
            <w:vMerge/>
          </w:tcPr>
          <w:p w:rsidR="006101E2" w:rsidRPr="006101E2" w:rsidRDefault="006101E2" w:rsidP="00137BC9">
            <w:pPr>
              <w:numPr>
                <w:ilvl w:val="0"/>
                <w:numId w:val="49"/>
              </w:numPr>
              <w:spacing w:before="120" w:after="120" w:line="360" w:lineRule="auto"/>
              <w:ind w:left="356"/>
              <w:rPr>
                <w:rFonts w:ascii="Arial" w:hAnsi="Arial" w:cs="Arial"/>
              </w:rPr>
            </w:pPr>
          </w:p>
        </w:tc>
      </w:tr>
      <w:tr w:rsidR="006101E2" w:rsidRPr="006101E2" w:rsidTr="001359B7">
        <w:tc>
          <w:tcPr>
            <w:tcW w:w="4606" w:type="dxa"/>
          </w:tcPr>
          <w:p w:rsidR="006101E2" w:rsidRPr="006101E2" w:rsidRDefault="006101E2" w:rsidP="00137BC9">
            <w:pPr>
              <w:numPr>
                <w:ilvl w:val="0"/>
                <w:numId w:val="51"/>
              </w:numPr>
              <w:autoSpaceDE w:val="0"/>
              <w:autoSpaceDN w:val="0"/>
              <w:adjustRightInd w:val="0"/>
              <w:spacing w:before="120" w:after="120" w:line="360" w:lineRule="auto"/>
              <w:ind w:left="426"/>
              <w:rPr>
                <w:rFonts w:ascii="Arial" w:hAnsi="Arial" w:cs="Arial"/>
              </w:rPr>
            </w:pPr>
            <w:r w:rsidRPr="006101E2">
              <w:rPr>
                <w:rFonts w:ascii="Arial" w:hAnsi="Arial" w:cs="Arial"/>
              </w:rPr>
              <w:t>koszty nabycia wartości niematerialnych i prawnych.</w:t>
            </w:r>
          </w:p>
        </w:tc>
        <w:tc>
          <w:tcPr>
            <w:tcW w:w="4606" w:type="dxa"/>
            <w:vMerge/>
          </w:tcPr>
          <w:p w:rsidR="006101E2" w:rsidRPr="006101E2" w:rsidRDefault="006101E2" w:rsidP="006101E2">
            <w:pPr>
              <w:autoSpaceDE w:val="0"/>
              <w:autoSpaceDN w:val="0"/>
              <w:adjustRightInd w:val="0"/>
              <w:spacing w:before="120" w:after="120" w:line="360" w:lineRule="auto"/>
              <w:rPr>
                <w:rFonts w:ascii="Arial" w:hAnsi="Arial" w:cs="Arial"/>
              </w:rPr>
            </w:pPr>
          </w:p>
        </w:tc>
      </w:tr>
    </w:tbl>
    <w:p w:rsidR="001C6FB3" w:rsidRDefault="001C6FB3" w:rsidP="006101E2">
      <w:pPr>
        <w:autoSpaceDE w:val="0"/>
        <w:autoSpaceDN w:val="0"/>
        <w:adjustRightInd w:val="0"/>
        <w:spacing w:before="120" w:after="120" w:line="360" w:lineRule="auto"/>
        <w:jc w:val="both"/>
        <w:rPr>
          <w:rFonts w:ascii="Arial" w:hAnsi="Arial" w:cs="Arial"/>
        </w:rPr>
      </w:pPr>
    </w:p>
    <w:p w:rsidR="006101E2" w:rsidRPr="006101E2" w:rsidRDefault="006101E2" w:rsidP="006101E2">
      <w:pPr>
        <w:autoSpaceDE w:val="0"/>
        <w:autoSpaceDN w:val="0"/>
        <w:adjustRightInd w:val="0"/>
        <w:spacing w:before="120" w:after="120" w:line="360" w:lineRule="auto"/>
        <w:jc w:val="both"/>
        <w:rPr>
          <w:rFonts w:ascii="Arial" w:hAnsi="Arial" w:cs="Arial"/>
        </w:rPr>
      </w:pPr>
      <w:r w:rsidRPr="006101E2">
        <w:rPr>
          <w:rFonts w:ascii="Arial" w:hAnsi="Arial" w:cs="Arial"/>
        </w:rPr>
        <w:t>W ramach powyższych kategorii wydatków stosuje się następujące ogólne zasady:</w:t>
      </w:r>
    </w:p>
    <w:p w:rsidR="006101E2" w:rsidRPr="006101E2" w:rsidRDefault="006101E2" w:rsidP="00137BC9">
      <w:pPr>
        <w:numPr>
          <w:ilvl w:val="0"/>
          <w:numId w:val="52"/>
        </w:numPr>
        <w:autoSpaceDE w:val="0"/>
        <w:autoSpaceDN w:val="0"/>
        <w:adjustRightInd w:val="0"/>
        <w:spacing w:before="120" w:after="120" w:line="360" w:lineRule="auto"/>
        <w:jc w:val="both"/>
        <w:rPr>
          <w:rFonts w:ascii="Arial" w:hAnsi="Arial" w:cs="Arial"/>
        </w:rPr>
      </w:pPr>
      <w:r w:rsidRPr="006101E2">
        <w:rPr>
          <w:rFonts w:ascii="Arial" w:hAnsi="Arial" w:cs="Arial"/>
        </w:rPr>
        <w:t>wszystkie wskazane w niniejszym rozdziale wydatki muszą być ponoszone zgodnie z </w:t>
      </w:r>
      <w:r w:rsidRPr="006101E2">
        <w:rPr>
          <w:rFonts w:ascii="Arial" w:hAnsi="Arial" w:cs="Arial"/>
          <w:i/>
        </w:rPr>
        <w:t xml:space="preserve">Rozporządzeniem pomocowym dla I osi, </w:t>
      </w:r>
      <w:r w:rsidRPr="006101E2">
        <w:rPr>
          <w:rFonts w:ascii="Arial" w:hAnsi="Arial" w:cs="Arial"/>
        </w:rPr>
        <w:t xml:space="preserve">niniejszym </w:t>
      </w:r>
      <w:r w:rsidR="00BB4F12">
        <w:rPr>
          <w:rFonts w:ascii="Arial" w:hAnsi="Arial" w:cs="Arial"/>
          <w:i/>
        </w:rPr>
        <w:t>Katalogiem</w:t>
      </w:r>
      <w:r w:rsidRPr="006101E2">
        <w:rPr>
          <w:rFonts w:ascii="Arial" w:hAnsi="Arial" w:cs="Arial"/>
        </w:rPr>
        <w:t xml:space="preserve">, </w:t>
      </w:r>
      <w:r w:rsidRPr="006101E2">
        <w:rPr>
          <w:rFonts w:ascii="Arial" w:hAnsi="Arial" w:cs="Arial"/>
          <w:i/>
        </w:rPr>
        <w:t xml:space="preserve">Wytycznymi </w:t>
      </w:r>
      <w:r w:rsidRPr="006101E2">
        <w:rPr>
          <w:rFonts w:ascii="Arial" w:hAnsi="Arial" w:cs="Arial"/>
        </w:rPr>
        <w:t xml:space="preserve">oraz umową o dofinansowanie pod rygorem uznania ich za niekwalifikowane.  Wydatki te muszą być bezpośrednio związane z </w:t>
      </w:r>
      <w:r w:rsidR="00D97006" w:rsidRPr="006101E2">
        <w:rPr>
          <w:rFonts w:ascii="Arial" w:hAnsi="Arial" w:cs="Arial"/>
        </w:rPr>
        <w:t>realizacj</w:t>
      </w:r>
      <w:r w:rsidR="00D97006">
        <w:rPr>
          <w:rFonts w:ascii="Arial" w:hAnsi="Arial" w:cs="Arial"/>
        </w:rPr>
        <w:t>ą</w:t>
      </w:r>
      <w:r w:rsidR="00D97006" w:rsidRPr="006101E2">
        <w:rPr>
          <w:rFonts w:ascii="Arial" w:hAnsi="Arial" w:cs="Arial"/>
        </w:rPr>
        <w:t xml:space="preserve"> </w:t>
      </w:r>
      <w:r w:rsidRPr="006101E2">
        <w:rPr>
          <w:rFonts w:ascii="Arial" w:hAnsi="Arial" w:cs="Arial"/>
        </w:rPr>
        <w:t>projektu;</w:t>
      </w:r>
    </w:p>
    <w:p w:rsidR="006101E2" w:rsidRPr="006101E2" w:rsidRDefault="006101E2" w:rsidP="00137BC9">
      <w:pPr>
        <w:numPr>
          <w:ilvl w:val="0"/>
          <w:numId w:val="52"/>
        </w:numPr>
        <w:autoSpaceDE w:val="0"/>
        <w:autoSpaceDN w:val="0"/>
        <w:adjustRightInd w:val="0"/>
        <w:spacing w:before="120" w:after="120" w:line="360" w:lineRule="auto"/>
        <w:jc w:val="both"/>
        <w:rPr>
          <w:rFonts w:ascii="Arial" w:hAnsi="Arial" w:cs="Arial"/>
        </w:rPr>
      </w:pPr>
      <w:r w:rsidRPr="006101E2">
        <w:rPr>
          <w:rFonts w:ascii="Arial" w:hAnsi="Arial" w:cs="Arial"/>
        </w:rPr>
        <w:t>wydatkami kwalifikującymi się do objęcia wsparciem są wydatki poniesione w okresie określonym w rozporządzeniu pomocowym dla I osi;</w:t>
      </w:r>
    </w:p>
    <w:p w:rsidR="006101E2" w:rsidRPr="006101E2" w:rsidRDefault="006101E2" w:rsidP="00137BC9">
      <w:pPr>
        <w:numPr>
          <w:ilvl w:val="0"/>
          <w:numId w:val="52"/>
        </w:numPr>
        <w:autoSpaceDE w:val="0"/>
        <w:autoSpaceDN w:val="0"/>
        <w:adjustRightInd w:val="0"/>
        <w:spacing w:before="120" w:after="120" w:line="360" w:lineRule="auto"/>
        <w:jc w:val="both"/>
        <w:rPr>
          <w:rFonts w:ascii="Arial" w:hAnsi="Arial" w:cs="Arial"/>
        </w:rPr>
      </w:pPr>
      <w:r w:rsidRPr="006101E2">
        <w:rPr>
          <w:rFonts w:ascii="Arial" w:hAnsi="Arial" w:cs="Arial"/>
        </w:rPr>
        <w:t>wszystkie wydatki powinny być przypisane do odpowiednich kategorii określonych w niniejszym rozdziale;</w:t>
      </w:r>
    </w:p>
    <w:p w:rsidR="006101E2" w:rsidRPr="006101E2" w:rsidRDefault="006101E2" w:rsidP="00137BC9">
      <w:pPr>
        <w:numPr>
          <w:ilvl w:val="0"/>
          <w:numId w:val="52"/>
        </w:numPr>
        <w:autoSpaceDE w:val="0"/>
        <w:autoSpaceDN w:val="0"/>
        <w:adjustRightInd w:val="0"/>
        <w:spacing w:before="120" w:after="120" w:line="360" w:lineRule="auto"/>
        <w:jc w:val="both"/>
        <w:rPr>
          <w:rFonts w:ascii="Arial" w:hAnsi="Arial" w:cs="Arial"/>
        </w:rPr>
      </w:pPr>
      <w:r w:rsidRPr="006101E2">
        <w:rPr>
          <w:rFonts w:ascii="Arial" w:hAnsi="Arial" w:cs="Arial"/>
        </w:rPr>
        <w:t xml:space="preserve">cenę nabycia wartości niematerialnych i prawnych oraz środków trwałych, kwalifikujących się do objęcia wsparciem ustala się zgodnie z właściwymi przepisami ustawy </w:t>
      </w:r>
      <w:r w:rsidR="00316996">
        <w:rPr>
          <w:rFonts w:ascii="Arial" w:hAnsi="Arial" w:cs="Arial"/>
        </w:rPr>
        <w:t xml:space="preserve">z dnia 29 września 1994 r. </w:t>
      </w:r>
      <w:r w:rsidRPr="006101E2">
        <w:rPr>
          <w:rFonts w:ascii="Arial" w:hAnsi="Arial" w:cs="Arial"/>
        </w:rPr>
        <w:t>o rachunkowości</w:t>
      </w:r>
      <w:r w:rsidR="00316996">
        <w:rPr>
          <w:rFonts w:ascii="Arial" w:hAnsi="Arial" w:cs="Arial"/>
        </w:rPr>
        <w:t xml:space="preserve"> (Dz. U. 2016</w:t>
      </w:r>
      <w:r w:rsidR="00A77C3B">
        <w:rPr>
          <w:rFonts w:ascii="Arial" w:hAnsi="Arial" w:cs="Arial"/>
        </w:rPr>
        <w:t xml:space="preserve"> r.</w:t>
      </w:r>
      <w:r w:rsidR="00316996">
        <w:rPr>
          <w:rFonts w:ascii="Arial" w:hAnsi="Arial" w:cs="Arial"/>
        </w:rPr>
        <w:t>, poz. 1047)</w:t>
      </w:r>
      <w:r w:rsidR="009D53B9">
        <w:rPr>
          <w:rFonts w:ascii="Arial" w:hAnsi="Arial" w:cs="Arial"/>
        </w:rPr>
        <w:t>;</w:t>
      </w:r>
      <w:r w:rsidRPr="006101E2">
        <w:rPr>
          <w:rFonts w:ascii="Arial" w:hAnsi="Arial" w:cs="Arial"/>
        </w:rPr>
        <w:t xml:space="preserve"> </w:t>
      </w:r>
    </w:p>
    <w:p w:rsidR="006101E2" w:rsidRPr="006101E2" w:rsidRDefault="006101E2" w:rsidP="00137BC9">
      <w:pPr>
        <w:numPr>
          <w:ilvl w:val="0"/>
          <w:numId w:val="52"/>
        </w:numPr>
        <w:autoSpaceDE w:val="0"/>
        <w:autoSpaceDN w:val="0"/>
        <w:adjustRightInd w:val="0"/>
        <w:spacing w:before="120" w:after="120" w:line="360" w:lineRule="auto"/>
        <w:jc w:val="both"/>
        <w:rPr>
          <w:rFonts w:ascii="Arial" w:hAnsi="Arial" w:cs="Arial"/>
        </w:rPr>
      </w:pPr>
      <w:r w:rsidRPr="006101E2">
        <w:rPr>
          <w:rFonts w:ascii="Arial" w:hAnsi="Arial" w:cs="Arial"/>
        </w:rPr>
        <w:t>wydatki na środki trwałe ponoszone są w ramach kategorii wydatków określonych w niniejszym rozdziale;</w:t>
      </w:r>
    </w:p>
    <w:p w:rsidR="006101E2" w:rsidRPr="006101E2" w:rsidRDefault="006101E2" w:rsidP="00137BC9">
      <w:pPr>
        <w:numPr>
          <w:ilvl w:val="0"/>
          <w:numId w:val="52"/>
        </w:numPr>
        <w:autoSpaceDE w:val="0"/>
        <w:autoSpaceDN w:val="0"/>
        <w:adjustRightInd w:val="0"/>
        <w:spacing w:before="120" w:after="120" w:line="360" w:lineRule="auto"/>
        <w:jc w:val="both"/>
        <w:rPr>
          <w:rFonts w:ascii="Arial" w:hAnsi="Arial" w:cs="Arial"/>
        </w:rPr>
      </w:pPr>
      <w:r w:rsidRPr="006101E2">
        <w:rPr>
          <w:rFonts w:ascii="Arial" w:hAnsi="Arial" w:cs="Arial"/>
        </w:rPr>
        <w:t>w ramach wydatków dotyczących nowych środków trwałych uznaje się je za kwalifikowalne, o ile środki te są na stałe zainstalowane w ramach projektu, a środki te będą włączone w rejestr środków trwałych beneficjenta oraz wydatek ten będzie traktowany jako wydatek inwestycyjny zgodnie z zasadami rachunkowości;</w:t>
      </w:r>
    </w:p>
    <w:p w:rsidR="006101E2" w:rsidRPr="006101E2" w:rsidRDefault="006101E2" w:rsidP="00137BC9">
      <w:pPr>
        <w:numPr>
          <w:ilvl w:val="0"/>
          <w:numId w:val="52"/>
        </w:numPr>
        <w:autoSpaceDE w:val="0"/>
        <w:autoSpaceDN w:val="0"/>
        <w:adjustRightInd w:val="0"/>
        <w:spacing w:before="120" w:after="120" w:line="360" w:lineRule="auto"/>
        <w:jc w:val="both"/>
        <w:rPr>
          <w:rFonts w:ascii="Arial" w:hAnsi="Arial" w:cs="Arial"/>
        </w:rPr>
      </w:pPr>
      <w:r w:rsidRPr="006101E2">
        <w:rPr>
          <w:rFonts w:ascii="Arial" w:hAnsi="Arial" w:cs="Arial"/>
        </w:rPr>
        <w:t>dopuszcza się zakup używanych środków trwałych</w:t>
      </w:r>
      <w:r w:rsidR="00AA3A39">
        <w:rPr>
          <w:rFonts w:ascii="Arial" w:hAnsi="Arial" w:cs="Arial"/>
        </w:rPr>
        <w:t xml:space="preserve">, z zastrzeżeniem </w:t>
      </w:r>
      <w:r w:rsidR="00316996">
        <w:rPr>
          <w:rFonts w:ascii="Arial" w:hAnsi="Arial" w:cs="Arial"/>
        </w:rPr>
        <w:t>podrozdziału 3</w:t>
      </w:r>
      <w:r w:rsidR="00AA3A39">
        <w:rPr>
          <w:rFonts w:ascii="Arial" w:hAnsi="Arial" w:cs="Arial"/>
        </w:rPr>
        <w:t>.3 pkt 4 lit. e;</w:t>
      </w:r>
    </w:p>
    <w:p w:rsidR="006101E2" w:rsidRPr="006101E2" w:rsidRDefault="006101E2" w:rsidP="00137BC9">
      <w:pPr>
        <w:numPr>
          <w:ilvl w:val="0"/>
          <w:numId w:val="52"/>
        </w:numPr>
        <w:autoSpaceDE w:val="0"/>
        <w:autoSpaceDN w:val="0"/>
        <w:adjustRightInd w:val="0"/>
        <w:spacing w:before="120" w:after="120" w:line="360" w:lineRule="auto"/>
        <w:jc w:val="both"/>
        <w:rPr>
          <w:rFonts w:ascii="Arial" w:hAnsi="Arial" w:cs="Arial"/>
        </w:rPr>
      </w:pPr>
      <w:r w:rsidRPr="006101E2">
        <w:rPr>
          <w:rFonts w:ascii="Arial" w:hAnsi="Arial" w:cs="Arial"/>
        </w:rPr>
        <w:t>kwalifikowalne są wydatki w związku z zastosowaniem leasingu i innych technik finansowania nie powodujących natychmiastowego przeniesienia prawa własności;</w:t>
      </w:r>
    </w:p>
    <w:p w:rsidR="006101E2" w:rsidRPr="006101E2" w:rsidRDefault="006101E2" w:rsidP="00137BC9">
      <w:pPr>
        <w:numPr>
          <w:ilvl w:val="0"/>
          <w:numId w:val="52"/>
        </w:numPr>
        <w:autoSpaceDE w:val="0"/>
        <w:autoSpaceDN w:val="0"/>
        <w:adjustRightInd w:val="0"/>
        <w:spacing w:before="120" w:after="120" w:line="360" w:lineRule="auto"/>
        <w:jc w:val="both"/>
        <w:rPr>
          <w:rFonts w:ascii="Arial" w:hAnsi="Arial" w:cs="Arial"/>
        </w:rPr>
      </w:pPr>
      <w:r w:rsidRPr="006101E2">
        <w:rPr>
          <w:rFonts w:ascii="Arial" w:hAnsi="Arial" w:cs="Arial"/>
        </w:rPr>
        <w:t>nie dopuszcza się stosowania uproszczonych metod rozliczania wydatków.</w:t>
      </w:r>
    </w:p>
    <w:p w:rsidR="006101E2" w:rsidRPr="006101E2" w:rsidRDefault="006101E2" w:rsidP="006101E2">
      <w:pPr>
        <w:keepNext/>
        <w:keepLines/>
        <w:numPr>
          <w:ilvl w:val="2"/>
          <w:numId w:val="1"/>
        </w:numPr>
        <w:spacing w:before="240" w:after="60" w:line="360" w:lineRule="auto"/>
        <w:jc w:val="center"/>
        <w:outlineLvl w:val="2"/>
        <w:rPr>
          <w:rFonts w:ascii="Arial" w:eastAsiaTheme="majorEastAsia" w:hAnsi="Arial" w:cs="Arial"/>
          <w:bCs/>
          <w:i/>
          <w:sz w:val="24"/>
          <w:szCs w:val="24"/>
        </w:rPr>
      </w:pPr>
      <w:bookmarkStart w:id="121" w:name="_Toc508630117"/>
      <w:r w:rsidRPr="006101E2">
        <w:rPr>
          <w:rFonts w:ascii="Arial" w:eastAsiaTheme="majorEastAsia" w:hAnsi="Arial" w:cs="Arial"/>
          <w:bCs/>
          <w:i/>
          <w:sz w:val="24"/>
          <w:szCs w:val="24"/>
        </w:rPr>
        <w:t>Kwalifikowalność wydatków w ramach pomocy na infrastrukturę szerokopasmową</w:t>
      </w:r>
      <w:bookmarkEnd w:id="121"/>
    </w:p>
    <w:p w:rsidR="006101E2" w:rsidRPr="006101E2" w:rsidRDefault="006101E2" w:rsidP="006101E2">
      <w:pPr>
        <w:spacing w:before="120" w:after="120" w:line="360" w:lineRule="auto"/>
        <w:jc w:val="both"/>
        <w:rPr>
          <w:rFonts w:ascii="Arial" w:hAnsi="Arial" w:cs="Arial"/>
        </w:rPr>
      </w:pPr>
      <w:r w:rsidRPr="006101E2">
        <w:rPr>
          <w:rFonts w:ascii="Arial" w:hAnsi="Arial" w:cs="Arial"/>
        </w:rPr>
        <w:t>Za kwalifikowalne uznaje się następujące wydatki poniesione na pokrycie:</w:t>
      </w:r>
    </w:p>
    <w:p w:rsidR="006101E2" w:rsidRPr="006101E2" w:rsidRDefault="006101E2" w:rsidP="00137BC9">
      <w:pPr>
        <w:numPr>
          <w:ilvl w:val="0"/>
          <w:numId w:val="32"/>
        </w:numPr>
        <w:spacing w:before="120" w:after="120" w:line="360" w:lineRule="auto"/>
        <w:jc w:val="both"/>
        <w:rPr>
          <w:rFonts w:ascii="Arial" w:hAnsi="Arial" w:cs="Arial"/>
        </w:rPr>
      </w:pPr>
      <w:r w:rsidRPr="006101E2">
        <w:rPr>
          <w:rFonts w:ascii="Arial" w:hAnsi="Arial" w:cs="Arial"/>
        </w:rPr>
        <w:t>kosztów inwestycyjnych budowy pasywnej infrastruktury szerokopasmowej, w tym robót i materiałów budowlanych oraz dostaw</w:t>
      </w:r>
      <w:r w:rsidRPr="006101E2">
        <w:rPr>
          <w:rFonts w:ascii="Arial" w:hAnsi="Arial" w:cs="Arial"/>
          <w:vertAlign w:val="superscript"/>
        </w:rPr>
        <w:footnoteReference w:id="15"/>
      </w:r>
      <w:r w:rsidRPr="006101E2">
        <w:rPr>
          <w:rFonts w:ascii="Arial" w:hAnsi="Arial" w:cs="Arial"/>
        </w:rPr>
        <w:t xml:space="preserve"> i instalacji elementów pasywnej infrastruktury szerokopasmowej, w tym w szczególności:</w:t>
      </w:r>
    </w:p>
    <w:p w:rsidR="006101E2" w:rsidRPr="006101E2" w:rsidRDefault="006101E2" w:rsidP="00137BC9">
      <w:pPr>
        <w:numPr>
          <w:ilvl w:val="0"/>
          <w:numId w:val="33"/>
        </w:numPr>
        <w:spacing w:before="120" w:after="120" w:line="360" w:lineRule="auto"/>
        <w:jc w:val="both"/>
        <w:rPr>
          <w:rFonts w:ascii="Arial" w:hAnsi="Arial" w:cs="Arial"/>
        </w:rPr>
      </w:pPr>
      <w:r w:rsidRPr="006101E2">
        <w:rPr>
          <w:rFonts w:ascii="Arial" w:hAnsi="Arial" w:cs="Arial"/>
        </w:rPr>
        <w:lastRenderedPageBreak/>
        <w:t>usługi związane z nadzorem technicznym realizacji inwestycji w zakresie niezbędnym dla realizacji inwestycji, w tym związanych z nadzorem nad robotami budowlanymi i nadzorem autorskim nad robotami budowlanymi przez projektanta, a także nadzorem inwestorskim pod warunkiem pełnienia tych funkcji przez osoby posiadające odpowiednie uprawnienia w tym zakresie;</w:t>
      </w:r>
    </w:p>
    <w:p w:rsidR="006101E2" w:rsidRPr="006101E2" w:rsidRDefault="006101E2" w:rsidP="00137BC9">
      <w:pPr>
        <w:numPr>
          <w:ilvl w:val="0"/>
          <w:numId w:val="33"/>
        </w:numPr>
        <w:spacing w:before="120" w:after="120" w:line="360" w:lineRule="auto"/>
        <w:jc w:val="both"/>
        <w:rPr>
          <w:rFonts w:ascii="Arial" w:hAnsi="Arial" w:cs="Arial"/>
        </w:rPr>
      </w:pPr>
      <w:r w:rsidRPr="006101E2">
        <w:rPr>
          <w:rFonts w:ascii="Arial" w:hAnsi="Arial" w:cs="Arial"/>
        </w:rPr>
        <w:t>roboty budowlane – w rozumieniu</w:t>
      </w:r>
      <w:r w:rsidR="000D79AE">
        <w:rPr>
          <w:rFonts w:ascii="Arial" w:hAnsi="Arial" w:cs="Arial"/>
        </w:rPr>
        <w:t xml:space="preserve"> </w:t>
      </w:r>
      <w:r w:rsidRPr="006101E2">
        <w:rPr>
          <w:rFonts w:ascii="Arial" w:hAnsi="Arial" w:cs="Arial"/>
        </w:rPr>
        <w:t>ustawy</w:t>
      </w:r>
      <w:r w:rsidR="000D79AE">
        <w:rPr>
          <w:rFonts w:ascii="Arial" w:hAnsi="Arial" w:cs="Arial"/>
        </w:rPr>
        <w:t xml:space="preserve"> </w:t>
      </w:r>
      <w:r w:rsidRPr="006101E2">
        <w:rPr>
          <w:rFonts w:ascii="Arial" w:hAnsi="Arial" w:cs="Arial"/>
          <w:i/>
        </w:rPr>
        <w:t>Prawo budowlane</w:t>
      </w:r>
      <w:r w:rsidRPr="006101E2">
        <w:rPr>
          <w:rFonts w:ascii="Arial" w:hAnsi="Arial" w:cs="Arial"/>
        </w:rPr>
        <w:t>;</w:t>
      </w:r>
    </w:p>
    <w:p w:rsidR="006101E2" w:rsidRPr="006101E2" w:rsidRDefault="006101E2" w:rsidP="00137BC9">
      <w:pPr>
        <w:numPr>
          <w:ilvl w:val="0"/>
          <w:numId w:val="33"/>
        </w:numPr>
        <w:spacing w:before="120" w:after="120" w:line="360" w:lineRule="auto"/>
        <w:jc w:val="both"/>
        <w:rPr>
          <w:rFonts w:ascii="Arial" w:hAnsi="Arial" w:cs="Arial"/>
        </w:rPr>
      </w:pPr>
      <w:r w:rsidRPr="006101E2">
        <w:rPr>
          <w:rFonts w:ascii="Arial" w:hAnsi="Arial" w:cs="Arial"/>
        </w:rPr>
        <w:t>materiały budowlane;</w:t>
      </w:r>
    </w:p>
    <w:p w:rsidR="006101E2" w:rsidRPr="006101E2" w:rsidRDefault="006101E2" w:rsidP="00137BC9">
      <w:pPr>
        <w:numPr>
          <w:ilvl w:val="0"/>
          <w:numId w:val="33"/>
        </w:numPr>
        <w:spacing w:before="120" w:after="120" w:line="360" w:lineRule="auto"/>
        <w:jc w:val="both"/>
        <w:rPr>
          <w:rFonts w:ascii="Arial" w:hAnsi="Arial" w:cs="Arial"/>
        </w:rPr>
      </w:pPr>
      <w:r w:rsidRPr="006101E2">
        <w:rPr>
          <w:rFonts w:ascii="Arial" w:hAnsi="Arial" w:cs="Arial"/>
        </w:rPr>
        <w:t xml:space="preserve">dostawa i instalacja niezbędnych do realizacji projektu elementów pasywnej infrastruktury szerokopasmowej , takich jak m.in.: elementy instalacyjne, złącza, elementy kanalizacji kablowej, studnie, rury, </w:t>
      </w:r>
      <w:proofErr w:type="spellStart"/>
      <w:r w:rsidRPr="006101E2">
        <w:rPr>
          <w:rFonts w:ascii="Arial" w:hAnsi="Arial" w:cs="Arial"/>
        </w:rPr>
        <w:t>mikrorury</w:t>
      </w:r>
      <w:proofErr w:type="spellEnd"/>
      <w:r w:rsidRPr="006101E2">
        <w:rPr>
          <w:rFonts w:ascii="Arial" w:hAnsi="Arial" w:cs="Arial"/>
        </w:rPr>
        <w:t xml:space="preserve">, złączki, mufy, kable telekomunikacyjne (wraz z niezbędnymi do pozostawienia w punktach zakończenia sieci zapasami), </w:t>
      </w:r>
      <w:proofErr w:type="spellStart"/>
      <w:r w:rsidRPr="006101E2">
        <w:rPr>
          <w:rFonts w:ascii="Arial" w:hAnsi="Arial" w:cs="Arial"/>
        </w:rPr>
        <w:t>splittery</w:t>
      </w:r>
      <w:proofErr w:type="spellEnd"/>
      <w:r w:rsidRPr="006101E2">
        <w:rPr>
          <w:rFonts w:ascii="Arial" w:hAnsi="Arial" w:cs="Arial"/>
        </w:rPr>
        <w:t>, taśmy ostrzegawcze, znaczniki elektromagnetyczne, szafy i kontenery telekomunikacyjne, słupy, maszty i wieże radiowe, a także elementy pasywne niezbędne do ochrony przeciwprzepięciowej i odgromowej;</w:t>
      </w:r>
    </w:p>
    <w:p w:rsidR="006101E2" w:rsidRPr="006101E2" w:rsidRDefault="006101E2" w:rsidP="00137BC9">
      <w:pPr>
        <w:numPr>
          <w:ilvl w:val="0"/>
          <w:numId w:val="33"/>
        </w:numPr>
        <w:spacing w:before="120" w:after="120" w:line="360" w:lineRule="auto"/>
        <w:jc w:val="both"/>
        <w:rPr>
          <w:rFonts w:ascii="Arial" w:hAnsi="Arial" w:cs="Arial"/>
        </w:rPr>
      </w:pPr>
      <w:r w:rsidRPr="006101E2">
        <w:rPr>
          <w:rFonts w:ascii="Arial" w:hAnsi="Arial" w:cs="Arial"/>
        </w:rPr>
        <w:t xml:space="preserve">koszty niezbędne do spełnienia minimalnych wymagań określonych w </w:t>
      </w:r>
      <w:r w:rsidR="00E83765">
        <w:rPr>
          <w:rFonts w:ascii="Arial" w:hAnsi="Arial" w:cs="Arial"/>
        </w:rPr>
        <w:t xml:space="preserve">dokumencie </w:t>
      </w:r>
      <w:r w:rsidRPr="006101E2">
        <w:rPr>
          <w:rFonts w:ascii="Arial" w:hAnsi="Arial" w:cs="Arial"/>
        </w:rPr>
        <w:t>„Wy</w:t>
      </w:r>
      <w:r w:rsidR="003E3A16">
        <w:rPr>
          <w:rFonts w:ascii="Arial" w:hAnsi="Arial" w:cs="Arial"/>
        </w:rPr>
        <w:t>magania dla sieci NGA-POPC”</w:t>
      </w:r>
      <w:r w:rsidRPr="006101E2">
        <w:rPr>
          <w:rFonts w:ascii="Arial" w:hAnsi="Arial" w:cs="Arial"/>
        </w:rPr>
        <w:t xml:space="preserve"> stanowiących załącznik do dokumentacji konkursowej, w zakresie w jakim dotyczą one specyfikacji technicznej części pasywnej infrastruktury i sieci, w tym minimalnej nadmiarowości, tj. m.in. wydatki na realizację dodatkowych otworów kanalizacji kablowej, włókien lub kabli itp.;</w:t>
      </w:r>
    </w:p>
    <w:p w:rsidR="006101E2" w:rsidRPr="006101E2" w:rsidRDefault="006101E2" w:rsidP="006101E2">
      <w:pPr>
        <w:tabs>
          <w:tab w:val="left" w:pos="0"/>
          <w:tab w:val="right" w:pos="284"/>
        </w:tabs>
        <w:spacing w:before="120" w:after="120" w:line="360" w:lineRule="auto"/>
        <w:ind w:left="284"/>
        <w:jc w:val="both"/>
        <w:rPr>
          <w:rFonts w:ascii="Arial" w:hAnsi="Arial" w:cs="Arial"/>
        </w:rPr>
      </w:pPr>
      <w:r w:rsidRPr="006101E2">
        <w:rPr>
          <w:rFonts w:ascii="Arial" w:hAnsi="Arial" w:cs="Arial"/>
        </w:rPr>
        <w:t xml:space="preserve">Wydatki poniesione na pokrycie tych kosztów są kwalifikowalne pod warunkiem spełnienia założeń technicznych projektu określonych we wniosku o dofinansowanie. </w:t>
      </w:r>
    </w:p>
    <w:p w:rsidR="006101E2" w:rsidRPr="006101E2" w:rsidRDefault="006101E2" w:rsidP="006101E2">
      <w:pPr>
        <w:tabs>
          <w:tab w:val="left" w:pos="0"/>
          <w:tab w:val="right" w:pos="284"/>
        </w:tabs>
        <w:spacing w:before="120" w:after="120" w:line="360" w:lineRule="auto"/>
        <w:ind w:left="284"/>
        <w:jc w:val="both"/>
        <w:rPr>
          <w:rFonts w:ascii="Arial" w:hAnsi="Arial" w:cs="Arial"/>
        </w:rPr>
      </w:pPr>
      <w:r w:rsidRPr="006101E2">
        <w:rPr>
          <w:rFonts w:ascii="Arial" w:hAnsi="Arial" w:cs="Arial"/>
        </w:rPr>
        <w:t>Niezbędnym warunkiem kwalifikowalności tych elementów w ramach niniejszej kategorii jest, aby nie zawierały żadnych aktywnych elementów sieci telekomunikacyjnej, w szczególności urządzeń telekomunikacyjnych, w tym urządzeń radiowych.</w:t>
      </w:r>
    </w:p>
    <w:p w:rsidR="006101E2" w:rsidRPr="006101E2" w:rsidRDefault="006101E2" w:rsidP="006101E2">
      <w:pPr>
        <w:tabs>
          <w:tab w:val="left" w:pos="0"/>
          <w:tab w:val="left" w:pos="284"/>
        </w:tabs>
        <w:autoSpaceDE w:val="0"/>
        <w:autoSpaceDN w:val="0"/>
        <w:adjustRightInd w:val="0"/>
        <w:spacing w:before="120" w:after="120" w:line="360" w:lineRule="auto"/>
        <w:ind w:left="284"/>
        <w:jc w:val="both"/>
        <w:rPr>
          <w:rFonts w:ascii="Arial" w:hAnsi="Arial" w:cs="Arial"/>
        </w:rPr>
      </w:pPr>
      <w:r w:rsidRPr="006101E2">
        <w:rPr>
          <w:rFonts w:ascii="Arial" w:hAnsi="Arial" w:cs="Arial"/>
        </w:rPr>
        <w:t>W ramach niniejszej kategorii możliwe jest ponoszenie kosztów realizacji pasywnej infrastruktury szerokopasmowej w warstwie sieci szkieletowej i dystrybucyjnej</w:t>
      </w:r>
      <w:r w:rsidRPr="006101E2">
        <w:rPr>
          <w:rFonts w:ascii="Arial" w:hAnsi="Arial" w:cs="Arial"/>
          <w:vertAlign w:val="superscript"/>
        </w:rPr>
        <w:footnoteReference w:id="16"/>
      </w:r>
      <w:r w:rsidRPr="006101E2">
        <w:rPr>
          <w:rFonts w:ascii="Arial" w:hAnsi="Arial" w:cs="Arial"/>
        </w:rPr>
        <w:t xml:space="preserve">.  </w:t>
      </w:r>
    </w:p>
    <w:p w:rsidR="006101E2" w:rsidRPr="006101E2" w:rsidRDefault="006101E2" w:rsidP="006101E2">
      <w:pPr>
        <w:tabs>
          <w:tab w:val="left" w:pos="0"/>
          <w:tab w:val="left" w:pos="284"/>
        </w:tabs>
        <w:autoSpaceDE w:val="0"/>
        <w:autoSpaceDN w:val="0"/>
        <w:adjustRightInd w:val="0"/>
        <w:spacing w:before="120" w:after="120" w:line="360" w:lineRule="auto"/>
        <w:ind w:left="284"/>
        <w:jc w:val="both"/>
        <w:rPr>
          <w:rFonts w:ascii="Arial" w:hAnsi="Arial" w:cs="Arial"/>
        </w:rPr>
      </w:pPr>
      <w:r w:rsidRPr="006101E2">
        <w:rPr>
          <w:rFonts w:ascii="Arial" w:hAnsi="Arial" w:cs="Arial"/>
        </w:rPr>
        <w:t xml:space="preserve">Wydatki poniesione na pokrycie kosztów realizacji pasywnej infrastruktury szerokopasmowej w warstwie sieci dystrybucyjnej i szkieletowej są kwalifikowalne wyłącznie w zakresie w jakim są niezbędne do realizacji sieci NGA, a także pod </w:t>
      </w:r>
      <w:r w:rsidRPr="006101E2">
        <w:rPr>
          <w:rFonts w:ascii="Arial" w:hAnsi="Arial" w:cs="Arial"/>
        </w:rPr>
        <w:lastRenderedPageBreak/>
        <w:t>warunkiem wykazania, że jest to najbardziej efektywna możliwość realizacji sieci dostępowej i nie jest możliwe lub uzasadnione skorzystanie z istniejącej infrastruktury lub usług hurtowych świadczonych przez innych przedsiębiorców telekomunikacyjnych na danym obszarze. Aktywne elementy sieci dystrybucyjnej i szkieletowej są niekwalifikowalne zgodnie z katalogiem wydatków  niekwalifikowalnych.</w:t>
      </w:r>
    </w:p>
    <w:p w:rsidR="006101E2" w:rsidRPr="006101E2" w:rsidRDefault="006101E2" w:rsidP="00137BC9">
      <w:pPr>
        <w:numPr>
          <w:ilvl w:val="0"/>
          <w:numId w:val="32"/>
        </w:numPr>
        <w:spacing w:before="120" w:after="120" w:line="360" w:lineRule="auto"/>
        <w:jc w:val="both"/>
        <w:rPr>
          <w:rFonts w:ascii="Arial" w:hAnsi="Arial" w:cs="Arial"/>
        </w:rPr>
      </w:pPr>
      <w:r w:rsidRPr="006101E2">
        <w:rPr>
          <w:rFonts w:ascii="Arial" w:hAnsi="Arial" w:cs="Arial"/>
        </w:rPr>
        <w:t>kosztów przygotowania dokumentacji niezbędnej do wykonania robót budowlanych.</w:t>
      </w:r>
    </w:p>
    <w:p w:rsidR="006101E2" w:rsidRPr="006101E2" w:rsidRDefault="006101E2" w:rsidP="006101E2">
      <w:pPr>
        <w:spacing w:before="120" w:after="120" w:line="360" w:lineRule="auto"/>
        <w:ind w:left="360"/>
        <w:jc w:val="both"/>
        <w:rPr>
          <w:rFonts w:ascii="Arial" w:hAnsi="Arial" w:cs="Arial"/>
        </w:rPr>
      </w:pPr>
      <w:r w:rsidRPr="006101E2">
        <w:rPr>
          <w:rFonts w:ascii="Arial" w:hAnsi="Arial" w:cs="Arial"/>
        </w:rPr>
        <w:t>W szczególnośc</w:t>
      </w:r>
      <w:r w:rsidR="00735DB3">
        <w:rPr>
          <w:rFonts w:ascii="Arial" w:hAnsi="Arial" w:cs="Arial"/>
        </w:rPr>
        <w:t>i</w:t>
      </w:r>
      <w:r w:rsidRPr="006101E2">
        <w:rPr>
          <w:rFonts w:ascii="Arial" w:hAnsi="Arial" w:cs="Arial"/>
        </w:rPr>
        <w:t xml:space="preserve"> są to wydatki niezbędne do poniesienia na etapie przygotowania do realizacji infrastruktury i sieci w terenie, w szczególności dotyczące takich elementów jak:</w:t>
      </w:r>
    </w:p>
    <w:p w:rsidR="006101E2" w:rsidRPr="006101E2" w:rsidRDefault="006101E2" w:rsidP="00137BC9">
      <w:pPr>
        <w:numPr>
          <w:ilvl w:val="0"/>
          <w:numId w:val="39"/>
        </w:numPr>
        <w:spacing w:before="120" w:after="120" w:line="360" w:lineRule="auto"/>
        <w:jc w:val="both"/>
        <w:rPr>
          <w:rFonts w:ascii="Arial" w:hAnsi="Arial" w:cs="Arial"/>
        </w:rPr>
      </w:pPr>
      <w:r w:rsidRPr="006101E2">
        <w:rPr>
          <w:rFonts w:ascii="Arial" w:hAnsi="Arial" w:cs="Arial"/>
        </w:rPr>
        <w:t>dokumentacja techniczna projektu, w tym projektowanie infrastruktury i sieci;</w:t>
      </w:r>
    </w:p>
    <w:p w:rsidR="006101E2" w:rsidRPr="006101E2" w:rsidRDefault="006101E2" w:rsidP="00137BC9">
      <w:pPr>
        <w:numPr>
          <w:ilvl w:val="0"/>
          <w:numId w:val="39"/>
        </w:numPr>
        <w:spacing w:before="120" w:after="120" w:line="360" w:lineRule="auto"/>
        <w:jc w:val="both"/>
        <w:rPr>
          <w:rFonts w:ascii="Arial" w:hAnsi="Arial" w:cs="Arial"/>
        </w:rPr>
      </w:pPr>
      <w:r w:rsidRPr="006101E2">
        <w:rPr>
          <w:rFonts w:ascii="Arial" w:hAnsi="Arial" w:cs="Arial"/>
        </w:rPr>
        <w:t>pozyskanie i przygotowanie map lub szkiców sytuujących projekt, w tym dotyczące zamówienia usług w zakresie obsługi geodezyjnej;</w:t>
      </w:r>
    </w:p>
    <w:p w:rsidR="006101E2" w:rsidRPr="006101E2" w:rsidRDefault="006101E2" w:rsidP="00137BC9">
      <w:pPr>
        <w:numPr>
          <w:ilvl w:val="0"/>
          <w:numId w:val="39"/>
        </w:numPr>
        <w:spacing w:before="120" w:after="120" w:line="360" w:lineRule="auto"/>
        <w:jc w:val="both"/>
        <w:rPr>
          <w:rFonts w:ascii="Arial" w:hAnsi="Arial" w:cs="Arial"/>
        </w:rPr>
      </w:pPr>
      <w:r w:rsidRPr="006101E2">
        <w:rPr>
          <w:rFonts w:ascii="Arial" w:hAnsi="Arial" w:cs="Arial"/>
        </w:rPr>
        <w:t xml:space="preserve">przygotowanie dokumentacji niezbędnej do złożenia wniosków o wydanie wymaganych przepisami prawa decyzji, zgód i </w:t>
      </w:r>
      <w:r w:rsidR="00361FA5">
        <w:rPr>
          <w:rFonts w:ascii="Arial" w:hAnsi="Arial" w:cs="Arial"/>
        </w:rPr>
        <w:t>zez</w:t>
      </w:r>
      <w:r w:rsidRPr="006101E2">
        <w:rPr>
          <w:rFonts w:ascii="Arial" w:hAnsi="Arial" w:cs="Arial"/>
        </w:rPr>
        <w:t>woleń administracyjnych albo dokonania zgłoszenia budowy lub robót budowlanych;</w:t>
      </w:r>
    </w:p>
    <w:p w:rsidR="006101E2" w:rsidRPr="006101E2" w:rsidRDefault="006101E2" w:rsidP="00137BC9">
      <w:pPr>
        <w:numPr>
          <w:ilvl w:val="0"/>
          <w:numId w:val="39"/>
        </w:numPr>
        <w:spacing w:before="120" w:after="120" w:line="360" w:lineRule="auto"/>
        <w:jc w:val="both"/>
        <w:rPr>
          <w:rFonts w:ascii="Arial" w:hAnsi="Arial" w:cs="Arial"/>
        </w:rPr>
      </w:pPr>
      <w:r w:rsidRPr="006101E2">
        <w:rPr>
          <w:rFonts w:ascii="Arial" w:hAnsi="Arial" w:cs="Arial"/>
        </w:rPr>
        <w:t>dokumentacja budowlana art. 3 pkt 13 ustawy</w:t>
      </w:r>
      <w:r w:rsidR="000A6538">
        <w:rPr>
          <w:rFonts w:ascii="Arial" w:hAnsi="Arial" w:cs="Arial"/>
        </w:rPr>
        <w:t xml:space="preserve"> </w:t>
      </w:r>
      <w:r w:rsidRPr="000A6538">
        <w:rPr>
          <w:rFonts w:ascii="Arial" w:hAnsi="Arial" w:cs="Arial"/>
          <w:i/>
        </w:rPr>
        <w:t>Prawo budowlane</w:t>
      </w:r>
      <w:r w:rsidRPr="006101E2">
        <w:rPr>
          <w:rFonts w:ascii="Arial" w:hAnsi="Arial" w:cs="Arial"/>
        </w:rPr>
        <w:t>, z wyjątkiem związanych z jej prowadzeniem opłat o charakterze publicznoprawnym;</w:t>
      </w:r>
    </w:p>
    <w:p w:rsidR="006101E2" w:rsidRPr="006101E2" w:rsidRDefault="006101E2" w:rsidP="00137BC9">
      <w:pPr>
        <w:numPr>
          <w:ilvl w:val="0"/>
          <w:numId w:val="39"/>
        </w:numPr>
        <w:spacing w:before="120" w:after="120" w:line="360" w:lineRule="auto"/>
        <w:jc w:val="both"/>
        <w:rPr>
          <w:rFonts w:ascii="Arial" w:hAnsi="Arial" w:cs="Arial"/>
        </w:rPr>
      </w:pPr>
      <w:r w:rsidRPr="006101E2">
        <w:rPr>
          <w:rFonts w:ascii="Arial" w:hAnsi="Arial" w:cs="Arial"/>
        </w:rPr>
        <w:t xml:space="preserve">przygotowanie innej dokumentacji w zakresie, w jakim jest to wymagane zgodnie </w:t>
      </w:r>
      <w:r w:rsidRPr="006101E2">
        <w:rPr>
          <w:rFonts w:ascii="Arial" w:hAnsi="Arial" w:cs="Arial"/>
        </w:rPr>
        <w:br/>
        <w:t>z obowiązującymi przepisami prawa.</w:t>
      </w:r>
    </w:p>
    <w:p w:rsidR="006101E2" w:rsidRPr="006101E2" w:rsidRDefault="006101E2" w:rsidP="00137BC9">
      <w:pPr>
        <w:numPr>
          <w:ilvl w:val="0"/>
          <w:numId w:val="32"/>
        </w:numPr>
        <w:spacing w:before="120" w:after="120" w:line="360" w:lineRule="auto"/>
        <w:jc w:val="both"/>
        <w:rPr>
          <w:rFonts w:ascii="Arial" w:hAnsi="Arial" w:cs="Arial"/>
        </w:rPr>
      </w:pPr>
      <w:r w:rsidRPr="006101E2">
        <w:rPr>
          <w:rFonts w:ascii="Arial" w:hAnsi="Arial" w:cs="Arial"/>
        </w:rPr>
        <w:t>kosztów nabycia prawa dysponowania nieruchomością związanych z realizacją projektu, w tym w szczególności:</w:t>
      </w:r>
    </w:p>
    <w:p w:rsidR="006101E2" w:rsidRPr="00E520FB" w:rsidRDefault="006101E2" w:rsidP="00137BC9">
      <w:pPr>
        <w:numPr>
          <w:ilvl w:val="0"/>
          <w:numId w:val="29"/>
        </w:numPr>
        <w:spacing w:before="120" w:after="120" w:line="360" w:lineRule="auto"/>
        <w:jc w:val="both"/>
        <w:rPr>
          <w:rFonts w:ascii="Arial" w:hAnsi="Arial" w:cs="Arial"/>
        </w:rPr>
      </w:pPr>
      <w:r w:rsidRPr="00E520FB">
        <w:rPr>
          <w:rFonts w:ascii="Arial" w:hAnsi="Arial" w:cs="Arial"/>
        </w:rPr>
        <w:t xml:space="preserve">kategorie wydatków w zakresie określonym w </w:t>
      </w:r>
      <w:r w:rsidRPr="00E520FB">
        <w:rPr>
          <w:rFonts w:ascii="Arial" w:hAnsi="Arial" w:cs="Arial"/>
          <w:i/>
        </w:rPr>
        <w:t>Wytycznych</w:t>
      </w:r>
      <w:r w:rsidRPr="00FD0FB3">
        <w:rPr>
          <w:rFonts w:ascii="Arial" w:hAnsi="Arial" w:cs="Arial"/>
        </w:rPr>
        <w:t>;</w:t>
      </w:r>
    </w:p>
    <w:p w:rsidR="006101E2" w:rsidRPr="006101E2" w:rsidRDefault="006101E2" w:rsidP="00137BC9">
      <w:pPr>
        <w:numPr>
          <w:ilvl w:val="0"/>
          <w:numId w:val="29"/>
        </w:numPr>
        <w:spacing w:before="120" w:after="120" w:line="360" w:lineRule="auto"/>
        <w:jc w:val="both"/>
        <w:rPr>
          <w:rFonts w:ascii="Arial" w:hAnsi="Arial" w:cs="Arial"/>
        </w:rPr>
      </w:pPr>
      <w:r w:rsidRPr="006101E2">
        <w:rPr>
          <w:rFonts w:ascii="Arial" w:hAnsi="Arial" w:cs="Arial"/>
        </w:rPr>
        <w:t xml:space="preserve">opłaty dla właściciela, użytkownika wieczystego nieruchomości lub zarządcy nieruchomości w zakresie w jakim wynikają z art. 30 ust. 3b pkt 1) i art. 33 </w:t>
      </w:r>
      <w:proofErr w:type="spellStart"/>
      <w:r w:rsidRPr="006101E2">
        <w:rPr>
          <w:rFonts w:ascii="Arial" w:hAnsi="Arial" w:cs="Arial"/>
        </w:rPr>
        <w:t>megaustawy</w:t>
      </w:r>
      <w:proofErr w:type="spellEnd"/>
      <w:r w:rsidRPr="006101E2">
        <w:rPr>
          <w:rFonts w:ascii="Arial" w:hAnsi="Arial" w:cs="Arial"/>
        </w:rPr>
        <w:t xml:space="preserve"> </w:t>
      </w:r>
    </w:p>
    <w:p w:rsidR="006101E2" w:rsidRPr="006101E2" w:rsidRDefault="006101E2" w:rsidP="006101E2">
      <w:pPr>
        <w:spacing w:before="120" w:after="120" w:line="360" w:lineRule="auto"/>
        <w:ind w:left="360"/>
        <w:jc w:val="both"/>
        <w:rPr>
          <w:rFonts w:ascii="Arial" w:hAnsi="Arial" w:cs="Arial"/>
        </w:rPr>
      </w:pPr>
      <w:r w:rsidRPr="006101E2">
        <w:rPr>
          <w:rFonts w:ascii="Arial" w:hAnsi="Arial" w:cs="Arial"/>
        </w:rPr>
        <w:t xml:space="preserve">W ramach </w:t>
      </w:r>
      <w:r w:rsidR="00361FA5">
        <w:rPr>
          <w:rFonts w:ascii="Arial" w:hAnsi="Arial" w:cs="Arial"/>
        </w:rPr>
        <w:t xml:space="preserve">niniejszej </w:t>
      </w:r>
      <w:r w:rsidRPr="006101E2">
        <w:rPr>
          <w:rFonts w:ascii="Arial" w:hAnsi="Arial" w:cs="Arial"/>
        </w:rPr>
        <w:t xml:space="preserve">kategorii stosowane są limity określone w </w:t>
      </w:r>
      <w:r w:rsidRPr="006101E2">
        <w:rPr>
          <w:rFonts w:ascii="Arial" w:hAnsi="Arial" w:cs="Arial"/>
          <w:i/>
        </w:rPr>
        <w:t>Wytycznych</w:t>
      </w:r>
      <w:r w:rsidRPr="006101E2">
        <w:rPr>
          <w:rFonts w:ascii="Arial" w:hAnsi="Arial" w:cs="Arial"/>
        </w:rPr>
        <w:t>.</w:t>
      </w:r>
    </w:p>
    <w:p w:rsidR="006101E2" w:rsidRPr="006101E2" w:rsidRDefault="006101E2" w:rsidP="006101E2">
      <w:pPr>
        <w:spacing w:before="120" w:after="120" w:line="360" w:lineRule="auto"/>
        <w:ind w:left="360"/>
        <w:jc w:val="both"/>
        <w:rPr>
          <w:rFonts w:ascii="Arial" w:hAnsi="Arial" w:cs="Arial"/>
        </w:rPr>
      </w:pPr>
      <w:r w:rsidRPr="006101E2">
        <w:rPr>
          <w:rFonts w:ascii="Arial" w:hAnsi="Arial" w:cs="Arial"/>
        </w:rPr>
        <w:t>W przypadkach, gdy nabycie nieruchomości stanowi wydatek kwalifikowalny, kwalifikowalne są również wydatki poniesione w związku ze sporządzeniem dokumentacji geodezyjno-kartograficznej, wynagrodzenia rzeczoznawcy oraz opłaty notarialne.</w:t>
      </w:r>
    </w:p>
    <w:p w:rsidR="006101E2" w:rsidRPr="006101E2" w:rsidRDefault="006101E2" w:rsidP="006101E2">
      <w:pPr>
        <w:spacing w:before="120" w:after="120" w:line="360" w:lineRule="auto"/>
        <w:ind w:left="360"/>
        <w:jc w:val="both"/>
        <w:rPr>
          <w:rFonts w:ascii="Arial" w:hAnsi="Arial" w:cs="Arial"/>
        </w:rPr>
      </w:pPr>
      <w:r w:rsidRPr="006101E2">
        <w:rPr>
          <w:rFonts w:ascii="Arial" w:hAnsi="Arial" w:cs="Arial"/>
        </w:rPr>
        <w:t>W przypadku innych, niż własność i dzierżawa wieczysta, tytułów prawnych do nieruchomości, umowa powinna zostać zawarta na okres nie krótszy niż okres trwałości projektu.</w:t>
      </w:r>
    </w:p>
    <w:p w:rsidR="006101E2" w:rsidRPr="006101E2" w:rsidRDefault="006101E2" w:rsidP="006101E2">
      <w:pPr>
        <w:spacing w:before="120" w:after="120" w:line="360" w:lineRule="auto"/>
        <w:ind w:left="360"/>
        <w:jc w:val="both"/>
        <w:rPr>
          <w:rFonts w:ascii="Arial" w:hAnsi="Arial" w:cs="Arial"/>
        </w:rPr>
      </w:pPr>
      <w:r w:rsidRPr="006101E2">
        <w:rPr>
          <w:rFonts w:ascii="Arial" w:hAnsi="Arial" w:cs="Arial"/>
        </w:rPr>
        <w:lastRenderedPageBreak/>
        <w:t xml:space="preserve">Wydatki poniesione w ramach </w:t>
      </w:r>
      <w:r w:rsidR="00361FA5">
        <w:rPr>
          <w:rFonts w:ascii="Arial" w:hAnsi="Arial" w:cs="Arial"/>
        </w:rPr>
        <w:t>powyższej</w:t>
      </w:r>
      <w:r w:rsidRPr="006101E2">
        <w:rPr>
          <w:rFonts w:ascii="Arial" w:hAnsi="Arial" w:cs="Arial"/>
        </w:rPr>
        <w:t xml:space="preserve"> kategorii są kwalifikowane proporcjonalnie do okresu realizacji projektu co oznacza, że nie są kwalifikowalne wydatki odnoszące się do okresu trwałości i późniejszych, np. nie jest kwalifikowalny pełny koszt nabycia prawa, ale jego odpowiednia część obliczona proporcjonalnie do okresu realizacji projektu.</w:t>
      </w:r>
    </w:p>
    <w:p w:rsidR="006101E2" w:rsidRPr="006101E2" w:rsidRDefault="006101E2" w:rsidP="006101E2">
      <w:pPr>
        <w:spacing w:before="120" w:after="120" w:line="360" w:lineRule="auto"/>
        <w:ind w:left="357"/>
        <w:jc w:val="both"/>
        <w:rPr>
          <w:rFonts w:ascii="Arial" w:hAnsi="Arial" w:cs="Arial"/>
        </w:rPr>
      </w:pPr>
      <w:r w:rsidRPr="006101E2">
        <w:rPr>
          <w:rFonts w:ascii="Arial" w:hAnsi="Arial" w:cs="Arial"/>
        </w:rPr>
        <w:t xml:space="preserve">Wydatki dotyczące umów lub decyzji w zakresie art. 30 </w:t>
      </w:r>
      <w:proofErr w:type="spellStart"/>
      <w:r w:rsidR="00361FA5">
        <w:rPr>
          <w:rFonts w:ascii="Arial" w:hAnsi="Arial" w:cs="Arial"/>
        </w:rPr>
        <w:t>mega</w:t>
      </w:r>
      <w:r w:rsidRPr="006101E2">
        <w:rPr>
          <w:rFonts w:ascii="Arial" w:hAnsi="Arial" w:cs="Arial"/>
        </w:rPr>
        <w:t>ustawy</w:t>
      </w:r>
      <w:proofErr w:type="spellEnd"/>
      <w:r w:rsidRPr="006101E2">
        <w:rPr>
          <w:rFonts w:ascii="Arial" w:hAnsi="Arial" w:cs="Arial"/>
        </w:rPr>
        <w:t xml:space="preserve"> są kwalifikowalne odpowiednio do kwalifikowalnego zakresu projektu (np. niekwalifikowalne będą całościowe wydatki dotyczące udostępnienia instalacji wewnątrzbudynkowej lub miejsca w budynku, ale kwalifikowalne będą takie wydatki, jeśli związane są wyłącznie z realizacją punktu styku w budynku</w:t>
      </w:r>
      <w:r w:rsidR="00361FA5">
        <w:rPr>
          <w:rFonts w:ascii="Arial" w:hAnsi="Arial" w:cs="Arial"/>
        </w:rPr>
        <w:t>, o którym mowa w § 192f rozporządzenia Ministra Infrastruktury z dnia 12 kwietnia 2002 w sprawie warunków technicznych jakim powinny odpowiadać budynki i ich usytuowanie</w:t>
      </w:r>
      <w:r w:rsidRPr="006101E2">
        <w:rPr>
          <w:rFonts w:ascii="Arial" w:hAnsi="Arial" w:cs="Arial"/>
        </w:rPr>
        <w:t>).</w:t>
      </w:r>
    </w:p>
    <w:p w:rsidR="006101E2" w:rsidRPr="006101E2" w:rsidRDefault="006101E2" w:rsidP="00137BC9">
      <w:pPr>
        <w:numPr>
          <w:ilvl w:val="0"/>
          <w:numId w:val="32"/>
        </w:numPr>
        <w:spacing w:before="120" w:after="120" w:line="360" w:lineRule="auto"/>
        <w:jc w:val="both"/>
        <w:rPr>
          <w:rFonts w:ascii="Arial" w:hAnsi="Arial" w:cs="Arial"/>
        </w:rPr>
      </w:pPr>
      <w:r w:rsidRPr="006101E2">
        <w:rPr>
          <w:rFonts w:ascii="Arial" w:hAnsi="Arial" w:cs="Arial"/>
        </w:rPr>
        <w:t>kosztów do</w:t>
      </w:r>
      <w:r w:rsidR="00357515">
        <w:rPr>
          <w:rFonts w:ascii="Arial" w:hAnsi="Arial" w:cs="Arial"/>
        </w:rPr>
        <w:t>starczenia</w:t>
      </w:r>
      <w:r w:rsidRPr="006101E2">
        <w:rPr>
          <w:rFonts w:ascii="Arial" w:hAnsi="Arial" w:cs="Arial"/>
        </w:rPr>
        <w:t xml:space="preserve">, instalacji i uruchomienia urządzeń telekomunikacyjnych stanowiących infrastrukturę aktywną sieci NGA, w tym w szczególności: </w:t>
      </w:r>
    </w:p>
    <w:p w:rsidR="006101E2" w:rsidRPr="006101E2" w:rsidRDefault="006101E2" w:rsidP="00137BC9">
      <w:pPr>
        <w:numPr>
          <w:ilvl w:val="0"/>
          <w:numId w:val="35"/>
        </w:numPr>
        <w:spacing w:before="120" w:after="120" w:line="360" w:lineRule="auto"/>
        <w:jc w:val="both"/>
        <w:rPr>
          <w:rFonts w:ascii="Arial" w:hAnsi="Arial" w:cs="Arial"/>
        </w:rPr>
      </w:pPr>
      <w:r w:rsidRPr="006101E2">
        <w:rPr>
          <w:rFonts w:ascii="Arial" w:hAnsi="Arial" w:cs="Arial"/>
        </w:rPr>
        <w:t>urządzenia telekomunikacyjne stanowiące infrastrukturę aktywną sieci NGA</w:t>
      </w:r>
      <w:r w:rsidR="00837B94">
        <w:rPr>
          <w:rFonts w:ascii="Arial" w:hAnsi="Arial" w:cs="Arial"/>
        </w:rPr>
        <w:t>,</w:t>
      </w:r>
      <w:r w:rsidRPr="006101E2">
        <w:rPr>
          <w:rFonts w:ascii="Arial" w:hAnsi="Arial" w:cs="Arial"/>
        </w:rPr>
        <w:t xml:space="preserve"> tj. m.in.: OLT, CMTS, DSLAM, </w:t>
      </w:r>
      <w:r w:rsidR="00180CF6" w:rsidRPr="00B81671">
        <w:rPr>
          <w:rFonts w:ascii="Arial" w:hAnsi="Arial" w:cs="Arial"/>
        </w:rPr>
        <w:t>ONU wyłącznie z portami szerokopasmowymi wyposażone w co najmniej dwa takie porty</w:t>
      </w:r>
      <w:r w:rsidR="00180CF6" w:rsidRPr="00735DB3">
        <w:rPr>
          <w:rFonts w:ascii="Arial" w:hAnsi="Arial" w:cs="Arial"/>
        </w:rPr>
        <w:t>,</w:t>
      </w:r>
      <w:r w:rsidR="00180CF6">
        <w:rPr>
          <w:rFonts w:ascii="Arial" w:hAnsi="Arial" w:cs="Arial"/>
        </w:rPr>
        <w:t xml:space="preserve"> </w:t>
      </w:r>
      <w:r w:rsidRPr="006101E2">
        <w:rPr>
          <w:rFonts w:ascii="Arial" w:hAnsi="Arial" w:cs="Arial"/>
        </w:rPr>
        <w:t>multipleksery, wzmacniacze, przełącznice, karty liniowe, urządzenia radiowe);</w:t>
      </w:r>
    </w:p>
    <w:p w:rsidR="006101E2" w:rsidRPr="006101E2" w:rsidRDefault="006101E2" w:rsidP="00137BC9">
      <w:pPr>
        <w:numPr>
          <w:ilvl w:val="0"/>
          <w:numId w:val="35"/>
        </w:numPr>
        <w:spacing w:before="120" w:after="120" w:line="360" w:lineRule="auto"/>
        <w:jc w:val="both"/>
        <w:rPr>
          <w:rFonts w:ascii="Arial" w:hAnsi="Arial" w:cs="Arial"/>
        </w:rPr>
      </w:pPr>
      <w:r w:rsidRPr="006101E2">
        <w:rPr>
          <w:rFonts w:ascii="Arial" w:hAnsi="Arial" w:cs="Arial"/>
        </w:rPr>
        <w:t>usługi związane z konfiguracją urządzeń w sieci telekomunikacyjnej oraz nadzorem technicznym;</w:t>
      </w:r>
    </w:p>
    <w:p w:rsidR="006101E2" w:rsidRPr="006101E2" w:rsidRDefault="006101E2" w:rsidP="00137BC9">
      <w:pPr>
        <w:numPr>
          <w:ilvl w:val="0"/>
          <w:numId w:val="35"/>
        </w:numPr>
        <w:spacing w:before="120" w:after="120" w:line="360" w:lineRule="auto"/>
        <w:jc w:val="both"/>
        <w:rPr>
          <w:rFonts w:ascii="Arial" w:hAnsi="Arial" w:cs="Arial"/>
        </w:rPr>
      </w:pPr>
      <w:r w:rsidRPr="006101E2">
        <w:rPr>
          <w:rFonts w:ascii="Arial" w:hAnsi="Arial" w:cs="Arial"/>
        </w:rPr>
        <w:t xml:space="preserve">koszty niezbędne do spełnienia minimalnych </w:t>
      </w:r>
      <w:r w:rsidR="00837B94">
        <w:rPr>
          <w:rFonts w:ascii="Arial" w:hAnsi="Arial" w:cs="Arial"/>
        </w:rPr>
        <w:t>warunków</w:t>
      </w:r>
      <w:r w:rsidRPr="006101E2">
        <w:rPr>
          <w:rFonts w:ascii="Arial" w:hAnsi="Arial" w:cs="Arial"/>
        </w:rPr>
        <w:t xml:space="preserve"> określonych w „W</w:t>
      </w:r>
      <w:r w:rsidR="00837B94">
        <w:rPr>
          <w:rFonts w:ascii="Arial" w:hAnsi="Arial" w:cs="Arial"/>
        </w:rPr>
        <w:t>ymaganiach</w:t>
      </w:r>
      <w:r w:rsidR="00A57AB6">
        <w:rPr>
          <w:rFonts w:ascii="Arial" w:hAnsi="Arial" w:cs="Arial"/>
        </w:rPr>
        <w:t xml:space="preserve"> </w:t>
      </w:r>
      <w:r w:rsidR="00837B94">
        <w:rPr>
          <w:rFonts w:ascii="Arial" w:hAnsi="Arial" w:cs="Arial"/>
        </w:rPr>
        <w:t>dla sieci NGA-POPC</w:t>
      </w:r>
      <w:r w:rsidRPr="006101E2">
        <w:rPr>
          <w:rFonts w:ascii="Arial" w:hAnsi="Arial" w:cs="Arial"/>
        </w:rPr>
        <w:t>”, stanowiących załącznik do dokumentacji konkursowej</w:t>
      </w:r>
      <w:r w:rsidR="00796441">
        <w:rPr>
          <w:rFonts w:ascii="Arial" w:hAnsi="Arial" w:cs="Arial"/>
        </w:rPr>
        <w:t xml:space="preserve"> w zakresie sposobu wypełnienia zobowiązania do realizacji sieci POPC spełniającej co najmniej </w:t>
      </w:r>
      <w:r w:rsidR="00F007C2">
        <w:rPr>
          <w:rFonts w:ascii="Arial" w:hAnsi="Arial" w:cs="Arial"/>
        </w:rPr>
        <w:t xml:space="preserve">minimalne </w:t>
      </w:r>
      <w:r w:rsidR="00796441">
        <w:rPr>
          <w:rFonts w:ascii="Arial" w:hAnsi="Arial" w:cs="Arial"/>
        </w:rPr>
        <w:t>warunki techniczne określone w pkt 1 tego dokumentu</w:t>
      </w:r>
      <w:r w:rsidR="00D96718">
        <w:rPr>
          <w:rFonts w:ascii="Arial" w:hAnsi="Arial" w:cs="Arial"/>
        </w:rPr>
        <w:t xml:space="preserve"> (np. wydatki na porty optyczne dla połączenia z innymi urządzeniami aktywnymi)</w:t>
      </w:r>
      <w:r w:rsidR="00A57AB6">
        <w:rPr>
          <w:rFonts w:ascii="Arial" w:hAnsi="Arial" w:cs="Arial"/>
        </w:rPr>
        <w:t>.</w:t>
      </w:r>
      <w:r w:rsidR="00D96718">
        <w:rPr>
          <w:rFonts w:ascii="Arial" w:hAnsi="Arial" w:cs="Arial"/>
        </w:rPr>
        <w:t xml:space="preserve"> </w:t>
      </w:r>
    </w:p>
    <w:p w:rsidR="006101E2" w:rsidRPr="006101E2" w:rsidRDefault="006101E2" w:rsidP="006101E2">
      <w:pPr>
        <w:tabs>
          <w:tab w:val="left" w:pos="0"/>
          <w:tab w:val="right" w:pos="284"/>
        </w:tabs>
        <w:spacing w:before="120" w:after="120" w:line="360" w:lineRule="auto"/>
        <w:ind w:left="360"/>
        <w:jc w:val="both"/>
        <w:rPr>
          <w:rFonts w:ascii="Arial" w:hAnsi="Arial" w:cs="Arial"/>
        </w:rPr>
      </w:pPr>
      <w:r w:rsidRPr="006101E2">
        <w:rPr>
          <w:rFonts w:ascii="Arial" w:hAnsi="Arial" w:cs="Arial"/>
        </w:rPr>
        <w:t>Koszty te są kwalifikowalne pod warunkiem spełnienia założeń technicznych projektu określonych we wniosku o dofinansowanie.</w:t>
      </w:r>
    </w:p>
    <w:p w:rsidR="006101E2" w:rsidRPr="006101E2" w:rsidRDefault="006101E2" w:rsidP="006101E2">
      <w:pPr>
        <w:spacing w:before="120" w:after="120" w:line="360" w:lineRule="auto"/>
        <w:ind w:left="357"/>
        <w:jc w:val="both"/>
        <w:rPr>
          <w:rFonts w:ascii="Arial" w:hAnsi="Arial" w:cs="Arial"/>
        </w:rPr>
      </w:pPr>
      <w:r w:rsidRPr="006101E2">
        <w:rPr>
          <w:rFonts w:ascii="Arial" w:hAnsi="Arial" w:cs="Arial"/>
        </w:rPr>
        <w:t>Wyłączona jest kwalifikowalność urządzeń abonenckich zgodnie z zasadami opisanymi w katalogu kosztów niekwalifikowalnych.</w:t>
      </w:r>
    </w:p>
    <w:p w:rsidR="006101E2" w:rsidRPr="006101E2" w:rsidRDefault="006101E2" w:rsidP="00137BC9">
      <w:pPr>
        <w:numPr>
          <w:ilvl w:val="0"/>
          <w:numId w:val="32"/>
        </w:numPr>
        <w:spacing w:before="120" w:after="120" w:line="360" w:lineRule="auto"/>
        <w:ind w:left="351" w:hanging="357"/>
        <w:jc w:val="both"/>
        <w:rPr>
          <w:rFonts w:ascii="Arial" w:hAnsi="Arial" w:cs="Arial"/>
        </w:rPr>
      </w:pPr>
      <w:r w:rsidRPr="006101E2">
        <w:rPr>
          <w:rFonts w:ascii="Arial" w:hAnsi="Arial" w:cs="Arial"/>
        </w:rPr>
        <w:t>kosztów najmu, dzierżawy lub leasingu pasywnej infrastruktury szerokopasmowej, a także elementów infrastruktury elektroenergetycznej, sanitarnej, wodociągowej oraz kanałów technologicznych, w tym m.in.:</w:t>
      </w:r>
    </w:p>
    <w:p w:rsidR="006101E2" w:rsidRPr="006101E2" w:rsidRDefault="006101E2" w:rsidP="00137BC9">
      <w:pPr>
        <w:numPr>
          <w:ilvl w:val="0"/>
          <w:numId w:val="45"/>
        </w:numPr>
        <w:tabs>
          <w:tab w:val="left" w:pos="0"/>
          <w:tab w:val="right" w:pos="709"/>
        </w:tabs>
        <w:spacing w:before="120" w:after="120" w:line="360" w:lineRule="auto"/>
        <w:ind w:left="709"/>
        <w:jc w:val="both"/>
        <w:rPr>
          <w:rFonts w:ascii="Arial" w:hAnsi="Arial" w:cs="Arial"/>
        </w:rPr>
      </w:pPr>
      <w:r w:rsidRPr="006101E2">
        <w:rPr>
          <w:rFonts w:ascii="Arial" w:hAnsi="Arial" w:cs="Arial"/>
        </w:rPr>
        <w:t>z tytułu współkorzystania lub dostępu do infrastruktury technicznej</w:t>
      </w:r>
      <w:r w:rsidR="00735DB3">
        <w:rPr>
          <w:rFonts w:ascii="Arial" w:hAnsi="Arial" w:cs="Arial"/>
        </w:rPr>
        <w:t>,</w:t>
      </w:r>
      <w:r w:rsidRPr="006101E2">
        <w:rPr>
          <w:rFonts w:ascii="Arial" w:hAnsi="Arial" w:cs="Arial"/>
        </w:rPr>
        <w:t xml:space="preserve"> o którym mowa w</w:t>
      </w:r>
      <w:r w:rsidR="001216B1">
        <w:rPr>
          <w:rFonts w:ascii="Arial" w:hAnsi="Arial" w:cs="Arial"/>
        </w:rPr>
        <w:t xml:space="preserve"> </w:t>
      </w:r>
      <w:r w:rsidRPr="006101E2">
        <w:rPr>
          <w:rFonts w:ascii="Arial" w:hAnsi="Arial" w:cs="Arial"/>
        </w:rPr>
        <w:t xml:space="preserve">art. 17 </w:t>
      </w:r>
      <w:proofErr w:type="spellStart"/>
      <w:r w:rsidRPr="006101E2">
        <w:rPr>
          <w:rFonts w:ascii="Arial" w:hAnsi="Arial" w:cs="Arial"/>
        </w:rPr>
        <w:t>megaustawy</w:t>
      </w:r>
      <w:proofErr w:type="spellEnd"/>
      <w:r w:rsidRPr="006101E2">
        <w:rPr>
          <w:rFonts w:ascii="Arial" w:hAnsi="Arial" w:cs="Arial"/>
        </w:rPr>
        <w:t>;</w:t>
      </w:r>
    </w:p>
    <w:p w:rsidR="006101E2" w:rsidRPr="006101E2" w:rsidRDefault="006101E2" w:rsidP="00137BC9">
      <w:pPr>
        <w:numPr>
          <w:ilvl w:val="0"/>
          <w:numId w:val="45"/>
        </w:numPr>
        <w:tabs>
          <w:tab w:val="left" w:pos="0"/>
          <w:tab w:val="right" w:pos="709"/>
        </w:tabs>
        <w:spacing w:before="120" w:after="120" w:line="360" w:lineRule="auto"/>
        <w:ind w:left="709"/>
        <w:jc w:val="both"/>
        <w:rPr>
          <w:rFonts w:ascii="Arial" w:hAnsi="Arial" w:cs="Arial"/>
        </w:rPr>
      </w:pPr>
      <w:r w:rsidRPr="006101E2">
        <w:rPr>
          <w:rFonts w:ascii="Arial" w:hAnsi="Arial" w:cs="Arial"/>
        </w:rPr>
        <w:lastRenderedPageBreak/>
        <w:t xml:space="preserve">z tytułu korzystania z urządzeń i obiektów infrastruktury technicznej o którym mowa w art. 35 </w:t>
      </w:r>
      <w:proofErr w:type="spellStart"/>
      <w:r w:rsidRPr="006101E2">
        <w:rPr>
          <w:rFonts w:ascii="Arial" w:hAnsi="Arial" w:cs="Arial"/>
        </w:rPr>
        <w:t>megaustawy</w:t>
      </w:r>
      <w:proofErr w:type="spellEnd"/>
      <w:r w:rsidR="001216B1">
        <w:rPr>
          <w:rFonts w:ascii="Arial" w:hAnsi="Arial" w:cs="Arial"/>
        </w:rPr>
        <w:t>;</w:t>
      </w:r>
    </w:p>
    <w:p w:rsidR="006101E2" w:rsidRPr="006101E2" w:rsidRDefault="006101E2" w:rsidP="00137BC9">
      <w:pPr>
        <w:numPr>
          <w:ilvl w:val="0"/>
          <w:numId w:val="45"/>
        </w:numPr>
        <w:tabs>
          <w:tab w:val="left" w:pos="0"/>
          <w:tab w:val="right" w:pos="709"/>
        </w:tabs>
        <w:spacing w:before="120" w:after="120" w:line="360" w:lineRule="auto"/>
        <w:ind w:left="709"/>
        <w:jc w:val="both"/>
        <w:rPr>
          <w:rFonts w:ascii="Arial" w:hAnsi="Arial" w:cs="Arial"/>
        </w:rPr>
      </w:pPr>
      <w:r w:rsidRPr="006101E2">
        <w:rPr>
          <w:rFonts w:ascii="Arial" w:hAnsi="Arial" w:cs="Arial"/>
        </w:rPr>
        <w:t>z tytułu udostępnienia kanałów technologicznych</w:t>
      </w:r>
      <w:r w:rsidR="001216B1">
        <w:rPr>
          <w:rFonts w:ascii="Arial" w:hAnsi="Arial" w:cs="Arial"/>
        </w:rPr>
        <w:t>,</w:t>
      </w:r>
      <w:r w:rsidRPr="006101E2">
        <w:rPr>
          <w:rFonts w:ascii="Arial" w:hAnsi="Arial" w:cs="Arial"/>
        </w:rPr>
        <w:t xml:space="preserve"> o których mowa w art. 39 ust. 7 ustawy z dnia 21 marca 1985 r. o drogach publicznych (</w:t>
      </w:r>
      <w:proofErr w:type="spellStart"/>
      <w:r w:rsidR="001216B1">
        <w:rPr>
          <w:rFonts w:ascii="Arial" w:hAnsi="Arial" w:cs="Arial"/>
        </w:rPr>
        <w:t>t</w:t>
      </w:r>
      <w:r w:rsidR="000A6538">
        <w:rPr>
          <w:rFonts w:ascii="Arial" w:hAnsi="Arial" w:cs="Arial"/>
        </w:rPr>
        <w:t>.</w:t>
      </w:r>
      <w:r w:rsidR="001216B1">
        <w:rPr>
          <w:rFonts w:ascii="Arial" w:hAnsi="Arial" w:cs="Arial"/>
        </w:rPr>
        <w:t>j</w:t>
      </w:r>
      <w:proofErr w:type="spellEnd"/>
      <w:r w:rsidR="000A6538">
        <w:rPr>
          <w:rFonts w:ascii="Arial" w:hAnsi="Arial" w:cs="Arial"/>
        </w:rPr>
        <w:t>.</w:t>
      </w:r>
      <w:r w:rsidR="001216B1">
        <w:rPr>
          <w:rFonts w:ascii="Arial" w:hAnsi="Arial" w:cs="Arial"/>
        </w:rPr>
        <w:t xml:space="preserve"> </w:t>
      </w:r>
      <w:r w:rsidRPr="006101E2">
        <w:rPr>
          <w:rFonts w:ascii="Arial" w:hAnsi="Arial" w:cs="Arial"/>
        </w:rPr>
        <w:t>Dz. U. 201</w:t>
      </w:r>
      <w:r w:rsidR="000A6538">
        <w:rPr>
          <w:rFonts w:ascii="Arial" w:hAnsi="Arial" w:cs="Arial"/>
        </w:rPr>
        <w:t>6</w:t>
      </w:r>
      <w:r w:rsidRPr="006101E2">
        <w:rPr>
          <w:rFonts w:ascii="Arial" w:hAnsi="Arial" w:cs="Arial"/>
        </w:rPr>
        <w:t xml:space="preserve"> r. poz. </w:t>
      </w:r>
      <w:r w:rsidR="000A6538">
        <w:rPr>
          <w:rFonts w:ascii="Arial" w:hAnsi="Arial" w:cs="Arial"/>
        </w:rPr>
        <w:t>14</w:t>
      </w:r>
      <w:r w:rsidRPr="006101E2">
        <w:rPr>
          <w:rFonts w:ascii="Arial" w:hAnsi="Arial" w:cs="Arial"/>
        </w:rPr>
        <w:t>40</w:t>
      </w:r>
      <w:r w:rsidR="001216B1">
        <w:rPr>
          <w:rFonts w:ascii="Arial" w:hAnsi="Arial" w:cs="Arial"/>
        </w:rPr>
        <w:t>)</w:t>
      </w:r>
      <w:r w:rsidR="00735DB3">
        <w:rPr>
          <w:rFonts w:ascii="Arial" w:hAnsi="Arial" w:cs="Arial"/>
        </w:rPr>
        <w:t>;</w:t>
      </w:r>
    </w:p>
    <w:p w:rsidR="006101E2" w:rsidRPr="006101E2" w:rsidRDefault="006101E2" w:rsidP="00137BC9">
      <w:pPr>
        <w:numPr>
          <w:ilvl w:val="0"/>
          <w:numId w:val="45"/>
        </w:numPr>
        <w:tabs>
          <w:tab w:val="left" w:pos="0"/>
          <w:tab w:val="right" w:pos="709"/>
        </w:tabs>
        <w:spacing w:before="120" w:after="120" w:line="360" w:lineRule="auto"/>
        <w:ind w:left="709"/>
        <w:jc w:val="both"/>
        <w:rPr>
          <w:rFonts w:ascii="Arial" w:hAnsi="Arial" w:cs="Arial"/>
        </w:rPr>
      </w:pPr>
      <w:r w:rsidRPr="006101E2">
        <w:rPr>
          <w:rFonts w:ascii="Arial" w:hAnsi="Arial" w:cs="Arial"/>
        </w:rPr>
        <w:t xml:space="preserve">z tytułu uzyskania dostępu o którym mowa w art. 139 </w:t>
      </w:r>
      <w:r w:rsidRPr="00734B08">
        <w:rPr>
          <w:rFonts w:ascii="Arial" w:hAnsi="Arial" w:cs="Arial"/>
          <w:i/>
        </w:rPr>
        <w:t>Praw</w:t>
      </w:r>
      <w:r w:rsidR="00734B08" w:rsidRPr="00734B08">
        <w:rPr>
          <w:rFonts w:ascii="Arial" w:hAnsi="Arial" w:cs="Arial"/>
          <w:i/>
        </w:rPr>
        <w:t>a</w:t>
      </w:r>
      <w:r w:rsidRPr="00734B08">
        <w:rPr>
          <w:rFonts w:ascii="Arial" w:hAnsi="Arial" w:cs="Arial"/>
          <w:i/>
        </w:rPr>
        <w:t xml:space="preserve"> telekomunikacyjne</w:t>
      </w:r>
      <w:r w:rsidR="00734B08" w:rsidRPr="00734B08">
        <w:rPr>
          <w:rFonts w:ascii="Arial" w:hAnsi="Arial" w:cs="Arial"/>
          <w:i/>
        </w:rPr>
        <w:t>go</w:t>
      </w:r>
      <w:r w:rsidRPr="006101E2">
        <w:rPr>
          <w:rFonts w:ascii="Arial" w:hAnsi="Arial" w:cs="Arial"/>
        </w:rPr>
        <w:t>.</w:t>
      </w:r>
    </w:p>
    <w:p w:rsidR="006101E2" w:rsidRPr="006101E2" w:rsidRDefault="006101E2" w:rsidP="006101E2">
      <w:pPr>
        <w:tabs>
          <w:tab w:val="left" w:pos="0"/>
          <w:tab w:val="right" w:pos="284"/>
        </w:tabs>
        <w:spacing w:before="120" w:after="120" w:line="360" w:lineRule="auto"/>
        <w:ind w:left="360"/>
        <w:jc w:val="both"/>
        <w:rPr>
          <w:rFonts w:ascii="Arial" w:hAnsi="Arial" w:cs="Arial"/>
        </w:rPr>
      </w:pPr>
      <w:r w:rsidRPr="006101E2">
        <w:rPr>
          <w:rFonts w:ascii="Arial" w:hAnsi="Arial" w:cs="Arial"/>
        </w:rPr>
        <w:t>Koszty te są kwalifikowalne pod warunkiem spełnienia założeń technicznych projektu określonych we wniosku o dofinansowanie.</w:t>
      </w:r>
    </w:p>
    <w:p w:rsidR="006101E2" w:rsidRPr="006101E2" w:rsidRDefault="006101E2" w:rsidP="006101E2">
      <w:pPr>
        <w:tabs>
          <w:tab w:val="left" w:pos="0"/>
          <w:tab w:val="right" w:pos="284"/>
        </w:tabs>
        <w:spacing w:before="120" w:after="120" w:line="360" w:lineRule="auto"/>
        <w:ind w:left="360"/>
        <w:jc w:val="both"/>
        <w:rPr>
          <w:rFonts w:ascii="Arial" w:hAnsi="Arial" w:cs="Arial"/>
        </w:rPr>
      </w:pPr>
      <w:r w:rsidRPr="006101E2">
        <w:rPr>
          <w:rFonts w:ascii="Arial" w:hAnsi="Arial" w:cs="Arial"/>
        </w:rPr>
        <w:t>W przypadku najmu, dzierżawy, IRU i innych, niż własność i dzierżawa wieczysta, tytułów prawnych do nieruchomości, koszt jest kwalifikowany pod warunkiem, że</w:t>
      </w:r>
      <w:r w:rsidR="00687757">
        <w:rPr>
          <w:rFonts w:ascii="Arial" w:hAnsi="Arial" w:cs="Arial"/>
        </w:rPr>
        <w:t xml:space="preserve"> </w:t>
      </w:r>
      <w:r w:rsidRPr="006101E2">
        <w:rPr>
          <w:rFonts w:ascii="Arial" w:hAnsi="Arial" w:cs="Arial"/>
        </w:rPr>
        <w:t>umowa została zawarta na okres nie krótszy niż okres trwałości projektu i nie krótszy niż minimalny okres świadczenia hurtowego dostępu określony rozporządzeniem pomocowym dla I osi.</w:t>
      </w:r>
    </w:p>
    <w:p w:rsidR="006101E2" w:rsidRPr="006101E2" w:rsidRDefault="006101E2" w:rsidP="006101E2">
      <w:pPr>
        <w:tabs>
          <w:tab w:val="left" w:pos="0"/>
          <w:tab w:val="right" w:pos="284"/>
        </w:tabs>
        <w:spacing w:before="120" w:after="120" w:line="360" w:lineRule="auto"/>
        <w:ind w:left="360"/>
        <w:jc w:val="both"/>
        <w:rPr>
          <w:rFonts w:ascii="Arial" w:hAnsi="Arial" w:cs="Arial"/>
        </w:rPr>
      </w:pPr>
      <w:r w:rsidRPr="006101E2">
        <w:rPr>
          <w:rFonts w:ascii="Arial" w:hAnsi="Arial" w:cs="Arial"/>
        </w:rPr>
        <w:t>Wydatki wynikające z umów lub decyzji w ramach niniejszej kategorii, są kwalifikowalne proporcjonalnie do okresu realizacji projektu, tj. nie są kwalifikowalne wydatki odnoszące się do okresu trwałości i późniejszych.</w:t>
      </w:r>
    </w:p>
    <w:p w:rsidR="006101E2" w:rsidRPr="006101E2" w:rsidRDefault="006101E2" w:rsidP="006101E2">
      <w:pPr>
        <w:spacing w:before="120" w:after="120" w:line="360" w:lineRule="auto"/>
        <w:ind w:left="360"/>
        <w:jc w:val="both"/>
        <w:rPr>
          <w:rFonts w:ascii="Arial" w:hAnsi="Arial" w:cs="Arial"/>
        </w:rPr>
      </w:pPr>
      <w:r w:rsidRPr="006101E2">
        <w:rPr>
          <w:rFonts w:ascii="Arial" w:hAnsi="Arial" w:cs="Arial"/>
        </w:rPr>
        <w:t>IRU jest kwalifikowalne do wysokości 5% wydatków kwalifikowalnych projektu.</w:t>
      </w:r>
    </w:p>
    <w:p w:rsidR="006101E2" w:rsidRPr="006101E2" w:rsidRDefault="006101E2" w:rsidP="006101E2">
      <w:pPr>
        <w:spacing w:before="120" w:after="120" w:line="360" w:lineRule="auto"/>
        <w:ind w:left="360"/>
        <w:jc w:val="both"/>
        <w:rPr>
          <w:rFonts w:ascii="Arial" w:hAnsi="Arial" w:cs="Arial"/>
        </w:rPr>
      </w:pPr>
      <w:r w:rsidRPr="006101E2">
        <w:rPr>
          <w:rFonts w:ascii="Arial" w:hAnsi="Arial" w:cs="Arial"/>
        </w:rPr>
        <w:t>Całkowite wydatki kwalifikowalne w ramach tej kategorii wydatków nie mogą przekroczyć 10% wydatków kwalifikowalnych projektu.</w:t>
      </w:r>
    </w:p>
    <w:p w:rsidR="006101E2" w:rsidRPr="006101E2" w:rsidRDefault="006101E2" w:rsidP="00137BC9">
      <w:pPr>
        <w:numPr>
          <w:ilvl w:val="0"/>
          <w:numId w:val="32"/>
        </w:numPr>
        <w:spacing w:before="120" w:after="120" w:line="360" w:lineRule="auto"/>
        <w:jc w:val="both"/>
        <w:rPr>
          <w:rFonts w:ascii="Arial" w:hAnsi="Arial" w:cs="Arial"/>
        </w:rPr>
      </w:pPr>
      <w:r w:rsidRPr="006101E2">
        <w:rPr>
          <w:rFonts w:ascii="Arial" w:hAnsi="Arial" w:cs="Arial"/>
        </w:rPr>
        <w:t>kosztów inwestycyjnych budowy sieci NGA, w tym związanych z przebudową i</w:t>
      </w:r>
      <w:r w:rsidR="00687757">
        <w:rPr>
          <w:rFonts w:ascii="Arial" w:hAnsi="Arial" w:cs="Arial"/>
        </w:rPr>
        <w:t xml:space="preserve"> </w:t>
      </w:r>
      <w:r w:rsidRPr="006101E2">
        <w:rPr>
          <w:rFonts w:ascii="Arial" w:hAnsi="Arial" w:cs="Arial"/>
        </w:rPr>
        <w:t>rozbudową podstawowej sieci szerokopasmowej do standardu sieci NGA, w tym w szczególności:</w:t>
      </w:r>
    </w:p>
    <w:p w:rsidR="006101E2" w:rsidRPr="006101E2" w:rsidRDefault="006101E2" w:rsidP="00137BC9">
      <w:pPr>
        <w:numPr>
          <w:ilvl w:val="0"/>
          <w:numId w:val="43"/>
        </w:numPr>
        <w:spacing w:before="120" w:after="120" w:line="360" w:lineRule="auto"/>
        <w:ind w:left="709"/>
        <w:jc w:val="both"/>
        <w:rPr>
          <w:rFonts w:ascii="Arial" w:hAnsi="Arial" w:cs="Arial"/>
        </w:rPr>
      </w:pPr>
      <w:r w:rsidRPr="006101E2">
        <w:rPr>
          <w:rFonts w:ascii="Arial" w:hAnsi="Arial" w:cs="Arial"/>
        </w:rPr>
        <w:t>urządzenia niezbędne dla funkcjonowania sieci telekomunikacyjnej</w:t>
      </w:r>
      <w:r w:rsidR="00687757">
        <w:rPr>
          <w:rFonts w:ascii="Arial" w:hAnsi="Arial" w:cs="Arial"/>
        </w:rPr>
        <w:t>,</w:t>
      </w:r>
      <w:r w:rsidRPr="006101E2">
        <w:rPr>
          <w:rFonts w:ascii="Arial" w:hAnsi="Arial" w:cs="Arial"/>
        </w:rPr>
        <w:t xml:space="preserve"> tj. urządzenia służące do zasilania, wentylacji, klimatyzacji, urządzenia alarmowe służące zabezpieczeniu przed kradzieżą, wandalizmem i włamaniami, urządzenia niezbędne do zapewnienia ochrony przeciwprzepięciowej i odgromowej;</w:t>
      </w:r>
    </w:p>
    <w:p w:rsidR="006101E2" w:rsidRPr="006101E2" w:rsidRDefault="006101E2" w:rsidP="00137BC9">
      <w:pPr>
        <w:numPr>
          <w:ilvl w:val="0"/>
          <w:numId w:val="43"/>
        </w:numPr>
        <w:spacing w:before="120" w:after="120" w:line="360" w:lineRule="auto"/>
        <w:ind w:left="709"/>
        <w:jc w:val="both"/>
        <w:rPr>
          <w:rFonts w:ascii="Arial" w:hAnsi="Arial" w:cs="Arial"/>
        </w:rPr>
      </w:pPr>
      <w:r w:rsidRPr="006101E2">
        <w:rPr>
          <w:rFonts w:ascii="Arial" w:hAnsi="Arial" w:cs="Arial"/>
        </w:rPr>
        <w:t>koszty przyłączenia do sieci elektroenergetycznej lub innej formy zapewnienia zasilania w energię elektryczną.</w:t>
      </w:r>
    </w:p>
    <w:p w:rsidR="006101E2" w:rsidRPr="006101E2" w:rsidRDefault="006101E2" w:rsidP="006101E2">
      <w:pPr>
        <w:spacing w:before="120" w:after="120" w:line="360" w:lineRule="auto"/>
        <w:ind w:left="349"/>
        <w:jc w:val="both"/>
        <w:rPr>
          <w:rFonts w:ascii="Arial" w:hAnsi="Arial" w:cs="Arial"/>
        </w:rPr>
      </w:pPr>
      <w:r w:rsidRPr="006101E2">
        <w:rPr>
          <w:rFonts w:ascii="Arial" w:hAnsi="Arial" w:cs="Arial"/>
        </w:rPr>
        <w:t>Wyłączona jest kwalifikowalność urządzeń abonenckich zgodnie z zasadami opisanymi w katalogu kosztów niekwalifikowalnych.</w:t>
      </w:r>
    </w:p>
    <w:p w:rsidR="006101E2" w:rsidRPr="006101E2" w:rsidRDefault="006101E2" w:rsidP="00137BC9">
      <w:pPr>
        <w:numPr>
          <w:ilvl w:val="0"/>
          <w:numId w:val="32"/>
        </w:numPr>
        <w:spacing w:before="120" w:after="120" w:line="360" w:lineRule="auto"/>
        <w:jc w:val="both"/>
        <w:rPr>
          <w:rFonts w:ascii="Arial" w:hAnsi="Arial" w:cs="Arial"/>
        </w:rPr>
      </w:pPr>
      <w:r w:rsidRPr="006101E2">
        <w:rPr>
          <w:rFonts w:ascii="Arial" w:hAnsi="Arial" w:cs="Arial"/>
        </w:rPr>
        <w:t>kosztów nabycia wartości niematerialnych i prawnych:</w:t>
      </w:r>
    </w:p>
    <w:p w:rsidR="006101E2" w:rsidRPr="006101E2" w:rsidRDefault="006101E2" w:rsidP="00137BC9">
      <w:pPr>
        <w:numPr>
          <w:ilvl w:val="0"/>
          <w:numId w:val="36"/>
        </w:numPr>
        <w:spacing w:before="120" w:after="120" w:line="360" w:lineRule="auto"/>
        <w:jc w:val="both"/>
        <w:rPr>
          <w:rFonts w:ascii="Arial" w:hAnsi="Arial" w:cs="Arial"/>
        </w:rPr>
      </w:pPr>
      <w:r w:rsidRPr="006101E2">
        <w:rPr>
          <w:rFonts w:ascii="Arial" w:hAnsi="Arial" w:cs="Arial"/>
        </w:rPr>
        <w:t>wraz z kosztem instalacji (wdrożenia), do łącznej wysokości 5% wartości kosztów kwalifikowanych projektu;</w:t>
      </w:r>
    </w:p>
    <w:p w:rsidR="006101E2" w:rsidRPr="006101E2" w:rsidRDefault="006101E2" w:rsidP="00137BC9">
      <w:pPr>
        <w:numPr>
          <w:ilvl w:val="0"/>
          <w:numId w:val="36"/>
        </w:numPr>
        <w:spacing w:before="120" w:after="120" w:line="360" w:lineRule="auto"/>
        <w:jc w:val="both"/>
        <w:rPr>
          <w:rFonts w:ascii="Arial" w:hAnsi="Arial" w:cs="Arial"/>
        </w:rPr>
      </w:pPr>
      <w:r w:rsidRPr="006101E2">
        <w:rPr>
          <w:rFonts w:ascii="Arial" w:hAnsi="Arial" w:cs="Arial"/>
        </w:rPr>
        <w:lastRenderedPageBreak/>
        <w:t>amortyzacja wartości niematerialnych z zachowaniem zasad ogólnych dotyczących amortyzacji danego rodzaju wartości niematerialnych w zakresie i w czasie, w jakim są one wykorzystywane do realizacji projektu.</w:t>
      </w:r>
    </w:p>
    <w:p w:rsidR="006101E2" w:rsidRPr="006101E2" w:rsidRDefault="006101E2" w:rsidP="006101E2">
      <w:pPr>
        <w:tabs>
          <w:tab w:val="left" w:pos="0"/>
          <w:tab w:val="right" w:pos="284"/>
        </w:tabs>
        <w:spacing w:before="120" w:after="120" w:line="360" w:lineRule="auto"/>
        <w:ind w:left="360"/>
        <w:jc w:val="both"/>
        <w:rPr>
          <w:rFonts w:ascii="Arial" w:hAnsi="Arial" w:cs="Arial"/>
        </w:rPr>
      </w:pPr>
      <w:r w:rsidRPr="006101E2">
        <w:rPr>
          <w:rFonts w:ascii="Arial" w:hAnsi="Arial" w:cs="Arial"/>
        </w:rPr>
        <w:t xml:space="preserve">Wydatki te są kwalifikowalne z uwzględnieniem przyjętych założeń technicznych projektu określonych we wniosku o dofinansowanie. </w:t>
      </w:r>
    </w:p>
    <w:p w:rsidR="006101E2" w:rsidRPr="006101E2" w:rsidRDefault="006101E2" w:rsidP="006101E2">
      <w:pPr>
        <w:keepNext/>
        <w:keepLines/>
        <w:numPr>
          <w:ilvl w:val="2"/>
          <w:numId w:val="1"/>
        </w:numPr>
        <w:spacing w:before="240" w:after="60" w:line="360" w:lineRule="auto"/>
        <w:jc w:val="center"/>
        <w:outlineLvl w:val="2"/>
        <w:rPr>
          <w:rFonts w:ascii="Arial" w:eastAsiaTheme="majorEastAsia" w:hAnsi="Arial" w:cs="Arial"/>
          <w:bCs/>
          <w:i/>
          <w:sz w:val="24"/>
          <w:szCs w:val="24"/>
        </w:rPr>
      </w:pPr>
      <w:bookmarkStart w:id="122" w:name="_Toc508630118"/>
      <w:r w:rsidRPr="006101E2">
        <w:rPr>
          <w:rFonts w:ascii="Arial" w:eastAsiaTheme="majorEastAsia" w:hAnsi="Arial" w:cs="Arial"/>
          <w:bCs/>
          <w:i/>
          <w:sz w:val="24"/>
          <w:szCs w:val="24"/>
        </w:rPr>
        <w:t xml:space="preserve">Kwalifikowalność wydatków w ramach pomocy de </w:t>
      </w:r>
      <w:proofErr w:type="spellStart"/>
      <w:r w:rsidRPr="006101E2">
        <w:rPr>
          <w:rFonts w:ascii="Arial" w:eastAsiaTheme="majorEastAsia" w:hAnsi="Arial" w:cs="Arial"/>
          <w:bCs/>
          <w:i/>
          <w:sz w:val="24"/>
          <w:szCs w:val="24"/>
        </w:rPr>
        <w:t>minimis</w:t>
      </w:r>
      <w:bookmarkEnd w:id="122"/>
      <w:proofErr w:type="spellEnd"/>
    </w:p>
    <w:p w:rsidR="006101E2" w:rsidRPr="006101E2" w:rsidRDefault="006101E2" w:rsidP="006101E2">
      <w:pPr>
        <w:spacing w:before="120" w:after="120" w:line="360" w:lineRule="auto"/>
        <w:jc w:val="both"/>
        <w:rPr>
          <w:rFonts w:ascii="Arial" w:hAnsi="Arial" w:cs="Arial"/>
        </w:rPr>
      </w:pPr>
      <w:r w:rsidRPr="006101E2">
        <w:rPr>
          <w:rFonts w:ascii="Arial" w:hAnsi="Arial" w:cs="Arial"/>
        </w:rPr>
        <w:t xml:space="preserve">Do wydatków kwalifikujących się do objęcia wsparciem w ramach pomocy </w:t>
      </w:r>
      <w:r w:rsidRPr="00460CEC">
        <w:rPr>
          <w:rFonts w:ascii="Arial" w:hAnsi="Arial" w:cs="Arial"/>
          <w:i/>
        </w:rPr>
        <w:t xml:space="preserve">de </w:t>
      </w:r>
      <w:proofErr w:type="spellStart"/>
      <w:r w:rsidRPr="00460CEC">
        <w:rPr>
          <w:rFonts w:ascii="Arial" w:hAnsi="Arial" w:cs="Arial"/>
          <w:i/>
        </w:rPr>
        <w:t>minimis</w:t>
      </w:r>
      <w:proofErr w:type="spellEnd"/>
      <w:r w:rsidRPr="006101E2">
        <w:rPr>
          <w:rFonts w:ascii="Arial" w:hAnsi="Arial" w:cs="Arial"/>
        </w:rPr>
        <w:t xml:space="preserve"> udzielanej na podstawie Rozporządzenia Komisji (UE) nr 1407/2013 zalicza się wydatki na:</w:t>
      </w:r>
    </w:p>
    <w:p w:rsidR="006101E2" w:rsidRPr="006101E2" w:rsidRDefault="006101E2" w:rsidP="00137BC9">
      <w:pPr>
        <w:numPr>
          <w:ilvl w:val="0"/>
          <w:numId w:val="41"/>
        </w:numPr>
        <w:spacing w:before="120" w:after="120" w:line="360" w:lineRule="auto"/>
        <w:jc w:val="both"/>
        <w:rPr>
          <w:rFonts w:ascii="Arial" w:hAnsi="Arial" w:cs="Arial"/>
        </w:rPr>
      </w:pPr>
      <w:r w:rsidRPr="006101E2">
        <w:rPr>
          <w:rFonts w:ascii="Arial" w:hAnsi="Arial" w:cs="Arial"/>
        </w:rPr>
        <w:t>opłaty publicznoprawne związane z przygotowaniem i realizacją projektu, w szczególności za wydanie decyzji, zgód, zezwoleń, w tym m.in.:</w:t>
      </w:r>
    </w:p>
    <w:p w:rsidR="006101E2" w:rsidRPr="006101E2" w:rsidRDefault="006101E2" w:rsidP="00137BC9">
      <w:pPr>
        <w:numPr>
          <w:ilvl w:val="0"/>
          <w:numId w:val="40"/>
        </w:numPr>
        <w:spacing w:before="120" w:after="120" w:line="360" w:lineRule="auto"/>
        <w:jc w:val="both"/>
        <w:rPr>
          <w:rFonts w:ascii="Arial" w:hAnsi="Arial" w:cs="Arial"/>
        </w:rPr>
      </w:pPr>
      <w:r w:rsidRPr="006101E2">
        <w:rPr>
          <w:rFonts w:ascii="Arial" w:hAnsi="Arial" w:cs="Arial"/>
        </w:rPr>
        <w:t>opłaty związane z zajęciem pasa drogowego w celu prowadzenia robót w pasie drogowym,</w:t>
      </w:r>
    </w:p>
    <w:p w:rsidR="006101E2" w:rsidRPr="006101E2" w:rsidRDefault="006101E2" w:rsidP="00137BC9">
      <w:pPr>
        <w:numPr>
          <w:ilvl w:val="0"/>
          <w:numId w:val="40"/>
        </w:numPr>
        <w:spacing w:before="120" w:after="120" w:line="360" w:lineRule="auto"/>
        <w:jc w:val="both"/>
        <w:rPr>
          <w:rFonts w:ascii="Arial" w:hAnsi="Arial" w:cs="Arial"/>
        </w:rPr>
      </w:pPr>
      <w:r w:rsidRPr="006101E2">
        <w:rPr>
          <w:rFonts w:ascii="Arial" w:hAnsi="Arial" w:cs="Arial"/>
        </w:rPr>
        <w:t>opłaty związane z uzyskaniem pozwolenia na budowę</w:t>
      </w:r>
    </w:p>
    <w:p w:rsidR="006101E2" w:rsidRPr="006101E2" w:rsidRDefault="006101E2" w:rsidP="006101E2">
      <w:pPr>
        <w:spacing w:before="120" w:after="120" w:line="360" w:lineRule="auto"/>
        <w:ind w:left="360"/>
        <w:jc w:val="both"/>
        <w:rPr>
          <w:rFonts w:ascii="Arial" w:hAnsi="Arial" w:cs="Arial"/>
          <w:bCs/>
        </w:rPr>
      </w:pPr>
      <w:r w:rsidRPr="006101E2">
        <w:rPr>
          <w:rFonts w:ascii="Arial" w:hAnsi="Arial" w:cs="Arial"/>
          <w:bCs/>
        </w:rPr>
        <w:t>- wydatki te są niekwalifikowalne, jeśli stanowią karę za naruszenie obowiązujących przepisów prawa;</w:t>
      </w:r>
    </w:p>
    <w:p w:rsidR="006101E2" w:rsidRPr="006101E2" w:rsidRDefault="006101E2" w:rsidP="00137BC9">
      <w:pPr>
        <w:numPr>
          <w:ilvl w:val="0"/>
          <w:numId w:val="42"/>
        </w:numPr>
        <w:spacing w:before="120" w:after="120" w:line="360" w:lineRule="auto"/>
        <w:jc w:val="both"/>
        <w:rPr>
          <w:rFonts w:ascii="Arial" w:hAnsi="Arial" w:cs="Arial"/>
          <w:bCs/>
        </w:rPr>
      </w:pPr>
      <w:r w:rsidRPr="006101E2">
        <w:rPr>
          <w:rFonts w:ascii="Arial" w:hAnsi="Arial" w:cs="Arial"/>
          <w:bCs/>
        </w:rPr>
        <w:t xml:space="preserve">dokumentację powykonawczą w rozumieniu  – </w:t>
      </w:r>
      <w:r w:rsidRPr="00460CEC">
        <w:rPr>
          <w:rFonts w:ascii="Arial" w:hAnsi="Arial" w:cs="Arial"/>
          <w:bCs/>
          <w:i/>
        </w:rPr>
        <w:t>Prawo budowlane</w:t>
      </w:r>
      <w:r w:rsidRPr="006101E2">
        <w:rPr>
          <w:rFonts w:ascii="Arial" w:hAnsi="Arial" w:cs="Arial"/>
          <w:bCs/>
        </w:rPr>
        <w:t>;</w:t>
      </w:r>
    </w:p>
    <w:p w:rsidR="006101E2" w:rsidRPr="006101E2" w:rsidRDefault="006101E2" w:rsidP="00137BC9">
      <w:pPr>
        <w:numPr>
          <w:ilvl w:val="0"/>
          <w:numId w:val="42"/>
        </w:numPr>
        <w:spacing w:before="120" w:after="120" w:line="360" w:lineRule="auto"/>
        <w:jc w:val="both"/>
        <w:rPr>
          <w:rFonts w:ascii="Arial" w:hAnsi="Arial" w:cs="Arial"/>
          <w:bCs/>
        </w:rPr>
      </w:pPr>
      <w:r w:rsidRPr="006101E2">
        <w:rPr>
          <w:rFonts w:ascii="Arial" w:hAnsi="Arial" w:cs="Arial"/>
          <w:bCs/>
        </w:rPr>
        <w:t>obsługę instrumentów zabezpieczających realizację umowy o udzielenie wsparcia</w:t>
      </w:r>
      <w:r w:rsidRPr="006101E2">
        <w:rPr>
          <w:rFonts w:ascii="Arial" w:hAnsi="Arial" w:cs="Arial"/>
          <w:bCs/>
          <w:vertAlign w:val="superscript"/>
        </w:rPr>
        <w:footnoteReference w:id="17"/>
      </w:r>
      <w:r w:rsidRPr="006101E2">
        <w:rPr>
          <w:rFonts w:ascii="Arial" w:hAnsi="Arial" w:cs="Arial"/>
          <w:bCs/>
        </w:rPr>
        <w:t>, określonych w umowie o udzielenie wsparcia;</w:t>
      </w:r>
    </w:p>
    <w:p w:rsidR="00B57EE7" w:rsidRDefault="006101E2" w:rsidP="00137BC9">
      <w:pPr>
        <w:numPr>
          <w:ilvl w:val="0"/>
          <w:numId w:val="42"/>
        </w:numPr>
        <w:spacing w:before="120" w:after="120" w:line="360" w:lineRule="auto"/>
        <w:jc w:val="both"/>
        <w:rPr>
          <w:rFonts w:ascii="Arial" w:hAnsi="Arial" w:cs="Arial"/>
          <w:bCs/>
        </w:rPr>
      </w:pPr>
      <w:r w:rsidRPr="006101E2">
        <w:rPr>
          <w:rFonts w:ascii="Arial" w:hAnsi="Arial" w:cs="Arial"/>
          <w:bCs/>
        </w:rPr>
        <w:t>wydatki związane z przygotowaniem projektu w zakresie w jakim są niezbędne do złożenia wniosku o dofinansowanie</w:t>
      </w:r>
      <w:r w:rsidR="00B57EE7">
        <w:rPr>
          <w:rFonts w:ascii="Arial" w:hAnsi="Arial" w:cs="Arial"/>
          <w:bCs/>
        </w:rPr>
        <w:t xml:space="preserve">, </w:t>
      </w:r>
      <w:r w:rsidR="00B57EE7" w:rsidRPr="00B57EE7">
        <w:rPr>
          <w:rFonts w:ascii="Arial" w:hAnsi="Arial" w:cs="Arial"/>
          <w:bCs/>
        </w:rPr>
        <w:t xml:space="preserve">do kwoty nieprzekraczającej </w:t>
      </w:r>
      <w:r w:rsidR="00B57EE7">
        <w:rPr>
          <w:rFonts w:ascii="Arial" w:hAnsi="Arial" w:cs="Arial"/>
          <w:bCs/>
        </w:rPr>
        <w:t>20 tys. zł</w:t>
      </w:r>
      <w:r w:rsidR="00596857" w:rsidRPr="00596857">
        <w:rPr>
          <w:rFonts w:ascii="Arial" w:hAnsi="Arial" w:cs="Arial"/>
          <w:bCs/>
        </w:rPr>
        <w:t xml:space="preserve"> </w:t>
      </w:r>
      <w:r w:rsidR="009B09C3">
        <w:rPr>
          <w:rFonts w:ascii="Arial" w:hAnsi="Arial" w:cs="Arial"/>
          <w:bCs/>
        </w:rPr>
        <w:t xml:space="preserve">oraz </w:t>
      </w:r>
      <w:r w:rsidR="00596857">
        <w:rPr>
          <w:rFonts w:ascii="Arial" w:hAnsi="Arial" w:cs="Arial"/>
          <w:bCs/>
        </w:rPr>
        <w:t xml:space="preserve">poniesione </w:t>
      </w:r>
      <w:r w:rsidR="00596857" w:rsidRPr="006101E2">
        <w:rPr>
          <w:rFonts w:ascii="Arial" w:hAnsi="Arial" w:cs="Arial"/>
          <w:bCs/>
        </w:rPr>
        <w:t xml:space="preserve">nie wcześniej niż 3 miesiące przed dniem złożenia </w:t>
      </w:r>
      <w:r w:rsidR="00596857">
        <w:rPr>
          <w:rFonts w:ascii="Arial" w:hAnsi="Arial" w:cs="Arial"/>
          <w:bCs/>
        </w:rPr>
        <w:t xml:space="preserve">tego </w:t>
      </w:r>
      <w:r w:rsidR="00596857" w:rsidRPr="006101E2">
        <w:rPr>
          <w:rFonts w:ascii="Arial" w:hAnsi="Arial" w:cs="Arial"/>
          <w:bCs/>
        </w:rPr>
        <w:t>wniosku</w:t>
      </w:r>
      <w:r w:rsidR="00B57EE7">
        <w:rPr>
          <w:rFonts w:ascii="Arial" w:hAnsi="Arial" w:cs="Arial"/>
          <w:bCs/>
        </w:rPr>
        <w:t xml:space="preserve">, </w:t>
      </w:r>
      <w:r w:rsidR="00596857">
        <w:rPr>
          <w:rFonts w:ascii="Arial" w:hAnsi="Arial" w:cs="Arial"/>
          <w:bCs/>
        </w:rPr>
        <w:t>dotyczące</w:t>
      </w:r>
      <w:r w:rsidR="00B57EE7">
        <w:rPr>
          <w:rFonts w:ascii="Arial" w:hAnsi="Arial" w:cs="Arial"/>
          <w:bCs/>
        </w:rPr>
        <w:t>:</w:t>
      </w:r>
    </w:p>
    <w:p w:rsidR="00B57EE7" w:rsidRPr="00B57EE7" w:rsidRDefault="00B57EE7" w:rsidP="00137BC9">
      <w:pPr>
        <w:pStyle w:val="Akapitzlist"/>
        <w:numPr>
          <w:ilvl w:val="1"/>
          <w:numId w:val="52"/>
        </w:numPr>
        <w:spacing w:before="120" w:after="120" w:line="360" w:lineRule="auto"/>
        <w:ind w:left="786"/>
        <w:jc w:val="both"/>
        <w:rPr>
          <w:rFonts w:ascii="Arial" w:hAnsi="Arial" w:cs="Arial"/>
          <w:bCs/>
        </w:rPr>
      </w:pPr>
      <w:r w:rsidRPr="00B57EE7">
        <w:rPr>
          <w:rFonts w:ascii="Arial" w:hAnsi="Arial" w:cs="Arial"/>
          <w:bCs/>
        </w:rPr>
        <w:t>dokumentacj</w:t>
      </w:r>
      <w:r w:rsidR="00B262C9">
        <w:rPr>
          <w:rFonts w:ascii="Arial" w:hAnsi="Arial" w:cs="Arial"/>
          <w:bCs/>
        </w:rPr>
        <w:t>i</w:t>
      </w:r>
      <w:r w:rsidRPr="00B57EE7">
        <w:rPr>
          <w:rFonts w:ascii="Arial" w:hAnsi="Arial" w:cs="Arial"/>
          <w:bCs/>
        </w:rPr>
        <w:t xml:space="preserve"> projektow</w:t>
      </w:r>
      <w:r w:rsidR="00B262C9">
        <w:rPr>
          <w:rFonts w:ascii="Arial" w:hAnsi="Arial" w:cs="Arial"/>
          <w:bCs/>
        </w:rPr>
        <w:t>ej</w:t>
      </w:r>
      <w:r w:rsidRPr="00B57EE7">
        <w:rPr>
          <w:rFonts w:ascii="Arial" w:hAnsi="Arial" w:cs="Arial"/>
          <w:bCs/>
        </w:rPr>
        <w:t xml:space="preserve"> </w:t>
      </w:r>
    </w:p>
    <w:p w:rsidR="00B57EE7" w:rsidRPr="00B57EE7" w:rsidRDefault="00B57EE7" w:rsidP="00137BC9">
      <w:pPr>
        <w:pStyle w:val="Akapitzlist"/>
        <w:numPr>
          <w:ilvl w:val="1"/>
          <w:numId w:val="52"/>
        </w:numPr>
        <w:spacing w:before="120" w:after="120" w:line="360" w:lineRule="auto"/>
        <w:ind w:left="786"/>
        <w:jc w:val="both"/>
        <w:rPr>
          <w:rFonts w:ascii="Arial" w:hAnsi="Arial" w:cs="Arial"/>
          <w:bCs/>
        </w:rPr>
      </w:pPr>
      <w:r w:rsidRPr="00B57EE7">
        <w:rPr>
          <w:rFonts w:ascii="Arial" w:hAnsi="Arial" w:cs="Arial"/>
          <w:bCs/>
        </w:rPr>
        <w:t>dokumentacj</w:t>
      </w:r>
      <w:r w:rsidR="00B262C9">
        <w:rPr>
          <w:rFonts w:ascii="Arial" w:hAnsi="Arial" w:cs="Arial"/>
          <w:bCs/>
        </w:rPr>
        <w:t>i</w:t>
      </w:r>
      <w:r w:rsidRPr="00B57EE7">
        <w:rPr>
          <w:rFonts w:ascii="Arial" w:hAnsi="Arial" w:cs="Arial"/>
          <w:bCs/>
        </w:rPr>
        <w:t xml:space="preserve"> techniczn</w:t>
      </w:r>
      <w:r w:rsidR="00B262C9">
        <w:rPr>
          <w:rFonts w:ascii="Arial" w:hAnsi="Arial" w:cs="Arial"/>
          <w:bCs/>
        </w:rPr>
        <w:t>ej</w:t>
      </w:r>
      <w:r w:rsidRPr="00B57EE7">
        <w:rPr>
          <w:rFonts w:ascii="Arial" w:hAnsi="Arial" w:cs="Arial"/>
          <w:bCs/>
        </w:rPr>
        <w:t xml:space="preserve">, </w:t>
      </w:r>
    </w:p>
    <w:p w:rsidR="00B57EE7" w:rsidRPr="00B57EE7" w:rsidRDefault="00B57EE7" w:rsidP="00137BC9">
      <w:pPr>
        <w:pStyle w:val="Akapitzlist"/>
        <w:numPr>
          <w:ilvl w:val="1"/>
          <w:numId w:val="52"/>
        </w:numPr>
        <w:spacing w:before="120" w:after="120" w:line="360" w:lineRule="auto"/>
        <w:ind w:left="786"/>
        <w:jc w:val="both"/>
        <w:rPr>
          <w:rFonts w:ascii="Arial" w:hAnsi="Arial" w:cs="Arial"/>
          <w:bCs/>
        </w:rPr>
      </w:pPr>
      <w:r w:rsidRPr="00B57EE7">
        <w:rPr>
          <w:rFonts w:ascii="Arial" w:hAnsi="Arial" w:cs="Arial"/>
          <w:bCs/>
        </w:rPr>
        <w:t xml:space="preserve">studium wykonalności lub </w:t>
      </w:r>
      <w:r w:rsidR="00687757">
        <w:rPr>
          <w:rFonts w:ascii="Arial" w:hAnsi="Arial" w:cs="Arial"/>
          <w:bCs/>
        </w:rPr>
        <w:t>innego dokumentu</w:t>
      </w:r>
      <w:r w:rsidR="003B0435">
        <w:rPr>
          <w:rFonts w:ascii="Arial" w:hAnsi="Arial" w:cs="Arial"/>
          <w:bCs/>
        </w:rPr>
        <w:t xml:space="preserve"> określonego w dokumentacji konkursowej </w:t>
      </w:r>
      <w:r w:rsidRPr="00B57EE7">
        <w:rPr>
          <w:rFonts w:ascii="Arial" w:hAnsi="Arial" w:cs="Arial"/>
          <w:bCs/>
        </w:rPr>
        <w:t xml:space="preserve"> w zależności od tego jaki dokument jest wymagany,</w:t>
      </w:r>
    </w:p>
    <w:p w:rsidR="00B57EE7" w:rsidRDefault="00B57EE7" w:rsidP="00137BC9">
      <w:pPr>
        <w:pStyle w:val="Akapitzlist"/>
        <w:numPr>
          <w:ilvl w:val="1"/>
          <w:numId w:val="52"/>
        </w:numPr>
        <w:spacing w:before="120" w:after="120" w:line="360" w:lineRule="auto"/>
        <w:ind w:left="786"/>
        <w:jc w:val="both"/>
        <w:rPr>
          <w:rFonts w:ascii="Arial" w:hAnsi="Arial" w:cs="Arial"/>
          <w:bCs/>
        </w:rPr>
      </w:pPr>
      <w:r w:rsidRPr="00B57EE7">
        <w:rPr>
          <w:rFonts w:ascii="Arial" w:hAnsi="Arial" w:cs="Arial"/>
          <w:bCs/>
        </w:rPr>
        <w:t>map lub szkic</w:t>
      </w:r>
      <w:r w:rsidR="00B262C9">
        <w:rPr>
          <w:rFonts w:ascii="Arial" w:hAnsi="Arial" w:cs="Arial"/>
          <w:bCs/>
        </w:rPr>
        <w:t>ów</w:t>
      </w:r>
      <w:r w:rsidRPr="00B57EE7">
        <w:rPr>
          <w:rFonts w:ascii="Arial" w:hAnsi="Arial" w:cs="Arial"/>
          <w:bCs/>
        </w:rPr>
        <w:t xml:space="preserve"> </w:t>
      </w:r>
      <w:r w:rsidR="00B262C9" w:rsidRPr="00B57EE7">
        <w:rPr>
          <w:rFonts w:ascii="Arial" w:hAnsi="Arial" w:cs="Arial"/>
          <w:bCs/>
        </w:rPr>
        <w:t>sytuuj</w:t>
      </w:r>
      <w:r w:rsidR="00B262C9">
        <w:rPr>
          <w:rFonts w:ascii="Arial" w:hAnsi="Arial" w:cs="Arial"/>
          <w:bCs/>
        </w:rPr>
        <w:t>ących</w:t>
      </w:r>
      <w:r w:rsidRPr="00B57EE7">
        <w:rPr>
          <w:rFonts w:ascii="Arial" w:hAnsi="Arial" w:cs="Arial"/>
          <w:bCs/>
        </w:rPr>
        <w:t xml:space="preserve"> projekt</w:t>
      </w:r>
      <w:r w:rsidR="006C4092">
        <w:rPr>
          <w:rFonts w:ascii="Arial" w:hAnsi="Arial" w:cs="Arial"/>
          <w:bCs/>
        </w:rPr>
        <w:t>,</w:t>
      </w:r>
      <w:r w:rsidRPr="00B57EE7">
        <w:rPr>
          <w:rFonts w:ascii="Arial" w:hAnsi="Arial" w:cs="Arial"/>
          <w:bCs/>
        </w:rPr>
        <w:t xml:space="preserve"> </w:t>
      </w:r>
    </w:p>
    <w:p w:rsidR="006101E2" w:rsidRPr="00B57EE7" w:rsidRDefault="00596857" w:rsidP="00846494">
      <w:pPr>
        <w:pStyle w:val="Akapitzlist"/>
        <w:spacing w:before="120" w:after="120" w:line="360" w:lineRule="auto"/>
        <w:ind w:left="426"/>
        <w:jc w:val="both"/>
        <w:rPr>
          <w:rFonts w:ascii="Arial" w:hAnsi="Arial" w:cs="Arial"/>
          <w:bCs/>
        </w:rPr>
      </w:pPr>
      <w:r>
        <w:rPr>
          <w:rFonts w:ascii="Arial" w:hAnsi="Arial" w:cs="Arial"/>
          <w:bCs/>
        </w:rPr>
        <w:t xml:space="preserve">- </w:t>
      </w:r>
      <w:r w:rsidR="00D13888" w:rsidRPr="00B57EE7">
        <w:rPr>
          <w:rFonts w:ascii="Arial" w:hAnsi="Arial" w:cs="Arial"/>
          <w:bCs/>
        </w:rPr>
        <w:t xml:space="preserve">z </w:t>
      </w:r>
      <w:r w:rsidR="006101E2" w:rsidRPr="00B57EE7">
        <w:rPr>
          <w:rFonts w:ascii="Arial" w:hAnsi="Arial" w:cs="Arial"/>
        </w:rPr>
        <w:t xml:space="preserve">wyjątkiem </w:t>
      </w:r>
      <w:r w:rsidR="00D13888" w:rsidRPr="00B57EE7">
        <w:rPr>
          <w:rFonts w:ascii="Arial" w:hAnsi="Arial" w:cs="Arial"/>
        </w:rPr>
        <w:t>wydatków związanych z wypełnieniem</w:t>
      </w:r>
      <w:r w:rsidR="006101E2" w:rsidRPr="00B57EE7">
        <w:rPr>
          <w:rFonts w:ascii="Arial" w:hAnsi="Arial" w:cs="Arial"/>
        </w:rPr>
        <w:t xml:space="preserve"> form</w:t>
      </w:r>
      <w:r w:rsidR="00D13888" w:rsidRPr="00B57EE7">
        <w:rPr>
          <w:rFonts w:ascii="Arial" w:hAnsi="Arial" w:cs="Arial"/>
        </w:rPr>
        <w:t>ularza wniosku o dofinansowanie</w:t>
      </w:r>
      <w:r>
        <w:rPr>
          <w:rFonts w:ascii="Arial" w:hAnsi="Arial" w:cs="Arial"/>
          <w:bCs/>
        </w:rPr>
        <w:t>.</w:t>
      </w:r>
    </w:p>
    <w:p w:rsidR="006101E2" w:rsidRPr="00602DF9" w:rsidRDefault="006101E2" w:rsidP="00602DF9">
      <w:pPr>
        <w:keepNext/>
        <w:keepLines/>
        <w:numPr>
          <w:ilvl w:val="2"/>
          <w:numId w:val="1"/>
        </w:numPr>
        <w:spacing w:before="240" w:after="60" w:line="360" w:lineRule="auto"/>
        <w:jc w:val="center"/>
        <w:outlineLvl w:val="2"/>
        <w:rPr>
          <w:rFonts w:ascii="Arial" w:eastAsiaTheme="majorEastAsia" w:hAnsi="Arial" w:cs="Arial"/>
          <w:bCs/>
          <w:i/>
          <w:sz w:val="24"/>
          <w:szCs w:val="24"/>
        </w:rPr>
      </w:pPr>
      <w:bookmarkStart w:id="123" w:name="_Toc508630119"/>
      <w:r w:rsidRPr="00602DF9">
        <w:rPr>
          <w:rFonts w:ascii="Arial" w:eastAsiaTheme="majorEastAsia" w:hAnsi="Arial" w:cs="Arial"/>
          <w:bCs/>
          <w:i/>
          <w:sz w:val="24"/>
          <w:szCs w:val="24"/>
        </w:rPr>
        <w:t>Wydatki niekwalifikowalne</w:t>
      </w:r>
      <w:bookmarkEnd w:id="123"/>
    </w:p>
    <w:p w:rsidR="006101E2" w:rsidRPr="006101E2" w:rsidRDefault="006101E2" w:rsidP="006101E2">
      <w:pPr>
        <w:spacing w:before="120" w:after="120" w:line="360" w:lineRule="auto"/>
        <w:jc w:val="both"/>
        <w:rPr>
          <w:rFonts w:ascii="Arial" w:hAnsi="Arial" w:cs="Arial"/>
        </w:rPr>
      </w:pPr>
      <w:r w:rsidRPr="006101E2">
        <w:rPr>
          <w:rFonts w:ascii="Arial" w:hAnsi="Arial" w:cs="Arial"/>
        </w:rPr>
        <w:t>Za niekwalifikowalne uznaje się wydatki określone w ramach poniższych kategorii:</w:t>
      </w:r>
    </w:p>
    <w:p w:rsidR="006101E2" w:rsidRPr="006101E2" w:rsidRDefault="006101E2" w:rsidP="00137BC9">
      <w:pPr>
        <w:numPr>
          <w:ilvl w:val="0"/>
          <w:numId w:val="30"/>
        </w:numPr>
        <w:spacing w:before="120" w:after="120" w:line="360" w:lineRule="auto"/>
        <w:ind w:left="426"/>
        <w:jc w:val="both"/>
        <w:rPr>
          <w:rFonts w:ascii="Arial" w:hAnsi="Arial" w:cs="Arial"/>
        </w:rPr>
      </w:pPr>
      <w:r w:rsidRPr="006101E2">
        <w:rPr>
          <w:rFonts w:ascii="Arial" w:hAnsi="Arial" w:cs="Arial"/>
        </w:rPr>
        <w:lastRenderedPageBreak/>
        <w:t>Wszelkie wydatki dotyczące aktywnych elementów sieci umieszczanych lub instalowanych w budynkach</w:t>
      </w:r>
      <w:r w:rsidR="00180CF6">
        <w:rPr>
          <w:rFonts w:ascii="Arial" w:hAnsi="Arial" w:cs="Arial"/>
        </w:rPr>
        <w:t xml:space="preserve">, </w:t>
      </w:r>
      <w:r w:rsidR="00180CF6" w:rsidRPr="00846494">
        <w:rPr>
          <w:rFonts w:ascii="Arial" w:hAnsi="Arial" w:cs="Arial"/>
        </w:rPr>
        <w:t>z wyjątkiem wydatków na urządzenia aktywne umieszczonych w pomieszczeniu budynku wielorodzinnego</w:t>
      </w:r>
      <w:r w:rsidR="006C4092" w:rsidRPr="00846494">
        <w:rPr>
          <w:rFonts w:ascii="Arial" w:hAnsi="Arial" w:cs="Arial"/>
        </w:rPr>
        <w:t>,</w:t>
      </w:r>
      <w:r w:rsidR="00180CF6" w:rsidRPr="00846494">
        <w:rPr>
          <w:rFonts w:ascii="Arial" w:hAnsi="Arial" w:cs="Arial"/>
        </w:rPr>
        <w:t xml:space="preserve"> o którym mowa § 192f ust. 1 pkt 1 rozporządzenia Ministra Infrastruktury z dnia 12 kwietnia 2002 r. w sprawie warunków technicznych jakim powinny odpowiadać budynki i ich usytuowanie</w:t>
      </w:r>
      <w:r w:rsidRPr="00846494">
        <w:rPr>
          <w:rFonts w:ascii="Arial" w:hAnsi="Arial" w:cs="Arial"/>
        </w:rPr>
        <w:t>.</w:t>
      </w:r>
      <w:r w:rsidRPr="006101E2">
        <w:rPr>
          <w:rFonts w:ascii="Arial" w:hAnsi="Arial" w:cs="Arial"/>
        </w:rPr>
        <w:t xml:space="preserve"> </w:t>
      </w:r>
      <w:r w:rsidR="00BC5809">
        <w:rPr>
          <w:rFonts w:ascii="Arial" w:hAnsi="Arial" w:cs="Arial"/>
        </w:rPr>
        <w:br/>
      </w:r>
      <w:r w:rsidRPr="006101E2">
        <w:rPr>
          <w:rFonts w:ascii="Arial" w:hAnsi="Arial" w:cs="Arial"/>
        </w:rPr>
        <w:t xml:space="preserve">W szczególności dotyczy to wydatków ponoszonych na wszelkie formy nabycia, wytworzenia, zakupu, dzierżawy, najmu lub instalacji urządzeń abonenckich. Urządzeniem abonenckim są w tym rozumieniu urządzenia telekomunikacyjne (a także telekomunikacyjne urządzenia końcowe), w tym np. aktywne elementy stanowiące zakończenie sieci, modemy i routery wyposażone np. w porty, złącza, bramki VoIP czy interfejsy bezprzewodowe, stanowiące dla użytkownika końcowego bezpośredni punkt służący do podłączenia wykorzystywanych w jego lokalizacji urządzeń (rozumianych jako komputery osobiste, laptopy, tablety, smartphone i inne tego typu) takie jak np. ONT, modemy </w:t>
      </w:r>
      <w:proofErr w:type="spellStart"/>
      <w:r w:rsidRPr="006101E2">
        <w:rPr>
          <w:rFonts w:ascii="Arial" w:hAnsi="Arial" w:cs="Arial"/>
        </w:rPr>
        <w:t>xDSL</w:t>
      </w:r>
      <w:proofErr w:type="spellEnd"/>
      <w:r w:rsidRPr="006101E2">
        <w:rPr>
          <w:rFonts w:ascii="Arial" w:hAnsi="Arial" w:cs="Arial"/>
        </w:rPr>
        <w:t>, DOCSIS oraz stosowane w sieciach bezprzewodowych, niezależnie czy przedmiotowe urządzenie abonenckie zostanie zlokalizowane w lokalu potencjalnego użytkownika końcowego czy poza nim. Wszelkie wydatki dotyczące różnego rodzaju urządzeń elektronicznych służących bezpośrednio użytkownikom końcowym, tj. laptopy, komputery osobiste, telefony, smartfony, tablety itp.</w:t>
      </w:r>
    </w:p>
    <w:p w:rsidR="006101E2" w:rsidRPr="006101E2" w:rsidRDefault="006101E2" w:rsidP="00137BC9">
      <w:pPr>
        <w:numPr>
          <w:ilvl w:val="0"/>
          <w:numId w:val="30"/>
        </w:numPr>
        <w:spacing w:before="120" w:after="120" w:line="360" w:lineRule="auto"/>
        <w:ind w:left="426"/>
        <w:jc w:val="both"/>
        <w:rPr>
          <w:rFonts w:ascii="Arial" w:hAnsi="Arial" w:cs="Arial"/>
        </w:rPr>
      </w:pPr>
      <w:r w:rsidRPr="006101E2">
        <w:rPr>
          <w:rFonts w:ascii="Arial" w:hAnsi="Arial" w:cs="Arial"/>
        </w:rPr>
        <w:t>Dla projektów realizowanych w obszarze zabudowy:</w:t>
      </w:r>
    </w:p>
    <w:p w:rsidR="006101E2" w:rsidRPr="00846494" w:rsidRDefault="006101E2" w:rsidP="00137BC9">
      <w:pPr>
        <w:numPr>
          <w:ilvl w:val="0"/>
          <w:numId w:val="31"/>
        </w:numPr>
        <w:spacing w:before="120" w:after="120" w:line="360" w:lineRule="auto"/>
        <w:jc w:val="both"/>
        <w:rPr>
          <w:rFonts w:ascii="Arial" w:hAnsi="Arial" w:cs="Arial"/>
        </w:rPr>
      </w:pPr>
      <w:r w:rsidRPr="006101E2">
        <w:rPr>
          <w:rFonts w:ascii="Arial" w:hAnsi="Arial" w:cs="Arial"/>
        </w:rPr>
        <w:t xml:space="preserve">jednorodzinnej - za niekwalifikowalne uznaje się wydatki na </w:t>
      </w:r>
      <w:r w:rsidRPr="00846494">
        <w:rPr>
          <w:rFonts w:ascii="Arial" w:hAnsi="Arial" w:cs="Arial"/>
        </w:rPr>
        <w:t>realizację</w:t>
      </w:r>
      <w:r w:rsidR="00180CF6" w:rsidRPr="00846494">
        <w:rPr>
          <w:rFonts w:ascii="Arial" w:hAnsi="Arial" w:cs="Arial"/>
        </w:rPr>
        <w:t xml:space="preserve"> odcinka linii kablowych i ich duktów od granicy działki ewidencyjnej, na której usytuowany jest budynek, w którym znajduje się zakończenie tego odcinka</w:t>
      </w:r>
      <w:r w:rsidR="00BC5809">
        <w:rPr>
          <w:rFonts w:ascii="Arial" w:hAnsi="Arial" w:cs="Arial"/>
        </w:rPr>
        <w:t>,</w:t>
      </w:r>
      <w:r w:rsidR="00180CF6" w:rsidRPr="00846494">
        <w:rPr>
          <w:rFonts w:ascii="Arial" w:hAnsi="Arial" w:cs="Arial"/>
        </w:rPr>
        <w:t xml:space="preserve"> aż do zakończenia sieci</w:t>
      </w:r>
      <w:r w:rsidRPr="00846494">
        <w:rPr>
          <w:rFonts w:ascii="Arial" w:hAnsi="Arial" w:cs="Arial"/>
        </w:rPr>
        <w:t>,</w:t>
      </w:r>
    </w:p>
    <w:p w:rsidR="006101E2" w:rsidRPr="006101E2" w:rsidRDefault="006101E2" w:rsidP="00137BC9">
      <w:pPr>
        <w:numPr>
          <w:ilvl w:val="0"/>
          <w:numId w:val="31"/>
        </w:numPr>
        <w:spacing w:before="120" w:after="120" w:line="360" w:lineRule="auto"/>
        <w:jc w:val="both"/>
        <w:rPr>
          <w:rFonts w:ascii="Arial" w:hAnsi="Arial" w:cs="Arial"/>
        </w:rPr>
      </w:pPr>
      <w:r w:rsidRPr="006101E2">
        <w:rPr>
          <w:rFonts w:ascii="Arial" w:hAnsi="Arial" w:cs="Arial"/>
        </w:rPr>
        <w:t>wielorodzinnej - za niekwalifikowalne uznaje się wydatki na realizację</w:t>
      </w:r>
      <w:r w:rsidR="00180CF6">
        <w:rPr>
          <w:rFonts w:ascii="Arial" w:hAnsi="Arial" w:cs="Arial"/>
        </w:rPr>
        <w:t xml:space="preserve"> </w:t>
      </w:r>
      <w:r w:rsidR="006C4092">
        <w:rPr>
          <w:rFonts w:ascii="Arial" w:hAnsi="Arial" w:cs="Arial"/>
        </w:rPr>
        <w:t xml:space="preserve">instalacji </w:t>
      </w:r>
      <w:r w:rsidR="00180CF6" w:rsidRPr="00846494">
        <w:rPr>
          <w:rFonts w:ascii="Arial" w:hAnsi="Arial" w:cs="Arial"/>
        </w:rPr>
        <w:t>odcinka linii kablowych i ich duktów</w:t>
      </w:r>
      <w:r w:rsidRPr="006101E2">
        <w:rPr>
          <w:rFonts w:ascii="Arial" w:hAnsi="Arial" w:cs="Arial"/>
        </w:rPr>
        <w:t xml:space="preserve"> wewnątrz budynku wielorodzinnego, </w:t>
      </w:r>
      <w:r w:rsidRPr="00846494">
        <w:rPr>
          <w:rFonts w:ascii="Arial" w:hAnsi="Arial" w:cs="Arial"/>
        </w:rPr>
        <w:t xml:space="preserve">w tym </w:t>
      </w:r>
      <w:r w:rsidR="00180CF6" w:rsidRPr="00846494">
        <w:rPr>
          <w:rFonts w:ascii="Arial" w:hAnsi="Arial" w:cs="Arial"/>
        </w:rPr>
        <w:t>odcinka linii kablowych i ich duktów</w:t>
      </w:r>
      <w:r w:rsidRPr="006101E2">
        <w:rPr>
          <w:rFonts w:ascii="Arial" w:hAnsi="Arial" w:cs="Arial"/>
        </w:rPr>
        <w:t xml:space="preserve"> </w:t>
      </w:r>
      <w:r w:rsidR="006C4092">
        <w:rPr>
          <w:rFonts w:ascii="Arial" w:hAnsi="Arial" w:cs="Arial"/>
        </w:rPr>
        <w:t xml:space="preserve">instalacji </w:t>
      </w:r>
      <w:r w:rsidRPr="006101E2">
        <w:rPr>
          <w:rFonts w:ascii="Arial" w:hAnsi="Arial" w:cs="Arial"/>
        </w:rPr>
        <w:t xml:space="preserve">wewnątrz mieszkań. Dotyczy to </w:t>
      </w:r>
      <w:r w:rsidR="00180CF6" w:rsidRPr="00846494">
        <w:rPr>
          <w:rFonts w:ascii="Arial" w:hAnsi="Arial" w:cs="Arial"/>
        </w:rPr>
        <w:t>odcinka linii kablowych i ich duktów</w:t>
      </w:r>
      <w:r w:rsidR="00180CF6" w:rsidRPr="00846494" w:rsidDel="00180CF6">
        <w:rPr>
          <w:rFonts w:ascii="Arial" w:hAnsi="Arial" w:cs="Arial"/>
        </w:rPr>
        <w:t xml:space="preserve"> </w:t>
      </w:r>
      <w:r w:rsidRPr="006101E2">
        <w:rPr>
          <w:rFonts w:ascii="Arial" w:hAnsi="Arial" w:cs="Arial"/>
        </w:rPr>
        <w:t xml:space="preserve">od punktu połączenia instalacji telekomunikacyjnej z publiczną siecią telekomunikacyjną (punkt styku, o którym mowa w § 192f rozporządzenia Ministra Infrastruktury z dnia 12 kwietnia 2002 r. w sprawie warunków technicznych jakim powinny odpowiadać budynki i ich usytuowanie. Co do zasady rozporządzenie jest stosowane wyłącznie do nowych budynków, jednakże w przypadku projektów współfinansowanych z POPC, wskazana definicja będzie stosowana odpowiednio również do budynków istniejących) do zakończenia sieci, </w:t>
      </w:r>
    </w:p>
    <w:p w:rsidR="006101E2" w:rsidRPr="006101E2" w:rsidRDefault="006101E2" w:rsidP="00137BC9">
      <w:pPr>
        <w:numPr>
          <w:ilvl w:val="0"/>
          <w:numId w:val="31"/>
        </w:numPr>
        <w:spacing w:before="120" w:after="120" w:line="360" w:lineRule="auto"/>
        <w:jc w:val="both"/>
        <w:rPr>
          <w:rFonts w:ascii="Arial" w:hAnsi="Arial" w:cs="Arial"/>
        </w:rPr>
      </w:pPr>
      <w:r w:rsidRPr="006101E2">
        <w:rPr>
          <w:rFonts w:ascii="Arial" w:hAnsi="Arial" w:cs="Arial"/>
        </w:rPr>
        <w:t>wielorodzinnej typu szeregowego, stosuje się odpowiednio zasady dla zabudowy jednorodzinnej, przy czym uznaje się, że każdy wydzielony lokal mieszkalny może być traktowany jak odrębny dom jednorodzinny</w:t>
      </w:r>
      <w:r w:rsidR="00C70B34">
        <w:rPr>
          <w:rFonts w:ascii="Arial" w:hAnsi="Arial" w:cs="Arial"/>
        </w:rPr>
        <w:t>.</w:t>
      </w:r>
    </w:p>
    <w:p w:rsidR="006101E2" w:rsidRPr="006101E2" w:rsidRDefault="006101E2" w:rsidP="006101E2">
      <w:pPr>
        <w:spacing w:before="120" w:after="120" w:line="360" w:lineRule="auto"/>
        <w:ind w:left="357"/>
        <w:jc w:val="both"/>
        <w:rPr>
          <w:rFonts w:ascii="Arial" w:hAnsi="Arial" w:cs="Arial"/>
        </w:rPr>
      </w:pPr>
      <w:r w:rsidRPr="006101E2">
        <w:rPr>
          <w:rFonts w:ascii="Arial" w:hAnsi="Arial" w:cs="Arial"/>
        </w:rPr>
        <w:lastRenderedPageBreak/>
        <w:t>W przypadku mieszanego typu zabudowy danego obszaru, powyższe zasady stosuje się odpowiednio dla danego typu budynku jednorodzinnego, wielorodzinnego lub wielorodzinnego szeregowego.</w:t>
      </w:r>
    </w:p>
    <w:p w:rsidR="006101E2" w:rsidRPr="006101E2" w:rsidRDefault="006101E2" w:rsidP="006101E2">
      <w:pPr>
        <w:spacing w:before="120" w:after="120" w:line="360" w:lineRule="auto"/>
        <w:ind w:left="357"/>
        <w:jc w:val="both"/>
        <w:rPr>
          <w:rFonts w:ascii="Arial" w:hAnsi="Arial" w:cs="Arial"/>
        </w:rPr>
      </w:pPr>
      <w:r w:rsidRPr="006101E2">
        <w:rPr>
          <w:rFonts w:ascii="Arial" w:hAnsi="Arial" w:cs="Arial"/>
        </w:rPr>
        <w:t xml:space="preserve">W przypadku realizacji projektu w technologii bezprzewodowej za </w:t>
      </w:r>
      <w:r w:rsidR="0036761B" w:rsidRPr="006101E2">
        <w:rPr>
          <w:rFonts w:ascii="Arial" w:hAnsi="Arial" w:cs="Arial"/>
        </w:rPr>
        <w:t>niekwalifikowalne</w:t>
      </w:r>
      <w:r w:rsidRPr="006101E2">
        <w:rPr>
          <w:rFonts w:ascii="Arial" w:hAnsi="Arial" w:cs="Arial"/>
        </w:rPr>
        <w:t xml:space="preserve"> uznaje się wydatki dotyczące elementów infrastruktury i sieci telekomunikacyjnej instalowane w budynku stanowiącym lokalizację potencjalnego użytkownika końcowego.</w:t>
      </w:r>
    </w:p>
    <w:p w:rsidR="006101E2" w:rsidRPr="006101E2" w:rsidRDefault="006101E2" w:rsidP="006101E2">
      <w:pPr>
        <w:spacing w:before="120" w:after="120" w:line="360" w:lineRule="auto"/>
        <w:ind w:left="426"/>
        <w:jc w:val="both"/>
        <w:rPr>
          <w:rFonts w:ascii="Arial" w:hAnsi="Arial" w:cs="Arial"/>
        </w:rPr>
      </w:pPr>
      <w:r w:rsidRPr="006101E2">
        <w:rPr>
          <w:rFonts w:ascii="Arial" w:hAnsi="Arial" w:cs="Arial"/>
        </w:rPr>
        <w:t>W zakresie wydatków ponoszonych na realizację sieci do budynków użyteczności publicznej (w zakresie i na zasadach określonych w dokumentacji konkursowej) za niekwalifikowalne uznaje się wydatki na realizację instalacji wewnątrz budynku. Dotyczy to odcinka od punktu połączenia instalacji telekomunikacyjnej z publiczną siecią telekomunikacyjną (punkt styku, o którym mowa w § 192f rozporządzenia Ministra Infrastruktury z dnia 12 kwietnia 2002 r. w sprawie warunków technicznych jakim powinny odpowiadać budynki i ich usytuowanie. Co do zasady rozporządzenie jest stosowane wyłącznie do nowych budynków, jednakże w przypadku projektów współfinansowanych z POPC, wskazana definicja będzie stosowana odpowiednio, również do budynków istniejących) do zakończenia instalacji w poszczególnych lokalach użytkowych.</w:t>
      </w:r>
    </w:p>
    <w:p w:rsidR="006101E2" w:rsidRDefault="006101E2" w:rsidP="00137BC9">
      <w:pPr>
        <w:numPr>
          <w:ilvl w:val="0"/>
          <w:numId w:val="30"/>
        </w:numPr>
        <w:spacing w:before="120" w:after="120" w:line="360" w:lineRule="auto"/>
        <w:ind w:left="426"/>
        <w:jc w:val="both"/>
        <w:rPr>
          <w:rFonts w:ascii="Arial" w:hAnsi="Arial" w:cs="Arial"/>
        </w:rPr>
      </w:pPr>
      <w:r w:rsidRPr="006101E2">
        <w:rPr>
          <w:rFonts w:ascii="Arial" w:hAnsi="Arial" w:cs="Arial"/>
        </w:rPr>
        <w:t>Wszelkie wydatki dotyczące aktywnych elementów sieci, w szczególności urządzeń telekomunikacyjnych, w tym urządzeń radiowych instalowanych w telekomunikacyjnej sieci szkieletowej i dystrybucyjnej.</w:t>
      </w:r>
    </w:p>
    <w:p w:rsidR="004B1759" w:rsidRPr="000D79AE" w:rsidRDefault="004B1759" w:rsidP="00137BC9">
      <w:pPr>
        <w:pStyle w:val="Akapitzlist"/>
        <w:numPr>
          <w:ilvl w:val="0"/>
          <w:numId w:val="30"/>
        </w:numPr>
        <w:spacing w:after="0" w:line="360" w:lineRule="auto"/>
        <w:jc w:val="both"/>
        <w:rPr>
          <w:rFonts w:ascii="Arial" w:hAnsi="Arial" w:cs="Arial"/>
        </w:rPr>
      </w:pPr>
      <w:r>
        <w:rPr>
          <w:rFonts w:ascii="Arial" w:hAnsi="Arial" w:cs="Arial"/>
        </w:rPr>
        <w:t>Wszelkie w</w:t>
      </w:r>
      <w:r w:rsidRPr="007E469E">
        <w:rPr>
          <w:rFonts w:ascii="Arial" w:hAnsi="Arial" w:cs="Arial"/>
        </w:rPr>
        <w:t xml:space="preserve">ydatki związane z </w:t>
      </w:r>
      <w:r>
        <w:rPr>
          <w:rFonts w:ascii="Arial" w:hAnsi="Arial" w:cs="Arial"/>
        </w:rPr>
        <w:t>działaniami informacyjno-promocyjnymi</w:t>
      </w:r>
      <w:r w:rsidR="006A3152">
        <w:rPr>
          <w:rFonts w:ascii="Arial" w:hAnsi="Arial" w:cs="Arial"/>
        </w:rPr>
        <w:t xml:space="preserve"> w ramach projekt</w:t>
      </w:r>
      <w:r w:rsidR="009C2A2B">
        <w:rPr>
          <w:rFonts w:ascii="Arial" w:hAnsi="Arial" w:cs="Arial"/>
        </w:rPr>
        <w:t xml:space="preserve">ów w </w:t>
      </w:r>
      <w:r w:rsidR="009C2A2B" w:rsidRPr="006101E2">
        <w:rPr>
          <w:rFonts w:ascii="Arial" w:eastAsia="MS Mincho" w:hAnsi="Arial" w:cs="Arial"/>
          <w:lang w:eastAsia="ja-JP"/>
        </w:rPr>
        <w:t>I osi priorytetowej POPC</w:t>
      </w:r>
      <w:r w:rsidR="009C2A2B">
        <w:rPr>
          <w:rFonts w:ascii="Arial" w:hAnsi="Arial" w:cs="Arial"/>
        </w:rPr>
        <w:t xml:space="preserve">. </w:t>
      </w:r>
      <w:r w:rsidR="008F073C" w:rsidRPr="008F073C">
        <w:rPr>
          <w:rFonts w:ascii="Arial" w:hAnsi="Arial" w:cs="Arial"/>
        </w:rPr>
        <w:t xml:space="preserve">Beneficjent jest </w:t>
      </w:r>
      <w:r w:rsidR="009C2A2B">
        <w:rPr>
          <w:rFonts w:ascii="Arial" w:hAnsi="Arial" w:cs="Arial"/>
        </w:rPr>
        <w:t xml:space="preserve">jednak </w:t>
      </w:r>
      <w:r w:rsidR="008F073C" w:rsidRPr="008F073C">
        <w:rPr>
          <w:rFonts w:ascii="Arial" w:hAnsi="Arial" w:cs="Arial"/>
        </w:rPr>
        <w:t xml:space="preserve">zobowiązany do stosowania </w:t>
      </w:r>
      <w:r w:rsidR="009C2A2B">
        <w:rPr>
          <w:rFonts w:ascii="Arial" w:hAnsi="Arial" w:cs="Arial"/>
        </w:rPr>
        <w:t xml:space="preserve">obowiązków określonych w </w:t>
      </w:r>
      <w:r w:rsidR="008F073C" w:rsidRPr="008F073C">
        <w:rPr>
          <w:rFonts w:ascii="Arial" w:hAnsi="Arial" w:cs="Arial"/>
        </w:rPr>
        <w:t>punk</w:t>
      </w:r>
      <w:r w:rsidR="009C2A2B">
        <w:rPr>
          <w:rFonts w:ascii="Arial" w:hAnsi="Arial" w:cs="Arial"/>
        </w:rPr>
        <w:t>cie</w:t>
      </w:r>
      <w:r w:rsidR="008F073C" w:rsidRPr="008F073C">
        <w:rPr>
          <w:rFonts w:ascii="Arial" w:hAnsi="Arial" w:cs="Arial"/>
        </w:rPr>
        <w:t xml:space="preserve"> 2.2. załącznika XII do Rozporządzenia Rady nr</w:t>
      </w:r>
      <w:r w:rsidR="009C2A2B">
        <w:rPr>
          <w:rFonts w:ascii="Arial" w:hAnsi="Arial" w:cs="Arial"/>
        </w:rPr>
        <w:t> </w:t>
      </w:r>
      <w:r w:rsidR="008F073C" w:rsidRPr="008F073C">
        <w:rPr>
          <w:rFonts w:ascii="Arial" w:hAnsi="Arial" w:cs="Arial"/>
        </w:rPr>
        <w:t>1303/2013.</w:t>
      </w:r>
    </w:p>
    <w:p w:rsidR="006101E2" w:rsidRPr="006101E2" w:rsidRDefault="006101E2" w:rsidP="00137BC9">
      <w:pPr>
        <w:numPr>
          <w:ilvl w:val="0"/>
          <w:numId w:val="30"/>
        </w:numPr>
        <w:spacing w:before="120" w:after="120" w:line="360" w:lineRule="auto"/>
        <w:ind w:left="426"/>
        <w:jc w:val="both"/>
        <w:rPr>
          <w:rFonts w:ascii="Arial" w:hAnsi="Arial" w:cs="Arial"/>
        </w:rPr>
      </w:pPr>
      <w:r w:rsidRPr="006101E2">
        <w:rPr>
          <w:rFonts w:ascii="Arial" w:hAnsi="Arial" w:cs="Arial"/>
        </w:rPr>
        <w:t>Wszelkie wydatki dotyczące realizacji infrastruktury i sieci w zakresie wykraczającym poza minimalne wymagania określone w „</w:t>
      </w:r>
      <w:r w:rsidR="003B0435">
        <w:rPr>
          <w:rFonts w:ascii="Arial" w:hAnsi="Arial" w:cs="Arial"/>
        </w:rPr>
        <w:t xml:space="preserve">Wymaganiach dla sieci NGA </w:t>
      </w:r>
      <w:r w:rsidR="00893E1A">
        <w:rPr>
          <w:rFonts w:ascii="Arial" w:hAnsi="Arial" w:cs="Arial"/>
        </w:rPr>
        <w:t xml:space="preserve">- </w:t>
      </w:r>
      <w:r w:rsidR="003B0435">
        <w:rPr>
          <w:rFonts w:ascii="Arial" w:hAnsi="Arial" w:cs="Arial"/>
        </w:rPr>
        <w:t>POPC</w:t>
      </w:r>
      <w:r w:rsidR="00893E1A">
        <w:rPr>
          <w:rFonts w:ascii="Arial" w:hAnsi="Arial" w:cs="Arial"/>
        </w:rPr>
        <w:t>”</w:t>
      </w:r>
      <w:r w:rsidRPr="006101E2">
        <w:rPr>
          <w:rFonts w:ascii="Arial" w:hAnsi="Arial" w:cs="Arial"/>
        </w:rPr>
        <w:t xml:space="preserve"> stanowiących załączniki do dokumentacji konkursowej.</w:t>
      </w:r>
    </w:p>
    <w:p w:rsidR="006101E2" w:rsidRPr="006101E2" w:rsidRDefault="006101E2" w:rsidP="00137BC9">
      <w:pPr>
        <w:numPr>
          <w:ilvl w:val="0"/>
          <w:numId w:val="30"/>
        </w:numPr>
        <w:spacing w:before="120" w:after="120" w:line="360" w:lineRule="auto"/>
        <w:ind w:left="426"/>
        <w:jc w:val="both"/>
        <w:rPr>
          <w:rFonts w:ascii="Arial" w:hAnsi="Arial" w:cs="Arial"/>
        </w:rPr>
      </w:pPr>
      <w:r w:rsidRPr="006101E2">
        <w:rPr>
          <w:rFonts w:ascii="Arial" w:hAnsi="Arial" w:cs="Arial"/>
        </w:rPr>
        <w:t>Wszelkie wydatki związane ze świadczeniem usług detalicznych i hurtowych, w tym zapewnieniem obsługi klientów, rozliczeń z nimi, przedstawienia ofert i cenników.</w:t>
      </w:r>
    </w:p>
    <w:p w:rsidR="006101E2" w:rsidRPr="006101E2" w:rsidRDefault="006101E2" w:rsidP="00137BC9">
      <w:pPr>
        <w:numPr>
          <w:ilvl w:val="0"/>
          <w:numId w:val="30"/>
        </w:numPr>
        <w:spacing w:before="120" w:after="120" w:line="360" w:lineRule="auto"/>
        <w:ind w:left="426"/>
        <w:jc w:val="both"/>
        <w:rPr>
          <w:rFonts w:ascii="Arial" w:hAnsi="Arial" w:cs="Arial"/>
        </w:rPr>
      </w:pPr>
      <w:r w:rsidRPr="006101E2">
        <w:rPr>
          <w:rFonts w:ascii="Arial" w:hAnsi="Arial" w:cs="Arial"/>
        </w:rPr>
        <w:t xml:space="preserve">Wszelkie wydatki dotyczące realizacji infrastruktury i sieci w zakresie w jakim ich realizacja wynika z zobowiązań lub obowiązków nałożonych przez podmioty publiczne (innych niż wynikające z realizacji umowy o dofinasowanie) w szczególności obowiązki  lub zobowiązania, o których mowa w art. 43a oraz art. 115 ust. 1 pkt 9 </w:t>
      </w:r>
      <w:r w:rsidRPr="00734B08">
        <w:rPr>
          <w:rFonts w:ascii="Arial" w:hAnsi="Arial" w:cs="Arial"/>
          <w:i/>
        </w:rPr>
        <w:t>Praw</w:t>
      </w:r>
      <w:r w:rsidR="00734B08" w:rsidRPr="00734B08">
        <w:rPr>
          <w:rFonts w:ascii="Arial" w:hAnsi="Arial" w:cs="Arial"/>
          <w:i/>
        </w:rPr>
        <w:t>a</w:t>
      </w:r>
      <w:r w:rsidRPr="00734B08">
        <w:rPr>
          <w:rFonts w:ascii="Arial" w:hAnsi="Arial" w:cs="Arial"/>
          <w:i/>
        </w:rPr>
        <w:t xml:space="preserve"> telekomunikacyjne</w:t>
      </w:r>
      <w:r w:rsidR="00734B08" w:rsidRPr="00734B08">
        <w:rPr>
          <w:rFonts w:ascii="Arial" w:hAnsi="Arial" w:cs="Arial"/>
          <w:i/>
        </w:rPr>
        <w:t>go.</w:t>
      </w:r>
      <w:r w:rsidR="00297AC7">
        <w:rPr>
          <w:rFonts w:ascii="Arial" w:hAnsi="Arial" w:cs="Arial"/>
        </w:rPr>
        <w:t xml:space="preserve"> </w:t>
      </w:r>
    </w:p>
    <w:p w:rsidR="006101E2" w:rsidRDefault="006101E2" w:rsidP="00137BC9">
      <w:pPr>
        <w:numPr>
          <w:ilvl w:val="0"/>
          <w:numId w:val="30"/>
        </w:numPr>
        <w:spacing w:before="120" w:after="120" w:line="360" w:lineRule="auto"/>
        <w:ind w:left="426"/>
        <w:jc w:val="both"/>
        <w:rPr>
          <w:rFonts w:ascii="Arial" w:hAnsi="Arial" w:cs="Arial"/>
        </w:rPr>
      </w:pPr>
      <w:r w:rsidRPr="006101E2">
        <w:rPr>
          <w:rFonts w:ascii="Arial" w:hAnsi="Arial" w:cs="Arial"/>
        </w:rPr>
        <w:lastRenderedPageBreak/>
        <w:t>Koszty pośrednie.</w:t>
      </w:r>
    </w:p>
    <w:p w:rsidR="00A27714" w:rsidRPr="006101E2" w:rsidRDefault="00A27714" w:rsidP="00137BC9">
      <w:pPr>
        <w:numPr>
          <w:ilvl w:val="0"/>
          <w:numId w:val="30"/>
        </w:numPr>
        <w:spacing w:before="120" w:after="120" w:line="360" w:lineRule="auto"/>
        <w:ind w:left="426"/>
        <w:jc w:val="both"/>
        <w:rPr>
          <w:rFonts w:ascii="Arial" w:hAnsi="Arial" w:cs="Arial"/>
        </w:rPr>
      </w:pPr>
      <w:r>
        <w:rPr>
          <w:rFonts w:ascii="Arial" w:hAnsi="Arial" w:cs="Arial"/>
        </w:rPr>
        <w:t>Wkład niepieniężny</w:t>
      </w:r>
    </w:p>
    <w:p w:rsidR="006101E2" w:rsidRPr="006101E2" w:rsidRDefault="006101E2" w:rsidP="00137BC9">
      <w:pPr>
        <w:numPr>
          <w:ilvl w:val="0"/>
          <w:numId w:val="30"/>
        </w:numPr>
        <w:spacing w:before="120" w:after="120" w:line="360" w:lineRule="auto"/>
        <w:ind w:left="426"/>
        <w:jc w:val="both"/>
        <w:rPr>
          <w:rFonts w:ascii="Arial" w:hAnsi="Arial" w:cs="Arial"/>
        </w:rPr>
      </w:pPr>
      <w:r w:rsidRPr="006101E2">
        <w:rPr>
          <w:rFonts w:ascii="Arial" w:hAnsi="Arial" w:cs="Arial"/>
        </w:rPr>
        <w:t>Inne wydatki niewymienione w katalogu wydatków kwalifikowalnych.</w:t>
      </w:r>
    </w:p>
    <w:p w:rsidR="006101E2" w:rsidRPr="000C2C01" w:rsidRDefault="006101E2" w:rsidP="00602DF9">
      <w:pPr>
        <w:keepNext/>
        <w:keepLines/>
        <w:numPr>
          <w:ilvl w:val="2"/>
          <w:numId w:val="1"/>
        </w:numPr>
        <w:spacing w:before="240" w:after="60" w:line="360" w:lineRule="auto"/>
        <w:jc w:val="center"/>
        <w:outlineLvl w:val="2"/>
        <w:rPr>
          <w:rFonts w:ascii="Arial" w:eastAsiaTheme="majorEastAsia" w:hAnsi="Arial" w:cs="Arial"/>
          <w:bCs/>
          <w:i/>
          <w:sz w:val="24"/>
          <w:szCs w:val="24"/>
        </w:rPr>
      </w:pPr>
      <w:bookmarkStart w:id="124" w:name="_Toc508630120"/>
      <w:r w:rsidRPr="000C2C01">
        <w:rPr>
          <w:rFonts w:ascii="Arial" w:eastAsiaTheme="majorEastAsia" w:hAnsi="Arial" w:cs="Arial"/>
          <w:bCs/>
          <w:i/>
          <w:sz w:val="24"/>
          <w:szCs w:val="24"/>
        </w:rPr>
        <w:t>Warunki oraz okres kwalifikowania wydatków w projektach podlegających zasadom pomocy publicznej</w:t>
      </w:r>
      <w:bookmarkEnd w:id="124"/>
    </w:p>
    <w:p w:rsidR="006101E2" w:rsidRPr="000C2C01" w:rsidRDefault="006101E2" w:rsidP="00137BC9">
      <w:pPr>
        <w:pStyle w:val="Akapitzlist"/>
        <w:numPr>
          <w:ilvl w:val="0"/>
          <w:numId w:val="53"/>
        </w:numPr>
        <w:spacing w:before="120" w:after="120" w:line="360" w:lineRule="auto"/>
        <w:jc w:val="both"/>
        <w:rPr>
          <w:rFonts w:ascii="Arial" w:hAnsi="Arial" w:cs="Arial"/>
        </w:rPr>
      </w:pPr>
      <w:r w:rsidRPr="000C2C01">
        <w:rPr>
          <w:rFonts w:ascii="Arial" w:hAnsi="Arial" w:cs="Arial"/>
        </w:rPr>
        <w:t>Wszystkie projekty w ramach I osi priorytetowej POPC podlegają zasadom pomocy publicznej określonych w </w:t>
      </w:r>
      <w:r w:rsidR="000C2C01">
        <w:rPr>
          <w:rFonts w:ascii="Arial" w:hAnsi="Arial" w:cs="Arial"/>
        </w:rPr>
        <w:t xml:space="preserve"> przepisach rozdziału I </w:t>
      </w:r>
      <w:proofErr w:type="spellStart"/>
      <w:r w:rsidR="000C2C01">
        <w:rPr>
          <w:rFonts w:ascii="Arial" w:hAnsi="Arial" w:cs="Arial"/>
        </w:rPr>
        <w:t>i</w:t>
      </w:r>
      <w:proofErr w:type="spellEnd"/>
      <w:r w:rsidR="000C2C01">
        <w:rPr>
          <w:rFonts w:ascii="Arial" w:hAnsi="Arial" w:cs="Arial"/>
        </w:rPr>
        <w:t xml:space="preserve"> </w:t>
      </w:r>
      <w:r w:rsidRPr="000C2C01">
        <w:rPr>
          <w:rFonts w:ascii="Arial" w:hAnsi="Arial" w:cs="Arial"/>
        </w:rPr>
        <w:t xml:space="preserve">art. 52 GBER oraz opracowanego na </w:t>
      </w:r>
      <w:r w:rsidR="000C2C01">
        <w:rPr>
          <w:rFonts w:ascii="Arial" w:hAnsi="Arial" w:cs="Arial"/>
        </w:rPr>
        <w:t xml:space="preserve">ich </w:t>
      </w:r>
      <w:r w:rsidRPr="000C2C01">
        <w:rPr>
          <w:rFonts w:ascii="Arial" w:hAnsi="Arial" w:cs="Arial"/>
        </w:rPr>
        <w:t xml:space="preserve">podstawie rozporządzenia pomocowego dla I osi. </w:t>
      </w:r>
    </w:p>
    <w:p w:rsidR="006101E2" w:rsidRPr="000C2C01" w:rsidRDefault="001C6FB3" w:rsidP="00137BC9">
      <w:pPr>
        <w:pStyle w:val="Akapitzlist"/>
        <w:numPr>
          <w:ilvl w:val="0"/>
          <w:numId w:val="53"/>
        </w:numPr>
        <w:spacing w:before="120" w:after="120" w:line="360" w:lineRule="auto"/>
        <w:jc w:val="both"/>
        <w:rPr>
          <w:rFonts w:ascii="Arial" w:hAnsi="Arial" w:cs="Arial"/>
        </w:rPr>
      </w:pPr>
      <w:r w:rsidRPr="000C2C01">
        <w:rPr>
          <w:rFonts w:ascii="Arial" w:hAnsi="Arial" w:cs="Arial"/>
        </w:rPr>
        <w:t>W</w:t>
      </w:r>
      <w:r w:rsidR="006101E2" w:rsidRPr="000C2C01">
        <w:rPr>
          <w:rFonts w:ascii="Arial" w:hAnsi="Arial" w:cs="Arial"/>
        </w:rPr>
        <w:t xml:space="preserve">ydatki mogą </w:t>
      </w:r>
      <w:r w:rsidRPr="000C2C01">
        <w:rPr>
          <w:rFonts w:ascii="Arial" w:hAnsi="Arial" w:cs="Arial"/>
        </w:rPr>
        <w:t xml:space="preserve">jednocześnie </w:t>
      </w:r>
      <w:r w:rsidR="006101E2" w:rsidRPr="000C2C01">
        <w:rPr>
          <w:rFonts w:ascii="Arial" w:hAnsi="Arial" w:cs="Arial"/>
        </w:rPr>
        <w:t xml:space="preserve">podlegać zasadom pomocy </w:t>
      </w:r>
      <w:r w:rsidR="006101E2" w:rsidRPr="000C2C01">
        <w:rPr>
          <w:rFonts w:ascii="Arial" w:hAnsi="Arial" w:cs="Arial"/>
          <w:i/>
        </w:rPr>
        <w:t xml:space="preserve">de </w:t>
      </w:r>
      <w:proofErr w:type="spellStart"/>
      <w:r w:rsidR="006101E2" w:rsidRPr="000C2C01">
        <w:rPr>
          <w:rFonts w:ascii="Arial" w:hAnsi="Arial" w:cs="Arial"/>
          <w:i/>
        </w:rPr>
        <w:t>minimis</w:t>
      </w:r>
      <w:proofErr w:type="spellEnd"/>
      <w:r w:rsidR="006101E2" w:rsidRPr="000C2C01">
        <w:rPr>
          <w:rFonts w:ascii="Arial" w:hAnsi="Arial" w:cs="Arial"/>
        </w:rPr>
        <w:t xml:space="preserve"> określonej w rozporządzeniu Komisji (UE) nr 1407/2013 w odniesieniu do wskazanych w </w:t>
      </w:r>
      <w:r w:rsidR="001823B0" w:rsidRPr="000C19C0">
        <w:rPr>
          <w:rFonts w:ascii="Arial" w:hAnsi="Arial" w:cs="Arial"/>
          <w:i/>
        </w:rPr>
        <w:t>Katalogu</w:t>
      </w:r>
      <w:r w:rsidR="001823B0" w:rsidRPr="000C2C01">
        <w:rPr>
          <w:rFonts w:ascii="Arial" w:hAnsi="Arial" w:cs="Arial"/>
        </w:rPr>
        <w:t xml:space="preserve"> </w:t>
      </w:r>
      <w:r w:rsidR="006101E2" w:rsidRPr="000C2C01">
        <w:rPr>
          <w:rFonts w:ascii="Arial" w:hAnsi="Arial" w:cs="Arial"/>
        </w:rPr>
        <w:t>wydatków.</w:t>
      </w:r>
    </w:p>
    <w:p w:rsidR="006101E2" w:rsidRPr="000C2C01" w:rsidRDefault="006101E2" w:rsidP="00137BC9">
      <w:pPr>
        <w:pStyle w:val="Akapitzlist"/>
        <w:numPr>
          <w:ilvl w:val="0"/>
          <w:numId w:val="53"/>
        </w:numPr>
        <w:spacing w:before="120" w:after="120" w:line="360" w:lineRule="auto"/>
        <w:jc w:val="both"/>
        <w:rPr>
          <w:rFonts w:ascii="Arial" w:eastAsiaTheme="majorEastAsia" w:hAnsi="Arial" w:cs="Arial"/>
          <w:b/>
          <w:bCs/>
          <w:sz w:val="24"/>
          <w:szCs w:val="24"/>
        </w:rPr>
      </w:pPr>
      <w:r w:rsidRPr="000C2C01">
        <w:rPr>
          <w:rFonts w:ascii="Arial" w:hAnsi="Arial" w:cs="Arial"/>
        </w:rPr>
        <w:t>Wszystkie główne kategorie wydatków określone w niniejszym rozdziale, odzwierciedlają wprost kategorie wydatków przewidziane w rozporządzeniu pomocowym dla I osi oraz je uszczegóławiają, nie przewidując nowych kategorii wydatków.</w:t>
      </w:r>
    </w:p>
    <w:p w:rsidR="00DC1407" w:rsidRDefault="00DC1407" w:rsidP="009C6AED">
      <w:pPr>
        <w:pStyle w:val="Akapitzlist"/>
        <w:spacing w:before="120" w:after="120" w:line="360" w:lineRule="auto"/>
        <w:ind w:left="360"/>
        <w:jc w:val="both"/>
        <w:rPr>
          <w:rFonts w:ascii="Arial" w:hAnsi="Arial" w:cs="Arial"/>
        </w:rPr>
      </w:pPr>
    </w:p>
    <w:p w:rsidR="00A77C3B" w:rsidRDefault="00A77C3B" w:rsidP="009C6AED">
      <w:pPr>
        <w:pStyle w:val="Akapitzlist"/>
        <w:spacing w:before="120" w:after="120" w:line="360" w:lineRule="auto"/>
        <w:ind w:left="360"/>
        <w:jc w:val="both"/>
        <w:rPr>
          <w:rFonts w:ascii="Arial" w:hAnsi="Arial" w:cs="Arial"/>
        </w:rPr>
      </w:pPr>
    </w:p>
    <w:p w:rsidR="00A77C3B" w:rsidRDefault="00A77C3B" w:rsidP="009C6AED">
      <w:pPr>
        <w:pStyle w:val="Akapitzlist"/>
        <w:spacing w:before="120" w:after="120" w:line="360" w:lineRule="auto"/>
        <w:ind w:left="360"/>
        <w:jc w:val="both"/>
        <w:rPr>
          <w:rFonts w:ascii="Arial" w:hAnsi="Arial" w:cs="Arial"/>
        </w:rPr>
      </w:pPr>
    </w:p>
    <w:p w:rsidR="00A77C3B" w:rsidRDefault="00A77C3B" w:rsidP="009C6AED">
      <w:pPr>
        <w:pStyle w:val="Akapitzlist"/>
        <w:spacing w:before="120" w:after="120" w:line="360" w:lineRule="auto"/>
        <w:ind w:left="360"/>
        <w:jc w:val="both"/>
        <w:rPr>
          <w:rFonts w:ascii="Arial" w:hAnsi="Arial" w:cs="Arial"/>
        </w:rPr>
      </w:pPr>
    </w:p>
    <w:p w:rsidR="00A77C3B" w:rsidRDefault="00A77C3B" w:rsidP="009C6AED">
      <w:pPr>
        <w:pStyle w:val="Akapitzlist"/>
        <w:spacing w:before="120" w:after="120" w:line="360" w:lineRule="auto"/>
        <w:ind w:left="360"/>
        <w:jc w:val="both"/>
        <w:rPr>
          <w:rFonts w:ascii="Arial" w:hAnsi="Arial" w:cs="Arial"/>
        </w:rPr>
      </w:pPr>
    </w:p>
    <w:p w:rsidR="00A77C3B" w:rsidRDefault="00A77C3B" w:rsidP="009C6AED">
      <w:pPr>
        <w:pStyle w:val="Akapitzlist"/>
        <w:spacing w:before="120" w:after="120" w:line="360" w:lineRule="auto"/>
        <w:ind w:left="360"/>
        <w:jc w:val="both"/>
        <w:rPr>
          <w:rFonts w:ascii="Arial" w:hAnsi="Arial" w:cs="Arial"/>
        </w:rPr>
      </w:pPr>
    </w:p>
    <w:p w:rsidR="00A77C3B" w:rsidRDefault="00A77C3B" w:rsidP="009C6AED">
      <w:pPr>
        <w:pStyle w:val="Akapitzlist"/>
        <w:spacing w:before="120" w:after="120" w:line="360" w:lineRule="auto"/>
        <w:ind w:left="360"/>
        <w:jc w:val="both"/>
        <w:rPr>
          <w:rFonts w:ascii="Arial" w:hAnsi="Arial" w:cs="Arial"/>
        </w:rPr>
      </w:pPr>
    </w:p>
    <w:p w:rsidR="00A77C3B" w:rsidRDefault="00A77C3B" w:rsidP="009C6AED">
      <w:pPr>
        <w:pStyle w:val="Akapitzlist"/>
        <w:spacing w:before="120" w:after="120" w:line="360" w:lineRule="auto"/>
        <w:ind w:left="360"/>
        <w:jc w:val="both"/>
        <w:rPr>
          <w:rFonts w:ascii="Arial" w:hAnsi="Arial" w:cs="Arial"/>
        </w:rPr>
      </w:pPr>
    </w:p>
    <w:p w:rsidR="00A03923" w:rsidRDefault="00A03923" w:rsidP="00A77C3B">
      <w:pPr>
        <w:pStyle w:val="Nagwek2"/>
        <w:numPr>
          <w:ilvl w:val="1"/>
          <w:numId w:val="1"/>
        </w:numPr>
        <w:spacing w:before="240" w:after="60" w:line="360" w:lineRule="auto"/>
        <w:jc w:val="center"/>
        <w:rPr>
          <w:rFonts w:ascii="Arial" w:hAnsi="Arial" w:cs="Arial"/>
          <w:i/>
          <w:color w:val="auto"/>
          <w:sz w:val="24"/>
          <w:szCs w:val="24"/>
        </w:rPr>
      </w:pPr>
      <w:r>
        <w:rPr>
          <w:rFonts w:ascii="Arial" w:hAnsi="Arial" w:cs="Arial"/>
          <w:i/>
          <w:color w:val="auto"/>
          <w:sz w:val="24"/>
          <w:szCs w:val="24"/>
        </w:rPr>
        <w:br w:type="page"/>
      </w:r>
    </w:p>
    <w:p w:rsidR="00DC1407" w:rsidRPr="00A77C3B" w:rsidRDefault="00DC1407" w:rsidP="00A77C3B">
      <w:pPr>
        <w:pStyle w:val="Nagwek2"/>
        <w:numPr>
          <w:ilvl w:val="1"/>
          <w:numId w:val="1"/>
        </w:numPr>
        <w:spacing w:before="240" w:after="60" w:line="360" w:lineRule="auto"/>
        <w:jc w:val="center"/>
        <w:rPr>
          <w:rFonts w:ascii="Arial" w:hAnsi="Arial" w:cs="Arial"/>
          <w:i/>
          <w:color w:val="auto"/>
          <w:sz w:val="24"/>
          <w:szCs w:val="24"/>
        </w:rPr>
      </w:pPr>
      <w:bookmarkStart w:id="125" w:name="_Toc508630121"/>
      <w:r w:rsidRPr="00C632DB">
        <w:rPr>
          <w:rFonts w:ascii="Arial" w:hAnsi="Arial" w:cs="Arial"/>
          <w:i/>
          <w:color w:val="auto"/>
          <w:sz w:val="24"/>
          <w:szCs w:val="24"/>
        </w:rPr>
        <w:lastRenderedPageBreak/>
        <w:t xml:space="preserve">Katalog wydatków kwalifikowalnych w ramach Działania 1.1 </w:t>
      </w:r>
      <w:r>
        <w:rPr>
          <w:rFonts w:ascii="Arial" w:hAnsi="Arial" w:cs="Arial"/>
          <w:i/>
          <w:color w:val="auto"/>
          <w:sz w:val="24"/>
          <w:szCs w:val="24"/>
        </w:rPr>
        <w:t>„</w:t>
      </w:r>
      <w:r w:rsidRPr="00C632DB">
        <w:rPr>
          <w:rFonts w:ascii="Arial" w:hAnsi="Arial" w:cs="Arial"/>
          <w:i/>
          <w:color w:val="auto"/>
          <w:sz w:val="24"/>
          <w:szCs w:val="24"/>
        </w:rPr>
        <w:t xml:space="preserve">Wyeliminowanie terytorialnych różnic w możliwości dostępu do szerokopasmowego </w:t>
      </w:r>
      <w:proofErr w:type="spellStart"/>
      <w:r w:rsidRPr="00C632DB">
        <w:rPr>
          <w:rFonts w:ascii="Arial" w:hAnsi="Arial" w:cs="Arial"/>
          <w:i/>
          <w:color w:val="auto"/>
          <w:sz w:val="24"/>
          <w:szCs w:val="24"/>
        </w:rPr>
        <w:t>internetu</w:t>
      </w:r>
      <w:proofErr w:type="spellEnd"/>
      <w:r w:rsidRPr="00C632DB">
        <w:rPr>
          <w:rFonts w:ascii="Arial" w:hAnsi="Arial" w:cs="Arial"/>
          <w:i/>
          <w:color w:val="auto"/>
          <w:sz w:val="24"/>
          <w:szCs w:val="24"/>
        </w:rPr>
        <w:t xml:space="preserve"> o wysokich przepustowościach</w:t>
      </w:r>
      <w:r>
        <w:rPr>
          <w:rFonts w:ascii="Arial" w:hAnsi="Arial" w:cs="Arial"/>
          <w:i/>
          <w:color w:val="auto"/>
          <w:sz w:val="24"/>
          <w:szCs w:val="24"/>
        </w:rPr>
        <w:t>”</w:t>
      </w:r>
      <w:r w:rsidRPr="00C632DB">
        <w:rPr>
          <w:rFonts w:ascii="Arial" w:hAnsi="Arial" w:cs="Arial"/>
          <w:i/>
          <w:color w:val="auto"/>
          <w:sz w:val="24"/>
          <w:szCs w:val="24"/>
        </w:rPr>
        <w:t xml:space="preserve"> dla nabor</w:t>
      </w:r>
      <w:r w:rsidR="009C4ADD">
        <w:rPr>
          <w:rFonts w:ascii="Arial" w:hAnsi="Arial" w:cs="Arial"/>
          <w:i/>
          <w:color w:val="auto"/>
          <w:sz w:val="24"/>
          <w:szCs w:val="24"/>
        </w:rPr>
        <w:t>ów</w:t>
      </w:r>
      <w:r>
        <w:rPr>
          <w:rFonts w:ascii="Arial" w:hAnsi="Arial" w:cs="Arial"/>
          <w:i/>
          <w:color w:val="auto"/>
          <w:sz w:val="24"/>
          <w:szCs w:val="24"/>
        </w:rPr>
        <w:t xml:space="preserve"> nr</w:t>
      </w:r>
      <w:r w:rsidRPr="00C632DB">
        <w:rPr>
          <w:rFonts w:ascii="Arial" w:hAnsi="Arial" w:cs="Arial"/>
          <w:i/>
          <w:color w:val="auto"/>
          <w:sz w:val="24"/>
          <w:szCs w:val="24"/>
        </w:rPr>
        <w:t xml:space="preserve"> </w:t>
      </w:r>
      <w:r>
        <w:rPr>
          <w:rFonts w:ascii="Arial" w:hAnsi="Arial" w:cs="Arial"/>
          <w:i/>
          <w:color w:val="auto"/>
          <w:sz w:val="24"/>
          <w:szCs w:val="24"/>
        </w:rPr>
        <w:t>POPC.01.01.00-IP.01-00-002/16</w:t>
      </w:r>
      <w:bookmarkEnd w:id="125"/>
      <w:r w:rsidR="00906D5B">
        <w:rPr>
          <w:rFonts w:ascii="Arial" w:hAnsi="Arial" w:cs="Arial"/>
          <w:i/>
          <w:color w:val="auto"/>
          <w:sz w:val="24"/>
          <w:szCs w:val="24"/>
        </w:rPr>
        <w:t xml:space="preserve"> </w:t>
      </w:r>
    </w:p>
    <w:p w:rsidR="00944E2A" w:rsidRPr="00C632DB" w:rsidRDefault="00C632DB" w:rsidP="00A77C3B">
      <w:pPr>
        <w:pStyle w:val="Nagwek2"/>
        <w:numPr>
          <w:ilvl w:val="2"/>
          <w:numId w:val="1"/>
        </w:numPr>
        <w:spacing w:before="240" w:after="60" w:line="360" w:lineRule="auto"/>
        <w:jc w:val="center"/>
        <w:rPr>
          <w:rFonts w:ascii="Arial" w:hAnsi="Arial" w:cs="Arial"/>
          <w:b w:val="0"/>
          <w:i/>
          <w:color w:val="auto"/>
          <w:sz w:val="24"/>
          <w:szCs w:val="24"/>
        </w:rPr>
      </w:pPr>
      <w:bookmarkStart w:id="126" w:name="_Toc508630122"/>
      <w:r>
        <w:rPr>
          <w:rFonts w:ascii="Arial" w:hAnsi="Arial" w:cs="Arial"/>
          <w:b w:val="0"/>
          <w:i/>
          <w:color w:val="auto"/>
          <w:sz w:val="24"/>
          <w:szCs w:val="24"/>
        </w:rPr>
        <w:t>W</w:t>
      </w:r>
      <w:r w:rsidR="0036568A" w:rsidRPr="00C632DB">
        <w:rPr>
          <w:rFonts w:ascii="Arial" w:hAnsi="Arial" w:cs="Arial"/>
          <w:b w:val="0"/>
          <w:i/>
          <w:color w:val="auto"/>
          <w:sz w:val="24"/>
          <w:szCs w:val="24"/>
        </w:rPr>
        <w:t>ydatki kwalifikowalne</w:t>
      </w:r>
      <w:bookmarkEnd w:id="126"/>
    </w:p>
    <w:p w:rsidR="0036568A" w:rsidRPr="0036568A" w:rsidRDefault="0036568A" w:rsidP="00C632DB">
      <w:pPr>
        <w:autoSpaceDE w:val="0"/>
        <w:autoSpaceDN w:val="0"/>
        <w:adjustRightInd w:val="0"/>
        <w:spacing w:before="120" w:after="120" w:line="360" w:lineRule="auto"/>
        <w:jc w:val="both"/>
        <w:rPr>
          <w:rFonts w:ascii="Arial" w:hAnsi="Arial" w:cs="Arial"/>
        </w:rPr>
      </w:pPr>
      <w:bookmarkStart w:id="127" w:name="_Toc429043907"/>
      <w:bookmarkEnd w:id="127"/>
      <w:r w:rsidRPr="0036568A">
        <w:rPr>
          <w:rFonts w:ascii="Arial" w:hAnsi="Arial" w:cs="Arial"/>
        </w:rPr>
        <w:t xml:space="preserve">Wydatki kwalifikowalne określone zostały w rozporządzeniu Ministra Administracji i Cyfryzacji z dnia 16 września 2015 r. </w:t>
      </w:r>
      <w:r w:rsidRPr="0036568A">
        <w:rPr>
          <w:rFonts w:ascii="Arial" w:hAnsi="Arial" w:cs="Arial"/>
          <w:i/>
        </w:rPr>
        <w:t>w sprawie udzielania pomocy na rozwój infrastruktury szerokopasmowej w ramach Programu Operacyjnego Polska Cyfrowa na lata 2014–2020</w:t>
      </w:r>
      <w:r w:rsidRPr="0036568A">
        <w:rPr>
          <w:rFonts w:ascii="Arial" w:hAnsi="Arial" w:cs="Arial"/>
        </w:rPr>
        <w:t xml:space="preserve"> (Dz. U. z 2015 r. poz. 1466</w:t>
      </w:r>
      <w:r w:rsidR="00037054">
        <w:rPr>
          <w:rFonts w:ascii="Arial" w:hAnsi="Arial" w:cs="Arial"/>
        </w:rPr>
        <w:t>, ze zm.</w:t>
      </w:r>
      <w:r w:rsidRPr="0036568A">
        <w:rPr>
          <w:rFonts w:ascii="Arial" w:hAnsi="Arial" w:cs="Arial"/>
        </w:rPr>
        <w:t>), dalej jako „rozporządzenie pomocowe dla I osi”. Niniejsz</w:t>
      </w:r>
      <w:r w:rsidR="00EE7DEE">
        <w:rPr>
          <w:rFonts w:ascii="Arial" w:hAnsi="Arial" w:cs="Arial"/>
        </w:rPr>
        <w:t>y</w:t>
      </w:r>
      <w:r w:rsidRPr="0036568A">
        <w:rPr>
          <w:rFonts w:ascii="Arial" w:hAnsi="Arial" w:cs="Arial"/>
        </w:rPr>
        <w:t xml:space="preserve"> </w:t>
      </w:r>
      <w:r w:rsidR="00EE7DEE" w:rsidRPr="00EE7DEE">
        <w:rPr>
          <w:rFonts w:ascii="Arial" w:hAnsi="Arial" w:cs="Arial"/>
          <w:i/>
        </w:rPr>
        <w:t>Katalog</w:t>
      </w:r>
      <w:r w:rsidRPr="0036568A">
        <w:rPr>
          <w:rFonts w:ascii="Arial" w:hAnsi="Arial" w:cs="Arial"/>
        </w:rPr>
        <w:t xml:space="preserve"> powtarza główne kategorie wydatków wskazane w rozporządzeniu, określając jednocześnie szczegółowe zasady ich kwalifikowania z uwzględnieniem odpowiednich limitów i </w:t>
      </w:r>
      <w:proofErr w:type="spellStart"/>
      <w:r w:rsidRPr="0036568A">
        <w:rPr>
          <w:rFonts w:ascii="Arial" w:hAnsi="Arial" w:cs="Arial"/>
        </w:rPr>
        <w:t>wyłączeń</w:t>
      </w:r>
      <w:proofErr w:type="spellEnd"/>
      <w:r w:rsidRPr="0036568A">
        <w:rPr>
          <w:rFonts w:ascii="Arial" w:hAnsi="Arial" w:cs="Arial"/>
        </w:rPr>
        <w:t>.</w:t>
      </w:r>
    </w:p>
    <w:p w:rsidR="0036568A" w:rsidRDefault="0036568A" w:rsidP="0036568A">
      <w:pPr>
        <w:rPr>
          <w:rFonts w:ascii="Arial" w:hAnsi="Arial" w:cs="Arial"/>
        </w:rPr>
      </w:pPr>
      <w:r w:rsidRPr="0036568A">
        <w:rPr>
          <w:rFonts w:ascii="Arial" w:hAnsi="Arial" w:cs="Arial"/>
        </w:rPr>
        <w:t>Tabela 1. Klasyfikacja wydatków w osi I POPC.</w:t>
      </w:r>
    </w:p>
    <w:tbl>
      <w:tblPr>
        <w:tblStyle w:val="Tabela-Siatka"/>
        <w:tblW w:w="0" w:type="auto"/>
        <w:tblLook w:val="04A0" w:firstRow="1" w:lastRow="0" w:firstColumn="1" w:lastColumn="0" w:noHBand="0" w:noVBand="1"/>
      </w:tblPr>
      <w:tblGrid>
        <w:gridCol w:w="4606"/>
        <w:gridCol w:w="4606"/>
      </w:tblGrid>
      <w:tr w:rsidR="0036568A" w:rsidRPr="0036568A" w:rsidTr="00B7472D">
        <w:tc>
          <w:tcPr>
            <w:tcW w:w="4606" w:type="dxa"/>
            <w:shd w:val="clear" w:color="auto" w:fill="F2F2F2" w:themeFill="background1" w:themeFillShade="F2"/>
          </w:tcPr>
          <w:p w:rsidR="0036568A" w:rsidRPr="0036568A" w:rsidRDefault="0036568A" w:rsidP="0036568A">
            <w:pPr>
              <w:spacing w:after="200" w:line="276" w:lineRule="auto"/>
              <w:rPr>
                <w:rFonts w:ascii="Arial" w:hAnsi="Arial" w:cs="Arial"/>
              </w:rPr>
            </w:pPr>
            <w:r w:rsidRPr="0036568A">
              <w:rPr>
                <w:rFonts w:ascii="Arial" w:hAnsi="Arial" w:cs="Arial"/>
              </w:rPr>
              <w:t>Wydatki poniesione na pokrycie kosztów, o których mowa w art. 52 ust. 2 lit. a), b) i d) GBER oraz określone w rozporządzeniu pomocowym dla osi I jako:</w:t>
            </w:r>
          </w:p>
        </w:tc>
        <w:tc>
          <w:tcPr>
            <w:tcW w:w="4606" w:type="dxa"/>
            <w:shd w:val="clear" w:color="auto" w:fill="F2F2F2" w:themeFill="background1" w:themeFillShade="F2"/>
          </w:tcPr>
          <w:p w:rsidR="0036568A" w:rsidRPr="0036568A" w:rsidRDefault="0036568A" w:rsidP="0036568A">
            <w:pPr>
              <w:spacing w:after="200" w:line="276" w:lineRule="auto"/>
              <w:rPr>
                <w:rFonts w:ascii="Arial" w:hAnsi="Arial" w:cs="Arial"/>
              </w:rPr>
            </w:pPr>
            <w:r w:rsidRPr="0036568A">
              <w:rPr>
                <w:rFonts w:ascii="Arial" w:hAnsi="Arial" w:cs="Arial"/>
              </w:rPr>
              <w:t xml:space="preserve">Wydatki kwalifikujące się do wsparcia jako pomoc </w:t>
            </w:r>
            <w:r w:rsidRPr="0036568A">
              <w:rPr>
                <w:rFonts w:ascii="Arial" w:hAnsi="Arial" w:cs="Arial"/>
                <w:i/>
              </w:rPr>
              <w:t xml:space="preserve">de </w:t>
            </w:r>
            <w:proofErr w:type="spellStart"/>
            <w:r w:rsidRPr="0036568A">
              <w:rPr>
                <w:rFonts w:ascii="Arial" w:hAnsi="Arial" w:cs="Arial"/>
                <w:i/>
              </w:rPr>
              <w:t>minimis</w:t>
            </w:r>
            <w:proofErr w:type="spellEnd"/>
            <w:r w:rsidRPr="0036568A">
              <w:rPr>
                <w:rFonts w:ascii="Arial" w:hAnsi="Arial" w:cs="Arial"/>
              </w:rPr>
              <w:t xml:space="preserve"> udzielana na podstawie Rozporządzenia Komisji (UE) nr 1407/2013 oraz określone w rozporządzeniu pomocowym dla I osi jako:</w:t>
            </w:r>
          </w:p>
        </w:tc>
      </w:tr>
      <w:tr w:rsidR="0036568A" w:rsidRPr="0036568A" w:rsidTr="00B7472D">
        <w:trPr>
          <w:trHeight w:val="1931"/>
        </w:trPr>
        <w:tc>
          <w:tcPr>
            <w:tcW w:w="4606" w:type="dxa"/>
          </w:tcPr>
          <w:p w:rsidR="0036568A" w:rsidRPr="0036568A" w:rsidRDefault="0036568A" w:rsidP="00137BC9">
            <w:pPr>
              <w:numPr>
                <w:ilvl w:val="0"/>
                <w:numId w:val="54"/>
              </w:numPr>
              <w:spacing w:after="200" w:line="276" w:lineRule="auto"/>
              <w:rPr>
                <w:rFonts w:ascii="Arial" w:hAnsi="Arial" w:cs="Arial"/>
                <w:bCs/>
              </w:rPr>
            </w:pPr>
            <w:r w:rsidRPr="0036568A">
              <w:rPr>
                <w:rFonts w:ascii="Arial" w:hAnsi="Arial" w:cs="Arial"/>
                <w:bCs/>
              </w:rPr>
              <w:t>koszty inwestycyjne budowy pasywnej infrastruktury szerokopasmowej</w:t>
            </w:r>
            <w:r w:rsidRPr="00A77C3B">
              <w:rPr>
                <w:rFonts w:ascii="Arial" w:hAnsi="Arial" w:cs="Arial"/>
                <w:bCs/>
                <w:vertAlign w:val="superscript"/>
              </w:rPr>
              <w:footnoteReference w:id="18"/>
            </w:r>
            <w:r w:rsidRPr="0036568A">
              <w:rPr>
                <w:rFonts w:ascii="Arial" w:hAnsi="Arial" w:cs="Arial"/>
                <w:bCs/>
              </w:rPr>
              <w:t xml:space="preserve">, w tym robót i materiałów budowlanych oraz dostaw i instalacji elementów  infrastruktury szerokopasmowej; </w:t>
            </w:r>
          </w:p>
        </w:tc>
        <w:tc>
          <w:tcPr>
            <w:tcW w:w="4606" w:type="dxa"/>
          </w:tcPr>
          <w:p w:rsidR="0036568A" w:rsidRPr="0036568A" w:rsidRDefault="0036568A" w:rsidP="00137BC9">
            <w:pPr>
              <w:numPr>
                <w:ilvl w:val="0"/>
                <w:numId w:val="54"/>
              </w:numPr>
              <w:spacing w:after="200" w:line="276" w:lineRule="auto"/>
              <w:rPr>
                <w:rFonts w:ascii="Arial" w:hAnsi="Arial" w:cs="Arial"/>
              </w:rPr>
            </w:pPr>
            <w:r w:rsidRPr="0036568A">
              <w:rPr>
                <w:rFonts w:ascii="Arial" w:hAnsi="Arial" w:cs="Arial"/>
                <w:bCs/>
              </w:rPr>
              <w:t>opłaty publicznoprawne związane z przygotowaniem i realizacją projektu, w szczególności za wydanie decyzji, zgód, zezwoleń;</w:t>
            </w:r>
          </w:p>
        </w:tc>
      </w:tr>
      <w:tr w:rsidR="0036568A" w:rsidRPr="0036568A" w:rsidTr="00B7472D">
        <w:tc>
          <w:tcPr>
            <w:tcW w:w="4606" w:type="dxa"/>
          </w:tcPr>
          <w:p w:rsidR="0036568A" w:rsidRPr="0036568A" w:rsidRDefault="0036568A" w:rsidP="00137BC9">
            <w:pPr>
              <w:numPr>
                <w:ilvl w:val="0"/>
                <w:numId w:val="54"/>
              </w:numPr>
              <w:spacing w:after="200" w:line="276" w:lineRule="auto"/>
              <w:rPr>
                <w:rFonts w:ascii="Arial" w:hAnsi="Arial" w:cs="Arial"/>
                <w:bCs/>
              </w:rPr>
            </w:pPr>
            <w:r w:rsidRPr="0036568A">
              <w:rPr>
                <w:rFonts w:ascii="Arial" w:hAnsi="Arial" w:cs="Arial"/>
                <w:bCs/>
              </w:rPr>
              <w:t xml:space="preserve">koszty przygotowania dokumentacji niezbędnej do wykonania robót budowlanych, z wyłączeniem kosztów przygotowania dokumentacji powykonawczej w rozumieniu ustawy </w:t>
            </w:r>
            <w:r w:rsidRPr="0036568A">
              <w:rPr>
                <w:rFonts w:ascii="Arial" w:hAnsi="Arial" w:cs="Arial"/>
                <w:bCs/>
              </w:rPr>
              <w:lastRenderedPageBreak/>
              <w:t>- Prawo budowlane;</w:t>
            </w:r>
          </w:p>
        </w:tc>
        <w:tc>
          <w:tcPr>
            <w:tcW w:w="4606" w:type="dxa"/>
          </w:tcPr>
          <w:p w:rsidR="0036568A" w:rsidRPr="0036568A" w:rsidRDefault="0036568A" w:rsidP="00137BC9">
            <w:pPr>
              <w:numPr>
                <w:ilvl w:val="0"/>
                <w:numId w:val="55"/>
              </w:numPr>
              <w:spacing w:after="200" w:line="276" w:lineRule="auto"/>
              <w:rPr>
                <w:rFonts w:ascii="Arial" w:hAnsi="Arial" w:cs="Arial"/>
              </w:rPr>
            </w:pPr>
            <w:r w:rsidRPr="0036568A">
              <w:rPr>
                <w:rFonts w:ascii="Arial" w:hAnsi="Arial" w:cs="Arial"/>
                <w:bCs/>
              </w:rPr>
              <w:lastRenderedPageBreak/>
              <w:t>obsługa instrumentów zabezpieczających realizację umowy o dofinansowanie, określonych w umowie o dofinansowanie;</w:t>
            </w:r>
          </w:p>
        </w:tc>
      </w:tr>
      <w:tr w:rsidR="0036568A" w:rsidRPr="0036568A" w:rsidTr="00B7472D">
        <w:tc>
          <w:tcPr>
            <w:tcW w:w="4606" w:type="dxa"/>
          </w:tcPr>
          <w:p w:rsidR="0036568A" w:rsidRPr="0036568A" w:rsidRDefault="0036568A" w:rsidP="00137BC9">
            <w:pPr>
              <w:numPr>
                <w:ilvl w:val="0"/>
                <w:numId w:val="55"/>
              </w:numPr>
              <w:spacing w:after="200" w:line="276" w:lineRule="auto"/>
              <w:rPr>
                <w:rFonts w:ascii="Arial" w:hAnsi="Arial" w:cs="Arial"/>
                <w:bCs/>
              </w:rPr>
            </w:pPr>
            <w:r w:rsidRPr="0036568A">
              <w:rPr>
                <w:rFonts w:ascii="Arial" w:hAnsi="Arial" w:cs="Arial"/>
                <w:bCs/>
              </w:rPr>
              <w:lastRenderedPageBreak/>
              <w:t>koszty nabycia prawa do dysponowania nieruchomością związaną z realizacją projektu;</w:t>
            </w:r>
          </w:p>
        </w:tc>
        <w:tc>
          <w:tcPr>
            <w:tcW w:w="4606" w:type="dxa"/>
          </w:tcPr>
          <w:p w:rsidR="0036568A" w:rsidRPr="0036568A" w:rsidRDefault="0036568A" w:rsidP="00137BC9">
            <w:pPr>
              <w:numPr>
                <w:ilvl w:val="0"/>
                <w:numId w:val="56"/>
              </w:numPr>
              <w:spacing w:after="200" w:line="276" w:lineRule="auto"/>
              <w:rPr>
                <w:rFonts w:ascii="Arial" w:hAnsi="Arial" w:cs="Arial"/>
                <w:bCs/>
              </w:rPr>
            </w:pPr>
            <w:r w:rsidRPr="0036568A">
              <w:rPr>
                <w:rFonts w:ascii="Arial" w:hAnsi="Arial" w:cs="Arial"/>
              </w:rPr>
              <w:t xml:space="preserve">przygotowanie projektu w zakresie niezbędnym do złożenia wniosku o udzielenie wsparcia, nie wcześniej niż 3 miesiące przed dniem złożenia wniosku, do wysokości 20 tysięcy złotych; </w:t>
            </w:r>
            <w:r w:rsidRPr="0036568A">
              <w:rPr>
                <w:rFonts w:ascii="Arial" w:hAnsi="Arial" w:cs="Arial"/>
                <w:bCs/>
              </w:rPr>
              <w:t>wsparcie nie obejmuje wydatków zwi</w:t>
            </w:r>
            <w:r w:rsidRPr="0036568A">
              <w:rPr>
                <w:rFonts w:ascii="Arial" w:hAnsi="Arial" w:cs="Arial" w:hint="eastAsia"/>
                <w:bCs/>
              </w:rPr>
              <w:t>ą</w:t>
            </w:r>
            <w:r w:rsidRPr="0036568A">
              <w:rPr>
                <w:rFonts w:ascii="Arial" w:hAnsi="Arial" w:cs="Arial"/>
                <w:bCs/>
              </w:rPr>
              <w:t>zanych z wype</w:t>
            </w:r>
            <w:r w:rsidRPr="0036568A">
              <w:rPr>
                <w:rFonts w:ascii="Arial" w:hAnsi="Arial" w:cs="Arial" w:hint="eastAsia"/>
                <w:bCs/>
              </w:rPr>
              <w:t>ł</w:t>
            </w:r>
            <w:r w:rsidRPr="0036568A">
              <w:rPr>
                <w:rFonts w:ascii="Arial" w:hAnsi="Arial" w:cs="Arial"/>
                <w:bCs/>
              </w:rPr>
              <w:t>nieniem formularza wniosku;</w:t>
            </w:r>
          </w:p>
          <w:p w:rsidR="0036568A" w:rsidRPr="0036568A" w:rsidRDefault="0036568A" w:rsidP="0036568A">
            <w:pPr>
              <w:spacing w:after="200" w:line="276" w:lineRule="auto"/>
              <w:rPr>
                <w:rFonts w:ascii="Arial" w:hAnsi="Arial" w:cs="Arial"/>
              </w:rPr>
            </w:pPr>
          </w:p>
        </w:tc>
      </w:tr>
      <w:tr w:rsidR="0036568A" w:rsidRPr="0036568A" w:rsidTr="00B7472D">
        <w:tc>
          <w:tcPr>
            <w:tcW w:w="4606" w:type="dxa"/>
          </w:tcPr>
          <w:p w:rsidR="0036568A" w:rsidRPr="0036568A" w:rsidRDefault="0036568A" w:rsidP="00137BC9">
            <w:pPr>
              <w:numPr>
                <w:ilvl w:val="0"/>
                <w:numId w:val="56"/>
              </w:numPr>
              <w:spacing w:after="200" w:line="276" w:lineRule="auto"/>
              <w:rPr>
                <w:rFonts w:ascii="Arial" w:hAnsi="Arial" w:cs="Arial"/>
                <w:bCs/>
              </w:rPr>
            </w:pPr>
            <w:r w:rsidRPr="0036568A">
              <w:rPr>
                <w:rFonts w:ascii="Arial" w:hAnsi="Arial" w:cs="Arial"/>
                <w:bCs/>
              </w:rPr>
              <w:t>koszty dostawy, instalacji i uruchomienia urządzeń telekomunikacyjnych stanowiących infrastrukturę aktywną sieci NGA;</w:t>
            </w:r>
          </w:p>
        </w:tc>
        <w:tc>
          <w:tcPr>
            <w:tcW w:w="4606" w:type="dxa"/>
            <w:vMerge w:val="restart"/>
          </w:tcPr>
          <w:p w:rsidR="0036568A" w:rsidRPr="0036568A" w:rsidRDefault="0036568A" w:rsidP="0036568A">
            <w:pPr>
              <w:spacing w:after="200" w:line="276" w:lineRule="auto"/>
              <w:rPr>
                <w:rFonts w:ascii="Arial" w:hAnsi="Arial" w:cs="Arial"/>
              </w:rPr>
            </w:pPr>
            <w:r w:rsidRPr="0036568A">
              <w:rPr>
                <w:rFonts w:ascii="Arial" w:hAnsi="Arial" w:cs="Arial"/>
                <w:bCs/>
              </w:rPr>
              <w:t xml:space="preserve">4) przygotowanie dokumentacji powykonawczej w rozumieniu ustawy - Prawo budowlane. </w:t>
            </w:r>
          </w:p>
        </w:tc>
      </w:tr>
      <w:tr w:rsidR="0036568A" w:rsidRPr="0036568A" w:rsidTr="00B7472D">
        <w:tc>
          <w:tcPr>
            <w:tcW w:w="4606" w:type="dxa"/>
          </w:tcPr>
          <w:p w:rsidR="0036568A" w:rsidRPr="0036568A" w:rsidRDefault="0036568A" w:rsidP="00137BC9">
            <w:pPr>
              <w:numPr>
                <w:ilvl w:val="0"/>
                <w:numId w:val="56"/>
              </w:numPr>
              <w:spacing w:after="200" w:line="276" w:lineRule="auto"/>
              <w:rPr>
                <w:rFonts w:ascii="Arial" w:hAnsi="Arial" w:cs="Arial"/>
                <w:bCs/>
              </w:rPr>
            </w:pPr>
            <w:r w:rsidRPr="0036568A">
              <w:rPr>
                <w:rFonts w:ascii="Arial" w:hAnsi="Arial" w:cs="Arial"/>
                <w:bCs/>
              </w:rPr>
              <w:t>koszty najmu, dzierżawy lub leasingu pasywnej infrastruktury szerokopasmowej, a także elementów infrastruktury elektroenergetycznej, sanitarnej, wodociągowej oraz kanałów technologicznych;</w:t>
            </w:r>
          </w:p>
        </w:tc>
        <w:tc>
          <w:tcPr>
            <w:tcW w:w="4606" w:type="dxa"/>
            <w:vMerge/>
          </w:tcPr>
          <w:p w:rsidR="0036568A" w:rsidRPr="0036568A" w:rsidRDefault="0036568A" w:rsidP="0036568A">
            <w:pPr>
              <w:spacing w:after="200" w:line="276" w:lineRule="auto"/>
              <w:rPr>
                <w:rFonts w:ascii="Arial" w:hAnsi="Arial" w:cs="Arial"/>
              </w:rPr>
            </w:pPr>
          </w:p>
        </w:tc>
      </w:tr>
      <w:tr w:rsidR="0036568A" w:rsidRPr="0036568A" w:rsidTr="00B7472D">
        <w:tc>
          <w:tcPr>
            <w:tcW w:w="4606" w:type="dxa"/>
          </w:tcPr>
          <w:p w:rsidR="0036568A" w:rsidRPr="0036568A" w:rsidRDefault="0036568A" w:rsidP="00137BC9">
            <w:pPr>
              <w:numPr>
                <w:ilvl w:val="0"/>
                <w:numId w:val="56"/>
              </w:numPr>
              <w:spacing w:after="200" w:line="276" w:lineRule="auto"/>
              <w:rPr>
                <w:rFonts w:ascii="Arial" w:hAnsi="Arial" w:cs="Arial"/>
              </w:rPr>
            </w:pPr>
            <w:r w:rsidRPr="0036568A">
              <w:rPr>
                <w:rFonts w:ascii="Arial" w:hAnsi="Arial" w:cs="Arial"/>
                <w:bCs/>
              </w:rPr>
              <w:t xml:space="preserve">koszty inwestycyjne budowy sieci NGA, w tym związane z przebudową i rozbudową podstawowej sieci szerokopasmowej do standardu sieci NGA; </w:t>
            </w:r>
          </w:p>
        </w:tc>
        <w:tc>
          <w:tcPr>
            <w:tcW w:w="4606" w:type="dxa"/>
            <w:vMerge/>
          </w:tcPr>
          <w:p w:rsidR="0036568A" w:rsidRPr="0036568A" w:rsidRDefault="0036568A" w:rsidP="00137BC9">
            <w:pPr>
              <w:numPr>
                <w:ilvl w:val="0"/>
                <w:numId w:val="49"/>
              </w:numPr>
              <w:spacing w:after="200" w:line="276" w:lineRule="auto"/>
              <w:rPr>
                <w:rFonts w:ascii="Arial" w:hAnsi="Arial" w:cs="Arial"/>
              </w:rPr>
            </w:pPr>
          </w:p>
        </w:tc>
      </w:tr>
      <w:tr w:rsidR="0036568A" w:rsidRPr="0036568A" w:rsidTr="00B7472D">
        <w:tc>
          <w:tcPr>
            <w:tcW w:w="4606" w:type="dxa"/>
          </w:tcPr>
          <w:p w:rsidR="0036568A" w:rsidRPr="0036568A" w:rsidRDefault="0036568A" w:rsidP="00137BC9">
            <w:pPr>
              <w:numPr>
                <w:ilvl w:val="0"/>
                <w:numId w:val="56"/>
              </w:numPr>
              <w:spacing w:after="200" w:line="276" w:lineRule="auto"/>
              <w:rPr>
                <w:rFonts w:ascii="Arial" w:hAnsi="Arial" w:cs="Arial"/>
              </w:rPr>
            </w:pPr>
            <w:r w:rsidRPr="0036568A">
              <w:rPr>
                <w:rFonts w:ascii="Arial" w:hAnsi="Arial" w:cs="Arial"/>
              </w:rPr>
              <w:t>koszty nabycia wartości niematerialnych i prawnych.</w:t>
            </w:r>
          </w:p>
        </w:tc>
        <w:tc>
          <w:tcPr>
            <w:tcW w:w="4606" w:type="dxa"/>
            <w:vMerge/>
          </w:tcPr>
          <w:p w:rsidR="0036568A" w:rsidRPr="0036568A" w:rsidRDefault="0036568A" w:rsidP="0036568A">
            <w:pPr>
              <w:spacing w:after="200" w:line="276" w:lineRule="auto"/>
              <w:rPr>
                <w:rFonts w:ascii="Arial" w:hAnsi="Arial" w:cs="Arial"/>
              </w:rPr>
            </w:pPr>
          </w:p>
        </w:tc>
      </w:tr>
    </w:tbl>
    <w:p w:rsidR="0036568A" w:rsidRDefault="0036568A" w:rsidP="0036568A">
      <w:pPr>
        <w:rPr>
          <w:rFonts w:ascii="Arial" w:hAnsi="Arial" w:cs="Arial"/>
        </w:rPr>
      </w:pPr>
      <w:r>
        <w:rPr>
          <w:rFonts w:ascii="Arial" w:hAnsi="Arial" w:cs="Arial"/>
        </w:rPr>
        <w:br w:type="page"/>
      </w:r>
    </w:p>
    <w:p w:rsidR="00A77C3B" w:rsidRPr="00A77C3B" w:rsidRDefault="00A77C3B" w:rsidP="00A77C3B">
      <w:pPr>
        <w:rPr>
          <w:rFonts w:ascii="Arial" w:hAnsi="Arial" w:cs="Arial"/>
        </w:rPr>
      </w:pPr>
      <w:r w:rsidRPr="00A77C3B">
        <w:rPr>
          <w:rFonts w:ascii="Arial" w:hAnsi="Arial" w:cs="Arial"/>
        </w:rPr>
        <w:lastRenderedPageBreak/>
        <w:t>W ramach powyższych kategorii wydatków stosuje się następujące ogólne zasady:</w:t>
      </w:r>
    </w:p>
    <w:p w:rsidR="00A77C3B" w:rsidRPr="00A77C3B" w:rsidRDefault="00A77C3B" w:rsidP="00137BC9">
      <w:pPr>
        <w:numPr>
          <w:ilvl w:val="0"/>
          <w:numId w:val="57"/>
        </w:numPr>
        <w:autoSpaceDE w:val="0"/>
        <w:autoSpaceDN w:val="0"/>
        <w:adjustRightInd w:val="0"/>
        <w:spacing w:before="120" w:after="120" w:line="360" w:lineRule="auto"/>
        <w:jc w:val="both"/>
        <w:rPr>
          <w:rFonts w:ascii="Arial" w:hAnsi="Arial" w:cs="Arial"/>
        </w:rPr>
      </w:pPr>
      <w:r w:rsidRPr="00A77C3B">
        <w:rPr>
          <w:rFonts w:ascii="Arial" w:hAnsi="Arial" w:cs="Arial"/>
        </w:rPr>
        <w:t xml:space="preserve">wszystkie wskazane w niniejszym rozdziale wydatki muszą być ponoszone zgodnie z Rozporządzeniem pomocowym dla I osi, niniejszym </w:t>
      </w:r>
      <w:r w:rsidR="00C632DB" w:rsidRPr="00846EBE">
        <w:rPr>
          <w:rFonts w:ascii="Arial" w:hAnsi="Arial" w:cs="Arial"/>
          <w:i/>
        </w:rPr>
        <w:t>Katalogiem</w:t>
      </w:r>
      <w:r w:rsidRPr="00846EBE">
        <w:rPr>
          <w:rFonts w:ascii="Arial" w:hAnsi="Arial" w:cs="Arial"/>
          <w:i/>
        </w:rPr>
        <w:t xml:space="preserve">, Wytycznymi </w:t>
      </w:r>
      <w:r w:rsidRPr="00A77C3B">
        <w:rPr>
          <w:rFonts w:ascii="Arial" w:hAnsi="Arial" w:cs="Arial"/>
        </w:rPr>
        <w:t>oraz umową o dofinansowanie pod rygorem uznania ich za niekwalifikowane.  Wydatki te muszą być bezpośrednio związane z realizacja projektu;</w:t>
      </w:r>
    </w:p>
    <w:p w:rsidR="00A77C3B" w:rsidRPr="00A77C3B" w:rsidRDefault="00A77C3B" w:rsidP="00137BC9">
      <w:pPr>
        <w:numPr>
          <w:ilvl w:val="0"/>
          <w:numId w:val="57"/>
        </w:numPr>
        <w:autoSpaceDE w:val="0"/>
        <w:autoSpaceDN w:val="0"/>
        <w:adjustRightInd w:val="0"/>
        <w:spacing w:before="120" w:after="120" w:line="360" w:lineRule="auto"/>
        <w:jc w:val="both"/>
        <w:rPr>
          <w:rFonts w:ascii="Arial" w:hAnsi="Arial" w:cs="Arial"/>
        </w:rPr>
      </w:pPr>
      <w:r w:rsidRPr="00A77C3B">
        <w:rPr>
          <w:rFonts w:ascii="Arial" w:hAnsi="Arial" w:cs="Arial"/>
        </w:rPr>
        <w:t>wydatkami kwalifikującymi się do objęcia wsparciem są wydatki poniesione w okresie określonym w rozporządzeniu pomocowym dla I osi;</w:t>
      </w:r>
    </w:p>
    <w:p w:rsidR="00A77C3B" w:rsidRPr="00A77C3B" w:rsidRDefault="00A77C3B" w:rsidP="00137BC9">
      <w:pPr>
        <w:numPr>
          <w:ilvl w:val="0"/>
          <w:numId w:val="57"/>
        </w:numPr>
        <w:autoSpaceDE w:val="0"/>
        <w:autoSpaceDN w:val="0"/>
        <w:adjustRightInd w:val="0"/>
        <w:spacing w:before="120" w:after="120" w:line="360" w:lineRule="auto"/>
        <w:jc w:val="both"/>
        <w:rPr>
          <w:rFonts w:ascii="Arial" w:hAnsi="Arial" w:cs="Arial"/>
        </w:rPr>
      </w:pPr>
      <w:r w:rsidRPr="00A77C3B">
        <w:rPr>
          <w:rFonts w:ascii="Arial" w:hAnsi="Arial" w:cs="Arial"/>
        </w:rPr>
        <w:t>wszystkie wydatki powinny być przypisane do odpowiednich kategorii określonych w</w:t>
      </w:r>
      <w:r w:rsidR="00C632DB">
        <w:rPr>
          <w:rFonts w:ascii="Arial" w:hAnsi="Arial" w:cs="Arial"/>
        </w:rPr>
        <w:t> </w:t>
      </w:r>
      <w:r w:rsidRPr="00A77C3B">
        <w:rPr>
          <w:rFonts w:ascii="Arial" w:hAnsi="Arial" w:cs="Arial"/>
        </w:rPr>
        <w:t>niniejszym rozdziale;</w:t>
      </w:r>
    </w:p>
    <w:p w:rsidR="00A77C3B" w:rsidRPr="00A77C3B" w:rsidRDefault="00A77C3B" w:rsidP="00137BC9">
      <w:pPr>
        <w:numPr>
          <w:ilvl w:val="0"/>
          <w:numId w:val="57"/>
        </w:numPr>
        <w:autoSpaceDE w:val="0"/>
        <w:autoSpaceDN w:val="0"/>
        <w:adjustRightInd w:val="0"/>
        <w:spacing w:before="120" w:after="120" w:line="360" w:lineRule="auto"/>
        <w:jc w:val="both"/>
        <w:rPr>
          <w:rFonts w:ascii="Arial" w:hAnsi="Arial" w:cs="Arial"/>
        </w:rPr>
      </w:pPr>
      <w:r w:rsidRPr="00A77C3B">
        <w:rPr>
          <w:rFonts w:ascii="Arial" w:hAnsi="Arial" w:cs="Arial"/>
        </w:rPr>
        <w:t xml:space="preserve">cenę nabycia wartości niematerialnych i prawnych oraz środków trwałych, kwalifikujących się do objęcia wsparciem ustala się zgodnie z właściwymi przepisami ustawy </w:t>
      </w:r>
      <w:r w:rsidR="00C632DB">
        <w:rPr>
          <w:rFonts w:ascii="Arial" w:hAnsi="Arial" w:cs="Arial"/>
        </w:rPr>
        <w:t xml:space="preserve">z dnia 29 września 1994 r. </w:t>
      </w:r>
      <w:r w:rsidRPr="00A77C3B">
        <w:rPr>
          <w:rFonts w:ascii="Arial" w:hAnsi="Arial" w:cs="Arial"/>
        </w:rPr>
        <w:t>o rachunkowości</w:t>
      </w:r>
      <w:r w:rsidR="00C632DB">
        <w:rPr>
          <w:rFonts w:ascii="Arial" w:hAnsi="Arial" w:cs="Arial"/>
        </w:rPr>
        <w:t xml:space="preserve"> (Dz. U. 2016 r., poz. 1047)</w:t>
      </w:r>
      <w:r w:rsidRPr="00A77C3B">
        <w:rPr>
          <w:rFonts w:ascii="Arial" w:hAnsi="Arial" w:cs="Arial"/>
        </w:rPr>
        <w:t xml:space="preserve">; </w:t>
      </w:r>
    </w:p>
    <w:p w:rsidR="00A77C3B" w:rsidRPr="00A77C3B" w:rsidRDefault="00A77C3B" w:rsidP="00137BC9">
      <w:pPr>
        <w:numPr>
          <w:ilvl w:val="0"/>
          <w:numId w:val="57"/>
        </w:numPr>
        <w:autoSpaceDE w:val="0"/>
        <w:autoSpaceDN w:val="0"/>
        <w:adjustRightInd w:val="0"/>
        <w:spacing w:before="120" w:after="120" w:line="360" w:lineRule="auto"/>
        <w:jc w:val="both"/>
        <w:rPr>
          <w:rFonts w:ascii="Arial" w:hAnsi="Arial" w:cs="Arial"/>
        </w:rPr>
      </w:pPr>
      <w:r w:rsidRPr="00A77C3B">
        <w:rPr>
          <w:rFonts w:ascii="Arial" w:hAnsi="Arial" w:cs="Arial"/>
        </w:rPr>
        <w:t>wydatki na środki trwałe ponoszone są w ramach kategorii wydatków określonych w</w:t>
      </w:r>
      <w:r w:rsidR="00C632DB">
        <w:rPr>
          <w:rFonts w:ascii="Arial" w:hAnsi="Arial" w:cs="Arial"/>
        </w:rPr>
        <w:t> </w:t>
      </w:r>
      <w:r w:rsidRPr="00A77C3B">
        <w:rPr>
          <w:rFonts w:ascii="Arial" w:hAnsi="Arial" w:cs="Arial"/>
        </w:rPr>
        <w:t>niniejszym rozdziale;</w:t>
      </w:r>
    </w:p>
    <w:p w:rsidR="00A77C3B" w:rsidRPr="00A77C3B" w:rsidRDefault="00A77C3B" w:rsidP="00137BC9">
      <w:pPr>
        <w:numPr>
          <w:ilvl w:val="0"/>
          <w:numId w:val="57"/>
        </w:numPr>
        <w:autoSpaceDE w:val="0"/>
        <w:autoSpaceDN w:val="0"/>
        <w:adjustRightInd w:val="0"/>
        <w:spacing w:before="120" w:after="120" w:line="360" w:lineRule="auto"/>
        <w:jc w:val="both"/>
        <w:rPr>
          <w:rFonts w:ascii="Arial" w:hAnsi="Arial" w:cs="Arial"/>
        </w:rPr>
      </w:pPr>
      <w:r w:rsidRPr="00A77C3B">
        <w:rPr>
          <w:rFonts w:ascii="Arial" w:hAnsi="Arial" w:cs="Arial"/>
        </w:rPr>
        <w:t>w ramach wydatków dotyczących nowych środków trwałych uznaje się je za kwalifikowalne, o ile środki te są na stałe zainstalowane w ramach projektu, a środki te będą włączone w rejestr środków trwałych beneficjenta oraz wydatek ten będzie traktowany jako wydatek inwestycyjny zgodnie z zasadami rachunkowości;</w:t>
      </w:r>
    </w:p>
    <w:p w:rsidR="00A77C3B" w:rsidRPr="00A77C3B" w:rsidRDefault="00A77C3B" w:rsidP="00137BC9">
      <w:pPr>
        <w:numPr>
          <w:ilvl w:val="0"/>
          <w:numId w:val="57"/>
        </w:numPr>
        <w:autoSpaceDE w:val="0"/>
        <w:autoSpaceDN w:val="0"/>
        <w:adjustRightInd w:val="0"/>
        <w:spacing w:before="120" w:after="120" w:line="360" w:lineRule="auto"/>
        <w:jc w:val="both"/>
        <w:rPr>
          <w:rFonts w:ascii="Arial" w:hAnsi="Arial" w:cs="Arial"/>
        </w:rPr>
      </w:pPr>
      <w:r w:rsidRPr="00A77C3B">
        <w:rPr>
          <w:rFonts w:ascii="Arial" w:hAnsi="Arial" w:cs="Arial"/>
        </w:rPr>
        <w:t xml:space="preserve">dopuszcza się zakup używanych środków trwałych, z zastrzeżeniem </w:t>
      </w:r>
      <w:r>
        <w:rPr>
          <w:rFonts w:ascii="Arial" w:hAnsi="Arial" w:cs="Arial"/>
        </w:rPr>
        <w:t>p</w:t>
      </w:r>
      <w:r w:rsidRPr="00A77C3B">
        <w:rPr>
          <w:rFonts w:ascii="Arial" w:hAnsi="Arial" w:cs="Arial"/>
        </w:rPr>
        <w:t xml:space="preserve">odrozdziału </w:t>
      </w:r>
      <w:r>
        <w:rPr>
          <w:rFonts w:ascii="Arial" w:hAnsi="Arial" w:cs="Arial"/>
        </w:rPr>
        <w:t>3</w:t>
      </w:r>
      <w:r w:rsidRPr="00A77C3B">
        <w:rPr>
          <w:rFonts w:ascii="Arial" w:hAnsi="Arial" w:cs="Arial"/>
        </w:rPr>
        <w:t>.3 pkt 4 lit. e;</w:t>
      </w:r>
    </w:p>
    <w:p w:rsidR="00A77C3B" w:rsidRPr="00A77C3B" w:rsidRDefault="00A77C3B" w:rsidP="00137BC9">
      <w:pPr>
        <w:numPr>
          <w:ilvl w:val="0"/>
          <w:numId w:val="57"/>
        </w:numPr>
        <w:autoSpaceDE w:val="0"/>
        <w:autoSpaceDN w:val="0"/>
        <w:adjustRightInd w:val="0"/>
        <w:spacing w:before="120" w:after="120" w:line="360" w:lineRule="auto"/>
        <w:jc w:val="both"/>
        <w:rPr>
          <w:rFonts w:ascii="Arial" w:hAnsi="Arial" w:cs="Arial"/>
        </w:rPr>
      </w:pPr>
      <w:r w:rsidRPr="00A77C3B">
        <w:rPr>
          <w:rFonts w:ascii="Arial" w:hAnsi="Arial" w:cs="Arial"/>
        </w:rPr>
        <w:t>kwalifikowalne są wydatki w związku z zastosowaniem leasingu i innych technik finansowania nie powodujących natychmiastowego przeniesienia prawa własności;</w:t>
      </w:r>
    </w:p>
    <w:p w:rsidR="00A77C3B" w:rsidRDefault="00A77C3B" w:rsidP="00137BC9">
      <w:pPr>
        <w:numPr>
          <w:ilvl w:val="0"/>
          <w:numId w:val="57"/>
        </w:numPr>
        <w:autoSpaceDE w:val="0"/>
        <w:autoSpaceDN w:val="0"/>
        <w:adjustRightInd w:val="0"/>
        <w:spacing w:before="120" w:after="120" w:line="360" w:lineRule="auto"/>
        <w:jc w:val="both"/>
        <w:rPr>
          <w:rFonts w:ascii="Arial" w:hAnsi="Arial" w:cs="Arial"/>
        </w:rPr>
      </w:pPr>
      <w:r w:rsidRPr="00A77C3B">
        <w:rPr>
          <w:rFonts w:ascii="Arial" w:hAnsi="Arial" w:cs="Arial"/>
        </w:rPr>
        <w:t>nie dopuszcza się stosowania uproszczonych metod rozliczania wydatków.</w:t>
      </w:r>
    </w:p>
    <w:p w:rsidR="00C632DB" w:rsidRPr="005C74BF" w:rsidRDefault="00C632DB" w:rsidP="005C74BF">
      <w:pPr>
        <w:pStyle w:val="Nagwek2"/>
        <w:numPr>
          <w:ilvl w:val="2"/>
          <w:numId w:val="1"/>
        </w:numPr>
        <w:spacing w:before="240" w:after="60" w:line="360" w:lineRule="auto"/>
        <w:jc w:val="center"/>
        <w:rPr>
          <w:rFonts w:ascii="Arial" w:hAnsi="Arial" w:cs="Arial"/>
          <w:b w:val="0"/>
          <w:i/>
          <w:color w:val="auto"/>
          <w:sz w:val="24"/>
          <w:szCs w:val="24"/>
        </w:rPr>
      </w:pPr>
      <w:bookmarkStart w:id="128" w:name="_Toc508630123"/>
      <w:r w:rsidRPr="005C74BF">
        <w:rPr>
          <w:rFonts w:ascii="Arial" w:hAnsi="Arial" w:cs="Arial"/>
          <w:b w:val="0"/>
          <w:i/>
          <w:color w:val="auto"/>
          <w:sz w:val="24"/>
          <w:szCs w:val="24"/>
        </w:rPr>
        <w:t>Kwalifikowalność wydatków w ramach pomocy na infrastrukturę szerokopasmową</w:t>
      </w:r>
      <w:bookmarkEnd w:id="128"/>
    </w:p>
    <w:p w:rsidR="00C632DB" w:rsidRDefault="00C632DB">
      <w:pPr>
        <w:rPr>
          <w:rFonts w:ascii="Arial" w:hAnsi="Arial" w:cs="Arial"/>
        </w:rPr>
      </w:pPr>
      <w:r w:rsidRPr="00C632DB">
        <w:rPr>
          <w:rFonts w:ascii="Arial" w:hAnsi="Arial" w:cs="Arial"/>
        </w:rPr>
        <w:t>Za kwalifikowalne uznaje się następujące wydatki poniesione na pokrycie:</w:t>
      </w:r>
    </w:p>
    <w:p w:rsidR="00C632DB" w:rsidRPr="00C632DB" w:rsidRDefault="00C632DB" w:rsidP="00137BC9">
      <w:pPr>
        <w:numPr>
          <w:ilvl w:val="0"/>
          <w:numId w:val="59"/>
        </w:numPr>
        <w:autoSpaceDE w:val="0"/>
        <w:autoSpaceDN w:val="0"/>
        <w:adjustRightInd w:val="0"/>
        <w:spacing w:before="120" w:after="120" w:line="360" w:lineRule="auto"/>
        <w:jc w:val="both"/>
        <w:rPr>
          <w:rFonts w:ascii="Arial" w:hAnsi="Arial" w:cs="Arial"/>
        </w:rPr>
      </w:pPr>
      <w:r w:rsidRPr="00C632DB">
        <w:rPr>
          <w:rFonts w:ascii="Arial" w:hAnsi="Arial" w:cs="Arial"/>
        </w:rPr>
        <w:t>kosztów inwestycyjnych budowy pasywnej infrastruktury szerokopasmowej, w tym robót i materiałów budowlanych oraz dostaw</w:t>
      </w:r>
      <w:r w:rsidRPr="00F92714">
        <w:rPr>
          <w:rFonts w:ascii="Arial" w:hAnsi="Arial" w:cs="Arial"/>
          <w:vertAlign w:val="superscript"/>
        </w:rPr>
        <w:footnoteReference w:id="19"/>
      </w:r>
      <w:r w:rsidRPr="00C632DB">
        <w:rPr>
          <w:rFonts w:ascii="Arial" w:hAnsi="Arial" w:cs="Arial"/>
        </w:rPr>
        <w:t xml:space="preserve"> i instalacji elementów pasywnej infrastruktury szerokopasmowej, w tym w szczególności:</w:t>
      </w:r>
    </w:p>
    <w:p w:rsidR="00C632DB" w:rsidRPr="00C632DB" w:rsidRDefault="00C632DB" w:rsidP="00137BC9">
      <w:pPr>
        <w:numPr>
          <w:ilvl w:val="0"/>
          <w:numId w:val="58"/>
        </w:numPr>
        <w:spacing w:before="120" w:after="120" w:line="360" w:lineRule="auto"/>
        <w:jc w:val="both"/>
        <w:rPr>
          <w:rFonts w:ascii="Arial" w:hAnsi="Arial" w:cs="Arial"/>
        </w:rPr>
      </w:pPr>
      <w:r w:rsidRPr="00C632DB">
        <w:rPr>
          <w:rFonts w:ascii="Arial" w:hAnsi="Arial" w:cs="Arial"/>
        </w:rPr>
        <w:lastRenderedPageBreak/>
        <w:t>usługi związane z nadzorem technicznym realizacji inwestycji w zakresie niezbędnym dla realizacji inwestycji, w tym związanych z nadzorem nad robotami budowlanymi i nadzorem autorskim nad robotami budowlanymi przez projektanta, a także nadzorem inwestorskim pod warunkiem pełnienia tych funkcji przez osoby posiadające odpowiednie uprawnienia w tym zakresie;</w:t>
      </w:r>
    </w:p>
    <w:p w:rsidR="00C632DB" w:rsidRPr="00C632DB" w:rsidRDefault="00C632DB" w:rsidP="00137BC9">
      <w:pPr>
        <w:numPr>
          <w:ilvl w:val="0"/>
          <w:numId w:val="58"/>
        </w:numPr>
        <w:spacing w:before="120" w:after="120" w:line="360" w:lineRule="auto"/>
        <w:jc w:val="both"/>
        <w:rPr>
          <w:rFonts w:ascii="Arial" w:hAnsi="Arial" w:cs="Arial"/>
        </w:rPr>
      </w:pPr>
      <w:r w:rsidRPr="00C632DB">
        <w:rPr>
          <w:rFonts w:ascii="Arial" w:hAnsi="Arial" w:cs="Arial"/>
        </w:rPr>
        <w:t xml:space="preserve">roboty budowlane – w rozumieniu ustawy </w:t>
      </w:r>
      <w:r w:rsidRPr="005C74BF">
        <w:rPr>
          <w:rFonts w:ascii="Arial" w:hAnsi="Arial" w:cs="Arial"/>
          <w:i/>
        </w:rPr>
        <w:t>Prawo budowlane</w:t>
      </w:r>
      <w:r w:rsidRPr="00C632DB">
        <w:rPr>
          <w:rFonts w:ascii="Arial" w:hAnsi="Arial" w:cs="Arial"/>
        </w:rPr>
        <w:t>;</w:t>
      </w:r>
    </w:p>
    <w:p w:rsidR="00C632DB" w:rsidRPr="00C632DB" w:rsidRDefault="00C632DB" w:rsidP="00137BC9">
      <w:pPr>
        <w:numPr>
          <w:ilvl w:val="0"/>
          <w:numId w:val="58"/>
        </w:numPr>
        <w:spacing w:before="120" w:after="120" w:line="360" w:lineRule="auto"/>
        <w:jc w:val="both"/>
        <w:rPr>
          <w:rFonts w:ascii="Arial" w:hAnsi="Arial" w:cs="Arial"/>
        </w:rPr>
      </w:pPr>
      <w:r w:rsidRPr="00C632DB">
        <w:rPr>
          <w:rFonts w:ascii="Arial" w:hAnsi="Arial" w:cs="Arial"/>
        </w:rPr>
        <w:t>materiały budowlane;</w:t>
      </w:r>
    </w:p>
    <w:p w:rsidR="00C632DB" w:rsidRPr="00C632DB" w:rsidRDefault="00C632DB" w:rsidP="00137BC9">
      <w:pPr>
        <w:numPr>
          <w:ilvl w:val="0"/>
          <w:numId w:val="58"/>
        </w:numPr>
        <w:spacing w:before="120" w:after="120" w:line="360" w:lineRule="auto"/>
        <w:jc w:val="both"/>
        <w:rPr>
          <w:rFonts w:ascii="Arial" w:hAnsi="Arial" w:cs="Arial"/>
        </w:rPr>
      </w:pPr>
      <w:r w:rsidRPr="00C632DB">
        <w:rPr>
          <w:rFonts w:ascii="Arial" w:hAnsi="Arial" w:cs="Arial"/>
        </w:rPr>
        <w:t xml:space="preserve"> dostawa i instalacja niezbędnych do realizacji projektu elementów pasywnej infrastruktury szerokopasmowej , takich jak m.in.: elementy instalacyjne, złącza, elementy kanalizacji kablowej, studnie, rury, </w:t>
      </w:r>
      <w:proofErr w:type="spellStart"/>
      <w:r w:rsidRPr="00C632DB">
        <w:rPr>
          <w:rFonts w:ascii="Arial" w:hAnsi="Arial" w:cs="Arial"/>
        </w:rPr>
        <w:t>mikrorury</w:t>
      </w:r>
      <w:proofErr w:type="spellEnd"/>
      <w:r w:rsidRPr="00C632DB">
        <w:rPr>
          <w:rFonts w:ascii="Arial" w:hAnsi="Arial" w:cs="Arial"/>
        </w:rPr>
        <w:t xml:space="preserve">, złączki, mufy, kable telekomunikacyjne (wraz z niezbędnymi do pozostawienia w punktach zakończenia sieci zapasami), </w:t>
      </w:r>
      <w:proofErr w:type="spellStart"/>
      <w:r w:rsidRPr="00C632DB">
        <w:rPr>
          <w:rFonts w:ascii="Arial" w:hAnsi="Arial" w:cs="Arial"/>
        </w:rPr>
        <w:t>splittery</w:t>
      </w:r>
      <w:proofErr w:type="spellEnd"/>
      <w:r w:rsidRPr="00C632DB">
        <w:rPr>
          <w:rFonts w:ascii="Arial" w:hAnsi="Arial" w:cs="Arial"/>
        </w:rPr>
        <w:t>, taśmy ostrzegawcze, znaczniki elektromagnetyczne, szafy i kontenery telekomunikacyjne, słupy, maszty i wieże radiowe, a także elementy pasywne niezbędne do ochrony przeciwprzepięciowej i odgromowej;</w:t>
      </w:r>
    </w:p>
    <w:p w:rsidR="00C632DB" w:rsidRPr="00C632DB" w:rsidRDefault="00C632DB" w:rsidP="00137BC9">
      <w:pPr>
        <w:numPr>
          <w:ilvl w:val="0"/>
          <w:numId w:val="58"/>
        </w:numPr>
        <w:spacing w:before="120" w:after="120" w:line="360" w:lineRule="auto"/>
        <w:jc w:val="both"/>
        <w:rPr>
          <w:rFonts w:ascii="Arial" w:hAnsi="Arial" w:cs="Arial"/>
        </w:rPr>
      </w:pPr>
      <w:r w:rsidRPr="00C632DB">
        <w:rPr>
          <w:rFonts w:ascii="Arial" w:hAnsi="Arial" w:cs="Arial"/>
        </w:rPr>
        <w:t xml:space="preserve">koszty niezbędne do spełnienia wymagań </w:t>
      </w:r>
      <w:r w:rsidR="00913D5A">
        <w:rPr>
          <w:rFonts w:ascii="Arial" w:hAnsi="Arial" w:cs="Arial"/>
        </w:rPr>
        <w:t>technicznych określonych w ramach dokumentacji konkursowej</w:t>
      </w:r>
      <w:r w:rsidRPr="00C632DB">
        <w:rPr>
          <w:rFonts w:ascii="Arial" w:hAnsi="Arial" w:cs="Arial"/>
        </w:rPr>
        <w:t>, w zakresie w jakim dotyczą one specyfikacji technicznej części pasywnej infrastruktury i sieci, w tym minimalnej nadmiarowości, tj. m.in. wydatki na realizację dodatkowych otworów kanalizacji kablowej, włókien lub kabli itp.;</w:t>
      </w:r>
    </w:p>
    <w:p w:rsidR="00C632DB" w:rsidRPr="00C632DB" w:rsidRDefault="00C632DB" w:rsidP="005C74BF">
      <w:pPr>
        <w:autoSpaceDE w:val="0"/>
        <w:autoSpaceDN w:val="0"/>
        <w:adjustRightInd w:val="0"/>
        <w:spacing w:before="120" w:after="120" w:line="360" w:lineRule="auto"/>
        <w:jc w:val="both"/>
        <w:rPr>
          <w:rFonts w:ascii="Arial" w:hAnsi="Arial" w:cs="Arial"/>
        </w:rPr>
      </w:pPr>
      <w:r w:rsidRPr="00C632DB">
        <w:rPr>
          <w:rFonts w:ascii="Arial" w:hAnsi="Arial" w:cs="Arial"/>
        </w:rPr>
        <w:t xml:space="preserve">Wydatki poniesione na pokrycie tych kosztów są kwalifikowalne pod warunkiem spełnienia założeń technicznych projektu określonych we wniosku o dofinansowanie. </w:t>
      </w:r>
    </w:p>
    <w:p w:rsidR="00C632DB" w:rsidRPr="00C632DB" w:rsidRDefault="00C632DB" w:rsidP="005C74BF">
      <w:pPr>
        <w:autoSpaceDE w:val="0"/>
        <w:autoSpaceDN w:val="0"/>
        <w:adjustRightInd w:val="0"/>
        <w:spacing w:before="120" w:after="120" w:line="360" w:lineRule="auto"/>
        <w:jc w:val="both"/>
        <w:rPr>
          <w:rFonts w:ascii="Arial" w:hAnsi="Arial" w:cs="Arial"/>
        </w:rPr>
      </w:pPr>
      <w:r w:rsidRPr="00C632DB">
        <w:rPr>
          <w:rFonts w:ascii="Arial" w:hAnsi="Arial" w:cs="Arial"/>
        </w:rPr>
        <w:t>Niezbędnym warunkiem kwalifikowalności tych elementów w ramach niniejszej kategorii jest, aby nie zawierały żadnych aktywnych elementów sieci telekomunikacyjnej, w szczególności urządzeń telekomunikacyjnych, w tym urządzeń radiowych.</w:t>
      </w:r>
    </w:p>
    <w:p w:rsidR="00C632DB" w:rsidRPr="00C632DB" w:rsidRDefault="00C632DB" w:rsidP="005C74BF">
      <w:pPr>
        <w:autoSpaceDE w:val="0"/>
        <w:autoSpaceDN w:val="0"/>
        <w:adjustRightInd w:val="0"/>
        <w:spacing w:before="120" w:after="120" w:line="360" w:lineRule="auto"/>
        <w:jc w:val="both"/>
        <w:rPr>
          <w:rFonts w:ascii="Arial" w:hAnsi="Arial" w:cs="Arial"/>
        </w:rPr>
      </w:pPr>
      <w:r w:rsidRPr="00C632DB">
        <w:rPr>
          <w:rFonts w:ascii="Arial" w:hAnsi="Arial" w:cs="Arial"/>
        </w:rPr>
        <w:t>W ramach niniejszej kategorii możliwe jest ponoszenie kosztów realizacji pasywnej infrastruktury szerokopasmowej w warstwie sieci szkieletowej i dystrybucyjnej</w:t>
      </w:r>
      <w:r w:rsidRPr="00F92714">
        <w:rPr>
          <w:rFonts w:ascii="Arial" w:hAnsi="Arial" w:cs="Arial"/>
          <w:vertAlign w:val="superscript"/>
        </w:rPr>
        <w:footnoteReference w:id="20"/>
      </w:r>
      <w:r w:rsidRPr="00C632DB">
        <w:rPr>
          <w:rFonts w:ascii="Arial" w:hAnsi="Arial" w:cs="Arial"/>
        </w:rPr>
        <w:t xml:space="preserve">.  </w:t>
      </w:r>
    </w:p>
    <w:p w:rsidR="00C632DB" w:rsidRPr="00C632DB" w:rsidRDefault="00C632DB" w:rsidP="005C74BF">
      <w:pPr>
        <w:autoSpaceDE w:val="0"/>
        <w:autoSpaceDN w:val="0"/>
        <w:adjustRightInd w:val="0"/>
        <w:spacing w:before="120" w:after="120" w:line="360" w:lineRule="auto"/>
        <w:jc w:val="both"/>
        <w:rPr>
          <w:rFonts w:ascii="Arial" w:hAnsi="Arial" w:cs="Arial"/>
        </w:rPr>
      </w:pPr>
      <w:r w:rsidRPr="00C632DB">
        <w:rPr>
          <w:rFonts w:ascii="Arial" w:hAnsi="Arial" w:cs="Arial"/>
        </w:rPr>
        <w:t xml:space="preserve">Wydatki poniesione na pokrycie kosztów realizacji pasywnej infrastruktury szerokopasmowej w warstwie sieci dystrybucyjnej i szkieletowej są kwalifikowalne wyłącznie w zakresie w jakim są niezbędne do realizacji sieci NGA, a także pod warunkiem wykazania, że jest to </w:t>
      </w:r>
      <w:r w:rsidRPr="00C632DB">
        <w:rPr>
          <w:rFonts w:ascii="Arial" w:hAnsi="Arial" w:cs="Arial"/>
        </w:rPr>
        <w:lastRenderedPageBreak/>
        <w:t>najbardziej efektywna możliwość realizacji sieci dostępowej i nie jest możliwe lub uzasadnione skorzystanie z istniejącej infrastruktury lub usług hurtowych świadczonych przez innych przedsiębiorców telekomunikacyjnych na danym obszarze. Aktywne elementy sieci dystrybucyjnej i szkieletowej są niekwalifikowalne zgodnie z katalogiem wydatków  niekwalifikowalnych.</w:t>
      </w:r>
    </w:p>
    <w:p w:rsidR="00C632DB" w:rsidRPr="00C632DB" w:rsidRDefault="00C632DB" w:rsidP="00137BC9">
      <w:pPr>
        <w:numPr>
          <w:ilvl w:val="0"/>
          <w:numId w:val="59"/>
        </w:numPr>
        <w:autoSpaceDE w:val="0"/>
        <w:autoSpaceDN w:val="0"/>
        <w:adjustRightInd w:val="0"/>
        <w:spacing w:before="120" w:after="120" w:line="360" w:lineRule="auto"/>
        <w:jc w:val="both"/>
        <w:rPr>
          <w:rFonts w:ascii="Arial" w:hAnsi="Arial" w:cs="Arial"/>
        </w:rPr>
      </w:pPr>
      <w:r w:rsidRPr="00C632DB">
        <w:rPr>
          <w:rFonts w:ascii="Arial" w:hAnsi="Arial" w:cs="Arial"/>
        </w:rPr>
        <w:t>kosztów przygotowania dokumentacji niezbędnej do wykonania robót budowlanych.</w:t>
      </w:r>
    </w:p>
    <w:p w:rsidR="00C632DB" w:rsidRPr="00C632DB" w:rsidRDefault="00C632DB" w:rsidP="005C74BF">
      <w:pPr>
        <w:autoSpaceDE w:val="0"/>
        <w:autoSpaceDN w:val="0"/>
        <w:adjustRightInd w:val="0"/>
        <w:spacing w:before="120" w:after="120" w:line="360" w:lineRule="auto"/>
        <w:jc w:val="both"/>
        <w:rPr>
          <w:rFonts w:ascii="Arial" w:hAnsi="Arial" w:cs="Arial"/>
        </w:rPr>
      </w:pPr>
      <w:r w:rsidRPr="00C632DB">
        <w:rPr>
          <w:rFonts w:ascii="Arial" w:hAnsi="Arial" w:cs="Arial"/>
        </w:rPr>
        <w:t>W szczególności są to wydatki niezbędne do poniesienia na etapie przygotowania do realizacji infrastruktury i sieci w terenie, w szczególności dotyczące takich elementów jak:</w:t>
      </w:r>
    </w:p>
    <w:p w:rsidR="00C632DB" w:rsidRPr="00C632DB" w:rsidRDefault="00C632DB" w:rsidP="00137BC9">
      <w:pPr>
        <w:numPr>
          <w:ilvl w:val="0"/>
          <w:numId w:val="60"/>
        </w:numPr>
        <w:spacing w:before="120" w:after="120" w:line="360" w:lineRule="auto"/>
        <w:jc w:val="both"/>
        <w:rPr>
          <w:rFonts w:ascii="Arial" w:hAnsi="Arial" w:cs="Arial"/>
        </w:rPr>
      </w:pPr>
      <w:r w:rsidRPr="00C632DB">
        <w:rPr>
          <w:rFonts w:ascii="Arial" w:hAnsi="Arial" w:cs="Arial"/>
        </w:rPr>
        <w:t>dokumentacja techniczna projektu, w tym projektowanie infrastruktury i sieci;</w:t>
      </w:r>
    </w:p>
    <w:p w:rsidR="00C632DB" w:rsidRPr="00C632DB" w:rsidRDefault="00C632DB" w:rsidP="00137BC9">
      <w:pPr>
        <w:numPr>
          <w:ilvl w:val="0"/>
          <w:numId w:val="60"/>
        </w:numPr>
        <w:spacing w:before="120" w:after="120" w:line="360" w:lineRule="auto"/>
        <w:jc w:val="both"/>
        <w:rPr>
          <w:rFonts w:ascii="Arial" w:hAnsi="Arial" w:cs="Arial"/>
        </w:rPr>
      </w:pPr>
      <w:r w:rsidRPr="00C632DB">
        <w:rPr>
          <w:rFonts w:ascii="Arial" w:hAnsi="Arial" w:cs="Arial"/>
        </w:rPr>
        <w:t>pozyskanie i przygotowanie map lub szkiców sytuujących projekt, w tym dotyczące zamówienia usług w zakresie obsługi geodezyjnej;</w:t>
      </w:r>
    </w:p>
    <w:p w:rsidR="00C632DB" w:rsidRPr="00C632DB" w:rsidRDefault="00C632DB" w:rsidP="00137BC9">
      <w:pPr>
        <w:numPr>
          <w:ilvl w:val="0"/>
          <w:numId w:val="60"/>
        </w:numPr>
        <w:spacing w:before="120" w:after="120" w:line="360" w:lineRule="auto"/>
        <w:jc w:val="both"/>
        <w:rPr>
          <w:rFonts w:ascii="Arial" w:hAnsi="Arial" w:cs="Arial"/>
        </w:rPr>
      </w:pPr>
      <w:r w:rsidRPr="00C632DB">
        <w:rPr>
          <w:rFonts w:ascii="Arial" w:hAnsi="Arial" w:cs="Arial"/>
        </w:rPr>
        <w:t>przygotowanie dokumentacji niezbędnej do złożenia wniosków o wydanie wymaganych przepisami prawa decyzji, zgód i zezwoleń administracyjnych albo dokonania zgłoszenia budowy lub robót budowlanych;</w:t>
      </w:r>
    </w:p>
    <w:p w:rsidR="00C632DB" w:rsidRPr="00C632DB" w:rsidRDefault="00C632DB" w:rsidP="00137BC9">
      <w:pPr>
        <w:numPr>
          <w:ilvl w:val="0"/>
          <w:numId w:val="60"/>
        </w:numPr>
        <w:spacing w:before="120" w:after="120" w:line="360" w:lineRule="auto"/>
        <w:jc w:val="both"/>
        <w:rPr>
          <w:rFonts w:ascii="Arial" w:hAnsi="Arial" w:cs="Arial"/>
        </w:rPr>
      </w:pPr>
      <w:r w:rsidRPr="00C632DB">
        <w:rPr>
          <w:rFonts w:ascii="Arial" w:hAnsi="Arial" w:cs="Arial"/>
        </w:rPr>
        <w:t xml:space="preserve">dokumentacja budowlana art. 3 pkt 13 ustawy </w:t>
      </w:r>
      <w:r w:rsidRPr="00044603">
        <w:rPr>
          <w:rFonts w:ascii="Arial" w:hAnsi="Arial" w:cs="Arial"/>
          <w:i/>
        </w:rPr>
        <w:t>Prawo budowlane</w:t>
      </w:r>
      <w:r w:rsidRPr="00C632DB">
        <w:rPr>
          <w:rFonts w:ascii="Arial" w:hAnsi="Arial" w:cs="Arial"/>
        </w:rPr>
        <w:t>, z wyjątkiem związanych z jej prowadzeniem opłat o charakterze publicznoprawnym;</w:t>
      </w:r>
    </w:p>
    <w:p w:rsidR="00C632DB" w:rsidRPr="00C632DB" w:rsidRDefault="00C632DB" w:rsidP="00137BC9">
      <w:pPr>
        <w:numPr>
          <w:ilvl w:val="0"/>
          <w:numId w:val="60"/>
        </w:numPr>
        <w:spacing w:before="120" w:after="120" w:line="360" w:lineRule="auto"/>
        <w:jc w:val="both"/>
        <w:rPr>
          <w:rFonts w:ascii="Arial" w:hAnsi="Arial" w:cs="Arial"/>
        </w:rPr>
      </w:pPr>
      <w:r w:rsidRPr="00C632DB">
        <w:rPr>
          <w:rFonts w:ascii="Arial" w:hAnsi="Arial" w:cs="Arial"/>
        </w:rPr>
        <w:t xml:space="preserve">przygotowanie innej dokumentacji w zakresie, w jakim jest to wymagane zgodnie </w:t>
      </w:r>
      <w:r w:rsidRPr="00C632DB">
        <w:rPr>
          <w:rFonts w:ascii="Arial" w:hAnsi="Arial" w:cs="Arial"/>
        </w:rPr>
        <w:br/>
        <w:t>z obowiązującymi przepisami prawa.</w:t>
      </w:r>
    </w:p>
    <w:p w:rsidR="00C632DB" w:rsidRPr="00C632DB" w:rsidRDefault="00C632DB" w:rsidP="00137BC9">
      <w:pPr>
        <w:numPr>
          <w:ilvl w:val="0"/>
          <w:numId w:val="59"/>
        </w:numPr>
        <w:autoSpaceDE w:val="0"/>
        <w:autoSpaceDN w:val="0"/>
        <w:adjustRightInd w:val="0"/>
        <w:spacing w:before="120" w:after="120" w:line="360" w:lineRule="auto"/>
        <w:jc w:val="both"/>
        <w:rPr>
          <w:rFonts w:ascii="Arial" w:hAnsi="Arial" w:cs="Arial"/>
        </w:rPr>
      </w:pPr>
      <w:r w:rsidRPr="00C632DB">
        <w:rPr>
          <w:rFonts w:ascii="Arial" w:hAnsi="Arial" w:cs="Arial"/>
        </w:rPr>
        <w:t>kosztów nabycia prawa dysponowania nieruchomością związanych z realizacją projektu, w tym w szczególności:</w:t>
      </w:r>
    </w:p>
    <w:p w:rsidR="00C632DB" w:rsidRPr="00C632DB" w:rsidRDefault="00C632DB" w:rsidP="00137BC9">
      <w:pPr>
        <w:numPr>
          <w:ilvl w:val="0"/>
          <w:numId w:val="61"/>
        </w:numPr>
        <w:spacing w:before="120" w:after="120" w:line="360" w:lineRule="auto"/>
        <w:jc w:val="both"/>
        <w:rPr>
          <w:rFonts w:ascii="Arial" w:hAnsi="Arial" w:cs="Arial"/>
        </w:rPr>
      </w:pPr>
      <w:r w:rsidRPr="00C632DB">
        <w:rPr>
          <w:rFonts w:ascii="Arial" w:hAnsi="Arial" w:cs="Arial"/>
        </w:rPr>
        <w:t xml:space="preserve">kategorie wydatków w zakresie określonym w </w:t>
      </w:r>
      <w:r w:rsidRPr="005C74BF">
        <w:rPr>
          <w:rFonts w:ascii="Arial" w:hAnsi="Arial" w:cs="Arial"/>
          <w:i/>
        </w:rPr>
        <w:t>Wytycznych</w:t>
      </w:r>
      <w:r w:rsidRPr="00C632DB">
        <w:rPr>
          <w:rFonts w:ascii="Arial" w:hAnsi="Arial" w:cs="Arial"/>
        </w:rPr>
        <w:t>;</w:t>
      </w:r>
    </w:p>
    <w:p w:rsidR="00C632DB" w:rsidRPr="00C632DB" w:rsidRDefault="00C632DB" w:rsidP="00137BC9">
      <w:pPr>
        <w:numPr>
          <w:ilvl w:val="0"/>
          <w:numId w:val="61"/>
        </w:numPr>
        <w:spacing w:before="120" w:after="120" w:line="360" w:lineRule="auto"/>
        <w:jc w:val="both"/>
        <w:rPr>
          <w:rFonts w:ascii="Arial" w:hAnsi="Arial" w:cs="Arial"/>
        </w:rPr>
      </w:pPr>
      <w:r w:rsidRPr="00C632DB">
        <w:rPr>
          <w:rFonts w:ascii="Arial" w:hAnsi="Arial" w:cs="Arial"/>
        </w:rPr>
        <w:t xml:space="preserve">opłaty dla właściciela, użytkownika wieczystego nieruchomości lub zarządcy nieruchomości w zakresie w jakim wynikają z art. 30 ust. 3b pkt 1) i art. 33 </w:t>
      </w:r>
      <w:proofErr w:type="spellStart"/>
      <w:r w:rsidRPr="00C632DB">
        <w:rPr>
          <w:rFonts w:ascii="Arial" w:hAnsi="Arial" w:cs="Arial"/>
        </w:rPr>
        <w:t>megaustawy</w:t>
      </w:r>
      <w:proofErr w:type="spellEnd"/>
      <w:r w:rsidRPr="00C632DB">
        <w:rPr>
          <w:rFonts w:ascii="Arial" w:hAnsi="Arial" w:cs="Arial"/>
        </w:rPr>
        <w:t xml:space="preserve"> </w:t>
      </w:r>
    </w:p>
    <w:p w:rsidR="00C632DB" w:rsidRPr="00C632DB" w:rsidRDefault="00C632DB" w:rsidP="005C74BF">
      <w:pPr>
        <w:autoSpaceDE w:val="0"/>
        <w:autoSpaceDN w:val="0"/>
        <w:adjustRightInd w:val="0"/>
        <w:spacing w:before="120" w:after="120" w:line="360" w:lineRule="auto"/>
        <w:jc w:val="both"/>
        <w:rPr>
          <w:rFonts w:ascii="Arial" w:hAnsi="Arial" w:cs="Arial"/>
        </w:rPr>
      </w:pPr>
      <w:r w:rsidRPr="00C632DB">
        <w:rPr>
          <w:rFonts w:ascii="Arial" w:hAnsi="Arial" w:cs="Arial"/>
        </w:rPr>
        <w:t xml:space="preserve">W ramach niniejszej kategorii stosowane są limity określone w </w:t>
      </w:r>
      <w:r w:rsidRPr="005C74BF">
        <w:rPr>
          <w:rFonts w:ascii="Arial" w:hAnsi="Arial" w:cs="Arial"/>
          <w:i/>
        </w:rPr>
        <w:t>Wytycznych</w:t>
      </w:r>
      <w:r w:rsidRPr="00C632DB">
        <w:rPr>
          <w:rFonts w:ascii="Arial" w:hAnsi="Arial" w:cs="Arial"/>
        </w:rPr>
        <w:t>.</w:t>
      </w:r>
    </w:p>
    <w:p w:rsidR="00C632DB" w:rsidRPr="00C632DB" w:rsidRDefault="00C632DB" w:rsidP="005C74BF">
      <w:pPr>
        <w:autoSpaceDE w:val="0"/>
        <w:autoSpaceDN w:val="0"/>
        <w:adjustRightInd w:val="0"/>
        <w:spacing w:before="120" w:after="120" w:line="360" w:lineRule="auto"/>
        <w:jc w:val="both"/>
        <w:rPr>
          <w:rFonts w:ascii="Arial" w:hAnsi="Arial" w:cs="Arial"/>
        </w:rPr>
      </w:pPr>
      <w:r w:rsidRPr="00C632DB">
        <w:rPr>
          <w:rFonts w:ascii="Arial" w:hAnsi="Arial" w:cs="Arial"/>
        </w:rPr>
        <w:t>W przypadkach, gdy nabycie nieruchomości stanowi wydatek kwalifikowalny, kwalifikowalne są również wydatki poniesione w związku ze sporządzeniem dokumentacji geodezyjno-kartograficznej, wynagrodzenia rzeczoznawcy oraz opłaty notarialne.</w:t>
      </w:r>
    </w:p>
    <w:p w:rsidR="00C632DB" w:rsidRPr="00C632DB" w:rsidRDefault="00C632DB" w:rsidP="005C74BF">
      <w:pPr>
        <w:autoSpaceDE w:val="0"/>
        <w:autoSpaceDN w:val="0"/>
        <w:adjustRightInd w:val="0"/>
        <w:spacing w:before="120" w:after="120" w:line="360" w:lineRule="auto"/>
        <w:jc w:val="both"/>
        <w:rPr>
          <w:rFonts w:ascii="Arial" w:hAnsi="Arial" w:cs="Arial"/>
        </w:rPr>
      </w:pPr>
      <w:r w:rsidRPr="00C632DB">
        <w:rPr>
          <w:rFonts w:ascii="Arial" w:hAnsi="Arial" w:cs="Arial"/>
        </w:rPr>
        <w:t>W przypadku innych, niż własność i dzierżawa wieczysta, tytułów prawnych do nieruchomości, umowa powinna zostać zawarta na okres nie krótszy niż okres trwałości projektu.</w:t>
      </w:r>
    </w:p>
    <w:p w:rsidR="00C632DB" w:rsidRPr="00C632DB" w:rsidRDefault="00C632DB" w:rsidP="005C74BF">
      <w:pPr>
        <w:autoSpaceDE w:val="0"/>
        <w:autoSpaceDN w:val="0"/>
        <w:adjustRightInd w:val="0"/>
        <w:spacing w:before="120" w:after="120" w:line="360" w:lineRule="auto"/>
        <w:jc w:val="both"/>
        <w:rPr>
          <w:rFonts w:ascii="Arial" w:hAnsi="Arial" w:cs="Arial"/>
        </w:rPr>
      </w:pPr>
      <w:r w:rsidRPr="00C632DB">
        <w:rPr>
          <w:rFonts w:ascii="Arial" w:hAnsi="Arial" w:cs="Arial"/>
        </w:rPr>
        <w:lastRenderedPageBreak/>
        <w:t>Wydatki poniesione w ramach powyższej kategorii są kwalifikowane proporcjonalnie do okresu realizacji projektu co oznacza, że nie są kwalifikowalne wydatki odnoszące się do okresu trwałości i późniejszych, np. nie jest kwalifikowalny pełny koszt nabycia prawa, ale jego odpowiednia część obliczona proporcjonalnie do okresu realizacji projektu.</w:t>
      </w:r>
    </w:p>
    <w:p w:rsidR="00C632DB" w:rsidRPr="00C632DB" w:rsidRDefault="00C632DB" w:rsidP="005C74BF">
      <w:pPr>
        <w:autoSpaceDE w:val="0"/>
        <w:autoSpaceDN w:val="0"/>
        <w:adjustRightInd w:val="0"/>
        <w:spacing w:before="120" w:after="120" w:line="360" w:lineRule="auto"/>
        <w:jc w:val="both"/>
        <w:rPr>
          <w:rFonts w:ascii="Arial" w:hAnsi="Arial" w:cs="Arial"/>
        </w:rPr>
      </w:pPr>
      <w:r w:rsidRPr="00C632DB">
        <w:rPr>
          <w:rFonts w:ascii="Arial" w:hAnsi="Arial" w:cs="Arial"/>
        </w:rPr>
        <w:t xml:space="preserve">Wydatki dotyczące umów lub decyzji w zakresie art. 30 </w:t>
      </w:r>
      <w:proofErr w:type="spellStart"/>
      <w:r w:rsidRPr="00C632DB">
        <w:rPr>
          <w:rFonts w:ascii="Arial" w:hAnsi="Arial" w:cs="Arial"/>
        </w:rPr>
        <w:t>megaustawy</w:t>
      </w:r>
      <w:proofErr w:type="spellEnd"/>
      <w:r w:rsidRPr="00C632DB">
        <w:rPr>
          <w:rFonts w:ascii="Arial" w:hAnsi="Arial" w:cs="Arial"/>
        </w:rPr>
        <w:t xml:space="preserve"> są kwalifikowalne odpowiednio do kwalifikowalnego zakresu projektu (np. niekwalifikowalne będą całościowe wydatki dotyczące udostępnienia instalacji wewnątrzbudynkowej lub miejsca w budynku, ale kwalifikowalne będą takie wydatki, jeśli związane są wyłącznie z realizacją punktu styku w budynku, o którym mowa w § 192f rozporządzenia Ministra Infrastruktury z dnia 12 kwietnia 2002 w sprawie warunków technicznych jakim powinny odpowiadać budynki i ich usytuowanie).</w:t>
      </w:r>
    </w:p>
    <w:p w:rsidR="00C632DB" w:rsidRPr="00C632DB" w:rsidRDefault="00C632DB" w:rsidP="00137BC9">
      <w:pPr>
        <w:numPr>
          <w:ilvl w:val="0"/>
          <w:numId w:val="59"/>
        </w:numPr>
        <w:autoSpaceDE w:val="0"/>
        <w:autoSpaceDN w:val="0"/>
        <w:adjustRightInd w:val="0"/>
        <w:spacing w:before="120" w:after="120" w:line="360" w:lineRule="auto"/>
        <w:jc w:val="both"/>
        <w:rPr>
          <w:rFonts w:ascii="Arial" w:hAnsi="Arial" w:cs="Arial"/>
        </w:rPr>
      </w:pPr>
      <w:r w:rsidRPr="00C632DB">
        <w:rPr>
          <w:rFonts w:ascii="Arial" w:hAnsi="Arial" w:cs="Arial"/>
        </w:rPr>
        <w:t xml:space="preserve">kosztów dostarczenia, instalacji i uruchomienia urządzeń telekomunikacyjnych stanowiących infrastrukturę aktywną sieci NGA, w tym w szczególności: </w:t>
      </w:r>
    </w:p>
    <w:p w:rsidR="00C632DB" w:rsidRPr="00C632DB" w:rsidRDefault="00C632DB" w:rsidP="00137BC9">
      <w:pPr>
        <w:numPr>
          <w:ilvl w:val="0"/>
          <w:numId w:val="62"/>
        </w:numPr>
        <w:spacing w:before="120" w:after="120" w:line="360" w:lineRule="auto"/>
        <w:jc w:val="both"/>
        <w:rPr>
          <w:rFonts w:ascii="Arial" w:hAnsi="Arial" w:cs="Arial"/>
        </w:rPr>
      </w:pPr>
      <w:r w:rsidRPr="00C632DB">
        <w:rPr>
          <w:rFonts w:ascii="Arial" w:hAnsi="Arial" w:cs="Arial"/>
        </w:rPr>
        <w:t>urządzenia telekomunikacyjne stanowiące infrastrukturę aktywną sieci NGA, tj. m.in.: OLT, CMTS, DSLAM, ONU wyłącznie z portami szerokopasmowymi wyposażone w co najmniej dwa takie porty, multipleksery, wzmacniacze, przełącznice, karty liniowe, urządzenia radiowe);</w:t>
      </w:r>
    </w:p>
    <w:p w:rsidR="00C632DB" w:rsidRPr="00C632DB" w:rsidRDefault="00C632DB" w:rsidP="00137BC9">
      <w:pPr>
        <w:numPr>
          <w:ilvl w:val="0"/>
          <w:numId w:val="62"/>
        </w:numPr>
        <w:spacing w:before="120" w:after="120" w:line="360" w:lineRule="auto"/>
        <w:jc w:val="both"/>
        <w:rPr>
          <w:rFonts w:ascii="Arial" w:hAnsi="Arial" w:cs="Arial"/>
        </w:rPr>
      </w:pPr>
      <w:r w:rsidRPr="00C632DB">
        <w:rPr>
          <w:rFonts w:ascii="Arial" w:hAnsi="Arial" w:cs="Arial"/>
        </w:rPr>
        <w:t>usługi związane z konfiguracją urządzeń w sieci telekomunikacyjnej oraz nadzorem technicznym;</w:t>
      </w:r>
    </w:p>
    <w:p w:rsidR="00C632DB" w:rsidRPr="00C632DB" w:rsidRDefault="00C632DB" w:rsidP="00137BC9">
      <w:pPr>
        <w:numPr>
          <w:ilvl w:val="0"/>
          <w:numId w:val="62"/>
        </w:numPr>
        <w:spacing w:before="120" w:after="120" w:line="360" w:lineRule="auto"/>
        <w:jc w:val="both"/>
        <w:rPr>
          <w:rFonts w:ascii="Arial" w:hAnsi="Arial" w:cs="Arial"/>
        </w:rPr>
      </w:pPr>
      <w:r w:rsidRPr="00C632DB">
        <w:rPr>
          <w:rFonts w:ascii="Arial" w:hAnsi="Arial" w:cs="Arial"/>
        </w:rPr>
        <w:t xml:space="preserve">koszty niezbędne do spełnienia minimalnych warunków określonych w „Wymaganiach dla sieci NGA-POPC”, stanowiących załącznik do dokumentacji konkursowej w zakresie sposobu wypełnienia zobowiązania do realizacji sieci POPC spełniającej co najmniej minimalne warunki techniczne określone w pkt 1 tego dokumentu (np. wydatki na porty optyczne dla połączenia z innymi urządzeniami aktywnymi). </w:t>
      </w:r>
    </w:p>
    <w:p w:rsidR="00C632DB" w:rsidRPr="00C632DB" w:rsidRDefault="00C632DB" w:rsidP="005C74BF">
      <w:pPr>
        <w:autoSpaceDE w:val="0"/>
        <w:autoSpaceDN w:val="0"/>
        <w:adjustRightInd w:val="0"/>
        <w:spacing w:before="120" w:after="120" w:line="360" w:lineRule="auto"/>
        <w:jc w:val="both"/>
        <w:rPr>
          <w:rFonts w:ascii="Arial" w:hAnsi="Arial" w:cs="Arial"/>
        </w:rPr>
      </w:pPr>
      <w:r w:rsidRPr="00C632DB">
        <w:rPr>
          <w:rFonts w:ascii="Arial" w:hAnsi="Arial" w:cs="Arial"/>
        </w:rPr>
        <w:t>Koszty te są kwalifikowalne pod warunkiem spełnienia założeń technicznych projektu określonych we wniosku o dofinansowanie.</w:t>
      </w:r>
    </w:p>
    <w:p w:rsidR="00C632DB" w:rsidRPr="00C632DB" w:rsidRDefault="00C632DB" w:rsidP="005C74BF">
      <w:pPr>
        <w:autoSpaceDE w:val="0"/>
        <w:autoSpaceDN w:val="0"/>
        <w:adjustRightInd w:val="0"/>
        <w:spacing w:before="120" w:after="120" w:line="360" w:lineRule="auto"/>
        <w:jc w:val="both"/>
        <w:rPr>
          <w:rFonts w:ascii="Arial" w:hAnsi="Arial" w:cs="Arial"/>
        </w:rPr>
      </w:pPr>
      <w:r w:rsidRPr="00C632DB">
        <w:rPr>
          <w:rFonts w:ascii="Arial" w:hAnsi="Arial" w:cs="Arial"/>
        </w:rPr>
        <w:t>Wyłączona jest kwalifikowalność urządzeń abonenckich zgodnie z zasadami opisanymi w katalogu kosztów niekwalifikowalnych.</w:t>
      </w:r>
    </w:p>
    <w:p w:rsidR="00C632DB" w:rsidRPr="00C632DB" w:rsidRDefault="00C632DB" w:rsidP="00137BC9">
      <w:pPr>
        <w:numPr>
          <w:ilvl w:val="0"/>
          <w:numId w:val="59"/>
        </w:numPr>
        <w:autoSpaceDE w:val="0"/>
        <w:autoSpaceDN w:val="0"/>
        <w:adjustRightInd w:val="0"/>
        <w:spacing w:before="120" w:after="120" w:line="360" w:lineRule="auto"/>
        <w:jc w:val="both"/>
        <w:rPr>
          <w:rFonts w:ascii="Arial" w:hAnsi="Arial" w:cs="Arial"/>
        </w:rPr>
      </w:pPr>
      <w:r w:rsidRPr="00C632DB">
        <w:rPr>
          <w:rFonts w:ascii="Arial" w:hAnsi="Arial" w:cs="Arial"/>
        </w:rPr>
        <w:t>kosztów najmu, dzierżawy lub leasingu pasywnej infrastruktury szerokopasmowej, a także elementów infrastruktury elektroenergetycznej, sanitarnej, wodociągowej oraz kanałów technologicznych, w tym m.in.:</w:t>
      </w:r>
    </w:p>
    <w:p w:rsidR="00C632DB" w:rsidRPr="00C632DB" w:rsidRDefault="00C632DB" w:rsidP="00137BC9">
      <w:pPr>
        <w:numPr>
          <w:ilvl w:val="0"/>
          <w:numId w:val="63"/>
        </w:numPr>
        <w:spacing w:before="120" w:after="120" w:line="360" w:lineRule="auto"/>
        <w:jc w:val="both"/>
        <w:rPr>
          <w:rFonts w:ascii="Arial" w:hAnsi="Arial" w:cs="Arial"/>
        </w:rPr>
      </w:pPr>
      <w:r w:rsidRPr="00C632DB">
        <w:rPr>
          <w:rFonts w:ascii="Arial" w:hAnsi="Arial" w:cs="Arial"/>
        </w:rPr>
        <w:t xml:space="preserve">z tytułu współkorzystania lub dostępu do infrastruktury technicznej, o którym mowa w art. 17 </w:t>
      </w:r>
      <w:proofErr w:type="spellStart"/>
      <w:r w:rsidRPr="00C632DB">
        <w:rPr>
          <w:rFonts w:ascii="Arial" w:hAnsi="Arial" w:cs="Arial"/>
        </w:rPr>
        <w:t>megaustawy</w:t>
      </w:r>
      <w:proofErr w:type="spellEnd"/>
      <w:r w:rsidRPr="00C632DB">
        <w:rPr>
          <w:rFonts w:ascii="Arial" w:hAnsi="Arial" w:cs="Arial"/>
        </w:rPr>
        <w:t>;</w:t>
      </w:r>
    </w:p>
    <w:p w:rsidR="00C632DB" w:rsidRPr="00C632DB" w:rsidRDefault="00C632DB" w:rsidP="00137BC9">
      <w:pPr>
        <w:numPr>
          <w:ilvl w:val="0"/>
          <w:numId w:val="63"/>
        </w:numPr>
        <w:spacing w:before="120" w:after="120" w:line="360" w:lineRule="auto"/>
        <w:jc w:val="both"/>
        <w:rPr>
          <w:rFonts w:ascii="Arial" w:hAnsi="Arial" w:cs="Arial"/>
        </w:rPr>
      </w:pPr>
      <w:r w:rsidRPr="00C632DB">
        <w:rPr>
          <w:rFonts w:ascii="Arial" w:hAnsi="Arial" w:cs="Arial"/>
        </w:rPr>
        <w:lastRenderedPageBreak/>
        <w:t xml:space="preserve">z tytułu korzystania z urządzeń i obiektów infrastruktury technicznej o którym mowa w art. 35 </w:t>
      </w:r>
      <w:proofErr w:type="spellStart"/>
      <w:r w:rsidRPr="00C632DB">
        <w:rPr>
          <w:rFonts w:ascii="Arial" w:hAnsi="Arial" w:cs="Arial"/>
        </w:rPr>
        <w:t>megaustawy</w:t>
      </w:r>
      <w:proofErr w:type="spellEnd"/>
      <w:r w:rsidRPr="00C632DB">
        <w:rPr>
          <w:rFonts w:ascii="Arial" w:hAnsi="Arial" w:cs="Arial"/>
        </w:rPr>
        <w:t>;</w:t>
      </w:r>
    </w:p>
    <w:p w:rsidR="00C632DB" w:rsidRPr="00C632DB" w:rsidRDefault="00C632DB" w:rsidP="00137BC9">
      <w:pPr>
        <w:numPr>
          <w:ilvl w:val="0"/>
          <w:numId w:val="63"/>
        </w:numPr>
        <w:spacing w:before="120" w:after="120" w:line="360" w:lineRule="auto"/>
        <w:jc w:val="both"/>
        <w:rPr>
          <w:rFonts w:ascii="Arial" w:hAnsi="Arial" w:cs="Arial"/>
        </w:rPr>
      </w:pPr>
      <w:r w:rsidRPr="00C632DB">
        <w:rPr>
          <w:rFonts w:ascii="Arial" w:hAnsi="Arial" w:cs="Arial"/>
        </w:rPr>
        <w:t>z tytułu udostępnienia kanałów technologicznych, o których mowa w art. 39 ust. 7 ustawy z dnia 21 marca 1985 r. o drogach publicznych (</w:t>
      </w:r>
      <w:r w:rsidR="00DF65A1">
        <w:rPr>
          <w:rFonts w:ascii="Arial" w:hAnsi="Arial" w:cs="Arial"/>
        </w:rPr>
        <w:t>j.t.</w:t>
      </w:r>
      <w:r w:rsidRPr="00C632DB">
        <w:rPr>
          <w:rFonts w:ascii="Arial" w:hAnsi="Arial" w:cs="Arial"/>
        </w:rPr>
        <w:t xml:space="preserve"> Dz. U.  201</w:t>
      </w:r>
      <w:r w:rsidR="00DF65A1">
        <w:rPr>
          <w:rFonts w:ascii="Arial" w:hAnsi="Arial" w:cs="Arial"/>
        </w:rPr>
        <w:t>6</w:t>
      </w:r>
      <w:r w:rsidRPr="00C632DB">
        <w:rPr>
          <w:rFonts w:ascii="Arial" w:hAnsi="Arial" w:cs="Arial"/>
        </w:rPr>
        <w:t xml:space="preserve"> r. poz. </w:t>
      </w:r>
      <w:r w:rsidR="00DF65A1">
        <w:rPr>
          <w:rFonts w:ascii="Arial" w:hAnsi="Arial" w:cs="Arial"/>
        </w:rPr>
        <w:t>14</w:t>
      </w:r>
      <w:r w:rsidRPr="00C632DB">
        <w:rPr>
          <w:rFonts w:ascii="Arial" w:hAnsi="Arial" w:cs="Arial"/>
        </w:rPr>
        <w:t>40);</w:t>
      </w:r>
    </w:p>
    <w:p w:rsidR="00C632DB" w:rsidRPr="00C632DB" w:rsidRDefault="00C632DB" w:rsidP="00137BC9">
      <w:pPr>
        <w:numPr>
          <w:ilvl w:val="0"/>
          <w:numId w:val="63"/>
        </w:numPr>
        <w:spacing w:before="120" w:after="120" w:line="360" w:lineRule="auto"/>
        <w:jc w:val="both"/>
        <w:rPr>
          <w:rFonts w:ascii="Arial" w:hAnsi="Arial" w:cs="Arial"/>
        </w:rPr>
      </w:pPr>
      <w:r w:rsidRPr="00C632DB">
        <w:rPr>
          <w:rFonts w:ascii="Arial" w:hAnsi="Arial" w:cs="Arial"/>
        </w:rPr>
        <w:t xml:space="preserve">z tytułu uzyskania dostępu o którym mowa w art. 139 ustawy </w:t>
      </w:r>
      <w:r w:rsidRPr="00846EBE">
        <w:rPr>
          <w:rFonts w:ascii="Arial" w:hAnsi="Arial" w:cs="Arial"/>
          <w:i/>
        </w:rPr>
        <w:t>Prawo telekomunikacyjne</w:t>
      </w:r>
      <w:r w:rsidR="00DF65A1">
        <w:rPr>
          <w:rFonts w:ascii="Arial" w:hAnsi="Arial" w:cs="Arial"/>
          <w:i/>
        </w:rPr>
        <w:t>.</w:t>
      </w:r>
      <w:r w:rsidRPr="00C632DB">
        <w:rPr>
          <w:rFonts w:ascii="Arial" w:hAnsi="Arial" w:cs="Arial"/>
        </w:rPr>
        <w:t xml:space="preserve"> </w:t>
      </w:r>
    </w:p>
    <w:p w:rsidR="00C632DB" w:rsidRPr="00C632DB" w:rsidRDefault="00C632DB" w:rsidP="005C74BF">
      <w:pPr>
        <w:autoSpaceDE w:val="0"/>
        <w:autoSpaceDN w:val="0"/>
        <w:adjustRightInd w:val="0"/>
        <w:spacing w:before="120" w:after="120" w:line="360" w:lineRule="auto"/>
        <w:jc w:val="both"/>
        <w:rPr>
          <w:rFonts w:ascii="Arial" w:hAnsi="Arial" w:cs="Arial"/>
        </w:rPr>
      </w:pPr>
      <w:r w:rsidRPr="00C632DB">
        <w:rPr>
          <w:rFonts w:ascii="Arial" w:hAnsi="Arial" w:cs="Arial"/>
        </w:rPr>
        <w:t>Koszty te są kwalifikowalne pod warunkiem spełnienia założeń technicznych projektu określonych we wniosku o dofinansowanie.</w:t>
      </w:r>
    </w:p>
    <w:p w:rsidR="00C632DB" w:rsidRPr="00C632DB" w:rsidRDefault="00C632DB" w:rsidP="005C74BF">
      <w:pPr>
        <w:autoSpaceDE w:val="0"/>
        <w:autoSpaceDN w:val="0"/>
        <w:adjustRightInd w:val="0"/>
        <w:spacing w:before="120" w:after="120" w:line="360" w:lineRule="auto"/>
        <w:jc w:val="both"/>
        <w:rPr>
          <w:rFonts w:ascii="Arial" w:hAnsi="Arial" w:cs="Arial"/>
        </w:rPr>
      </w:pPr>
      <w:r w:rsidRPr="00C632DB">
        <w:rPr>
          <w:rFonts w:ascii="Arial" w:hAnsi="Arial" w:cs="Arial"/>
        </w:rPr>
        <w:t>W przypadku najmu, dzierżawy, IRU i innych, niż własność i dzierżawa wieczysta, tytułów prawnych do nieruchomości, koszt jest kwalifikowany pod warunkiem, że umowa została zawarta na okres nie krótszy niż okres trwałości projektu i nie krótszy niż minimalny okres świadczenia hurtowego dostępu określony rozporządzeniem pomocowym dla I osi.</w:t>
      </w:r>
    </w:p>
    <w:p w:rsidR="00C632DB" w:rsidRPr="00C632DB" w:rsidRDefault="00C632DB" w:rsidP="005C74BF">
      <w:pPr>
        <w:autoSpaceDE w:val="0"/>
        <w:autoSpaceDN w:val="0"/>
        <w:adjustRightInd w:val="0"/>
        <w:spacing w:before="120" w:after="120" w:line="360" w:lineRule="auto"/>
        <w:jc w:val="both"/>
        <w:rPr>
          <w:rFonts w:ascii="Arial" w:hAnsi="Arial" w:cs="Arial"/>
        </w:rPr>
      </w:pPr>
      <w:r w:rsidRPr="00C632DB">
        <w:rPr>
          <w:rFonts w:ascii="Arial" w:hAnsi="Arial" w:cs="Arial"/>
        </w:rPr>
        <w:t>Wydatki wynikające z umów lub decyzji w ramach niniejszej kategorii, są kwalifikowalne proporcjonalnie do okresu realizacji projektu, tj. nie są kwalifikowalne wydatki odnoszące się do okresu trwałości i późniejszych.</w:t>
      </w:r>
    </w:p>
    <w:p w:rsidR="00C632DB" w:rsidRPr="00C632DB" w:rsidRDefault="00C632DB" w:rsidP="005C74BF">
      <w:pPr>
        <w:autoSpaceDE w:val="0"/>
        <w:autoSpaceDN w:val="0"/>
        <w:adjustRightInd w:val="0"/>
        <w:spacing w:before="120" w:after="120" w:line="360" w:lineRule="auto"/>
        <w:jc w:val="both"/>
        <w:rPr>
          <w:rFonts w:ascii="Arial" w:hAnsi="Arial" w:cs="Arial"/>
        </w:rPr>
      </w:pPr>
      <w:r w:rsidRPr="00C632DB">
        <w:rPr>
          <w:rFonts w:ascii="Arial" w:hAnsi="Arial" w:cs="Arial"/>
        </w:rPr>
        <w:t>IRU jest kwalifikowalne do wysokości 5% wydatków kwalifikowalnych projektu.</w:t>
      </w:r>
    </w:p>
    <w:p w:rsidR="00C632DB" w:rsidRPr="00C632DB" w:rsidRDefault="00C632DB" w:rsidP="005C74BF">
      <w:pPr>
        <w:autoSpaceDE w:val="0"/>
        <w:autoSpaceDN w:val="0"/>
        <w:adjustRightInd w:val="0"/>
        <w:spacing w:before="120" w:after="120" w:line="360" w:lineRule="auto"/>
        <w:jc w:val="both"/>
        <w:rPr>
          <w:rFonts w:ascii="Arial" w:hAnsi="Arial" w:cs="Arial"/>
        </w:rPr>
      </w:pPr>
      <w:r w:rsidRPr="00C632DB">
        <w:rPr>
          <w:rFonts w:ascii="Arial" w:hAnsi="Arial" w:cs="Arial"/>
        </w:rPr>
        <w:t>Całkowite wydatki kwalifikowalne w ramach tej kategorii wydatków nie mogą przekroczyć 10% wydatków kwalifikowalnych projektu.</w:t>
      </w:r>
    </w:p>
    <w:p w:rsidR="00C632DB" w:rsidRPr="00C632DB" w:rsidRDefault="00C632DB" w:rsidP="00137BC9">
      <w:pPr>
        <w:numPr>
          <w:ilvl w:val="0"/>
          <w:numId w:val="59"/>
        </w:numPr>
        <w:autoSpaceDE w:val="0"/>
        <w:autoSpaceDN w:val="0"/>
        <w:adjustRightInd w:val="0"/>
        <w:spacing w:before="120" w:after="120" w:line="360" w:lineRule="auto"/>
        <w:jc w:val="both"/>
        <w:rPr>
          <w:rFonts w:ascii="Arial" w:hAnsi="Arial" w:cs="Arial"/>
        </w:rPr>
      </w:pPr>
      <w:r w:rsidRPr="00C632DB">
        <w:rPr>
          <w:rFonts w:ascii="Arial" w:hAnsi="Arial" w:cs="Arial"/>
        </w:rPr>
        <w:t>kosztów inwestycyjnych budowy sieci NGA, w tym związanych z przebudową i rozbudową podstawowej sieci szerokopasmowej do standardu sieci NGA, w tym w szczególności:</w:t>
      </w:r>
    </w:p>
    <w:p w:rsidR="00C632DB" w:rsidRPr="00C632DB" w:rsidRDefault="00C632DB" w:rsidP="00137BC9">
      <w:pPr>
        <w:numPr>
          <w:ilvl w:val="0"/>
          <w:numId w:val="64"/>
        </w:numPr>
        <w:spacing w:before="120" w:after="120" w:line="360" w:lineRule="auto"/>
        <w:jc w:val="both"/>
        <w:rPr>
          <w:rFonts w:ascii="Arial" w:hAnsi="Arial" w:cs="Arial"/>
        </w:rPr>
      </w:pPr>
      <w:r w:rsidRPr="00C632DB">
        <w:rPr>
          <w:rFonts w:ascii="Arial" w:hAnsi="Arial" w:cs="Arial"/>
        </w:rPr>
        <w:t>urządzenia niezbędne dla funkcjonowania sieci telekomunikacyjnej, tj. urządzenia służące do zasilania, wentylacji, klimatyzacji, urządzenia alarmowe służące zabezpieczeniu przed kradzieżą, wandalizmem i włamaniami, urządzenia niezbędne do zapewnienia ochrony przeciwprzepięciowej i odgromowej;</w:t>
      </w:r>
    </w:p>
    <w:p w:rsidR="00C632DB" w:rsidRPr="00C632DB" w:rsidRDefault="00C632DB" w:rsidP="00137BC9">
      <w:pPr>
        <w:numPr>
          <w:ilvl w:val="0"/>
          <w:numId w:val="64"/>
        </w:numPr>
        <w:spacing w:before="120" w:after="120" w:line="360" w:lineRule="auto"/>
        <w:jc w:val="both"/>
        <w:rPr>
          <w:rFonts w:ascii="Arial" w:hAnsi="Arial" w:cs="Arial"/>
        </w:rPr>
      </w:pPr>
      <w:r w:rsidRPr="00C632DB">
        <w:rPr>
          <w:rFonts w:ascii="Arial" w:hAnsi="Arial" w:cs="Arial"/>
        </w:rPr>
        <w:t>koszty przyłączenia do sieci elektroenergetycznej lub innej formy zapewnienia zasilania w energię elektryczną.</w:t>
      </w:r>
    </w:p>
    <w:p w:rsidR="00C632DB" w:rsidRPr="00C632DB" w:rsidRDefault="00C632DB" w:rsidP="005C74BF">
      <w:pPr>
        <w:autoSpaceDE w:val="0"/>
        <w:autoSpaceDN w:val="0"/>
        <w:adjustRightInd w:val="0"/>
        <w:spacing w:before="120" w:after="120" w:line="360" w:lineRule="auto"/>
        <w:jc w:val="both"/>
        <w:rPr>
          <w:rFonts w:ascii="Arial" w:hAnsi="Arial" w:cs="Arial"/>
        </w:rPr>
      </w:pPr>
      <w:r w:rsidRPr="00C632DB">
        <w:rPr>
          <w:rFonts w:ascii="Arial" w:hAnsi="Arial" w:cs="Arial"/>
        </w:rPr>
        <w:t>Wyłączona jest kwalifikowalność urządzeń abonenckich zgodnie z zasadami opisanymi w katalogu kosztów niekwalifikowalnych.</w:t>
      </w:r>
    </w:p>
    <w:p w:rsidR="00C632DB" w:rsidRPr="00C632DB" w:rsidRDefault="00C632DB" w:rsidP="00137BC9">
      <w:pPr>
        <w:numPr>
          <w:ilvl w:val="0"/>
          <w:numId w:val="59"/>
        </w:numPr>
        <w:autoSpaceDE w:val="0"/>
        <w:autoSpaceDN w:val="0"/>
        <w:adjustRightInd w:val="0"/>
        <w:spacing w:before="120" w:after="120" w:line="360" w:lineRule="auto"/>
        <w:jc w:val="both"/>
        <w:rPr>
          <w:rFonts w:ascii="Arial" w:hAnsi="Arial" w:cs="Arial"/>
        </w:rPr>
      </w:pPr>
      <w:r w:rsidRPr="00C632DB">
        <w:rPr>
          <w:rFonts w:ascii="Arial" w:hAnsi="Arial" w:cs="Arial"/>
        </w:rPr>
        <w:t>kosztów nabycia wartości niematerialnych i prawnych:</w:t>
      </w:r>
    </w:p>
    <w:p w:rsidR="00C632DB" w:rsidRPr="00C632DB" w:rsidRDefault="00C632DB" w:rsidP="00137BC9">
      <w:pPr>
        <w:numPr>
          <w:ilvl w:val="0"/>
          <w:numId w:val="65"/>
        </w:numPr>
        <w:spacing w:before="120" w:after="120" w:line="360" w:lineRule="auto"/>
        <w:jc w:val="both"/>
        <w:rPr>
          <w:rFonts w:ascii="Arial" w:hAnsi="Arial" w:cs="Arial"/>
        </w:rPr>
      </w:pPr>
      <w:r w:rsidRPr="00C632DB">
        <w:rPr>
          <w:rFonts w:ascii="Arial" w:hAnsi="Arial" w:cs="Arial"/>
        </w:rPr>
        <w:t>wraz z kosztem instalacji (wdrożenia), do łącznej wysokości 5% wartości kosztów kwalifikowanych projektu;</w:t>
      </w:r>
    </w:p>
    <w:p w:rsidR="00C632DB" w:rsidRPr="00C632DB" w:rsidRDefault="00C632DB" w:rsidP="00137BC9">
      <w:pPr>
        <w:numPr>
          <w:ilvl w:val="0"/>
          <w:numId w:val="65"/>
        </w:numPr>
        <w:spacing w:before="120" w:after="120" w:line="360" w:lineRule="auto"/>
        <w:jc w:val="both"/>
        <w:rPr>
          <w:rFonts w:ascii="Arial" w:hAnsi="Arial" w:cs="Arial"/>
        </w:rPr>
      </w:pPr>
      <w:r w:rsidRPr="00C632DB">
        <w:rPr>
          <w:rFonts w:ascii="Arial" w:hAnsi="Arial" w:cs="Arial"/>
        </w:rPr>
        <w:lastRenderedPageBreak/>
        <w:t>amortyzacja wartości niematerialnych z zachowaniem zasad ogólnych dotyczących amortyzacji danego rodzaju wartości niematerialnych w zakresie i w czasie, w jakim są one wykorzystywane do realizacji projektu.</w:t>
      </w:r>
    </w:p>
    <w:p w:rsidR="00C632DB" w:rsidRDefault="00C632DB" w:rsidP="005C74BF">
      <w:pPr>
        <w:autoSpaceDE w:val="0"/>
        <w:autoSpaceDN w:val="0"/>
        <w:adjustRightInd w:val="0"/>
        <w:spacing w:before="120" w:after="120" w:line="360" w:lineRule="auto"/>
        <w:jc w:val="both"/>
        <w:rPr>
          <w:rFonts w:ascii="Arial" w:hAnsi="Arial" w:cs="Arial"/>
        </w:rPr>
      </w:pPr>
      <w:r w:rsidRPr="00C632DB">
        <w:rPr>
          <w:rFonts w:ascii="Arial" w:hAnsi="Arial" w:cs="Arial"/>
        </w:rPr>
        <w:t xml:space="preserve">Wydatki te są kwalifikowalne z uwzględnieniem przyjętych założeń technicznych projektu określonych we wniosku o dofinansowanie. </w:t>
      </w:r>
    </w:p>
    <w:p w:rsidR="00DF65A1" w:rsidRPr="009C6AED" w:rsidRDefault="00DF65A1" w:rsidP="00DF65A1">
      <w:pPr>
        <w:pStyle w:val="Nagwek2"/>
        <w:numPr>
          <w:ilvl w:val="2"/>
          <w:numId w:val="1"/>
        </w:numPr>
        <w:spacing w:before="240" w:after="60" w:line="360" w:lineRule="auto"/>
        <w:jc w:val="center"/>
        <w:rPr>
          <w:rFonts w:ascii="Arial" w:hAnsi="Arial" w:cs="Arial"/>
          <w:b w:val="0"/>
          <w:i/>
          <w:color w:val="auto"/>
          <w:sz w:val="24"/>
          <w:szCs w:val="24"/>
        </w:rPr>
      </w:pPr>
      <w:bookmarkStart w:id="129" w:name="_Toc498949832"/>
      <w:bookmarkStart w:id="130" w:name="_Toc466374126"/>
      <w:bookmarkStart w:id="131" w:name="_Toc508630124"/>
      <w:bookmarkEnd w:id="129"/>
      <w:r w:rsidRPr="009C6AED">
        <w:rPr>
          <w:rFonts w:ascii="Arial" w:hAnsi="Arial" w:cs="Arial"/>
          <w:b w:val="0"/>
          <w:i/>
          <w:color w:val="auto"/>
          <w:sz w:val="24"/>
          <w:szCs w:val="24"/>
        </w:rPr>
        <w:t xml:space="preserve">Kwalifikowalność wydatków w ramach pomocy de </w:t>
      </w:r>
      <w:proofErr w:type="spellStart"/>
      <w:r w:rsidRPr="009C6AED">
        <w:rPr>
          <w:rFonts w:ascii="Arial" w:hAnsi="Arial" w:cs="Arial"/>
          <w:b w:val="0"/>
          <w:i/>
          <w:color w:val="auto"/>
          <w:sz w:val="24"/>
          <w:szCs w:val="24"/>
        </w:rPr>
        <w:t>minimis</w:t>
      </w:r>
      <w:bookmarkEnd w:id="130"/>
      <w:bookmarkEnd w:id="131"/>
      <w:proofErr w:type="spellEnd"/>
    </w:p>
    <w:p w:rsidR="00DF65A1" w:rsidRPr="00DF65A1" w:rsidRDefault="00DF65A1" w:rsidP="00DF65A1">
      <w:pPr>
        <w:autoSpaceDE w:val="0"/>
        <w:autoSpaceDN w:val="0"/>
        <w:adjustRightInd w:val="0"/>
        <w:spacing w:before="120" w:after="120" w:line="360" w:lineRule="auto"/>
        <w:jc w:val="both"/>
        <w:rPr>
          <w:rFonts w:ascii="Arial" w:hAnsi="Arial" w:cs="Arial"/>
        </w:rPr>
      </w:pPr>
      <w:r w:rsidRPr="00DF65A1">
        <w:rPr>
          <w:rFonts w:ascii="Arial" w:hAnsi="Arial" w:cs="Arial"/>
        </w:rPr>
        <w:t xml:space="preserve">Do wydatków kwalifikujących się do objęcia wsparciem w ramach pomocy </w:t>
      </w:r>
      <w:r w:rsidRPr="009C6AED">
        <w:rPr>
          <w:rFonts w:ascii="Arial" w:hAnsi="Arial" w:cs="Arial"/>
          <w:i/>
        </w:rPr>
        <w:t xml:space="preserve">de </w:t>
      </w:r>
      <w:proofErr w:type="spellStart"/>
      <w:r w:rsidRPr="009C6AED">
        <w:rPr>
          <w:rFonts w:ascii="Arial" w:hAnsi="Arial" w:cs="Arial"/>
          <w:i/>
        </w:rPr>
        <w:t>minimis</w:t>
      </w:r>
      <w:proofErr w:type="spellEnd"/>
      <w:r w:rsidRPr="00DF65A1">
        <w:rPr>
          <w:rFonts w:ascii="Arial" w:hAnsi="Arial" w:cs="Arial"/>
        </w:rPr>
        <w:t xml:space="preserve"> udzielanej na podstawie Rozporządzenia Komisji (UE) nr 1407/2013 zalicza się wydatki na:</w:t>
      </w:r>
    </w:p>
    <w:p w:rsidR="00DF65A1" w:rsidRPr="00DF65A1" w:rsidRDefault="00DF65A1" w:rsidP="00137BC9">
      <w:pPr>
        <w:numPr>
          <w:ilvl w:val="0"/>
          <w:numId w:val="66"/>
        </w:numPr>
        <w:autoSpaceDE w:val="0"/>
        <w:autoSpaceDN w:val="0"/>
        <w:adjustRightInd w:val="0"/>
        <w:spacing w:before="120" w:after="120" w:line="360" w:lineRule="auto"/>
        <w:jc w:val="both"/>
        <w:rPr>
          <w:rFonts w:ascii="Arial" w:hAnsi="Arial" w:cs="Arial"/>
        </w:rPr>
      </w:pPr>
      <w:r w:rsidRPr="00DF65A1">
        <w:rPr>
          <w:rFonts w:ascii="Arial" w:hAnsi="Arial" w:cs="Arial"/>
        </w:rPr>
        <w:t>opłaty publicznoprawne związane z przygotowaniem i realizacją projektu, w szczególności za wydanie decyzji, zgód, zezwoleń, w tym m.in.:</w:t>
      </w:r>
    </w:p>
    <w:p w:rsidR="00DF65A1" w:rsidRPr="00DF65A1" w:rsidRDefault="00DF65A1" w:rsidP="00137BC9">
      <w:pPr>
        <w:numPr>
          <w:ilvl w:val="0"/>
          <w:numId w:val="67"/>
        </w:numPr>
        <w:spacing w:before="120" w:after="120" w:line="360" w:lineRule="auto"/>
        <w:jc w:val="both"/>
        <w:rPr>
          <w:rFonts w:ascii="Arial" w:hAnsi="Arial" w:cs="Arial"/>
        </w:rPr>
      </w:pPr>
      <w:r w:rsidRPr="00DF65A1">
        <w:rPr>
          <w:rFonts w:ascii="Arial" w:hAnsi="Arial" w:cs="Arial"/>
        </w:rPr>
        <w:t>opłaty związane z zajęciem pasa drogowego w celu prowadzenia robót w pasie drogowym,</w:t>
      </w:r>
    </w:p>
    <w:p w:rsidR="00DF65A1" w:rsidRPr="00DF65A1" w:rsidRDefault="00DF65A1" w:rsidP="00137BC9">
      <w:pPr>
        <w:numPr>
          <w:ilvl w:val="0"/>
          <w:numId w:val="67"/>
        </w:numPr>
        <w:spacing w:before="120" w:after="120" w:line="360" w:lineRule="auto"/>
        <w:jc w:val="both"/>
        <w:rPr>
          <w:rFonts w:ascii="Arial" w:hAnsi="Arial" w:cs="Arial"/>
        </w:rPr>
      </w:pPr>
      <w:r w:rsidRPr="00DF65A1">
        <w:rPr>
          <w:rFonts w:ascii="Arial" w:hAnsi="Arial" w:cs="Arial"/>
        </w:rPr>
        <w:t>opłaty związane z uzyskaniem pozwolenia na budowę</w:t>
      </w:r>
      <w:r>
        <w:rPr>
          <w:rFonts w:ascii="Arial" w:hAnsi="Arial" w:cs="Arial"/>
        </w:rPr>
        <w:t>,</w:t>
      </w:r>
    </w:p>
    <w:p w:rsidR="00DF65A1" w:rsidRPr="00DF65A1" w:rsidRDefault="00DF65A1" w:rsidP="00DF65A1">
      <w:pPr>
        <w:autoSpaceDE w:val="0"/>
        <w:autoSpaceDN w:val="0"/>
        <w:adjustRightInd w:val="0"/>
        <w:spacing w:before="120" w:after="120" w:line="360" w:lineRule="auto"/>
        <w:jc w:val="both"/>
        <w:rPr>
          <w:rFonts w:ascii="Arial" w:hAnsi="Arial" w:cs="Arial"/>
        </w:rPr>
      </w:pPr>
      <w:r w:rsidRPr="00DF65A1">
        <w:rPr>
          <w:rFonts w:ascii="Arial" w:hAnsi="Arial" w:cs="Arial"/>
        </w:rPr>
        <w:t>- wydatki te są niekwalifikowalne, jeśli stanowią karę za naruszenie obowiązujących przepisów prawa;</w:t>
      </w:r>
    </w:p>
    <w:p w:rsidR="00DF65A1" w:rsidRPr="00DF65A1" w:rsidRDefault="00DF65A1" w:rsidP="00137BC9">
      <w:pPr>
        <w:numPr>
          <w:ilvl w:val="0"/>
          <w:numId w:val="66"/>
        </w:numPr>
        <w:autoSpaceDE w:val="0"/>
        <w:autoSpaceDN w:val="0"/>
        <w:adjustRightInd w:val="0"/>
        <w:spacing w:before="120" w:after="120" w:line="360" w:lineRule="auto"/>
        <w:jc w:val="both"/>
        <w:rPr>
          <w:rFonts w:ascii="Arial" w:hAnsi="Arial" w:cs="Arial"/>
        </w:rPr>
      </w:pPr>
      <w:r w:rsidRPr="00DF65A1">
        <w:rPr>
          <w:rFonts w:ascii="Arial" w:hAnsi="Arial" w:cs="Arial"/>
        </w:rPr>
        <w:t xml:space="preserve">dokumentację powykonawczą w rozumieniu  </w:t>
      </w:r>
      <w:r>
        <w:rPr>
          <w:rFonts w:ascii="Arial" w:hAnsi="Arial" w:cs="Arial"/>
        </w:rPr>
        <w:t>-</w:t>
      </w:r>
      <w:r w:rsidRPr="00DF65A1">
        <w:rPr>
          <w:rFonts w:ascii="Arial" w:hAnsi="Arial" w:cs="Arial"/>
        </w:rPr>
        <w:t xml:space="preserve"> </w:t>
      </w:r>
      <w:r w:rsidRPr="00DF65A1">
        <w:rPr>
          <w:rFonts w:ascii="Arial" w:hAnsi="Arial" w:cs="Arial"/>
          <w:i/>
        </w:rPr>
        <w:t>Praw</w:t>
      </w:r>
      <w:r>
        <w:rPr>
          <w:rFonts w:ascii="Arial" w:hAnsi="Arial" w:cs="Arial"/>
          <w:i/>
        </w:rPr>
        <w:t>a</w:t>
      </w:r>
      <w:r w:rsidRPr="00DF65A1">
        <w:rPr>
          <w:rFonts w:ascii="Arial" w:hAnsi="Arial" w:cs="Arial"/>
          <w:i/>
        </w:rPr>
        <w:t xml:space="preserve"> budowlane</w:t>
      </w:r>
      <w:r>
        <w:rPr>
          <w:rFonts w:ascii="Arial" w:hAnsi="Arial" w:cs="Arial"/>
          <w:i/>
        </w:rPr>
        <w:t>go</w:t>
      </w:r>
      <w:r w:rsidRPr="00DF65A1">
        <w:rPr>
          <w:rFonts w:ascii="Arial" w:hAnsi="Arial" w:cs="Arial"/>
        </w:rPr>
        <w:t>;</w:t>
      </w:r>
    </w:p>
    <w:p w:rsidR="00DF65A1" w:rsidRPr="00DF65A1" w:rsidRDefault="00DF65A1" w:rsidP="00137BC9">
      <w:pPr>
        <w:numPr>
          <w:ilvl w:val="0"/>
          <w:numId w:val="66"/>
        </w:numPr>
        <w:autoSpaceDE w:val="0"/>
        <w:autoSpaceDN w:val="0"/>
        <w:adjustRightInd w:val="0"/>
        <w:spacing w:before="120" w:after="120" w:line="360" w:lineRule="auto"/>
        <w:jc w:val="both"/>
        <w:rPr>
          <w:rFonts w:ascii="Arial" w:hAnsi="Arial" w:cs="Arial"/>
        </w:rPr>
      </w:pPr>
      <w:r w:rsidRPr="00DF65A1">
        <w:rPr>
          <w:rFonts w:ascii="Arial" w:hAnsi="Arial" w:cs="Arial"/>
        </w:rPr>
        <w:t>obsługę instrumentów zabezpieczających realizację umowy o udzielenie wsparcia</w:t>
      </w:r>
      <w:r w:rsidRPr="00DF65A1">
        <w:rPr>
          <w:rFonts w:ascii="Arial" w:hAnsi="Arial" w:cs="Arial"/>
          <w:vertAlign w:val="superscript"/>
        </w:rPr>
        <w:footnoteReference w:id="21"/>
      </w:r>
      <w:r w:rsidRPr="00DF65A1">
        <w:rPr>
          <w:rFonts w:ascii="Arial" w:hAnsi="Arial" w:cs="Arial"/>
        </w:rPr>
        <w:t>, określonych w umowie o udzielenie wsparcia;</w:t>
      </w:r>
    </w:p>
    <w:p w:rsidR="00DF65A1" w:rsidRPr="00DB5FC3" w:rsidRDefault="00DF65A1" w:rsidP="00137BC9">
      <w:pPr>
        <w:numPr>
          <w:ilvl w:val="0"/>
          <w:numId w:val="66"/>
        </w:numPr>
        <w:autoSpaceDE w:val="0"/>
        <w:autoSpaceDN w:val="0"/>
        <w:adjustRightInd w:val="0"/>
        <w:spacing w:before="120" w:after="120" w:line="360" w:lineRule="auto"/>
        <w:jc w:val="both"/>
        <w:rPr>
          <w:rFonts w:ascii="Arial" w:hAnsi="Arial" w:cs="Arial"/>
        </w:rPr>
      </w:pPr>
      <w:r w:rsidRPr="00DF65A1">
        <w:rPr>
          <w:rFonts w:ascii="Arial" w:hAnsi="Arial" w:cs="Arial"/>
        </w:rPr>
        <w:t xml:space="preserve">wydatki związane z przygotowaniem projektu w zakresie w jakim są niezbędne do złożenia wniosku o dofinansowanie, do kwoty nieprzekraczającej 20 tys. zł oraz </w:t>
      </w:r>
      <w:r w:rsidRPr="00DB5FC3">
        <w:rPr>
          <w:rFonts w:ascii="Arial" w:hAnsi="Arial" w:cs="Arial"/>
        </w:rPr>
        <w:t>poniesione nie wcześniej niż 3 miesiące przed dniem złożenia tego wniosku, dotyczące:</w:t>
      </w:r>
    </w:p>
    <w:p w:rsidR="00DF65A1" w:rsidRPr="00DB5FC3" w:rsidRDefault="00DF65A1" w:rsidP="00137BC9">
      <w:pPr>
        <w:numPr>
          <w:ilvl w:val="0"/>
          <w:numId w:val="68"/>
        </w:numPr>
        <w:spacing w:before="120" w:after="120" w:line="360" w:lineRule="auto"/>
        <w:jc w:val="both"/>
        <w:rPr>
          <w:rFonts w:ascii="Arial" w:hAnsi="Arial" w:cs="Arial"/>
        </w:rPr>
      </w:pPr>
      <w:r w:rsidRPr="00DB5FC3">
        <w:rPr>
          <w:rFonts w:ascii="Arial" w:hAnsi="Arial" w:cs="Arial"/>
        </w:rPr>
        <w:t xml:space="preserve">dokumentacji projektowej </w:t>
      </w:r>
    </w:p>
    <w:p w:rsidR="00DF65A1" w:rsidRPr="00906D5B" w:rsidRDefault="00DF65A1" w:rsidP="00137BC9">
      <w:pPr>
        <w:numPr>
          <w:ilvl w:val="0"/>
          <w:numId w:val="68"/>
        </w:numPr>
        <w:spacing w:before="120" w:after="120" w:line="360" w:lineRule="auto"/>
        <w:jc w:val="both"/>
        <w:rPr>
          <w:rFonts w:ascii="Arial" w:hAnsi="Arial" w:cs="Arial"/>
        </w:rPr>
      </w:pPr>
      <w:r w:rsidRPr="009C4ADD">
        <w:rPr>
          <w:rFonts w:ascii="Arial" w:hAnsi="Arial" w:cs="Arial"/>
        </w:rPr>
        <w:t>dokumentacji</w:t>
      </w:r>
      <w:r w:rsidRPr="00906D5B">
        <w:rPr>
          <w:rFonts w:ascii="Arial" w:hAnsi="Arial" w:cs="Arial"/>
        </w:rPr>
        <w:t xml:space="preserve"> technicznej, </w:t>
      </w:r>
    </w:p>
    <w:p w:rsidR="00DF65A1" w:rsidRPr="00B7472D" w:rsidRDefault="00DF65A1" w:rsidP="00137BC9">
      <w:pPr>
        <w:numPr>
          <w:ilvl w:val="0"/>
          <w:numId w:val="68"/>
        </w:numPr>
        <w:spacing w:before="120" w:after="120" w:line="360" w:lineRule="auto"/>
        <w:jc w:val="both"/>
        <w:rPr>
          <w:rFonts w:ascii="Arial" w:hAnsi="Arial" w:cs="Arial"/>
        </w:rPr>
      </w:pPr>
      <w:r w:rsidRPr="00906D5B">
        <w:rPr>
          <w:rFonts w:ascii="Arial" w:hAnsi="Arial" w:cs="Arial"/>
        </w:rPr>
        <w:t xml:space="preserve">studium wykonalności lub </w:t>
      </w:r>
      <w:r w:rsidRPr="00B7472D">
        <w:rPr>
          <w:rFonts w:ascii="Arial" w:hAnsi="Arial" w:cs="Arial"/>
        </w:rPr>
        <w:t>innego dokumentu określonego w dokumentacji konkursowej  w zależności od tego jaki dokument jest wymagany,</w:t>
      </w:r>
    </w:p>
    <w:p w:rsidR="00DF65A1" w:rsidRPr="00B7472D" w:rsidRDefault="00DF65A1" w:rsidP="00137BC9">
      <w:pPr>
        <w:numPr>
          <w:ilvl w:val="0"/>
          <w:numId w:val="68"/>
        </w:numPr>
        <w:spacing w:before="120" w:after="120" w:line="360" w:lineRule="auto"/>
        <w:jc w:val="both"/>
        <w:rPr>
          <w:rFonts w:ascii="Arial" w:hAnsi="Arial" w:cs="Arial"/>
        </w:rPr>
      </w:pPr>
      <w:r w:rsidRPr="00B7472D">
        <w:rPr>
          <w:rFonts w:ascii="Arial" w:hAnsi="Arial" w:cs="Arial"/>
        </w:rPr>
        <w:t xml:space="preserve">map lub szkiców sytuujących projekt, </w:t>
      </w:r>
    </w:p>
    <w:p w:rsidR="00DF65A1" w:rsidRPr="00DF65A1" w:rsidRDefault="00DF65A1" w:rsidP="00DF65A1">
      <w:pPr>
        <w:autoSpaceDE w:val="0"/>
        <w:autoSpaceDN w:val="0"/>
        <w:adjustRightInd w:val="0"/>
        <w:spacing w:before="120" w:after="120" w:line="360" w:lineRule="auto"/>
        <w:jc w:val="both"/>
        <w:rPr>
          <w:rFonts w:ascii="Arial" w:hAnsi="Arial" w:cs="Arial"/>
        </w:rPr>
      </w:pPr>
      <w:r w:rsidRPr="00D103D8">
        <w:rPr>
          <w:rFonts w:ascii="Arial" w:hAnsi="Arial" w:cs="Arial"/>
        </w:rPr>
        <w:t xml:space="preserve">- z </w:t>
      </w:r>
      <w:r w:rsidRPr="00DF65A1">
        <w:rPr>
          <w:rFonts w:ascii="Arial" w:hAnsi="Arial" w:cs="Arial"/>
        </w:rPr>
        <w:t>wyjątkiem wydatków związanych z wypełnieniem formularza wniosku o dofinansowanie.</w:t>
      </w:r>
    </w:p>
    <w:p w:rsidR="00DB5FC3" w:rsidRDefault="00DF65A1" w:rsidP="00DB5FC3">
      <w:pPr>
        <w:pStyle w:val="Nagwek2"/>
        <w:numPr>
          <w:ilvl w:val="2"/>
          <w:numId w:val="1"/>
        </w:numPr>
        <w:spacing w:before="240" w:after="60" w:line="360" w:lineRule="auto"/>
        <w:jc w:val="center"/>
        <w:rPr>
          <w:rFonts w:ascii="Arial" w:hAnsi="Arial" w:cs="Arial"/>
          <w:b w:val="0"/>
          <w:i/>
          <w:color w:val="auto"/>
          <w:sz w:val="24"/>
          <w:szCs w:val="24"/>
        </w:rPr>
      </w:pPr>
      <w:bookmarkStart w:id="132" w:name="_Toc508630125"/>
      <w:r w:rsidRPr="00DB5FC3">
        <w:rPr>
          <w:rFonts w:ascii="Arial" w:hAnsi="Arial" w:cs="Arial"/>
          <w:b w:val="0"/>
          <w:i/>
          <w:color w:val="auto"/>
          <w:sz w:val="24"/>
          <w:szCs w:val="24"/>
        </w:rPr>
        <w:t>Wydatki niekwalifikowalne</w:t>
      </w:r>
      <w:bookmarkEnd w:id="132"/>
    </w:p>
    <w:p w:rsidR="00DB5FC3" w:rsidRPr="006101E2" w:rsidRDefault="00DB5FC3" w:rsidP="00DB5FC3">
      <w:pPr>
        <w:autoSpaceDE w:val="0"/>
        <w:autoSpaceDN w:val="0"/>
        <w:adjustRightInd w:val="0"/>
        <w:spacing w:before="120" w:after="120" w:line="360" w:lineRule="auto"/>
        <w:jc w:val="both"/>
        <w:rPr>
          <w:rFonts w:ascii="Arial" w:hAnsi="Arial" w:cs="Arial"/>
        </w:rPr>
      </w:pPr>
      <w:r w:rsidRPr="006101E2">
        <w:rPr>
          <w:rFonts w:ascii="Arial" w:hAnsi="Arial" w:cs="Arial"/>
        </w:rPr>
        <w:t>Za niekwalifikowalne uznaje się wydatki określone w ramach poniższych kategorii:</w:t>
      </w:r>
    </w:p>
    <w:p w:rsidR="00DB5FC3" w:rsidRPr="006101E2" w:rsidRDefault="00DB5FC3" w:rsidP="00137BC9">
      <w:pPr>
        <w:numPr>
          <w:ilvl w:val="0"/>
          <w:numId w:val="69"/>
        </w:numPr>
        <w:autoSpaceDE w:val="0"/>
        <w:autoSpaceDN w:val="0"/>
        <w:adjustRightInd w:val="0"/>
        <w:spacing w:before="120" w:after="120" w:line="360" w:lineRule="auto"/>
        <w:jc w:val="both"/>
        <w:rPr>
          <w:rFonts w:ascii="Arial" w:hAnsi="Arial" w:cs="Arial"/>
        </w:rPr>
      </w:pPr>
      <w:r w:rsidRPr="006101E2">
        <w:rPr>
          <w:rFonts w:ascii="Arial" w:hAnsi="Arial" w:cs="Arial"/>
        </w:rPr>
        <w:lastRenderedPageBreak/>
        <w:t>Wszelkie wydatki dotyczące aktywnych elementów sieci umieszczanych lub instalowanych w budynkach</w:t>
      </w:r>
      <w:r>
        <w:rPr>
          <w:rFonts w:ascii="Arial" w:hAnsi="Arial" w:cs="Arial"/>
        </w:rPr>
        <w:t xml:space="preserve">, </w:t>
      </w:r>
      <w:r w:rsidRPr="00846494">
        <w:rPr>
          <w:rFonts w:ascii="Arial" w:hAnsi="Arial" w:cs="Arial"/>
        </w:rPr>
        <w:t xml:space="preserve">z wyjątkiem wydatków na urządzenia aktywne umieszczonych </w:t>
      </w:r>
      <w:r>
        <w:rPr>
          <w:rFonts w:ascii="Arial" w:hAnsi="Arial" w:cs="Arial"/>
        </w:rPr>
        <w:t xml:space="preserve">na terenie i w budynkach placówek wchodzących w skład systemu oświaty, o których mowa w art. 2 ustawy z dnia 7 września 1991 r. o systemie oświaty (j.t. Dz. U. 2016 r., poz. 1943) wskazanych w dokumentacji konkursowej dla obszaru na którym realizowany będzie projekt, lub </w:t>
      </w:r>
      <w:r w:rsidRPr="00846494">
        <w:rPr>
          <w:rFonts w:ascii="Arial" w:hAnsi="Arial" w:cs="Arial"/>
        </w:rPr>
        <w:t>w pomieszczeniu budynku wielorodzinnego, o którym mowa § 192f ust. 1 pkt 1 rozporządzenia Ministra Infrastruktury z dnia 12 kwietnia 2002 r. w sprawie warunków technicznych jakim powinny odpowiadać budynki i ich usytuowanie.</w:t>
      </w:r>
      <w:r w:rsidRPr="006101E2">
        <w:rPr>
          <w:rFonts w:ascii="Arial" w:hAnsi="Arial" w:cs="Arial"/>
        </w:rPr>
        <w:t xml:space="preserve"> </w:t>
      </w:r>
      <w:r w:rsidR="009C4ADD">
        <w:rPr>
          <w:rFonts w:ascii="Arial" w:hAnsi="Arial" w:cs="Arial"/>
        </w:rPr>
        <w:t xml:space="preserve"> </w:t>
      </w:r>
      <w:r w:rsidRPr="006101E2">
        <w:rPr>
          <w:rFonts w:ascii="Arial" w:hAnsi="Arial" w:cs="Arial"/>
        </w:rPr>
        <w:t xml:space="preserve">W szczególności dotyczy to wydatków ponoszonych na wszelkie formy nabycia, wytworzenia, zakupu, dzierżawy, najmu lub instalacji urządzeń abonenckich. Urządzeniem abonenckim są w tym rozumieniu urządzenia telekomunikacyjne (a także telekomunikacyjne urządzenia końcowe), w tym np. aktywne elementy stanowiące zakończenie sieci, modemy i routery wyposażone np. w porty, złącza, bramki VoIP czy interfejsy bezprzewodowe, stanowiące dla użytkownika końcowego bezpośredni punkt służący do podłączenia wykorzystywanych w jego lokalizacji urządzeń (rozumianych jako komputery osobiste, laptopy, tablety, smartphone i inne tego typu) takie jak np. ONT, modemy </w:t>
      </w:r>
      <w:proofErr w:type="spellStart"/>
      <w:r w:rsidRPr="006101E2">
        <w:rPr>
          <w:rFonts w:ascii="Arial" w:hAnsi="Arial" w:cs="Arial"/>
        </w:rPr>
        <w:t>xDSL</w:t>
      </w:r>
      <w:proofErr w:type="spellEnd"/>
      <w:r w:rsidRPr="006101E2">
        <w:rPr>
          <w:rFonts w:ascii="Arial" w:hAnsi="Arial" w:cs="Arial"/>
        </w:rPr>
        <w:t>, DOCSIS oraz stosowane w sieciach bezprzewodowych, niezależnie czy przedmiotowe urządzenie abonenckie zostanie zlokalizowane w lokalu potencjalnego użytkownika końcowego czy poza nim. Wszelkie wydatki dotyczące różnego rodzaju urządzeń elektronicznych służących bezpośrednio użytkownikom końcowym, tj. laptopy, komputery osobiste, telefony, smartfony, tablety itp.</w:t>
      </w:r>
    </w:p>
    <w:p w:rsidR="00DB5FC3" w:rsidRPr="006101E2" w:rsidRDefault="00DB5FC3" w:rsidP="00137BC9">
      <w:pPr>
        <w:numPr>
          <w:ilvl w:val="0"/>
          <w:numId w:val="69"/>
        </w:numPr>
        <w:spacing w:before="120" w:after="120" w:line="360" w:lineRule="auto"/>
        <w:jc w:val="both"/>
        <w:rPr>
          <w:rFonts w:ascii="Arial" w:hAnsi="Arial" w:cs="Arial"/>
        </w:rPr>
      </w:pPr>
      <w:r w:rsidRPr="006101E2">
        <w:rPr>
          <w:rFonts w:ascii="Arial" w:hAnsi="Arial" w:cs="Arial"/>
        </w:rPr>
        <w:t>Dla projektów realizowanych w obszarze zabudowy:</w:t>
      </w:r>
    </w:p>
    <w:p w:rsidR="00DB5FC3" w:rsidRPr="00846494" w:rsidRDefault="00DB5FC3" w:rsidP="00137BC9">
      <w:pPr>
        <w:numPr>
          <w:ilvl w:val="0"/>
          <w:numId w:val="70"/>
        </w:numPr>
        <w:spacing w:before="120" w:after="120" w:line="360" w:lineRule="auto"/>
        <w:jc w:val="both"/>
        <w:rPr>
          <w:rFonts w:ascii="Arial" w:hAnsi="Arial" w:cs="Arial"/>
        </w:rPr>
      </w:pPr>
      <w:r w:rsidRPr="006101E2">
        <w:rPr>
          <w:rFonts w:ascii="Arial" w:hAnsi="Arial" w:cs="Arial"/>
        </w:rPr>
        <w:t xml:space="preserve">jednorodzinnej - za niekwalifikowalne uznaje się wydatki na </w:t>
      </w:r>
      <w:r w:rsidRPr="00846494">
        <w:rPr>
          <w:rFonts w:ascii="Arial" w:hAnsi="Arial" w:cs="Arial"/>
        </w:rPr>
        <w:t>realizację odcinka linii kablowych i ich duktów od granicy działki ewidencyjnej, na której usytuowany jest budynek, w którym znajduje się zakończenie tego odcinka</w:t>
      </w:r>
      <w:r>
        <w:rPr>
          <w:rFonts w:ascii="Arial" w:hAnsi="Arial" w:cs="Arial"/>
        </w:rPr>
        <w:t>,</w:t>
      </w:r>
      <w:r w:rsidRPr="00846494">
        <w:rPr>
          <w:rFonts w:ascii="Arial" w:hAnsi="Arial" w:cs="Arial"/>
        </w:rPr>
        <w:t xml:space="preserve"> aż do zakończenia sieci,</w:t>
      </w:r>
    </w:p>
    <w:p w:rsidR="00DB5FC3" w:rsidRPr="006101E2" w:rsidRDefault="00DB5FC3" w:rsidP="00137BC9">
      <w:pPr>
        <w:numPr>
          <w:ilvl w:val="0"/>
          <w:numId w:val="70"/>
        </w:numPr>
        <w:spacing w:before="120" w:after="120" w:line="360" w:lineRule="auto"/>
        <w:jc w:val="both"/>
        <w:rPr>
          <w:rFonts w:ascii="Arial" w:hAnsi="Arial" w:cs="Arial"/>
        </w:rPr>
      </w:pPr>
      <w:r w:rsidRPr="006101E2">
        <w:rPr>
          <w:rFonts w:ascii="Arial" w:hAnsi="Arial" w:cs="Arial"/>
        </w:rPr>
        <w:t>wielorodzinnej - za niekwalifikowalne uznaje się wydatki na realizację</w:t>
      </w:r>
      <w:r>
        <w:rPr>
          <w:rFonts w:ascii="Arial" w:hAnsi="Arial" w:cs="Arial"/>
        </w:rPr>
        <w:t xml:space="preserve"> instalacji </w:t>
      </w:r>
      <w:r w:rsidRPr="00846494">
        <w:rPr>
          <w:rFonts w:ascii="Arial" w:hAnsi="Arial" w:cs="Arial"/>
        </w:rPr>
        <w:t>odcinka linii kablowych i ich duktów</w:t>
      </w:r>
      <w:r w:rsidRPr="006101E2">
        <w:rPr>
          <w:rFonts w:ascii="Arial" w:hAnsi="Arial" w:cs="Arial"/>
        </w:rPr>
        <w:t xml:space="preserve"> wewnątrz budynku wielorodzinnego, </w:t>
      </w:r>
      <w:r w:rsidRPr="00846494">
        <w:rPr>
          <w:rFonts w:ascii="Arial" w:hAnsi="Arial" w:cs="Arial"/>
        </w:rPr>
        <w:t>w tym odcinka linii kablowych i ich duktów</w:t>
      </w:r>
      <w:r w:rsidRPr="006101E2">
        <w:rPr>
          <w:rFonts w:ascii="Arial" w:hAnsi="Arial" w:cs="Arial"/>
        </w:rPr>
        <w:t xml:space="preserve"> </w:t>
      </w:r>
      <w:r>
        <w:rPr>
          <w:rFonts w:ascii="Arial" w:hAnsi="Arial" w:cs="Arial"/>
        </w:rPr>
        <w:t xml:space="preserve">instalacji </w:t>
      </w:r>
      <w:r w:rsidRPr="006101E2">
        <w:rPr>
          <w:rFonts w:ascii="Arial" w:hAnsi="Arial" w:cs="Arial"/>
        </w:rPr>
        <w:t xml:space="preserve">wewnątrz mieszkań. Dotyczy to </w:t>
      </w:r>
      <w:r w:rsidRPr="00846494">
        <w:rPr>
          <w:rFonts w:ascii="Arial" w:hAnsi="Arial" w:cs="Arial"/>
        </w:rPr>
        <w:t>odcinka linii kablowych i ich duktów</w:t>
      </w:r>
      <w:r w:rsidRPr="00846494" w:rsidDel="00180CF6">
        <w:rPr>
          <w:rFonts w:ascii="Arial" w:hAnsi="Arial" w:cs="Arial"/>
        </w:rPr>
        <w:t xml:space="preserve"> </w:t>
      </w:r>
      <w:r w:rsidRPr="006101E2">
        <w:rPr>
          <w:rFonts w:ascii="Arial" w:hAnsi="Arial" w:cs="Arial"/>
        </w:rPr>
        <w:t xml:space="preserve">od punktu połączenia instalacji telekomunikacyjnej z publiczną siecią telekomunikacyjną (punkt styku, o którym mowa w § 192f rozporządzenia Ministra Infrastruktury z dnia 12 kwietnia 2002 r. w sprawie warunków technicznych jakim powinny odpowiadać budynki i ich usytuowanie. Co do zasady rozporządzenie jest stosowane wyłącznie do nowych budynków, jednakże w przypadku projektów współfinansowanych z POPC, wskazana definicja będzie stosowana odpowiednio również do budynków istniejących) do zakończenia sieci, </w:t>
      </w:r>
    </w:p>
    <w:p w:rsidR="00DB5FC3" w:rsidRPr="006101E2" w:rsidRDefault="00DB5FC3" w:rsidP="00137BC9">
      <w:pPr>
        <w:numPr>
          <w:ilvl w:val="0"/>
          <w:numId w:val="70"/>
        </w:numPr>
        <w:spacing w:before="120" w:after="120" w:line="360" w:lineRule="auto"/>
        <w:jc w:val="both"/>
        <w:rPr>
          <w:rFonts w:ascii="Arial" w:hAnsi="Arial" w:cs="Arial"/>
        </w:rPr>
      </w:pPr>
      <w:r w:rsidRPr="006101E2">
        <w:rPr>
          <w:rFonts w:ascii="Arial" w:hAnsi="Arial" w:cs="Arial"/>
        </w:rPr>
        <w:lastRenderedPageBreak/>
        <w:t>wielorodzinnej typu szeregowego, stosuje się odpowiednio zasady dla zabudowy jednorodzinnej, przy czym uznaje się, że każdy wydzielony lokal mieszkalny może być traktowany jak odrębny dom jednorodzinny,</w:t>
      </w:r>
    </w:p>
    <w:p w:rsidR="00DB5FC3" w:rsidRPr="006101E2" w:rsidRDefault="00DB5FC3" w:rsidP="00DB5FC3">
      <w:pPr>
        <w:autoSpaceDE w:val="0"/>
        <w:autoSpaceDN w:val="0"/>
        <w:adjustRightInd w:val="0"/>
        <w:spacing w:before="120" w:after="120" w:line="360" w:lineRule="auto"/>
        <w:jc w:val="both"/>
        <w:rPr>
          <w:rFonts w:ascii="Arial" w:hAnsi="Arial" w:cs="Arial"/>
        </w:rPr>
      </w:pPr>
      <w:r w:rsidRPr="006101E2">
        <w:rPr>
          <w:rFonts w:ascii="Arial" w:hAnsi="Arial" w:cs="Arial"/>
        </w:rPr>
        <w:t>W przypadku mieszanego typu zabudowy danego obszaru, powyższe zasady stosuje się odpowiednio dla danego typu budynku jednorodzinnego, wielorodzinnego lub wielorodzinnego szeregowego.</w:t>
      </w:r>
    </w:p>
    <w:p w:rsidR="00DB5FC3" w:rsidRPr="006101E2" w:rsidRDefault="00DB5FC3" w:rsidP="00DB5FC3">
      <w:pPr>
        <w:autoSpaceDE w:val="0"/>
        <w:autoSpaceDN w:val="0"/>
        <w:adjustRightInd w:val="0"/>
        <w:spacing w:before="120" w:after="120" w:line="360" w:lineRule="auto"/>
        <w:jc w:val="both"/>
        <w:rPr>
          <w:rFonts w:ascii="Arial" w:hAnsi="Arial" w:cs="Arial"/>
        </w:rPr>
      </w:pPr>
      <w:r w:rsidRPr="006101E2">
        <w:rPr>
          <w:rFonts w:ascii="Arial" w:hAnsi="Arial" w:cs="Arial"/>
        </w:rPr>
        <w:t xml:space="preserve">W przypadku realizacji projektu w technologii bezprzewodowej za </w:t>
      </w:r>
      <w:r w:rsidR="0036761B" w:rsidRPr="006101E2">
        <w:rPr>
          <w:rFonts w:ascii="Arial" w:hAnsi="Arial" w:cs="Arial"/>
        </w:rPr>
        <w:t>niekwalifikowalne</w:t>
      </w:r>
      <w:r w:rsidRPr="006101E2">
        <w:rPr>
          <w:rFonts w:ascii="Arial" w:hAnsi="Arial" w:cs="Arial"/>
        </w:rPr>
        <w:t xml:space="preserve"> uznaje się wydatki dotyczące elementów infrastruktury i sieci telekomunikacyjnej instalowane w budynku stanowiącym lokalizację potencjalnego użytkownika końcowego.</w:t>
      </w:r>
    </w:p>
    <w:p w:rsidR="00DB5FC3" w:rsidRPr="006101E2" w:rsidRDefault="00DB5FC3" w:rsidP="00DB5FC3">
      <w:pPr>
        <w:autoSpaceDE w:val="0"/>
        <w:autoSpaceDN w:val="0"/>
        <w:adjustRightInd w:val="0"/>
        <w:spacing w:before="120" w:after="120" w:line="360" w:lineRule="auto"/>
        <w:jc w:val="both"/>
        <w:rPr>
          <w:rFonts w:ascii="Arial" w:hAnsi="Arial" w:cs="Arial"/>
        </w:rPr>
      </w:pPr>
      <w:r w:rsidRPr="006101E2">
        <w:rPr>
          <w:rFonts w:ascii="Arial" w:hAnsi="Arial" w:cs="Arial"/>
        </w:rPr>
        <w:t>W zakresie wydatków ponoszonych na realizację sieci do budynków użyteczności publicznej (w zakresie i na zasadach określonych w dokumentacji konkursowej) za niekwalifikowalne uznaje się wydatki na realizację instalacji wewnątrz budynku</w:t>
      </w:r>
      <w:r>
        <w:rPr>
          <w:rFonts w:ascii="Arial" w:hAnsi="Arial" w:cs="Arial"/>
        </w:rPr>
        <w:t xml:space="preserve"> za wyjątkiem sytuacji, gdy poniesienie wydatku dotyczy realizacji projektu w budynku </w:t>
      </w:r>
      <w:r w:rsidR="009C4ADD">
        <w:rPr>
          <w:rFonts w:ascii="Arial" w:hAnsi="Arial" w:cs="Arial"/>
        </w:rPr>
        <w:t>placówki wchodzącej w skład systemu oświaty</w:t>
      </w:r>
      <w:r w:rsidRPr="006101E2">
        <w:rPr>
          <w:rFonts w:ascii="Arial" w:hAnsi="Arial" w:cs="Arial"/>
        </w:rPr>
        <w:t>. Dotyczy to odcinka od punktu połączenia instalacji telekomunikacyjnej z publiczną siecią telekomunikacyjną (punkt styku, o którym mowa w § 192f rozporządzenia Ministra Infrastruktury z dnia 12 kwietnia 2002 r. w sprawie warunków technicznych jakim powinny odpowiadać budynki i ich usytuowanie. Co do zasady rozporządzenie jest stosowane wyłącznie do nowych budynków, jednakże w przypadku projektów współfinansowanych z POPC, wskazana definicja będzie stosowana odpowiednio, również do budynków istniejących) do zakończenia instalacji w poszczególnych lokalach użytkowych.</w:t>
      </w:r>
    </w:p>
    <w:p w:rsidR="00DB5FC3" w:rsidRDefault="00DB5FC3" w:rsidP="00137BC9">
      <w:pPr>
        <w:numPr>
          <w:ilvl w:val="0"/>
          <w:numId w:val="69"/>
        </w:numPr>
        <w:spacing w:before="120" w:after="120" w:line="360" w:lineRule="auto"/>
        <w:jc w:val="both"/>
        <w:rPr>
          <w:rFonts w:ascii="Arial" w:hAnsi="Arial" w:cs="Arial"/>
        </w:rPr>
      </w:pPr>
      <w:r w:rsidRPr="006101E2">
        <w:rPr>
          <w:rFonts w:ascii="Arial" w:hAnsi="Arial" w:cs="Arial"/>
        </w:rPr>
        <w:t>Wszelkie wydatki dotyczące aktywnych elementów sieci, w szczególności urządzeń telekomunikacyjnych, w tym urządzeń radiowych instalowanych w telekomunikacyjnej sieci szkieletowej i dystrybucyjnej.</w:t>
      </w:r>
    </w:p>
    <w:p w:rsidR="00DB5FC3" w:rsidRPr="000D79AE" w:rsidRDefault="00DB5FC3" w:rsidP="00137BC9">
      <w:pPr>
        <w:pStyle w:val="Akapitzlist"/>
        <w:numPr>
          <w:ilvl w:val="0"/>
          <w:numId w:val="69"/>
        </w:numPr>
        <w:spacing w:after="0" w:line="360" w:lineRule="auto"/>
        <w:jc w:val="both"/>
        <w:rPr>
          <w:rFonts w:ascii="Arial" w:hAnsi="Arial" w:cs="Arial"/>
        </w:rPr>
      </w:pPr>
      <w:r>
        <w:rPr>
          <w:rFonts w:ascii="Arial" w:hAnsi="Arial" w:cs="Arial"/>
        </w:rPr>
        <w:t>Wszelkie w</w:t>
      </w:r>
      <w:r w:rsidRPr="007E469E">
        <w:rPr>
          <w:rFonts w:ascii="Arial" w:hAnsi="Arial" w:cs="Arial"/>
        </w:rPr>
        <w:t xml:space="preserve">ydatki związane z </w:t>
      </w:r>
      <w:r>
        <w:rPr>
          <w:rFonts w:ascii="Arial" w:hAnsi="Arial" w:cs="Arial"/>
        </w:rPr>
        <w:t xml:space="preserve">działaniami informacyjno-promocyjnymi w ramach projektów w </w:t>
      </w:r>
      <w:r w:rsidRPr="006101E2">
        <w:rPr>
          <w:rFonts w:ascii="Arial" w:eastAsia="MS Mincho" w:hAnsi="Arial" w:cs="Arial"/>
          <w:lang w:eastAsia="ja-JP"/>
        </w:rPr>
        <w:t>I osi priorytetowej POPC</w:t>
      </w:r>
      <w:r>
        <w:rPr>
          <w:rFonts w:ascii="Arial" w:hAnsi="Arial" w:cs="Arial"/>
        </w:rPr>
        <w:t xml:space="preserve">. </w:t>
      </w:r>
      <w:r w:rsidRPr="008F073C">
        <w:rPr>
          <w:rFonts w:ascii="Arial" w:hAnsi="Arial" w:cs="Arial"/>
        </w:rPr>
        <w:t xml:space="preserve">Beneficjent jest </w:t>
      </w:r>
      <w:r>
        <w:rPr>
          <w:rFonts w:ascii="Arial" w:hAnsi="Arial" w:cs="Arial"/>
        </w:rPr>
        <w:t xml:space="preserve">jednak </w:t>
      </w:r>
      <w:r w:rsidRPr="008F073C">
        <w:rPr>
          <w:rFonts w:ascii="Arial" w:hAnsi="Arial" w:cs="Arial"/>
        </w:rPr>
        <w:t xml:space="preserve">zobowiązany do stosowania </w:t>
      </w:r>
      <w:r>
        <w:rPr>
          <w:rFonts w:ascii="Arial" w:hAnsi="Arial" w:cs="Arial"/>
        </w:rPr>
        <w:t xml:space="preserve">obowiązków określonych w </w:t>
      </w:r>
      <w:r w:rsidRPr="008F073C">
        <w:rPr>
          <w:rFonts w:ascii="Arial" w:hAnsi="Arial" w:cs="Arial"/>
        </w:rPr>
        <w:t>punk</w:t>
      </w:r>
      <w:r>
        <w:rPr>
          <w:rFonts w:ascii="Arial" w:hAnsi="Arial" w:cs="Arial"/>
        </w:rPr>
        <w:t>cie</w:t>
      </w:r>
      <w:r w:rsidRPr="008F073C">
        <w:rPr>
          <w:rFonts w:ascii="Arial" w:hAnsi="Arial" w:cs="Arial"/>
        </w:rPr>
        <w:t xml:space="preserve"> 2.2. załącznika XII do Rozporządzenia Rady nr</w:t>
      </w:r>
      <w:r>
        <w:rPr>
          <w:rFonts w:ascii="Arial" w:hAnsi="Arial" w:cs="Arial"/>
        </w:rPr>
        <w:t> </w:t>
      </w:r>
      <w:r w:rsidRPr="008F073C">
        <w:rPr>
          <w:rFonts w:ascii="Arial" w:hAnsi="Arial" w:cs="Arial"/>
        </w:rPr>
        <w:t>1303/2013.</w:t>
      </w:r>
    </w:p>
    <w:p w:rsidR="00DB5FC3" w:rsidRPr="006101E2" w:rsidRDefault="00DB5FC3" w:rsidP="00137BC9">
      <w:pPr>
        <w:numPr>
          <w:ilvl w:val="0"/>
          <w:numId w:val="69"/>
        </w:numPr>
        <w:spacing w:before="120" w:after="120" w:line="360" w:lineRule="auto"/>
        <w:jc w:val="both"/>
        <w:rPr>
          <w:rFonts w:ascii="Arial" w:hAnsi="Arial" w:cs="Arial"/>
        </w:rPr>
      </w:pPr>
      <w:r w:rsidRPr="006101E2">
        <w:rPr>
          <w:rFonts w:ascii="Arial" w:hAnsi="Arial" w:cs="Arial"/>
        </w:rPr>
        <w:t>Wszelkie wydatki dotyczące realizacji infrastruktury i sieci w zakresie wykraczającym poza minimalne wymagania określone w „</w:t>
      </w:r>
      <w:r>
        <w:rPr>
          <w:rFonts w:ascii="Arial" w:hAnsi="Arial" w:cs="Arial"/>
        </w:rPr>
        <w:t>Wymaganiach dla sieci NGA - POPC</w:t>
      </w:r>
      <w:r w:rsidRPr="006101E2">
        <w:rPr>
          <w:rFonts w:ascii="Arial" w:hAnsi="Arial" w:cs="Arial"/>
        </w:rPr>
        <w:t xml:space="preserve"> stanowiących załączniki do dokumentacji konkursowej.</w:t>
      </w:r>
    </w:p>
    <w:p w:rsidR="00DB5FC3" w:rsidRPr="006101E2" w:rsidRDefault="00DB5FC3" w:rsidP="00137BC9">
      <w:pPr>
        <w:numPr>
          <w:ilvl w:val="0"/>
          <w:numId w:val="69"/>
        </w:numPr>
        <w:spacing w:before="120" w:after="120" w:line="360" w:lineRule="auto"/>
        <w:jc w:val="both"/>
        <w:rPr>
          <w:rFonts w:ascii="Arial" w:hAnsi="Arial" w:cs="Arial"/>
        </w:rPr>
      </w:pPr>
      <w:r w:rsidRPr="006101E2">
        <w:rPr>
          <w:rFonts w:ascii="Arial" w:hAnsi="Arial" w:cs="Arial"/>
        </w:rPr>
        <w:t>Wszelkie wydatki związane ze świadczeniem usług detalicznych i hurtowych, w tym zapewnieniem obsługi klientów, rozliczeń z nimi, przedstawienia ofert i cenników.</w:t>
      </w:r>
    </w:p>
    <w:p w:rsidR="00DB5FC3" w:rsidRPr="006101E2" w:rsidRDefault="00DB5FC3" w:rsidP="00137BC9">
      <w:pPr>
        <w:numPr>
          <w:ilvl w:val="0"/>
          <w:numId w:val="69"/>
        </w:numPr>
        <w:spacing w:before="120" w:after="120" w:line="360" w:lineRule="auto"/>
        <w:jc w:val="both"/>
        <w:rPr>
          <w:rFonts w:ascii="Arial" w:hAnsi="Arial" w:cs="Arial"/>
        </w:rPr>
      </w:pPr>
      <w:r w:rsidRPr="006101E2">
        <w:rPr>
          <w:rFonts w:ascii="Arial" w:hAnsi="Arial" w:cs="Arial"/>
        </w:rPr>
        <w:t xml:space="preserve">Wszelkie wydatki dotyczące realizacji infrastruktury i sieci w zakresie w jakim ich realizacja wynika z zobowiązań lub obowiązków nałożonych przez podmioty publiczne </w:t>
      </w:r>
      <w:r w:rsidRPr="006101E2">
        <w:rPr>
          <w:rFonts w:ascii="Arial" w:hAnsi="Arial" w:cs="Arial"/>
        </w:rPr>
        <w:lastRenderedPageBreak/>
        <w:t xml:space="preserve">(innych niż wynikające z realizacji umowy o dofinasowanie) w szczególności obowiązki  lub zobowiązania, o których mowa w art. 43a oraz art. 115 ust. 1 pkt 9 ustawy </w:t>
      </w:r>
      <w:r w:rsidRPr="009C4ADD">
        <w:rPr>
          <w:rFonts w:ascii="Arial" w:hAnsi="Arial" w:cs="Arial"/>
          <w:i/>
        </w:rPr>
        <w:t>Prawo telekomunikacyjne</w:t>
      </w:r>
      <w:r>
        <w:rPr>
          <w:rFonts w:ascii="Arial" w:hAnsi="Arial" w:cs="Arial"/>
        </w:rPr>
        <w:t xml:space="preserve">, </w:t>
      </w:r>
    </w:p>
    <w:p w:rsidR="00DB5FC3" w:rsidRPr="006101E2" w:rsidRDefault="00DB5FC3" w:rsidP="00137BC9">
      <w:pPr>
        <w:numPr>
          <w:ilvl w:val="0"/>
          <w:numId w:val="69"/>
        </w:numPr>
        <w:spacing w:before="120" w:after="120" w:line="360" w:lineRule="auto"/>
        <w:jc w:val="both"/>
        <w:rPr>
          <w:rFonts w:ascii="Arial" w:hAnsi="Arial" w:cs="Arial"/>
        </w:rPr>
      </w:pPr>
      <w:r w:rsidRPr="006101E2">
        <w:rPr>
          <w:rFonts w:ascii="Arial" w:hAnsi="Arial" w:cs="Arial"/>
        </w:rPr>
        <w:t>Koszty pośrednie.</w:t>
      </w:r>
    </w:p>
    <w:p w:rsidR="00DB5FC3" w:rsidRPr="006101E2" w:rsidRDefault="00DB5FC3" w:rsidP="00137BC9">
      <w:pPr>
        <w:numPr>
          <w:ilvl w:val="0"/>
          <w:numId w:val="69"/>
        </w:numPr>
        <w:spacing w:before="120" w:after="120" w:line="360" w:lineRule="auto"/>
        <w:jc w:val="both"/>
        <w:rPr>
          <w:rFonts w:ascii="Arial" w:hAnsi="Arial" w:cs="Arial"/>
        </w:rPr>
      </w:pPr>
      <w:r w:rsidRPr="006101E2">
        <w:rPr>
          <w:rFonts w:ascii="Arial" w:hAnsi="Arial" w:cs="Arial"/>
        </w:rPr>
        <w:t>Inne wydatki niewymienione w katalogu wydatków kwalifikowalnych.</w:t>
      </w:r>
    </w:p>
    <w:p w:rsidR="00DB5FC3" w:rsidRPr="009C4ADD" w:rsidRDefault="009C4ADD" w:rsidP="009C4ADD">
      <w:pPr>
        <w:pStyle w:val="Nagwek2"/>
        <w:numPr>
          <w:ilvl w:val="2"/>
          <w:numId w:val="1"/>
        </w:numPr>
        <w:spacing w:before="240" w:after="60" w:line="360" w:lineRule="auto"/>
        <w:jc w:val="center"/>
        <w:rPr>
          <w:rFonts w:ascii="Arial" w:hAnsi="Arial" w:cs="Arial"/>
          <w:b w:val="0"/>
          <w:i/>
          <w:color w:val="auto"/>
          <w:sz w:val="24"/>
          <w:szCs w:val="24"/>
        </w:rPr>
      </w:pPr>
      <w:bookmarkStart w:id="133" w:name="_Toc508630126"/>
      <w:r>
        <w:rPr>
          <w:rFonts w:ascii="Arial" w:hAnsi="Arial" w:cs="Arial"/>
          <w:b w:val="0"/>
          <w:i/>
          <w:color w:val="auto"/>
          <w:sz w:val="24"/>
          <w:szCs w:val="24"/>
        </w:rPr>
        <w:t>W</w:t>
      </w:r>
      <w:bookmarkStart w:id="134" w:name="_Toc466374129"/>
      <w:r w:rsidR="00DB5FC3" w:rsidRPr="009C4ADD">
        <w:rPr>
          <w:rFonts w:ascii="Arial" w:hAnsi="Arial" w:cs="Arial"/>
          <w:b w:val="0"/>
          <w:i/>
          <w:color w:val="auto"/>
          <w:sz w:val="24"/>
          <w:szCs w:val="24"/>
        </w:rPr>
        <w:t>arunki oraz okres kwalifikowania wydatków w projektach podlegających zasadom pomocy publicznej</w:t>
      </w:r>
      <w:bookmarkEnd w:id="134"/>
      <w:bookmarkEnd w:id="133"/>
    </w:p>
    <w:p w:rsidR="00DB5FC3" w:rsidRPr="00846494" w:rsidRDefault="00DB5FC3" w:rsidP="00137BC9">
      <w:pPr>
        <w:numPr>
          <w:ilvl w:val="0"/>
          <w:numId w:val="71"/>
        </w:numPr>
        <w:spacing w:before="120" w:after="120" w:line="360" w:lineRule="auto"/>
        <w:jc w:val="both"/>
        <w:rPr>
          <w:rFonts w:ascii="Arial" w:hAnsi="Arial" w:cs="Arial"/>
        </w:rPr>
      </w:pPr>
      <w:r w:rsidRPr="00846494">
        <w:rPr>
          <w:rFonts w:ascii="Arial" w:hAnsi="Arial" w:cs="Arial"/>
        </w:rPr>
        <w:t>Wszystkie projekty w ramach I osi priorytetowej POPC podlegają zasadom pomocy publicznej określonych w </w:t>
      </w:r>
      <w:r w:rsidR="000C2C01">
        <w:rPr>
          <w:rFonts w:ascii="Arial" w:hAnsi="Arial" w:cs="Arial"/>
        </w:rPr>
        <w:t xml:space="preserve">przepisach rozdziału I </w:t>
      </w:r>
      <w:proofErr w:type="spellStart"/>
      <w:r w:rsidR="000C2C01">
        <w:rPr>
          <w:rFonts w:ascii="Arial" w:hAnsi="Arial" w:cs="Arial"/>
        </w:rPr>
        <w:t>i</w:t>
      </w:r>
      <w:proofErr w:type="spellEnd"/>
      <w:r w:rsidR="000C2C01">
        <w:rPr>
          <w:rFonts w:ascii="Arial" w:hAnsi="Arial" w:cs="Arial"/>
        </w:rPr>
        <w:t xml:space="preserve"> </w:t>
      </w:r>
      <w:r w:rsidRPr="00846494">
        <w:rPr>
          <w:rFonts w:ascii="Arial" w:hAnsi="Arial" w:cs="Arial"/>
        </w:rPr>
        <w:t xml:space="preserve">art. 52 GBER oraz opracowanego na </w:t>
      </w:r>
      <w:r w:rsidR="000C2C01">
        <w:rPr>
          <w:rFonts w:ascii="Arial" w:hAnsi="Arial" w:cs="Arial"/>
        </w:rPr>
        <w:t xml:space="preserve">ich </w:t>
      </w:r>
      <w:r w:rsidRPr="00846494">
        <w:rPr>
          <w:rFonts w:ascii="Arial" w:hAnsi="Arial" w:cs="Arial"/>
        </w:rPr>
        <w:t xml:space="preserve">podstawie rozporządzenia pomocowego dla I osi. </w:t>
      </w:r>
    </w:p>
    <w:p w:rsidR="00DB5FC3" w:rsidRPr="00846494" w:rsidRDefault="00DB5FC3" w:rsidP="00137BC9">
      <w:pPr>
        <w:numPr>
          <w:ilvl w:val="0"/>
          <w:numId w:val="71"/>
        </w:numPr>
        <w:spacing w:before="120" w:after="120" w:line="360" w:lineRule="auto"/>
        <w:jc w:val="both"/>
        <w:rPr>
          <w:rFonts w:ascii="Arial" w:hAnsi="Arial" w:cs="Arial"/>
        </w:rPr>
      </w:pPr>
      <w:r>
        <w:rPr>
          <w:rFonts w:ascii="Arial" w:hAnsi="Arial" w:cs="Arial"/>
        </w:rPr>
        <w:t>W</w:t>
      </w:r>
      <w:r w:rsidRPr="00846494">
        <w:rPr>
          <w:rFonts w:ascii="Arial" w:hAnsi="Arial" w:cs="Arial"/>
        </w:rPr>
        <w:t xml:space="preserve">ydatki mogą </w:t>
      </w:r>
      <w:r>
        <w:rPr>
          <w:rFonts w:ascii="Arial" w:hAnsi="Arial" w:cs="Arial"/>
        </w:rPr>
        <w:t xml:space="preserve">jednocześnie </w:t>
      </w:r>
      <w:r w:rsidRPr="00846494">
        <w:rPr>
          <w:rFonts w:ascii="Arial" w:hAnsi="Arial" w:cs="Arial"/>
        </w:rPr>
        <w:t xml:space="preserve">podlegać zasadom pomocy de </w:t>
      </w:r>
      <w:proofErr w:type="spellStart"/>
      <w:r w:rsidRPr="00846494">
        <w:rPr>
          <w:rFonts w:ascii="Arial" w:hAnsi="Arial" w:cs="Arial"/>
        </w:rPr>
        <w:t>minimis</w:t>
      </w:r>
      <w:proofErr w:type="spellEnd"/>
      <w:r w:rsidRPr="00846494">
        <w:rPr>
          <w:rFonts w:ascii="Arial" w:hAnsi="Arial" w:cs="Arial"/>
        </w:rPr>
        <w:t xml:space="preserve"> określonej w rozporządzeniu Komisji (UE) nr 1407/2013 w odniesieniu do wskazanych w </w:t>
      </w:r>
      <w:r w:rsidR="001823B0" w:rsidRPr="001823B0">
        <w:rPr>
          <w:rFonts w:ascii="Arial" w:hAnsi="Arial" w:cs="Arial"/>
          <w:i/>
        </w:rPr>
        <w:t>Katalogu</w:t>
      </w:r>
      <w:r w:rsidR="001823B0" w:rsidRPr="00846494">
        <w:rPr>
          <w:rFonts w:ascii="Arial" w:hAnsi="Arial" w:cs="Arial"/>
        </w:rPr>
        <w:t xml:space="preserve"> </w:t>
      </w:r>
      <w:r w:rsidRPr="00846494">
        <w:rPr>
          <w:rFonts w:ascii="Arial" w:hAnsi="Arial" w:cs="Arial"/>
        </w:rPr>
        <w:t>wydatków.</w:t>
      </w:r>
    </w:p>
    <w:p w:rsidR="00DB5FC3" w:rsidRPr="00846EBE" w:rsidRDefault="00DB5FC3" w:rsidP="00137BC9">
      <w:pPr>
        <w:numPr>
          <w:ilvl w:val="0"/>
          <w:numId w:val="71"/>
        </w:numPr>
        <w:spacing w:before="120" w:after="120" w:line="360" w:lineRule="auto"/>
        <w:jc w:val="both"/>
        <w:rPr>
          <w:rFonts w:ascii="Arial" w:hAnsi="Arial" w:cs="Arial"/>
        </w:rPr>
      </w:pPr>
      <w:r w:rsidRPr="001C6FB3">
        <w:rPr>
          <w:rFonts w:ascii="Arial" w:hAnsi="Arial" w:cs="Arial"/>
        </w:rPr>
        <w:t>Wszystkie główne kategorie wydatków określone w niniejszym rozdziale, odzwierciedlają wprost kategorie wydatków przewidziane w rozporządzeniu pomocowym dla I osi oraz je uszczegóławiają,  nie przewidując nowych kategorii wydatków.</w:t>
      </w:r>
    </w:p>
    <w:p w:rsidR="00DD0F75" w:rsidRDefault="00DD0F75">
      <w:pPr>
        <w:rPr>
          <w:rFonts w:ascii="Arial" w:hAnsi="Arial" w:cs="Arial"/>
          <w:b/>
          <w:i/>
          <w:sz w:val="24"/>
          <w:szCs w:val="24"/>
        </w:rPr>
      </w:pPr>
    </w:p>
    <w:p w:rsidR="00DD0F75" w:rsidRDefault="00DD0F75">
      <w:pPr>
        <w:rPr>
          <w:rFonts w:ascii="Arial" w:hAnsi="Arial" w:cs="Arial"/>
          <w:b/>
          <w:i/>
          <w:sz w:val="24"/>
          <w:szCs w:val="24"/>
        </w:rPr>
      </w:pPr>
    </w:p>
    <w:p w:rsidR="00DD0F75" w:rsidRDefault="00DD0F75">
      <w:pPr>
        <w:rPr>
          <w:rFonts w:ascii="Arial" w:hAnsi="Arial" w:cs="Arial"/>
          <w:b/>
          <w:i/>
          <w:sz w:val="24"/>
          <w:szCs w:val="24"/>
        </w:rPr>
      </w:pPr>
    </w:p>
    <w:p w:rsidR="00DD0F75" w:rsidRDefault="00DD0F75">
      <w:pPr>
        <w:rPr>
          <w:rFonts w:ascii="Arial" w:hAnsi="Arial" w:cs="Arial"/>
          <w:b/>
          <w:i/>
          <w:sz w:val="24"/>
          <w:szCs w:val="24"/>
        </w:rPr>
      </w:pPr>
    </w:p>
    <w:p w:rsidR="00DD0F75" w:rsidRDefault="00DD0F75">
      <w:pPr>
        <w:rPr>
          <w:rFonts w:ascii="Arial" w:hAnsi="Arial" w:cs="Arial"/>
          <w:b/>
          <w:i/>
          <w:sz w:val="24"/>
          <w:szCs w:val="24"/>
        </w:rPr>
      </w:pPr>
    </w:p>
    <w:p w:rsidR="00DD0F75" w:rsidRDefault="00DD0F75">
      <w:pPr>
        <w:rPr>
          <w:rFonts w:ascii="Arial" w:hAnsi="Arial" w:cs="Arial"/>
          <w:b/>
          <w:i/>
          <w:sz w:val="24"/>
          <w:szCs w:val="24"/>
        </w:rPr>
      </w:pPr>
    </w:p>
    <w:p w:rsidR="00D64366" w:rsidRDefault="00D64366">
      <w:pPr>
        <w:rPr>
          <w:rFonts w:ascii="Arial" w:hAnsi="Arial" w:cs="Arial"/>
          <w:b/>
          <w:i/>
          <w:sz w:val="24"/>
          <w:szCs w:val="24"/>
        </w:rPr>
      </w:pPr>
    </w:p>
    <w:p w:rsidR="00D64366" w:rsidRDefault="00D64366">
      <w:pPr>
        <w:rPr>
          <w:rFonts w:ascii="Arial" w:hAnsi="Arial" w:cs="Arial"/>
          <w:b/>
          <w:i/>
          <w:sz w:val="24"/>
          <w:szCs w:val="24"/>
        </w:rPr>
      </w:pPr>
    </w:p>
    <w:p w:rsidR="00DD0F75" w:rsidRPr="00A77C3B" w:rsidRDefault="00DD0F75" w:rsidP="00DD0F75">
      <w:pPr>
        <w:pStyle w:val="Nagwek2"/>
        <w:numPr>
          <w:ilvl w:val="1"/>
          <w:numId w:val="1"/>
        </w:numPr>
        <w:spacing w:before="240" w:after="60" w:line="360" w:lineRule="auto"/>
        <w:jc w:val="center"/>
        <w:rPr>
          <w:rFonts w:ascii="Arial" w:hAnsi="Arial" w:cs="Arial"/>
          <w:i/>
          <w:color w:val="auto"/>
          <w:sz w:val="24"/>
          <w:szCs w:val="24"/>
        </w:rPr>
      </w:pPr>
      <w:bookmarkStart w:id="135" w:name="_Toc508630127"/>
      <w:r w:rsidRPr="00C632DB">
        <w:rPr>
          <w:rFonts w:ascii="Arial" w:hAnsi="Arial" w:cs="Arial"/>
          <w:i/>
          <w:color w:val="auto"/>
          <w:sz w:val="24"/>
          <w:szCs w:val="24"/>
        </w:rPr>
        <w:lastRenderedPageBreak/>
        <w:t xml:space="preserve">Katalog wydatków kwalifikowalnych w ramach Działania 1.1 </w:t>
      </w:r>
      <w:r>
        <w:rPr>
          <w:rFonts w:ascii="Arial" w:hAnsi="Arial" w:cs="Arial"/>
          <w:i/>
          <w:color w:val="auto"/>
          <w:sz w:val="24"/>
          <w:szCs w:val="24"/>
        </w:rPr>
        <w:t>„</w:t>
      </w:r>
      <w:r w:rsidRPr="00C632DB">
        <w:rPr>
          <w:rFonts w:ascii="Arial" w:hAnsi="Arial" w:cs="Arial"/>
          <w:i/>
          <w:color w:val="auto"/>
          <w:sz w:val="24"/>
          <w:szCs w:val="24"/>
        </w:rPr>
        <w:t xml:space="preserve">Wyeliminowanie terytorialnych różnic w możliwości dostępu do szerokopasmowego </w:t>
      </w:r>
      <w:proofErr w:type="spellStart"/>
      <w:r w:rsidRPr="00C632DB">
        <w:rPr>
          <w:rFonts w:ascii="Arial" w:hAnsi="Arial" w:cs="Arial"/>
          <w:i/>
          <w:color w:val="auto"/>
          <w:sz w:val="24"/>
          <w:szCs w:val="24"/>
        </w:rPr>
        <w:t>internetu</w:t>
      </w:r>
      <w:proofErr w:type="spellEnd"/>
      <w:r w:rsidRPr="00C632DB">
        <w:rPr>
          <w:rFonts w:ascii="Arial" w:hAnsi="Arial" w:cs="Arial"/>
          <w:i/>
          <w:color w:val="auto"/>
          <w:sz w:val="24"/>
          <w:szCs w:val="24"/>
        </w:rPr>
        <w:t xml:space="preserve"> o wysokich przepustowościach</w:t>
      </w:r>
      <w:r>
        <w:rPr>
          <w:rFonts w:ascii="Arial" w:hAnsi="Arial" w:cs="Arial"/>
          <w:i/>
          <w:color w:val="auto"/>
          <w:sz w:val="24"/>
          <w:szCs w:val="24"/>
        </w:rPr>
        <w:t>”</w:t>
      </w:r>
      <w:r w:rsidRPr="00C632DB">
        <w:rPr>
          <w:rFonts w:ascii="Arial" w:hAnsi="Arial" w:cs="Arial"/>
          <w:i/>
          <w:color w:val="auto"/>
          <w:sz w:val="24"/>
          <w:szCs w:val="24"/>
        </w:rPr>
        <w:t xml:space="preserve"> dla nabor</w:t>
      </w:r>
      <w:r>
        <w:rPr>
          <w:rFonts w:ascii="Arial" w:hAnsi="Arial" w:cs="Arial"/>
          <w:i/>
          <w:color w:val="auto"/>
          <w:sz w:val="24"/>
          <w:szCs w:val="24"/>
        </w:rPr>
        <w:t>ów nr</w:t>
      </w:r>
      <w:r w:rsidRPr="00C632DB">
        <w:rPr>
          <w:rFonts w:ascii="Arial" w:hAnsi="Arial" w:cs="Arial"/>
          <w:i/>
          <w:color w:val="auto"/>
          <w:sz w:val="24"/>
          <w:szCs w:val="24"/>
        </w:rPr>
        <w:t xml:space="preserve"> </w:t>
      </w:r>
      <w:r>
        <w:rPr>
          <w:rFonts w:ascii="Arial" w:hAnsi="Arial" w:cs="Arial"/>
          <w:i/>
          <w:color w:val="auto"/>
          <w:sz w:val="24"/>
          <w:szCs w:val="24"/>
        </w:rPr>
        <w:t>POPC.01.01.00-IP.01-00-004/17</w:t>
      </w:r>
      <w:bookmarkEnd w:id="135"/>
      <w:r>
        <w:rPr>
          <w:rFonts w:ascii="Arial" w:hAnsi="Arial" w:cs="Arial"/>
          <w:i/>
          <w:color w:val="auto"/>
          <w:sz w:val="24"/>
          <w:szCs w:val="24"/>
        </w:rPr>
        <w:t xml:space="preserve"> </w:t>
      </w:r>
    </w:p>
    <w:p w:rsidR="00DD0F75" w:rsidRPr="00C632DB" w:rsidRDefault="00DD0F75" w:rsidP="00DD0F75">
      <w:pPr>
        <w:pStyle w:val="Nagwek2"/>
        <w:numPr>
          <w:ilvl w:val="2"/>
          <w:numId w:val="1"/>
        </w:numPr>
        <w:spacing w:before="240" w:after="60" w:line="360" w:lineRule="auto"/>
        <w:jc w:val="center"/>
        <w:rPr>
          <w:rFonts w:ascii="Arial" w:hAnsi="Arial" w:cs="Arial"/>
          <w:b w:val="0"/>
          <w:i/>
          <w:color w:val="auto"/>
          <w:sz w:val="24"/>
          <w:szCs w:val="24"/>
        </w:rPr>
      </w:pPr>
      <w:bookmarkStart w:id="136" w:name="_Toc508630128"/>
      <w:r>
        <w:rPr>
          <w:rFonts w:ascii="Arial" w:hAnsi="Arial" w:cs="Arial"/>
          <w:b w:val="0"/>
          <w:i/>
          <w:color w:val="auto"/>
          <w:sz w:val="24"/>
          <w:szCs w:val="24"/>
        </w:rPr>
        <w:t>W</w:t>
      </w:r>
      <w:r w:rsidRPr="00C632DB">
        <w:rPr>
          <w:rFonts w:ascii="Arial" w:hAnsi="Arial" w:cs="Arial"/>
          <w:b w:val="0"/>
          <w:i/>
          <w:color w:val="auto"/>
          <w:sz w:val="24"/>
          <w:szCs w:val="24"/>
        </w:rPr>
        <w:t>ydatki kwalifikowalne</w:t>
      </w:r>
      <w:bookmarkEnd w:id="136"/>
    </w:p>
    <w:p w:rsidR="00DD0F75" w:rsidRPr="0036568A" w:rsidRDefault="00DD0F75" w:rsidP="00DD0F75">
      <w:pPr>
        <w:autoSpaceDE w:val="0"/>
        <w:autoSpaceDN w:val="0"/>
        <w:adjustRightInd w:val="0"/>
        <w:spacing w:before="120" w:after="120" w:line="360" w:lineRule="auto"/>
        <w:jc w:val="both"/>
        <w:rPr>
          <w:rFonts w:ascii="Arial" w:hAnsi="Arial" w:cs="Arial"/>
        </w:rPr>
      </w:pPr>
      <w:r w:rsidRPr="0036568A">
        <w:rPr>
          <w:rFonts w:ascii="Arial" w:hAnsi="Arial" w:cs="Arial"/>
        </w:rPr>
        <w:t xml:space="preserve">Wydatki kwalifikowalne określone zostały w rozporządzeniu Ministra Administracji i Cyfryzacji z dnia 16 września 2015 r. </w:t>
      </w:r>
      <w:r w:rsidRPr="0036568A">
        <w:rPr>
          <w:rFonts w:ascii="Arial" w:hAnsi="Arial" w:cs="Arial"/>
          <w:i/>
        </w:rPr>
        <w:t>w sprawie udzielania pomocy na rozwój infrastruktury szerokopasmowej w ramach Programu Operacyjnego Polska Cyfrowa na lata 2014–2020</w:t>
      </w:r>
      <w:r w:rsidRPr="0036568A">
        <w:rPr>
          <w:rFonts w:ascii="Arial" w:hAnsi="Arial" w:cs="Arial"/>
        </w:rPr>
        <w:t xml:space="preserve"> (Dz. U. z 201</w:t>
      </w:r>
      <w:r>
        <w:rPr>
          <w:rFonts w:ascii="Arial" w:hAnsi="Arial" w:cs="Arial"/>
        </w:rPr>
        <w:t>6</w:t>
      </w:r>
      <w:r w:rsidRPr="0036568A">
        <w:rPr>
          <w:rFonts w:ascii="Arial" w:hAnsi="Arial" w:cs="Arial"/>
        </w:rPr>
        <w:t xml:space="preserve"> r. poz. 1466</w:t>
      </w:r>
      <w:r w:rsidR="00037054">
        <w:rPr>
          <w:rFonts w:ascii="Arial" w:hAnsi="Arial" w:cs="Arial"/>
        </w:rPr>
        <w:t>, ze zm.</w:t>
      </w:r>
      <w:r w:rsidRPr="0036568A">
        <w:rPr>
          <w:rFonts w:ascii="Arial" w:hAnsi="Arial" w:cs="Arial"/>
        </w:rPr>
        <w:t>), dalej jako „rozporządzenie pomocowe dla I osi”. Niniejsz</w:t>
      </w:r>
      <w:r w:rsidR="00EE7DEE">
        <w:rPr>
          <w:rFonts w:ascii="Arial" w:hAnsi="Arial" w:cs="Arial"/>
        </w:rPr>
        <w:t>y</w:t>
      </w:r>
      <w:r w:rsidRPr="0036568A">
        <w:rPr>
          <w:rFonts w:ascii="Arial" w:hAnsi="Arial" w:cs="Arial"/>
        </w:rPr>
        <w:t xml:space="preserve"> </w:t>
      </w:r>
      <w:r w:rsidR="00EE7DEE" w:rsidRPr="00EE7DEE">
        <w:rPr>
          <w:rFonts w:ascii="Arial" w:hAnsi="Arial" w:cs="Arial"/>
          <w:i/>
        </w:rPr>
        <w:t>Katalog</w:t>
      </w:r>
      <w:r w:rsidRPr="0036568A">
        <w:rPr>
          <w:rFonts w:ascii="Arial" w:hAnsi="Arial" w:cs="Arial"/>
        </w:rPr>
        <w:t xml:space="preserve"> powtarza główne kategorie wydatków wskazane w rozporządzeniu, określając jednocześnie szczegółowe zasady ich kwalifikowania z uwzględnieniem odpowiednich limitów i </w:t>
      </w:r>
      <w:proofErr w:type="spellStart"/>
      <w:r w:rsidRPr="0036568A">
        <w:rPr>
          <w:rFonts w:ascii="Arial" w:hAnsi="Arial" w:cs="Arial"/>
        </w:rPr>
        <w:t>wyłączeń</w:t>
      </w:r>
      <w:proofErr w:type="spellEnd"/>
      <w:r w:rsidRPr="0036568A">
        <w:rPr>
          <w:rFonts w:ascii="Arial" w:hAnsi="Arial" w:cs="Arial"/>
        </w:rPr>
        <w:t>.</w:t>
      </w:r>
    </w:p>
    <w:p w:rsidR="00DD0F75" w:rsidRDefault="00DD0F75" w:rsidP="00DD0F75">
      <w:pPr>
        <w:rPr>
          <w:rFonts w:ascii="Arial" w:hAnsi="Arial" w:cs="Arial"/>
        </w:rPr>
      </w:pPr>
      <w:r w:rsidRPr="0036568A">
        <w:rPr>
          <w:rFonts w:ascii="Arial" w:hAnsi="Arial" w:cs="Arial"/>
        </w:rPr>
        <w:t>Tabela 1. Klasyfikacja wydatków w osi I POPC.</w:t>
      </w:r>
    </w:p>
    <w:tbl>
      <w:tblPr>
        <w:tblStyle w:val="Tabela-Siatka"/>
        <w:tblW w:w="0" w:type="auto"/>
        <w:tblLook w:val="04A0" w:firstRow="1" w:lastRow="0" w:firstColumn="1" w:lastColumn="0" w:noHBand="0" w:noVBand="1"/>
      </w:tblPr>
      <w:tblGrid>
        <w:gridCol w:w="4606"/>
        <w:gridCol w:w="4606"/>
      </w:tblGrid>
      <w:tr w:rsidR="00DD0F75" w:rsidRPr="0036568A" w:rsidTr="006A27E1">
        <w:tc>
          <w:tcPr>
            <w:tcW w:w="4606" w:type="dxa"/>
            <w:shd w:val="clear" w:color="auto" w:fill="F2F2F2" w:themeFill="background1" w:themeFillShade="F2"/>
          </w:tcPr>
          <w:p w:rsidR="00DD0F75" w:rsidRPr="0036568A" w:rsidRDefault="00DD0F75" w:rsidP="006A27E1">
            <w:pPr>
              <w:spacing w:after="200" w:line="276" w:lineRule="auto"/>
              <w:rPr>
                <w:rFonts w:ascii="Arial" w:hAnsi="Arial" w:cs="Arial"/>
              </w:rPr>
            </w:pPr>
            <w:r w:rsidRPr="0036568A">
              <w:rPr>
                <w:rFonts w:ascii="Arial" w:hAnsi="Arial" w:cs="Arial"/>
              </w:rPr>
              <w:t>Wydatki poniesione na pokrycie kosztów, o których mowa w art. 52 ust. 2 lit. a), b) i d) GBER oraz określone w rozporządzeniu pomocowym dla osi I jako:</w:t>
            </w:r>
          </w:p>
        </w:tc>
        <w:tc>
          <w:tcPr>
            <w:tcW w:w="4606" w:type="dxa"/>
            <w:shd w:val="clear" w:color="auto" w:fill="F2F2F2" w:themeFill="background1" w:themeFillShade="F2"/>
          </w:tcPr>
          <w:p w:rsidR="00DD0F75" w:rsidRPr="0036568A" w:rsidRDefault="00DD0F75" w:rsidP="006A27E1">
            <w:pPr>
              <w:spacing w:after="200" w:line="276" w:lineRule="auto"/>
              <w:rPr>
                <w:rFonts w:ascii="Arial" w:hAnsi="Arial" w:cs="Arial"/>
              </w:rPr>
            </w:pPr>
            <w:r w:rsidRPr="0036568A">
              <w:rPr>
                <w:rFonts w:ascii="Arial" w:hAnsi="Arial" w:cs="Arial"/>
              </w:rPr>
              <w:t xml:space="preserve">Wydatki kwalifikujące się do wsparcia jako pomoc </w:t>
            </w:r>
            <w:r w:rsidRPr="0036568A">
              <w:rPr>
                <w:rFonts w:ascii="Arial" w:hAnsi="Arial" w:cs="Arial"/>
                <w:i/>
              </w:rPr>
              <w:t xml:space="preserve">de </w:t>
            </w:r>
            <w:proofErr w:type="spellStart"/>
            <w:r w:rsidRPr="0036568A">
              <w:rPr>
                <w:rFonts w:ascii="Arial" w:hAnsi="Arial" w:cs="Arial"/>
                <w:i/>
              </w:rPr>
              <w:t>minimis</w:t>
            </w:r>
            <w:proofErr w:type="spellEnd"/>
            <w:r w:rsidRPr="0036568A">
              <w:rPr>
                <w:rFonts w:ascii="Arial" w:hAnsi="Arial" w:cs="Arial"/>
              </w:rPr>
              <w:t xml:space="preserve"> udzielana na podstawie Rozporządzenia Komisji (UE) nr 1407/2013 oraz określone w rozporządzeniu pomocowym dla I osi jako:</w:t>
            </w:r>
          </w:p>
        </w:tc>
      </w:tr>
      <w:tr w:rsidR="00DD0F75" w:rsidRPr="0036568A" w:rsidTr="006A27E1">
        <w:trPr>
          <w:trHeight w:val="1931"/>
        </w:trPr>
        <w:tc>
          <w:tcPr>
            <w:tcW w:w="4606" w:type="dxa"/>
          </w:tcPr>
          <w:p w:rsidR="00DD0F75" w:rsidRPr="0036568A" w:rsidRDefault="00DD0F75" w:rsidP="00137BC9">
            <w:pPr>
              <w:numPr>
                <w:ilvl w:val="0"/>
                <w:numId w:val="73"/>
              </w:numPr>
              <w:spacing w:after="200" w:line="276" w:lineRule="auto"/>
              <w:rPr>
                <w:rFonts w:ascii="Arial" w:hAnsi="Arial" w:cs="Arial"/>
                <w:bCs/>
              </w:rPr>
            </w:pPr>
            <w:r w:rsidRPr="0036568A">
              <w:rPr>
                <w:rFonts w:ascii="Arial" w:hAnsi="Arial" w:cs="Arial"/>
                <w:bCs/>
              </w:rPr>
              <w:t>koszty inwestycyjne budowy pasywnej infrastruktury szerokopasmowej</w:t>
            </w:r>
            <w:r w:rsidRPr="00A77C3B">
              <w:rPr>
                <w:rFonts w:ascii="Arial" w:hAnsi="Arial" w:cs="Arial"/>
                <w:bCs/>
                <w:vertAlign w:val="superscript"/>
              </w:rPr>
              <w:footnoteReference w:id="22"/>
            </w:r>
            <w:r w:rsidRPr="0036568A">
              <w:rPr>
                <w:rFonts w:ascii="Arial" w:hAnsi="Arial" w:cs="Arial"/>
                <w:bCs/>
              </w:rPr>
              <w:t xml:space="preserve">, w tym robót i materiałów budowlanych oraz dostaw i instalacji elementów  infrastruktury szerokopasmowej; </w:t>
            </w:r>
          </w:p>
        </w:tc>
        <w:tc>
          <w:tcPr>
            <w:tcW w:w="4606" w:type="dxa"/>
          </w:tcPr>
          <w:p w:rsidR="00DD0F75" w:rsidRPr="0036568A" w:rsidRDefault="00DD0F75" w:rsidP="00137BC9">
            <w:pPr>
              <w:numPr>
                <w:ilvl w:val="0"/>
                <w:numId w:val="78"/>
              </w:numPr>
              <w:spacing w:after="200" w:line="276" w:lineRule="auto"/>
              <w:rPr>
                <w:rFonts w:ascii="Arial" w:hAnsi="Arial" w:cs="Arial"/>
              </w:rPr>
            </w:pPr>
            <w:r w:rsidRPr="0036568A">
              <w:rPr>
                <w:rFonts w:ascii="Arial" w:hAnsi="Arial" w:cs="Arial"/>
                <w:bCs/>
              </w:rPr>
              <w:t>opłaty publicznoprawne związane z przygotowaniem i realizacją projektu, w szczególności za wydanie decyzji, zgód, zezwoleń;</w:t>
            </w:r>
          </w:p>
        </w:tc>
      </w:tr>
      <w:tr w:rsidR="00DD0F75" w:rsidRPr="0036568A" w:rsidTr="006A27E1">
        <w:tc>
          <w:tcPr>
            <w:tcW w:w="4606" w:type="dxa"/>
          </w:tcPr>
          <w:p w:rsidR="00DD0F75" w:rsidRPr="0036568A" w:rsidRDefault="00DD0F75" w:rsidP="00137BC9">
            <w:pPr>
              <w:numPr>
                <w:ilvl w:val="0"/>
                <w:numId w:val="78"/>
              </w:numPr>
              <w:spacing w:after="200" w:line="276" w:lineRule="auto"/>
              <w:rPr>
                <w:rFonts w:ascii="Arial" w:hAnsi="Arial" w:cs="Arial"/>
                <w:bCs/>
              </w:rPr>
            </w:pPr>
            <w:r w:rsidRPr="0036568A">
              <w:rPr>
                <w:rFonts w:ascii="Arial" w:hAnsi="Arial" w:cs="Arial"/>
                <w:bCs/>
              </w:rPr>
              <w:t xml:space="preserve">koszty przygotowania dokumentacji niezbędnej do wykonania robót budowlanych, z wyłączeniem kosztów przygotowania dokumentacji powykonawczej w rozumieniu ustawy </w:t>
            </w:r>
            <w:r w:rsidRPr="0036568A">
              <w:rPr>
                <w:rFonts w:ascii="Arial" w:hAnsi="Arial" w:cs="Arial"/>
                <w:bCs/>
              </w:rPr>
              <w:lastRenderedPageBreak/>
              <w:t>- Prawo budowlane;</w:t>
            </w:r>
          </w:p>
        </w:tc>
        <w:tc>
          <w:tcPr>
            <w:tcW w:w="4606" w:type="dxa"/>
          </w:tcPr>
          <w:p w:rsidR="00DD0F75" w:rsidRPr="0036568A" w:rsidRDefault="00DD0F75" w:rsidP="00137BC9">
            <w:pPr>
              <w:numPr>
                <w:ilvl w:val="0"/>
                <w:numId w:val="74"/>
              </w:numPr>
              <w:spacing w:after="200" w:line="276" w:lineRule="auto"/>
              <w:rPr>
                <w:rFonts w:ascii="Arial" w:hAnsi="Arial" w:cs="Arial"/>
              </w:rPr>
            </w:pPr>
            <w:r w:rsidRPr="0036568A">
              <w:rPr>
                <w:rFonts w:ascii="Arial" w:hAnsi="Arial" w:cs="Arial"/>
                <w:bCs/>
              </w:rPr>
              <w:lastRenderedPageBreak/>
              <w:t>obsługa instrumentów zabezpieczających realizację umowy o dofinansowanie, określonych w umowie o dofinansowanie;</w:t>
            </w:r>
          </w:p>
        </w:tc>
      </w:tr>
      <w:tr w:rsidR="00DD0F75" w:rsidRPr="0036568A" w:rsidTr="006A27E1">
        <w:tc>
          <w:tcPr>
            <w:tcW w:w="4606" w:type="dxa"/>
          </w:tcPr>
          <w:p w:rsidR="00DD0F75" w:rsidRPr="0036568A" w:rsidRDefault="00DD0F75" w:rsidP="00137BC9">
            <w:pPr>
              <w:numPr>
                <w:ilvl w:val="0"/>
                <w:numId w:val="74"/>
              </w:numPr>
              <w:spacing w:after="200" w:line="276" w:lineRule="auto"/>
              <w:rPr>
                <w:rFonts w:ascii="Arial" w:hAnsi="Arial" w:cs="Arial"/>
                <w:bCs/>
              </w:rPr>
            </w:pPr>
            <w:r w:rsidRPr="0036568A">
              <w:rPr>
                <w:rFonts w:ascii="Arial" w:hAnsi="Arial" w:cs="Arial"/>
                <w:bCs/>
              </w:rPr>
              <w:lastRenderedPageBreak/>
              <w:t>koszty nabycia prawa do dysponowania nieruchomością związaną z realizacją projektu;</w:t>
            </w:r>
          </w:p>
        </w:tc>
        <w:tc>
          <w:tcPr>
            <w:tcW w:w="4606" w:type="dxa"/>
          </w:tcPr>
          <w:p w:rsidR="00DD0F75" w:rsidRPr="0036568A" w:rsidRDefault="00DD0F75" w:rsidP="00137BC9">
            <w:pPr>
              <w:numPr>
                <w:ilvl w:val="0"/>
                <w:numId w:val="75"/>
              </w:numPr>
              <w:spacing w:after="200" w:line="276" w:lineRule="auto"/>
              <w:rPr>
                <w:rFonts w:ascii="Arial" w:hAnsi="Arial" w:cs="Arial"/>
                <w:bCs/>
              </w:rPr>
            </w:pPr>
            <w:r w:rsidRPr="0036568A">
              <w:rPr>
                <w:rFonts w:ascii="Arial" w:hAnsi="Arial" w:cs="Arial"/>
              </w:rPr>
              <w:t xml:space="preserve">przygotowanie projektu w zakresie niezbędnym do złożenia wniosku o udzielenie wsparcia, nie wcześniej niż 3 miesiące przed dniem złożenia wniosku, do wysokości 20 tysięcy złotych; </w:t>
            </w:r>
            <w:r w:rsidRPr="0036568A">
              <w:rPr>
                <w:rFonts w:ascii="Arial" w:hAnsi="Arial" w:cs="Arial"/>
                <w:bCs/>
              </w:rPr>
              <w:t>wsparcie nie obejmuje wydatków zwi</w:t>
            </w:r>
            <w:r w:rsidRPr="0036568A">
              <w:rPr>
                <w:rFonts w:ascii="Arial" w:hAnsi="Arial" w:cs="Arial" w:hint="eastAsia"/>
                <w:bCs/>
              </w:rPr>
              <w:t>ą</w:t>
            </w:r>
            <w:r w:rsidRPr="0036568A">
              <w:rPr>
                <w:rFonts w:ascii="Arial" w:hAnsi="Arial" w:cs="Arial"/>
                <w:bCs/>
              </w:rPr>
              <w:t>zanych z wype</w:t>
            </w:r>
            <w:r w:rsidRPr="0036568A">
              <w:rPr>
                <w:rFonts w:ascii="Arial" w:hAnsi="Arial" w:cs="Arial" w:hint="eastAsia"/>
                <w:bCs/>
              </w:rPr>
              <w:t>ł</w:t>
            </w:r>
            <w:r w:rsidRPr="0036568A">
              <w:rPr>
                <w:rFonts w:ascii="Arial" w:hAnsi="Arial" w:cs="Arial"/>
                <w:bCs/>
              </w:rPr>
              <w:t>nieniem formularza wniosku;</w:t>
            </w:r>
          </w:p>
          <w:p w:rsidR="00DD0F75" w:rsidRPr="0036568A" w:rsidRDefault="00DD0F75" w:rsidP="006A27E1">
            <w:pPr>
              <w:spacing w:after="200" w:line="276" w:lineRule="auto"/>
              <w:rPr>
                <w:rFonts w:ascii="Arial" w:hAnsi="Arial" w:cs="Arial"/>
              </w:rPr>
            </w:pPr>
          </w:p>
        </w:tc>
      </w:tr>
      <w:tr w:rsidR="00DD0F75" w:rsidRPr="0036568A" w:rsidTr="006A27E1">
        <w:tc>
          <w:tcPr>
            <w:tcW w:w="4606" w:type="dxa"/>
          </w:tcPr>
          <w:p w:rsidR="00DD0F75" w:rsidRPr="0036568A" w:rsidRDefault="00DD0F75" w:rsidP="00137BC9">
            <w:pPr>
              <w:numPr>
                <w:ilvl w:val="0"/>
                <w:numId w:val="75"/>
              </w:numPr>
              <w:spacing w:after="200" w:line="276" w:lineRule="auto"/>
              <w:rPr>
                <w:rFonts w:ascii="Arial" w:hAnsi="Arial" w:cs="Arial"/>
                <w:bCs/>
              </w:rPr>
            </w:pPr>
            <w:r w:rsidRPr="0036568A">
              <w:rPr>
                <w:rFonts w:ascii="Arial" w:hAnsi="Arial" w:cs="Arial"/>
                <w:bCs/>
              </w:rPr>
              <w:t>koszty dostawy, instalacji i uruchomienia urządzeń telekomunikacyjnych stanowiących infrastrukturę aktywną sieci NGA;</w:t>
            </w:r>
          </w:p>
        </w:tc>
        <w:tc>
          <w:tcPr>
            <w:tcW w:w="4606" w:type="dxa"/>
            <w:vMerge w:val="restart"/>
          </w:tcPr>
          <w:p w:rsidR="00DD0F75" w:rsidRPr="0036568A" w:rsidRDefault="00DD0F75" w:rsidP="006A27E1">
            <w:pPr>
              <w:spacing w:after="200" w:line="276" w:lineRule="auto"/>
              <w:rPr>
                <w:rFonts w:ascii="Arial" w:hAnsi="Arial" w:cs="Arial"/>
              </w:rPr>
            </w:pPr>
            <w:r w:rsidRPr="0036568A">
              <w:rPr>
                <w:rFonts w:ascii="Arial" w:hAnsi="Arial" w:cs="Arial"/>
                <w:bCs/>
              </w:rPr>
              <w:t xml:space="preserve">4) przygotowanie dokumentacji powykonawczej w rozumieniu ustawy - Prawo budowlane. </w:t>
            </w:r>
          </w:p>
        </w:tc>
      </w:tr>
      <w:tr w:rsidR="00DD0F75" w:rsidRPr="0036568A" w:rsidTr="006A27E1">
        <w:tc>
          <w:tcPr>
            <w:tcW w:w="4606" w:type="dxa"/>
          </w:tcPr>
          <w:p w:rsidR="00DD0F75" w:rsidRPr="0036568A" w:rsidRDefault="00DD0F75" w:rsidP="00137BC9">
            <w:pPr>
              <w:numPr>
                <w:ilvl w:val="0"/>
                <w:numId w:val="75"/>
              </w:numPr>
              <w:spacing w:after="200" w:line="276" w:lineRule="auto"/>
              <w:rPr>
                <w:rFonts w:ascii="Arial" w:hAnsi="Arial" w:cs="Arial"/>
                <w:bCs/>
              </w:rPr>
            </w:pPr>
            <w:r w:rsidRPr="0036568A">
              <w:rPr>
                <w:rFonts w:ascii="Arial" w:hAnsi="Arial" w:cs="Arial"/>
                <w:bCs/>
              </w:rPr>
              <w:t>koszty najmu, dzierżawy lub leasingu pasywnej infrastruktury szerokopasmowej, a także elementów infrastruktury elektroenergetycznej, sanitarnej, wodociągowej oraz kanałów technologicznych;</w:t>
            </w:r>
          </w:p>
        </w:tc>
        <w:tc>
          <w:tcPr>
            <w:tcW w:w="4606" w:type="dxa"/>
            <w:vMerge/>
          </w:tcPr>
          <w:p w:rsidR="00DD0F75" w:rsidRPr="0036568A" w:rsidRDefault="00DD0F75" w:rsidP="006A27E1">
            <w:pPr>
              <w:spacing w:after="200" w:line="276" w:lineRule="auto"/>
              <w:rPr>
                <w:rFonts w:ascii="Arial" w:hAnsi="Arial" w:cs="Arial"/>
              </w:rPr>
            </w:pPr>
          </w:p>
        </w:tc>
      </w:tr>
      <w:tr w:rsidR="00DD0F75" w:rsidRPr="0036568A" w:rsidTr="006A27E1">
        <w:tc>
          <w:tcPr>
            <w:tcW w:w="4606" w:type="dxa"/>
          </w:tcPr>
          <w:p w:rsidR="00DD0F75" w:rsidRPr="0036568A" w:rsidRDefault="00DD0F75" w:rsidP="00137BC9">
            <w:pPr>
              <w:numPr>
                <w:ilvl w:val="0"/>
                <w:numId w:val="75"/>
              </w:numPr>
              <w:spacing w:after="200" w:line="276" w:lineRule="auto"/>
              <w:rPr>
                <w:rFonts w:ascii="Arial" w:hAnsi="Arial" w:cs="Arial"/>
              </w:rPr>
            </w:pPr>
            <w:r w:rsidRPr="0036568A">
              <w:rPr>
                <w:rFonts w:ascii="Arial" w:hAnsi="Arial" w:cs="Arial"/>
                <w:bCs/>
              </w:rPr>
              <w:t xml:space="preserve">koszty inwestycyjne budowy sieci NGA, w tym związane z przebudową i rozbudową podstawowej sieci szerokopasmowej do standardu sieci NGA; </w:t>
            </w:r>
          </w:p>
        </w:tc>
        <w:tc>
          <w:tcPr>
            <w:tcW w:w="4606" w:type="dxa"/>
            <w:vMerge/>
          </w:tcPr>
          <w:p w:rsidR="00DD0F75" w:rsidRPr="0036568A" w:rsidRDefault="00DD0F75" w:rsidP="00137BC9">
            <w:pPr>
              <w:numPr>
                <w:ilvl w:val="0"/>
                <w:numId w:val="49"/>
              </w:numPr>
              <w:spacing w:after="200" w:line="276" w:lineRule="auto"/>
              <w:rPr>
                <w:rFonts w:ascii="Arial" w:hAnsi="Arial" w:cs="Arial"/>
              </w:rPr>
            </w:pPr>
          </w:p>
        </w:tc>
      </w:tr>
      <w:tr w:rsidR="00DD0F75" w:rsidRPr="0036568A" w:rsidTr="006A27E1">
        <w:tc>
          <w:tcPr>
            <w:tcW w:w="4606" w:type="dxa"/>
          </w:tcPr>
          <w:p w:rsidR="00DD0F75" w:rsidRPr="0036568A" w:rsidRDefault="00DD0F75" w:rsidP="00137BC9">
            <w:pPr>
              <w:numPr>
                <w:ilvl w:val="0"/>
                <w:numId w:val="75"/>
              </w:numPr>
              <w:spacing w:after="200" w:line="276" w:lineRule="auto"/>
              <w:rPr>
                <w:rFonts w:ascii="Arial" w:hAnsi="Arial" w:cs="Arial"/>
              </w:rPr>
            </w:pPr>
            <w:r w:rsidRPr="0036568A">
              <w:rPr>
                <w:rFonts w:ascii="Arial" w:hAnsi="Arial" w:cs="Arial"/>
              </w:rPr>
              <w:t>koszty nabycia wartości niematerialnych i prawnych.</w:t>
            </w:r>
          </w:p>
        </w:tc>
        <w:tc>
          <w:tcPr>
            <w:tcW w:w="4606" w:type="dxa"/>
            <w:vMerge/>
          </w:tcPr>
          <w:p w:rsidR="00DD0F75" w:rsidRPr="0036568A" w:rsidRDefault="00DD0F75" w:rsidP="006A27E1">
            <w:pPr>
              <w:spacing w:after="200" w:line="276" w:lineRule="auto"/>
              <w:rPr>
                <w:rFonts w:ascii="Arial" w:hAnsi="Arial" w:cs="Arial"/>
              </w:rPr>
            </w:pPr>
          </w:p>
        </w:tc>
      </w:tr>
    </w:tbl>
    <w:p w:rsidR="00DD0F75" w:rsidRDefault="00DD0F75" w:rsidP="00DD0F75">
      <w:pPr>
        <w:rPr>
          <w:rFonts w:ascii="Arial" w:hAnsi="Arial" w:cs="Arial"/>
        </w:rPr>
      </w:pPr>
      <w:r>
        <w:rPr>
          <w:rFonts w:ascii="Arial" w:hAnsi="Arial" w:cs="Arial"/>
        </w:rPr>
        <w:br w:type="page"/>
      </w:r>
    </w:p>
    <w:p w:rsidR="00DD0F75" w:rsidRPr="00A77C3B" w:rsidRDefault="00DD0F75" w:rsidP="00DD0F75">
      <w:pPr>
        <w:rPr>
          <w:rFonts w:ascii="Arial" w:hAnsi="Arial" w:cs="Arial"/>
        </w:rPr>
      </w:pPr>
      <w:r w:rsidRPr="00A77C3B">
        <w:rPr>
          <w:rFonts w:ascii="Arial" w:hAnsi="Arial" w:cs="Arial"/>
        </w:rPr>
        <w:lastRenderedPageBreak/>
        <w:t>W ramach powyższych kategorii wydatków stosuje się następujące ogólne zasady:</w:t>
      </w:r>
    </w:p>
    <w:p w:rsidR="00DD0F75" w:rsidRPr="00A77C3B" w:rsidRDefault="00DD0F75" w:rsidP="00137BC9">
      <w:pPr>
        <w:numPr>
          <w:ilvl w:val="0"/>
          <w:numId w:val="76"/>
        </w:numPr>
        <w:autoSpaceDE w:val="0"/>
        <w:autoSpaceDN w:val="0"/>
        <w:adjustRightInd w:val="0"/>
        <w:spacing w:before="120" w:after="120" w:line="360" w:lineRule="auto"/>
        <w:jc w:val="both"/>
        <w:rPr>
          <w:rFonts w:ascii="Arial" w:hAnsi="Arial" w:cs="Arial"/>
        </w:rPr>
      </w:pPr>
      <w:r w:rsidRPr="00A77C3B">
        <w:rPr>
          <w:rFonts w:ascii="Arial" w:hAnsi="Arial" w:cs="Arial"/>
        </w:rPr>
        <w:t xml:space="preserve">wszystkie wskazane w niniejszym rozdziale wydatki muszą być ponoszone zgodnie z Rozporządzeniem pomocowym dla I osi, niniejszym </w:t>
      </w:r>
      <w:r w:rsidRPr="00147534">
        <w:rPr>
          <w:rFonts w:ascii="Arial" w:hAnsi="Arial" w:cs="Arial"/>
          <w:i/>
        </w:rPr>
        <w:t xml:space="preserve">Katalogiem, Wytycznymi </w:t>
      </w:r>
      <w:r w:rsidRPr="00A77C3B">
        <w:rPr>
          <w:rFonts w:ascii="Arial" w:hAnsi="Arial" w:cs="Arial"/>
        </w:rPr>
        <w:t>oraz umową o dofinansowanie pod rygorem uznania ich za niekwalifikowane.  Wydatki te muszą być bezpośrednio związane z realizacja projektu;</w:t>
      </w:r>
    </w:p>
    <w:p w:rsidR="00DD0F75" w:rsidRPr="00A77C3B" w:rsidRDefault="00DD0F75" w:rsidP="00137BC9">
      <w:pPr>
        <w:numPr>
          <w:ilvl w:val="0"/>
          <w:numId w:val="76"/>
        </w:numPr>
        <w:autoSpaceDE w:val="0"/>
        <w:autoSpaceDN w:val="0"/>
        <w:adjustRightInd w:val="0"/>
        <w:spacing w:before="120" w:after="120" w:line="360" w:lineRule="auto"/>
        <w:jc w:val="both"/>
        <w:rPr>
          <w:rFonts w:ascii="Arial" w:hAnsi="Arial" w:cs="Arial"/>
        </w:rPr>
      </w:pPr>
      <w:r w:rsidRPr="00A77C3B">
        <w:rPr>
          <w:rFonts w:ascii="Arial" w:hAnsi="Arial" w:cs="Arial"/>
        </w:rPr>
        <w:t>wydatkami kwalifikującymi się do objęcia wsparciem są wydatki poniesione w okresie określonym w rozporządzeniu pomocowym dla I osi;</w:t>
      </w:r>
    </w:p>
    <w:p w:rsidR="00DD0F75" w:rsidRPr="00A77C3B" w:rsidRDefault="00DD0F75" w:rsidP="00137BC9">
      <w:pPr>
        <w:numPr>
          <w:ilvl w:val="0"/>
          <w:numId w:val="76"/>
        </w:numPr>
        <w:autoSpaceDE w:val="0"/>
        <w:autoSpaceDN w:val="0"/>
        <w:adjustRightInd w:val="0"/>
        <w:spacing w:before="120" w:after="120" w:line="360" w:lineRule="auto"/>
        <w:jc w:val="both"/>
        <w:rPr>
          <w:rFonts w:ascii="Arial" w:hAnsi="Arial" w:cs="Arial"/>
        </w:rPr>
      </w:pPr>
      <w:r w:rsidRPr="00A77C3B">
        <w:rPr>
          <w:rFonts w:ascii="Arial" w:hAnsi="Arial" w:cs="Arial"/>
        </w:rPr>
        <w:t>wszystkie wydatki powinny być przypisane do odpowiednich kategorii określonych w</w:t>
      </w:r>
      <w:r>
        <w:rPr>
          <w:rFonts w:ascii="Arial" w:hAnsi="Arial" w:cs="Arial"/>
        </w:rPr>
        <w:t> </w:t>
      </w:r>
      <w:r w:rsidRPr="00A77C3B">
        <w:rPr>
          <w:rFonts w:ascii="Arial" w:hAnsi="Arial" w:cs="Arial"/>
        </w:rPr>
        <w:t>niniejszym rozdziale;</w:t>
      </w:r>
    </w:p>
    <w:p w:rsidR="00DD0F75" w:rsidRPr="00A77C3B" w:rsidRDefault="00DD0F75" w:rsidP="00137BC9">
      <w:pPr>
        <w:numPr>
          <w:ilvl w:val="0"/>
          <w:numId w:val="76"/>
        </w:numPr>
        <w:autoSpaceDE w:val="0"/>
        <w:autoSpaceDN w:val="0"/>
        <w:adjustRightInd w:val="0"/>
        <w:spacing w:before="120" w:after="120" w:line="360" w:lineRule="auto"/>
        <w:jc w:val="both"/>
        <w:rPr>
          <w:rFonts w:ascii="Arial" w:hAnsi="Arial" w:cs="Arial"/>
        </w:rPr>
      </w:pPr>
      <w:r w:rsidRPr="00A77C3B">
        <w:rPr>
          <w:rFonts w:ascii="Arial" w:hAnsi="Arial" w:cs="Arial"/>
        </w:rPr>
        <w:t xml:space="preserve">cenę nabycia wartości niematerialnych i prawnych oraz środków trwałych, kwalifikujących się do objęcia wsparciem ustala się zgodnie z właściwymi przepisami ustawy </w:t>
      </w:r>
      <w:r>
        <w:rPr>
          <w:rFonts w:ascii="Arial" w:hAnsi="Arial" w:cs="Arial"/>
        </w:rPr>
        <w:t xml:space="preserve">z dnia 29 września 1994 r. </w:t>
      </w:r>
      <w:r w:rsidRPr="00A77C3B">
        <w:rPr>
          <w:rFonts w:ascii="Arial" w:hAnsi="Arial" w:cs="Arial"/>
        </w:rPr>
        <w:t>o rachunkowości</w:t>
      </w:r>
      <w:r>
        <w:rPr>
          <w:rFonts w:ascii="Arial" w:hAnsi="Arial" w:cs="Arial"/>
        </w:rPr>
        <w:t xml:space="preserve"> (Dz. U. 2016 r., poz. 1047)</w:t>
      </w:r>
      <w:r w:rsidRPr="00A77C3B">
        <w:rPr>
          <w:rFonts w:ascii="Arial" w:hAnsi="Arial" w:cs="Arial"/>
        </w:rPr>
        <w:t xml:space="preserve">; </w:t>
      </w:r>
    </w:p>
    <w:p w:rsidR="00DD0F75" w:rsidRPr="00A77C3B" w:rsidRDefault="00DD0F75" w:rsidP="00137BC9">
      <w:pPr>
        <w:numPr>
          <w:ilvl w:val="0"/>
          <w:numId w:val="76"/>
        </w:numPr>
        <w:autoSpaceDE w:val="0"/>
        <w:autoSpaceDN w:val="0"/>
        <w:adjustRightInd w:val="0"/>
        <w:spacing w:before="120" w:after="120" w:line="360" w:lineRule="auto"/>
        <w:jc w:val="both"/>
        <w:rPr>
          <w:rFonts w:ascii="Arial" w:hAnsi="Arial" w:cs="Arial"/>
        </w:rPr>
      </w:pPr>
      <w:r w:rsidRPr="00A77C3B">
        <w:rPr>
          <w:rFonts w:ascii="Arial" w:hAnsi="Arial" w:cs="Arial"/>
        </w:rPr>
        <w:t>wydatki na środki trwałe ponoszone są w ramach kategorii wydatków określonych w</w:t>
      </w:r>
      <w:r>
        <w:rPr>
          <w:rFonts w:ascii="Arial" w:hAnsi="Arial" w:cs="Arial"/>
        </w:rPr>
        <w:t> </w:t>
      </w:r>
      <w:r w:rsidRPr="00A77C3B">
        <w:rPr>
          <w:rFonts w:ascii="Arial" w:hAnsi="Arial" w:cs="Arial"/>
        </w:rPr>
        <w:t>niniejszym rozdziale;</w:t>
      </w:r>
    </w:p>
    <w:p w:rsidR="00DD0F75" w:rsidRPr="00A77C3B" w:rsidRDefault="00DD0F75" w:rsidP="00137BC9">
      <w:pPr>
        <w:numPr>
          <w:ilvl w:val="0"/>
          <w:numId w:val="76"/>
        </w:numPr>
        <w:autoSpaceDE w:val="0"/>
        <w:autoSpaceDN w:val="0"/>
        <w:adjustRightInd w:val="0"/>
        <w:spacing w:before="120" w:after="120" w:line="360" w:lineRule="auto"/>
        <w:jc w:val="both"/>
        <w:rPr>
          <w:rFonts w:ascii="Arial" w:hAnsi="Arial" w:cs="Arial"/>
        </w:rPr>
      </w:pPr>
      <w:r w:rsidRPr="00A77C3B">
        <w:rPr>
          <w:rFonts w:ascii="Arial" w:hAnsi="Arial" w:cs="Arial"/>
        </w:rPr>
        <w:t>w ramach wydatków dotyczących nowych środków trwałych uznaje się je za kwalifikowalne, o ile środki te są na stałe zainstalowane w ramach projektu, a środki te będą włączone w rejestr środków trwałych beneficjenta oraz wydatek ten będzie traktowany jako wydatek inwestycyjny zgodnie z zasadami rachunkowości;</w:t>
      </w:r>
    </w:p>
    <w:p w:rsidR="00DD0F75" w:rsidRPr="00A77C3B" w:rsidRDefault="00DD0F75" w:rsidP="00137BC9">
      <w:pPr>
        <w:numPr>
          <w:ilvl w:val="0"/>
          <w:numId w:val="76"/>
        </w:numPr>
        <w:autoSpaceDE w:val="0"/>
        <w:autoSpaceDN w:val="0"/>
        <w:adjustRightInd w:val="0"/>
        <w:spacing w:before="120" w:after="120" w:line="360" w:lineRule="auto"/>
        <w:jc w:val="both"/>
        <w:rPr>
          <w:rFonts w:ascii="Arial" w:hAnsi="Arial" w:cs="Arial"/>
        </w:rPr>
      </w:pPr>
      <w:r w:rsidRPr="00A77C3B">
        <w:rPr>
          <w:rFonts w:ascii="Arial" w:hAnsi="Arial" w:cs="Arial"/>
        </w:rPr>
        <w:t xml:space="preserve">dopuszcza się zakup używanych środków trwałych, z zastrzeżeniem </w:t>
      </w:r>
      <w:r>
        <w:rPr>
          <w:rFonts w:ascii="Arial" w:hAnsi="Arial" w:cs="Arial"/>
        </w:rPr>
        <w:t>p</w:t>
      </w:r>
      <w:r w:rsidRPr="00A77C3B">
        <w:rPr>
          <w:rFonts w:ascii="Arial" w:hAnsi="Arial" w:cs="Arial"/>
        </w:rPr>
        <w:t xml:space="preserve">odrozdziału </w:t>
      </w:r>
      <w:r>
        <w:rPr>
          <w:rFonts w:ascii="Arial" w:hAnsi="Arial" w:cs="Arial"/>
        </w:rPr>
        <w:t>3</w:t>
      </w:r>
      <w:r w:rsidRPr="00A77C3B">
        <w:rPr>
          <w:rFonts w:ascii="Arial" w:hAnsi="Arial" w:cs="Arial"/>
        </w:rPr>
        <w:t>.3 pkt 4 lit. e;</w:t>
      </w:r>
    </w:p>
    <w:p w:rsidR="00DD0F75" w:rsidRPr="00A77C3B" w:rsidRDefault="00DD0F75" w:rsidP="00137BC9">
      <w:pPr>
        <w:numPr>
          <w:ilvl w:val="0"/>
          <w:numId w:val="76"/>
        </w:numPr>
        <w:autoSpaceDE w:val="0"/>
        <w:autoSpaceDN w:val="0"/>
        <w:adjustRightInd w:val="0"/>
        <w:spacing w:before="120" w:after="120" w:line="360" w:lineRule="auto"/>
        <w:jc w:val="both"/>
        <w:rPr>
          <w:rFonts w:ascii="Arial" w:hAnsi="Arial" w:cs="Arial"/>
        </w:rPr>
      </w:pPr>
      <w:r w:rsidRPr="00A77C3B">
        <w:rPr>
          <w:rFonts w:ascii="Arial" w:hAnsi="Arial" w:cs="Arial"/>
        </w:rPr>
        <w:t>kwalifikowalne są wydatki w związku z zastosowaniem leasingu i innych technik finansowania nie powodujących natychmiastowego przeniesienia prawa własności;</w:t>
      </w:r>
    </w:p>
    <w:p w:rsidR="00DD0F75" w:rsidRDefault="00DD0F75" w:rsidP="00137BC9">
      <w:pPr>
        <w:numPr>
          <w:ilvl w:val="0"/>
          <w:numId w:val="76"/>
        </w:numPr>
        <w:autoSpaceDE w:val="0"/>
        <w:autoSpaceDN w:val="0"/>
        <w:adjustRightInd w:val="0"/>
        <w:spacing w:before="120" w:after="120" w:line="360" w:lineRule="auto"/>
        <w:jc w:val="both"/>
        <w:rPr>
          <w:rFonts w:ascii="Arial" w:hAnsi="Arial" w:cs="Arial"/>
        </w:rPr>
      </w:pPr>
      <w:r w:rsidRPr="00A77C3B">
        <w:rPr>
          <w:rFonts w:ascii="Arial" w:hAnsi="Arial" w:cs="Arial"/>
        </w:rPr>
        <w:t>nie dopuszcza się stosowania uproszczonych metod rozliczania wydatków.</w:t>
      </w:r>
    </w:p>
    <w:p w:rsidR="00DD0F75" w:rsidRPr="005C74BF" w:rsidRDefault="00DD0F75" w:rsidP="00DD0F75">
      <w:pPr>
        <w:pStyle w:val="Nagwek2"/>
        <w:numPr>
          <w:ilvl w:val="2"/>
          <w:numId w:val="1"/>
        </w:numPr>
        <w:spacing w:before="240" w:after="60" w:line="360" w:lineRule="auto"/>
        <w:jc w:val="center"/>
        <w:rPr>
          <w:rFonts w:ascii="Arial" w:hAnsi="Arial" w:cs="Arial"/>
          <w:b w:val="0"/>
          <w:i/>
          <w:color w:val="auto"/>
          <w:sz w:val="24"/>
          <w:szCs w:val="24"/>
        </w:rPr>
      </w:pPr>
      <w:bookmarkStart w:id="137" w:name="_Toc508630129"/>
      <w:r w:rsidRPr="005C74BF">
        <w:rPr>
          <w:rFonts w:ascii="Arial" w:hAnsi="Arial" w:cs="Arial"/>
          <w:b w:val="0"/>
          <w:i/>
          <w:color w:val="auto"/>
          <w:sz w:val="24"/>
          <w:szCs w:val="24"/>
        </w:rPr>
        <w:t>Kwalifikowalność wydatków w ramach pomocy na infrastrukturę szerokopasmową</w:t>
      </w:r>
      <w:bookmarkEnd w:id="137"/>
    </w:p>
    <w:p w:rsidR="00DD0F75" w:rsidRDefault="00DD0F75" w:rsidP="00DD0F75">
      <w:pPr>
        <w:rPr>
          <w:rFonts w:ascii="Arial" w:hAnsi="Arial" w:cs="Arial"/>
        </w:rPr>
      </w:pPr>
      <w:r w:rsidRPr="00C632DB">
        <w:rPr>
          <w:rFonts w:ascii="Arial" w:hAnsi="Arial" w:cs="Arial"/>
        </w:rPr>
        <w:t>Za kwalifikowalne uznaje się następujące wydatki poniesione na pokrycie:</w:t>
      </w:r>
    </w:p>
    <w:p w:rsidR="00DD0F75" w:rsidRPr="00C632DB" w:rsidRDefault="00DD0F75" w:rsidP="00137BC9">
      <w:pPr>
        <w:numPr>
          <w:ilvl w:val="0"/>
          <w:numId w:val="77"/>
        </w:numPr>
        <w:autoSpaceDE w:val="0"/>
        <w:autoSpaceDN w:val="0"/>
        <w:adjustRightInd w:val="0"/>
        <w:spacing w:before="120" w:after="120" w:line="360" w:lineRule="auto"/>
        <w:jc w:val="both"/>
        <w:rPr>
          <w:rFonts w:ascii="Arial" w:hAnsi="Arial" w:cs="Arial"/>
        </w:rPr>
      </w:pPr>
      <w:r w:rsidRPr="00C632DB">
        <w:rPr>
          <w:rFonts w:ascii="Arial" w:hAnsi="Arial" w:cs="Arial"/>
        </w:rPr>
        <w:t>kosztów inwestycyjnych budowy pasywnej infrastruktury szerokopasmowej, w tym robót i materiałów budowlanych oraz dostaw</w:t>
      </w:r>
      <w:r w:rsidRPr="00F92714">
        <w:rPr>
          <w:rFonts w:ascii="Arial" w:hAnsi="Arial" w:cs="Arial"/>
          <w:vertAlign w:val="superscript"/>
        </w:rPr>
        <w:footnoteReference w:id="23"/>
      </w:r>
      <w:r w:rsidRPr="00C632DB">
        <w:rPr>
          <w:rFonts w:ascii="Arial" w:hAnsi="Arial" w:cs="Arial"/>
        </w:rPr>
        <w:t xml:space="preserve"> i instalacji elementów pasywnej infrastruktury szerokopasmowej, w tym w szczególności:</w:t>
      </w:r>
    </w:p>
    <w:p w:rsidR="00DD0F75" w:rsidRPr="00C632DB" w:rsidRDefault="00DD0F75" w:rsidP="00137BC9">
      <w:pPr>
        <w:numPr>
          <w:ilvl w:val="0"/>
          <w:numId w:val="80"/>
        </w:numPr>
        <w:spacing w:before="120" w:after="120" w:line="360" w:lineRule="auto"/>
        <w:jc w:val="both"/>
        <w:rPr>
          <w:rFonts w:ascii="Arial" w:hAnsi="Arial" w:cs="Arial"/>
        </w:rPr>
      </w:pPr>
      <w:r w:rsidRPr="00C632DB">
        <w:rPr>
          <w:rFonts w:ascii="Arial" w:hAnsi="Arial" w:cs="Arial"/>
        </w:rPr>
        <w:lastRenderedPageBreak/>
        <w:t>usługi związane z nadzorem technicznym realizacji inwestycji w zakresie niezbędnym dla realizacji inwestycji, w tym związanych z nadzorem nad robotami budowlanymi i nadzorem autorskim nad robotami budowlanymi przez projektanta, a także nadzorem inwestorskim pod warunkiem pełnienia tych funkcji przez osoby posiadające odpowiednie uprawnienia w tym zakresie;</w:t>
      </w:r>
    </w:p>
    <w:p w:rsidR="00DD0F75" w:rsidRPr="00C632DB" w:rsidRDefault="00DD0F75" w:rsidP="00137BC9">
      <w:pPr>
        <w:numPr>
          <w:ilvl w:val="0"/>
          <w:numId w:val="80"/>
        </w:numPr>
        <w:spacing w:before="120" w:after="120" w:line="360" w:lineRule="auto"/>
        <w:jc w:val="both"/>
        <w:rPr>
          <w:rFonts w:ascii="Arial" w:hAnsi="Arial" w:cs="Arial"/>
        </w:rPr>
      </w:pPr>
      <w:r w:rsidRPr="00C632DB">
        <w:rPr>
          <w:rFonts w:ascii="Arial" w:hAnsi="Arial" w:cs="Arial"/>
        </w:rPr>
        <w:t xml:space="preserve">roboty budowlane – w rozumieniu ustawy </w:t>
      </w:r>
      <w:r w:rsidRPr="005C74BF">
        <w:rPr>
          <w:rFonts w:ascii="Arial" w:hAnsi="Arial" w:cs="Arial"/>
          <w:i/>
        </w:rPr>
        <w:t>Prawo budowlane</w:t>
      </w:r>
      <w:r w:rsidRPr="00C632DB">
        <w:rPr>
          <w:rFonts w:ascii="Arial" w:hAnsi="Arial" w:cs="Arial"/>
        </w:rPr>
        <w:t>;</w:t>
      </w:r>
    </w:p>
    <w:p w:rsidR="00DD0F75" w:rsidRPr="00C632DB" w:rsidRDefault="00DD0F75" w:rsidP="00137BC9">
      <w:pPr>
        <w:numPr>
          <w:ilvl w:val="0"/>
          <w:numId w:val="80"/>
        </w:numPr>
        <w:spacing w:before="120" w:after="120" w:line="360" w:lineRule="auto"/>
        <w:jc w:val="both"/>
        <w:rPr>
          <w:rFonts w:ascii="Arial" w:hAnsi="Arial" w:cs="Arial"/>
        </w:rPr>
      </w:pPr>
      <w:r w:rsidRPr="00C632DB">
        <w:rPr>
          <w:rFonts w:ascii="Arial" w:hAnsi="Arial" w:cs="Arial"/>
        </w:rPr>
        <w:t>materiały budowlane;</w:t>
      </w:r>
    </w:p>
    <w:p w:rsidR="00DD0F75" w:rsidRPr="00C632DB" w:rsidRDefault="00DD0F75" w:rsidP="00137BC9">
      <w:pPr>
        <w:numPr>
          <w:ilvl w:val="0"/>
          <w:numId w:val="80"/>
        </w:numPr>
        <w:spacing w:before="120" w:after="120" w:line="360" w:lineRule="auto"/>
        <w:jc w:val="both"/>
        <w:rPr>
          <w:rFonts w:ascii="Arial" w:hAnsi="Arial" w:cs="Arial"/>
        </w:rPr>
      </w:pPr>
      <w:r w:rsidRPr="00C632DB">
        <w:rPr>
          <w:rFonts w:ascii="Arial" w:hAnsi="Arial" w:cs="Arial"/>
        </w:rPr>
        <w:t xml:space="preserve"> dostawa i instalacja niezbędnych do realizacji projektu elementów pasywnej infrastruktury szerokopasmowej , takich jak m.in.: elementy instalacyjne, złącza, elementy kanalizacji kablowej, studnie, rury, </w:t>
      </w:r>
      <w:proofErr w:type="spellStart"/>
      <w:r w:rsidRPr="00C632DB">
        <w:rPr>
          <w:rFonts w:ascii="Arial" w:hAnsi="Arial" w:cs="Arial"/>
        </w:rPr>
        <w:t>mikrorury</w:t>
      </w:r>
      <w:proofErr w:type="spellEnd"/>
      <w:r w:rsidRPr="00C632DB">
        <w:rPr>
          <w:rFonts w:ascii="Arial" w:hAnsi="Arial" w:cs="Arial"/>
        </w:rPr>
        <w:t xml:space="preserve">, złączki, mufy, kable telekomunikacyjne (wraz z niezbędnymi do pozostawienia w punktach zakończenia sieci zapasami), </w:t>
      </w:r>
      <w:proofErr w:type="spellStart"/>
      <w:r w:rsidRPr="00C632DB">
        <w:rPr>
          <w:rFonts w:ascii="Arial" w:hAnsi="Arial" w:cs="Arial"/>
        </w:rPr>
        <w:t>splittery</w:t>
      </w:r>
      <w:proofErr w:type="spellEnd"/>
      <w:r w:rsidRPr="00C632DB">
        <w:rPr>
          <w:rFonts w:ascii="Arial" w:hAnsi="Arial" w:cs="Arial"/>
        </w:rPr>
        <w:t>, taśmy ostrzegawcze, znaczniki elektromagnetyczne, szafy i kontenery telekomunikacyjne, słupy, maszty i wieże radiowe, a także elementy pasywne niezbędne do ochrony przeciwprzepięciowej i odgromowej;</w:t>
      </w:r>
    </w:p>
    <w:p w:rsidR="00DD0F75" w:rsidRPr="00C632DB" w:rsidRDefault="00DD0F75" w:rsidP="00137BC9">
      <w:pPr>
        <w:numPr>
          <w:ilvl w:val="0"/>
          <w:numId w:val="80"/>
        </w:numPr>
        <w:spacing w:before="120" w:after="120" w:line="360" w:lineRule="auto"/>
        <w:jc w:val="both"/>
        <w:rPr>
          <w:rFonts w:ascii="Arial" w:hAnsi="Arial" w:cs="Arial"/>
        </w:rPr>
      </w:pPr>
      <w:r w:rsidRPr="00C632DB">
        <w:rPr>
          <w:rFonts w:ascii="Arial" w:hAnsi="Arial" w:cs="Arial"/>
        </w:rPr>
        <w:t xml:space="preserve">koszty niezbędne do spełnienia wymagań </w:t>
      </w:r>
      <w:r>
        <w:rPr>
          <w:rFonts w:ascii="Arial" w:hAnsi="Arial" w:cs="Arial"/>
        </w:rPr>
        <w:t>technicznych określonych w ramach dokumentacji konkursowej</w:t>
      </w:r>
      <w:r w:rsidRPr="00C632DB">
        <w:rPr>
          <w:rFonts w:ascii="Arial" w:hAnsi="Arial" w:cs="Arial"/>
        </w:rPr>
        <w:t>, w zakresie w jakim dotyczą one specyfikacji technicznej części pasywnej infrastruktury i sieci, w tym minimalnej nadmiarowości, tj. m.in. wydatki na realizację dodatkowych otworów kanalizacji kablowej, włókien lub kabli itp.;</w:t>
      </w:r>
    </w:p>
    <w:p w:rsidR="00DD0F75" w:rsidRPr="00C632DB" w:rsidRDefault="00DD0F75" w:rsidP="00DD0F75">
      <w:pPr>
        <w:autoSpaceDE w:val="0"/>
        <w:autoSpaceDN w:val="0"/>
        <w:adjustRightInd w:val="0"/>
        <w:spacing w:before="120" w:after="120" w:line="360" w:lineRule="auto"/>
        <w:jc w:val="both"/>
        <w:rPr>
          <w:rFonts w:ascii="Arial" w:hAnsi="Arial" w:cs="Arial"/>
        </w:rPr>
      </w:pPr>
      <w:r w:rsidRPr="00C632DB">
        <w:rPr>
          <w:rFonts w:ascii="Arial" w:hAnsi="Arial" w:cs="Arial"/>
        </w:rPr>
        <w:t xml:space="preserve">Wydatki poniesione na pokrycie tych kosztów są kwalifikowalne pod warunkiem spełnienia założeń technicznych projektu określonych we wniosku o dofinansowanie. </w:t>
      </w:r>
    </w:p>
    <w:p w:rsidR="00DD0F75" w:rsidRPr="00C632DB" w:rsidRDefault="00DD0F75" w:rsidP="00DD0F75">
      <w:pPr>
        <w:autoSpaceDE w:val="0"/>
        <w:autoSpaceDN w:val="0"/>
        <w:adjustRightInd w:val="0"/>
        <w:spacing w:before="120" w:after="120" w:line="360" w:lineRule="auto"/>
        <w:jc w:val="both"/>
        <w:rPr>
          <w:rFonts w:ascii="Arial" w:hAnsi="Arial" w:cs="Arial"/>
        </w:rPr>
      </w:pPr>
      <w:r w:rsidRPr="00C632DB">
        <w:rPr>
          <w:rFonts w:ascii="Arial" w:hAnsi="Arial" w:cs="Arial"/>
        </w:rPr>
        <w:t>Niezbędnym warunkiem kwalifikowalności tych elementów w ramach niniejszej kategorii jest, aby nie zawierały żadnych aktywnych elementów sieci telekomunikacyjnej, w szczególności urządzeń telekomunikacyjnych, w tym urządzeń radiowych.</w:t>
      </w:r>
    </w:p>
    <w:p w:rsidR="00DD0F75" w:rsidRPr="00C632DB" w:rsidRDefault="00DD0F75" w:rsidP="00DD0F75">
      <w:pPr>
        <w:autoSpaceDE w:val="0"/>
        <w:autoSpaceDN w:val="0"/>
        <w:adjustRightInd w:val="0"/>
        <w:spacing w:before="120" w:after="120" w:line="360" w:lineRule="auto"/>
        <w:jc w:val="both"/>
        <w:rPr>
          <w:rFonts w:ascii="Arial" w:hAnsi="Arial" w:cs="Arial"/>
        </w:rPr>
      </w:pPr>
      <w:r w:rsidRPr="00C632DB">
        <w:rPr>
          <w:rFonts w:ascii="Arial" w:hAnsi="Arial" w:cs="Arial"/>
        </w:rPr>
        <w:t>W ramach niniejszej kategorii możliwe jest ponoszenie kosztów realizacji pasywnej infrastruktury szerokopasmowej w warstwie sieci szkieletowej i dystrybucyjnej</w:t>
      </w:r>
      <w:r w:rsidRPr="00F92714">
        <w:rPr>
          <w:rFonts w:ascii="Arial" w:hAnsi="Arial" w:cs="Arial"/>
          <w:vertAlign w:val="superscript"/>
        </w:rPr>
        <w:footnoteReference w:id="24"/>
      </w:r>
      <w:r w:rsidRPr="00C632DB">
        <w:rPr>
          <w:rFonts w:ascii="Arial" w:hAnsi="Arial" w:cs="Arial"/>
        </w:rPr>
        <w:t xml:space="preserve">.  </w:t>
      </w:r>
    </w:p>
    <w:p w:rsidR="00DD0F75" w:rsidRPr="00C632DB" w:rsidRDefault="00DD0F75" w:rsidP="00DD0F75">
      <w:pPr>
        <w:autoSpaceDE w:val="0"/>
        <w:autoSpaceDN w:val="0"/>
        <w:adjustRightInd w:val="0"/>
        <w:spacing w:before="120" w:after="120" w:line="360" w:lineRule="auto"/>
        <w:jc w:val="both"/>
        <w:rPr>
          <w:rFonts w:ascii="Arial" w:hAnsi="Arial" w:cs="Arial"/>
        </w:rPr>
      </w:pPr>
      <w:r w:rsidRPr="00C632DB">
        <w:rPr>
          <w:rFonts w:ascii="Arial" w:hAnsi="Arial" w:cs="Arial"/>
        </w:rPr>
        <w:t xml:space="preserve">Wydatki poniesione na pokrycie kosztów realizacji pasywnej infrastruktury szerokopasmowej w warstwie sieci dystrybucyjnej i szkieletowej są kwalifikowalne wyłącznie w zakresie w jakim są niezbędne do realizacji sieci NGA, a także pod warunkiem wykazania, że jest to </w:t>
      </w:r>
      <w:r w:rsidRPr="00C632DB">
        <w:rPr>
          <w:rFonts w:ascii="Arial" w:hAnsi="Arial" w:cs="Arial"/>
        </w:rPr>
        <w:lastRenderedPageBreak/>
        <w:t>najbardziej efektywna możliwość realizacji sieci dostępowej i nie jest możliwe lub uzasadnione skorzystanie z istniejącej infrastruktury lub usług hurtowych świadczonych przez innych przedsiębiorców telekomunikacyjnych na danym obszarze. Aktywne elementy sieci dystrybucyjnej i szkieletowej są niekwalifikowalne zgodnie z katalogiem wydatków  niekwalifikowalnych.</w:t>
      </w:r>
    </w:p>
    <w:p w:rsidR="00DD0F75" w:rsidRPr="00C632DB" w:rsidRDefault="00DD0F75" w:rsidP="00137BC9">
      <w:pPr>
        <w:numPr>
          <w:ilvl w:val="0"/>
          <w:numId w:val="77"/>
        </w:numPr>
        <w:autoSpaceDE w:val="0"/>
        <w:autoSpaceDN w:val="0"/>
        <w:adjustRightInd w:val="0"/>
        <w:spacing w:before="120" w:after="120" w:line="360" w:lineRule="auto"/>
        <w:jc w:val="both"/>
        <w:rPr>
          <w:rFonts w:ascii="Arial" w:hAnsi="Arial" w:cs="Arial"/>
        </w:rPr>
      </w:pPr>
      <w:r w:rsidRPr="00C632DB">
        <w:rPr>
          <w:rFonts w:ascii="Arial" w:hAnsi="Arial" w:cs="Arial"/>
        </w:rPr>
        <w:t>kosztów przygotowania dokumentacji niezbędnej do wykonania robót budowlanych.</w:t>
      </w:r>
    </w:p>
    <w:p w:rsidR="00DD0F75" w:rsidRPr="00C632DB" w:rsidRDefault="00DD0F75" w:rsidP="00DD0F75">
      <w:pPr>
        <w:autoSpaceDE w:val="0"/>
        <w:autoSpaceDN w:val="0"/>
        <w:adjustRightInd w:val="0"/>
        <w:spacing w:before="120" w:after="120" w:line="360" w:lineRule="auto"/>
        <w:jc w:val="both"/>
        <w:rPr>
          <w:rFonts w:ascii="Arial" w:hAnsi="Arial" w:cs="Arial"/>
        </w:rPr>
      </w:pPr>
      <w:r w:rsidRPr="00C632DB">
        <w:rPr>
          <w:rFonts w:ascii="Arial" w:hAnsi="Arial" w:cs="Arial"/>
        </w:rPr>
        <w:t>W szczególności są to wydatki niezbędne do poniesienia na etapie przygotowania do realizacji infrastruktury i sieci w terenie, w szczególności dotyczące takich elementów jak:</w:t>
      </w:r>
    </w:p>
    <w:p w:rsidR="00DD0F75" w:rsidRPr="00C632DB" w:rsidRDefault="00DD0F75" w:rsidP="00137BC9">
      <w:pPr>
        <w:numPr>
          <w:ilvl w:val="0"/>
          <w:numId w:val="81"/>
        </w:numPr>
        <w:spacing w:before="120" w:after="120" w:line="360" w:lineRule="auto"/>
        <w:jc w:val="both"/>
        <w:rPr>
          <w:rFonts w:ascii="Arial" w:hAnsi="Arial" w:cs="Arial"/>
        </w:rPr>
      </w:pPr>
      <w:r w:rsidRPr="00C632DB">
        <w:rPr>
          <w:rFonts w:ascii="Arial" w:hAnsi="Arial" w:cs="Arial"/>
        </w:rPr>
        <w:t>dokumentacja techniczna projektu, w tym projektowanie infrastruktury i sieci;</w:t>
      </w:r>
    </w:p>
    <w:p w:rsidR="00DD0F75" w:rsidRPr="00C632DB" w:rsidRDefault="00DD0F75" w:rsidP="00137BC9">
      <w:pPr>
        <w:numPr>
          <w:ilvl w:val="0"/>
          <w:numId w:val="81"/>
        </w:numPr>
        <w:spacing w:before="120" w:after="120" w:line="360" w:lineRule="auto"/>
        <w:jc w:val="both"/>
        <w:rPr>
          <w:rFonts w:ascii="Arial" w:hAnsi="Arial" w:cs="Arial"/>
        </w:rPr>
      </w:pPr>
      <w:r w:rsidRPr="00C632DB">
        <w:rPr>
          <w:rFonts w:ascii="Arial" w:hAnsi="Arial" w:cs="Arial"/>
        </w:rPr>
        <w:t>pozyskanie i przygotowanie map lub szkiców sytuujących projekt, w tym dotyczące zamówienia usług w zakresie obsługi geodezyjnej;</w:t>
      </w:r>
    </w:p>
    <w:p w:rsidR="00DD0F75" w:rsidRPr="00C632DB" w:rsidRDefault="00DD0F75" w:rsidP="00137BC9">
      <w:pPr>
        <w:numPr>
          <w:ilvl w:val="0"/>
          <w:numId w:val="81"/>
        </w:numPr>
        <w:spacing w:before="120" w:after="120" w:line="360" w:lineRule="auto"/>
        <w:jc w:val="both"/>
        <w:rPr>
          <w:rFonts w:ascii="Arial" w:hAnsi="Arial" w:cs="Arial"/>
        </w:rPr>
      </w:pPr>
      <w:r w:rsidRPr="00C632DB">
        <w:rPr>
          <w:rFonts w:ascii="Arial" w:hAnsi="Arial" w:cs="Arial"/>
        </w:rPr>
        <w:t>przygotowanie dokumentacji niezbędnej do złożenia wniosków o wydanie wymaganych przepisami prawa decyzji, zgód i zezwoleń administracyjnych albo dokonania zgłoszenia budowy lub robót budowlanych;</w:t>
      </w:r>
    </w:p>
    <w:p w:rsidR="00DD0F75" w:rsidRPr="00C632DB" w:rsidRDefault="00DD0F75" w:rsidP="00137BC9">
      <w:pPr>
        <w:numPr>
          <w:ilvl w:val="0"/>
          <w:numId w:val="81"/>
        </w:numPr>
        <w:spacing w:before="120" w:after="120" w:line="360" w:lineRule="auto"/>
        <w:jc w:val="both"/>
        <w:rPr>
          <w:rFonts w:ascii="Arial" w:hAnsi="Arial" w:cs="Arial"/>
        </w:rPr>
      </w:pPr>
      <w:r w:rsidRPr="00C632DB">
        <w:rPr>
          <w:rFonts w:ascii="Arial" w:hAnsi="Arial" w:cs="Arial"/>
        </w:rPr>
        <w:t xml:space="preserve">dokumentacja budowlana art. 3 pkt 13 ustawy </w:t>
      </w:r>
      <w:r w:rsidRPr="00044603">
        <w:rPr>
          <w:rFonts w:ascii="Arial" w:hAnsi="Arial" w:cs="Arial"/>
          <w:i/>
        </w:rPr>
        <w:t>Prawo budowlane</w:t>
      </w:r>
      <w:r w:rsidRPr="00C632DB">
        <w:rPr>
          <w:rFonts w:ascii="Arial" w:hAnsi="Arial" w:cs="Arial"/>
        </w:rPr>
        <w:t>, z wyjątkiem związanych z jej prowadzeniem opłat o charakterze publicznoprawnym;</w:t>
      </w:r>
    </w:p>
    <w:p w:rsidR="00DD0F75" w:rsidRPr="00C632DB" w:rsidRDefault="00DD0F75" w:rsidP="00137BC9">
      <w:pPr>
        <w:numPr>
          <w:ilvl w:val="0"/>
          <w:numId w:val="81"/>
        </w:numPr>
        <w:spacing w:before="120" w:after="120" w:line="360" w:lineRule="auto"/>
        <w:jc w:val="both"/>
        <w:rPr>
          <w:rFonts w:ascii="Arial" w:hAnsi="Arial" w:cs="Arial"/>
        </w:rPr>
      </w:pPr>
      <w:r w:rsidRPr="00C632DB">
        <w:rPr>
          <w:rFonts w:ascii="Arial" w:hAnsi="Arial" w:cs="Arial"/>
        </w:rPr>
        <w:t xml:space="preserve">przygotowanie innej dokumentacji w zakresie, w jakim jest to wymagane zgodnie </w:t>
      </w:r>
      <w:r w:rsidRPr="00C632DB">
        <w:rPr>
          <w:rFonts w:ascii="Arial" w:hAnsi="Arial" w:cs="Arial"/>
        </w:rPr>
        <w:br/>
        <w:t>z obowiązującymi przepisami prawa.</w:t>
      </w:r>
    </w:p>
    <w:p w:rsidR="00DD0F75" w:rsidRPr="00C632DB" w:rsidRDefault="00DD0F75" w:rsidP="00137BC9">
      <w:pPr>
        <w:numPr>
          <w:ilvl w:val="0"/>
          <w:numId w:val="77"/>
        </w:numPr>
        <w:autoSpaceDE w:val="0"/>
        <w:autoSpaceDN w:val="0"/>
        <w:adjustRightInd w:val="0"/>
        <w:spacing w:before="120" w:after="120" w:line="360" w:lineRule="auto"/>
        <w:jc w:val="both"/>
        <w:rPr>
          <w:rFonts w:ascii="Arial" w:hAnsi="Arial" w:cs="Arial"/>
        </w:rPr>
      </w:pPr>
      <w:r w:rsidRPr="00C632DB">
        <w:rPr>
          <w:rFonts w:ascii="Arial" w:hAnsi="Arial" w:cs="Arial"/>
        </w:rPr>
        <w:t>kosztów nabycia prawa dysponowania nieruchomością związanych z realizacją projektu, w tym w szczególności:</w:t>
      </w:r>
    </w:p>
    <w:p w:rsidR="00DD0F75" w:rsidRPr="00C632DB" w:rsidRDefault="00DD0F75" w:rsidP="00137BC9">
      <w:pPr>
        <w:numPr>
          <w:ilvl w:val="0"/>
          <w:numId w:val="82"/>
        </w:numPr>
        <w:spacing w:before="120" w:after="120" w:line="360" w:lineRule="auto"/>
        <w:jc w:val="both"/>
        <w:rPr>
          <w:rFonts w:ascii="Arial" w:hAnsi="Arial" w:cs="Arial"/>
        </w:rPr>
      </w:pPr>
      <w:r w:rsidRPr="00C632DB">
        <w:rPr>
          <w:rFonts w:ascii="Arial" w:hAnsi="Arial" w:cs="Arial"/>
        </w:rPr>
        <w:t xml:space="preserve">kategorie wydatków w zakresie określonym w </w:t>
      </w:r>
      <w:r w:rsidRPr="005C74BF">
        <w:rPr>
          <w:rFonts w:ascii="Arial" w:hAnsi="Arial" w:cs="Arial"/>
          <w:i/>
        </w:rPr>
        <w:t>Wytycznych</w:t>
      </w:r>
      <w:r w:rsidRPr="00C632DB">
        <w:rPr>
          <w:rFonts w:ascii="Arial" w:hAnsi="Arial" w:cs="Arial"/>
        </w:rPr>
        <w:t>;</w:t>
      </w:r>
    </w:p>
    <w:p w:rsidR="00DD0F75" w:rsidRPr="00C632DB" w:rsidRDefault="00DD0F75" w:rsidP="00137BC9">
      <w:pPr>
        <w:numPr>
          <w:ilvl w:val="0"/>
          <w:numId w:val="82"/>
        </w:numPr>
        <w:spacing w:before="120" w:after="120" w:line="360" w:lineRule="auto"/>
        <w:jc w:val="both"/>
        <w:rPr>
          <w:rFonts w:ascii="Arial" w:hAnsi="Arial" w:cs="Arial"/>
        </w:rPr>
      </w:pPr>
      <w:r w:rsidRPr="00C632DB">
        <w:rPr>
          <w:rFonts w:ascii="Arial" w:hAnsi="Arial" w:cs="Arial"/>
        </w:rPr>
        <w:t xml:space="preserve">opłaty dla właściciela, użytkownika wieczystego nieruchomości lub zarządcy nieruchomości w zakresie w jakim wynikają z art. 30 ust. 3b pkt 1) i art. 33 </w:t>
      </w:r>
      <w:proofErr w:type="spellStart"/>
      <w:r w:rsidRPr="00C632DB">
        <w:rPr>
          <w:rFonts w:ascii="Arial" w:hAnsi="Arial" w:cs="Arial"/>
        </w:rPr>
        <w:t>megaustawy</w:t>
      </w:r>
      <w:proofErr w:type="spellEnd"/>
      <w:r w:rsidRPr="00C632DB">
        <w:rPr>
          <w:rFonts w:ascii="Arial" w:hAnsi="Arial" w:cs="Arial"/>
        </w:rPr>
        <w:t xml:space="preserve"> </w:t>
      </w:r>
    </w:p>
    <w:p w:rsidR="00DD0F75" w:rsidRPr="00C632DB" w:rsidRDefault="00DD0F75" w:rsidP="00DD0F75">
      <w:pPr>
        <w:autoSpaceDE w:val="0"/>
        <w:autoSpaceDN w:val="0"/>
        <w:adjustRightInd w:val="0"/>
        <w:spacing w:before="120" w:after="120" w:line="360" w:lineRule="auto"/>
        <w:jc w:val="both"/>
        <w:rPr>
          <w:rFonts w:ascii="Arial" w:hAnsi="Arial" w:cs="Arial"/>
        </w:rPr>
      </w:pPr>
      <w:r w:rsidRPr="00C632DB">
        <w:rPr>
          <w:rFonts w:ascii="Arial" w:hAnsi="Arial" w:cs="Arial"/>
        </w:rPr>
        <w:t xml:space="preserve">W ramach niniejszej kategorii stosowane są limity określone w </w:t>
      </w:r>
      <w:r w:rsidRPr="005C74BF">
        <w:rPr>
          <w:rFonts w:ascii="Arial" w:hAnsi="Arial" w:cs="Arial"/>
          <w:i/>
        </w:rPr>
        <w:t>Wytycznych</w:t>
      </w:r>
      <w:r w:rsidRPr="00C632DB">
        <w:rPr>
          <w:rFonts w:ascii="Arial" w:hAnsi="Arial" w:cs="Arial"/>
        </w:rPr>
        <w:t>.</w:t>
      </w:r>
    </w:p>
    <w:p w:rsidR="00DD0F75" w:rsidRPr="00C632DB" w:rsidRDefault="00DD0F75" w:rsidP="00DD0F75">
      <w:pPr>
        <w:autoSpaceDE w:val="0"/>
        <w:autoSpaceDN w:val="0"/>
        <w:adjustRightInd w:val="0"/>
        <w:spacing w:before="120" w:after="120" w:line="360" w:lineRule="auto"/>
        <w:jc w:val="both"/>
        <w:rPr>
          <w:rFonts w:ascii="Arial" w:hAnsi="Arial" w:cs="Arial"/>
        </w:rPr>
      </w:pPr>
      <w:r w:rsidRPr="00C632DB">
        <w:rPr>
          <w:rFonts w:ascii="Arial" w:hAnsi="Arial" w:cs="Arial"/>
        </w:rPr>
        <w:t>W przypadkach, gdy nabycie nieruchomości stanowi wydatek kwalifikowalny, kwalifikowalne są również wydatki poniesione w związku ze sporządzeniem dokumentacji geodezyjno-kartograficznej, wynagrodzenia rzeczoznawcy oraz opłaty notarialne.</w:t>
      </w:r>
    </w:p>
    <w:p w:rsidR="00DD0F75" w:rsidRPr="00C632DB" w:rsidRDefault="00DD0F75" w:rsidP="00DD0F75">
      <w:pPr>
        <w:autoSpaceDE w:val="0"/>
        <w:autoSpaceDN w:val="0"/>
        <w:adjustRightInd w:val="0"/>
        <w:spacing w:before="120" w:after="120" w:line="360" w:lineRule="auto"/>
        <w:jc w:val="both"/>
        <w:rPr>
          <w:rFonts w:ascii="Arial" w:hAnsi="Arial" w:cs="Arial"/>
        </w:rPr>
      </w:pPr>
      <w:r w:rsidRPr="00C632DB">
        <w:rPr>
          <w:rFonts w:ascii="Arial" w:hAnsi="Arial" w:cs="Arial"/>
        </w:rPr>
        <w:t>W przypadku innych, niż własność i dzierżawa wieczysta, tytułów prawnych do nieruchomości, umowa powinna zostać zawarta na okres nie krótszy niż okres trwałości projektu.</w:t>
      </w:r>
    </w:p>
    <w:p w:rsidR="00DD0F75" w:rsidRPr="00C632DB" w:rsidRDefault="00DD0F75" w:rsidP="00DD0F75">
      <w:pPr>
        <w:autoSpaceDE w:val="0"/>
        <w:autoSpaceDN w:val="0"/>
        <w:adjustRightInd w:val="0"/>
        <w:spacing w:before="120" w:after="120" w:line="360" w:lineRule="auto"/>
        <w:jc w:val="both"/>
        <w:rPr>
          <w:rFonts w:ascii="Arial" w:hAnsi="Arial" w:cs="Arial"/>
        </w:rPr>
      </w:pPr>
      <w:r w:rsidRPr="00C632DB">
        <w:rPr>
          <w:rFonts w:ascii="Arial" w:hAnsi="Arial" w:cs="Arial"/>
        </w:rPr>
        <w:lastRenderedPageBreak/>
        <w:t>Wydatki poniesione w ramach powyższej kategorii są kwalifikowane proporcjonalnie do okresu realizacji projektu co oznacza, że nie są kwalifikowalne wydatki odnoszące się do okresu trwałości i późniejszych, np. nie jest kwalifikowalny pełny koszt nabycia prawa, ale jego odpowiednia część obliczona proporcjonalnie do okresu realizacji projektu.</w:t>
      </w:r>
    </w:p>
    <w:p w:rsidR="00DD0F75" w:rsidRPr="00C632DB" w:rsidRDefault="00DD0F75" w:rsidP="00DD0F75">
      <w:pPr>
        <w:autoSpaceDE w:val="0"/>
        <w:autoSpaceDN w:val="0"/>
        <w:adjustRightInd w:val="0"/>
        <w:spacing w:before="120" w:after="120" w:line="360" w:lineRule="auto"/>
        <w:jc w:val="both"/>
        <w:rPr>
          <w:rFonts w:ascii="Arial" w:hAnsi="Arial" w:cs="Arial"/>
        </w:rPr>
      </w:pPr>
      <w:r w:rsidRPr="00C632DB">
        <w:rPr>
          <w:rFonts w:ascii="Arial" w:hAnsi="Arial" w:cs="Arial"/>
        </w:rPr>
        <w:t xml:space="preserve">Wydatki dotyczące umów lub decyzji w zakresie art. 30 </w:t>
      </w:r>
      <w:proofErr w:type="spellStart"/>
      <w:r w:rsidRPr="00C632DB">
        <w:rPr>
          <w:rFonts w:ascii="Arial" w:hAnsi="Arial" w:cs="Arial"/>
        </w:rPr>
        <w:t>megaustawy</w:t>
      </w:r>
      <w:proofErr w:type="spellEnd"/>
      <w:r w:rsidRPr="00C632DB">
        <w:rPr>
          <w:rFonts w:ascii="Arial" w:hAnsi="Arial" w:cs="Arial"/>
        </w:rPr>
        <w:t xml:space="preserve"> są kwalifikowalne odpowiednio do kwalifikowalnego zakresu projektu (np. niekwalifikowalne będą całościowe wydatki dotyczące udostępnienia instalacji wewnątrzbudynkowej lub miejsca w budynku, ale kwalifikowalne będą takie wydatki, jeśli związane są wyłącznie z realizacją punktu styku w budynku, o którym mowa w § 192f rozporządzenia Ministra Infrastruktury z dnia 12 kwietnia 2002 w sprawie warunków technicznych jakim powinny odpowiadać budynki i ich usytuowanie).</w:t>
      </w:r>
    </w:p>
    <w:p w:rsidR="00DD0F75" w:rsidRPr="00C632DB" w:rsidRDefault="00DD0F75" w:rsidP="00137BC9">
      <w:pPr>
        <w:numPr>
          <w:ilvl w:val="0"/>
          <w:numId w:val="77"/>
        </w:numPr>
        <w:autoSpaceDE w:val="0"/>
        <w:autoSpaceDN w:val="0"/>
        <w:adjustRightInd w:val="0"/>
        <w:spacing w:before="120" w:after="120" w:line="360" w:lineRule="auto"/>
        <w:jc w:val="both"/>
        <w:rPr>
          <w:rFonts w:ascii="Arial" w:hAnsi="Arial" w:cs="Arial"/>
        </w:rPr>
      </w:pPr>
      <w:r w:rsidRPr="00C632DB">
        <w:rPr>
          <w:rFonts w:ascii="Arial" w:hAnsi="Arial" w:cs="Arial"/>
        </w:rPr>
        <w:t xml:space="preserve">kosztów dostarczenia, instalacji i uruchomienia urządzeń telekomunikacyjnych stanowiących infrastrukturę aktywną sieci NGA, w tym w szczególności: </w:t>
      </w:r>
    </w:p>
    <w:p w:rsidR="00DD0F75" w:rsidRPr="00C632DB" w:rsidRDefault="00DD0F75" w:rsidP="00137BC9">
      <w:pPr>
        <w:numPr>
          <w:ilvl w:val="0"/>
          <w:numId w:val="83"/>
        </w:numPr>
        <w:spacing w:before="120" w:after="120" w:line="360" w:lineRule="auto"/>
        <w:jc w:val="both"/>
        <w:rPr>
          <w:rFonts w:ascii="Arial" w:hAnsi="Arial" w:cs="Arial"/>
        </w:rPr>
      </w:pPr>
      <w:r w:rsidRPr="00C632DB">
        <w:rPr>
          <w:rFonts w:ascii="Arial" w:hAnsi="Arial" w:cs="Arial"/>
        </w:rPr>
        <w:t>urządzenia telekomunikacyjne stanowiące infrastrukturę aktywną sieci NGA, tj. m.in.: OLT, CMTS, DSLAM, ONU wyłącznie z portami szerokopasmowymi wyposażone w co najmniej dwa takie porty, multipleksery, wzmacniacze, przełącznice, karty liniowe, urządzenia radiowe);</w:t>
      </w:r>
    </w:p>
    <w:p w:rsidR="00DD0F75" w:rsidRPr="00C632DB" w:rsidRDefault="00DD0F75" w:rsidP="00137BC9">
      <w:pPr>
        <w:numPr>
          <w:ilvl w:val="0"/>
          <w:numId w:val="83"/>
        </w:numPr>
        <w:spacing w:before="120" w:after="120" w:line="360" w:lineRule="auto"/>
        <w:jc w:val="both"/>
        <w:rPr>
          <w:rFonts w:ascii="Arial" w:hAnsi="Arial" w:cs="Arial"/>
        </w:rPr>
      </w:pPr>
      <w:r w:rsidRPr="00C632DB">
        <w:rPr>
          <w:rFonts w:ascii="Arial" w:hAnsi="Arial" w:cs="Arial"/>
        </w:rPr>
        <w:t>usługi związane z konfiguracją urządzeń w sieci telekomunikacyjnej oraz nadzorem technicznym;</w:t>
      </w:r>
    </w:p>
    <w:p w:rsidR="00DD0F75" w:rsidRPr="00C632DB" w:rsidRDefault="00DD0F75" w:rsidP="00137BC9">
      <w:pPr>
        <w:numPr>
          <w:ilvl w:val="0"/>
          <w:numId w:val="83"/>
        </w:numPr>
        <w:spacing w:before="120" w:after="120" w:line="360" w:lineRule="auto"/>
        <w:jc w:val="both"/>
        <w:rPr>
          <w:rFonts w:ascii="Arial" w:hAnsi="Arial" w:cs="Arial"/>
        </w:rPr>
      </w:pPr>
      <w:r w:rsidRPr="00C632DB">
        <w:rPr>
          <w:rFonts w:ascii="Arial" w:hAnsi="Arial" w:cs="Arial"/>
        </w:rPr>
        <w:t xml:space="preserve">koszty niezbędne do spełnienia minimalnych warunków określonych w „Wymaganiach dla sieci NGA-POPC”, stanowiących załącznik do dokumentacji konkursowej w zakresie sposobu wypełnienia zobowiązania do realizacji sieci POPC spełniającej co najmniej minimalne warunki techniczne określone w pkt 1 tego dokumentu (np. wydatki na porty optyczne dla połączenia z innymi urządzeniami aktywnymi). </w:t>
      </w:r>
    </w:p>
    <w:p w:rsidR="00DD0F75" w:rsidRPr="00C632DB" w:rsidRDefault="00DD0F75" w:rsidP="00DD0F75">
      <w:pPr>
        <w:autoSpaceDE w:val="0"/>
        <w:autoSpaceDN w:val="0"/>
        <w:adjustRightInd w:val="0"/>
        <w:spacing w:before="120" w:after="120" w:line="360" w:lineRule="auto"/>
        <w:jc w:val="both"/>
        <w:rPr>
          <w:rFonts w:ascii="Arial" w:hAnsi="Arial" w:cs="Arial"/>
        </w:rPr>
      </w:pPr>
      <w:r w:rsidRPr="00C632DB">
        <w:rPr>
          <w:rFonts w:ascii="Arial" w:hAnsi="Arial" w:cs="Arial"/>
        </w:rPr>
        <w:t>Koszty te są kwalifikowalne pod warunkiem spełnienia założeń technicznych projektu określonych we wniosku o dofinansowanie.</w:t>
      </w:r>
    </w:p>
    <w:p w:rsidR="00DD0F75" w:rsidRPr="00C632DB" w:rsidRDefault="00DD0F75" w:rsidP="00DD0F75">
      <w:pPr>
        <w:autoSpaceDE w:val="0"/>
        <w:autoSpaceDN w:val="0"/>
        <w:adjustRightInd w:val="0"/>
        <w:spacing w:before="120" w:after="120" w:line="360" w:lineRule="auto"/>
        <w:jc w:val="both"/>
        <w:rPr>
          <w:rFonts w:ascii="Arial" w:hAnsi="Arial" w:cs="Arial"/>
        </w:rPr>
      </w:pPr>
      <w:r w:rsidRPr="00C632DB">
        <w:rPr>
          <w:rFonts w:ascii="Arial" w:hAnsi="Arial" w:cs="Arial"/>
        </w:rPr>
        <w:t>Wyłączona jest kwalifikowalność urządzeń abonenckich zgodnie z zasadami opisanymi w katalogu kosztów niekwalifikowalnych.</w:t>
      </w:r>
    </w:p>
    <w:p w:rsidR="00DD0F75" w:rsidRPr="00C632DB" w:rsidRDefault="00DD0F75" w:rsidP="00137BC9">
      <w:pPr>
        <w:numPr>
          <w:ilvl w:val="0"/>
          <w:numId w:val="77"/>
        </w:numPr>
        <w:autoSpaceDE w:val="0"/>
        <w:autoSpaceDN w:val="0"/>
        <w:adjustRightInd w:val="0"/>
        <w:spacing w:before="120" w:after="120" w:line="360" w:lineRule="auto"/>
        <w:jc w:val="both"/>
        <w:rPr>
          <w:rFonts w:ascii="Arial" w:hAnsi="Arial" w:cs="Arial"/>
        </w:rPr>
      </w:pPr>
      <w:r w:rsidRPr="00C632DB">
        <w:rPr>
          <w:rFonts w:ascii="Arial" w:hAnsi="Arial" w:cs="Arial"/>
        </w:rPr>
        <w:t>kosztów najmu, dzierżawy lub leasingu pasywnej infrastruktury szerokopasmowej, a także elementów infrastruktury elektroenergetycznej, sanitarnej, wodociągowej oraz kanałów technologicznych, w tym m.in.:</w:t>
      </w:r>
    </w:p>
    <w:p w:rsidR="00DD0F75" w:rsidRPr="00C632DB" w:rsidRDefault="00DD0F75" w:rsidP="00137BC9">
      <w:pPr>
        <w:numPr>
          <w:ilvl w:val="0"/>
          <w:numId w:val="84"/>
        </w:numPr>
        <w:spacing w:before="120" w:after="120" w:line="360" w:lineRule="auto"/>
        <w:jc w:val="both"/>
        <w:rPr>
          <w:rFonts w:ascii="Arial" w:hAnsi="Arial" w:cs="Arial"/>
        </w:rPr>
      </w:pPr>
      <w:r w:rsidRPr="00C632DB">
        <w:rPr>
          <w:rFonts w:ascii="Arial" w:hAnsi="Arial" w:cs="Arial"/>
        </w:rPr>
        <w:t xml:space="preserve">z tytułu współkorzystania lub dostępu do infrastruktury technicznej, o którym mowa w art. 17 </w:t>
      </w:r>
      <w:proofErr w:type="spellStart"/>
      <w:r w:rsidRPr="00C632DB">
        <w:rPr>
          <w:rFonts w:ascii="Arial" w:hAnsi="Arial" w:cs="Arial"/>
        </w:rPr>
        <w:t>megaustawy</w:t>
      </w:r>
      <w:proofErr w:type="spellEnd"/>
      <w:r w:rsidRPr="00C632DB">
        <w:rPr>
          <w:rFonts w:ascii="Arial" w:hAnsi="Arial" w:cs="Arial"/>
        </w:rPr>
        <w:t>;</w:t>
      </w:r>
    </w:p>
    <w:p w:rsidR="00DD0F75" w:rsidRPr="00C632DB" w:rsidRDefault="00DD0F75" w:rsidP="00137BC9">
      <w:pPr>
        <w:numPr>
          <w:ilvl w:val="0"/>
          <w:numId w:val="84"/>
        </w:numPr>
        <w:spacing w:before="120" w:after="120" w:line="360" w:lineRule="auto"/>
        <w:jc w:val="both"/>
        <w:rPr>
          <w:rFonts w:ascii="Arial" w:hAnsi="Arial" w:cs="Arial"/>
        </w:rPr>
      </w:pPr>
      <w:r w:rsidRPr="00C632DB">
        <w:rPr>
          <w:rFonts w:ascii="Arial" w:hAnsi="Arial" w:cs="Arial"/>
        </w:rPr>
        <w:lastRenderedPageBreak/>
        <w:t xml:space="preserve">z tytułu korzystania z urządzeń i obiektów infrastruktury technicznej o którym mowa w art. 35 </w:t>
      </w:r>
      <w:proofErr w:type="spellStart"/>
      <w:r w:rsidRPr="00C632DB">
        <w:rPr>
          <w:rFonts w:ascii="Arial" w:hAnsi="Arial" w:cs="Arial"/>
        </w:rPr>
        <w:t>megaustawy</w:t>
      </w:r>
      <w:proofErr w:type="spellEnd"/>
      <w:r w:rsidRPr="00C632DB">
        <w:rPr>
          <w:rFonts w:ascii="Arial" w:hAnsi="Arial" w:cs="Arial"/>
        </w:rPr>
        <w:t>;</w:t>
      </w:r>
    </w:p>
    <w:p w:rsidR="00DD0F75" w:rsidRPr="00C632DB" w:rsidRDefault="00DD0F75" w:rsidP="00137BC9">
      <w:pPr>
        <w:numPr>
          <w:ilvl w:val="0"/>
          <w:numId w:val="84"/>
        </w:numPr>
        <w:spacing w:before="120" w:after="120" w:line="360" w:lineRule="auto"/>
        <w:jc w:val="both"/>
        <w:rPr>
          <w:rFonts w:ascii="Arial" w:hAnsi="Arial" w:cs="Arial"/>
        </w:rPr>
      </w:pPr>
      <w:r w:rsidRPr="00C632DB">
        <w:rPr>
          <w:rFonts w:ascii="Arial" w:hAnsi="Arial" w:cs="Arial"/>
        </w:rPr>
        <w:t>z tytułu udostępnienia kanałów technologicznych, o których mowa w art. 39 ust. 7 ustawy z dnia 21 marca 1985 r. o drogach publicznych (</w:t>
      </w:r>
      <w:r>
        <w:rPr>
          <w:rFonts w:ascii="Arial" w:hAnsi="Arial" w:cs="Arial"/>
        </w:rPr>
        <w:t>j.t.</w:t>
      </w:r>
      <w:r w:rsidRPr="00C632DB">
        <w:rPr>
          <w:rFonts w:ascii="Arial" w:hAnsi="Arial" w:cs="Arial"/>
        </w:rPr>
        <w:t xml:space="preserve"> Dz. U.  201</w:t>
      </w:r>
      <w:r>
        <w:rPr>
          <w:rFonts w:ascii="Arial" w:hAnsi="Arial" w:cs="Arial"/>
        </w:rPr>
        <w:t>6</w:t>
      </w:r>
      <w:r w:rsidRPr="00C632DB">
        <w:rPr>
          <w:rFonts w:ascii="Arial" w:hAnsi="Arial" w:cs="Arial"/>
        </w:rPr>
        <w:t xml:space="preserve"> r. poz. </w:t>
      </w:r>
      <w:r>
        <w:rPr>
          <w:rFonts w:ascii="Arial" w:hAnsi="Arial" w:cs="Arial"/>
        </w:rPr>
        <w:t>14</w:t>
      </w:r>
      <w:r w:rsidRPr="00C632DB">
        <w:rPr>
          <w:rFonts w:ascii="Arial" w:hAnsi="Arial" w:cs="Arial"/>
        </w:rPr>
        <w:t>40);</w:t>
      </w:r>
    </w:p>
    <w:p w:rsidR="00DD0F75" w:rsidRPr="00C632DB" w:rsidRDefault="00DD0F75" w:rsidP="00137BC9">
      <w:pPr>
        <w:numPr>
          <w:ilvl w:val="0"/>
          <w:numId w:val="84"/>
        </w:numPr>
        <w:spacing w:before="120" w:after="120" w:line="360" w:lineRule="auto"/>
        <w:jc w:val="both"/>
        <w:rPr>
          <w:rFonts w:ascii="Arial" w:hAnsi="Arial" w:cs="Arial"/>
        </w:rPr>
      </w:pPr>
      <w:r w:rsidRPr="00C632DB">
        <w:rPr>
          <w:rFonts w:ascii="Arial" w:hAnsi="Arial" w:cs="Arial"/>
        </w:rPr>
        <w:t xml:space="preserve">z tytułu uzyskania dostępu o którym mowa w art. 139 ustawy </w:t>
      </w:r>
      <w:r w:rsidRPr="00147534">
        <w:rPr>
          <w:rFonts w:ascii="Arial" w:hAnsi="Arial" w:cs="Arial"/>
          <w:i/>
        </w:rPr>
        <w:t>Prawo telekomunikacyjne</w:t>
      </w:r>
      <w:r>
        <w:rPr>
          <w:rFonts w:ascii="Arial" w:hAnsi="Arial" w:cs="Arial"/>
          <w:i/>
        </w:rPr>
        <w:t>.</w:t>
      </w:r>
      <w:r w:rsidRPr="00C632DB">
        <w:rPr>
          <w:rFonts w:ascii="Arial" w:hAnsi="Arial" w:cs="Arial"/>
        </w:rPr>
        <w:t xml:space="preserve"> </w:t>
      </w:r>
    </w:p>
    <w:p w:rsidR="00DD0F75" w:rsidRPr="00C632DB" w:rsidRDefault="00DD0F75" w:rsidP="00DD0F75">
      <w:pPr>
        <w:autoSpaceDE w:val="0"/>
        <w:autoSpaceDN w:val="0"/>
        <w:adjustRightInd w:val="0"/>
        <w:spacing w:before="120" w:after="120" w:line="360" w:lineRule="auto"/>
        <w:jc w:val="both"/>
        <w:rPr>
          <w:rFonts w:ascii="Arial" w:hAnsi="Arial" w:cs="Arial"/>
        </w:rPr>
      </w:pPr>
      <w:r w:rsidRPr="00C632DB">
        <w:rPr>
          <w:rFonts w:ascii="Arial" w:hAnsi="Arial" w:cs="Arial"/>
        </w:rPr>
        <w:t>Koszty te są kwalifikowalne pod warunkiem spełnienia założeń technicznych projektu określonych we wniosku o dofinansowanie.</w:t>
      </w:r>
    </w:p>
    <w:p w:rsidR="00DD0F75" w:rsidRPr="00C632DB" w:rsidRDefault="00DD0F75" w:rsidP="00DD0F75">
      <w:pPr>
        <w:autoSpaceDE w:val="0"/>
        <w:autoSpaceDN w:val="0"/>
        <w:adjustRightInd w:val="0"/>
        <w:spacing w:before="120" w:after="120" w:line="360" w:lineRule="auto"/>
        <w:jc w:val="both"/>
        <w:rPr>
          <w:rFonts w:ascii="Arial" w:hAnsi="Arial" w:cs="Arial"/>
        </w:rPr>
      </w:pPr>
      <w:r w:rsidRPr="00C632DB">
        <w:rPr>
          <w:rFonts w:ascii="Arial" w:hAnsi="Arial" w:cs="Arial"/>
        </w:rPr>
        <w:t>W przypadku najmu, dzierżawy, IRU i innych, niż własność i dzierżawa wieczysta, tytułów prawnych do nieruchomości, koszt jest kwalifikowany pod warunkiem, że umowa została zawarta na okres nie krótszy niż okres trwałości projektu i nie krótszy niż minimalny okres świadczenia hurtowego dostępu określony rozporządzeniem pomocowym dla I osi.</w:t>
      </w:r>
    </w:p>
    <w:p w:rsidR="00DD0F75" w:rsidRPr="00C632DB" w:rsidRDefault="00DD0F75" w:rsidP="00DD0F75">
      <w:pPr>
        <w:autoSpaceDE w:val="0"/>
        <w:autoSpaceDN w:val="0"/>
        <w:adjustRightInd w:val="0"/>
        <w:spacing w:before="120" w:after="120" w:line="360" w:lineRule="auto"/>
        <w:jc w:val="both"/>
        <w:rPr>
          <w:rFonts w:ascii="Arial" w:hAnsi="Arial" w:cs="Arial"/>
        </w:rPr>
      </w:pPr>
      <w:r w:rsidRPr="00C632DB">
        <w:rPr>
          <w:rFonts w:ascii="Arial" w:hAnsi="Arial" w:cs="Arial"/>
        </w:rPr>
        <w:t>Wydatki wynikające z umów lub decyzji w ramach niniejszej kategorii, są kwalifikowalne proporcjonalnie do okresu realizacji projektu, tj. nie są kwalifikowalne wydatki odnoszące się do okresu trwałości i późniejszych.</w:t>
      </w:r>
      <w:r w:rsidR="007449F1">
        <w:rPr>
          <w:rFonts w:ascii="Arial" w:hAnsi="Arial" w:cs="Arial"/>
        </w:rPr>
        <w:t xml:space="preserve"> </w:t>
      </w:r>
      <w:r w:rsidR="007449F1" w:rsidRPr="00445ECC">
        <w:rPr>
          <w:rFonts w:ascii="Arial" w:hAnsi="Arial" w:cs="Arial"/>
        </w:rPr>
        <w:t>Powyższe nie dotyczy wydatków poniesionych w ramach IRU.</w:t>
      </w:r>
    </w:p>
    <w:p w:rsidR="00DD0F75" w:rsidRPr="00C632DB" w:rsidRDefault="00DD0F75" w:rsidP="00DD0F75">
      <w:pPr>
        <w:autoSpaceDE w:val="0"/>
        <w:autoSpaceDN w:val="0"/>
        <w:adjustRightInd w:val="0"/>
        <w:spacing w:before="120" w:after="120" w:line="360" w:lineRule="auto"/>
        <w:jc w:val="both"/>
        <w:rPr>
          <w:rFonts w:ascii="Arial" w:hAnsi="Arial" w:cs="Arial"/>
        </w:rPr>
      </w:pPr>
      <w:r w:rsidRPr="00C632DB">
        <w:rPr>
          <w:rFonts w:ascii="Arial" w:hAnsi="Arial" w:cs="Arial"/>
        </w:rPr>
        <w:t xml:space="preserve">IRU jest kwalifikowalne do wysokości </w:t>
      </w:r>
      <w:r w:rsidR="007449F1">
        <w:rPr>
          <w:rFonts w:ascii="Arial" w:hAnsi="Arial" w:cs="Arial"/>
        </w:rPr>
        <w:t>10</w:t>
      </w:r>
      <w:r w:rsidRPr="00C632DB">
        <w:rPr>
          <w:rFonts w:ascii="Arial" w:hAnsi="Arial" w:cs="Arial"/>
        </w:rPr>
        <w:t>% wydatków kwalifikowalnych projektu</w:t>
      </w:r>
      <w:r w:rsidR="00A27714">
        <w:rPr>
          <w:rFonts w:ascii="Arial" w:hAnsi="Arial" w:cs="Arial"/>
        </w:rPr>
        <w:t xml:space="preserve"> na zasadach określonych w podsekcji 6.12.3.1 </w:t>
      </w:r>
      <w:r w:rsidR="00A27714" w:rsidRPr="00445ECC">
        <w:rPr>
          <w:rFonts w:ascii="Arial" w:hAnsi="Arial" w:cs="Arial"/>
          <w:i/>
        </w:rPr>
        <w:t>Wytycznych</w:t>
      </w:r>
      <w:r w:rsidR="00A27714">
        <w:rPr>
          <w:rFonts w:ascii="Arial" w:hAnsi="Arial" w:cs="Arial"/>
          <w:i/>
        </w:rPr>
        <w:t xml:space="preserve"> </w:t>
      </w:r>
      <w:r w:rsidR="00A27714">
        <w:rPr>
          <w:rFonts w:ascii="Arial" w:hAnsi="Arial" w:cs="Arial"/>
        </w:rPr>
        <w:t xml:space="preserve">oraz niniejszym </w:t>
      </w:r>
      <w:r w:rsidR="00A27714" w:rsidRPr="00445ECC">
        <w:rPr>
          <w:rFonts w:ascii="Arial" w:hAnsi="Arial" w:cs="Arial"/>
          <w:i/>
        </w:rPr>
        <w:t>Katalogu</w:t>
      </w:r>
      <w:r w:rsidRPr="00C632DB">
        <w:rPr>
          <w:rFonts w:ascii="Arial" w:hAnsi="Arial" w:cs="Arial"/>
        </w:rPr>
        <w:t>.</w:t>
      </w:r>
    </w:p>
    <w:p w:rsidR="00DD0F75" w:rsidRPr="00C632DB" w:rsidRDefault="00DD0F75" w:rsidP="00DD0F75">
      <w:pPr>
        <w:autoSpaceDE w:val="0"/>
        <w:autoSpaceDN w:val="0"/>
        <w:adjustRightInd w:val="0"/>
        <w:spacing w:before="120" w:after="120" w:line="360" w:lineRule="auto"/>
        <w:jc w:val="both"/>
        <w:rPr>
          <w:rFonts w:ascii="Arial" w:hAnsi="Arial" w:cs="Arial"/>
        </w:rPr>
      </w:pPr>
      <w:r w:rsidRPr="00C632DB">
        <w:rPr>
          <w:rFonts w:ascii="Arial" w:hAnsi="Arial" w:cs="Arial"/>
        </w:rPr>
        <w:t>Całkowite wydatki kwalifikowalne w ramach tej kategorii wydatków nie mogą przekroczyć 10% wydatków kwalifikowalnych projektu.</w:t>
      </w:r>
    </w:p>
    <w:p w:rsidR="00DD0F75" w:rsidRPr="00C632DB" w:rsidRDefault="00DD0F75" w:rsidP="00137BC9">
      <w:pPr>
        <w:numPr>
          <w:ilvl w:val="0"/>
          <w:numId w:val="77"/>
        </w:numPr>
        <w:autoSpaceDE w:val="0"/>
        <w:autoSpaceDN w:val="0"/>
        <w:adjustRightInd w:val="0"/>
        <w:spacing w:before="120" w:after="120" w:line="360" w:lineRule="auto"/>
        <w:jc w:val="both"/>
        <w:rPr>
          <w:rFonts w:ascii="Arial" w:hAnsi="Arial" w:cs="Arial"/>
        </w:rPr>
      </w:pPr>
      <w:r w:rsidRPr="00C632DB">
        <w:rPr>
          <w:rFonts w:ascii="Arial" w:hAnsi="Arial" w:cs="Arial"/>
        </w:rPr>
        <w:t>kosztów inwestycyjnych budowy sieci NGA, w tym związanych z przebudową i rozbudową podstawowej sieci szerokopasmowej do standardu sieci NGA, w tym w szczególności:</w:t>
      </w:r>
    </w:p>
    <w:p w:rsidR="00DD0F75" w:rsidRPr="00C632DB" w:rsidRDefault="00DD0F75" w:rsidP="00137BC9">
      <w:pPr>
        <w:numPr>
          <w:ilvl w:val="0"/>
          <w:numId w:val="85"/>
        </w:numPr>
        <w:spacing w:before="120" w:after="120" w:line="360" w:lineRule="auto"/>
        <w:jc w:val="both"/>
        <w:rPr>
          <w:rFonts w:ascii="Arial" w:hAnsi="Arial" w:cs="Arial"/>
        </w:rPr>
      </w:pPr>
      <w:r w:rsidRPr="00C632DB">
        <w:rPr>
          <w:rFonts w:ascii="Arial" w:hAnsi="Arial" w:cs="Arial"/>
        </w:rPr>
        <w:t>urządzenia niezbędne dla funkcjonowania sieci telekomunikacyjnej, tj. urządzenia służące do zasilania, wentylacji, klimatyzacji, urządzenia alarmowe służące zabezpieczeniu przed kradzieżą, wandalizmem i włamaniami, urządzenia niezbędne do zapewnienia ochrony przeciwprzepięciowej i odgromowej;</w:t>
      </w:r>
    </w:p>
    <w:p w:rsidR="00DD0F75" w:rsidRPr="00C632DB" w:rsidRDefault="00DD0F75" w:rsidP="00137BC9">
      <w:pPr>
        <w:numPr>
          <w:ilvl w:val="0"/>
          <w:numId w:val="85"/>
        </w:numPr>
        <w:spacing w:before="120" w:after="120" w:line="360" w:lineRule="auto"/>
        <w:jc w:val="both"/>
        <w:rPr>
          <w:rFonts w:ascii="Arial" w:hAnsi="Arial" w:cs="Arial"/>
        </w:rPr>
      </w:pPr>
      <w:r w:rsidRPr="00C632DB">
        <w:rPr>
          <w:rFonts w:ascii="Arial" w:hAnsi="Arial" w:cs="Arial"/>
        </w:rPr>
        <w:t>koszty przyłączenia do sieci elektroenergetycznej lub innej formy zapewnienia zasilania w energię elektryczną.</w:t>
      </w:r>
    </w:p>
    <w:p w:rsidR="00DD0F75" w:rsidRPr="00C632DB" w:rsidRDefault="00DD0F75" w:rsidP="00DD0F75">
      <w:pPr>
        <w:autoSpaceDE w:val="0"/>
        <w:autoSpaceDN w:val="0"/>
        <w:adjustRightInd w:val="0"/>
        <w:spacing w:before="120" w:after="120" w:line="360" w:lineRule="auto"/>
        <w:jc w:val="both"/>
        <w:rPr>
          <w:rFonts w:ascii="Arial" w:hAnsi="Arial" w:cs="Arial"/>
        </w:rPr>
      </w:pPr>
      <w:r w:rsidRPr="00C632DB">
        <w:rPr>
          <w:rFonts w:ascii="Arial" w:hAnsi="Arial" w:cs="Arial"/>
        </w:rPr>
        <w:t>Wyłączona jest kwalifikowalność urządzeń abonenckich zgodnie z zasadami opisanymi w katalogu kosztów niekwalifikowalnych.</w:t>
      </w:r>
    </w:p>
    <w:p w:rsidR="00DD0F75" w:rsidRPr="00C632DB" w:rsidRDefault="00DD0F75" w:rsidP="00137BC9">
      <w:pPr>
        <w:numPr>
          <w:ilvl w:val="0"/>
          <w:numId w:val="77"/>
        </w:numPr>
        <w:autoSpaceDE w:val="0"/>
        <w:autoSpaceDN w:val="0"/>
        <w:adjustRightInd w:val="0"/>
        <w:spacing w:before="120" w:after="120" w:line="360" w:lineRule="auto"/>
        <w:jc w:val="both"/>
        <w:rPr>
          <w:rFonts w:ascii="Arial" w:hAnsi="Arial" w:cs="Arial"/>
        </w:rPr>
      </w:pPr>
      <w:r w:rsidRPr="00C632DB">
        <w:rPr>
          <w:rFonts w:ascii="Arial" w:hAnsi="Arial" w:cs="Arial"/>
        </w:rPr>
        <w:t>kosztów nabycia wartości niematerialnych i prawnych:</w:t>
      </w:r>
    </w:p>
    <w:p w:rsidR="00DD0F75" w:rsidRPr="00C632DB" w:rsidRDefault="00DD0F75" w:rsidP="00137BC9">
      <w:pPr>
        <w:numPr>
          <w:ilvl w:val="0"/>
          <w:numId w:val="86"/>
        </w:numPr>
        <w:spacing w:before="120" w:after="120" w:line="360" w:lineRule="auto"/>
        <w:jc w:val="both"/>
        <w:rPr>
          <w:rFonts w:ascii="Arial" w:hAnsi="Arial" w:cs="Arial"/>
        </w:rPr>
      </w:pPr>
      <w:r w:rsidRPr="00C632DB">
        <w:rPr>
          <w:rFonts w:ascii="Arial" w:hAnsi="Arial" w:cs="Arial"/>
        </w:rPr>
        <w:lastRenderedPageBreak/>
        <w:t>wraz z kosztem instalacji (wdrożenia), do łącznej wysokości 5% wartości kosztów kwalifikowanych projektu;</w:t>
      </w:r>
    </w:p>
    <w:p w:rsidR="00DD0F75" w:rsidRPr="00C632DB" w:rsidRDefault="00DD0F75" w:rsidP="00137BC9">
      <w:pPr>
        <w:numPr>
          <w:ilvl w:val="0"/>
          <w:numId w:val="86"/>
        </w:numPr>
        <w:spacing w:before="120" w:after="120" w:line="360" w:lineRule="auto"/>
        <w:jc w:val="both"/>
        <w:rPr>
          <w:rFonts w:ascii="Arial" w:hAnsi="Arial" w:cs="Arial"/>
        </w:rPr>
      </w:pPr>
      <w:r w:rsidRPr="00C632DB">
        <w:rPr>
          <w:rFonts w:ascii="Arial" w:hAnsi="Arial" w:cs="Arial"/>
        </w:rPr>
        <w:t>amortyzacja wartości niematerialnych z zachowaniem zasad ogólnych dotyczących amortyzacji danego rodzaju wartości niematerialnych w zakresie i w czasie, w jakim są one wykorzystywane do realizacji projektu.</w:t>
      </w:r>
    </w:p>
    <w:p w:rsidR="00DD0F75" w:rsidRDefault="00DD0F75" w:rsidP="00DD0F75">
      <w:pPr>
        <w:autoSpaceDE w:val="0"/>
        <w:autoSpaceDN w:val="0"/>
        <w:adjustRightInd w:val="0"/>
        <w:spacing w:before="120" w:after="120" w:line="360" w:lineRule="auto"/>
        <w:jc w:val="both"/>
        <w:rPr>
          <w:rFonts w:ascii="Arial" w:hAnsi="Arial" w:cs="Arial"/>
        </w:rPr>
      </w:pPr>
      <w:r w:rsidRPr="00C632DB">
        <w:rPr>
          <w:rFonts w:ascii="Arial" w:hAnsi="Arial" w:cs="Arial"/>
        </w:rPr>
        <w:t xml:space="preserve">Wydatki te są kwalifikowalne z uwzględnieniem przyjętych założeń technicznych projektu określonych we wniosku o dofinansowanie. </w:t>
      </w:r>
    </w:p>
    <w:p w:rsidR="00D64366" w:rsidRPr="00147534" w:rsidRDefault="00D64366" w:rsidP="00230A42">
      <w:pPr>
        <w:spacing w:before="120" w:after="120" w:line="360" w:lineRule="auto"/>
        <w:jc w:val="both"/>
        <w:rPr>
          <w:rFonts w:ascii="Arial" w:hAnsi="Arial" w:cs="Arial"/>
        </w:rPr>
      </w:pPr>
    </w:p>
    <w:p w:rsidR="00DD0F75" w:rsidRPr="00147534" w:rsidRDefault="00DD0F75" w:rsidP="00DD0F75">
      <w:pPr>
        <w:pStyle w:val="Nagwek2"/>
        <w:numPr>
          <w:ilvl w:val="2"/>
          <w:numId w:val="1"/>
        </w:numPr>
        <w:spacing w:before="240" w:after="60" w:line="360" w:lineRule="auto"/>
        <w:jc w:val="center"/>
        <w:rPr>
          <w:rFonts w:ascii="Arial" w:hAnsi="Arial" w:cs="Arial"/>
          <w:b w:val="0"/>
          <w:i/>
          <w:color w:val="auto"/>
          <w:sz w:val="24"/>
          <w:szCs w:val="24"/>
        </w:rPr>
      </w:pPr>
      <w:bookmarkStart w:id="138" w:name="_Toc508630130"/>
      <w:r w:rsidRPr="00147534">
        <w:rPr>
          <w:rFonts w:ascii="Arial" w:hAnsi="Arial" w:cs="Arial"/>
          <w:b w:val="0"/>
          <w:i/>
          <w:color w:val="auto"/>
          <w:sz w:val="24"/>
          <w:szCs w:val="24"/>
        </w:rPr>
        <w:t xml:space="preserve">Kwalifikowalność wydatków w ramach pomocy de </w:t>
      </w:r>
      <w:proofErr w:type="spellStart"/>
      <w:r w:rsidRPr="00147534">
        <w:rPr>
          <w:rFonts w:ascii="Arial" w:hAnsi="Arial" w:cs="Arial"/>
          <w:b w:val="0"/>
          <w:i/>
          <w:color w:val="auto"/>
          <w:sz w:val="24"/>
          <w:szCs w:val="24"/>
        </w:rPr>
        <w:t>minimis</w:t>
      </w:r>
      <w:bookmarkEnd w:id="138"/>
      <w:proofErr w:type="spellEnd"/>
    </w:p>
    <w:p w:rsidR="00DD0F75" w:rsidRPr="00DF65A1" w:rsidRDefault="00DD0F75" w:rsidP="00DD0F75">
      <w:pPr>
        <w:autoSpaceDE w:val="0"/>
        <w:autoSpaceDN w:val="0"/>
        <w:adjustRightInd w:val="0"/>
        <w:spacing w:before="120" w:after="120" w:line="360" w:lineRule="auto"/>
        <w:jc w:val="both"/>
        <w:rPr>
          <w:rFonts w:ascii="Arial" w:hAnsi="Arial" w:cs="Arial"/>
        </w:rPr>
      </w:pPr>
      <w:r w:rsidRPr="00DF65A1">
        <w:rPr>
          <w:rFonts w:ascii="Arial" w:hAnsi="Arial" w:cs="Arial"/>
        </w:rPr>
        <w:t xml:space="preserve">Do wydatków kwalifikujących się do objęcia wsparciem w ramach pomocy </w:t>
      </w:r>
      <w:r w:rsidRPr="00147534">
        <w:rPr>
          <w:rFonts w:ascii="Arial" w:hAnsi="Arial" w:cs="Arial"/>
          <w:i/>
        </w:rPr>
        <w:t xml:space="preserve">de </w:t>
      </w:r>
      <w:proofErr w:type="spellStart"/>
      <w:r w:rsidRPr="00147534">
        <w:rPr>
          <w:rFonts w:ascii="Arial" w:hAnsi="Arial" w:cs="Arial"/>
          <w:i/>
        </w:rPr>
        <w:t>minimis</w:t>
      </w:r>
      <w:proofErr w:type="spellEnd"/>
      <w:r w:rsidRPr="00DF65A1">
        <w:rPr>
          <w:rFonts w:ascii="Arial" w:hAnsi="Arial" w:cs="Arial"/>
        </w:rPr>
        <w:t xml:space="preserve"> udzielanej na podstawie Rozporządzenia Komisji (UE) nr 1407/2013 zalicza się wydatki na:</w:t>
      </w:r>
    </w:p>
    <w:p w:rsidR="00DD0F75" w:rsidRPr="00DF65A1" w:rsidRDefault="00DD0F75" w:rsidP="00A03923">
      <w:pPr>
        <w:numPr>
          <w:ilvl w:val="0"/>
          <w:numId w:val="103"/>
        </w:numPr>
        <w:autoSpaceDE w:val="0"/>
        <w:autoSpaceDN w:val="0"/>
        <w:adjustRightInd w:val="0"/>
        <w:spacing w:before="120" w:after="120" w:line="360" w:lineRule="auto"/>
        <w:jc w:val="both"/>
        <w:rPr>
          <w:rFonts w:ascii="Arial" w:hAnsi="Arial" w:cs="Arial"/>
        </w:rPr>
      </w:pPr>
      <w:r w:rsidRPr="00DF65A1">
        <w:rPr>
          <w:rFonts w:ascii="Arial" w:hAnsi="Arial" w:cs="Arial"/>
        </w:rPr>
        <w:t>opłaty publicznoprawne związane z przygotowaniem i realizacją projektu, w szczególności za wydanie decyzji, zgód, zezwoleń, w tym m.in.:</w:t>
      </w:r>
    </w:p>
    <w:p w:rsidR="00DD0F75" w:rsidRPr="00DF65A1" w:rsidRDefault="00DD0F75" w:rsidP="00137BC9">
      <w:pPr>
        <w:numPr>
          <w:ilvl w:val="0"/>
          <w:numId w:val="67"/>
        </w:numPr>
        <w:spacing w:before="120" w:after="120" w:line="360" w:lineRule="auto"/>
        <w:jc w:val="both"/>
        <w:rPr>
          <w:rFonts w:ascii="Arial" w:hAnsi="Arial" w:cs="Arial"/>
        </w:rPr>
      </w:pPr>
      <w:r w:rsidRPr="00DF65A1">
        <w:rPr>
          <w:rFonts w:ascii="Arial" w:hAnsi="Arial" w:cs="Arial"/>
        </w:rPr>
        <w:t>opłaty związane z zajęciem pasa drogowego w celu prowadzenia robót w pasie drogowym,</w:t>
      </w:r>
    </w:p>
    <w:p w:rsidR="00DD0F75" w:rsidRPr="00DF65A1" w:rsidRDefault="00DD0F75" w:rsidP="00137BC9">
      <w:pPr>
        <w:numPr>
          <w:ilvl w:val="0"/>
          <w:numId w:val="67"/>
        </w:numPr>
        <w:spacing w:before="120" w:after="120" w:line="360" w:lineRule="auto"/>
        <w:jc w:val="both"/>
        <w:rPr>
          <w:rFonts w:ascii="Arial" w:hAnsi="Arial" w:cs="Arial"/>
        </w:rPr>
      </w:pPr>
      <w:r w:rsidRPr="00DF65A1">
        <w:rPr>
          <w:rFonts w:ascii="Arial" w:hAnsi="Arial" w:cs="Arial"/>
        </w:rPr>
        <w:t>opłaty związane z uzyskaniem pozwolenia na budowę</w:t>
      </w:r>
      <w:r>
        <w:rPr>
          <w:rFonts w:ascii="Arial" w:hAnsi="Arial" w:cs="Arial"/>
        </w:rPr>
        <w:t>,</w:t>
      </w:r>
    </w:p>
    <w:p w:rsidR="00DD0F75" w:rsidRPr="00DF65A1" w:rsidRDefault="00DD0F75" w:rsidP="00DD0F75">
      <w:pPr>
        <w:autoSpaceDE w:val="0"/>
        <w:autoSpaceDN w:val="0"/>
        <w:adjustRightInd w:val="0"/>
        <w:spacing w:before="120" w:after="120" w:line="360" w:lineRule="auto"/>
        <w:jc w:val="both"/>
        <w:rPr>
          <w:rFonts w:ascii="Arial" w:hAnsi="Arial" w:cs="Arial"/>
        </w:rPr>
      </w:pPr>
      <w:r w:rsidRPr="00DF65A1">
        <w:rPr>
          <w:rFonts w:ascii="Arial" w:hAnsi="Arial" w:cs="Arial"/>
        </w:rPr>
        <w:t>- wydatki te są niekwalifikowalne, jeśli stanowią karę za naruszenie obowiązujących przepisów prawa;</w:t>
      </w:r>
    </w:p>
    <w:p w:rsidR="00DD0F75" w:rsidRPr="00DF65A1" w:rsidRDefault="00DD0F75" w:rsidP="00A03923">
      <w:pPr>
        <w:numPr>
          <w:ilvl w:val="0"/>
          <w:numId w:val="103"/>
        </w:numPr>
        <w:autoSpaceDE w:val="0"/>
        <w:autoSpaceDN w:val="0"/>
        <w:adjustRightInd w:val="0"/>
        <w:spacing w:before="120" w:after="120" w:line="360" w:lineRule="auto"/>
        <w:jc w:val="both"/>
        <w:rPr>
          <w:rFonts w:ascii="Arial" w:hAnsi="Arial" w:cs="Arial"/>
        </w:rPr>
      </w:pPr>
      <w:r w:rsidRPr="00DF65A1">
        <w:rPr>
          <w:rFonts w:ascii="Arial" w:hAnsi="Arial" w:cs="Arial"/>
        </w:rPr>
        <w:t xml:space="preserve">dokumentację powykonawczą w rozumieniu  </w:t>
      </w:r>
      <w:r>
        <w:rPr>
          <w:rFonts w:ascii="Arial" w:hAnsi="Arial" w:cs="Arial"/>
        </w:rPr>
        <w:t>-</w:t>
      </w:r>
      <w:r w:rsidRPr="00DF65A1">
        <w:rPr>
          <w:rFonts w:ascii="Arial" w:hAnsi="Arial" w:cs="Arial"/>
        </w:rPr>
        <w:t xml:space="preserve"> </w:t>
      </w:r>
      <w:r w:rsidRPr="00DF65A1">
        <w:rPr>
          <w:rFonts w:ascii="Arial" w:hAnsi="Arial" w:cs="Arial"/>
          <w:i/>
        </w:rPr>
        <w:t>Praw</w:t>
      </w:r>
      <w:r>
        <w:rPr>
          <w:rFonts w:ascii="Arial" w:hAnsi="Arial" w:cs="Arial"/>
          <w:i/>
        </w:rPr>
        <w:t>a</w:t>
      </w:r>
      <w:r w:rsidRPr="00DF65A1">
        <w:rPr>
          <w:rFonts w:ascii="Arial" w:hAnsi="Arial" w:cs="Arial"/>
          <w:i/>
        </w:rPr>
        <w:t xml:space="preserve"> budowlane</w:t>
      </w:r>
      <w:r>
        <w:rPr>
          <w:rFonts w:ascii="Arial" w:hAnsi="Arial" w:cs="Arial"/>
          <w:i/>
        </w:rPr>
        <w:t>go</w:t>
      </w:r>
      <w:r w:rsidRPr="00DF65A1">
        <w:rPr>
          <w:rFonts w:ascii="Arial" w:hAnsi="Arial" w:cs="Arial"/>
        </w:rPr>
        <w:t>;</w:t>
      </w:r>
    </w:p>
    <w:p w:rsidR="00DD0F75" w:rsidRPr="00DF65A1" w:rsidRDefault="00DD0F75" w:rsidP="00A03923">
      <w:pPr>
        <w:numPr>
          <w:ilvl w:val="0"/>
          <w:numId w:val="103"/>
        </w:numPr>
        <w:autoSpaceDE w:val="0"/>
        <w:autoSpaceDN w:val="0"/>
        <w:adjustRightInd w:val="0"/>
        <w:spacing w:before="120" w:after="120" w:line="360" w:lineRule="auto"/>
        <w:jc w:val="both"/>
        <w:rPr>
          <w:rFonts w:ascii="Arial" w:hAnsi="Arial" w:cs="Arial"/>
        </w:rPr>
      </w:pPr>
      <w:r w:rsidRPr="00DF65A1">
        <w:rPr>
          <w:rFonts w:ascii="Arial" w:hAnsi="Arial" w:cs="Arial"/>
        </w:rPr>
        <w:t>obsługę instrumentów zabezpieczających realizację umowy o udzielenie wsparcia</w:t>
      </w:r>
      <w:r w:rsidRPr="00DF65A1">
        <w:rPr>
          <w:rFonts w:ascii="Arial" w:hAnsi="Arial" w:cs="Arial"/>
          <w:vertAlign w:val="superscript"/>
        </w:rPr>
        <w:footnoteReference w:id="25"/>
      </w:r>
      <w:r w:rsidRPr="00DF65A1">
        <w:rPr>
          <w:rFonts w:ascii="Arial" w:hAnsi="Arial" w:cs="Arial"/>
        </w:rPr>
        <w:t>, określonych w umowie o udzielenie wsparcia;</w:t>
      </w:r>
    </w:p>
    <w:p w:rsidR="00DD0F75" w:rsidRPr="00DB5FC3" w:rsidRDefault="00DD0F75" w:rsidP="00A03923">
      <w:pPr>
        <w:numPr>
          <w:ilvl w:val="0"/>
          <w:numId w:val="103"/>
        </w:numPr>
        <w:autoSpaceDE w:val="0"/>
        <w:autoSpaceDN w:val="0"/>
        <w:adjustRightInd w:val="0"/>
        <w:spacing w:before="120" w:after="120" w:line="360" w:lineRule="auto"/>
        <w:jc w:val="both"/>
        <w:rPr>
          <w:rFonts w:ascii="Arial" w:hAnsi="Arial" w:cs="Arial"/>
        </w:rPr>
      </w:pPr>
      <w:r w:rsidRPr="00DF65A1">
        <w:rPr>
          <w:rFonts w:ascii="Arial" w:hAnsi="Arial" w:cs="Arial"/>
        </w:rPr>
        <w:t xml:space="preserve">wydatki związane z przygotowaniem projektu w zakresie w jakim są niezbędne do złożenia wniosku o dofinansowanie, do kwoty nieprzekraczającej 20 tys. zł oraz </w:t>
      </w:r>
      <w:r w:rsidRPr="00DB5FC3">
        <w:rPr>
          <w:rFonts w:ascii="Arial" w:hAnsi="Arial" w:cs="Arial"/>
        </w:rPr>
        <w:t>poniesione nie wcześniej niż 3 miesiące przed dniem złożenia tego wniosku, dotyczące:</w:t>
      </w:r>
    </w:p>
    <w:p w:rsidR="00DD0F75" w:rsidRPr="00DB5FC3" w:rsidRDefault="00DD0F75" w:rsidP="00137BC9">
      <w:pPr>
        <w:numPr>
          <w:ilvl w:val="0"/>
          <w:numId w:val="68"/>
        </w:numPr>
        <w:spacing w:before="120" w:after="120" w:line="360" w:lineRule="auto"/>
        <w:jc w:val="both"/>
        <w:rPr>
          <w:rFonts w:ascii="Arial" w:hAnsi="Arial" w:cs="Arial"/>
        </w:rPr>
      </w:pPr>
      <w:r w:rsidRPr="00DB5FC3">
        <w:rPr>
          <w:rFonts w:ascii="Arial" w:hAnsi="Arial" w:cs="Arial"/>
        </w:rPr>
        <w:t xml:space="preserve">dokumentacji projektowej </w:t>
      </w:r>
    </w:p>
    <w:p w:rsidR="00DD0F75" w:rsidRPr="00906D5B" w:rsidRDefault="00DD0F75" w:rsidP="00137BC9">
      <w:pPr>
        <w:numPr>
          <w:ilvl w:val="0"/>
          <w:numId w:val="68"/>
        </w:numPr>
        <w:spacing w:before="120" w:after="120" w:line="360" w:lineRule="auto"/>
        <w:jc w:val="both"/>
        <w:rPr>
          <w:rFonts w:ascii="Arial" w:hAnsi="Arial" w:cs="Arial"/>
        </w:rPr>
      </w:pPr>
      <w:r w:rsidRPr="009C4ADD">
        <w:rPr>
          <w:rFonts w:ascii="Arial" w:hAnsi="Arial" w:cs="Arial"/>
        </w:rPr>
        <w:t>dokumentacji</w:t>
      </w:r>
      <w:r w:rsidRPr="00906D5B">
        <w:rPr>
          <w:rFonts w:ascii="Arial" w:hAnsi="Arial" w:cs="Arial"/>
        </w:rPr>
        <w:t xml:space="preserve"> technicznej, </w:t>
      </w:r>
    </w:p>
    <w:p w:rsidR="00DD0F75" w:rsidRPr="00B7472D" w:rsidRDefault="00DD0F75" w:rsidP="00137BC9">
      <w:pPr>
        <w:numPr>
          <w:ilvl w:val="0"/>
          <w:numId w:val="68"/>
        </w:numPr>
        <w:spacing w:before="120" w:after="120" w:line="360" w:lineRule="auto"/>
        <w:jc w:val="both"/>
        <w:rPr>
          <w:rFonts w:ascii="Arial" w:hAnsi="Arial" w:cs="Arial"/>
        </w:rPr>
      </w:pPr>
      <w:r w:rsidRPr="00906D5B">
        <w:rPr>
          <w:rFonts w:ascii="Arial" w:hAnsi="Arial" w:cs="Arial"/>
        </w:rPr>
        <w:t xml:space="preserve">studium wykonalności lub </w:t>
      </w:r>
      <w:r w:rsidRPr="00B7472D">
        <w:rPr>
          <w:rFonts w:ascii="Arial" w:hAnsi="Arial" w:cs="Arial"/>
        </w:rPr>
        <w:t>innego dokumentu określonego w dokumentacji konkursowej  w zależności od tego jaki dokument jest wymagany,</w:t>
      </w:r>
    </w:p>
    <w:p w:rsidR="00DD0F75" w:rsidRPr="00B7472D" w:rsidRDefault="00DD0F75" w:rsidP="00137BC9">
      <w:pPr>
        <w:numPr>
          <w:ilvl w:val="0"/>
          <w:numId w:val="68"/>
        </w:numPr>
        <w:spacing w:before="120" w:after="120" w:line="360" w:lineRule="auto"/>
        <w:jc w:val="both"/>
        <w:rPr>
          <w:rFonts w:ascii="Arial" w:hAnsi="Arial" w:cs="Arial"/>
        </w:rPr>
      </w:pPr>
      <w:r w:rsidRPr="00B7472D">
        <w:rPr>
          <w:rFonts w:ascii="Arial" w:hAnsi="Arial" w:cs="Arial"/>
        </w:rPr>
        <w:t xml:space="preserve">map lub szkiców sytuujących projekt, </w:t>
      </w:r>
    </w:p>
    <w:p w:rsidR="00DD0F75" w:rsidRPr="00DF65A1" w:rsidRDefault="00DD0F75" w:rsidP="00DD0F75">
      <w:pPr>
        <w:autoSpaceDE w:val="0"/>
        <w:autoSpaceDN w:val="0"/>
        <w:adjustRightInd w:val="0"/>
        <w:spacing w:before="120" w:after="120" w:line="360" w:lineRule="auto"/>
        <w:jc w:val="both"/>
        <w:rPr>
          <w:rFonts w:ascii="Arial" w:hAnsi="Arial" w:cs="Arial"/>
        </w:rPr>
      </w:pPr>
      <w:r w:rsidRPr="00D103D8">
        <w:rPr>
          <w:rFonts w:ascii="Arial" w:hAnsi="Arial" w:cs="Arial"/>
        </w:rPr>
        <w:t xml:space="preserve">- z </w:t>
      </w:r>
      <w:r w:rsidRPr="00DF65A1">
        <w:rPr>
          <w:rFonts w:ascii="Arial" w:hAnsi="Arial" w:cs="Arial"/>
        </w:rPr>
        <w:t>wyjątkiem wydatków związanych z wypełnieniem formularza wniosku o dofinansowanie.</w:t>
      </w:r>
    </w:p>
    <w:p w:rsidR="00DD0F75" w:rsidRDefault="00DD0F75" w:rsidP="00DD0F75">
      <w:pPr>
        <w:pStyle w:val="Nagwek2"/>
        <w:numPr>
          <w:ilvl w:val="2"/>
          <w:numId w:val="1"/>
        </w:numPr>
        <w:spacing w:before="240" w:after="60" w:line="360" w:lineRule="auto"/>
        <w:jc w:val="center"/>
        <w:rPr>
          <w:rFonts w:ascii="Arial" w:hAnsi="Arial" w:cs="Arial"/>
          <w:b w:val="0"/>
          <w:i/>
          <w:color w:val="auto"/>
          <w:sz w:val="24"/>
          <w:szCs w:val="24"/>
        </w:rPr>
      </w:pPr>
      <w:bookmarkStart w:id="139" w:name="_Toc508630131"/>
      <w:r w:rsidRPr="00DB5FC3">
        <w:rPr>
          <w:rFonts w:ascii="Arial" w:hAnsi="Arial" w:cs="Arial"/>
          <w:b w:val="0"/>
          <w:i/>
          <w:color w:val="auto"/>
          <w:sz w:val="24"/>
          <w:szCs w:val="24"/>
        </w:rPr>
        <w:lastRenderedPageBreak/>
        <w:t>Wydatki niekwalifikowalne</w:t>
      </w:r>
      <w:bookmarkEnd w:id="139"/>
    </w:p>
    <w:p w:rsidR="00DD0F75" w:rsidRPr="006101E2" w:rsidRDefault="00DD0F75" w:rsidP="00DD0F75">
      <w:pPr>
        <w:autoSpaceDE w:val="0"/>
        <w:autoSpaceDN w:val="0"/>
        <w:adjustRightInd w:val="0"/>
        <w:spacing w:before="120" w:after="120" w:line="360" w:lineRule="auto"/>
        <w:jc w:val="both"/>
        <w:rPr>
          <w:rFonts w:ascii="Arial" w:hAnsi="Arial" w:cs="Arial"/>
        </w:rPr>
      </w:pPr>
      <w:r w:rsidRPr="006101E2">
        <w:rPr>
          <w:rFonts w:ascii="Arial" w:hAnsi="Arial" w:cs="Arial"/>
        </w:rPr>
        <w:t>Za niekwalifikowalne uznaje się wydatki określone w ramach poniższych kategorii:</w:t>
      </w:r>
    </w:p>
    <w:p w:rsidR="00DD0F75" w:rsidRPr="006101E2" w:rsidRDefault="00DD0F75" w:rsidP="00A03923">
      <w:pPr>
        <w:numPr>
          <w:ilvl w:val="0"/>
          <w:numId w:val="104"/>
        </w:numPr>
        <w:autoSpaceDE w:val="0"/>
        <w:autoSpaceDN w:val="0"/>
        <w:adjustRightInd w:val="0"/>
        <w:spacing w:before="120" w:after="120" w:line="360" w:lineRule="auto"/>
        <w:jc w:val="both"/>
        <w:rPr>
          <w:rFonts w:ascii="Arial" w:hAnsi="Arial" w:cs="Arial"/>
        </w:rPr>
      </w:pPr>
      <w:r w:rsidRPr="006101E2">
        <w:rPr>
          <w:rFonts w:ascii="Arial" w:hAnsi="Arial" w:cs="Arial"/>
        </w:rPr>
        <w:t>Wszelkie wydatki dotyczące aktywnych elementów sieci umieszczanych lub instalowanych w budynkach</w:t>
      </w:r>
      <w:r>
        <w:rPr>
          <w:rFonts w:ascii="Arial" w:hAnsi="Arial" w:cs="Arial"/>
        </w:rPr>
        <w:t xml:space="preserve">, </w:t>
      </w:r>
      <w:r w:rsidRPr="00846494">
        <w:rPr>
          <w:rFonts w:ascii="Arial" w:hAnsi="Arial" w:cs="Arial"/>
        </w:rPr>
        <w:t xml:space="preserve">z wyjątkiem wydatków na urządzenia aktywne umieszczonych </w:t>
      </w:r>
      <w:r>
        <w:rPr>
          <w:rFonts w:ascii="Arial" w:hAnsi="Arial" w:cs="Arial"/>
        </w:rPr>
        <w:t xml:space="preserve">na terenie i w budynkach placówek wchodzących w skład systemu oświaty, o których mowa w art. 2 ustawy z dnia 7 września 1991 r. o systemie oświaty (j.t. Dz. U. 2016 r., poz. 1943) wskazanych w dokumentacji konkursowej dla obszaru na którym realizowany będzie projekt, lub </w:t>
      </w:r>
      <w:r w:rsidRPr="00846494">
        <w:rPr>
          <w:rFonts w:ascii="Arial" w:hAnsi="Arial" w:cs="Arial"/>
        </w:rPr>
        <w:t>w pomieszczeniu budynku wielorodzinnego, o którym mowa § 192f ust. 1 pkt 1 rozporządzenia Ministra Infrastruktury z dnia 12 kwietnia 2002 r. w sprawie warunków technicznych jakim powinny odpowiadać budynki i ich usytuowanie.</w:t>
      </w:r>
      <w:r w:rsidRPr="006101E2">
        <w:rPr>
          <w:rFonts w:ascii="Arial" w:hAnsi="Arial" w:cs="Arial"/>
        </w:rPr>
        <w:t xml:space="preserve"> </w:t>
      </w:r>
      <w:r>
        <w:rPr>
          <w:rFonts w:ascii="Arial" w:hAnsi="Arial" w:cs="Arial"/>
        </w:rPr>
        <w:t xml:space="preserve"> </w:t>
      </w:r>
      <w:r w:rsidRPr="006101E2">
        <w:rPr>
          <w:rFonts w:ascii="Arial" w:hAnsi="Arial" w:cs="Arial"/>
        </w:rPr>
        <w:t xml:space="preserve">W szczególności dotyczy to wydatków ponoszonych na wszelkie formy nabycia, wytworzenia, zakupu, dzierżawy, najmu lub instalacji urządzeń abonenckich. Urządzeniem abonenckim są w tym rozumieniu urządzenia telekomunikacyjne (a także telekomunikacyjne urządzenia końcowe), w tym np. aktywne elementy stanowiące zakończenie sieci, modemy i routery wyposażone np. w porty, złącza, bramki VoIP czy interfejsy bezprzewodowe, stanowiące dla użytkownika końcowego bezpośredni punkt służący do podłączenia wykorzystywanych w jego lokalizacji urządzeń (rozumianych jako komputery osobiste, laptopy, tablety, smartphone i inne tego typu) takie jak np. ONT, modemy </w:t>
      </w:r>
      <w:proofErr w:type="spellStart"/>
      <w:r w:rsidRPr="006101E2">
        <w:rPr>
          <w:rFonts w:ascii="Arial" w:hAnsi="Arial" w:cs="Arial"/>
        </w:rPr>
        <w:t>xDSL</w:t>
      </w:r>
      <w:proofErr w:type="spellEnd"/>
      <w:r w:rsidRPr="006101E2">
        <w:rPr>
          <w:rFonts w:ascii="Arial" w:hAnsi="Arial" w:cs="Arial"/>
        </w:rPr>
        <w:t>, DOCSIS oraz stosowane w sieciach bezprzewodowych, niezależnie czy przedmiotowe urządzenie abonenckie zostanie zlokalizowane w lokalu potencjalnego użytkownika końcowego czy poza nim. Wszelkie wydatki dotyczące różnego rodzaju urządzeń elektronicznych służących bezpośrednio użytkownikom końcowym, tj. laptopy, komputery osobiste, telefony, smartfony, tablety itp.</w:t>
      </w:r>
    </w:p>
    <w:p w:rsidR="00DD0F75" w:rsidRPr="006101E2" w:rsidRDefault="00DD0F75" w:rsidP="00A03923">
      <w:pPr>
        <w:numPr>
          <w:ilvl w:val="0"/>
          <w:numId w:val="104"/>
        </w:numPr>
        <w:spacing w:before="120" w:after="120" w:line="360" w:lineRule="auto"/>
        <w:jc w:val="both"/>
        <w:rPr>
          <w:rFonts w:ascii="Arial" w:hAnsi="Arial" w:cs="Arial"/>
        </w:rPr>
      </w:pPr>
      <w:r w:rsidRPr="006101E2">
        <w:rPr>
          <w:rFonts w:ascii="Arial" w:hAnsi="Arial" w:cs="Arial"/>
        </w:rPr>
        <w:t>Dla projektów realizowanych w obszarze zabudowy:</w:t>
      </w:r>
    </w:p>
    <w:p w:rsidR="00DD0F75" w:rsidRPr="00846494" w:rsidRDefault="00DD0F75" w:rsidP="00137BC9">
      <w:pPr>
        <w:numPr>
          <w:ilvl w:val="0"/>
          <w:numId w:val="92"/>
        </w:numPr>
        <w:spacing w:before="120" w:after="120" w:line="360" w:lineRule="auto"/>
        <w:jc w:val="both"/>
        <w:rPr>
          <w:rFonts w:ascii="Arial" w:hAnsi="Arial" w:cs="Arial"/>
        </w:rPr>
      </w:pPr>
      <w:r w:rsidRPr="006101E2">
        <w:rPr>
          <w:rFonts w:ascii="Arial" w:hAnsi="Arial" w:cs="Arial"/>
        </w:rPr>
        <w:t xml:space="preserve">jednorodzinnej - za niekwalifikowalne uznaje się wydatki na </w:t>
      </w:r>
      <w:r w:rsidRPr="00846494">
        <w:rPr>
          <w:rFonts w:ascii="Arial" w:hAnsi="Arial" w:cs="Arial"/>
        </w:rPr>
        <w:t>realizację odcinka linii kablowych i ich duktów od granicy działki ewidencyjnej, na której usytuowany jest budynek, w którym znajduje się zakończenie tego odcinka</w:t>
      </w:r>
      <w:r>
        <w:rPr>
          <w:rFonts w:ascii="Arial" w:hAnsi="Arial" w:cs="Arial"/>
        </w:rPr>
        <w:t>,</w:t>
      </w:r>
      <w:r w:rsidRPr="00846494">
        <w:rPr>
          <w:rFonts w:ascii="Arial" w:hAnsi="Arial" w:cs="Arial"/>
        </w:rPr>
        <w:t xml:space="preserve"> aż do zakończenia sieci,</w:t>
      </w:r>
    </w:p>
    <w:p w:rsidR="00DD0F75" w:rsidRPr="006101E2" w:rsidRDefault="00DD0F75" w:rsidP="00137BC9">
      <w:pPr>
        <w:numPr>
          <w:ilvl w:val="0"/>
          <w:numId w:val="92"/>
        </w:numPr>
        <w:spacing w:before="120" w:after="120" w:line="360" w:lineRule="auto"/>
        <w:jc w:val="both"/>
        <w:rPr>
          <w:rFonts w:ascii="Arial" w:hAnsi="Arial" w:cs="Arial"/>
        </w:rPr>
      </w:pPr>
      <w:r w:rsidRPr="006101E2">
        <w:rPr>
          <w:rFonts w:ascii="Arial" w:hAnsi="Arial" w:cs="Arial"/>
        </w:rPr>
        <w:t>wielorodzinnej - za niekwalifikowalne uznaje się wydatki na realizację</w:t>
      </w:r>
      <w:r>
        <w:rPr>
          <w:rFonts w:ascii="Arial" w:hAnsi="Arial" w:cs="Arial"/>
        </w:rPr>
        <w:t xml:space="preserve"> instalacji </w:t>
      </w:r>
      <w:r w:rsidRPr="00846494">
        <w:rPr>
          <w:rFonts w:ascii="Arial" w:hAnsi="Arial" w:cs="Arial"/>
        </w:rPr>
        <w:t>odcinka linii kablowych i ich duktów</w:t>
      </w:r>
      <w:r w:rsidRPr="006101E2">
        <w:rPr>
          <w:rFonts w:ascii="Arial" w:hAnsi="Arial" w:cs="Arial"/>
        </w:rPr>
        <w:t xml:space="preserve"> wewnątrz budynku wielorodzinnego, </w:t>
      </w:r>
      <w:r w:rsidRPr="00846494">
        <w:rPr>
          <w:rFonts w:ascii="Arial" w:hAnsi="Arial" w:cs="Arial"/>
        </w:rPr>
        <w:t>w tym odcinka linii kablowych i ich duktów</w:t>
      </w:r>
      <w:r w:rsidRPr="006101E2">
        <w:rPr>
          <w:rFonts w:ascii="Arial" w:hAnsi="Arial" w:cs="Arial"/>
        </w:rPr>
        <w:t xml:space="preserve"> </w:t>
      </w:r>
      <w:r>
        <w:rPr>
          <w:rFonts w:ascii="Arial" w:hAnsi="Arial" w:cs="Arial"/>
        </w:rPr>
        <w:t xml:space="preserve">instalacji </w:t>
      </w:r>
      <w:r w:rsidRPr="006101E2">
        <w:rPr>
          <w:rFonts w:ascii="Arial" w:hAnsi="Arial" w:cs="Arial"/>
        </w:rPr>
        <w:t xml:space="preserve">wewnątrz mieszkań. Dotyczy to </w:t>
      </w:r>
      <w:r w:rsidRPr="00846494">
        <w:rPr>
          <w:rFonts w:ascii="Arial" w:hAnsi="Arial" w:cs="Arial"/>
        </w:rPr>
        <w:t>odcinka linii kablowych i ich duktów</w:t>
      </w:r>
      <w:r w:rsidRPr="00846494" w:rsidDel="00180CF6">
        <w:rPr>
          <w:rFonts w:ascii="Arial" w:hAnsi="Arial" w:cs="Arial"/>
        </w:rPr>
        <w:t xml:space="preserve"> </w:t>
      </w:r>
      <w:r w:rsidRPr="006101E2">
        <w:rPr>
          <w:rFonts w:ascii="Arial" w:hAnsi="Arial" w:cs="Arial"/>
        </w:rPr>
        <w:t xml:space="preserve">od punktu połączenia instalacji telekomunikacyjnej z publiczną siecią telekomunikacyjną (punkt styku, o którym mowa w § 192f rozporządzenia Ministra Infrastruktury z dnia 12 kwietnia 2002 r. w sprawie warunków technicznych jakim powinny odpowiadać budynki i ich usytuowanie. Co do zasady rozporządzenie jest stosowane wyłącznie do nowych budynków, jednakże w </w:t>
      </w:r>
      <w:r w:rsidRPr="006101E2">
        <w:rPr>
          <w:rFonts w:ascii="Arial" w:hAnsi="Arial" w:cs="Arial"/>
        </w:rPr>
        <w:lastRenderedPageBreak/>
        <w:t xml:space="preserve">przypadku projektów współfinansowanych z POPC, wskazana definicja będzie stosowana odpowiednio również do budynków istniejących) do zakończenia sieci, </w:t>
      </w:r>
    </w:p>
    <w:p w:rsidR="00DD0F75" w:rsidRPr="006101E2" w:rsidRDefault="00DD0F75" w:rsidP="00137BC9">
      <w:pPr>
        <w:numPr>
          <w:ilvl w:val="0"/>
          <w:numId w:val="92"/>
        </w:numPr>
        <w:spacing w:before="120" w:after="120" w:line="360" w:lineRule="auto"/>
        <w:jc w:val="both"/>
        <w:rPr>
          <w:rFonts w:ascii="Arial" w:hAnsi="Arial" w:cs="Arial"/>
        </w:rPr>
      </w:pPr>
      <w:r w:rsidRPr="006101E2">
        <w:rPr>
          <w:rFonts w:ascii="Arial" w:hAnsi="Arial" w:cs="Arial"/>
        </w:rPr>
        <w:t>wielorodzinnej typu szeregowego, stosuje się odpowiednio zasady dla zabudowy jednorodzinnej, przy czym uznaje się, że każdy wydzielony lokal mieszkalny może być traktowany jak odrębny dom jednorodzinny,</w:t>
      </w:r>
    </w:p>
    <w:p w:rsidR="00DD0F75" w:rsidRPr="006101E2" w:rsidRDefault="00DD0F75" w:rsidP="00DD0F75">
      <w:pPr>
        <w:autoSpaceDE w:val="0"/>
        <w:autoSpaceDN w:val="0"/>
        <w:adjustRightInd w:val="0"/>
        <w:spacing w:before="120" w:after="120" w:line="360" w:lineRule="auto"/>
        <w:jc w:val="both"/>
        <w:rPr>
          <w:rFonts w:ascii="Arial" w:hAnsi="Arial" w:cs="Arial"/>
        </w:rPr>
      </w:pPr>
      <w:r w:rsidRPr="006101E2">
        <w:rPr>
          <w:rFonts w:ascii="Arial" w:hAnsi="Arial" w:cs="Arial"/>
        </w:rPr>
        <w:t>W przypadku mieszanego typu zabudowy danego obszaru, powyższe zasady stosuje się odpowiednio dla danego typu budynku jednorodzinnego, wielorodzinnego lub wielorodzinnego szeregowego.</w:t>
      </w:r>
    </w:p>
    <w:p w:rsidR="00DD0F75" w:rsidRPr="006101E2" w:rsidRDefault="00DD0F75" w:rsidP="00DD0F75">
      <w:pPr>
        <w:autoSpaceDE w:val="0"/>
        <w:autoSpaceDN w:val="0"/>
        <w:adjustRightInd w:val="0"/>
        <w:spacing w:before="120" w:after="120" w:line="360" w:lineRule="auto"/>
        <w:jc w:val="both"/>
        <w:rPr>
          <w:rFonts w:ascii="Arial" w:hAnsi="Arial" w:cs="Arial"/>
        </w:rPr>
      </w:pPr>
      <w:r w:rsidRPr="006101E2">
        <w:rPr>
          <w:rFonts w:ascii="Arial" w:hAnsi="Arial" w:cs="Arial"/>
        </w:rPr>
        <w:t>W przypadku realizacji projektu w technologii bezprzewodowej za niekwalifikowalne uznaje się wydatki dotyczące elementów infrastruktury i sieci telekomunikacyjnej instalowane w budynku stanowiącym lokalizację potencjalnego użytkownika końcowego.</w:t>
      </w:r>
    </w:p>
    <w:p w:rsidR="00DD0F75" w:rsidRPr="006101E2" w:rsidRDefault="00DD0F75" w:rsidP="00DD0F75">
      <w:pPr>
        <w:autoSpaceDE w:val="0"/>
        <w:autoSpaceDN w:val="0"/>
        <w:adjustRightInd w:val="0"/>
        <w:spacing w:before="120" w:after="120" w:line="360" w:lineRule="auto"/>
        <w:jc w:val="both"/>
        <w:rPr>
          <w:rFonts w:ascii="Arial" w:hAnsi="Arial" w:cs="Arial"/>
        </w:rPr>
      </w:pPr>
      <w:r w:rsidRPr="006101E2">
        <w:rPr>
          <w:rFonts w:ascii="Arial" w:hAnsi="Arial" w:cs="Arial"/>
        </w:rPr>
        <w:t>W zakresie wydatków ponoszonych na realizację sieci do budynków użyteczności publicznej (w zakresie i na zasadach określonych w dokumentacji konkursowej) za niekwalifikowalne uznaje się wydatki na realizację instalacji wewnątrz budynku</w:t>
      </w:r>
      <w:r>
        <w:rPr>
          <w:rFonts w:ascii="Arial" w:hAnsi="Arial" w:cs="Arial"/>
        </w:rPr>
        <w:t xml:space="preserve"> za wyjątkiem sytuacji, gdy poniesienie wydatku dotyczy realizacji projektu w budynku placówki wchodzącej w skład systemu oświaty</w:t>
      </w:r>
      <w:r w:rsidRPr="006101E2">
        <w:rPr>
          <w:rFonts w:ascii="Arial" w:hAnsi="Arial" w:cs="Arial"/>
        </w:rPr>
        <w:t>. Dotyczy to odcinka od punktu połączenia instalacji telekomunikacyjnej z publiczną siecią telekomunikacyjną (punkt styku, o którym mowa w § 192f rozporządzenia Ministra Infrastruktury z dnia 12 kwietnia 2002 r. w sprawie warunków technicznych jakim powinny odpowiadać budynki i ich usytuowanie. Co do zasady rozporządzenie jest stosowane wyłącznie do nowych budynków, jednakże w przypadku projektów współfinansowanych z POPC, wskazana definicja będzie stosowana odpowiednio, również do budynków istniejących) do zakończenia instalacji w poszczególnych lokalach użytkowych.</w:t>
      </w:r>
    </w:p>
    <w:p w:rsidR="00DD0F75" w:rsidRDefault="00DD0F75" w:rsidP="00A03923">
      <w:pPr>
        <w:numPr>
          <w:ilvl w:val="0"/>
          <w:numId w:val="104"/>
        </w:numPr>
        <w:spacing w:before="120" w:after="120" w:line="360" w:lineRule="auto"/>
        <w:jc w:val="both"/>
        <w:rPr>
          <w:rFonts w:ascii="Arial" w:hAnsi="Arial" w:cs="Arial"/>
        </w:rPr>
      </w:pPr>
      <w:r w:rsidRPr="006101E2">
        <w:rPr>
          <w:rFonts w:ascii="Arial" w:hAnsi="Arial" w:cs="Arial"/>
        </w:rPr>
        <w:t>Wszelkie wydatki dotyczące aktywnych elementów sieci, w szczególności urządzeń telekomunikacyjnych, w tym urządzeń radiowych instalowanych w telekomunikacyjnej sieci szkieletowej i dystrybucyjnej.</w:t>
      </w:r>
    </w:p>
    <w:p w:rsidR="00DD0F75" w:rsidRPr="000D79AE" w:rsidRDefault="00DD0F75" w:rsidP="00A03923">
      <w:pPr>
        <w:pStyle w:val="Akapitzlist"/>
        <w:numPr>
          <w:ilvl w:val="0"/>
          <w:numId w:val="104"/>
        </w:numPr>
        <w:spacing w:after="0" w:line="360" w:lineRule="auto"/>
        <w:jc w:val="both"/>
        <w:rPr>
          <w:rFonts w:ascii="Arial" w:hAnsi="Arial" w:cs="Arial"/>
        </w:rPr>
      </w:pPr>
      <w:r>
        <w:rPr>
          <w:rFonts w:ascii="Arial" w:hAnsi="Arial" w:cs="Arial"/>
        </w:rPr>
        <w:t>Wszelkie w</w:t>
      </w:r>
      <w:r w:rsidRPr="007E469E">
        <w:rPr>
          <w:rFonts w:ascii="Arial" w:hAnsi="Arial" w:cs="Arial"/>
        </w:rPr>
        <w:t xml:space="preserve">ydatki związane z </w:t>
      </w:r>
      <w:r>
        <w:rPr>
          <w:rFonts w:ascii="Arial" w:hAnsi="Arial" w:cs="Arial"/>
        </w:rPr>
        <w:t xml:space="preserve">działaniami informacyjno-promocyjnymi w ramach projektów w </w:t>
      </w:r>
      <w:r w:rsidRPr="006101E2">
        <w:rPr>
          <w:rFonts w:ascii="Arial" w:eastAsia="MS Mincho" w:hAnsi="Arial" w:cs="Arial"/>
          <w:lang w:eastAsia="ja-JP"/>
        </w:rPr>
        <w:t>I osi priorytetowej POPC</w:t>
      </w:r>
      <w:r>
        <w:rPr>
          <w:rFonts w:ascii="Arial" w:hAnsi="Arial" w:cs="Arial"/>
        </w:rPr>
        <w:t xml:space="preserve">. </w:t>
      </w:r>
      <w:r w:rsidRPr="008F073C">
        <w:rPr>
          <w:rFonts w:ascii="Arial" w:hAnsi="Arial" w:cs="Arial"/>
        </w:rPr>
        <w:t xml:space="preserve">Beneficjent jest </w:t>
      </w:r>
      <w:r>
        <w:rPr>
          <w:rFonts w:ascii="Arial" w:hAnsi="Arial" w:cs="Arial"/>
        </w:rPr>
        <w:t xml:space="preserve">jednak </w:t>
      </w:r>
      <w:r w:rsidRPr="008F073C">
        <w:rPr>
          <w:rFonts w:ascii="Arial" w:hAnsi="Arial" w:cs="Arial"/>
        </w:rPr>
        <w:t xml:space="preserve">zobowiązany do stosowania </w:t>
      </w:r>
      <w:r>
        <w:rPr>
          <w:rFonts w:ascii="Arial" w:hAnsi="Arial" w:cs="Arial"/>
        </w:rPr>
        <w:t xml:space="preserve">obowiązków określonych w </w:t>
      </w:r>
      <w:r w:rsidRPr="008F073C">
        <w:rPr>
          <w:rFonts w:ascii="Arial" w:hAnsi="Arial" w:cs="Arial"/>
        </w:rPr>
        <w:t>punk</w:t>
      </w:r>
      <w:r>
        <w:rPr>
          <w:rFonts w:ascii="Arial" w:hAnsi="Arial" w:cs="Arial"/>
        </w:rPr>
        <w:t>cie</w:t>
      </w:r>
      <w:r w:rsidRPr="008F073C">
        <w:rPr>
          <w:rFonts w:ascii="Arial" w:hAnsi="Arial" w:cs="Arial"/>
        </w:rPr>
        <w:t xml:space="preserve"> 2.2. załącznika XII do Rozporządzenia Rady nr</w:t>
      </w:r>
      <w:r>
        <w:rPr>
          <w:rFonts w:ascii="Arial" w:hAnsi="Arial" w:cs="Arial"/>
        </w:rPr>
        <w:t> </w:t>
      </w:r>
      <w:r w:rsidRPr="008F073C">
        <w:rPr>
          <w:rFonts w:ascii="Arial" w:hAnsi="Arial" w:cs="Arial"/>
        </w:rPr>
        <w:t>1303/2013.</w:t>
      </w:r>
    </w:p>
    <w:p w:rsidR="00DD0F75" w:rsidRPr="006101E2" w:rsidRDefault="00DD0F75" w:rsidP="00A03923">
      <w:pPr>
        <w:numPr>
          <w:ilvl w:val="0"/>
          <w:numId w:val="104"/>
        </w:numPr>
        <w:spacing w:before="120" w:after="120" w:line="360" w:lineRule="auto"/>
        <w:jc w:val="both"/>
        <w:rPr>
          <w:rFonts w:ascii="Arial" w:hAnsi="Arial" w:cs="Arial"/>
        </w:rPr>
      </w:pPr>
      <w:r w:rsidRPr="006101E2">
        <w:rPr>
          <w:rFonts w:ascii="Arial" w:hAnsi="Arial" w:cs="Arial"/>
        </w:rPr>
        <w:t>Wszelkie wydatki dotyczące realizacji infrastruktury i sieci w zakresie wykraczającym poza minimalne wymagania określone w „</w:t>
      </w:r>
      <w:r>
        <w:rPr>
          <w:rFonts w:ascii="Arial" w:hAnsi="Arial" w:cs="Arial"/>
        </w:rPr>
        <w:t>Wymaganiach dla sieci NGA - POPC</w:t>
      </w:r>
      <w:r w:rsidRPr="006101E2">
        <w:rPr>
          <w:rFonts w:ascii="Arial" w:hAnsi="Arial" w:cs="Arial"/>
        </w:rPr>
        <w:t xml:space="preserve"> stanowiących załączniki do dokumentacji konkursowej.</w:t>
      </w:r>
    </w:p>
    <w:p w:rsidR="00DD0F75" w:rsidRPr="006101E2" w:rsidRDefault="00DD0F75" w:rsidP="00A03923">
      <w:pPr>
        <w:numPr>
          <w:ilvl w:val="0"/>
          <w:numId w:val="104"/>
        </w:numPr>
        <w:spacing w:before="120" w:after="120" w:line="360" w:lineRule="auto"/>
        <w:jc w:val="both"/>
        <w:rPr>
          <w:rFonts w:ascii="Arial" w:hAnsi="Arial" w:cs="Arial"/>
        </w:rPr>
      </w:pPr>
      <w:r w:rsidRPr="006101E2">
        <w:rPr>
          <w:rFonts w:ascii="Arial" w:hAnsi="Arial" w:cs="Arial"/>
        </w:rPr>
        <w:t>Wszelkie wydatki związane ze świadczeniem usług detalicznych i hurtowych, w tym zapewnieniem obsługi klientów, rozliczeń z nimi, przedstawienia ofert i cenników.</w:t>
      </w:r>
    </w:p>
    <w:p w:rsidR="00DD0F75" w:rsidRPr="006101E2" w:rsidRDefault="00DD0F75" w:rsidP="00A03923">
      <w:pPr>
        <w:numPr>
          <w:ilvl w:val="0"/>
          <w:numId w:val="104"/>
        </w:numPr>
        <w:spacing w:before="120" w:after="120" w:line="360" w:lineRule="auto"/>
        <w:jc w:val="both"/>
        <w:rPr>
          <w:rFonts w:ascii="Arial" w:hAnsi="Arial" w:cs="Arial"/>
        </w:rPr>
      </w:pPr>
      <w:r w:rsidRPr="006101E2">
        <w:rPr>
          <w:rFonts w:ascii="Arial" w:hAnsi="Arial" w:cs="Arial"/>
        </w:rPr>
        <w:lastRenderedPageBreak/>
        <w:t xml:space="preserve">Wszelkie wydatki dotyczące realizacji infrastruktury i sieci w zakresie w jakim ich realizacja wynika z zobowiązań lub obowiązków nałożonych przez podmioty publiczne (innych niż wynikające z realizacji umowy o dofinasowanie) w szczególności obowiązki  lub zobowiązania, o których mowa w art. 43a oraz art. 115 ust. 1 pkt 9 ustawy </w:t>
      </w:r>
      <w:r w:rsidRPr="009C4ADD">
        <w:rPr>
          <w:rFonts w:ascii="Arial" w:hAnsi="Arial" w:cs="Arial"/>
          <w:i/>
        </w:rPr>
        <w:t>Prawo telekomunikacyjne</w:t>
      </w:r>
      <w:r>
        <w:rPr>
          <w:rFonts w:ascii="Arial" w:hAnsi="Arial" w:cs="Arial"/>
        </w:rPr>
        <w:t xml:space="preserve">, </w:t>
      </w:r>
    </w:p>
    <w:p w:rsidR="00DD0F75" w:rsidRPr="006101E2" w:rsidRDefault="00DD0F75" w:rsidP="00A03923">
      <w:pPr>
        <w:numPr>
          <w:ilvl w:val="0"/>
          <w:numId w:val="104"/>
        </w:numPr>
        <w:spacing w:before="120" w:after="120" w:line="360" w:lineRule="auto"/>
        <w:jc w:val="both"/>
        <w:rPr>
          <w:rFonts w:ascii="Arial" w:hAnsi="Arial" w:cs="Arial"/>
        </w:rPr>
      </w:pPr>
      <w:r w:rsidRPr="006101E2">
        <w:rPr>
          <w:rFonts w:ascii="Arial" w:hAnsi="Arial" w:cs="Arial"/>
        </w:rPr>
        <w:t>Koszty pośrednie.</w:t>
      </w:r>
    </w:p>
    <w:p w:rsidR="00DD0F75" w:rsidRPr="006101E2" w:rsidRDefault="00DD0F75" w:rsidP="00A03923">
      <w:pPr>
        <w:numPr>
          <w:ilvl w:val="0"/>
          <w:numId w:val="104"/>
        </w:numPr>
        <w:spacing w:before="120" w:after="120" w:line="360" w:lineRule="auto"/>
        <w:jc w:val="both"/>
        <w:rPr>
          <w:rFonts w:ascii="Arial" w:hAnsi="Arial" w:cs="Arial"/>
        </w:rPr>
      </w:pPr>
      <w:r w:rsidRPr="006101E2">
        <w:rPr>
          <w:rFonts w:ascii="Arial" w:hAnsi="Arial" w:cs="Arial"/>
        </w:rPr>
        <w:t>Inne wydatki niewymienione w katalogu wydatków kwalifikowalnych.</w:t>
      </w:r>
    </w:p>
    <w:p w:rsidR="00DD0F75" w:rsidRPr="009C4ADD" w:rsidRDefault="00DD0F75" w:rsidP="00DD0F75">
      <w:pPr>
        <w:pStyle w:val="Nagwek2"/>
        <w:numPr>
          <w:ilvl w:val="2"/>
          <w:numId w:val="1"/>
        </w:numPr>
        <w:spacing w:before="240" w:after="60" w:line="360" w:lineRule="auto"/>
        <w:jc w:val="center"/>
        <w:rPr>
          <w:rFonts w:ascii="Arial" w:hAnsi="Arial" w:cs="Arial"/>
          <w:b w:val="0"/>
          <w:i/>
          <w:color w:val="auto"/>
          <w:sz w:val="24"/>
          <w:szCs w:val="24"/>
        </w:rPr>
      </w:pPr>
      <w:bookmarkStart w:id="140" w:name="_Toc508630132"/>
      <w:r>
        <w:rPr>
          <w:rFonts w:ascii="Arial" w:hAnsi="Arial" w:cs="Arial"/>
          <w:b w:val="0"/>
          <w:i/>
          <w:color w:val="auto"/>
          <w:sz w:val="24"/>
          <w:szCs w:val="24"/>
        </w:rPr>
        <w:t>W</w:t>
      </w:r>
      <w:r w:rsidRPr="009C4ADD">
        <w:rPr>
          <w:rFonts w:ascii="Arial" w:hAnsi="Arial" w:cs="Arial"/>
          <w:b w:val="0"/>
          <w:i/>
          <w:color w:val="auto"/>
          <w:sz w:val="24"/>
          <w:szCs w:val="24"/>
        </w:rPr>
        <w:t>arunki oraz okres kwalifikowania wydatków w projektach podlegających zasadom pomocy publicznej</w:t>
      </w:r>
      <w:bookmarkEnd w:id="140"/>
    </w:p>
    <w:p w:rsidR="00DD0F75" w:rsidRPr="00846494" w:rsidRDefault="00DD0F75" w:rsidP="00137BC9">
      <w:pPr>
        <w:numPr>
          <w:ilvl w:val="0"/>
          <w:numId w:val="79"/>
        </w:numPr>
        <w:spacing w:before="120" w:after="120" w:line="360" w:lineRule="auto"/>
        <w:jc w:val="both"/>
        <w:rPr>
          <w:rFonts w:ascii="Arial" w:hAnsi="Arial" w:cs="Arial"/>
        </w:rPr>
      </w:pPr>
      <w:r w:rsidRPr="00846494">
        <w:rPr>
          <w:rFonts w:ascii="Arial" w:hAnsi="Arial" w:cs="Arial"/>
        </w:rPr>
        <w:t>Wszystkie projekty w ramach I osi priorytetowej POPC podlegają zasadom pomocy publicznej określonych w </w:t>
      </w:r>
      <w:r w:rsidR="006518C3">
        <w:rPr>
          <w:rFonts w:ascii="Arial" w:hAnsi="Arial" w:cs="Arial"/>
        </w:rPr>
        <w:t xml:space="preserve">przepisach rozdziału I </w:t>
      </w:r>
      <w:proofErr w:type="spellStart"/>
      <w:r w:rsidR="006518C3">
        <w:rPr>
          <w:rFonts w:ascii="Arial" w:hAnsi="Arial" w:cs="Arial"/>
        </w:rPr>
        <w:t>i</w:t>
      </w:r>
      <w:proofErr w:type="spellEnd"/>
      <w:r w:rsidR="006518C3">
        <w:rPr>
          <w:rFonts w:ascii="Arial" w:hAnsi="Arial" w:cs="Arial"/>
        </w:rPr>
        <w:t xml:space="preserve"> </w:t>
      </w:r>
      <w:r w:rsidRPr="00846494">
        <w:rPr>
          <w:rFonts w:ascii="Arial" w:hAnsi="Arial" w:cs="Arial"/>
        </w:rPr>
        <w:t xml:space="preserve">art. 52 GBER oraz opracowanego na </w:t>
      </w:r>
      <w:r w:rsidR="001823B0">
        <w:rPr>
          <w:rFonts w:ascii="Arial" w:hAnsi="Arial" w:cs="Arial"/>
        </w:rPr>
        <w:t>ich</w:t>
      </w:r>
      <w:r w:rsidR="001823B0" w:rsidRPr="00846494">
        <w:rPr>
          <w:rFonts w:ascii="Arial" w:hAnsi="Arial" w:cs="Arial"/>
        </w:rPr>
        <w:t xml:space="preserve"> </w:t>
      </w:r>
      <w:r w:rsidRPr="00846494">
        <w:rPr>
          <w:rFonts w:ascii="Arial" w:hAnsi="Arial" w:cs="Arial"/>
        </w:rPr>
        <w:t xml:space="preserve">podstawie rozporządzenia pomocowego dla I osi. </w:t>
      </w:r>
    </w:p>
    <w:p w:rsidR="00DD0F75" w:rsidRPr="00846494" w:rsidRDefault="00DD0F75" w:rsidP="00137BC9">
      <w:pPr>
        <w:numPr>
          <w:ilvl w:val="0"/>
          <w:numId w:val="79"/>
        </w:numPr>
        <w:spacing w:before="120" w:after="120" w:line="360" w:lineRule="auto"/>
        <w:jc w:val="both"/>
        <w:rPr>
          <w:rFonts w:ascii="Arial" w:hAnsi="Arial" w:cs="Arial"/>
        </w:rPr>
      </w:pPr>
      <w:r>
        <w:rPr>
          <w:rFonts w:ascii="Arial" w:hAnsi="Arial" w:cs="Arial"/>
        </w:rPr>
        <w:t>W</w:t>
      </w:r>
      <w:r w:rsidRPr="00846494">
        <w:rPr>
          <w:rFonts w:ascii="Arial" w:hAnsi="Arial" w:cs="Arial"/>
        </w:rPr>
        <w:t xml:space="preserve">ydatki mogą </w:t>
      </w:r>
      <w:r>
        <w:rPr>
          <w:rFonts w:ascii="Arial" w:hAnsi="Arial" w:cs="Arial"/>
        </w:rPr>
        <w:t xml:space="preserve">jednocześnie </w:t>
      </w:r>
      <w:r w:rsidRPr="00846494">
        <w:rPr>
          <w:rFonts w:ascii="Arial" w:hAnsi="Arial" w:cs="Arial"/>
        </w:rPr>
        <w:t xml:space="preserve">podlegać zasadom pomocy de </w:t>
      </w:r>
      <w:proofErr w:type="spellStart"/>
      <w:r w:rsidRPr="00846494">
        <w:rPr>
          <w:rFonts w:ascii="Arial" w:hAnsi="Arial" w:cs="Arial"/>
        </w:rPr>
        <w:t>minimis</w:t>
      </w:r>
      <w:proofErr w:type="spellEnd"/>
      <w:r w:rsidRPr="00846494">
        <w:rPr>
          <w:rFonts w:ascii="Arial" w:hAnsi="Arial" w:cs="Arial"/>
        </w:rPr>
        <w:t xml:space="preserve"> określonej w rozporządzeniu Komisji (UE) nr 1407/2013 w odniesieniu do wskazanych w </w:t>
      </w:r>
      <w:r w:rsidR="001823B0" w:rsidRPr="000C19C0">
        <w:rPr>
          <w:rFonts w:ascii="Arial" w:hAnsi="Arial" w:cs="Arial"/>
          <w:i/>
        </w:rPr>
        <w:t>Katalogu</w:t>
      </w:r>
      <w:r w:rsidR="001823B0" w:rsidRPr="00846494">
        <w:rPr>
          <w:rFonts w:ascii="Arial" w:hAnsi="Arial" w:cs="Arial"/>
        </w:rPr>
        <w:t xml:space="preserve"> </w:t>
      </w:r>
      <w:r w:rsidRPr="00846494">
        <w:rPr>
          <w:rFonts w:ascii="Arial" w:hAnsi="Arial" w:cs="Arial"/>
        </w:rPr>
        <w:t>wydatków.</w:t>
      </w:r>
    </w:p>
    <w:p w:rsidR="00DD0F75" w:rsidRPr="00147534" w:rsidRDefault="00DD0F75" w:rsidP="00137BC9">
      <w:pPr>
        <w:numPr>
          <w:ilvl w:val="0"/>
          <w:numId w:val="79"/>
        </w:numPr>
        <w:spacing w:before="120" w:after="120" w:line="360" w:lineRule="auto"/>
        <w:jc w:val="both"/>
        <w:rPr>
          <w:rFonts w:ascii="Arial" w:hAnsi="Arial" w:cs="Arial"/>
        </w:rPr>
      </w:pPr>
      <w:r w:rsidRPr="001C6FB3">
        <w:rPr>
          <w:rFonts w:ascii="Arial" w:hAnsi="Arial" w:cs="Arial"/>
        </w:rPr>
        <w:t>Wszystkie główne kategorie wydatków określone w niniejszym rozdziale, odzwierciedlają wprost kategorie wydatków przewidziane w rozporządzeniu pomocowym dla I osi oraz je uszczegóławiają,  nie przewidując nowych kategorii wydatków.</w:t>
      </w:r>
    </w:p>
    <w:p w:rsidR="00DB5FC3" w:rsidRDefault="00DB5FC3">
      <w:pPr>
        <w:rPr>
          <w:rFonts w:ascii="Arial" w:hAnsi="Arial" w:cs="Arial"/>
          <w:sz w:val="24"/>
          <w:szCs w:val="24"/>
        </w:rPr>
      </w:pPr>
      <w:r>
        <w:rPr>
          <w:rFonts w:ascii="Arial" w:hAnsi="Arial" w:cs="Arial"/>
          <w:b/>
          <w:i/>
          <w:sz w:val="24"/>
          <w:szCs w:val="24"/>
        </w:rPr>
        <w:br w:type="page"/>
      </w:r>
    </w:p>
    <w:p w:rsidR="00EE7DEE" w:rsidRPr="008D2916" w:rsidRDefault="00EE7DEE" w:rsidP="00EE7DEE">
      <w:pPr>
        <w:pStyle w:val="Akapitzlist"/>
        <w:keepNext/>
        <w:keepLines/>
        <w:numPr>
          <w:ilvl w:val="1"/>
          <w:numId w:val="1"/>
        </w:numPr>
        <w:spacing w:before="240" w:after="60" w:line="360" w:lineRule="auto"/>
        <w:contextualSpacing w:val="0"/>
        <w:jc w:val="center"/>
        <w:outlineLvl w:val="1"/>
        <w:rPr>
          <w:rFonts w:ascii="Arial" w:eastAsiaTheme="majorEastAsia" w:hAnsi="Arial" w:cs="Arial"/>
          <w:bCs/>
          <w:i/>
          <w:vanish/>
          <w:sz w:val="24"/>
          <w:szCs w:val="24"/>
        </w:rPr>
      </w:pPr>
      <w:bookmarkStart w:id="141" w:name="_Toc508630133"/>
      <w:r w:rsidRPr="008D2916">
        <w:rPr>
          <w:rFonts w:ascii="Arial" w:hAnsi="Arial" w:cs="Arial"/>
          <w:i/>
          <w:sz w:val="24"/>
          <w:szCs w:val="24"/>
        </w:rPr>
        <w:lastRenderedPageBreak/>
        <w:t>Katalog wydatków kwalifikowalnych dla projektów Ogólnopolskiej Sieci Edukacyjnej (OSE)</w:t>
      </w:r>
      <w:bookmarkEnd w:id="141"/>
    </w:p>
    <w:p w:rsidR="00A25E1B" w:rsidRDefault="00A25E1B" w:rsidP="00EE7DEE">
      <w:pPr>
        <w:pStyle w:val="Nagwek2"/>
        <w:numPr>
          <w:ilvl w:val="2"/>
          <w:numId w:val="1"/>
        </w:numPr>
        <w:spacing w:before="240" w:after="60" w:line="360" w:lineRule="auto"/>
        <w:jc w:val="center"/>
        <w:rPr>
          <w:rFonts w:ascii="Arial" w:hAnsi="Arial" w:cs="Arial"/>
          <w:b w:val="0"/>
          <w:i/>
          <w:color w:val="auto"/>
          <w:sz w:val="24"/>
          <w:szCs w:val="24"/>
        </w:rPr>
      </w:pPr>
      <w:bookmarkStart w:id="142" w:name="_Toc508630134"/>
      <w:bookmarkEnd w:id="142"/>
    </w:p>
    <w:p w:rsidR="008A559B" w:rsidRDefault="008A559B" w:rsidP="00800CDA">
      <w:pPr>
        <w:pStyle w:val="Nagwek2"/>
        <w:numPr>
          <w:ilvl w:val="2"/>
          <w:numId w:val="102"/>
        </w:numPr>
        <w:spacing w:before="240" w:after="60" w:line="360" w:lineRule="auto"/>
        <w:jc w:val="center"/>
        <w:rPr>
          <w:rFonts w:ascii="Arial" w:hAnsi="Arial" w:cs="Arial"/>
          <w:b w:val="0"/>
          <w:i/>
          <w:color w:val="auto"/>
          <w:sz w:val="24"/>
          <w:szCs w:val="24"/>
        </w:rPr>
      </w:pPr>
      <w:bookmarkStart w:id="143" w:name="_Toc508630135"/>
      <w:r w:rsidRPr="008A559B">
        <w:rPr>
          <w:rFonts w:ascii="Arial" w:hAnsi="Arial" w:cs="Arial"/>
          <w:b w:val="0"/>
          <w:i/>
          <w:color w:val="auto"/>
          <w:sz w:val="24"/>
          <w:szCs w:val="24"/>
        </w:rPr>
        <w:t>Wydatki kwalifikowalne</w:t>
      </w:r>
      <w:bookmarkEnd w:id="143"/>
    </w:p>
    <w:p w:rsidR="00EE7DEE" w:rsidRPr="007E469E" w:rsidRDefault="00EE7DEE" w:rsidP="00EE7DEE">
      <w:pPr>
        <w:spacing w:before="120" w:after="120" w:line="360" w:lineRule="auto"/>
        <w:jc w:val="both"/>
        <w:rPr>
          <w:rFonts w:ascii="Arial" w:eastAsia="MS Mincho" w:hAnsi="Arial" w:cs="Arial"/>
          <w:lang w:eastAsia="ja-JP"/>
        </w:rPr>
      </w:pPr>
      <w:r w:rsidRPr="007E469E">
        <w:rPr>
          <w:rFonts w:ascii="Arial" w:eastAsia="MS Mincho" w:hAnsi="Arial" w:cs="Arial"/>
          <w:lang w:eastAsia="ja-JP"/>
        </w:rPr>
        <w:t xml:space="preserve">Wydatki kwalifikowalne </w:t>
      </w:r>
      <w:r>
        <w:rPr>
          <w:rFonts w:ascii="Arial" w:eastAsia="MS Mincho" w:hAnsi="Arial" w:cs="Arial"/>
          <w:lang w:eastAsia="ja-JP"/>
        </w:rPr>
        <w:t xml:space="preserve">w projektach OSE wskazane </w:t>
      </w:r>
      <w:r w:rsidRPr="007E469E">
        <w:rPr>
          <w:rFonts w:ascii="Arial" w:eastAsia="MS Mincho" w:hAnsi="Arial" w:cs="Arial"/>
          <w:lang w:eastAsia="ja-JP"/>
        </w:rPr>
        <w:t>w ni</w:t>
      </w:r>
      <w:r>
        <w:rPr>
          <w:rFonts w:ascii="Arial" w:eastAsia="MS Mincho" w:hAnsi="Arial" w:cs="Arial"/>
          <w:lang w:eastAsia="ja-JP"/>
        </w:rPr>
        <w:t xml:space="preserve">niejszej sekcji </w:t>
      </w:r>
      <w:r w:rsidRPr="007E469E">
        <w:rPr>
          <w:rFonts w:ascii="Arial" w:eastAsia="MS Mincho" w:hAnsi="Arial" w:cs="Arial"/>
          <w:lang w:eastAsia="ja-JP"/>
        </w:rPr>
        <w:t xml:space="preserve">zostały zaprezentowane w podziale na kategorie i podkategorie. </w:t>
      </w:r>
    </w:p>
    <w:tbl>
      <w:tblPr>
        <w:tblStyle w:val="Tabela-Siatka"/>
        <w:tblW w:w="9498" w:type="dxa"/>
        <w:tblInd w:w="-176" w:type="dxa"/>
        <w:tblLook w:val="04A0" w:firstRow="1" w:lastRow="0" w:firstColumn="1" w:lastColumn="0" w:noHBand="0" w:noVBand="1"/>
      </w:tblPr>
      <w:tblGrid>
        <w:gridCol w:w="4537"/>
        <w:gridCol w:w="4961"/>
      </w:tblGrid>
      <w:tr w:rsidR="00EE7DEE" w:rsidRPr="00A445A6" w:rsidTr="00EE7DEE">
        <w:tc>
          <w:tcPr>
            <w:tcW w:w="4537" w:type="dxa"/>
          </w:tcPr>
          <w:p w:rsidR="00EE7DEE" w:rsidRDefault="00EE7DEE" w:rsidP="008D2916">
            <w:pPr>
              <w:jc w:val="center"/>
              <w:rPr>
                <w:rFonts w:ascii="Arial" w:hAnsi="Arial" w:cs="Arial"/>
                <w:b/>
                <w:bCs/>
              </w:rPr>
            </w:pPr>
          </w:p>
          <w:p w:rsidR="00EE7DEE" w:rsidRDefault="00EE7DEE" w:rsidP="008D2916">
            <w:pPr>
              <w:jc w:val="center"/>
              <w:rPr>
                <w:rFonts w:ascii="Arial" w:hAnsi="Arial" w:cs="Arial"/>
                <w:b/>
                <w:bCs/>
              </w:rPr>
            </w:pPr>
            <w:r w:rsidRPr="00A445A6">
              <w:rPr>
                <w:rFonts w:ascii="Arial" w:hAnsi="Arial" w:cs="Arial"/>
                <w:b/>
                <w:bCs/>
              </w:rPr>
              <w:t>Kategoria</w:t>
            </w:r>
          </w:p>
          <w:p w:rsidR="00EE7DEE" w:rsidRPr="00A445A6" w:rsidRDefault="00EE7DEE" w:rsidP="008D2916">
            <w:pPr>
              <w:jc w:val="center"/>
              <w:rPr>
                <w:rFonts w:ascii="Arial" w:hAnsi="Arial" w:cs="Arial"/>
                <w:b/>
                <w:bCs/>
              </w:rPr>
            </w:pPr>
          </w:p>
        </w:tc>
        <w:tc>
          <w:tcPr>
            <w:tcW w:w="4961" w:type="dxa"/>
          </w:tcPr>
          <w:p w:rsidR="00EE7DEE" w:rsidRDefault="00EE7DEE" w:rsidP="008D2916">
            <w:pPr>
              <w:jc w:val="center"/>
              <w:rPr>
                <w:rFonts w:ascii="Arial" w:hAnsi="Arial" w:cs="Arial"/>
                <w:b/>
                <w:bCs/>
              </w:rPr>
            </w:pPr>
          </w:p>
          <w:p w:rsidR="00EE7DEE" w:rsidRPr="00A445A6" w:rsidRDefault="00EE7DEE" w:rsidP="008D2916">
            <w:pPr>
              <w:jc w:val="center"/>
              <w:rPr>
                <w:rFonts w:ascii="Arial" w:hAnsi="Arial" w:cs="Arial"/>
                <w:b/>
                <w:bCs/>
              </w:rPr>
            </w:pPr>
            <w:r w:rsidRPr="00A445A6">
              <w:rPr>
                <w:rFonts w:ascii="Arial" w:hAnsi="Arial" w:cs="Arial"/>
                <w:b/>
                <w:bCs/>
              </w:rPr>
              <w:t>Podkategoria</w:t>
            </w:r>
          </w:p>
        </w:tc>
      </w:tr>
      <w:tr w:rsidR="00EE7DEE" w:rsidRPr="0058141D" w:rsidTr="00EE7DEE">
        <w:tc>
          <w:tcPr>
            <w:tcW w:w="4537" w:type="dxa"/>
          </w:tcPr>
          <w:p w:rsidR="00EE7DEE" w:rsidRPr="0058141D" w:rsidRDefault="00EE7DEE" w:rsidP="009E4CA1">
            <w:pPr>
              <w:pStyle w:val="Akapitzlist"/>
              <w:numPr>
                <w:ilvl w:val="0"/>
                <w:numId w:val="89"/>
              </w:numPr>
              <w:spacing w:before="120" w:after="120" w:line="360" w:lineRule="auto"/>
              <w:rPr>
                <w:rFonts w:ascii="Arial" w:eastAsia="Times New Roman" w:hAnsi="Arial" w:cs="Arial"/>
                <w:lang w:eastAsia="pl-PL"/>
              </w:rPr>
            </w:pPr>
            <w:r w:rsidRPr="0058141D">
              <w:rPr>
                <w:rFonts w:ascii="Arial" w:eastAsia="Times New Roman" w:hAnsi="Arial" w:cs="Arial"/>
                <w:lang w:eastAsia="pl-PL"/>
              </w:rPr>
              <w:t>Środki trwałe i wartości niematerialne i prawne</w:t>
            </w:r>
            <w:r>
              <w:rPr>
                <w:rFonts w:ascii="Arial" w:eastAsia="Times New Roman" w:hAnsi="Arial" w:cs="Arial"/>
                <w:lang w:eastAsia="pl-PL"/>
              </w:rPr>
              <w:t xml:space="preserve"> oraz </w:t>
            </w:r>
            <w:r w:rsidRPr="0058141D">
              <w:rPr>
                <w:rFonts w:ascii="Arial" w:eastAsia="Times New Roman" w:hAnsi="Arial" w:cs="Arial"/>
                <w:lang w:eastAsia="pl-PL"/>
              </w:rPr>
              <w:t>rzeczowe aktywa niestanowiące środków trwałych</w:t>
            </w:r>
          </w:p>
        </w:tc>
        <w:tc>
          <w:tcPr>
            <w:tcW w:w="4961" w:type="dxa"/>
          </w:tcPr>
          <w:p w:rsidR="00EE7DEE" w:rsidRPr="0058141D" w:rsidRDefault="00EE7DEE" w:rsidP="009E4CA1">
            <w:pPr>
              <w:pStyle w:val="Akapitzlist"/>
              <w:numPr>
                <w:ilvl w:val="0"/>
                <w:numId w:val="88"/>
              </w:numPr>
              <w:spacing w:before="120" w:after="120" w:line="360" w:lineRule="auto"/>
              <w:rPr>
                <w:rFonts w:ascii="Arial" w:eastAsia="Times New Roman" w:hAnsi="Arial" w:cs="Arial"/>
                <w:lang w:eastAsia="pl-PL"/>
              </w:rPr>
            </w:pPr>
            <w:r w:rsidRPr="0058141D">
              <w:rPr>
                <w:rFonts w:ascii="Arial" w:eastAsia="Times New Roman" w:hAnsi="Arial" w:cs="Arial"/>
                <w:lang w:eastAsia="pl-PL"/>
              </w:rPr>
              <w:t xml:space="preserve">urządzenia i budowle </w:t>
            </w:r>
            <w:r>
              <w:rPr>
                <w:rFonts w:ascii="Arial" w:eastAsia="Times New Roman" w:hAnsi="Arial" w:cs="Arial"/>
                <w:lang w:eastAsia="pl-PL"/>
              </w:rPr>
              <w:t>będące</w:t>
            </w:r>
            <w:r w:rsidRPr="0058141D">
              <w:rPr>
                <w:rFonts w:ascii="Arial" w:eastAsia="Times New Roman" w:hAnsi="Arial" w:cs="Arial"/>
                <w:lang w:eastAsia="pl-PL"/>
              </w:rPr>
              <w:t xml:space="preserve"> środkami trwałymi, </w:t>
            </w:r>
          </w:p>
          <w:p w:rsidR="00EE7DEE" w:rsidRPr="0058141D" w:rsidRDefault="00EE7DEE" w:rsidP="009E4CA1">
            <w:pPr>
              <w:pStyle w:val="Akapitzlist"/>
              <w:numPr>
                <w:ilvl w:val="0"/>
                <w:numId w:val="88"/>
              </w:numPr>
              <w:spacing w:before="120" w:after="120" w:line="360" w:lineRule="auto"/>
              <w:rPr>
                <w:rFonts w:ascii="Arial" w:eastAsia="Times New Roman" w:hAnsi="Arial" w:cs="Arial"/>
                <w:lang w:eastAsia="pl-PL"/>
              </w:rPr>
            </w:pPr>
            <w:r w:rsidRPr="0058141D">
              <w:rPr>
                <w:rFonts w:ascii="Arial" w:eastAsia="Times New Roman" w:hAnsi="Arial" w:cs="Arial"/>
                <w:lang w:eastAsia="pl-PL"/>
              </w:rPr>
              <w:t xml:space="preserve">licencje i oprogramowanie </w:t>
            </w:r>
            <w:r>
              <w:rPr>
                <w:rFonts w:ascii="Arial" w:eastAsia="Times New Roman" w:hAnsi="Arial" w:cs="Arial"/>
                <w:lang w:eastAsia="pl-PL"/>
              </w:rPr>
              <w:t>będące</w:t>
            </w:r>
            <w:r w:rsidRPr="0058141D">
              <w:rPr>
                <w:rFonts w:ascii="Arial" w:eastAsia="Times New Roman" w:hAnsi="Arial" w:cs="Arial"/>
                <w:lang w:eastAsia="pl-PL"/>
              </w:rPr>
              <w:t xml:space="preserve"> wartościami niematerialnymi prawnymi</w:t>
            </w:r>
            <w:r>
              <w:rPr>
                <w:rFonts w:ascii="Arial" w:eastAsia="Times New Roman" w:hAnsi="Arial" w:cs="Arial"/>
                <w:lang w:eastAsia="pl-PL"/>
              </w:rPr>
              <w:t>,</w:t>
            </w:r>
          </w:p>
          <w:p w:rsidR="00EE7DEE" w:rsidRPr="0058141D" w:rsidRDefault="00EE7DEE" w:rsidP="009E4CA1">
            <w:pPr>
              <w:pStyle w:val="Akapitzlist"/>
              <w:numPr>
                <w:ilvl w:val="0"/>
                <w:numId w:val="88"/>
              </w:numPr>
              <w:spacing w:before="120" w:after="120" w:line="360" w:lineRule="auto"/>
              <w:rPr>
                <w:rFonts w:ascii="Arial" w:eastAsia="Times New Roman" w:hAnsi="Arial" w:cs="Arial"/>
                <w:lang w:eastAsia="pl-PL"/>
              </w:rPr>
            </w:pPr>
            <w:r w:rsidRPr="0058141D">
              <w:rPr>
                <w:rFonts w:ascii="Arial" w:eastAsia="Times New Roman" w:hAnsi="Arial" w:cs="Arial"/>
                <w:lang w:eastAsia="pl-PL"/>
              </w:rPr>
              <w:t>materiały, elementy i urządzenia nie</w:t>
            </w:r>
            <w:r>
              <w:rPr>
                <w:rFonts w:ascii="Arial" w:eastAsia="Times New Roman" w:hAnsi="Arial" w:cs="Arial"/>
                <w:lang w:eastAsia="pl-PL"/>
              </w:rPr>
              <w:t>będące</w:t>
            </w:r>
            <w:r w:rsidRPr="0058141D">
              <w:rPr>
                <w:rFonts w:ascii="Arial" w:eastAsia="Times New Roman" w:hAnsi="Arial" w:cs="Arial"/>
                <w:lang w:eastAsia="pl-PL"/>
              </w:rPr>
              <w:t xml:space="preserve"> środkami trwałymi lub ich elementami</w:t>
            </w:r>
            <w:r>
              <w:rPr>
                <w:rFonts w:ascii="Arial" w:eastAsia="Times New Roman" w:hAnsi="Arial" w:cs="Arial"/>
                <w:lang w:eastAsia="pl-PL"/>
              </w:rPr>
              <w:t>.</w:t>
            </w:r>
          </w:p>
        </w:tc>
      </w:tr>
      <w:tr w:rsidR="00EE7DEE" w:rsidRPr="008B019A" w:rsidTr="00EE7DEE">
        <w:tc>
          <w:tcPr>
            <w:tcW w:w="4537" w:type="dxa"/>
          </w:tcPr>
          <w:p w:rsidR="00EE7DEE" w:rsidRPr="0058141D" w:rsidRDefault="00EE7DEE" w:rsidP="009E4CA1">
            <w:pPr>
              <w:pStyle w:val="Akapitzlist"/>
              <w:numPr>
                <w:ilvl w:val="0"/>
                <w:numId w:val="89"/>
              </w:numPr>
              <w:spacing w:before="120" w:after="120" w:line="360" w:lineRule="auto"/>
              <w:rPr>
                <w:rFonts w:ascii="Arial" w:eastAsia="Times New Roman" w:hAnsi="Arial" w:cs="Arial"/>
                <w:lang w:eastAsia="pl-PL"/>
              </w:rPr>
            </w:pPr>
            <w:r w:rsidRPr="0058141D">
              <w:rPr>
                <w:rFonts w:ascii="Arial" w:eastAsia="Times New Roman" w:hAnsi="Arial" w:cs="Arial"/>
                <w:lang w:eastAsia="pl-PL"/>
              </w:rPr>
              <w:t>Wynagrodzenia pracowników wykonujących merytoryczne zadania bezpośrednio związane z głównymi celami i produktami projektu</w:t>
            </w:r>
          </w:p>
        </w:tc>
        <w:tc>
          <w:tcPr>
            <w:tcW w:w="4961" w:type="dxa"/>
          </w:tcPr>
          <w:p w:rsidR="00EE7DEE" w:rsidRPr="008B019A" w:rsidRDefault="00EE7DEE" w:rsidP="008D2916">
            <w:pPr>
              <w:spacing w:before="120" w:after="120" w:line="360" w:lineRule="auto"/>
              <w:jc w:val="both"/>
              <w:rPr>
                <w:rFonts w:ascii="Arial" w:eastAsia="Times New Roman" w:hAnsi="Arial" w:cs="Arial"/>
                <w:lang w:eastAsia="pl-PL"/>
              </w:rPr>
            </w:pPr>
          </w:p>
        </w:tc>
      </w:tr>
      <w:tr w:rsidR="00EE7DEE" w:rsidRPr="0058141D" w:rsidTr="00EE7DEE">
        <w:tc>
          <w:tcPr>
            <w:tcW w:w="4537" w:type="dxa"/>
          </w:tcPr>
          <w:p w:rsidR="00EE7DEE" w:rsidRPr="004F27FF" w:rsidRDefault="00EE7DEE" w:rsidP="00137BC9">
            <w:pPr>
              <w:pStyle w:val="Akapitzlist"/>
              <w:numPr>
                <w:ilvl w:val="0"/>
                <w:numId w:val="89"/>
              </w:numPr>
              <w:spacing w:before="120" w:after="120" w:line="360" w:lineRule="auto"/>
              <w:jc w:val="both"/>
              <w:rPr>
                <w:rFonts w:ascii="Arial" w:eastAsia="Times New Roman" w:hAnsi="Arial" w:cs="Arial"/>
                <w:lang w:eastAsia="pl-PL"/>
              </w:rPr>
            </w:pPr>
            <w:r w:rsidRPr="004F27FF">
              <w:rPr>
                <w:rFonts w:ascii="Arial" w:eastAsia="Times New Roman" w:hAnsi="Arial" w:cs="Arial"/>
                <w:lang w:eastAsia="pl-PL"/>
              </w:rPr>
              <w:t>Usługi zewnętrzne</w:t>
            </w:r>
          </w:p>
        </w:tc>
        <w:tc>
          <w:tcPr>
            <w:tcW w:w="4961" w:type="dxa"/>
          </w:tcPr>
          <w:p w:rsidR="00EE7DEE" w:rsidRPr="0058141D" w:rsidRDefault="00EE7DEE" w:rsidP="009E4CA1">
            <w:pPr>
              <w:pStyle w:val="Akapitzlist"/>
              <w:numPr>
                <w:ilvl w:val="0"/>
                <w:numId w:val="90"/>
              </w:numPr>
              <w:spacing w:before="120" w:after="120" w:line="360" w:lineRule="auto"/>
              <w:rPr>
                <w:rFonts w:ascii="Arial" w:eastAsia="Times New Roman" w:hAnsi="Arial" w:cs="Arial"/>
                <w:lang w:eastAsia="pl-PL"/>
              </w:rPr>
            </w:pPr>
            <w:r w:rsidRPr="0058141D">
              <w:rPr>
                <w:rFonts w:ascii="Arial" w:eastAsia="Times New Roman" w:hAnsi="Arial" w:cs="Arial"/>
                <w:lang w:eastAsia="pl-PL"/>
              </w:rPr>
              <w:t>przygotowanie projektu</w:t>
            </w:r>
            <w:r>
              <w:rPr>
                <w:rFonts w:ascii="Arial" w:eastAsia="Times New Roman" w:hAnsi="Arial" w:cs="Arial"/>
                <w:lang w:eastAsia="pl-PL"/>
              </w:rPr>
              <w:t>,</w:t>
            </w:r>
          </w:p>
          <w:p w:rsidR="00EE7DEE" w:rsidRPr="0058141D" w:rsidRDefault="00EE7DEE" w:rsidP="009E4CA1">
            <w:pPr>
              <w:pStyle w:val="Akapitzlist"/>
              <w:numPr>
                <w:ilvl w:val="0"/>
                <w:numId w:val="90"/>
              </w:numPr>
              <w:spacing w:before="120" w:after="120" w:line="360" w:lineRule="auto"/>
              <w:rPr>
                <w:rFonts w:ascii="Arial" w:eastAsia="Times New Roman" w:hAnsi="Arial" w:cs="Arial"/>
                <w:lang w:eastAsia="pl-PL"/>
              </w:rPr>
            </w:pPr>
            <w:r w:rsidRPr="0058141D">
              <w:rPr>
                <w:rFonts w:ascii="Arial" w:eastAsia="Times New Roman" w:hAnsi="Arial" w:cs="Arial"/>
                <w:lang w:eastAsia="pl-PL"/>
              </w:rPr>
              <w:t>usługi wsparcia</w:t>
            </w:r>
            <w:r>
              <w:rPr>
                <w:rFonts w:ascii="Arial" w:eastAsia="Times New Roman" w:hAnsi="Arial" w:cs="Arial"/>
                <w:lang w:eastAsia="pl-PL"/>
              </w:rPr>
              <w:t>,</w:t>
            </w:r>
          </w:p>
          <w:p w:rsidR="00EE7DEE" w:rsidRPr="0058141D" w:rsidRDefault="00EE7DEE" w:rsidP="009E4CA1">
            <w:pPr>
              <w:pStyle w:val="Akapitzlist"/>
              <w:numPr>
                <w:ilvl w:val="0"/>
                <w:numId w:val="90"/>
              </w:numPr>
              <w:spacing w:before="120" w:after="120" w:line="360" w:lineRule="auto"/>
              <w:rPr>
                <w:rFonts w:ascii="Arial" w:eastAsia="Times New Roman" w:hAnsi="Arial" w:cs="Arial"/>
                <w:lang w:eastAsia="pl-PL"/>
              </w:rPr>
            </w:pPr>
            <w:r w:rsidRPr="0058141D">
              <w:rPr>
                <w:rFonts w:ascii="Arial" w:eastAsia="Times New Roman" w:hAnsi="Arial" w:cs="Arial"/>
                <w:lang w:eastAsia="pl-PL"/>
              </w:rPr>
              <w:t>usługi telekomunikacyjne i teleinformatyczne</w:t>
            </w:r>
            <w:r>
              <w:rPr>
                <w:rFonts w:ascii="Arial" w:eastAsia="Times New Roman" w:hAnsi="Arial" w:cs="Arial"/>
                <w:lang w:eastAsia="pl-PL"/>
              </w:rPr>
              <w:t>,</w:t>
            </w:r>
          </w:p>
          <w:p w:rsidR="00EE7DEE" w:rsidRPr="0058141D" w:rsidRDefault="00EE7DEE" w:rsidP="009E4CA1">
            <w:pPr>
              <w:pStyle w:val="Akapitzlist"/>
              <w:numPr>
                <w:ilvl w:val="0"/>
                <w:numId w:val="90"/>
              </w:numPr>
              <w:spacing w:before="120" w:after="120" w:line="360" w:lineRule="auto"/>
              <w:rPr>
                <w:rFonts w:ascii="Arial" w:eastAsia="Times New Roman" w:hAnsi="Arial" w:cs="Arial"/>
                <w:lang w:eastAsia="pl-PL"/>
              </w:rPr>
            </w:pPr>
            <w:r w:rsidRPr="0058141D">
              <w:rPr>
                <w:rFonts w:ascii="Arial" w:eastAsia="Times New Roman" w:hAnsi="Arial" w:cs="Arial"/>
                <w:lang w:eastAsia="pl-PL"/>
              </w:rPr>
              <w:t>serwis urządzeń</w:t>
            </w:r>
            <w:r>
              <w:rPr>
                <w:rFonts w:ascii="Arial" w:eastAsia="Times New Roman" w:hAnsi="Arial" w:cs="Arial"/>
                <w:lang w:eastAsia="pl-PL"/>
              </w:rPr>
              <w:t xml:space="preserve"> </w:t>
            </w:r>
            <w:r w:rsidRPr="0058141D">
              <w:rPr>
                <w:rFonts w:ascii="Arial" w:eastAsia="Times New Roman" w:hAnsi="Arial" w:cs="Arial"/>
                <w:lang w:eastAsia="pl-PL"/>
              </w:rPr>
              <w:t>wsparcie dla oprogramowania</w:t>
            </w:r>
            <w:r>
              <w:rPr>
                <w:rFonts w:ascii="Arial" w:eastAsia="Times New Roman" w:hAnsi="Arial" w:cs="Arial"/>
                <w:lang w:eastAsia="pl-PL"/>
              </w:rPr>
              <w:t>,</w:t>
            </w:r>
          </w:p>
          <w:p w:rsidR="00EE7DEE" w:rsidRPr="0058141D" w:rsidRDefault="00EE7DEE" w:rsidP="009E4CA1">
            <w:pPr>
              <w:pStyle w:val="Akapitzlist"/>
              <w:numPr>
                <w:ilvl w:val="0"/>
                <w:numId w:val="90"/>
              </w:numPr>
              <w:spacing w:before="120" w:after="120" w:line="360" w:lineRule="auto"/>
              <w:rPr>
                <w:rFonts w:ascii="Arial" w:eastAsia="Times New Roman" w:hAnsi="Arial" w:cs="Arial"/>
                <w:lang w:eastAsia="pl-PL"/>
              </w:rPr>
            </w:pPr>
            <w:r w:rsidRPr="0058141D">
              <w:rPr>
                <w:rFonts w:ascii="Arial" w:eastAsia="Times New Roman" w:hAnsi="Arial" w:cs="Arial"/>
                <w:lang w:eastAsia="pl-PL"/>
              </w:rPr>
              <w:t>kolokacja i najem miejsca</w:t>
            </w:r>
            <w:r>
              <w:rPr>
                <w:rFonts w:ascii="Arial" w:eastAsia="Times New Roman" w:hAnsi="Arial" w:cs="Arial"/>
                <w:lang w:eastAsia="pl-PL"/>
              </w:rPr>
              <w:t>,</w:t>
            </w:r>
          </w:p>
          <w:p w:rsidR="00EE7DEE" w:rsidRPr="0058141D" w:rsidRDefault="00EE7DEE" w:rsidP="009E4CA1">
            <w:pPr>
              <w:pStyle w:val="Akapitzlist"/>
              <w:numPr>
                <w:ilvl w:val="0"/>
                <w:numId w:val="90"/>
              </w:numPr>
              <w:spacing w:before="120" w:after="120" w:line="360" w:lineRule="auto"/>
              <w:rPr>
                <w:rFonts w:ascii="Arial" w:eastAsia="Times New Roman" w:hAnsi="Arial" w:cs="Arial"/>
                <w:lang w:eastAsia="pl-PL"/>
              </w:rPr>
            </w:pPr>
            <w:r w:rsidRPr="0058141D">
              <w:rPr>
                <w:rFonts w:ascii="Arial" w:eastAsia="Times New Roman" w:hAnsi="Arial" w:cs="Arial"/>
                <w:lang w:eastAsia="pl-PL"/>
              </w:rPr>
              <w:t>dostawa prądu i innych mediów</w:t>
            </w:r>
            <w:r>
              <w:rPr>
                <w:rFonts w:ascii="Arial" w:eastAsia="Times New Roman" w:hAnsi="Arial" w:cs="Arial"/>
                <w:lang w:eastAsia="pl-PL"/>
              </w:rPr>
              <w:t>,</w:t>
            </w:r>
            <w:r w:rsidRPr="0058141D">
              <w:rPr>
                <w:rFonts w:ascii="Arial" w:eastAsia="Times New Roman" w:hAnsi="Arial" w:cs="Arial"/>
                <w:lang w:eastAsia="pl-PL"/>
              </w:rPr>
              <w:t xml:space="preserve"> </w:t>
            </w:r>
          </w:p>
          <w:p w:rsidR="00EE7DEE" w:rsidRPr="0058141D" w:rsidRDefault="00EE7DEE" w:rsidP="009E4CA1">
            <w:pPr>
              <w:pStyle w:val="Akapitzlist"/>
              <w:numPr>
                <w:ilvl w:val="0"/>
                <w:numId w:val="90"/>
              </w:numPr>
              <w:spacing w:before="120" w:after="120" w:line="360" w:lineRule="auto"/>
              <w:rPr>
                <w:rFonts w:ascii="Arial" w:eastAsia="Times New Roman" w:hAnsi="Arial" w:cs="Arial"/>
                <w:lang w:eastAsia="pl-PL"/>
              </w:rPr>
            </w:pPr>
            <w:r w:rsidRPr="0058141D">
              <w:rPr>
                <w:rFonts w:ascii="Arial" w:eastAsia="Times New Roman" w:hAnsi="Arial" w:cs="Arial"/>
                <w:lang w:eastAsia="pl-PL"/>
              </w:rPr>
              <w:t>transport</w:t>
            </w:r>
            <w:r>
              <w:rPr>
                <w:rFonts w:ascii="Arial" w:eastAsia="Times New Roman" w:hAnsi="Arial" w:cs="Arial"/>
                <w:lang w:eastAsia="pl-PL"/>
              </w:rPr>
              <w:t>.</w:t>
            </w:r>
          </w:p>
        </w:tc>
      </w:tr>
      <w:tr w:rsidR="00EE7DEE" w:rsidRPr="008B019A" w:rsidTr="00EE7DEE">
        <w:tc>
          <w:tcPr>
            <w:tcW w:w="4537" w:type="dxa"/>
          </w:tcPr>
          <w:p w:rsidR="00EE7DEE" w:rsidRPr="00127E66" w:rsidRDefault="00EE7DEE" w:rsidP="00137BC9">
            <w:pPr>
              <w:pStyle w:val="Akapitzlist"/>
              <w:numPr>
                <w:ilvl w:val="0"/>
                <w:numId w:val="89"/>
              </w:numPr>
              <w:spacing w:before="120" w:after="120" w:line="360" w:lineRule="auto"/>
              <w:jc w:val="both"/>
              <w:rPr>
                <w:rFonts w:ascii="Arial" w:eastAsia="Times New Roman" w:hAnsi="Arial" w:cs="Arial"/>
                <w:lang w:eastAsia="pl-PL"/>
              </w:rPr>
            </w:pPr>
            <w:r w:rsidRPr="00127E66">
              <w:rPr>
                <w:rFonts w:ascii="Arial" w:eastAsia="Times New Roman" w:hAnsi="Arial" w:cs="Arial"/>
                <w:lang w:eastAsia="pl-PL"/>
              </w:rPr>
              <w:t xml:space="preserve">Informacja i </w:t>
            </w:r>
            <w:r w:rsidR="008D2916">
              <w:rPr>
                <w:rFonts w:ascii="Arial" w:eastAsia="Times New Roman" w:hAnsi="Arial" w:cs="Arial"/>
                <w:lang w:eastAsia="pl-PL"/>
              </w:rPr>
              <w:t>p</w:t>
            </w:r>
            <w:r w:rsidRPr="00127E66">
              <w:rPr>
                <w:rFonts w:ascii="Arial" w:eastAsia="Times New Roman" w:hAnsi="Arial" w:cs="Arial"/>
                <w:lang w:eastAsia="pl-PL"/>
              </w:rPr>
              <w:t>romocja</w:t>
            </w:r>
          </w:p>
        </w:tc>
        <w:tc>
          <w:tcPr>
            <w:tcW w:w="4961" w:type="dxa"/>
          </w:tcPr>
          <w:p w:rsidR="00EE7DEE" w:rsidRPr="008B019A" w:rsidRDefault="00EE7DEE" w:rsidP="008D2916">
            <w:pPr>
              <w:spacing w:before="120" w:after="120" w:line="360" w:lineRule="auto"/>
              <w:ind w:left="360"/>
              <w:jc w:val="both"/>
              <w:rPr>
                <w:rFonts w:ascii="Arial" w:eastAsia="Times New Roman" w:hAnsi="Arial" w:cs="Arial"/>
                <w:lang w:eastAsia="pl-PL"/>
              </w:rPr>
            </w:pPr>
          </w:p>
        </w:tc>
      </w:tr>
      <w:tr w:rsidR="00EE7DEE" w:rsidRPr="008B019A" w:rsidTr="00EE7DEE">
        <w:tc>
          <w:tcPr>
            <w:tcW w:w="4537" w:type="dxa"/>
          </w:tcPr>
          <w:p w:rsidR="00EE7DEE" w:rsidRPr="00127E66" w:rsidRDefault="00EE7DEE" w:rsidP="00137BC9">
            <w:pPr>
              <w:pStyle w:val="Akapitzlist"/>
              <w:numPr>
                <w:ilvl w:val="0"/>
                <w:numId w:val="89"/>
              </w:numPr>
              <w:spacing w:before="120" w:after="120" w:line="360" w:lineRule="auto"/>
              <w:jc w:val="both"/>
              <w:rPr>
                <w:rFonts w:ascii="Arial" w:eastAsia="Times New Roman" w:hAnsi="Arial" w:cs="Arial"/>
                <w:lang w:eastAsia="pl-PL"/>
              </w:rPr>
            </w:pPr>
            <w:r w:rsidRPr="00127E66">
              <w:rPr>
                <w:rFonts w:ascii="Arial" w:eastAsia="Times New Roman" w:hAnsi="Arial" w:cs="Arial"/>
                <w:lang w:eastAsia="pl-PL"/>
              </w:rPr>
              <w:t>Wydatki poniesione na pokrycie kosztów pośrednich</w:t>
            </w:r>
          </w:p>
        </w:tc>
        <w:tc>
          <w:tcPr>
            <w:tcW w:w="4961" w:type="dxa"/>
          </w:tcPr>
          <w:p w:rsidR="00EE7DEE" w:rsidRPr="008B019A" w:rsidRDefault="00EE7DEE" w:rsidP="008D2916">
            <w:pPr>
              <w:spacing w:before="120" w:after="120" w:line="360" w:lineRule="auto"/>
              <w:jc w:val="both"/>
              <w:rPr>
                <w:rFonts w:ascii="Arial" w:eastAsia="Times New Roman" w:hAnsi="Arial" w:cs="Arial"/>
                <w:lang w:eastAsia="pl-PL"/>
              </w:rPr>
            </w:pPr>
          </w:p>
        </w:tc>
      </w:tr>
    </w:tbl>
    <w:p w:rsidR="008A559B" w:rsidRDefault="008A559B" w:rsidP="008A559B"/>
    <w:p w:rsidR="00EE7DEE" w:rsidRDefault="00EE7DEE" w:rsidP="00137BC9">
      <w:pPr>
        <w:numPr>
          <w:ilvl w:val="0"/>
          <w:numId w:val="91"/>
        </w:numPr>
        <w:spacing w:before="120" w:after="120" w:line="360" w:lineRule="auto"/>
        <w:jc w:val="both"/>
        <w:rPr>
          <w:rFonts w:ascii="Arial" w:hAnsi="Arial" w:cs="Arial"/>
        </w:rPr>
      </w:pPr>
      <w:r w:rsidRPr="00EE7DEE">
        <w:rPr>
          <w:rFonts w:ascii="Arial" w:hAnsi="Arial" w:cs="Arial"/>
        </w:rPr>
        <w:lastRenderedPageBreak/>
        <w:t>Środki trwałe i wartości niematerialne i prawne oraz rzeczowe aktywa niestanowiące środków trwałych</w:t>
      </w:r>
      <w:r w:rsidR="00A03923">
        <w:rPr>
          <w:rFonts w:ascii="Arial" w:hAnsi="Arial" w:cs="Arial"/>
        </w:rPr>
        <w:t>.</w:t>
      </w:r>
    </w:p>
    <w:p w:rsidR="00EE7DEE" w:rsidRPr="00EE7DEE" w:rsidRDefault="00EE7DEE" w:rsidP="00EE7DEE">
      <w:pPr>
        <w:spacing w:before="120" w:after="120" w:line="360" w:lineRule="auto"/>
        <w:ind w:left="426"/>
        <w:jc w:val="both"/>
        <w:rPr>
          <w:rFonts w:ascii="Arial" w:hAnsi="Arial" w:cs="Arial"/>
        </w:rPr>
      </w:pPr>
      <w:r w:rsidRPr="00EE7DEE">
        <w:rPr>
          <w:rFonts w:ascii="Arial" w:hAnsi="Arial" w:cs="Arial"/>
        </w:rPr>
        <w:t>W ramach tej kategorii kwalifikowane są wydatki na pokrycie kosztów zakupu:</w:t>
      </w:r>
    </w:p>
    <w:p w:rsidR="00EE7DEE" w:rsidRPr="00EE7DEE" w:rsidRDefault="00EE7DEE" w:rsidP="00137BC9">
      <w:pPr>
        <w:numPr>
          <w:ilvl w:val="0"/>
          <w:numId w:val="93"/>
        </w:numPr>
        <w:spacing w:before="120" w:after="120" w:line="360" w:lineRule="auto"/>
        <w:jc w:val="both"/>
        <w:rPr>
          <w:rFonts w:ascii="Arial" w:hAnsi="Arial" w:cs="Arial"/>
        </w:rPr>
      </w:pPr>
      <w:r w:rsidRPr="00EE7DEE">
        <w:rPr>
          <w:rFonts w:ascii="Arial" w:hAnsi="Arial" w:cs="Arial"/>
        </w:rPr>
        <w:t>urządzeń i budowli będących środkami trwałymi niezbędnych do realizacji projektu, takich jak:</w:t>
      </w:r>
    </w:p>
    <w:p w:rsidR="00EE7DEE" w:rsidRPr="001B7151" w:rsidRDefault="00EE7DEE" w:rsidP="001B7151">
      <w:pPr>
        <w:spacing w:before="120" w:after="120" w:line="360" w:lineRule="auto"/>
        <w:ind w:left="993" w:hanging="360"/>
        <w:jc w:val="both"/>
        <w:rPr>
          <w:rFonts w:ascii="Arial" w:eastAsia="Times New Roman" w:hAnsi="Arial" w:cs="Arial"/>
          <w:lang w:eastAsia="pl-PL"/>
        </w:rPr>
      </w:pPr>
      <w:r w:rsidRPr="001B7151">
        <w:rPr>
          <w:rFonts w:ascii="Arial" w:eastAsia="Times New Roman" w:hAnsi="Arial" w:cs="Arial"/>
          <w:lang w:eastAsia="pl-PL"/>
        </w:rPr>
        <w:t>i.</w:t>
      </w:r>
      <w:r w:rsidRPr="001B7151">
        <w:rPr>
          <w:rFonts w:ascii="Arial" w:eastAsia="Times New Roman" w:hAnsi="Arial" w:cs="Arial"/>
          <w:lang w:eastAsia="pl-PL"/>
        </w:rPr>
        <w:tab/>
        <w:t>urządzenia techniczne (np. urządzenia końcowe – CPE, punkty dostępowe WLAN – AP, przełączniki sieciowe, routery, urządzenia bezpieczeństwa takie jak np. firewall, bramy, serwery, macierze, biblioteki taśmowe itp.);</w:t>
      </w:r>
    </w:p>
    <w:p w:rsidR="00EE7DEE" w:rsidRPr="001B7151" w:rsidRDefault="00EE7DEE" w:rsidP="001B7151">
      <w:pPr>
        <w:spacing w:before="120" w:after="120" w:line="360" w:lineRule="auto"/>
        <w:ind w:left="993" w:hanging="360"/>
        <w:jc w:val="both"/>
        <w:rPr>
          <w:rFonts w:ascii="Arial" w:eastAsia="Times New Roman" w:hAnsi="Arial" w:cs="Arial"/>
          <w:lang w:eastAsia="pl-PL"/>
        </w:rPr>
      </w:pPr>
      <w:r w:rsidRPr="001B7151">
        <w:rPr>
          <w:rFonts w:ascii="Arial" w:eastAsia="Times New Roman" w:hAnsi="Arial" w:cs="Arial"/>
          <w:lang w:eastAsia="pl-PL"/>
        </w:rPr>
        <w:t>ii.</w:t>
      </w:r>
      <w:r w:rsidRPr="001B7151">
        <w:rPr>
          <w:rFonts w:ascii="Arial" w:eastAsia="Times New Roman" w:hAnsi="Arial" w:cs="Arial"/>
          <w:lang w:eastAsia="pl-PL"/>
        </w:rPr>
        <w:tab/>
        <w:t>infrastruktura techniczna (np. szafy telekomunikacyjne, UPS, klimatyzacja, system monitoringu, modem GSM, przełącznica, krosownica, pole zasilania itp.);</w:t>
      </w:r>
    </w:p>
    <w:p w:rsidR="00EE7DEE" w:rsidRPr="001B7151" w:rsidRDefault="00EE7DEE" w:rsidP="001B7151">
      <w:pPr>
        <w:spacing w:before="120" w:after="120" w:line="360" w:lineRule="auto"/>
        <w:ind w:left="993" w:hanging="360"/>
        <w:jc w:val="both"/>
        <w:rPr>
          <w:rFonts w:ascii="Arial" w:eastAsia="Times New Roman" w:hAnsi="Arial" w:cs="Arial"/>
          <w:lang w:eastAsia="pl-PL"/>
        </w:rPr>
      </w:pPr>
      <w:r w:rsidRPr="001B7151">
        <w:rPr>
          <w:rFonts w:ascii="Arial" w:eastAsia="Times New Roman" w:hAnsi="Arial" w:cs="Arial"/>
          <w:lang w:eastAsia="pl-PL"/>
        </w:rPr>
        <w:t>iii.</w:t>
      </w:r>
      <w:r w:rsidRPr="001B7151">
        <w:rPr>
          <w:rFonts w:ascii="Arial" w:eastAsia="Times New Roman" w:hAnsi="Arial" w:cs="Arial"/>
          <w:lang w:eastAsia="pl-PL"/>
        </w:rPr>
        <w:tab/>
        <w:t>kabel telekomunikacyjny z instalacją, kanalizacja teletechniczna (w budynku, w gruncie, w kanalizacji itp.);</w:t>
      </w:r>
    </w:p>
    <w:p w:rsidR="00EE7DEE" w:rsidRPr="001B7151" w:rsidRDefault="00EE7DEE" w:rsidP="001B7151">
      <w:pPr>
        <w:spacing w:before="120" w:after="120" w:line="360" w:lineRule="auto"/>
        <w:ind w:left="993" w:hanging="360"/>
        <w:jc w:val="both"/>
        <w:rPr>
          <w:rFonts w:ascii="Arial" w:eastAsia="Times New Roman" w:hAnsi="Arial" w:cs="Arial"/>
          <w:lang w:eastAsia="pl-PL"/>
        </w:rPr>
      </w:pPr>
      <w:r w:rsidRPr="001B7151">
        <w:rPr>
          <w:rFonts w:ascii="Arial" w:eastAsia="Times New Roman" w:hAnsi="Arial" w:cs="Arial"/>
          <w:lang w:eastAsia="pl-PL"/>
        </w:rPr>
        <w:t>iv.</w:t>
      </w:r>
      <w:r w:rsidRPr="001B7151">
        <w:rPr>
          <w:rFonts w:ascii="Arial" w:eastAsia="Times New Roman" w:hAnsi="Arial" w:cs="Arial"/>
          <w:lang w:eastAsia="pl-PL"/>
        </w:rPr>
        <w:tab/>
        <w:t xml:space="preserve">elementy urządzeń telekomunikacyjnych (np. karty do istniejących routerów, </w:t>
      </w:r>
      <w:proofErr w:type="spellStart"/>
      <w:r w:rsidRPr="001B7151">
        <w:rPr>
          <w:rFonts w:ascii="Arial" w:eastAsia="Times New Roman" w:hAnsi="Arial" w:cs="Arial"/>
          <w:lang w:eastAsia="pl-PL"/>
        </w:rPr>
        <w:t>switchy</w:t>
      </w:r>
      <w:proofErr w:type="spellEnd"/>
      <w:r w:rsidRPr="001B7151">
        <w:rPr>
          <w:rFonts w:ascii="Arial" w:eastAsia="Times New Roman" w:hAnsi="Arial" w:cs="Arial"/>
          <w:lang w:eastAsia="pl-PL"/>
        </w:rPr>
        <w:t xml:space="preserve"> itp.);</w:t>
      </w:r>
    </w:p>
    <w:p w:rsidR="00EE7DEE" w:rsidRPr="00EE7DEE" w:rsidRDefault="00EE7DEE" w:rsidP="00137BC9">
      <w:pPr>
        <w:numPr>
          <w:ilvl w:val="0"/>
          <w:numId w:val="93"/>
        </w:numPr>
        <w:spacing w:before="120" w:after="120" w:line="360" w:lineRule="auto"/>
        <w:jc w:val="both"/>
        <w:rPr>
          <w:rFonts w:ascii="Arial" w:hAnsi="Arial" w:cs="Arial"/>
        </w:rPr>
      </w:pPr>
      <w:r w:rsidRPr="00EE7DEE">
        <w:rPr>
          <w:rFonts w:ascii="Arial" w:hAnsi="Arial" w:cs="Arial"/>
        </w:rPr>
        <w:t>licencji i oprogramowania będących wartościami niematerialnymi prawnymi</w:t>
      </w:r>
      <w:r w:rsidR="00A03923">
        <w:rPr>
          <w:rFonts w:ascii="Arial" w:hAnsi="Arial" w:cs="Arial"/>
        </w:rPr>
        <w:t>,</w:t>
      </w:r>
      <w:r w:rsidRPr="00EE7DEE">
        <w:rPr>
          <w:rFonts w:ascii="Arial" w:hAnsi="Arial" w:cs="Arial"/>
        </w:rPr>
        <w:t xml:space="preserve"> niezbędnych do realizacji projektu, takich jak:</w:t>
      </w:r>
    </w:p>
    <w:p w:rsidR="00EE7DEE" w:rsidRPr="001B7151" w:rsidRDefault="00EE7DEE" w:rsidP="001B7151">
      <w:pPr>
        <w:spacing w:before="120" w:after="120" w:line="360" w:lineRule="auto"/>
        <w:ind w:left="993" w:hanging="360"/>
        <w:jc w:val="both"/>
        <w:rPr>
          <w:rFonts w:ascii="Arial" w:eastAsia="Times New Roman" w:hAnsi="Arial" w:cs="Arial"/>
          <w:lang w:eastAsia="pl-PL"/>
        </w:rPr>
      </w:pPr>
      <w:r w:rsidRPr="00EE7DEE">
        <w:rPr>
          <w:rFonts w:ascii="Arial" w:hAnsi="Arial" w:cs="Arial"/>
        </w:rPr>
        <w:t>i</w:t>
      </w:r>
      <w:r w:rsidRPr="001B7151">
        <w:rPr>
          <w:rFonts w:ascii="Arial" w:eastAsia="Times New Roman" w:hAnsi="Arial" w:cs="Arial"/>
          <w:lang w:eastAsia="pl-PL"/>
        </w:rPr>
        <w:t>.</w:t>
      </w:r>
      <w:r w:rsidRPr="001B7151">
        <w:rPr>
          <w:rFonts w:ascii="Arial" w:eastAsia="Times New Roman" w:hAnsi="Arial" w:cs="Arial"/>
          <w:lang w:eastAsia="pl-PL"/>
        </w:rPr>
        <w:tab/>
        <w:t>licencje na oprogramowanie (np. system zarządzania, systemy bezpieczeństwa, rozbudowa systemu zarządzania, portal fazy początkowej, systemy wirtualizacji, oprogramowanie systemowe itp.)</w:t>
      </w:r>
    </w:p>
    <w:p w:rsidR="00EE7DEE" w:rsidRPr="001B7151" w:rsidRDefault="00EE7DEE" w:rsidP="001B7151">
      <w:pPr>
        <w:spacing w:before="120" w:after="120" w:line="360" w:lineRule="auto"/>
        <w:ind w:left="993" w:hanging="360"/>
        <w:jc w:val="both"/>
        <w:rPr>
          <w:rFonts w:ascii="Arial" w:eastAsia="Times New Roman" w:hAnsi="Arial" w:cs="Arial"/>
          <w:lang w:eastAsia="pl-PL"/>
        </w:rPr>
      </w:pPr>
      <w:r w:rsidRPr="001B7151">
        <w:rPr>
          <w:rFonts w:ascii="Arial" w:eastAsia="Times New Roman" w:hAnsi="Arial" w:cs="Arial"/>
          <w:lang w:eastAsia="pl-PL"/>
        </w:rPr>
        <w:t>ii.</w:t>
      </w:r>
      <w:r w:rsidRPr="001B7151">
        <w:rPr>
          <w:rFonts w:ascii="Arial" w:eastAsia="Times New Roman" w:hAnsi="Arial" w:cs="Arial"/>
          <w:lang w:eastAsia="pl-PL"/>
        </w:rPr>
        <w:tab/>
        <w:t>licencje na dostęp do baz danych, systemów gromadzących dane oraz plików z informacjami (np. sygnatury treści zakazanych, sygnatury wirusów, sygnatury ataków itp.)</w:t>
      </w:r>
    </w:p>
    <w:p w:rsidR="00EE7DEE" w:rsidRPr="00EE7DEE" w:rsidRDefault="00EE7DEE" w:rsidP="00137BC9">
      <w:pPr>
        <w:numPr>
          <w:ilvl w:val="0"/>
          <w:numId w:val="93"/>
        </w:numPr>
        <w:spacing w:before="120" w:after="120" w:line="360" w:lineRule="auto"/>
        <w:jc w:val="both"/>
        <w:rPr>
          <w:rFonts w:ascii="Arial" w:hAnsi="Arial" w:cs="Arial"/>
        </w:rPr>
      </w:pPr>
      <w:r w:rsidRPr="00EE7DEE">
        <w:rPr>
          <w:rFonts w:ascii="Arial" w:hAnsi="Arial" w:cs="Arial"/>
        </w:rPr>
        <w:t>materiałów, elementów i urządzeń niebędących środkami trwałymi lub ich elementami, takich jak:</w:t>
      </w:r>
    </w:p>
    <w:p w:rsidR="00EE7DEE" w:rsidRPr="00EE7DEE" w:rsidRDefault="00EE7DEE" w:rsidP="001B7151">
      <w:pPr>
        <w:spacing w:before="120" w:after="120" w:line="360" w:lineRule="auto"/>
        <w:ind w:left="993" w:hanging="360"/>
        <w:jc w:val="both"/>
        <w:rPr>
          <w:rFonts w:ascii="Arial" w:hAnsi="Arial" w:cs="Arial"/>
        </w:rPr>
      </w:pPr>
      <w:r w:rsidRPr="00EE7DEE">
        <w:rPr>
          <w:rFonts w:ascii="Arial" w:hAnsi="Arial" w:cs="Arial"/>
        </w:rPr>
        <w:t>i.</w:t>
      </w:r>
      <w:r w:rsidRPr="00EE7DEE">
        <w:rPr>
          <w:rFonts w:ascii="Arial" w:hAnsi="Arial" w:cs="Arial"/>
        </w:rPr>
        <w:tab/>
      </w:r>
      <w:proofErr w:type="spellStart"/>
      <w:r w:rsidRPr="00EE7DEE">
        <w:rPr>
          <w:rFonts w:ascii="Arial" w:hAnsi="Arial" w:cs="Arial"/>
        </w:rPr>
        <w:t>niskocenne</w:t>
      </w:r>
      <w:proofErr w:type="spellEnd"/>
      <w:r w:rsidRPr="00EE7DEE">
        <w:rPr>
          <w:rFonts w:ascii="Arial" w:hAnsi="Arial" w:cs="Arial"/>
        </w:rPr>
        <w:t xml:space="preserve"> urządzenia i elementy (np. wkładki światłowodowe, narzędzia itp.)</w:t>
      </w:r>
    </w:p>
    <w:p w:rsidR="00EE7DEE" w:rsidRPr="00EE7DEE" w:rsidRDefault="00EE7DEE" w:rsidP="001B7151">
      <w:pPr>
        <w:spacing w:before="120" w:after="120" w:line="360" w:lineRule="auto"/>
        <w:ind w:left="993" w:hanging="360"/>
        <w:jc w:val="both"/>
        <w:rPr>
          <w:rFonts w:ascii="Arial" w:hAnsi="Arial" w:cs="Arial"/>
        </w:rPr>
      </w:pPr>
      <w:r w:rsidRPr="00EE7DEE">
        <w:rPr>
          <w:rFonts w:ascii="Arial" w:hAnsi="Arial" w:cs="Arial"/>
        </w:rPr>
        <w:t>ii.</w:t>
      </w:r>
      <w:r w:rsidRPr="00EE7DEE">
        <w:rPr>
          <w:rFonts w:ascii="Arial" w:hAnsi="Arial" w:cs="Arial"/>
        </w:rPr>
        <w:tab/>
        <w:t xml:space="preserve">materiały (np. kabel LAN, złączki, gniazda, </w:t>
      </w:r>
      <w:proofErr w:type="spellStart"/>
      <w:r w:rsidRPr="00EE7DEE">
        <w:rPr>
          <w:rFonts w:ascii="Arial" w:hAnsi="Arial" w:cs="Arial"/>
        </w:rPr>
        <w:t>patchpanele</w:t>
      </w:r>
      <w:proofErr w:type="spellEnd"/>
      <w:r w:rsidRPr="00EE7DEE">
        <w:rPr>
          <w:rFonts w:ascii="Arial" w:hAnsi="Arial" w:cs="Arial"/>
        </w:rPr>
        <w:t>, łączniki itp.)</w:t>
      </w:r>
    </w:p>
    <w:p w:rsidR="00EE7DEE" w:rsidRPr="00EE7DEE" w:rsidRDefault="00EE7DEE" w:rsidP="001B7151">
      <w:pPr>
        <w:spacing w:before="120" w:after="120" w:line="360" w:lineRule="auto"/>
        <w:ind w:left="993" w:hanging="360"/>
        <w:jc w:val="both"/>
        <w:rPr>
          <w:rFonts w:ascii="Arial" w:hAnsi="Arial" w:cs="Arial"/>
        </w:rPr>
      </w:pPr>
      <w:r w:rsidRPr="00EE7DEE">
        <w:rPr>
          <w:rFonts w:ascii="Arial" w:hAnsi="Arial" w:cs="Arial"/>
        </w:rPr>
        <w:t>iii.</w:t>
      </w:r>
      <w:r w:rsidRPr="00EE7DEE">
        <w:rPr>
          <w:rFonts w:ascii="Arial" w:hAnsi="Arial" w:cs="Arial"/>
        </w:rPr>
        <w:tab/>
        <w:t>infrastruktura techniczna (np. szafy telekomunikacyjne, UPS, klimatyzacja, system monitoringu, modem GSM, przełącznica, krosownica, pole zasilania itp.) – o wartości jednostkowej poniżej 10 000,00 zł.</w:t>
      </w:r>
    </w:p>
    <w:p w:rsidR="008A559B" w:rsidRDefault="008D2916" w:rsidP="00137BC9">
      <w:pPr>
        <w:numPr>
          <w:ilvl w:val="0"/>
          <w:numId w:val="91"/>
        </w:numPr>
        <w:spacing w:before="120" w:after="120" w:line="360" w:lineRule="auto"/>
        <w:jc w:val="both"/>
        <w:rPr>
          <w:rFonts w:ascii="Arial" w:hAnsi="Arial" w:cs="Arial"/>
        </w:rPr>
      </w:pPr>
      <w:r w:rsidRPr="001B7151">
        <w:rPr>
          <w:rFonts w:ascii="Arial" w:hAnsi="Arial" w:cs="Arial"/>
        </w:rPr>
        <w:t>Wynagrodzenia pracowników wykonujących merytoryczne zadania bezpośrednio związane z głównymi celami i produktami projektu</w:t>
      </w:r>
      <w:r w:rsidR="00A03923">
        <w:rPr>
          <w:rFonts w:ascii="Arial" w:hAnsi="Arial" w:cs="Arial"/>
        </w:rPr>
        <w:t>.</w:t>
      </w:r>
    </w:p>
    <w:p w:rsidR="001B7151" w:rsidRDefault="008D2916" w:rsidP="00137BC9">
      <w:pPr>
        <w:numPr>
          <w:ilvl w:val="0"/>
          <w:numId w:val="91"/>
        </w:numPr>
        <w:spacing w:before="120" w:after="120" w:line="360" w:lineRule="auto"/>
        <w:jc w:val="both"/>
        <w:rPr>
          <w:rFonts w:ascii="Arial" w:hAnsi="Arial" w:cs="Arial"/>
        </w:rPr>
      </w:pPr>
      <w:r w:rsidRPr="001B7151">
        <w:rPr>
          <w:rFonts w:ascii="Arial" w:hAnsi="Arial" w:cs="Arial"/>
        </w:rPr>
        <w:t>Usługi zewnętrzne</w:t>
      </w:r>
      <w:r w:rsidR="001B7151">
        <w:rPr>
          <w:rFonts w:ascii="Arial" w:hAnsi="Arial" w:cs="Arial"/>
        </w:rPr>
        <w:t>, w tym wydatki poniesione na:</w:t>
      </w:r>
    </w:p>
    <w:p w:rsidR="001B7151" w:rsidRPr="001B7151" w:rsidRDefault="001B7151" w:rsidP="00137BC9">
      <w:pPr>
        <w:numPr>
          <w:ilvl w:val="0"/>
          <w:numId w:val="97"/>
        </w:numPr>
        <w:spacing w:before="120" w:after="120" w:line="360" w:lineRule="auto"/>
        <w:jc w:val="both"/>
        <w:rPr>
          <w:rFonts w:ascii="Arial" w:hAnsi="Arial" w:cs="Arial"/>
        </w:rPr>
      </w:pPr>
      <w:r w:rsidRPr="001B7151">
        <w:rPr>
          <w:rFonts w:ascii="Arial" w:hAnsi="Arial" w:cs="Arial"/>
        </w:rPr>
        <w:lastRenderedPageBreak/>
        <w:t xml:space="preserve">przygotowanie projektu: </w:t>
      </w:r>
    </w:p>
    <w:p w:rsidR="001B7151" w:rsidRPr="001B7151" w:rsidRDefault="001B7151" w:rsidP="00137BC9">
      <w:pPr>
        <w:numPr>
          <w:ilvl w:val="0"/>
          <w:numId w:val="96"/>
        </w:numPr>
        <w:spacing w:before="120" w:after="120" w:line="360" w:lineRule="auto"/>
        <w:ind w:left="992" w:hanging="357"/>
        <w:jc w:val="both"/>
        <w:rPr>
          <w:rFonts w:ascii="Arial" w:hAnsi="Arial" w:cs="Arial"/>
        </w:rPr>
      </w:pPr>
      <w:r w:rsidRPr="001B7151">
        <w:rPr>
          <w:rFonts w:ascii="Arial" w:hAnsi="Arial" w:cs="Arial"/>
        </w:rPr>
        <w:t>dokumentacja techniczna, finansowa, w tym w zakresie pomocy publicznej, o ile jej opracowanie jest niezbędne do przygotowania lub realizacji projektu, z wyjątkiem wypełnienia formularza wniosku o dofinansowanie</w:t>
      </w:r>
      <w:r w:rsidR="00A03923">
        <w:rPr>
          <w:rFonts w:ascii="Arial" w:hAnsi="Arial" w:cs="Arial"/>
        </w:rPr>
        <w:t>,</w:t>
      </w:r>
      <w:r w:rsidRPr="001B7151">
        <w:rPr>
          <w:rFonts w:ascii="Arial" w:hAnsi="Arial" w:cs="Arial"/>
        </w:rPr>
        <w:t xml:space="preserve"> </w:t>
      </w:r>
    </w:p>
    <w:p w:rsidR="001B7151" w:rsidRPr="001B7151" w:rsidRDefault="001B7151" w:rsidP="00137BC9">
      <w:pPr>
        <w:numPr>
          <w:ilvl w:val="0"/>
          <w:numId w:val="96"/>
        </w:numPr>
        <w:spacing w:before="120" w:after="120" w:line="360" w:lineRule="auto"/>
        <w:ind w:left="992" w:hanging="357"/>
        <w:jc w:val="both"/>
        <w:rPr>
          <w:rFonts w:ascii="Arial" w:hAnsi="Arial" w:cs="Arial"/>
        </w:rPr>
      </w:pPr>
      <w:r w:rsidRPr="001B7151">
        <w:rPr>
          <w:rFonts w:ascii="Arial" w:hAnsi="Arial" w:cs="Arial"/>
        </w:rPr>
        <w:t>studium wykonalności,</w:t>
      </w:r>
    </w:p>
    <w:p w:rsidR="001B7151" w:rsidRPr="001B7151" w:rsidRDefault="001B7151" w:rsidP="00137BC9">
      <w:pPr>
        <w:numPr>
          <w:ilvl w:val="0"/>
          <w:numId w:val="96"/>
        </w:numPr>
        <w:spacing w:before="120" w:after="120" w:line="360" w:lineRule="auto"/>
        <w:ind w:left="992" w:hanging="357"/>
        <w:jc w:val="both"/>
        <w:rPr>
          <w:rFonts w:ascii="Arial" w:hAnsi="Arial" w:cs="Arial"/>
        </w:rPr>
      </w:pPr>
      <w:r w:rsidRPr="001B7151">
        <w:rPr>
          <w:rFonts w:ascii="Arial" w:hAnsi="Arial" w:cs="Arial"/>
        </w:rPr>
        <w:t>dokumentacja przetargowa,</w:t>
      </w:r>
    </w:p>
    <w:p w:rsidR="001B7151" w:rsidRPr="001B7151" w:rsidRDefault="001B7151" w:rsidP="00137BC9">
      <w:pPr>
        <w:numPr>
          <w:ilvl w:val="0"/>
          <w:numId w:val="96"/>
        </w:numPr>
        <w:spacing w:before="120" w:after="120" w:line="360" w:lineRule="auto"/>
        <w:ind w:left="992" w:hanging="357"/>
        <w:jc w:val="both"/>
        <w:rPr>
          <w:rFonts w:ascii="Arial" w:hAnsi="Arial" w:cs="Arial"/>
        </w:rPr>
      </w:pPr>
      <w:r w:rsidRPr="001B7151">
        <w:rPr>
          <w:rFonts w:ascii="Arial" w:hAnsi="Arial" w:cs="Arial"/>
        </w:rPr>
        <w:t>uzyskanie niezbędnych decyzji administracyjnych na etapie przygotowania projektu czy wniosku o dofinansowanie,</w:t>
      </w:r>
    </w:p>
    <w:p w:rsidR="001B7151" w:rsidRPr="001B7151" w:rsidRDefault="001B7151" w:rsidP="00137BC9">
      <w:pPr>
        <w:numPr>
          <w:ilvl w:val="0"/>
          <w:numId w:val="96"/>
        </w:numPr>
        <w:spacing w:before="120" w:after="120" w:line="360" w:lineRule="auto"/>
        <w:ind w:left="992" w:hanging="357"/>
        <w:jc w:val="both"/>
        <w:rPr>
          <w:rFonts w:ascii="Arial" w:hAnsi="Arial" w:cs="Arial"/>
        </w:rPr>
      </w:pPr>
      <w:r w:rsidRPr="001B7151">
        <w:rPr>
          <w:rFonts w:ascii="Arial" w:hAnsi="Arial" w:cs="Arial"/>
        </w:rPr>
        <w:t>obsługa instrumentów zabezpieczających realizację umowy o dofinansowanie, określona w umowie o dofinansowanie,</w:t>
      </w:r>
    </w:p>
    <w:p w:rsidR="001B7151" w:rsidRPr="001B7151" w:rsidRDefault="001B7151" w:rsidP="00137BC9">
      <w:pPr>
        <w:numPr>
          <w:ilvl w:val="0"/>
          <w:numId w:val="96"/>
        </w:numPr>
        <w:spacing w:before="120" w:after="120" w:line="360" w:lineRule="auto"/>
        <w:ind w:left="992" w:hanging="357"/>
        <w:jc w:val="both"/>
        <w:rPr>
          <w:rFonts w:ascii="Arial" w:hAnsi="Arial" w:cs="Arial"/>
        </w:rPr>
      </w:pPr>
      <w:r w:rsidRPr="001B7151">
        <w:rPr>
          <w:rFonts w:ascii="Arial" w:hAnsi="Arial" w:cs="Arial"/>
        </w:rPr>
        <w:t>ocena oddziaływania na środowisko,</w:t>
      </w:r>
    </w:p>
    <w:p w:rsidR="001B7151" w:rsidRPr="001B7151" w:rsidRDefault="001B7151" w:rsidP="00137BC9">
      <w:pPr>
        <w:numPr>
          <w:ilvl w:val="0"/>
          <w:numId w:val="96"/>
        </w:numPr>
        <w:spacing w:before="120" w:after="120" w:line="360" w:lineRule="auto"/>
        <w:ind w:left="992" w:hanging="357"/>
        <w:jc w:val="both"/>
        <w:rPr>
          <w:rFonts w:ascii="Arial" w:hAnsi="Arial" w:cs="Arial"/>
        </w:rPr>
      </w:pPr>
      <w:r w:rsidRPr="001B7151">
        <w:rPr>
          <w:rFonts w:ascii="Arial" w:hAnsi="Arial" w:cs="Arial"/>
        </w:rPr>
        <w:t>mapy lub szkice sytuujące projekt,</w:t>
      </w:r>
    </w:p>
    <w:p w:rsidR="001B7151" w:rsidRPr="001B7151" w:rsidRDefault="001B7151" w:rsidP="00137BC9">
      <w:pPr>
        <w:numPr>
          <w:ilvl w:val="0"/>
          <w:numId w:val="97"/>
        </w:numPr>
        <w:spacing w:before="120" w:after="120" w:line="360" w:lineRule="auto"/>
        <w:jc w:val="both"/>
        <w:rPr>
          <w:rFonts w:ascii="Arial" w:hAnsi="Arial" w:cs="Arial"/>
        </w:rPr>
      </w:pPr>
      <w:r w:rsidRPr="001B7151">
        <w:rPr>
          <w:rFonts w:ascii="Arial" w:hAnsi="Arial" w:cs="Arial"/>
        </w:rPr>
        <w:t>usługi wsparcia:</w:t>
      </w:r>
    </w:p>
    <w:p w:rsidR="001B7151" w:rsidRPr="001B7151" w:rsidRDefault="001B7151" w:rsidP="00137BC9">
      <w:pPr>
        <w:numPr>
          <w:ilvl w:val="0"/>
          <w:numId w:val="94"/>
        </w:numPr>
        <w:spacing w:before="120" w:after="120" w:line="360" w:lineRule="auto"/>
        <w:ind w:left="992" w:hanging="357"/>
        <w:jc w:val="both"/>
        <w:rPr>
          <w:rFonts w:ascii="Arial" w:hAnsi="Arial" w:cs="Arial"/>
        </w:rPr>
      </w:pPr>
      <w:r w:rsidRPr="001B7151">
        <w:rPr>
          <w:rFonts w:ascii="Arial" w:hAnsi="Arial" w:cs="Arial"/>
        </w:rPr>
        <w:t>teleinformatycznego (np. usługi partnerów uruchamiających i konfigurujących oraz wspierających na miejscu usługę w szkole, instalacja urządzeń w węźle, wsparcie obsługi itp.).</w:t>
      </w:r>
    </w:p>
    <w:p w:rsidR="001B7151" w:rsidRPr="001B7151" w:rsidRDefault="001B7151" w:rsidP="00137BC9">
      <w:pPr>
        <w:numPr>
          <w:ilvl w:val="0"/>
          <w:numId w:val="94"/>
        </w:numPr>
        <w:spacing w:before="120" w:after="120" w:line="360" w:lineRule="auto"/>
        <w:ind w:left="992" w:hanging="357"/>
        <w:jc w:val="both"/>
        <w:rPr>
          <w:rFonts w:ascii="Arial" w:hAnsi="Arial" w:cs="Arial"/>
        </w:rPr>
      </w:pPr>
      <w:r w:rsidRPr="001B7151">
        <w:rPr>
          <w:rFonts w:ascii="Arial" w:hAnsi="Arial" w:cs="Arial"/>
        </w:rPr>
        <w:t>usługi konsultacyjne (np. techniczne, wsparcie wytworzenia projektu technicznego, prawne, inne).</w:t>
      </w:r>
    </w:p>
    <w:p w:rsidR="001B7151" w:rsidRPr="001B7151" w:rsidRDefault="001B7151" w:rsidP="00137BC9">
      <w:pPr>
        <w:numPr>
          <w:ilvl w:val="0"/>
          <w:numId w:val="97"/>
        </w:numPr>
        <w:spacing w:before="120" w:after="120" w:line="360" w:lineRule="auto"/>
        <w:jc w:val="both"/>
        <w:rPr>
          <w:rFonts w:ascii="Arial" w:hAnsi="Arial" w:cs="Arial"/>
        </w:rPr>
      </w:pPr>
      <w:r w:rsidRPr="001B7151">
        <w:rPr>
          <w:rFonts w:ascii="Arial" w:hAnsi="Arial" w:cs="Arial"/>
        </w:rPr>
        <w:t>usługi telekomunikacyjne i teleinformatyczne:</w:t>
      </w:r>
    </w:p>
    <w:p w:rsidR="001B7151" w:rsidRPr="001B7151" w:rsidRDefault="001B7151" w:rsidP="00137BC9">
      <w:pPr>
        <w:numPr>
          <w:ilvl w:val="0"/>
          <w:numId w:val="95"/>
        </w:numPr>
        <w:spacing w:before="120" w:after="120" w:line="360" w:lineRule="auto"/>
        <w:ind w:left="992" w:hanging="357"/>
        <w:jc w:val="both"/>
        <w:rPr>
          <w:rFonts w:ascii="Arial" w:hAnsi="Arial" w:cs="Arial"/>
        </w:rPr>
      </w:pPr>
      <w:r w:rsidRPr="001B7151">
        <w:rPr>
          <w:rFonts w:ascii="Arial" w:hAnsi="Arial" w:cs="Arial"/>
        </w:rPr>
        <w:t>usługi dzierżawy łączy telekomunikacyjnych (w tym jednorazowe i abonamentowe) w trakcie realizacji projektu,</w:t>
      </w:r>
    </w:p>
    <w:p w:rsidR="001B7151" w:rsidRPr="001B7151" w:rsidRDefault="001B7151" w:rsidP="00137BC9">
      <w:pPr>
        <w:numPr>
          <w:ilvl w:val="0"/>
          <w:numId w:val="95"/>
        </w:numPr>
        <w:spacing w:before="120" w:after="120" w:line="360" w:lineRule="auto"/>
        <w:ind w:left="992" w:hanging="357"/>
        <w:jc w:val="both"/>
        <w:rPr>
          <w:rFonts w:ascii="Arial" w:hAnsi="Arial" w:cs="Arial"/>
        </w:rPr>
      </w:pPr>
      <w:r w:rsidRPr="001B7151">
        <w:rPr>
          <w:rFonts w:ascii="Arial" w:hAnsi="Arial" w:cs="Arial"/>
        </w:rPr>
        <w:t>usługi telekomunikacyjne inne (np. tranzyt ruchu, dostęp do punktu wymiany ruchu, utrzymanie punktu styku itp.) w trakcie realizacji projektu,</w:t>
      </w:r>
    </w:p>
    <w:p w:rsidR="001B7151" w:rsidRPr="001B7151" w:rsidRDefault="001B7151" w:rsidP="00137BC9">
      <w:pPr>
        <w:numPr>
          <w:ilvl w:val="0"/>
          <w:numId w:val="95"/>
        </w:numPr>
        <w:spacing w:before="120" w:after="120" w:line="360" w:lineRule="auto"/>
        <w:ind w:left="992" w:hanging="357"/>
        <w:jc w:val="both"/>
        <w:rPr>
          <w:rFonts w:ascii="Arial" w:hAnsi="Arial" w:cs="Arial"/>
        </w:rPr>
      </w:pPr>
      <w:r w:rsidRPr="001B7151">
        <w:rPr>
          <w:rFonts w:ascii="Arial" w:hAnsi="Arial" w:cs="Arial"/>
        </w:rPr>
        <w:t>usługi teleinformatyczne (np. filtrowanie pod względem bezpieczeństwa ruchu internetowego).</w:t>
      </w:r>
    </w:p>
    <w:p w:rsidR="001B7151" w:rsidRPr="001B7151" w:rsidRDefault="001B7151" w:rsidP="00137BC9">
      <w:pPr>
        <w:numPr>
          <w:ilvl w:val="0"/>
          <w:numId w:val="97"/>
        </w:numPr>
        <w:spacing w:before="120" w:after="120" w:line="360" w:lineRule="auto"/>
        <w:jc w:val="both"/>
        <w:rPr>
          <w:rFonts w:ascii="Arial" w:hAnsi="Arial" w:cs="Arial"/>
        </w:rPr>
      </w:pPr>
      <w:r w:rsidRPr="001B7151">
        <w:rPr>
          <w:rFonts w:ascii="Arial" w:hAnsi="Arial" w:cs="Arial"/>
        </w:rPr>
        <w:t>instalacja i serwis urządzeń w trakcie realizacji projektu,</w:t>
      </w:r>
    </w:p>
    <w:p w:rsidR="001B7151" w:rsidRPr="001B7151" w:rsidRDefault="001B7151" w:rsidP="00137BC9">
      <w:pPr>
        <w:numPr>
          <w:ilvl w:val="0"/>
          <w:numId w:val="97"/>
        </w:numPr>
        <w:spacing w:before="120" w:after="120" w:line="360" w:lineRule="auto"/>
        <w:jc w:val="both"/>
        <w:rPr>
          <w:rFonts w:ascii="Arial" w:hAnsi="Arial" w:cs="Arial"/>
        </w:rPr>
      </w:pPr>
      <w:r w:rsidRPr="001B7151">
        <w:rPr>
          <w:rFonts w:ascii="Arial" w:hAnsi="Arial" w:cs="Arial"/>
        </w:rPr>
        <w:t>wdrożenie i wsparcie dla oprogramowania w trakcie realizacji projektu,</w:t>
      </w:r>
    </w:p>
    <w:p w:rsidR="001B7151" w:rsidRPr="001B7151" w:rsidRDefault="001B7151" w:rsidP="00137BC9">
      <w:pPr>
        <w:numPr>
          <w:ilvl w:val="0"/>
          <w:numId w:val="97"/>
        </w:numPr>
        <w:spacing w:before="120" w:after="120" w:line="360" w:lineRule="auto"/>
        <w:jc w:val="both"/>
        <w:rPr>
          <w:rFonts w:ascii="Arial" w:hAnsi="Arial" w:cs="Arial"/>
        </w:rPr>
      </w:pPr>
      <w:r w:rsidRPr="001B7151">
        <w:rPr>
          <w:rFonts w:ascii="Arial" w:hAnsi="Arial" w:cs="Arial"/>
        </w:rPr>
        <w:t>kolokacja i najem miejsca (w serwerowniach, powierzchni biurowej, magazynowej itp.) w trakcie realizacji projektu,</w:t>
      </w:r>
    </w:p>
    <w:p w:rsidR="001B7151" w:rsidRPr="001B7151" w:rsidRDefault="001B7151" w:rsidP="00137BC9">
      <w:pPr>
        <w:numPr>
          <w:ilvl w:val="0"/>
          <w:numId w:val="97"/>
        </w:numPr>
        <w:spacing w:before="120" w:after="120" w:line="360" w:lineRule="auto"/>
        <w:jc w:val="both"/>
        <w:rPr>
          <w:rFonts w:ascii="Arial" w:hAnsi="Arial" w:cs="Arial"/>
        </w:rPr>
      </w:pPr>
      <w:r w:rsidRPr="001B7151">
        <w:rPr>
          <w:rFonts w:ascii="Arial" w:hAnsi="Arial" w:cs="Arial"/>
        </w:rPr>
        <w:lastRenderedPageBreak/>
        <w:t>dostawa prądu i innych mediów niezbędnych do funkcjonowania i obsługi serwerowni i węzłów (nieużywanych w ramach powierzchni biurowych) – w trakcie realizacji projektu;</w:t>
      </w:r>
    </w:p>
    <w:p w:rsidR="001B7151" w:rsidRPr="001B7151" w:rsidRDefault="001B7151" w:rsidP="00137BC9">
      <w:pPr>
        <w:numPr>
          <w:ilvl w:val="0"/>
          <w:numId w:val="97"/>
        </w:numPr>
        <w:spacing w:before="120" w:after="120" w:line="360" w:lineRule="auto"/>
        <w:jc w:val="both"/>
        <w:rPr>
          <w:rFonts w:ascii="Arial" w:hAnsi="Arial" w:cs="Arial"/>
        </w:rPr>
      </w:pPr>
      <w:r w:rsidRPr="001B7151">
        <w:rPr>
          <w:rFonts w:ascii="Arial" w:hAnsi="Arial" w:cs="Arial"/>
        </w:rPr>
        <w:t>transport środków trwałych i wartości niematerialnych i prawnych oraz rzeczowych aktywów niestanowiących środków trwałych</w:t>
      </w:r>
      <w:r w:rsidR="00A03923">
        <w:rPr>
          <w:rFonts w:ascii="Arial" w:hAnsi="Arial" w:cs="Arial"/>
        </w:rPr>
        <w:t>,</w:t>
      </w:r>
      <w:r w:rsidRPr="001B7151">
        <w:rPr>
          <w:rFonts w:ascii="Arial" w:hAnsi="Arial" w:cs="Arial"/>
        </w:rPr>
        <w:t xml:space="preserve"> jak również pracowników wykonujących merytoryczne zadania w projekcie</w:t>
      </w:r>
      <w:r w:rsidR="00A03923">
        <w:rPr>
          <w:rFonts w:ascii="Arial" w:hAnsi="Arial" w:cs="Arial"/>
        </w:rPr>
        <w:t>.</w:t>
      </w:r>
      <w:r w:rsidRPr="001B7151">
        <w:rPr>
          <w:rFonts w:ascii="Arial" w:hAnsi="Arial" w:cs="Arial"/>
        </w:rPr>
        <w:t xml:space="preserve"> </w:t>
      </w:r>
    </w:p>
    <w:p w:rsidR="008D2916" w:rsidRPr="008D2916" w:rsidRDefault="008D2916" w:rsidP="00137BC9">
      <w:pPr>
        <w:numPr>
          <w:ilvl w:val="0"/>
          <w:numId w:val="91"/>
        </w:numPr>
        <w:spacing w:before="120" w:after="120" w:line="360" w:lineRule="auto"/>
        <w:jc w:val="both"/>
        <w:rPr>
          <w:rFonts w:ascii="Arial" w:hAnsi="Arial" w:cs="Arial"/>
        </w:rPr>
      </w:pPr>
      <w:r w:rsidRPr="008D2916">
        <w:rPr>
          <w:rFonts w:ascii="Arial" w:hAnsi="Arial" w:cs="Arial"/>
        </w:rPr>
        <w:t>Informacja i promocja, w tym wydatki:</w:t>
      </w:r>
    </w:p>
    <w:p w:rsidR="008D2916" w:rsidRPr="008D2916" w:rsidRDefault="008D2916" w:rsidP="00137BC9">
      <w:pPr>
        <w:numPr>
          <w:ilvl w:val="0"/>
          <w:numId w:val="98"/>
        </w:numPr>
        <w:spacing w:before="120" w:after="120" w:line="360" w:lineRule="auto"/>
        <w:jc w:val="both"/>
        <w:rPr>
          <w:rFonts w:ascii="Arial" w:hAnsi="Arial" w:cs="Arial"/>
        </w:rPr>
      </w:pPr>
      <w:r w:rsidRPr="008D2916">
        <w:rPr>
          <w:rFonts w:ascii="Arial" w:hAnsi="Arial" w:cs="Arial"/>
        </w:rPr>
        <w:t>poniesione na tablice informacyjne i pamiątkowe,</w:t>
      </w:r>
    </w:p>
    <w:p w:rsidR="008D2916" w:rsidRPr="008D2916" w:rsidRDefault="008D2916" w:rsidP="00137BC9">
      <w:pPr>
        <w:numPr>
          <w:ilvl w:val="0"/>
          <w:numId w:val="98"/>
        </w:numPr>
        <w:spacing w:before="120" w:after="120" w:line="360" w:lineRule="auto"/>
        <w:jc w:val="both"/>
        <w:rPr>
          <w:rFonts w:ascii="Arial" w:hAnsi="Arial" w:cs="Arial"/>
        </w:rPr>
      </w:pPr>
      <w:r w:rsidRPr="008D2916">
        <w:rPr>
          <w:rFonts w:ascii="Arial" w:hAnsi="Arial" w:cs="Arial"/>
        </w:rPr>
        <w:t>związane ze stworzeniem i prowadzeniem strony internetowej projektu, profili na portalach społecznościowych, blogów i innych form wykorzystujących komunikację internetową,</w:t>
      </w:r>
    </w:p>
    <w:p w:rsidR="008D2916" w:rsidRPr="008D2916" w:rsidRDefault="008D2916" w:rsidP="00137BC9">
      <w:pPr>
        <w:numPr>
          <w:ilvl w:val="0"/>
          <w:numId w:val="98"/>
        </w:numPr>
        <w:spacing w:before="120" w:after="120" w:line="360" w:lineRule="auto"/>
        <w:jc w:val="both"/>
        <w:rPr>
          <w:rFonts w:ascii="Arial" w:hAnsi="Arial" w:cs="Arial"/>
        </w:rPr>
      </w:pPr>
      <w:r w:rsidRPr="008D2916">
        <w:rPr>
          <w:rFonts w:ascii="Arial" w:hAnsi="Arial" w:cs="Arial"/>
        </w:rPr>
        <w:t>poniesione w związku z organizacją konferencji promujących projekt,</w:t>
      </w:r>
    </w:p>
    <w:p w:rsidR="008D2916" w:rsidRPr="008D2916" w:rsidRDefault="008D2916" w:rsidP="00137BC9">
      <w:pPr>
        <w:numPr>
          <w:ilvl w:val="0"/>
          <w:numId w:val="98"/>
        </w:numPr>
        <w:spacing w:before="120" w:after="120" w:line="360" w:lineRule="auto"/>
        <w:jc w:val="both"/>
        <w:rPr>
          <w:rFonts w:ascii="Arial" w:hAnsi="Arial" w:cs="Arial"/>
        </w:rPr>
      </w:pPr>
      <w:r w:rsidRPr="008D2916">
        <w:rPr>
          <w:rFonts w:ascii="Arial" w:hAnsi="Arial" w:cs="Arial"/>
        </w:rPr>
        <w:t>poniesione w związku z realizacją działań informacyjno-promocyjnych, w tym m.in. kampanii, promocji w mediach elektronicznych i tradycyjnych,</w:t>
      </w:r>
    </w:p>
    <w:p w:rsidR="008D2916" w:rsidRPr="008D2916" w:rsidRDefault="008D2916" w:rsidP="00137BC9">
      <w:pPr>
        <w:numPr>
          <w:ilvl w:val="0"/>
          <w:numId w:val="98"/>
        </w:numPr>
        <w:spacing w:before="120" w:after="120" w:line="360" w:lineRule="auto"/>
        <w:jc w:val="both"/>
        <w:rPr>
          <w:rFonts w:ascii="Arial" w:hAnsi="Arial" w:cs="Arial"/>
        </w:rPr>
      </w:pPr>
      <w:r w:rsidRPr="008D2916">
        <w:rPr>
          <w:rFonts w:ascii="Arial" w:hAnsi="Arial" w:cs="Arial"/>
        </w:rPr>
        <w:t>poniesione w związku z organizowaniem spotkań informacyjnych i wydarzeń promocyjnych (w tym wynajem sali, catering),</w:t>
      </w:r>
    </w:p>
    <w:p w:rsidR="008D2916" w:rsidRPr="008D2916" w:rsidRDefault="008D2916" w:rsidP="00137BC9">
      <w:pPr>
        <w:numPr>
          <w:ilvl w:val="0"/>
          <w:numId w:val="98"/>
        </w:numPr>
        <w:spacing w:before="120" w:after="120" w:line="360" w:lineRule="auto"/>
        <w:jc w:val="both"/>
        <w:rPr>
          <w:rFonts w:ascii="Arial" w:hAnsi="Arial" w:cs="Arial"/>
        </w:rPr>
      </w:pPr>
      <w:r w:rsidRPr="008D2916">
        <w:rPr>
          <w:rFonts w:ascii="Arial" w:hAnsi="Arial" w:cs="Arial"/>
        </w:rPr>
        <w:t xml:space="preserve">poniesione na podstawowe materiały informacyjne i promocyjne. </w:t>
      </w:r>
    </w:p>
    <w:p w:rsidR="008D2916" w:rsidRPr="008B019A" w:rsidRDefault="008D2916" w:rsidP="008D2916">
      <w:pPr>
        <w:spacing w:before="120" w:after="120" w:line="360" w:lineRule="auto"/>
        <w:ind w:left="360"/>
        <w:jc w:val="both"/>
        <w:rPr>
          <w:rFonts w:ascii="Arial" w:eastAsia="Times New Roman" w:hAnsi="Arial" w:cs="Arial"/>
          <w:lang w:eastAsia="pl-PL"/>
        </w:rPr>
      </w:pPr>
      <w:r w:rsidRPr="008B019A">
        <w:rPr>
          <w:rFonts w:ascii="Arial" w:eastAsia="Times New Roman" w:hAnsi="Arial" w:cs="Arial"/>
          <w:lang w:eastAsia="pl-PL"/>
        </w:rPr>
        <w:t xml:space="preserve">Wydatki związane z działaniami informacyjno-promocyjnymi stanowią wydatki kwalifikowalne w ramach realizowanych projektów jeśli ponoszone są zgodnie z warunkami i procedurami określonymi w </w:t>
      </w:r>
      <w:r w:rsidRPr="008B019A">
        <w:rPr>
          <w:rFonts w:ascii="Arial" w:eastAsia="Times New Roman" w:hAnsi="Arial" w:cs="Arial"/>
          <w:i/>
          <w:lang w:eastAsia="pl-PL"/>
        </w:rPr>
        <w:t>Wytycznych</w:t>
      </w:r>
      <w:r w:rsidRPr="008B019A">
        <w:rPr>
          <w:rFonts w:ascii="Arial" w:eastAsia="Times New Roman" w:hAnsi="Arial" w:cs="Arial"/>
          <w:lang w:eastAsia="pl-PL"/>
        </w:rPr>
        <w:t xml:space="preserve">, niniejszym </w:t>
      </w:r>
      <w:r w:rsidRPr="008B019A">
        <w:rPr>
          <w:rFonts w:ascii="Arial" w:eastAsia="Times New Roman" w:hAnsi="Arial" w:cs="Arial"/>
          <w:i/>
          <w:lang w:eastAsia="pl-PL"/>
        </w:rPr>
        <w:t>Katalogu</w:t>
      </w:r>
      <w:r w:rsidRPr="008B019A">
        <w:rPr>
          <w:rFonts w:ascii="Arial" w:eastAsia="Times New Roman" w:hAnsi="Arial" w:cs="Arial"/>
          <w:lang w:eastAsia="pl-PL"/>
        </w:rPr>
        <w:t>, w umowie o dofinasowanie projektu oraz w Podręczniku wnioskodawcy i beneficjenta programów polityki spójności 2014-2020</w:t>
      </w:r>
      <w:r>
        <w:rPr>
          <w:rFonts w:ascii="Arial" w:eastAsia="Times New Roman" w:hAnsi="Arial" w:cs="Arial"/>
          <w:lang w:eastAsia="pl-PL"/>
        </w:rPr>
        <w:t xml:space="preserve"> w zakresie informacji i promocji</w:t>
      </w:r>
      <w:r w:rsidRPr="008B019A">
        <w:rPr>
          <w:rFonts w:ascii="Arial" w:eastAsia="Times New Roman" w:hAnsi="Arial" w:cs="Arial"/>
          <w:lang w:eastAsia="pl-PL"/>
        </w:rPr>
        <w:t>.</w:t>
      </w:r>
    </w:p>
    <w:p w:rsidR="008D2916" w:rsidRPr="008B019A" w:rsidRDefault="008D2916" w:rsidP="008D2916">
      <w:pPr>
        <w:spacing w:before="120" w:after="120" w:line="360" w:lineRule="auto"/>
        <w:ind w:left="360"/>
        <w:jc w:val="both"/>
        <w:rPr>
          <w:rFonts w:ascii="Arial" w:eastAsia="Times New Roman" w:hAnsi="Arial" w:cs="Arial"/>
          <w:lang w:eastAsia="pl-PL"/>
        </w:rPr>
      </w:pPr>
      <w:r w:rsidRPr="008B019A">
        <w:rPr>
          <w:rFonts w:ascii="Arial" w:eastAsia="Times New Roman" w:hAnsi="Arial" w:cs="Arial"/>
          <w:lang w:eastAsia="pl-PL"/>
        </w:rPr>
        <w:t xml:space="preserve">Wydatki na informację i promocję nie mogą przekraczać </w:t>
      </w:r>
      <w:r>
        <w:rPr>
          <w:rFonts w:ascii="Arial" w:eastAsia="Times New Roman" w:hAnsi="Arial" w:cs="Arial"/>
          <w:lang w:eastAsia="pl-PL"/>
        </w:rPr>
        <w:t>0,5</w:t>
      </w:r>
      <w:r w:rsidRPr="00E61480">
        <w:rPr>
          <w:rFonts w:ascii="Arial" w:eastAsia="Times New Roman" w:hAnsi="Arial" w:cs="Arial"/>
          <w:lang w:eastAsia="pl-PL"/>
        </w:rPr>
        <w:t>%</w:t>
      </w:r>
      <w:r w:rsidRPr="008B019A">
        <w:rPr>
          <w:rFonts w:ascii="Arial" w:eastAsia="Times New Roman" w:hAnsi="Arial" w:cs="Arial"/>
          <w:lang w:eastAsia="pl-PL"/>
        </w:rPr>
        <w:t xml:space="preserve"> wydatków kwalifikowalnych projektu.  </w:t>
      </w:r>
    </w:p>
    <w:p w:rsidR="008D2916" w:rsidRPr="008B019A" w:rsidRDefault="008D2916" w:rsidP="008D2916">
      <w:pPr>
        <w:spacing w:before="120" w:after="120" w:line="360" w:lineRule="auto"/>
        <w:ind w:left="360"/>
        <w:jc w:val="both"/>
        <w:rPr>
          <w:rFonts w:ascii="Arial" w:eastAsia="Times New Roman" w:hAnsi="Arial" w:cs="Arial"/>
          <w:lang w:eastAsia="pl-PL"/>
        </w:rPr>
      </w:pPr>
      <w:r w:rsidRPr="008B019A">
        <w:rPr>
          <w:rFonts w:ascii="Arial" w:eastAsia="Times New Roman" w:hAnsi="Arial" w:cs="Arial"/>
          <w:lang w:eastAsia="pl-PL"/>
        </w:rPr>
        <w:t>Produkcja i dystrybucja przedmiotów promocyjnych typu tzw. ,,gadżety” nie jest rekomendowanym narzędziem promocji FE. Wydatki na cele reprezentacyjne, których nie można jednocześnie uznać za związane z promocją funduszy polityki spójności, są niedozwolone. Przedmiotów o charakterze upominkowym nie można stosować  w komunikacji FE.</w:t>
      </w:r>
    </w:p>
    <w:p w:rsidR="008D2916" w:rsidRPr="008D2916" w:rsidRDefault="008D2916" w:rsidP="00137BC9">
      <w:pPr>
        <w:numPr>
          <w:ilvl w:val="0"/>
          <w:numId w:val="91"/>
        </w:numPr>
        <w:spacing w:before="120" w:after="120" w:line="360" w:lineRule="auto"/>
        <w:jc w:val="both"/>
        <w:rPr>
          <w:rFonts w:ascii="Arial" w:hAnsi="Arial" w:cs="Arial"/>
        </w:rPr>
      </w:pPr>
      <w:r w:rsidRPr="008D2916">
        <w:rPr>
          <w:rFonts w:ascii="Arial" w:hAnsi="Arial" w:cs="Arial"/>
        </w:rPr>
        <w:t>Wydatki poniesione na pokrycie kosztów pośrednich</w:t>
      </w:r>
    </w:p>
    <w:p w:rsidR="008D2916" w:rsidRPr="008D2916" w:rsidRDefault="008D2916" w:rsidP="00137BC9">
      <w:pPr>
        <w:numPr>
          <w:ilvl w:val="0"/>
          <w:numId w:val="99"/>
        </w:numPr>
        <w:spacing w:before="120" w:after="120" w:line="360" w:lineRule="auto"/>
        <w:jc w:val="both"/>
        <w:rPr>
          <w:rFonts w:ascii="Arial" w:hAnsi="Arial" w:cs="Arial"/>
        </w:rPr>
      </w:pPr>
      <w:r w:rsidRPr="008D2916">
        <w:rPr>
          <w:rFonts w:ascii="Arial" w:hAnsi="Arial" w:cs="Arial"/>
        </w:rPr>
        <w:t xml:space="preserve">Koszty pośrednie mogą być kwalifikowalne w ramach projektów OSE na warunkach określonych w podrozdziale 7.5 </w:t>
      </w:r>
      <w:r w:rsidRPr="008D2916">
        <w:rPr>
          <w:rFonts w:ascii="Arial" w:hAnsi="Arial" w:cs="Arial"/>
          <w:i/>
        </w:rPr>
        <w:t>Wytycznych</w:t>
      </w:r>
      <w:r w:rsidRPr="008D2916">
        <w:rPr>
          <w:rFonts w:ascii="Arial" w:hAnsi="Arial" w:cs="Arial"/>
        </w:rPr>
        <w:t xml:space="preserve"> oraz w niniejszym </w:t>
      </w:r>
      <w:r w:rsidRPr="008D2916">
        <w:rPr>
          <w:rFonts w:ascii="Arial" w:hAnsi="Arial" w:cs="Arial"/>
          <w:i/>
        </w:rPr>
        <w:t>Katalogu</w:t>
      </w:r>
      <w:r w:rsidRPr="008D2916">
        <w:rPr>
          <w:rFonts w:ascii="Arial" w:hAnsi="Arial" w:cs="Arial"/>
        </w:rPr>
        <w:t xml:space="preserve">. </w:t>
      </w:r>
    </w:p>
    <w:p w:rsidR="008D2916" w:rsidRPr="008D2916" w:rsidRDefault="008D2916" w:rsidP="00137BC9">
      <w:pPr>
        <w:numPr>
          <w:ilvl w:val="0"/>
          <w:numId w:val="99"/>
        </w:numPr>
        <w:spacing w:before="120" w:after="120" w:line="360" w:lineRule="auto"/>
        <w:jc w:val="both"/>
        <w:rPr>
          <w:rFonts w:ascii="Arial" w:hAnsi="Arial" w:cs="Arial"/>
        </w:rPr>
      </w:pPr>
      <w:r w:rsidRPr="008D2916">
        <w:rPr>
          <w:rFonts w:ascii="Arial" w:hAnsi="Arial" w:cs="Arial"/>
        </w:rPr>
        <w:lastRenderedPageBreak/>
        <w:t xml:space="preserve">Koszty pośrednie są rozliczane stawką ryczałtową w wysokości do 15% bezpośrednich kwalifikowanych kosztów związanych z zaangażowaniem personelu projektu na zasadach określonych w rozdziale 6.6 </w:t>
      </w:r>
      <w:r w:rsidRPr="008D2916">
        <w:rPr>
          <w:rFonts w:ascii="Arial" w:hAnsi="Arial" w:cs="Arial"/>
          <w:i/>
        </w:rPr>
        <w:t>Wytycznych</w:t>
      </w:r>
      <w:r w:rsidRPr="008D2916">
        <w:rPr>
          <w:rFonts w:ascii="Arial" w:hAnsi="Arial" w:cs="Arial"/>
        </w:rPr>
        <w:t xml:space="preserve"> oraz w niniejszym </w:t>
      </w:r>
      <w:r w:rsidRPr="008D2916">
        <w:rPr>
          <w:rFonts w:ascii="Arial" w:hAnsi="Arial" w:cs="Arial"/>
          <w:i/>
        </w:rPr>
        <w:t>Katalogu</w:t>
      </w:r>
      <w:r w:rsidRPr="008D2916">
        <w:rPr>
          <w:rFonts w:ascii="Arial" w:hAnsi="Arial" w:cs="Arial"/>
        </w:rPr>
        <w:t xml:space="preserve">.  </w:t>
      </w:r>
    </w:p>
    <w:p w:rsidR="008D2916" w:rsidRPr="008D2916" w:rsidRDefault="008D2916" w:rsidP="00137BC9">
      <w:pPr>
        <w:numPr>
          <w:ilvl w:val="0"/>
          <w:numId w:val="99"/>
        </w:numPr>
        <w:spacing w:before="120" w:after="120" w:line="360" w:lineRule="auto"/>
        <w:jc w:val="both"/>
        <w:rPr>
          <w:rFonts w:ascii="Arial" w:hAnsi="Arial" w:cs="Arial"/>
        </w:rPr>
      </w:pPr>
      <w:r w:rsidRPr="008D2916">
        <w:rPr>
          <w:rFonts w:ascii="Arial" w:hAnsi="Arial" w:cs="Arial"/>
        </w:rPr>
        <w:t xml:space="preserve">W przypadku projektów, w których co najmniej 50% wydatków bezpośrednich (zgodnie z szacunkiem beneficjenta wynikającym ze złożonego do oceny wniosku o dofinasowanie) ponoszone jest w drodze zastosowania </w:t>
      </w:r>
      <w:proofErr w:type="spellStart"/>
      <w:r w:rsidRPr="008D2916">
        <w:rPr>
          <w:rFonts w:ascii="Arial" w:hAnsi="Arial" w:cs="Arial"/>
        </w:rPr>
        <w:t>Pzp</w:t>
      </w:r>
      <w:proofErr w:type="spellEnd"/>
      <w:r w:rsidRPr="008D2916">
        <w:rPr>
          <w:rFonts w:ascii="Arial" w:hAnsi="Arial" w:cs="Arial"/>
        </w:rPr>
        <w:t xml:space="preserve">, koszty pośrednie mogą być rozliczane  na podstawie rzeczywiście poniesionych wydatków (tj. z pełnym udokumentowaniem wydatków), z zachowaniem wymogów określonych w podrozdziale 6.5 </w:t>
      </w:r>
      <w:r w:rsidRPr="008D2916">
        <w:rPr>
          <w:rFonts w:ascii="Arial" w:hAnsi="Arial" w:cs="Arial"/>
          <w:i/>
        </w:rPr>
        <w:t>Wytycznych</w:t>
      </w:r>
      <w:r w:rsidRPr="008D2916">
        <w:rPr>
          <w:rFonts w:ascii="Arial" w:hAnsi="Arial" w:cs="Arial"/>
        </w:rPr>
        <w:t xml:space="preserve"> oraz podrozdziału 3.3 niniejszego </w:t>
      </w:r>
      <w:r w:rsidRPr="008D2916">
        <w:rPr>
          <w:rFonts w:ascii="Arial" w:hAnsi="Arial" w:cs="Arial"/>
          <w:i/>
        </w:rPr>
        <w:t>Katalogu</w:t>
      </w:r>
      <w:r w:rsidRPr="008D2916">
        <w:rPr>
          <w:rFonts w:ascii="Arial" w:hAnsi="Arial" w:cs="Arial"/>
        </w:rPr>
        <w:t xml:space="preserve">. W takiej sytuacji wydatki te nie mogą przekroczyć 10% całkowitych wydatków kwalifikowalnych projektu. </w:t>
      </w:r>
    </w:p>
    <w:p w:rsidR="008D2916" w:rsidRPr="008D2916" w:rsidRDefault="008D2916" w:rsidP="00137BC9">
      <w:pPr>
        <w:numPr>
          <w:ilvl w:val="0"/>
          <w:numId w:val="99"/>
        </w:numPr>
        <w:spacing w:before="120" w:after="120" w:line="360" w:lineRule="auto"/>
        <w:jc w:val="both"/>
        <w:rPr>
          <w:rFonts w:ascii="Arial" w:hAnsi="Arial" w:cs="Arial"/>
        </w:rPr>
      </w:pPr>
      <w:r w:rsidRPr="008D2916">
        <w:rPr>
          <w:rFonts w:ascii="Arial" w:hAnsi="Arial" w:cs="Arial"/>
        </w:rPr>
        <w:t>Wydatkami kwalifikowalnymi w zakresie tej kategorii mogą być:</w:t>
      </w:r>
    </w:p>
    <w:p w:rsidR="008D2916" w:rsidRPr="008D2916" w:rsidRDefault="008D2916" w:rsidP="00137BC9">
      <w:pPr>
        <w:numPr>
          <w:ilvl w:val="0"/>
          <w:numId w:val="100"/>
        </w:numPr>
        <w:spacing w:before="120" w:after="120" w:line="360" w:lineRule="auto"/>
        <w:jc w:val="both"/>
        <w:rPr>
          <w:rFonts w:ascii="Arial" w:hAnsi="Arial" w:cs="Arial"/>
        </w:rPr>
      </w:pPr>
      <w:r w:rsidRPr="008D2916">
        <w:rPr>
          <w:rFonts w:ascii="Arial" w:hAnsi="Arial" w:cs="Arial"/>
        </w:rPr>
        <w:t xml:space="preserve">wydatki na pokrycie kosztów koordynatora lub kierownika projektu oraz innego personelu bezpośrednio zaangażowanego w zarządzanie, rozliczanie, monitorowanie projektu lub prowadzenie innych działań administracyjnych w projekcie, w tym w szczególności koszty wynagrodzenia tych osób i ich delegacji służbowych,  </w:t>
      </w:r>
    </w:p>
    <w:p w:rsidR="008D2916" w:rsidRPr="008D2916" w:rsidRDefault="008D2916" w:rsidP="00137BC9">
      <w:pPr>
        <w:numPr>
          <w:ilvl w:val="0"/>
          <w:numId w:val="100"/>
        </w:numPr>
        <w:spacing w:before="120" w:after="120" w:line="360" w:lineRule="auto"/>
        <w:jc w:val="both"/>
        <w:rPr>
          <w:rFonts w:ascii="Arial" w:hAnsi="Arial" w:cs="Arial"/>
        </w:rPr>
      </w:pPr>
      <w:r w:rsidRPr="008D2916">
        <w:rPr>
          <w:rFonts w:ascii="Arial" w:hAnsi="Arial" w:cs="Arial"/>
        </w:rPr>
        <w:t>wydatki na pokrycie kosztów zarządu (wynagrodzenia osób uprawnionych do reprezentowania jednostki, których zakresy czynności nie są przypisane wyłącznie do projektu, np. kierownika jednostki),</w:t>
      </w:r>
    </w:p>
    <w:p w:rsidR="008D2916" w:rsidRPr="008D2916" w:rsidRDefault="008D2916" w:rsidP="00137BC9">
      <w:pPr>
        <w:numPr>
          <w:ilvl w:val="0"/>
          <w:numId w:val="100"/>
        </w:numPr>
        <w:spacing w:before="120" w:after="120" w:line="360" w:lineRule="auto"/>
        <w:jc w:val="both"/>
        <w:rPr>
          <w:rFonts w:ascii="Arial" w:hAnsi="Arial" w:cs="Arial"/>
        </w:rPr>
      </w:pPr>
      <w:r w:rsidRPr="008D2916">
        <w:rPr>
          <w:rFonts w:ascii="Arial" w:hAnsi="Arial" w:cs="Arial"/>
        </w:rPr>
        <w:t>wydatki na pokrycie kosztów personelu obsługowego (obsługa kadrowa, finansowa, administracyjna, sekretariat, kancelaria, obsługa prawna, w tym  dotycząca zamówień) na potrzeby funkcjonowania jednostki,</w:t>
      </w:r>
    </w:p>
    <w:p w:rsidR="008D2916" w:rsidRPr="008D2916" w:rsidRDefault="008D2916" w:rsidP="00137BC9">
      <w:pPr>
        <w:numPr>
          <w:ilvl w:val="0"/>
          <w:numId w:val="100"/>
        </w:numPr>
        <w:spacing w:before="120" w:after="120" w:line="360" w:lineRule="auto"/>
        <w:jc w:val="both"/>
        <w:rPr>
          <w:rFonts w:ascii="Arial" w:hAnsi="Arial" w:cs="Arial"/>
        </w:rPr>
      </w:pPr>
      <w:r w:rsidRPr="008D2916">
        <w:rPr>
          <w:rFonts w:ascii="Arial" w:hAnsi="Arial" w:cs="Arial"/>
        </w:rPr>
        <w:t>wydatki na pokrycie kosztów obsługi księgowej (wynagrodzenia osób księgujących wydatki w projekcie, koszty związane ze zleceniem prowadzenia obsługi księgowej projektu biuru rachunkowemu),</w:t>
      </w:r>
    </w:p>
    <w:p w:rsidR="008D2916" w:rsidRPr="008D2916" w:rsidRDefault="008D2916" w:rsidP="00137BC9">
      <w:pPr>
        <w:numPr>
          <w:ilvl w:val="0"/>
          <w:numId w:val="100"/>
        </w:numPr>
        <w:spacing w:before="120" w:after="120" w:line="360" w:lineRule="auto"/>
        <w:jc w:val="both"/>
        <w:rPr>
          <w:rFonts w:ascii="Arial" w:hAnsi="Arial" w:cs="Arial"/>
        </w:rPr>
      </w:pPr>
      <w:r w:rsidRPr="008D2916">
        <w:rPr>
          <w:rFonts w:ascii="Arial" w:hAnsi="Arial" w:cs="Arial"/>
        </w:rPr>
        <w:t>wydatki na pokrycie kosztów utrzymania powierzchni biurowych (czynsz, najem, opłaty administracyjne) związanych z obsługą administracyjną projektu,</w:t>
      </w:r>
    </w:p>
    <w:p w:rsidR="008D2916" w:rsidRPr="008D2916" w:rsidRDefault="008D2916" w:rsidP="00137BC9">
      <w:pPr>
        <w:numPr>
          <w:ilvl w:val="0"/>
          <w:numId w:val="100"/>
        </w:numPr>
        <w:spacing w:before="120" w:after="120" w:line="360" w:lineRule="auto"/>
        <w:jc w:val="both"/>
        <w:rPr>
          <w:rFonts w:ascii="Arial" w:hAnsi="Arial" w:cs="Arial"/>
        </w:rPr>
      </w:pPr>
      <w:r w:rsidRPr="008D2916">
        <w:rPr>
          <w:rFonts w:ascii="Arial" w:hAnsi="Arial" w:cs="Arial"/>
        </w:rPr>
        <w:t>wydatki związane z otworzeniem lub prowadzeniem wyodrębnionego na rzecz projektu subkonta na rachunku bankowym lub odrębnego rachunku bankowego,</w:t>
      </w:r>
    </w:p>
    <w:p w:rsidR="008D2916" w:rsidRPr="008D2916" w:rsidRDefault="008D2916" w:rsidP="00137BC9">
      <w:pPr>
        <w:numPr>
          <w:ilvl w:val="0"/>
          <w:numId w:val="100"/>
        </w:numPr>
        <w:spacing w:before="120" w:after="120" w:line="360" w:lineRule="auto"/>
        <w:jc w:val="both"/>
        <w:rPr>
          <w:rFonts w:ascii="Arial" w:hAnsi="Arial" w:cs="Arial"/>
        </w:rPr>
      </w:pPr>
      <w:r w:rsidRPr="008D2916">
        <w:rPr>
          <w:rFonts w:ascii="Arial" w:hAnsi="Arial" w:cs="Arial"/>
        </w:rPr>
        <w:t xml:space="preserve">amortyzacja, najem lub zakup aktywów (środków trwałych i wartości niematerialnych i prawnych) używanych na potrzeby osób, o których mowa w </w:t>
      </w:r>
      <w:proofErr w:type="spellStart"/>
      <w:r w:rsidR="00842875">
        <w:rPr>
          <w:rFonts w:ascii="Arial" w:hAnsi="Arial" w:cs="Arial"/>
        </w:rPr>
        <w:t>tiret</w:t>
      </w:r>
      <w:proofErr w:type="spellEnd"/>
      <w:r w:rsidRPr="008D2916">
        <w:rPr>
          <w:rFonts w:ascii="Arial" w:hAnsi="Arial" w:cs="Arial"/>
        </w:rPr>
        <w:t xml:space="preserve"> </w:t>
      </w:r>
      <w:r w:rsidR="00842875">
        <w:rPr>
          <w:rFonts w:ascii="Arial" w:hAnsi="Arial" w:cs="Arial"/>
        </w:rPr>
        <w:t>i.</w:t>
      </w:r>
      <w:r w:rsidRPr="008D2916">
        <w:rPr>
          <w:rFonts w:ascii="Arial" w:hAnsi="Arial" w:cs="Arial"/>
        </w:rPr>
        <w:t xml:space="preserve"> – </w:t>
      </w:r>
      <w:r w:rsidR="00842875">
        <w:rPr>
          <w:rFonts w:ascii="Arial" w:hAnsi="Arial" w:cs="Arial"/>
        </w:rPr>
        <w:t>iv.</w:t>
      </w:r>
      <w:r w:rsidRPr="008D2916">
        <w:rPr>
          <w:rFonts w:ascii="Arial" w:hAnsi="Arial" w:cs="Arial"/>
        </w:rPr>
        <w:t xml:space="preserve"> z zastrzeżeniem punktu 11 podrozdziału 6.15 </w:t>
      </w:r>
      <w:r w:rsidRPr="00EC679F">
        <w:rPr>
          <w:rFonts w:ascii="Arial" w:hAnsi="Arial" w:cs="Arial"/>
          <w:i/>
        </w:rPr>
        <w:t>Wytycznych</w:t>
      </w:r>
      <w:r w:rsidRPr="008D2916">
        <w:rPr>
          <w:rFonts w:ascii="Arial" w:hAnsi="Arial" w:cs="Arial"/>
        </w:rPr>
        <w:t>,</w:t>
      </w:r>
    </w:p>
    <w:p w:rsidR="008D2916" w:rsidRPr="008D2916" w:rsidRDefault="008D2916" w:rsidP="00137BC9">
      <w:pPr>
        <w:numPr>
          <w:ilvl w:val="0"/>
          <w:numId w:val="100"/>
        </w:numPr>
        <w:spacing w:before="120" w:after="120" w:line="360" w:lineRule="auto"/>
        <w:jc w:val="both"/>
        <w:rPr>
          <w:rFonts w:ascii="Arial" w:hAnsi="Arial" w:cs="Arial"/>
        </w:rPr>
      </w:pPr>
      <w:r w:rsidRPr="008D2916">
        <w:rPr>
          <w:rFonts w:ascii="Arial" w:hAnsi="Arial" w:cs="Arial"/>
        </w:rPr>
        <w:lastRenderedPageBreak/>
        <w:t xml:space="preserve">opłaty za energię elektryczną, cieplną, gazową i wodę, opłaty przesyłowe, opłaty </w:t>
      </w:r>
      <w:r w:rsidRPr="008D2916">
        <w:rPr>
          <w:rFonts w:ascii="Arial" w:hAnsi="Arial" w:cs="Arial"/>
        </w:rPr>
        <w:br/>
        <w:t>za odprowadzanie ścieków w zakresie związanym z obsługą administracyjną projektu,</w:t>
      </w:r>
    </w:p>
    <w:p w:rsidR="008D2916" w:rsidRPr="008D2916" w:rsidRDefault="008D2916" w:rsidP="00137BC9">
      <w:pPr>
        <w:numPr>
          <w:ilvl w:val="0"/>
          <w:numId w:val="100"/>
        </w:numPr>
        <w:spacing w:before="120" w:after="120" w:line="360" w:lineRule="auto"/>
        <w:jc w:val="both"/>
        <w:rPr>
          <w:rFonts w:ascii="Arial" w:hAnsi="Arial" w:cs="Arial"/>
        </w:rPr>
      </w:pPr>
      <w:r w:rsidRPr="008D2916">
        <w:rPr>
          <w:rFonts w:ascii="Arial" w:hAnsi="Arial" w:cs="Arial"/>
        </w:rPr>
        <w:t>wydatki na pokrycie kosztów usług pocztowych, telefonicznych, internetowych, kurierskich związanych z obsługą projektu,</w:t>
      </w:r>
    </w:p>
    <w:p w:rsidR="008D2916" w:rsidRPr="008D2916" w:rsidRDefault="008D2916" w:rsidP="00137BC9">
      <w:pPr>
        <w:numPr>
          <w:ilvl w:val="0"/>
          <w:numId w:val="100"/>
        </w:numPr>
        <w:spacing w:before="120" w:after="120" w:line="360" w:lineRule="auto"/>
        <w:jc w:val="both"/>
        <w:rPr>
          <w:rFonts w:ascii="Arial" w:hAnsi="Arial" w:cs="Arial"/>
        </w:rPr>
      </w:pPr>
      <w:r w:rsidRPr="008D2916">
        <w:rPr>
          <w:rFonts w:ascii="Arial" w:hAnsi="Arial" w:cs="Arial"/>
        </w:rPr>
        <w:t>wydatki na pokrycie kosztów usług powielania dokumentów związanych z obsługą projektu,</w:t>
      </w:r>
    </w:p>
    <w:p w:rsidR="008D2916" w:rsidRPr="008D2916" w:rsidRDefault="008D2916" w:rsidP="00137BC9">
      <w:pPr>
        <w:numPr>
          <w:ilvl w:val="0"/>
          <w:numId w:val="100"/>
        </w:numPr>
        <w:spacing w:before="120" w:after="120" w:line="360" w:lineRule="auto"/>
        <w:jc w:val="both"/>
        <w:rPr>
          <w:rFonts w:ascii="Arial" w:hAnsi="Arial" w:cs="Arial"/>
        </w:rPr>
      </w:pPr>
      <w:r w:rsidRPr="008D2916">
        <w:rPr>
          <w:rFonts w:ascii="Arial" w:hAnsi="Arial" w:cs="Arial"/>
        </w:rPr>
        <w:t>wydatki na pokrycie kosztów materiałów biurowych i artykułów piśmienniczych związanych z obsługą projektu,</w:t>
      </w:r>
    </w:p>
    <w:p w:rsidR="008D2916" w:rsidRPr="008D2916" w:rsidRDefault="008D2916" w:rsidP="00137BC9">
      <w:pPr>
        <w:numPr>
          <w:ilvl w:val="0"/>
          <w:numId w:val="100"/>
        </w:numPr>
        <w:spacing w:before="120" w:after="120" w:line="360" w:lineRule="auto"/>
        <w:jc w:val="both"/>
        <w:rPr>
          <w:rFonts w:ascii="Arial" w:hAnsi="Arial" w:cs="Arial"/>
        </w:rPr>
      </w:pPr>
      <w:r w:rsidRPr="008D2916">
        <w:rPr>
          <w:rFonts w:ascii="Arial" w:hAnsi="Arial" w:cs="Arial"/>
        </w:rPr>
        <w:t>wydatki na pokrycie kosztów ochrony,</w:t>
      </w:r>
    </w:p>
    <w:p w:rsidR="008D2916" w:rsidRPr="008D2916" w:rsidRDefault="008D2916" w:rsidP="00137BC9">
      <w:pPr>
        <w:numPr>
          <w:ilvl w:val="0"/>
          <w:numId w:val="100"/>
        </w:numPr>
        <w:spacing w:before="120" w:after="120" w:line="360" w:lineRule="auto"/>
        <w:jc w:val="both"/>
        <w:rPr>
          <w:rFonts w:ascii="Arial" w:hAnsi="Arial" w:cs="Arial"/>
        </w:rPr>
      </w:pPr>
      <w:r w:rsidRPr="008D2916">
        <w:rPr>
          <w:rFonts w:ascii="Arial" w:hAnsi="Arial" w:cs="Arial"/>
        </w:rPr>
        <w:t>wydatki na pokrycie kosztów sprzątania pomieszczeń związanych z obsługą projektu, w tym środków czystości, dezynsekcji, dezynfekcji, deratyzacji tych pomieszczeń.</w:t>
      </w:r>
    </w:p>
    <w:p w:rsidR="008D2916" w:rsidRPr="008D2916" w:rsidRDefault="008D2916" w:rsidP="00800CDA">
      <w:pPr>
        <w:pStyle w:val="Nagwek2"/>
        <w:numPr>
          <w:ilvl w:val="2"/>
          <w:numId w:val="102"/>
        </w:numPr>
        <w:spacing w:before="240" w:after="60" w:line="360" w:lineRule="auto"/>
        <w:jc w:val="center"/>
        <w:rPr>
          <w:rFonts w:ascii="Arial" w:hAnsi="Arial" w:cs="Arial"/>
          <w:b w:val="0"/>
          <w:i/>
          <w:color w:val="auto"/>
          <w:sz w:val="24"/>
          <w:szCs w:val="24"/>
        </w:rPr>
      </w:pPr>
      <w:bookmarkStart w:id="144" w:name="_Toc508630136"/>
      <w:r w:rsidRPr="008D2916">
        <w:rPr>
          <w:rFonts w:ascii="Arial" w:hAnsi="Arial" w:cs="Arial"/>
          <w:b w:val="0"/>
          <w:i/>
          <w:color w:val="auto"/>
          <w:sz w:val="24"/>
          <w:szCs w:val="24"/>
        </w:rPr>
        <w:t>Wydatki niekwalifikowalne</w:t>
      </w:r>
      <w:bookmarkEnd w:id="144"/>
      <w:r w:rsidRPr="008D2916">
        <w:rPr>
          <w:rFonts w:ascii="Arial" w:hAnsi="Arial" w:cs="Arial"/>
          <w:b w:val="0"/>
          <w:i/>
          <w:color w:val="auto"/>
          <w:sz w:val="24"/>
          <w:szCs w:val="24"/>
        </w:rPr>
        <w:t xml:space="preserve"> </w:t>
      </w:r>
    </w:p>
    <w:p w:rsidR="008D2916" w:rsidRPr="008D2916" w:rsidRDefault="008D2916" w:rsidP="00137BC9">
      <w:pPr>
        <w:numPr>
          <w:ilvl w:val="0"/>
          <w:numId w:val="101"/>
        </w:numPr>
        <w:spacing w:before="120" w:after="120" w:line="360" w:lineRule="auto"/>
        <w:jc w:val="both"/>
        <w:rPr>
          <w:rFonts w:ascii="Arial" w:hAnsi="Arial" w:cs="Arial"/>
        </w:rPr>
      </w:pPr>
      <w:r w:rsidRPr="008D2916">
        <w:rPr>
          <w:rFonts w:ascii="Arial" w:hAnsi="Arial" w:cs="Arial"/>
        </w:rPr>
        <w:t xml:space="preserve">Do współfinansowania nie kwalifikują się wszelkie wydatki niezgodne z </w:t>
      </w:r>
      <w:r w:rsidRPr="00EC679F">
        <w:rPr>
          <w:rFonts w:ascii="Arial" w:hAnsi="Arial" w:cs="Arial"/>
          <w:i/>
        </w:rPr>
        <w:t>Wytycznymi</w:t>
      </w:r>
      <w:r w:rsidRPr="008D2916">
        <w:rPr>
          <w:rFonts w:ascii="Arial" w:hAnsi="Arial" w:cs="Arial"/>
        </w:rPr>
        <w:t xml:space="preserve">, niniejszym </w:t>
      </w:r>
      <w:r w:rsidRPr="00EC679F">
        <w:rPr>
          <w:rFonts w:ascii="Arial" w:hAnsi="Arial" w:cs="Arial"/>
          <w:i/>
        </w:rPr>
        <w:t>Katalogiem</w:t>
      </w:r>
      <w:r w:rsidRPr="008D2916">
        <w:rPr>
          <w:rFonts w:ascii="Arial" w:hAnsi="Arial" w:cs="Arial"/>
        </w:rPr>
        <w:t xml:space="preserve"> oraz wydatki wyłączone z kwalifikowalności poprzez odpowiednie zapisy niniejszego </w:t>
      </w:r>
      <w:r w:rsidRPr="008A6F52">
        <w:rPr>
          <w:rFonts w:ascii="Arial" w:hAnsi="Arial" w:cs="Arial"/>
          <w:i/>
        </w:rPr>
        <w:t>Katalogu</w:t>
      </w:r>
      <w:r w:rsidRPr="008D2916">
        <w:rPr>
          <w:rFonts w:ascii="Arial" w:hAnsi="Arial" w:cs="Arial"/>
        </w:rPr>
        <w:t xml:space="preserve">, Regulaminu konkursu lub umowy o dofinansowanie projektu. </w:t>
      </w:r>
    </w:p>
    <w:p w:rsidR="008D2916" w:rsidRPr="008D2916" w:rsidRDefault="008D2916" w:rsidP="00137BC9">
      <w:pPr>
        <w:numPr>
          <w:ilvl w:val="0"/>
          <w:numId w:val="101"/>
        </w:numPr>
        <w:spacing w:before="120" w:after="120" w:line="360" w:lineRule="auto"/>
        <w:jc w:val="both"/>
        <w:rPr>
          <w:rFonts w:ascii="Arial" w:hAnsi="Arial" w:cs="Arial"/>
        </w:rPr>
      </w:pPr>
      <w:r w:rsidRPr="008D2916">
        <w:rPr>
          <w:rFonts w:ascii="Arial" w:hAnsi="Arial" w:cs="Arial"/>
        </w:rPr>
        <w:t>Do dofinansowania w ramach projektów OSE nie kwalifikują się wydatki poniesione na szkolenia.</w:t>
      </w:r>
    </w:p>
    <w:p w:rsidR="001B7151" w:rsidRPr="001B7151" w:rsidRDefault="001B7151" w:rsidP="008D2916">
      <w:pPr>
        <w:spacing w:before="120" w:after="120" w:line="360" w:lineRule="auto"/>
        <w:jc w:val="both"/>
        <w:rPr>
          <w:rFonts w:ascii="Arial" w:hAnsi="Arial" w:cs="Arial"/>
        </w:rPr>
      </w:pPr>
    </w:p>
    <w:p w:rsidR="008A559B" w:rsidRDefault="008A559B">
      <w:pPr>
        <w:rPr>
          <w:rFonts w:ascii="Arial" w:hAnsi="Arial" w:cs="Arial"/>
          <w:sz w:val="24"/>
          <w:szCs w:val="24"/>
        </w:rPr>
      </w:pPr>
      <w:r>
        <w:rPr>
          <w:rFonts w:ascii="Arial" w:hAnsi="Arial" w:cs="Arial"/>
          <w:sz w:val="24"/>
          <w:szCs w:val="24"/>
        </w:rPr>
        <w:br w:type="page"/>
      </w:r>
    </w:p>
    <w:p w:rsidR="00903FFD" w:rsidRPr="00B81671" w:rsidRDefault="00903FFD" w:rsidP="00903FFD">
      <w:pPr>
        <w:keepNext/>
        <w:tabs>
          <w:tab w:val="num" w:pos="432"/>
        </w:tabs>
        <w:spacing w:before="120" w:after="120" w:line="360" w:lineRule="auto"/>
        <w:ind w:left="432" w:hanging="432"/>
        <w:jc w:val="center"/>
        <w:outlineLvl w:val="0"/>
        <w:rPr>
          <w:rFonts w:ascii="Arial" w:eastAsia="Times New Roman" w:hAnsi="Arial" w:cs="Times New Roman"/>
          <w:b/>
          <w:bCs/>
          <w:sz w:val="24"/>
          <w:szCs w:val="20"/>
          <w:lang w:eastAsia="pl-PL"/>
        </w:rPr>
      </w:pPr>
      <w:bookmarkStart w:id="145" w:name="_Toc508630137"/>
      <w:r w:rsidRPr="00B81671">
        <w:rPr>
          <w:rFonts w:ascii="Arial" w:eastAsia="Times New Roman" w:hAnsi="Arial" w:cs="Times New Roman"/>
          <w:b/>
          <w:bCs/>
          <w:sz w:val="24"/>
          <w:szCs w:val="20"/>
          <w:lang w:eastAsia="pl-PL"/>
        </w:rPr>
        <w:lastRenderedPageBreak/>
        <w:t xml:space="preserve">Załącznik nr </w:t>
      </w:r>
      <w:r w:rsidR="00423B97">
        <w:rPr>
          <w:rFonts w:ascii="Arial" w:eastAsia="Times New Roman" w:hAnsi="Arial" w:cs="Times New Roman"/>
          <w:b/>
          <w:bCs/>
          <w:sz w:val="24"/>
          <w:szCs w:val="20"/>
          <w:lang w:eastAsia="pl-PL"/>
        </w:rPr>
        <w:t>1</w:t>
      </w:r>
      <w:r w:rsidRPr="00B81671">
        <w:rPr>
          <w:rFonts w:ascii="Arial" w:eastAsia="Times New Roman" w:hAnsi="Arial" w:cs="Times New Roman"/>
          <w:b/>
          <w:bCs/>
          <w:sz w:val="24"/>
          <w:szCs w:val="20"/>
          <w:lang w:eastAsia="pl-PL"/>
        </w:rPr>
        <w:t xml:space="preserve"> – Przykładowy wykaz możliwych nieprawidłowości w obszarze </w:t>
      </w:r>
      <w:r w:rsidR="00305BD6" w:rsidRPr="00B81671">
        <w:rPr>
          <w:rFonts w:ascii="Arial" w:eastAsia="Times New Roman" w:hAnsi="Arial" w:cs="Times New Roman"/>
          <w:b/>
          <w:bCs/>
          <w:sz w:val="24"/>
          <w:szCs w:val="20"/>
          <w:lang w:eastAsia="pl-PL"/>
        </w:rPr>
        <w:t>zamówień publicznych</w:t>
      </w:r>
      <w:bookmarkEnd w:id="145"/>
    </w:p>
    <w:p w:rsidR="005530C1" w:rsidRPr="00B81671" w:rsidRDefault="005530C1" w:rsidP="005530C1">
      <w:pPr>
        <w:spacing w:after="0" w:line="360" w:lineRule="auto"/>
        <w:ind w:left="426"/>
        <w:jc w:val="both"/>
        <w:rPr>
          <w:rFonts w:ascii="Arial" w:eastAsia="Times New Roman" w:hAnsi="Arial" w:cs="Arial"/>
          <w:lang w:eastAsia="pl-PL"/>
        </w:rPr>
      </w:pPr>
    </w:p>
    <w:p w:rsidR="005530C1" w:rsidRPr="00B81671" w:rsidRDefault="005530C1" w:rsidP="00137BC9">
      <w:pPr>
        <w:numPr>
          <w:ilvl w:val="0"/>
          <w:numId w:val="16"/>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Nieuprawnione stosowanie trybów niekonkurencyjnych lub nieuprawnione stosowanie procedur przyspieszonych powołując się np. na termin zakończenia projektu lub koniec roku budżetowego.</w:t>
      </w:r>
    </w:p>
    <w:p w:rsidR="005530C1" w:rsidRPr="00B81671" w:rsidRDefault="005530C1" w:rsidP="00137BC9">
      <w:pPr>
        <w:numPr>
          <w:ilvl w:val="0"/>
          <w:numId w:val="16"/>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Niekorzystne zjawisko „uzależnienia się” zamawiającego od pierwotnego wykonawcy systemu lub producenta sprzętu lub oprogramowania gotowego, uniemożliwiające nabycie niezbędnych usług lub dostaw w trybach konkurencyjnych np. brak zapewnienia sobie w pierwotnym przetargu praw autorskich, kodów dostępu.</w:t>
      </w:r>
    </w:p>
    <w:p w:rsidR="005530C1" w:rsidRPr="00B81671" w:rsidRDefault="005530C1" w:rsidP="00137BC9">
      <w:pPr>
        <w:numPr>
          <w:ilvl w:val="0"/>
          <w:numId w:val="16"/>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Nieuzasadnione udzielanie zamówień publicznych z wolnej ręki związanych z systemami informatycznymi, wynikające z niewłaściwego przygotowania postępowania i udzielania zamówienia publicznego.</w:t>
      </w:r>
    </w:p>
    <w:p w:rsidR="005530C1" w:rsidRPr="00B81671" w:rsidRDefault="005530C1" w:rsidP="00137BC9">
      <w:pPr>
        <w:numPr>
          <w:ilvl w:val="0"/>
          <w:numId w:val="16"/>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Niedopuszczenie przez zamawiającego zaoferowania produktu równoważnego</w:t>
      </w:r>
      <w:r w:rsidR="003F366E">
        <w:rPr>
          <w:rFonts w:ascii="Arial" w:eastAsia="Times New Roman" w:hAnsi="Arial" w:cs="Arial"/>
          <w:lang w:eastAsia="pl-PL"/>
        </w:rPr>
        <w:t xml:space="preserve"> lub usługi równoważnej</w:t>
      </w:r>
      <w:r w:rsidRPr="00B81671">
        <w:rPr>
          <w:rFonts w:ascii="Arial" w:eastAsia="Times New Roman" w:hAnsi="Arial" w:cs="Arial"/>
          <w:lang w:eastAsia="pl-PL"/>
        </w:rPr>
        <w:t>, w przypadku opisania przedmiotu zamówienia publicznego poprzez wskazanie znaków towarowych, patentów</w:t>
      </w:r>
      <w:r w:rsidR="003F366E">
        <w:rPr>
          <w:rFonts w:ascii="Arial" w:eastAsia="Times New Roman" w:hAnsi="Arial" w:cs="Arial"/>
          <w:lang w:eastAsia="pl-PL"/>
        </w:rPr>
        <w:t>,</w:t>
      </w:r>
      <w:r w:rsidRPr="00B81671">
        <w:rPr>
          <w:rFonts w:ascii="Arial" w:eastAsia="Times New Roman" w:hAnsi="Arial" w:cs="Arial"/>
          <w:lang w:eastAsia="pl-PL"/>
        </w:rPr>
        <w:t xml:space="preserve"> pochodzenia</w:t>
      </w:r>
      <w:r w:rsidR="003F366E">
        <w:rPr>
          <w:rFonts w:ascii="Arial" w:eastAsia="Times New Roman" w:hAnsi="Arial" w:cs="Arial"/>
          <w:lang w:eastAsia="pl-PL"/>
        </w:rPr>
        <w:t>, źródła lub szczególnego procesu, który charakteryzuje produkty lub usługi dostarczane przez konkretnego wykonawcę</w:t>
      </w:r>
      <w:r w:rsidRPr="00B81671">
        <w:rPr>
          <w:rFonts w:ascii="Arial" w:eastAsia="Times New Roman" w:hAnsi="Arial" w:cs="Arial"/>
          <w:lang w:eastAsia="pl-PL"/>
        </w:rPr>
        <w:t>.</w:t>
      </w:r>
    </w:p>
    <w:p w:rsidR="005530C1" w:rsidRDefault="005530C1" w:rsidP="00137BC9">
      <w:pPr>
        <w:numPr>
          <w:ilvl w:val="0"/>
          <w:numId w:val="16"/>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 xml:space="preserve">Nieuprawnione dzielenie zamówienia publicznego na części w celu zastosowania mniej restrykcyjnej zasady udzielenia zamówienia w sytuacji, gdy zamawiający wszczyna kilka postępowań, które są tożsame przedmiotowo i czasowo, a zamówienie publiczne może być wykonane przez jednego wykonawcę. Tożsamość czasową należy odnosić nie tylko do roku budżetowego, ale także do całego okresu realizacji projektu. </w:t>
      </w:r>
    </w:p>
    <w:p w:rsidR="003F366E" w:rsidRPr="00B81671" w:rsidRDefault="003F366E" w:rsidP="00137BC9">
      <w:pPr>
        <w:numPr>
          <w:ilvl w:val="0"/>
          <w:numId w:val="16"/>
        </w:numPr>
        <w:tabs>
          <w:tab w:val="clear" w:pos="403"/>
          <w:tab w:val="left" w:pos="426"/>
        </w:tabs>
        <w:spacing w:after="0" w:line="360" w:lineRule="auto"/>
        <w:ind w:left="426" w:hanging="426"/>
        <w:jc w:val="both"/>
        <w:rPr>
          <w:rFonts w:ascii="Arial" w:eastAsia="Times New Roman" w:hAnsi="Arial" w:cs="Arial"/>
          <w:lang w:eastAsia="pl-PL"/>
        </w:rPr>
      </w:pPr>
      <w:r>
        <w:rPr>
          <w:rFonts w:ascii="Arial" w:eastAsia="Times New Roman" w:hAnsi="Arial" w:cs="Arial"/>
          <w:lang w:eastAsia="pl-PL"/>
        </w:rPr>
        <w:t>Nieuprawnione łączenie zamówień publicznych, które odrębnie udzielane wymagają zastosowania różnych zasad udzielania.</w:t>
      </w:r>
    </w:p>
    <w:p w:rsidR="005530C1" w:rsidRPr="00B81671" w:rsidRDefault="005530C1" w:rsidP="00137BC9">
      <w:pPr>
        <w:numPr>
          <w:ilvl w:val="0"/>
          <w:numId w:val="16"/>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Nieuzasadnione przedmiotem zamówienia publicznego ograniczenia dotyczące podwykonawstwa, np. wprowadzenie zasady, że określona w sposób procentowy część zamówienia publicznego nie może być zlecona podwykonawcom.</w:t>
      </w:r>
    </w:p>
    <w:p w:rsidR="005530C1" w:rsidRPr="00B81671" w:rsidRDefault="005530C1" w:rsidP="00137BC9">
      <w:pPr>
        <w:numPr>
          <w:ilvl w:val="0"/>
          <w:numId w:val="16"/>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Wymaganie od wykonawcy posiadania potencjału technicznego już na etapie składania ofert/wniosków o dopuszczenie do udziału w postępowaniu.</w:t>
      </w:r>
    </w:p>
    <w:p w:rsidR="005530C1" w:rsidRPr="00B81671" w:rsidRDefault="005530C1" w:rsidP="00137BC9">
      <w:pPr>
        <w:numPr>
          <w:ilvl w:val="0"/>
          <w:numId w:val="16"/>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Żądanie, aby wykonawca posiadał doświadczenie w realizacji usług, dostaw lub robót budowlanych współfinansowanych ze środków UE lub z funduszy krajowych (w sytuacji gdy fakt współfinansowania nie ma wpływu na potwierdzenie umiejętności wykonawcy w zakresie wykonania zamówienia publicznego).</w:t>
      </w:r>
    </w:p>
    <w:p w:rsidR="005530C1" w:rsidRPr="00B81671" w:rsidRDefault="005530C1" w:rsidP="00137BC9">
      <w:pPr>
        <w:numPr>
          <w:ilvl w:val="0"/>
          <w:numId w:val="16"/>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Żądanie zamawiającego, aby wykonawca posiadał doświadczenie w realizacji usług, dostaw lub robót budowlanych wykonywanych wyłącznie w Polsce.</w:t>
      </w:r>
    </w:p>
    <w:p w:rsidR="005530C1" w:rsidRPr="00B81671" w:rsidRDefault="005530C1" w:rsidP="00137BC9">
      <w:pPr>
        <w:numPr>
          <w:ilvl w:val="0"/>
          <w:numId w:val="16"/>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lastRenderedPageBreak/>
        <w:t>Uwzględnianie przez zamawiającego jedynie doświadczenia zdobytego po uzyskaniu przez wykonawcę stosownych polskich uprawnień budowlanych lub posiadania doświadczenia zdobytego w Polsce.</w:t>
      </w:r>
    </w:p>
    <w:p w:rsidR="005530C1" w:rsidRPr="00B81671" w:rsidRDefault="005530C1" w:rsidP="00137BC9">
      <w:pPr>
        <w:numPr>
          <w:ilvl w:val="0"/>
          <w:numId w:val="16"/>
        </w:numPr>
        <w:tabs>
          <w:tab w:val="clear" w:pos="403"/>
          <w:tab w:val="left" w:pos="426"/>
        </w:tabs>
        <w:spacing w:after="0" w:line="360" w:lineRule="auto"/>
        <w:ind w:left="426" w:hanging="426"/>
        <w:jc w:val="both"/>
      </w:pPr>
      <w:r w:rsidRPr="00B81671">
        <w:rPr>
          <w:rFonts w:ascii="Arial" w:eastAsia="Times New Roman" w:hAnsi="Arial" w:cs="Arial"/>
          <w:lang w:eastAsia="pl-PL"/>
        </w:rPr>
        <w:t>Odrzucenie przez zamawiającego oferty zamiast dokonania poprawy oczywistej omyłki pisarskiej/rachunkowej</w:t>
      </w:r>
      <w:r w:rsidR="003F366E">
        <w:rPr>
          <w:rFonts w:ascii="Arial" w:eastAsia="Times New Roman" w:hAnsi="Arial" w:cs="Arial"/>
          <w:lang w:eastAsia="pl-PL"/>
        </w:rPr>
        <w:t>/innej</w:t>
      </w:r>
      <w:r w:rsidRPr="00B81671">
        <w:rPr>
          <w:rFonts w:ascii="Arial" w:eastAsia="Times New Roman" w:hAnsi="Arial" w:cs="Arial"/>
          <w:lang w:eastAsia="pl-PL"/>
        </w:rPr>
        <w:t xml:space="preserve">. </w:t>
      </w:r>
      <w:r w:rsidRPr="00B81671">
        <w:rPr>
          <w:rFonts w:ascii="Arial" w:eastAsia="Calibri" w:hAnsi="Arial" w:cs="Times New Roman"/>
          <w:szCs w:val="20"/>
        </w:rPr>
        <w:t>Za niedopuszczalne uznaje się natomiast uprzednie uzgodnienie z </w:t>
      </w:r>
      <w:r w:rsidR="00850178" w:rsidRPr="00B81671">
        <w:rPr>
          <w:rFonts w:ascii="Arial" w:eastAsia="Calibri" w:hAnsi="Arial" w:cs="Times New Roman"/>
          <w:szCs w:val="20"/>
        </w:rPr>
        <w:t xml:space="preserve">wykonawcą </w:t>
      </w:r>
      <w:r w:rsidRPr="00B81671">
        <w:rPr>
          <w:rFonts w:ascii="Arial" w:eastAsia="Calibri" w:hAnsi="Arial" w:cs="Times New Roman"/>
          <w:szCs w:val="20"/>
        </w:rPr>
        <w:t xml:space="preserve">lub jakimkolwiek innym podmiotem/jakąkolwiek inną osobą sposobu poprawienia omyłek, które pojawiły się w ofercie, a o których mowa w przepisie art.  87 ust. 2 ustawy </w:t>
      </w:r>
      <w:proofErr w:type="spellStart"/>
      <w:r w:rsidRPr="00B81671">
        <w:rPr>
          <w:rFonts w:ascii="Arial" w:eastAsia="Calibri" w:hAnsi="Arial" w:cs="Times New Roman"/>
          <w:szCs w:val="20"/>
        </w:rPr>
        <w:t>Pzp</w:t>
      </w:r>
      <w:proofErr w:type="spellEnd"/>
      <w:r w:rsidRPr="00B81671">
        <w:rPr>
          <w:rFonts w:ascii="Arial" w:eastAsia="Calibri" w:hAnsi="Arial" w:cs="Times New Roman"/>
          <w:szCs w:val="20"/>
        </w:rPr>
        <w:t>.</w:t>
      </w:r>
    </w:p>
    <w:p w:rsidR="005530C1" w:rsidRPr="00B81671" w:rsidRDefault="005530C1" w:rsidP="00137BC9">
      <w:pPr>
        <w:numPr>
          <w:ilvl w:val="0"/>
          <w:numId w:val="16"/>
        </w:numPr>
        <w:tabs>
          <w:tab w:val="clear" w:pos="403"/>
          <w:tab w:val="left" w:pos="426"/>
        </w:tabs>
        <w:spacing w:after="0" w:line="360" w:lineRule="auto"/>
        <w:ind w:left="426" w:hanging="426"/>
        <w:jc w:val="both"/>
      </w:pPr>
      <w:r w:rsidRPr="00B81671">
        <w:rPr>
          <w:rFonts w:ascii="Arial" w:eastAsia="Calibri" w:hAnsi="Arial" w:cs="Times New Roman"/>
        </w:rPr>
        <w:t>Przekazywanie wybranym wykonawcom określonych informacji dotyczących prowadzonego postępowania, które mogą stawiać ich w uprzywilejowanej pozycji w stosunku do innych wykonawców.</w:t>
      </w:r>
    </w:p>
    <w:p w:rsidR="005530C1" w:rsidRPr="00B81671" w:rsidRDefault="005530C1" w:rsidP="00137BC9">
      <w:pPr>
        <w:numPr>
          <w:ilvl w:val="0"/>
          <w:numId w:val="16"/>
        </w:numPr>
        <w:tabs>
          <w:tab w:val="clear" w:pos="403"/>
          <w:tab w:val="left" w:pos="426"/>
        </w:tabs>
        <w:spacing w:after="0" w:line="360" w:lineRule="auto"/>
        <w:ind w:left="426" w:hanging="426"/>
        <w:jc w:val="both"/>
      </w:pPr>
      <w:r w:rsidRPr="00B81671">
        <w:rPr>
          <w:rFonts w:ascii="Arial" w:eastAsia="Calibri" w:hAnsi="Arial" w:cs="Times New Roman"/>
          <w:szCs w:val="20"/>
        </w:rPr>
        <w:t>Wyznaczenie nowego terminu na złożenie wyjaśnień/uzupełnień po upływie pierwotnie wyznaczonego terminu. Zamawiający może rozważyć przedłużenie pierwotnie wyznaczonego terminu w trakcie jego biegu na odpowiednio umotywowany wniosek wykonawcy, mając na względzie potrzebę zachowania zasady uczciwej konkurencji i równego traktowania wykonawców.</w:t>
      </w:r>
    </w:p>
    <w:p w:rsidR="005530C1" w:rsidRPr="00B81671" w:rsidRDefault="005530C1" w:rsidP="00137BC9">
      <w:pPr>
        <w:numPr>
          <w:ilvl w:val="0"/>
          <w:numId w:val="16"/>
        </w:numPr>
        <w:tabs>
          <w:tab w:val="clear" w:pos="403"/>
          <w:tab w:val="left" w:pos="426"/>
        </w:tabs>
        <w:spacing w:after="0" w:line="360" w:lineRule="auto"/>
        <w:ind w:left="426" w:hanging="426"/>
        <w:jc w:val="both"/>
      </w:pPr>
      <w:r w:rsidRPr="00B81671">
        <w:rPr>
          <w:rFonts w:ascii="Arial" w:eastAsia="Calibri" w:hAnsi="Arial" w:cs="Times New Roman"/>
          <w:szCs w:val="20"/>
        </w:rPr>
        <w:t>Uznanie przez zamawiającego ofert, wyjaśnień lub uzupełnień, które wpłynęły do zamawiającego po upływie wyznaczonego terminu lub – w zakresie uzupełnień – także w nieodpowiedniej formie.</w:t>
      </w:r>
    </w:p>
    <w:p w:rsidR="005530C1" w:rsidRPr="00B81671" w:rsidRDefault="005530C1" w:rsidP="00137BC9">
      <w:pPr>
        <w:numPr>
          <w:ilvl w:val="0"/>
          <w:numId w:val="16"/>
        </w:numPr>
        <w:tabs>
          <w:tab w:val="clear" w:pos="403"/>
          <w:tab w:val="left" w:pos="426"/>
        </w:tabs>
        <w:spacing w:after="0" w:line="360" w:lineRule="auto"/>
        <w:ind w:left="426" w:hanging="426"/>
        <w:jc w:val="both"/>
        <w:rPr>
          <w:rFonts w:ascii="Arial" w:eastAsia="Calibri" w:hAnsi="Arial" w:cs="Times New Roman"/>
          <w:szCs w:val="20"/>
        </w:rPr>
      </w:pPr>
      <w:r w:rsidRPr="00B81671">
        <w:rPr>
          <w:rFonts w:ascii="Arial" w:eastAsia="Calibri" w:hAnsi="Arial" w:cs="Times New Roman"/>
          <w:szCs w:val="20"/>
        </w:rPr>
        <w:t>Wszelkie działania mające na celu modyfikację daty lub godziny wpływu korespondencji do zamawiającego w sytuacji, gdy data lub godzina wpływu warunkuje uwzględnienie pisma wykonawcy.</w:t>
      </w:r>
    </w:p>
    <w:p w:rsidR="005530C1" w:rsidRPr="00B81671" w:rsidRDefault="005530C1" w:rsidP="00903FFD">
      <w:pPr>
        <w:spacing w:after="0" w:line="360" w:lineRule="auto"/>
        <w:ind w:left="426"/>
        <w:jc w:val="both"/>
        <w:rPr>
          <w:rFonts w:ascii="Arial" w:eastAsia="Times New Roman" w:hAnsi="Arial" w:cs="Arial"/>
          <w:lang w:eastAsia="pl-PL"/>
        </w:rPr>
      </w:pPr>
    </w:p>
    <w:p w:rsidR="005530C1" w:rsidRPr="00B81671" w:rsidRDefault="005530C1" w:rsidP="00903FFD">
      <w:pPr>
        <w:spacing w:after="0" w:line="360" w:lineRule="auto"/>
        <w:ind w:left="426"/>
        <w:jc w:val="both"/>
        <w:rPr>
          <w:rFonts w:ascii="Arial" w:eastAsia="Times New Roman" w:hAnsi="Arial" w:cs="Arial"/>
          <w:lang w:eastAsia="pl-PL"/>
        </w:rPr>
      </w:pPr>
    </w:p>
    <w:p w:rsidR="005530C1" w:rsidRPr="00B81671" w:rsidRDefault="005530C1" w:rsidP="00903FFD">
      <w:pPr>
        <w:spacing w:after="0" w:line="360" w:lineRule="auto"/>
        <w:ind w:left="426"/>
        <w:jc w:val="both"/>
        <w:rPr>
          <w:rFonts w:ascii="Arial" w:eastAsia="Times New Roman" w:hAnsi="Arial" w:cs="Arial"/>
          <w:lang w:eastAsia="pl-PL"/>
        </w:rPr>
      </w:pPr>
    </w:p>
    <w:p w:rsidR="005530C1" w:rsidRPr="00B81671" w:rsidRDefault="005530C1" w:rsidP="00903FFD">
      <w:pPr>
        <w:spacing w:after="0" w:line="360" w:lineRule="auto"/>
        <w:ind w:left="426"/>
        <w:jc w:val="both"/>
        <w:rPr>
          <w:rFonts w:ascii="Arial" w:eastAsia="Times New Roman" w:hAnsi="Arial" w:cs="Arial"/>
          <w:lang w:eastAsia="pl-PL"/>
        </w:rPr>
      </w:pPr>
    </w:p>
    <w:p w:rsidR="00AA41C9" w:rsidRPr="00B81671" w:rsidRDefault="00AA41C9" w:rsidP="001B27A2">
      <w:pPr>
        <w:spacing w:after="0" w:line="360" w:lineRule="auto"/>
        <w:jc w:val="both"/>
        <w:rPr>
          <w:rFonts w:ascii="Arial" w:eastAsia="Calibri" w:hAnsi="Arial" w:cs="Times New Roman"/>
          <w:szCs w:val="20"/>
        </w:rPr>
      </w:pPr>
    </w:p>
    <w:p w:rsidR="00AA41C9" w:rsidRPr="00B81671" w:rsidRDefault="00AA41C9" w:rsidP="001B27A2">
      <w:pPr>
        <w:spacing w:after="0" w:line="360" w:lineRule="auto"/>
        <w:jc w:val="both"/>
      </w:pPr>
    </w:p>
    <w:p w:rsidR="007E0407" w:rsidRPr="00B81671" w:rsidRDefault="007E0407">
      <w:r w:rsidRPr="00B81671">
        <w:br w:type="page"/>
      </w:r>
    </w:p>
    <w:p w:rsidR="007E0407" w:rsidRPr="00B81671" w:rsidRDefault="007E0407" w:rsidP="007E0407">
      <w:pPr>
        <w:spacing w:after="0" w:line="360" w:lineRule="auto"/>
        <w:ind w:left="426"/>
        <w:jc w:val="both"/>
        <w:sectPr w:rsidR="007E0407" w:rsidRPr="00B81671" w:rsidSect="00316996">
          <w:footerReference w:type="default" r:id="rId11"/>
          <w:pgSz w:w="11906" w:h="16838" w:code="9"/>
          <w:pgMar w:top="1418" w:right="1418" w:bottom="1418" w:left="1418" w:header="709" w:footer="709" w:gutter="0"/>
          <w:cols w:space="708"/>
          <w:titlePg/>
          <w:docGrid w:linePitch="360"/>
        </w:sectPr>
      </w:pPr>
    </w:p>
    <w:p w:rsidR="007E0407" w:rsidRPr="00B81671" w:rsidRDefault="007E0407" w:rsidP="007E0407">
      <w:pPr>
        <w:keepNext/>
        <w:tabs>
          <w:tab w:val="num" w:pos="432"/>
        </w:tabs>
        <w:spacing w:before="120" w:after="120" w:line="360" w:lineRule="auto"/>
        <w:ind w:left="432" w:hanging="432"/>
        <w:jc w:val="center"/>
        <w:outlineLvl w:val="0"/>
        <w:rPr>
          <w:rFonts w:ascii="Arial" w:eastAsia="Times New Roman" w:hAnsi="Arial" w:cs="Times New Roman"/>
          <w:b/>
          <w:bCs/>
          <w:sz w:val="24"/>
          <w:szCs w:val="20"/>
          <w:lang w:eastAsia="pl-PL"/>
        </w:rPr>
      </w:pPr>
      <w:bookmarkStart w:id="146" w:name="_Toc508630138"/>
      <w:r w:rsidRPr="00B81671">
        <w:rPr>
          <w:rFonts w:ascii="Arial" w:eastAsia="Times New Roman" w:hAnsi="Arial" w:cs="Times New Roman"/>
          <w:b/>
          <w:bCs/>
          <w:sz w:val="24"/>
          <w:szCs w:val="20"/>
          <w:lang w:eastAsia="pl-PL"/>
        </w:rPr>
        <w:lastRenderedPageBreak/>
        <w:t xml:space="preserve">Załącznik nr </w:t>
      </w:r>
      <w:r w:rsidR="00423B97">
        <w:rPr>
          <w:rFonts w:ascii="Arial" w:eastAsia="Times New Roman" w:hAnsi="Arial" w:cs="Times New Roman"/>
          <w:b/>
          <w:bCs/>
          <w:sz w:val="24"/>
          <w:szCs w:val="20"/>
          <w:lang w:eastAsia="pl-PL"/>
        </w:rPr>
        <w:t>2</w:t>
      </w:r>
      <w:r w:rsidR="00423B97" w:rsidRPr="00B81671">
        <w:rPr>
          <w:rFonts w:ascii="Arial" w:eastAsia="Times New Roman" w:hAnsi="Arial" w:cs="Times New Roman"/>
          <w:b/>
          <w:bCs/>
          <w:sz w:val="24"/>
          <w:szCs w:val="20"/>
          <w:lang w:eastAsia="pl-PL"/>
        </w:rPr>
        <w:t xml:space="preserve"> </w:t>
      </w:r>
      <w:r w:rsidRPr="00B81671">
        <w:rPr>
          <w:rFonts w:ascii="Arial" w:eastAsia="Times New Roman" w:hAnsi="Arial" w:cs="Times New Roman"/>
          <w:b/>
          <w:bCs/>
          <w:sz w:val="24"/>
          <w:szCs w:val="20"/>
          <w:lang w:eastAsia="pl-PL"/>
        </w:rPr>
        <w:t>– Zestawienie regulacji w zakresie zasady uczciwej konkurencji, w odniesieniu do konieczności stosowania przez zamawiającego określonej ścieżki postępowania</w:t>
      </w:r>
      <w:bookmarkEnd w:id="146"/>
    </w:p>
    <w:p w:rsidR="0065055F" w:rsidRPr="00B81671" w:rsidRDefault="0065055F" w:rsidP="0065055F">
      <w:pPr>
        <w:spacing w:before="120" w:after="120" w:line="360" w:lineRule="auto"/>
        <w:jc w:val="both"/>
        <w:rPr>
          <w:rFonts w:ascii="Arial" w:eastAsia="MS Mincho" w:hAnsi="Arial" w:cs="Arial"/>
          <w:lang w:eastAsia="ja-JP"/>
        </w:rPr>
      </w:pPr>
    </w:p>
    <w:p w:rsidR="0065055F" w:rsidRPr="00B81671" w:rsidRDefault="0065055F" w:rsidP="0065055F">
      <w:pPr>
        <w:spacing w:before="120" w:after="120" w:line="360" w:lineRule="auto"/>
        <w:jc w:val="both"/>
        <w:rPr>
          <w:rFonts w:ascii="Arial" w:eastAsia="MS Mincho" w:hAnsi="Arial" w:cs="Arial"/>
          <w:i/>
          <w:lang w:eastAsia="ja-JP"/>
        </w:rPr>
      </w:pPr>
      <w:r w:rsidRPr="00B81671">
        <w:rPr>
          <w:rFonts w:ascii="Arial" w:eastAsia="MS Mincho" w:hAnsi="Arial" w:cs="Arial"/>
          <w:lang w:eastAsia="ja-JP"/>
        </w:rPr>
        <w:t xml:space="preserve">Poniższe zestawienie zostało opracowane na podstawie podrozdziału 6.5 </w:t>
      </w:r>
      <w:r w:rsidRPr="00B81671">
        <w:rPr>
          <w:rFonts w:ascii="Arial" w:eastAsia="MS Mincho" w:hAnsi="Arial" w:cs="Arial"/>
          <w:i/>
          <w:lang w:eastAsia="ja-JP"/>
        </w:rPr>
        <w:t xml:space="preserve">Wytycznych </w:t>
      </w:r>
      <w:r w:rsidRPr="00B81671">
        <w:rPr>
          <w:rFonts w:ascii="Arial" w:eastAsia="MS Mincho" w:hAnsi="Arial" w:cs="Arial"/>
          <w:lang w:eastAsia="ja-JP"/>
        </w:rPr>
        <w:t xml:space="preserve">i podrozdziału </w:t>
      </w:r>
      <w:r w:rsidR="004B179F">
        <w:rPr>
          <w:rFonts w:ascii="Arial" w:eastAsia="MS Mincho" w:hAnsi="Arial" w:cs="Arial"/>
          <w:lang w:eastAsia="ja-JP"/>
        </w:rPr>
        <w:t>3</w:t>
      </w:r>
      <w:r w:rsidRPr="00B81671">
        <w:rPr>
          <w:rFonts w:ascii="Arial" w:eastAsia="MS Mincho" w:hAnsi="Arial" w:cs="Arial"/>
          <w:lang w:eastAsia="ja-JP"/>
        </w:rPr>
        <w:t>.</w:t>
      </w:r>
      <w:r w:rsidR="004B179F">
        <w:rPr>
          <w:rFonts w:ascii="Arial" w:eastAsia="MS Mincho" w:hAnsi="Arial" w:cs="Arial"/>
          <w:lang w:eastAsia="ja-JP"/>
        </w:rPr>
        <w:t>5</w:t>
      </w:r>
      <w:r w:rsidRPr="00B81671">
        <w:rPr>
          <w:rFonts w:ascii="Arial" w:eastAsia="MS Mincho" w:hAnsi="Arial" w:cs="Arial"/>
          <w:lang w:eastAsia="ja-JP"/>
        </w:rPr>
        <w:t xml:space="preserve"> niniejsz</w:t>
      </w:r>
      <w:r w:rsidR="004B179F">
        <w:rPr>
          <w:rFonts w:ascii="Arial" w:eastAsia="MS Mincho" w:hAnsi="Arial" w:cs="Arial"/>
          <w:lang w:eastAsia="ja-JP"/>
        </w:rPr>
        <w:t xml:space="preserve">ego </w:t>
      </w:r>
      <w:r w:rsidRPr="00B81671">
        <w:rPr>
          <w:rFonts w:ascii="Arial" w:eastAsia="MS Mincho" w:hAnsi="Arial" w:cs="Arial"/>
          <w:lang w:eastAsia="ja-JP"/>
        </w:rPr>
        <w:t xml:space="preserve"> </w:t>
      </w:r>
      <w:r w:rsidR="004B179F">
        <w:rPr>
          <w:rFonts w:ascii="Arial" w:eastAsia="MS Mincho" w:hAnsi="Arial" w:cs="Arial"/>
          <w:i/>
          <w:lang w:eastAsia="ja-JP"/>
        </w:rPr>
        <w:t>Katalogu</w:t>
      </w:r>
      <w:r w:rsidRPr="00B81671">
        <w:rPr>
          <w:rFonts w:ascii="Arial" w:eastAsia="MS Mincho" w:hAnsi="Arial" w:cs="Arial"/>
          <w:lang w:eastAsia="ja-JP"/>
        </w:rPr>
        <w:t>.</w:t>
      </w:r>
    </w:p>
    <w:tbl>
      <w:tblPr>
        <w:tblStyle w:val="Tabela-Siatka"/>
        <w:tblW w:w="0" w:type="auto"/>
        <w:tblInd w:w="-459" w:type="dxa"/>
        <w:tblLook w:val="04A0" w:firstRow="1" w:lastRow="0" w:firstColumn="1" w:lastColumn="0" w:noHBand="0" w:noVBand="1"/>
      </w:tblPr>
      <w:tblGrid>
        <w:gridCol w:w="2835"/>
        <w:gridCol w:w="3828"/>
        <w:gridCol w:w="3827"/>
        <w:gridCol w:w="3969"/>
      </w:tblGrid>
      <w:tr w:rsidR="0065055F" w:rsidRPr="00A96780" w:rsidTr="00773FC4">
        <w:tc>
          <w:tcPr>
            <w:tcW w:w="2835" w:type="dxa"/>
            <w:vMerge w:val="restart"/>
            <w:vAlign w:val="center"/>
          </w:tcPr>
          <w:p w:rsidR="0065055F" w:rsidRPr="00B81671" w:rsidRDefault="0065055F" w:rsidP="00773FC4">
            <w:pPr>
              <w:jc w:val="center"/>
              <w:rPr>
                <w:rFonts w:ascii="Arial" w:eastAsia="MS Mincho" w:hAnsi="Arial" w:cs="Arial"/>
                <w:i/>
                <w:lang w:eastAsia="ja-JP"/>
              </w:rPr>
            </w:pPr>
            <w:r w:rsidRPr="00B81671">
              <w:rPr>
                <w:rFonts w:ascii="Arial" w:hAnsi="Arial" w:cs="Arial"/>
                <w:b/>
              </w:rPr>
              <w:t>Wartość zamówienia publicznego</w:t>
            </w:r>
          </w:p>
        </w:tc>
        <w:tc>
          <w:tcPr>
            <w:tcW w:w="11624" w:type="dxa"/>
            <w:gridSpan w:val="3"/>
            <w:vAlign w:val="center"/>
          </w:tcPr>
          <w:p w:rsidR="0065055F" w:rsidRPr="00B81671" w:rsidRDefault="0065055F" w:rsidP="00596030">
            <w:pPr>
              <w:spacing w:before="120" w:after="120" w:line="360" w:lineRule="auto"/>
              <w:jc w:val="center"/>
              <w:rPr>
                <w:rFonts w:ascii="Arial" w:eastAsia="MS Mincho" w:hAnsi="Arial" w:cs="Arial"/>
                <w:i/>
                <w:lang w:eastAsia="ja-JP"/>
              </w:rPr>
            </w:pPr>
            <w:r w:rsidRPr="00B81671">
              <w:rPr>
                <w:rFonts w:ascii="Arial" w:eastAsia="Times New Roman" w:hAnsi="Arial" w:cs="Times New Roman"/>
                <w:b/>
                <w:bCs/>
                <w:sz w:val="24"/>
                <w:szCs w:val="20"/>
                <w:lang w:eastAsia="pl-PL"/>
              </w:rPr>
              <w:t>Regulacja w zakresie zasady konkurenc</w:t>
            </w:r>
            <w:r w:rsidR="00596030">
              <w:rPr>
                <w:rFonts w:ascii="Arial" w:eastAsia="Times New Roman" w:hAnsi="Arial" w:cs="Times New Roman"/>
                <w:b/>
                <w:bCs/>
                <w:sz w:val="24"/>
                <w:szCs w:val="20"/>
                <w:lang w:eastAsia="pl-PL"/>
              </w:rPr>
              <w:t>yjności</w:t>
            </w:r>
          </w:p>
        </w:tc>
      </w:tr>
      <w:tr w:rsidR="0065055F" w:rsidRPr="00A96780" w:rsidTr="00773FC4">
        <w:tc>
          <w:tcPr>
            <w:tcW w:w="2835" w:type="dxa"/>
            <w:vMerge/>
            <w:vAlign w:val="center"/>
          </w:tcPr>
          <w:p w:rsidR="0065055F" w:rsidRPr="00B81671" w:rsidRDefault="0065055F" w:rsidP="00773FC4">
            <w:pPr>
              <w:spacing w:before="120" w:after="120" w:line="360" w:lineRule="auto"/>
              <w:jc w:val="center"/>
              <w:rPr>
                <w:rFonts w:ascii="Arial" w:eastAsia="MS Mincho" w:hAnsi="Arial" w:cs="Arial"/>
                <w:i/>
                <w:highlight w:val="green"/>
                <w:lang w:eastAsia="ja-JP"/>
              </w:rPr>
            </w:pPr>
          </w:p>
        </w:tc>
        <w:tc>
          <w:tcPr>
            <w:tcW w:w="3828" w:type="dxa"/>
            <w:vAlign w:val="center"/>
          </w:tcPr>
          <w:p w:rsidR="0065055F" w:rsidRPr="00B81671" w:rsidRDefault="0065055F" w:rsidP="00773FC4">
            <w:pPr>
              <w:jc w:val="center"/>
              <w:rPr>
                <w:rFonts w:ascii="Arial" w:hAnsi="Arial" w:cs="Arial"/>
                <w:b/>
              </w:rPr>
            </w:pPr>
            <w:r w:rsidRPr="00B81671">
              <w:rPr>
                <w:rFonts w:ascii="Arial" w:hAnsi="Arial" w:cs="Arial"/>
                <w:b/>
              </w:rPr>
              <w:t xml:space="preserve">Zamawiający zobligowani do stosowania </w:t>
            </w:r>
            <w:proofErr w:type="spellStart"/>
            <w:r w:rsidRPr="00B81671">
              <w:rPr>
                <w:rFonts w:ascii="Arial" w:hAnsi="Arial" w:cs="Arial"/>
                <w:b/>
              </w:rPr>
              <w:t>Pzp</w:t>
            </w:r>
            <w:proofErr w:type="spellEnd"/>
            <w:r w:rsidRPr="00B81671">
              <w:rPr>
                <w:rFonts w:ascii="Arial" w:hAnsi="Arial" w:cs="Arial"/>
                <w:b/>
              </w:rPr>
              <w:t xml:space="preserve"> (zgodnie z art. 3 </w:t>
            </w:r>
            <w:proofErr w:type="spellStart"/>
            <w:r w:rsidRPr="00B81671">
              <w:rPr>
                <w:rFonts w:ascii="Arial" w:hAnsi="Arial" w:cs="Arial"/>
                <w:b/>
              </w:rPr>
              <w:t>Pzp</w:t>
            </w:r>
            <w:proofErr w:type="spellEnd"/>
            <w:r w:rsidRPr="00B81671">
              <w:rPr>
                <w:rFonts w:ascii="Arial" w:hAnsi="Arial" w:cs="Arial"/>
                <w:b/>
              </w:rPr>
              <w:t>)</w:t>
            </w:r>
          </w:p>
        </w:tc>
        <w:tc>
          <w:tcPr>
            <w:tcW w:w="3827" w:type="dxa"/>
            <w:vAlign w:val="center"/>
          </w:tcPr>
          <w:p w:rsidR="0065055F" w:rsidRPr="00B81671" w:rsidRDefault="0065055F" w:rsidP="00E01771">
            <w:pPr>
              <w:jc w:val="center"/>
              <w:rPr>
                <w:rFonts w:ascii="Arial" w:hAnsi="Arial" w:cs="Arial"/>
                <w:b/>
              </w:rPr>
            </w:pPr>
            <w:r w:rsidRPr="00B81671">
              <w:rPr>
                <w:rFonts w:ascii="Arial" w:hAnsi="Arial" w:cs="Arial"/>
                <w:b/>
              </w:rPr>
              <w:t>Zamawiający zobowiązani do przestrzegania zasady konkurencyjności, o której mowa w sekcji 6.5.</w:t>
            </w:r>
            <w:r w:rsidR="004B179F">
              <w:rPr>
                <w:rFonts w:ascii="Arial" w:hAnsi="Arial" w:cs="Arial"/>
                <w:b/>
              </w:rPr>
              <w:t>2</w:t>
            </w:r>
            <w:r w:rsidRPr="00B81671">
              <w:rPr>
                <w:rFonts w:ascii="Arial" w:hAnsi="Arial" w:cs="Arial"/>
                <w:b/>
              </w:rPr>
              <w:t xml:space="preserve"> </w:t>
            </w:r>
            <w:r w:rsidRPr="009C6AED">
              <w:rPr>
                <w:rFonts w:ascii="Arial" w:hAnsi="Arial" w:cs="Arial"/>
                <w:b/>
                <w:i/>
              </w:rPr>
              <w:t xml:space="preserve">Wytycznych </w:t>
            </w:r>
          </w:p>
        </w:tc>
        <w:tc>
          <w:tcPr>
            <w:tcW w:w="3969" w:type="dxa"/>
            <w:vAlign w:val="center"/>
          </w:tcPr>
          <w:p w:rsidR="0065055F" w:rsidRPr="00B81671" w:rsidRDefault="0065055F" w:rsidP="00773FC4">
            <w:pPr>
              <w:jc w:val="center"/>
              <w:rPr>
                <w:rFonts w:ascii="Arial" w:hAnsi="Arial" w:cs="Arial"/>
                <w:b/>
              </w:rPr>
            </w:pPr>
            <w:r w:rsidRPr="00B81671">
              <w:rPr>
                <w:rFonts w:ascii="Arial" w:hAnsi="Arial" w:cs="Arial"/>
                <w:b/>
              </w:rPr>
              <w:t xml:space="preserve">Zamawiający niezobowiązani do stosowania </w:t>
            </w:r>
            <w:proofErr w:type="spellStart"/>
            <w:r w:rsidRPr="00B81671">
              <w:rPr>
                <w:rFonts w:ascii="Arial" w:hAnsi="Arial" w:cs="Arial"/>
                <w:b/>
              </w:rPr>
              <w:t>Pzp</w:t>
            </w:r>
            <w:proofErr w:type="spellEnd"/>
            <w:r w:rsidRPr="00B81671">
              <w:rPr>
                <w:rFonts w:ascii="Arial" w:hAnsi="Arial" w:cs="Arial"/>
                <w:b/>
              </w:rPr>
              <w:t xml:space="preserve"> lub zasady konkurencyjności, o której mowa w sekcji 6.5.3 </w:t>
            </w:r>
            <w:r w:rsidRPr="006C0743">
              <w:rPr>
                <w:rFonts w:ascii="Arial" w:hAnsi="Arial" w:cs="Arial"/>
                <w:b/>
                <w:i/>
              </w:rPr>
              <w:t>Wytycznych</w:t>
            </w:r>
          </w:p>
        </w:tc>
      </w:tr>
      <w:tr w:rsidR="0065055F" w:rsidRPr="00A96780" w:rsidTr="00773FC4">
        <w:trPr>
          <w:trHeight w:val="383"/>
        </w:trPr>
        <w:tc>
          <w:tcPr>
            <w:tcW w:w="2835" w:type="dxa"/>
          </w:tcPr>
          <w:p w:rsidR="0065055F" w:rsidRPr="00B81671" w:rsidRDefault="0065055F" w:rsidP="00773FC4">
            <w:pPr>
              <w:jc w:val="center"/>
              <w:rPr>
                <w:rFonts w:ascii="Arial" w:hAnsi="Arial" w:cs="Arial"/>
                <w:b/>
                <w:sz w:val="18"/>
                <w:szCs w:val="18"/>
              </w:rPr>
            </w:pPr>
            <w:r w:rsidRPr="00B81671">
              <w:rPr>
                <w:rFonts w:ascii="Arial" w:hAnsi="Arial" w:cs="Arial"/>
                <w:b/>
                <w:sz w:val="18"/>
                <w:szCs w:val="18"/>
              </w:rPr>
              <w:t>1</w:t>
            </w:r>
          </w:p>
        </w:tc>
        <w:tc>
          <w:tcPr>
            <w:tcW w:w="3828" w:type="dxa"/>
          </w:tcPr>
          <w:p w:rsidR="0065055F" w:rsidRPr="00B81671" w:rsidRDefault="0065055F" w:rsidP="00773FC4">
            <w:pPr>
              <w:jc w:val="center"/>
              <w:rPr>
                <w:rFonts w:ascii="Arial" w:hAnsi="Arial" w:cs="Arial"/>
                <w:b/>
                <w:sz w:val="18"/>
                <w:szCs w:val="18"/>
              </w:rPr>
            </w:pPr>
            <w:r w:rsidRPr="00B81671">
              <w:rPr>
                <w:rFonts w:ascii="Arial" w:hAnsi="Arial" w:cs="Arial"/>
                <w:b/>
                <w:sz w:val="18"/>
                <w:szCs w:val="18"/>
              </w:rPr>
              <w:t>2</w:t>
            </w:r>
          </w:p>
        </w:tc>
        <w:tc>
          <w:tcPr>
            <w:tcW w:w="3827" w:type="dxa"/>
          </w:tcPr>
          <w:p w:rsidR="0065055F" w:rsidRPr="00B81671" w:rsidRDefault="0065055F" w:rsidP="00773FC4">
            <w:pPr>
              <w:jc w:val="center"/>
              <w:rPr>
                <w:rFonts w:ascii="Arial" w:hAnsi="Arial" w:cs="Arial"/>
                <w:b/>
                <w:sz w:val="18"/>
                <w:szCs w:val="18"/>
              </w:rPr>
            </w:pPr>
            <w:r w:rsidRPr="00B81671">
              <w:rPr>
                <w:rFonts w:ascii="Arial" w:hAnsi="Arial" w:cs="Arial"/>
                <w:b/>
                <w:sz w:val="18"/>
                <w:szCs w:val="18"/>
              </w:rPr>
              <w:t>3</w:t>
            </w:r>
          </w:p>
        </w:tc>
        <w:tc>
          <w:tcPr>
            <w:tcW w:w="3969" w:type="dxa"/>
          </w:tcPr>
          <w:p w:rsidR="0065055F" w:rsidRPr="00B81671" w:rsidRDefault="0065055F" w:rsidP="00773FC4">
            <w:pPr>
              <w:jc w:val="center"/>
              <w:rPr>
                <w:rFonts w:ascii="Arial" w:hAnsi="Arial" w:cs="Arial"/>
                <w:b/>
                <w:sz w:val="18"/>
                <w:szCs w:val="18"/>
              </w:rPr>
            </w:pPr>
            <w:r w:rsidRPr="00B81671">
              <w:rPr>
                <w:rFonts w:ascii="Arial" w:hAnsi="Arial" w:cs="Arial"/>
                <w:b/>
                <w:sz w:val="18"/>
                <w:szCs w:val="18"/>
              </w:rPr>
              <w:t>4</w:t>
            </w:r>
          </w:p>
        </w:tc>
      </w:tr>
      <w:tr w:rsidR="0065055F" w:rsidRPr="00A96780" w:rsidTr="00773FC4">
        <w:tc>
          <w:tcPr>
            <w:tcW w:w="2835" w:type="dxa"/>
          </w:tcPr>
          <w:p w:rsidR="0065055F" w:rsidRPr="00B81671" w:rsidRDefault="0065055F" w:rsidP="00773FC4">
            <w:pPr>
              <w:jc w:val="center"/>
              <w:rPr>
                <w:rFonts w:ascii="Arial" w:hAnsi="Arial" w:cs="Arial"/>
                <w:b/>
                <w:sz w:val="20"/>
                <w:szCs w:val="20"/>
              </w:rPr>
            </w:pPr>
          </w:p>
          <w:p w:rsidR="0065055F" w:rsidRPr="00B81671" w:rsidRDefault="0065055F" w:rsidP="00773FC4">
            <w:pPr>
              <w:jc w:val="center"/>
              <w:rPr>
                <w:rFonts w:ascii="Arial" w:hAnsi="Arial" w:cs="Arial"/>
                <w:b/>
                <w:sz w:val="20"/>
                <w:szCs w:val="20"/>
              </w:rPr>
            </w:pPr>
            <w:r w:rsidRPr="00B81671">
              <w:rPr>
                <w:rFonts w:ascii="Arial" w:hAnsi="Arial" w:cs="Arial"/>
                <w:b/>
                <w:sz w:val="20"/>
                <w:szCs w:val="20"/>
              </w:rPr>
              <w:t>Od 20 tys. zł netto - 50 tys. zł netto włącznie</w:t>
            </w:r>
          </w:p>
          <w:p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rsidR="0065055F" w:rsidRPr="00B81671" w:rsidRDefault="004B179F" w:rsidP="00773FC4">
            <w:pPr>
              <w:spacing w:before="120" w:after="120" w:line="360" w:lineRule="auto"/>
              <w:rPr>
                <w:rFonts w:ascii="Arial" w:eastAsia="MS Mincho" w:hAnsi="Arial" w:cs="Arial"/>
                <w:i/>
                <w:lang w:eastAsia="ja-JP"/>
              </w:rPr>
            </w:pPr>
            <w:r w:rsidRPr="004B179F">
              <w:rPr>
                <w:rFonts w:ascii="Arial" w:hAnsi="Arial" w:cs="Arial"/>
                <w:b/>
                <w:sz w:val="20"/>
                <w:szCs w:val="20"/>
              </w:rPr>
              <w:t xml:space="preserve">Rozeznanie rynku przeprowadzane zgodnie z zapisami sekcji 6.5.1 </w:t>
            </w:r>
            <w:r w:rsidRPr="009C6AED">
              <w:rPr>
                <w:rFonts w:ascii="Arial" w:hAnsi="Arial" w:cs="Arial"/>
                <w:b/>
                <w:i/>
                <w:sz w:val="20"/>
                <w:szCs w:val="20"/>
              </w:rPr>
              <w:t>Wytycznych</w:t>
            </w:r>
          </w:p>
        </w:tc>
        <w:tc>
          <w:tcPr>
            <w:tcW w:w="3827" w:type="dxa"/>
          </w:tcPr>
          <w:p w:rsidR="0065055F" w:rsidRPr="00B81671" w:rsidRDefault="004B179F" w:rsidP="00773FC4">
            <w:pPr>
              <w:spacing w:before="120" w:after="120" w:line="360" w:lineRule="auto"/>
              <w:rPr>
                <w:rFonts w:ascii="Arial" w:eastAsia="MS Mincho" w:hAnsi="Arial" w:cs="Arial"/>
                <w:i/>
                <w:lang w:eastAsia="ja-JP"/>
              </w:rPr>
            </w:pPr>
            <w:r w:rsidRPr="004B179F">
              <w:rPr>
                <w:rFonts w:ascii="Arial" w:hAnsi="Arial" w:cs="Arial"/>
                <w:b/>
                <w:sz w:val="20"/>
                <w:szCs w:val="20"/>
              </w:rPr>
              <w:t xml:space="preserve">Rozeznanie rynku przeprowadzane zgodnie z zapisami sekcji 6.5.1 </w:t>
            </w:r>
            <w:r w:rsidRPr="009C6AED">
              <w:rPr>
                <w:rFonts w:ascii="Arial" w:hAnsi="Arial" w:cs="Arial"/>
                <w:b/>
                <w:i/>
                <w:sz w:val="20"/>
                <w:szCs w:val="20"/>
              </w:rPr>
              <w:t>Wytycznych</w:t>
            </w:r>
          </w:p>
        </w:tc>
        <w:tc>
          <w:tcPr>
            <w:tcW w:w="3969" w:type="dxa"/>
          </w:tcPr>
          <w:p w:rsidR="0065055F" w:rsidRPr="00B81671" w:rsidRDefault="004B179F" w:rsidP="00773FC4">
            <w:pPr>
              <w:spacing w:before="120" w:after="120" w:line="360" w:lineRule="auto"/>
              <w:rPr>
                <w:rFonts w:ascii="Arial" w:eastAsia="MS Mincho" w:hAnsi="Arial" w:cs="Arial"/>
                <w:i/>
                <w:lang w:eastAsia="ja-JP"/>
              </w:rPr>
            </w:pPr>
            <w:r w:rsidRPr="004B179F">
              <w:rPr>
                <w:rFonts w:ascii="Arial" w:hAnsi="Arial" w:cs="Arial"/>
                <w:b/>
                <w:sz w:val="20"/>
                <w:szCs w:val="20"/>
              </w:rPr>
              <w:t xml:space="preserve">Rozeznanie rynku przeprowadzane zgodnie z zapisami sekcji 6.5.1 </w:t>
            </w:r>
            <w:r w:rsidRPr="009C6AED">
              <w:rPr>
                <w:rFonts w:ascii="Arial" w:hAnsi="Arial" w:cs="Arial"/>
                <w:b/>
                <w:i/>
                <w:sz w:val="20"/>
                <w:szCs w:val="20"/>
              </w:rPr>
              <w:t>Wytycznych</w:t>
            </w:r>
          </w:p>
        </w:tc>
      </w:tr>
      <w:tr w:rsidR="0065055F" w:rsidRPr="00A96780" w:rsidTr="00773FC4">
        <w:trPr>
          <w:trHeight w:val="1536"/>
        </w:trPr>
        <w:tc>
          <w:tcPr>
            <w:tcW w:w="2835" w:type="dxa"/>
          </w:tcPr>
          <w:p w:rsidR="0065055F" w:rsidRPr="00B81671" w:rsidRDefault="0065055F" w:rsidP="00773FC4">
            <w:pPr>
              <w:jc w:val="center"/>
              <w:rPr>
                <w:rFonts w:ascii="Arial" w:hAnsi="Arial" w:cs="Arial"/>
                <w:b/>
                <w:sz w:val="20"/>
                <w:szCs w:val="20"/>
              </w:rPr>
            </w:pPr>
          </w:p>
          <w:p w:rsidR="0065055F" w:rsidRPr="00B81671" w:rsidRDefault="0065055F" w:rsidP="00773FC4">
            <w:pPr>
              <w:jc w:val="center"/>
              <w:rPr>
                <w:rFonts w:ascii="Arial" w:hAnsi="Arial" w:cs="Arial"/>
                <w:b/>
                <w:sz w:val="20"/>
                <w:szCs w:val="20"/>
              </w:rPr>
            </w:pPr>
            <w:r w:rsidRPr="00B81671">
              <w:rPr>
                <w:rFonts w:ascii="Arial" w:hAnsi="Arial" w:cs="Arial"/>
                <w:b/>
                <w:sz w:val="20"/>
                <w:szCs w:val="20"/>
              </w:rPr>
              <w:t>Powyżej 50 ty</w:t>
            </w:r>
            <w:r w:rsidR="004B179F">
              <w:rPr>
                <w:rFonts w:ascii="Arial" w:hAnsi="Arial" w:cs="Arial"/>
                <w:b/>
                <w:sz w:val="20"/>
                <w:szCs w:val="20"/>
              </w:rPr>
              <w:t>s.</w:t>
            </w:r>
            <w:r w:rsidRPr="00B81671">
              <w:rPr>
                <w:rFonts w:ascii="Arial" w:hAnsi="Arial" w:cs="Arial"/>
                <w:b/>
                <w:sz w:val="20"/>
                <w:szCs w:val="20"/>
              </w:rPr>
              <w:t xml:space="preserve"> zł netto – do kwoty poniżej progu wynikającego z art. 4 ust 8 </w:t>
            </w:r>
            <w:proofErr w:type="spellStart"/>
            <w:r w:rsidRPr="00B81671">
              <w:rPr>
                <w:rFonts w:ascii="Arial" w:hAnsi="Arial" w:cs="Arial"/>
                <w:b/>
                <w:sz w:val="20"/>
                <w:szCs w:val="20"/>
              </w:rPr>
              <w:t>Pzp</w:t>
            </w:r>
            <w:proofErr w:type="spellEnd"/>
            <w:r w:rsidRPr="00B81671">
              <w:rPr>
                <w:rFonts w:ascii="Arial" w:hAnsi="Arial" w:cs="Arial"/>
                <w:b/>
                <w:sz w:val="20"/>
                <w:szCs w:val="20"/>
              </w:rPr>
              <w:t xml:space="preserve"> tj. 30 ty</w:t>
            </w:r>
            <w:r w:rsidR="004B179F">
              <w:rPr>
                <w:rFonts w:ascii="Arial" w:hAnsi="Arial" w:cs="Arial"/>
                <w:b/>
                <w:sz w:val="20"/>
                <w:szCs w:val="20"/>
              </w:rPr>
              <w:t>s.</w:t>
            </w:r>
            <w:r w:rsidRPr="00B81671">
              <w:rPr>
                <w:rFonts w:ascii="Arial" w:hAnsi="Arial" w:cs="Arial"/>
                <w:b/>
                <w:sz w:val="20"/>
                <w:szCs w:val="20"/>
              </w:rPr>
              <w:t xml:space="preserve"> euro netto</w:t>
            </w:r>
          </w:p>
          <w:p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rsidR="0065055F" w:rsidRPr="00B81671" w:rsidRDefault="0065055F" w:rsidP="00773FC4">
            <w:pPr>
              <w:rPr>
                <w:rFonts w:ascii="Arial" w:hAnsi="Arial" w:cs="Arial"/>
                <w:b/>
                <w:sz w:val="20"/>
                <w:szCs w:val="20"/>
              </w:rPr>
            </w:pPr>
          </w:p>
          <w:p w:rsidR="0065055F" w:rsidRPr="00B81671" w:rsidRDefault="0065055F" w:rsidP="004B179F">
            <w:pPr>
              <w:spacing w:before="120" w:after="120" w:line="360" w:lineRule="auto"/>
              <w:rPr>
                <w:rFonts w:ascii="Arial" w:eastAsia="MS Mincho" w:hAnsi="Arial" w:cs="Arial"/>
                <w:i/>
                <w:lang w:eastAsia="ja-JP"/>
              </w:rPr>
            </w:pPr>
            <w:r w:rsidRPr="00B81671">
              <w:rPr>
                <w:rFonts w:ascii="Arial" w:hAnsi="Arial" w:cs="Arial"/>
                <w:b/>
                <w:sz w:val="20"/>
                <w:szCs w:val="20"/>
              </w:rPr>
              <w:t>Sekcja 6.5.</w:t>
            </w:r>
            <w:r w:rsidR="004B179F">
              <w:rPr>
                <w:rFonts w:ascii="Arial" w:hAnsi="Arial" w:cs="Arial"/>
                <w:b/>
                <w:sz w:val="20"/>
                <w:szCs w:val="20"/>
              </w:rPr>
              <w:t>2</w:t>
            </w:r>
            <w:r w:rsidRPr="00B81671">
              <w:rPr>
                <w:rFonts w:ascii="Arial" w:hAnsi="Arial" w:cs="Arial"/>
                <w:b/>
                <w:sz w:val="20"/>
                <w:szCs w:val="20"/>
              </w:rPr>
              <w:t xml:space="preserve"> </w:t>
            </w:r>
            <w:r w:rsidRPr="00B81671">
              <w:rPr>
                <w:rFonts w:ascii="Arial" w:hAnsi="Arial" w:cs="Arial"/>
                <w:b/>
                <w:i/>
                <w:sz w:val="20"/>
                <w:szCs w:val="20"/>
              </w:rPr>
              <w:t>Wytycznych</w:t>
            </w:r>
          </w:p>
        </w:tc>
        <w:tc>
          <w:tcPr>
            <w:tcW w:w="3827" w:type="dxa"/>
          </w:tcPr>
          <w:p w:rsidR="0065055F" w:rsidRPr="00B81671" w:rsidRDefault="0065055F" w:rsidP="00773FC4">
            <w:pPr>
              <w:rPr>
                <w:rFonts w:ascii="Arial" w:hAnsi="Arial" w:cs="Arial"/>
                <w:b/>
                <w:sz w:val="20"/>
                <w:szCs w:val="20"/>
              </w:rPr>
            </w:pPr>
          </w:p>
          <w:p w:rsidR="0065055F" w:rsidRPr="00B81671" w:rsidRDefault="0065055F" w:rsidP="004B179F">
            <w:pPr>
              <w:spacing w:before="120" w:after="120" w:line="360" w:lineRule="auto"/>
              <w:rPr>
                <w:rFonts w:ascii="Arial" w:eastAsia="MS Mincho" w:hAnsi="Arial" w:cs="Arial"/>
                <w:i/>
                <w:lang w:eastAsia="ja-JP"/>
              </w:rPr>
            </w:pPr>
            <w:r w:rsidRPr="00B81671">
              <w:rPr>
                <w:rFonts w:ascii="Arial" w:hAnsi="Arial" w:cs="Arial"/>
                <w:b/>
                <w:sz w:val="20"/>
                <w:szCs w:val="20"/>
              </w:rPr>
              <w:t>Podrozdział 6.5.</w:t>
            </w:r>
            <w:r w:rsidR="004B179F">
              <w:rPr>
                <w:rFonts w:ascii="Arial" w:hAnsi="Arial" w:cs="Arial"/>
                <w:b/>
                <w:sz w:val="20"/>
                <w:szCs w:val="20"/>
              </w:rPr>
              <w:t>2</w:t>
            </w:r>
            <w:r w:rsidRPr="00B81671">
              <w:rPr>
                <w:rFonts w:ascii="Arial" w:hAnsi="Arial" w:cs="Arial"/>
                <w:b/>
                <w:sz w:val="20"/>
                <w:szCs w:val="20"/>
              </w:rPr>
              <w:t xml:space="preserve"> </w:t>
            </w:r>
            <w:r w:rsidRPr="00B81671">
              <w:rPr>
                <w:rFonts w:ascii="Arial" w:hAnsi="Arial" w:cs="Arial"/>
                <w:b/>
                <w:i/>
                <w:sz w:val="20"/>
                <w:szCs w:val="20"/>
              </w:rPr>
              <w:t>Wytycznych</w:t>
            </w:r>
          </w:p>
        </w:tc>
        <w:tc>
          <w:tcPr>
            <w:tcW w:w="3969" w:type="dxa"/>
          </w:tcPr>
          <w:p w:rsidR="0065055F" w:rsidRPr="00B81671" w:rsidRDefault="0065055F" w:rsidP="00773FC4">
            <w:pPr>
              <w:rPr>
                <w:rFonts w:ascii="Arial" w:hAnsi="Arial" w:cs="Arial"/>
                <w:b/>
                <w:sz w:val="20"/>
                <w:szCs w:val="20"/>
              </w:rPr>
            </w:pPr>
          </w:p>
          <w:p w:rsidR="0065055F" w:rsidRPr="00B81671" w:rsidRDefault="004B179F" w:rsidP="00773FC4">
            <w:pPr>
              <w:spacing w:before="120" w:after="120" w:line="360" w:lineRule="auto"/>
              <w:rPr>
                <w:rFonts w:ascii="Arial" w:eastAsia="MS Mincho" w:hAnsi="Arial" w:cs="Arial"/>
                <w:i/>
                <w:lang w:eastAsia="ja-JP"/>
              </w:rPr>
            </w:pPr>
            <w:r w:rsidRPr="004B179F">
              <w:rPr>
                <w:rFonts w:ascii="Arial" w:hAnsi="Arial" w:cs="Arial"/>
                <w:b/>
                <w:sz w:val="20"/>
                <w:szCs w:val="20"/>
              </w:rPr>
              <w:t xml:space="preserve">Rozeznanie rynku przeprowadzane zgodnie z zapisami sekcji 6.5.1 </w:t>
            </w:r>
            <w:r w:rsidRPr="009C6AED">
              <w:rPr>
                <w:rFonts w:ascii="Arial" w:hAnsi="Arial" w:cs="Arial"/>
                <w:b/>
                <w:i/>
                <w:sz w:val="20"/>
                <w:szCs w:val="20"/>
              </w:rPr>
              <w:t>Wytycznych</w:t>
            </w:r>
          </w:p>
        </w:tc>
      </w:tr>
      <w:tr w:rsidR="0065055F" w:rsidTr="00773FC4">
        <w:tc>
          <w:tcPr>
            <w:tcW w:w="2835" w:type="dxa"/>
          </w:tcPr>
          <w:p w:rsidR="0065055F" w:rsidRPr="00B81671" w:rsidRDefault="0065055F" w:rsidP="00773FC4">
            <w:pPr>
              <w:jc w:val="center"/>
              <w:rPr>
                <w:rFonts w:ascii="Arial" w:hAnsi="Arial" w:cs="Arial"/>
                <w:b/>
                <w:sz w:val="20"/>
                <w:szCs w:val="20"/>
              </w:rPr>
            </w:pPr>
          </w:p>
          <w:p w:rsidR="0065055F" w:rsidRPr="00B81671" w:rsidRDefault="0065055F" w:rsidP="00773FC4">
            <w:pPr>
              <w:jc w:val="center"/>
              <w:rPr>
                <w:rFonts w:ascii="Arial" w:hAnsi="Arial" w:cs="Arial"/>
                <w:b/>
                <w:sz w:val="20"/>
                <w:szCs w:val="20"/>
              </w:rPr>
            </w:pPr>
            <w:r w:rsidRPr="00B81671">
              <w:rPr>
                <w:rFonts w:ascii="Arial" w:hAnsi="Arial" w:cs="Arial"/>
                <w:b/>
                <w:sz w:val="20"/>
                <w:szCs w:val="20"/>
              </w:rPr>
              <w:t>Od 30 ty</w:t>
            </w:r>
            <w:r w:rsidR="004B179F">
              <w:rPr>
                <w:rFonts w:ascii="Arial" w:hAnsi="Arial" w:cs="Arial"/>
                <w:b/>
                <w:sz w:val="20"/>
                <w:szCs w:val="20"/>
              </w:rPr>
              <w:t>s.</w:t>
            </w:r>
            <w:r w:rsidRPr="00B81671">
              <w:rPr>
                <w:rFonts w:ascii="Arial" w:hAnsi="Arial" w:cs="Arial"/>
                <w:b/>
                <w:sz w:val="20"/>
                <w:szCs w:val="20"/>
              </w:rPr>
              <w:t xml:space="preserve"> euro netto włącznie</w:t>
            </w:r>
          </w:p>
          <w:p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rsidR="0065055F" w:rsidRPr="00B81671" w:rsidRDefault="0065055F" w:rsidP="00773FC4">
            <w:pPr>
              <w:rPr>
                <w:rFonts w:ascii="Arial" w:hAnsi="Arial" w:cs="Arial"/>
                <w:b/>
                <w:sz w:val="20"/>
                <w:szCs w:val="20"/>
              </w:rPr>
            </w:pPr>
          </w:p>
          <w:p w:rsidR="0065055F" w:rsidRPr="00B81671" w:rsidRDefault="0065055F" w:rsidP="00773FC4">
            <w:pPr>
              <w:spacing w:before="120" w:after="120" w:line="360" w:lineRule="auto"/>
              <w:rPr>
                <w:rFonts w:ascii="Arial" w:eastAsia="MS Mincho" w:hAnsi="Arial" w:cs="Arial"/>
                <w:i/>
                <w:lang w:eastAsia="ja-JP"/>
              </w:rPr>
            </w:pPr>
            <w:proofErr w:type="spellStart"/>
            <w:r w:rsidRPr="00B81671">
              <w:rPr>
                <w:rFonts w:ascii="Arial" w:hAnsi="Arial" w:cs="Arial"/>
                <w:b/>
                <w:sz w:val="20"/>
                <w:szCs w:val="20"/>
              </w:rPr>
              <w:t>Pzp</w:t>
            </w:r>
            <w:proofErr w:type="spellEnd"/>
          </w:p>
        </w:tc>
        <w:tc>
          <w:tcPr>
            <w:tcW w:w="3827" w:type="dxa"/>
          </w:tcPr>
          <w:p w:rsidR="0065055F" w:rsidRPr="00B81671" w:rsidRDefault="0065055F" w:rsidP="00773FC4">
            <w:pPr>
              <w:rPr>
                <w:rFonts w:ascii="Arial" w:hAnsi="Arial" w:cs="Arial"/>
                <w:b/>
                <w:sz w:val="20"/>
                <w:szCs w:val="20"/>
              </w:rPr>
            </w:pPr>
          </w:p>
          <w:p w:rsidR="0065055F" w:rsidRPr="00B81671" w:rsidRDefault="0065055F" w:rsidP="004B179F">
            <w:pPr>
              <w:spacing w:before="120" w:after="120" w:line="360" w:lineRule="auto"/>
              <w:rPr>
                <w:rFonts w:ascii="Arial" w:eastAsia="MS Mincho" w:hAnsi="Arial" w:cs="Arial"/>
                <w:i/>
                <w:lang w:eastAsia="ja-JP"/>
              </w:rPr>
            </w:pPr>
            <w:r w:rsidRPr="00B81671">
              <w:rPr>
                <w:rFonts w:ascii="Arial" w:hAnsi="Arial" w:cs="Arial"/>
                <w:b/>
                <w:sz w:val="20"/>
                <w:szCs w:val="20"/>
              </w:rPr>
              <w:t>Podrozdział 6.5.</w:t>
            </w:r>
            <w:r w:rsidR="004B179F">
              <w:rPr>
                <w:rFonts w:ascii="Arial" w:hAnsi="Arial" w:cs="Arial"/>
                <w:b/>
                <w:sz w:val="20"/>
                <w:szCs w:val="20"/>
              </w:rPr>
              <w:t>2</w:t>
            </w:r>
            <w:r w:rsidRPr="00B81671">
              <w:rPr>
                <w:rFonts w:ascii="Arial" w:hAnsi="Arial" w:cs="Arial"/>
                <w:b/>
                <w:sz w:val="20"/>
                <w:szCs w:val="20"/>
              </w:rPr>
              <w:t xml:space="preserve"> </w:t>
            </w:r>
            <w:r w:rsidRPr="00B81671">
              <w:rPr>
                <w:rFonts w:ascii="Arial" w:hAnsi="Arial" w:cs="Arial"/>
                <w:b/>
                <w:i/>
                <w:sz w:val="20"/>
                <w:szCs w:val="20"/>
              </w:rPr>
              <w:t>Wytycznych</w:t>
            </w:r>
          </w:p>
        </w:tc>
        <w:tc>
          <w:tcPr>
            <w:tcW w:w="3969" w:type="dxa"/>
          </w:tcPr>
          <w:p w:rsidR="0065055F" w:rsidRPr="00B81671" w:rsidRDefault="0065055F" w:rsidP="00773FC4">
            <w:pPr>
              <w:rPr>
                <w:rFonts w:ascii="Arial" w:hAnsi="Arial" w:cs="Arial"/>
                <w:b/>
                <w:sz w:val="20"/>
                <w:szCs w:val="20"/>
              </w:rPr>
            </w:pPr>
          </w:p>
          <w:p w:rsidR="0065055F" w:rsidRDefault="004B179F" w:rsidP="00997BCA">
            <w:pPr>
              <w:spacing w:before="120" w:after="120" w:line="360" w:lineRule="auto"/>
              <w:rPr>
                <w:rFonts w:ascii="Arial" w:eastAsia="MS Mincho" w:hAnsi="Arial" w:cs="Arial"/>
                <w:i/>
                <w:lang w:eastAsia="ja-JP"/>
              </w:rPr>
            </w:pPr>
            <w:r w:rsidRPr="004B179F">
              <w:rPr>
                <w:rFonts w:ascii="Arial" w:hAnsi="Arial" w:cs="Arial"/>
                <w:b/>
                <w:sz w:val="20"/>
                <w:szCs w:val="20"/>
              </w:rPr>
              <w:t xml:space="preserve">Rozeznanie rynku przeprowadzane zgodnie z zapisami sekcji 6.5.1 </w:t>
            </w:r>
            <w:r w:rsidRPr="009C6AED">
              <w:rPr>
                <w:rFonts w:ascii="Arial" w:hAnsi="Arial" w:cs="Arial"/>
                <w:b/>
                <w:i/>
                <w:sz w:val="20"/>
                <w:szCs w:val="20"/>
              </w:rPr>
              <w:t>Wytycznych</w:t>
            </w:r>
          </w:p>
        </w:tc>
      </w:tr>
    </w:tbl>
    <w:p w:rsidR="007E0407" w:rsidRPr="007E469E" w:rsidRDefault="007E0407" w:rsidP="007E0407">
      <w:pPr>
        <w:spacing w:after="0" w:line="240" w:lineRule="auto"/>
      </w:pPr>
    </w:p>
    <w:p w:rsidR="007E0407" w:rsidRPr="007E469E" w:rsidRDefault="007E0407" w:rsidP="007E0407">
      <w:pPr>
        <w:spacing w:after="0" w:line="360" w:lineRule="auto"/>
        <w:ind w:left="426"/>
        <w:jc w:val="both"/>
      </w:pPr>
    </w:p>
    <w:sectPr w:rsidR="007E0407" w:rsidRPr="007E469E" w:rsidSect="00692CF7">
      <w:pgSz w:w="16838" w:h="11906" w:orient="landscape"/>
      <w:pgMar w:top="1021"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923" w:rsidRDefault="00A03923" w:rsidP="00045401">
      <w:pPr>
        <w:spacing w:after="0" w:line="240" w:lineRule="auto"/>
      </w:pPr>
      <w:r>
        <w:separator/>
      </w:r>
    </w:p>
  </w:endnote>
  <w:endnote w:type="continuationSeparator" w:id="0">
    <w:p w:rsidR="00A03923" w:rsidRDefault="00A03923" w:rsidP="00045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219629"/>
      <w:docPartObj>
        <w:docPartGallery w:val="Page Numbers (Bottom of Page)"/>
        <w:docPartUnique/>
      </w:docPartObj>
    </w:sdtPr>
    <w:sdtEndPr/>
    <w:sdtContent>
      <w:p w:rsidR="00A03923" w:rsidRDefault="00A03923">
        <w:pPr>
          <w:pStyle w:val="Stopka"/>
          <w:jc w:val="right"/>
        </w:pPr>
        <w:r>
          <w:fldChar w:fldCharType="begin"/>
        </w:r>
        <w:r>
          <w:instrText>PAGE   \* MERGEFORMAT</w:instrText>
        </w:r>
        <w:r>
          <w:fldChar w:fldCharType="separate"/>
        </w:r>
        <w:r w:rsidR="00374A08">
          <w:rPr>
            <w:noProof/>
          </w:rPr>
          <w:t>71</w:t>
        </w:r>
        <w:r>
          <w:fldChar w:fldCharType="end"/>
        </w:r>
      </w:p>
    </w:sdtContent>
  </w:sdt>
  <w:p w:rsidR="00A03923" w:rsidRDefault="00A0392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923" w:rsidRDefault="00A03923" w:rsidP="00045401">
      <w:pPr>
        <w:spacing w:after="0" w:line="240" w:lineRule="auto"/>
      </w:pPr>
      <w:r>
        <w:separator/>
      </w:r>
    </w:p>
  </w:footnote>
  <w:footnote w:type="continuationSeparator" w:id="0">
    <w:p w:rsidR="00A03923" w:rsidRDefault="00A03923" w:rsidP="00045401">
      <w:pPr>
        <w:spacing w:after="0" w:line="240" w:lineRule="auto"/>
      </w:pPr>
      <w:r>
        <w:continuationSeparator/>
      </w:r>
    </w:p>
  </w:footnote>
  <w:footnote w:id="1">
    <w:p w:rsidR="00A03923" w:rsidRPr="000E3E65" w:rsidRDefault="00A03923" w:rsidP="00395C47">
      <w:pPr>
        <w:pStyle w:val="Tekstprzypisudolnego"/>
        <w:ind w:left="0" w:firstLine="0"/>
        <w:rPr>
          <w:rFonts w:ascii="Arial" w:hAnsi="Arial" w:cs="Arial"/>
          <w:sz w:val="16"/>
          <w:szCs w:val="16"/>
        </w:rPr>
      </w:pPr>
      <w:r w:rsidRPr="00395C47">
        <w:rPr>
          <w:rStyle w:val="Odwoanieprzypisudolnego"/>
          <w:rFonts w:ascii="Arial" w:eastAsiaTheme="majorEastAsia" w:hAnsi="Arial" w:cs="Arial"/>
          <w:sz w:val="16"/>
          <w:szCs w:val="16"/>
        </w:rPr>
        <w:footnoteRef/>
      </w:r>
      <w:r w:rsidRPr="00395C47">
        <w:rPr>
          <w:rFonts w:ascii="Arial" w:hAnsi="Arial" w:cs="Arial"/>
          <w:sz w:val="16"/>
          <w:szCs w:val="16"/>
        </w:rPr>
        <w:t xml:space="preserve"> Definicje dochodu</w:t>
      </w:r>
      <w:r w:rsidRPr="00395C47">
        <w:rPr>
          <w:rFonts w:ascii="Arial" w:hAnsi="Arial" w:cs="Arial"/>
          <w:sz w:val="16"/>
          <w:szCs w:val="16"/>
          <w:lang w:val="pl-PL"/>
        </w:rPr>
        <w:t xml:space="preserve">, o którym mowa w art. 61 oraz 65 </w:t>
      </w:r>
      <w:r w:rsidRPr="00395C47">
        <w:rPr>
          <w:rFonts w:ascii="Arial" w:hAnsi="Arial" w:cs="Arial"/>
          <w:sz w:val="16"/>
          <w:szCs w:val="16"/>
        </w:rPr>
        <w:t>rozporządzenia ogólnego</w:t>
      </w:r>
      <w:r w:rsidRPr="00395C47">
        <w:rPr>
          <w:rFonts w:ascii="Arial" w:hAnsi="Arial" w:cs="Arial"/>
          <w:i/>
          <w:sz w:val="16"/>
          <w:szCs w:val="16"/>
        </w:rPr>
        <w:t xml:space="preserve"> </w:t>
      </w:r>
      <w:r w:rsidRPr="00395C47">
        <w:rPr>
          <w:rFonts w:ascii="Arial" w:hAnsi="Arial" w:cs="Arial"/>
          <w:sz w:val="16"/>
          <w:szCs w:val="16"/>
        </w:rPr>
        <w:t>są inne niż definicja dochodu wynikająca z krajowych przepisów o rachunkowości czy przepisów podatkowych.</w:t>
      </w:r>
    </w:p>
  </w:footnote>
  <w:footnote w:id="2">
    <w:p w:rsidR="00A03923" w:rsidRPr="00C55C98" w:rsidRDefault="00A03923" w:rsidP="001C60ED">
      <w:pPr>
        <w:pStyle w:val="Tekstprzypisudolnego"/>
        <w:ind w:left="0" w:firstLine="0"/>
        <w:rPr>
          <w:rFonts w:ascii="Arial" w:hAnsi="Arial" w:cs="Arial"/>
          <w:sz w:val="16"/>
          <w:szCs w:val="16"/>
          <w:lang w:val="pl-PL"/>
        </w:rPr>
      </w:pPr>
      <w:r w:rsidRPr="00C55C98">
        <w:rPr>
          <w:rStyle w:val="Odwoanieprzypisudolnego"/>
          <w:rFonts w:ascii="Arial" w:hAnsi="Arial" w:cs="Arial"/>
          <w:sz w:val="16"/>
          <w:szCs w:val="16"/>
        </w:rPr>
        <w:footnoteRef/>
      </w:r>
      <w:r w:rsidRPr="00C55C98">
        <w:rPr>
          <w:rFonts w:ascii="Arial" w:hAnsi="Arial" w:cs="Arial"/>
          <w:sz w:val="16"/>
          <w:szCs w:val="16"/>
          <w:lang w:val="pl-PL"/>
        </w:rPr>
        <w:t xml:space="preserve"> Szczegółowe znaczenie pojęć użytych w przedmiotowej definicji znajduje się w dokumencie „Wytyczne w zakresie zagadnień związanych z przygotowaniem projektów inwestycyjnych, w tym projektów generujących dochód i projektów hybrydowych na lata 2014-2020”.</w:t>
      </w:r>
    </w:p>
  </w:footnote>
  <w:footnote w:id="3">
    <w:p w:rsidR="00A03923" w:rsidRPr="00C55C98" w:rsidRDefault="00A03923" w:rsidP="00DF61D4">
      <w:pPr>
        <w:pStyle w:val="Tekstprzypisudolnego"/>
        <w:ind w:left="0" w:hanging="11"/>
        <w:rPr>
          <w:rFonts w:ascii="Arial" w:hAnsi="Arial" w:cs="Arial"/>
          <w:sz w:val="16"/>
          <w:szCs w:val="16"/>
          <w:lang w:val="pl-PL"/>
        </w:rPr>
      </w:pPr>
      <w:r w:rsidRPr="00C55C98">
        <w:rPr>
          <w:rStyle w:val="Odwoanieprzypisudolnego"/>
          <w:rFonts w:ascii="Arial" w:hAnsi="Arial" w:cs="Arial"/>
          <w:sz w:val="16"/>
          <w:szCs w:val="16"/>
        </w:rPr>
        <w:footnoteRef/>
      </w:r>
      <w:r w:rsidRPr="00C55C98">
        <w:rPr>
          <w:rFonts w:ascii="Arial" w:hAnsi="Arial" w:cs="Arial"/>
          <w:sz w:val="16"/>
          <w:szCs w:val="16"/>
        </w:rPr>
        <w:t xml:space="preserve"> Pojęcie współfinansowania krajowego z budżetu </w:t>
      </w:r>
      <w:r w:rsidRPr="00C55C98">
        <w:rPr>
          <w:rFonts w:ascii="Arial" w:hAnsi="Arial" w:cs="Arial"/>
          <w:sz w:val="16"/>
          <w:szCs w:val="16"/>
          <w:lang w:val="pl-PL"/>
        </w:rPr>
        <w:t>państwa - w kontekście pojęcia dofinansowania – nie dotyczy wkładu własnego beneficjentów będących jednostkami sektora finansów publicznych.</w:t>
      </w:r>
    </w:p>
  </w:footnote>
  <w:footnote w:id="4">
    <w:p w:rsidR="00A03923" w:rsidRPr="00C55C98" w:rsidRDefault="00A03923" w:rsidP="00B81671">
      <w:pPr>
        <w:pStyle w:val="Tekstprzypisudolnego"/>
        <w:ind w:left="0" w:hanging="11"/>
        <w:jc w:val="both"/>
        <w:rPr>
          <w:rFonts w:ascii="Arial" w:hAnsi="Arial" w:cs="Arial"/>
          <w:lang w:val="pl-PL"/>
        </w:rPr>
      </w:pPr>
      <w:r w:rsidRPr="003C75A8">
        <w:rPr>
          <w:rStyle w:val="Odwoanieprzypisudolnego"/>
          <w:sz w:val="16"/>
          <w:szCs w:val="16"/>
        </w:rPr>
        <w:footnoteRef/>
      </w:r>
      <w:r w:rsidRPr="00250FF7">
        <w:rPr>
          <w:rStyle w:val="Odwoanieprzypisudolnego"/>
          <w:sz w:val="16"/>
          <w:szCs w:val="16"/>
        </w:rPr>
        <w:t xml:space="preserve"> </w:t>
      </w:r>
      <w:r w:rsidRPr="00B81671">
        <w:rPr>
          <w:rFonts w:ascii="Arial" w:hAnsi="Arial" w:cs="Arial"/>
          <w:sz w:val="16"/>
          <w:szCs w:val="16"/>
          <w:lang w:val="pl-PL"/>
        </w:rPr>
        <w:t xml:space="preserve">Z art. 3 ust. 1 pkt 14 </w:t>
      </w:r>
      <w:r w:rsidRPr="001561AC">
        <w:rPr>
          <w:rFonts w:ascii="Arial" w:hAnsi="Arial" w:cs="Arial"/>
          <w:sz w:val="16"/>
          <w:szCs w:val="16"/>
          <w:lang w:val="pl-PL"/>
        </w:rPr>
        <w:t>ustawy z dnia 29 września 1994 r. o rachunkowości wynika</w:t>
      </w:r>
      <w:r>
        <w:rPr>
          <w:rFonts w:ascii="Arial" w:hAnsi="Arial" w:cs="Arial"/>
          <w:sz w:val="16"/>
          <w:szCs w:val="16"/>
          <w:lang w:val="pl-PL"/>
        </w:rPr>
        <w:t xml:space="preserve"> także</w:t>
      </w:r>
      <w:r w:rsidRPr="001561AC">
        <w:rPr>
          <w:rFonts w:ascii="Arial" w:hAnsi="Arial" w:cs="Arial"/>
          <w:sz w:val="16"/>
          <w:szCs w:val="16"/>
          <w:lang w:val="pl-PL"/>
        </w:rPr>
        <w:t>,</w:t>
      </w:r>
      <w:r>
        <w:rPr>
          <w:rFonts w:ascii="Arial" w:hAnsi="Arial" w:cs="Arial"/>
          <w:sz w:val="16"/>
          <w:szCs w:val="16"/>
          <w:lang w:val="pl-PL"/>
        </w:rPr>
        <w:t xml:space="preserve"> iż</w:t>
      </w:r>
      <w:r>
        <w:rPr>
          <w:sz w:val="16"/>
          <w:szCs w:val="16"/>
          <w:lang w:val="pl-PL"/>
        </w:rPr>
        <w:t xml:space="preserve"> </w:t>
      </w:r>
      <w:r>
        <w:rPr>
          <w:rFonts w:ascii="Arial" w:hAnsi="Arial" w:cs="Arial"/>
          <w:sz w:val="16"/>
          <w:szCs w:val="16"/>
          <w:lang w:val="pl-PL"/>
        </w:rPr>
        <w:t>w</w:t>
      </w:r>
      <w:r w:rsidRPr="00C55C98">
        <w:rPr>
          <w:rStyle w:val="Odwoanieprzypisudolnego"/>
          <w:rFonts w:ascii="Arial" w:hAnsi="Arial" w:cs="Arial"/>
          <w:sz w:val="16"/>
          <w:szCs w:val="16"/>
          <w:vertAlign w:val="baseline"/>
        </w:rPr>
        <w:t xml:space="preserve"> przypadku wartości niematerialnych i prawnych oddanych do używania na podstawie umowy najmu, dzierżawy lub leasingu, wartości niematerialne</w:t>
      </w:r>
      <w:r w:rsidRPr="00C55C98">
        <w:rPr>
          <w:rFonts w:ascii="Arial" w:hAnsi="Arial" w:cs="Arial"/>
          <w:sz w:val="16"/>
          <w:szCs w:val="16"/>
          <w:lang w:val="pl-PL"/>
        </w:rPr>
        <w:t xml:space="preserve"> i prawne zalicza się do aktywów trwałych jednej ze stron umowy, zgodnie z warunkami określonymi </w:t>
      </w:r>
      <w:r w:rsidRPr="00F93F49">
        <w:rPr>
          <w:rFonts w:ascii="Arial" w:hAnsi="Arial" w:cs="Arial"/>
          <w:sz w:val="16"/>
          <w:szCs w:val="16"/>
          <w:lang w:val="pl-PL"/>
        </w:rPr>
        <w:t>w ust. 4  tego przepisu</w:t>
      </w:r>
      <w:r>
        <w:rPr>
          <w:rFonts w:ascii="Arial" w:hAnsi="Arial" w:cs="Arial"/>
          <w:color w:val="FF0000"/>
          <w:sz w:val="16"/>
          <w:szCs w:val="16"/>
          <w:lang w:val="pl-PL"/>
        </w:rPr>
        <w:t>.</w:t>
      </w:r>
      <w:r w:rsidRPr="00C55C98">
        <w:rPr>
          <w:rFonts w:ascii="Arial" w:hAnsi="Arial" w:cs="Arial"/>
          <w:sz w:val="16"/>
          <w:szCs w:val="16"/>
          <w:lang w:val="pl-PL"/>
        </w:rPr>
        <w:t xml:space="preserve"> Do wartości niematerialnych i prawnych zalicza się również nabytą wartość firmy oraz koszty zakończonych prac rozwojowych. </w:t>
      </w:r>
    </w:p>
  </w:footnote>
  <w:footnote w:id="5">
    <w:p w:rsidR="00A03923" w:rsidRPr="00250FF7" w:rsidRDefault="00A03923" w:rsidP="00B81671">
      <w:pPr>
        <w:pStyle w:val="Tekstprzypisudolnego"/>
        <w:jc w:val="both"/>
        <w:rPr>
          <w:sz w:val="16"/>
          <w:szCs w:val="16"/>
        </w:rPr>
      </w:pPr>
      <w:r w:rsidRPr="00C55C98">
        <w:rPr>
          <w:rStyle w:val="Odwoanieprzypisudolnego"/>
          <w:rFonts w:ascii="Arial" w:hAnsi="Arial" w:cs="Arial"/>
          <w:sz w:val="16"/>
          <w:szCs w:val="16"/>
        </w:rPr>
        <w:footnoteRef/>
      </w:r>
      <w:r w:rsidRPr="00C55C98">
        <w:rPr>
          <w:rFonts w:ascii="Arial" w:hAnsi="Arial" w:cs="Arial"/>
        </w:rPr>
        <w:t xml:space="preserve"> </w:t>
      </w:r>
      <w:r w:rsidRPr="00C55C98">
        <w:rPr>
          <w:rFonts w:ascii="Arial" w:hAnsi="Arial" w:cs="Arial"/>
          <w:sz w:val="16"/>
          <w:szCs w:val="16"/>
        </w:rPr>
        <w:t>Stopa dofinansowania dla projektu rozumiana jako % dofinansowania wydatków kwalifikowalnych.</w:t>
      </w:r>
    </w:p>
  </w:footnote>
  <w:footnote w:id="6">
    <w:p w:rsidR="00A03923" w:rsidRPr="00F861DC" w:rsidRDefault="00A03923">
      <w:pPr>
        <w:pStyle w:val="Tekstprzypisudolnego"/>
        <w:rPr>
          <w:rFonts w:ascii="Arial" w:hAnsi="Arial" w:cs="Arial"/>
          <w:sz w:val="16"/>
          <w:szCs w:val="16"/>
          <w:lang w:val="pl-PL"/>
        </w:rPr>
      </w:pPr>
      <w:r w:rsidRPr="00F861DC">
        <w:rPr>
          <w:rStyle w:val="Odwoanieprzypisudolnego"/>
          <w:rFonts w:ascii="Arial" w:hAnsi="Arial" w:cs="Arial"/>
          <w:sz w:val="16"/>
          <w:szCs w:val="16"/>
        </w:rPr>
        <w:footnoteRef/>
      </w:r>
      <w:r w:rsidRPr="00F861DC">
        <w:rPr>
          <w:rFonts w:ascii="Arial" w:hAnsi="Arial" w:cs="Arial"/>
          <w:sz w:val="16"/>
          <w:szCs w:val="16"/>
        </w:rPr>
        <w:t xml:space="preserve"> </w:t>
      </w:r>
      <w:r w:rsidRPr="00F861DC">
        <w:rPr>
          <w:rFonts w:ascii="Arial" w:hAnsi="Arial" w:cs="Arial"/>
          <w:sz w:val="16"/>
          <w:szCs w:val="16"/>
          <w:lang w:val="pl-PL"/>
        </w:rPr>
        <w:t>Nie dotyczy osób będących personelem projektów w rozumieniu pkt 19</w:t>
      </w:r>
    </w:p>
  </w:footnote>
  <w:footnote w:id="7">
    <w:p w:rsidR="00A03923" w:rsidRPr="00CA1CDE" w:rsidRDefault="00A03923" w:rsidP="00395C47">
      <w:pPr>
        <w:pStyle w:val="Tekstprzypisudolnego"/>
        <w:ind w:left="142" w:hanging="142"/>
        <w:jc w:val="both"/>
        <w:rPr>
          <w:sz w:val="16"/>
          <w:szCs w:val="16"/>
          <w:lang w:val="pl-PL"/>
        </w:rPr>
      </w:pPr>
      <w:r w:rsidRPr="00CA1CDE">
        <w:rPr>
          <w:rStyle w:val="Odwoanieprzypisudolnego"/>
          <w:sz w:val="16"/>
          <w:szCs w:val="16"/>
        </w:rPr>
        <w:footnoteRef/>
      </w:r>
      <w:r w:rsidRPr="00CA1CDE">
        <w:rPr>
          <w:sz w:val="16"/>
          <w:szCs w:val="16"/>
        </w:rPr>
        <w:t xml:space="preserve"> </w:t>
      </w:r>
      <w:r w:rsidRPr="00CA1CDE">
        <w:rPr>
          <w:sz w:val="16"/>
          <w:szCs w:val="16"/>
          <w:lang w:val="pl-PL"/>
        </w:rPr>
        <w:t xml:space="preserve">Pod pojęciem odrębnego </w:t>
      </w:r>
      <w:r>
        <w:rPr>
          <w:sz w:val="16"/>
          <w:szCs w:val="16"/>
          <w:lang w:val="pl-PL"/>
        </w:rPr>
        <w:t xml:space="preserve">systemu księgowego nie należy rozumieć konieczności stosowania osobnego systemu informatycznego, czy też konieczność prowadzenia oddzielnych ksiąg rachunkowych, a jako możliwość stworzenia dodatkowych kont syntetycznych, analitycznych czy pozabilansowych w prowadzonej już ewidencji lub prowadzenie wyodrębnionej ewidencji w inny elektroniczny sposób.  </w:t>
      </w:r>
    </w:p>
  </w:footnote>
  <w:footnote w:id="8">
    <w:p w:rsidR="00A03923" w:rsidRPr="008246CF" w:rsidRDefault="00A03923" w:rsidP="005476DC">
      <w:pPr>
        <w:pStyle w:val="Tekstprzypisudolnego"/>
        <w:ind w:left="0" w:firstLine="0"/>
        <w:jc w:val="both"/>
        <w:rPr>
          <w:sz w:val="16"/>
          <w:szCs w:val="16"/>
        </w:rPr>
      </w:pPr>
      <w:r w:rsidRPr="009F76E2">
        <w:rPr>
          <w:rStyle w:val="Odwoanieprzypisudolnego"/>
          <w:rFonts w:ascii="Arial" w:hAnsi="Arial" w:cs="Arial"/>
          <w:sz w:val="18"/>
          <w:szCs w:val="18"/>
        </w:rPr>
        <w:footnoteRef/>
      </w:r>
      <w:r w:rsidRPr="009F76E2">
        <w:rPr>
          <w:rFonts w:ascii="Arial" w:hAnsi="Arial" w:cs="Arial"/>
          <w:sz w:val="18"/>
          <w:szCs w:val="18"/>
        </w:rPr>
        <w:t xml:space="preserve"> </w:t>
      </w:r>
      <w:r w:rsidRPr="008246CF">
        <w:rPr>
          <w:rFonts w:ascii="Arial" w:hAnsi="Arial" w:cs="Arial"/>
          <w:sz w:val="16"/>
          <w:szCs w:val="16"/>
        </w:rPr>
        <w:t xml:space="preserve">Program pomocowy opracowany na podstawie </w:t>
      </w:r>
      <w:r w:rsidRPr="008246CF">
        <w:rPr>
          <w:rFonts w:ascii="Arial" w:hAnsi="Arial" w:cs="Arial"/>
          <w:sz w:val="16"/>
          <w:szCs w:val="16"/>
          <w:lang w:val="pl-PL"/>
        </w:rPr>
        <w:t xml:space="preserve">rozporządzenia KE nr 651/2014 </w:t>
      </w:r>
      <w:r w:rsidRPr="008246CF">
        <w:rPr>
          <w:rFonts w:ascii="Arial" w:hAnsi="Arial" w:cs="Arial"/>
          <w:sz w:val="16"/>
          <w:szCs w:val="16"/>
        </w:rPr>
        <w:t xml:space="preserve">i spełniający wskazane w nim warunki – nie podlega obowiązkowi notyfikacji </w:t>
      </w:r>
      <w:r>
        <w:rPr>
          <w:rFonts w:ascii="Arial" w:hAnsi="Arial" w:cs="Arial"/>
          <w:sz w:val="16"/>
          <w:szCs w:val="16"/>
          <w:lang w:val="pl-PL"/>
        </w:rPr>
        <w:t>KE</w:t>
      </w:r>
      <w:r w:rsidRPr="008246CF">
        <w:rPr>
          <w:rFonts w:ascii="Arial" w:hAnsi="Arial" w:cs="Arial"/>
          <w:sz w:val="16"/>
          <w:szCs w:val="16"/>
        </w:rPr>
        <w:t>.</w:t>
      </w:r>
    </w:p>
  </w:footnote>
  <w:footnote w:id="9">
    <w:p w:rsidR="00A03923" w:rsidRPr="003217B9" w:rsidRDefault="00A03923" w:rsidP="003217B9">
      <w:pPr>
        <w:pStyle w:val="Tekstprzypisudolnego"/>
        <w:ind w:left="0" w:hanging="11"/>
        <w:jc w:val="both"/>
        <w:rPr>
          <w:rFonts w:ascii="Arial" w:hAnsi="Arial" w:cs="Arial"/>
          <w:sz w:val="16"/>
          <w:szCs w:val="16"/>
          <w:lang w:val="pl-PL"/>
        </w:rPr>
      </w:pPr>
      <w:r w:rsidRPr="003217B9">
        <w:rPr>
          <w:rStyle w:val="Odwoanieprzypisudolnego"/>
          <w:rFonts w:ascii="Arial" w:hAnsi="Arial" w:cs="Arial"/>
          <w:sz w:val="18"/>
          <w:szCs w:val="18"/>
        </w:rPr>
        <w:footnoteRef/>
      </w:r>
      <w:r w:rsidRPr="003217B9">
        <w:rPr>
          <w:rFonts w:ascii="Arial" w:hAnsi="Arial" w:cs="Arial"/>
          <w:sz w:val="18"/>
          <w:szCs w:val="18"/>
        </w:rPr>
        <w:t xml:space="preserve"> </w:t>
      </w:r>
      <w:r w:rsidRPr="003217B9">
        <w:rPr>
          <w:rFonts w:ascii="Arial" w:hAnsi="Arial" w:cs="Arial"/>
          <w:sz w:val="16"/>
          <w:szCs w:val="16"/>
          <w:lang w:val="pl-PL"/>
        </w:rPr>
        <w:t xml:space="preserve">W przypadku udzielania pomocy na sieci szerokopasmowe, w przypadku gdy na operatorze ciążą pewne zobowiązania do objęcia zasięgiem sieci pewnego obszaru docelowego, taki operator nie może kwalifikować się do pomocy państwa, ponieważ </w:t>
      </w:r>
      <w:r w:rsidRPr="004D07F4">
        <w:rPr>
          <w:rFonts w:ascii="Arial" w:hAnsi="Arial" w:cs="Arial"/>
          <w:sz w:val="16"/>
          <w:szCs w:val="16"/>
          <w:lang w:val="pl-PL"/>
        </w:rPr>
        <w:t>najprawdopodobniej</w:t>
      </w:r>
      <w:r w:rsidRPr="003217B9">
        <w:rPr>
          <w:rFonts w:ascii="Arial" w:hAnsi="Arial" w:cs="Arial"/>
          <w:sz w:val="16"/>
          <w:szCs w:val="16"/>
          <w:lang w:val="pl-PL"/>
        </w:rPr>
        <w:t xml:space="preserve"> nie będzie ona spełniać ona efektu zachęty.</w:t>
      </w:r>
      <w:r>
        <w:rPr>
          <w:rFonts w:ascii="Arial" w:hAnsi="Arial" w:cs="Arial"/>
          <w:sz w:val="16"/>
          <w:szCs w:val="16"/>
          <w:lang w:val="pl-PL"/>
        </w:rPr>
        <w:t xml:space="preserve"> Może tak być na przykład w przypadku operatorów sieci ruchomej typu LTE (ang. </w:t>
      </w:r>
      <w:proofErr w:type="spellStart"/>
      <w:r>
        <w:rPr>
          <w:rFonts w:ascii="Arial" w:hAnsi="Arial" w:cs="Arial"/>
          <w:sz w:val="16"/>
          <w:szCs w:val="16"/>
          <w:lang w:val="pl-PL"/>
        </w:rPr>
        <w:t>long</w:t>
      </w:r>
      <w:proofErr w:type="spellEnd"/>
      <w:r>
        <w:rPr>
          <w:rFonts w:ascii="Arial" w:hAnsi="Arial" w:cs="Arial"/>
          <w:sz w:val="16"/>
          <w:szCs w:val="16"/>
          <w:lang w:val="pl-PL"/>
        </w:rPr>
        <w:t xml:space="preserve">-term </w:t>
      </w:r>
      <w:proofErr w:type="spellStart"/>
      <w:r>
        <w:rPr>
          <w:rFonts w:ascii="Arial" w:hAnsi="Arial" w:cs="Arial"/>
          <w:sz w:val="16"/>
          <w:szCs w:val="16"/>
          <w:lang w:val="pl-PL"/>
        </w:rPr>
        <w:t>evolution</w:t>
      </w:r>
      <w:proofErr w:type="spellEnd"/>
      <w:r>
        <w:rPr>
          <w:rFonts w:ascii="Arial" w:hAnsi="Arial" w:cs="Arial"/>
          <w:sz w:val="16"/>
          <w:szCs w:val="16"/>
          <w:lang w:val="pl-PL"/>
        </w:rPr>
        <w:t xml:space="preserve">) lub </w:t>
      </w:r>
      <w:proofErr w:type="spellStart"/>
      <w:r>
        <w:rPr>
          <w:rFonts w:ascii="Arial" w:hAnsi="Arial" w:cs="Arial"/>
          <w:sz w:val="16"/>
          <w:szCs w:val="16"/>
          <w:lang w:val="pl-PL"/>
        </w:rPr>
        <w:t>LTEAdvanced</w:t>
      </w:r>
      <w:proofErr w:type="spellEnd"/>
      <w:r>
        <w:rPr>
          <w:rFonts w:ascii="Arial" w:hAnsi="Arial" w:cs="Arial"/>
          <w:sz w:val="16"/>
          <w:szCs w:val="16"/>
          <w:lang w:val="pl-PL"/>
        </w:rPr>
        <w:t xml:space="preserve">, którzy w swoich warunkach licencji mają wyznaczone cele związane z zasięgiem na obszarze docelowym. Podobnie, jeżeli operator wyznaczony zgodnie z obowiązkiem w zakresie usługi publicznej otrzymuje rekompensatę z tytułu usługi publicznej, nie można udzielić żadnej dodatkowej pomocy państwa na finansowanie tej samej sieci. </w:t>
      </w:r>
    </w:p>
  </w:footnote>
  <w:footnote w:id="10">
    <w:p w:rsidR="00A03923" w:rsidRPr="00AA2E60" w:rsidRDefault="00A03923" w:rsidP="001C278F">
      <w:pPr>
        <w:pStyle w:val="Tekstprzypisudolnego"/>
        <w:ind w:left="0" w:firstLine="0"/>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w:t>
      </w:r>
      <w:r w:rsidRPr="00AA2E60">
        <w:rPr>
          <w:rFonts w:ascii="Arial" w:hAnsi="Arial" w:cs="Arial"/>
          <w:sz w:val="16"/>
          <w:szCs w:val="16"/>
          <w:lang w:val="pl-PL"/>
        </w:rPr>
        <w:t>Z zastrzeżeniem szczególnych zasad w tym zakresie wskazanych w art. 6 ust. 5 dotyczących rodzajów pomocy wskazanych w tym przepisie</w:t>
      </w:r>
      <w:r>
        <w:rPr>
          <w:rFonts w:ascii="Arial" w:hAnsi="Arial" w:cs="Arial"/>
          <w:sz w:val="16"/>
          <w:szCs w:val="16"/>
          <w:lang w:val="pl-PL"/>
        </w:rPr>
        <w:t>, w tym pomocy na kulturę i zachowanie dziedzictwa kulturowego.</w:t>
      </w:r>
    </w:p>
  </w:footnote>
  <w:footnote w:id="11">
    <w:p w:rsidR="00A03923" w:rsidRPr="00F80636" w:rsidRDefault="00A03923" w:rsidP="001C278F">
      <w:pPr>
        <w:pStyle w:val="Tekstprzypisudolnego"/>
        <w:jc w:val="both"/>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Dz. U. Nr 194 poz. 1983 z </w:t>
      </w:r>
      <w:proofErr w:type="spellStart"/>
      <w:r w:rsidRPr="00AA2E60">
        <w:rPr>
          <w:rFonts w:ascii="Arial" w:hAnsi="Arial" w:cs="Arial"/>
          <w:sz w:val="16"/>
          <w:szCs w:val="16"/>
        </w:rPr>
        <w:t>późn</w:t>
      </w:r>
      <w:proofErr w:type="spellEnd"/>
      <w:r w:rsidRPr="00AA2E60">
        <w:rPr>
          <w:rFonts w:ascii="Arial" w:hAnsi="Arial" w:cs="Arial"/>
          <w:sz w:val="16"/>
          <w:szCs w:val="16"/>
        </w:rPr>
        <w:t>. zm.</w:t>
      </w:r>
    </w:p>
  </w:footnote>
  <w:footnote w:id="12">
    <w:p w:rsidR="00A03923" w:rsidRPr="006803C1" w:rsidRDefault="00A03923" w:rsidP="006803C1">
      <w:pPr>
        <w:pStyle w:val="Tekstprzypisudolnego"/>
        <w:jc w:val="both"/>
        <w:rPr>
          <w:rFonts w:ascii="Arial" w:hAnsi="Arial" w:cs="Arial"/>
          <w:sz w:val="16"/>
          <w:szCs w:val="16"/>
          <w:lang w:val="pl-PL"/>
        </w:rPr>
      </w:pPr>
      <w:r w:rsidRPr="006803C1">
        <w:rPr>
          <w:rStyle w:val="Odwoanieprzypisudolnego"/>
          <w:rFonts w:ascii="Arial" w:hAnsi="Arial" w:cs="Arial"/>
          <w:sz w:val="16"/>
          <w:szCs w:val="16"/>
        </w:rPr>
        <w:footnoteRef/>
      </w:r>
      <w:r w:rsidRPr="006803C1">
        <w:rPr>
          <w:rStyle w:val="Odwoanieprzypisudolnego"/>
          <w:rFonts w:ascii="Arial" w:hAnsi="Arial" w:cs="Arial"/>
          <w:sz w:val="16"/>
          <w:szCs w:val="16"/>
        </w:rPr>
        <w:t xml:space="preserve"> </w:t>
      </w:r>
      <w:r>
        <w:rPr>
          <w:rFonts w:ascii="Arial" w:hAnsi="Arial" w:cs="Arial"/>
          <w:sz w:val="16"/>
          <w:szCs w:val="16"/>
          <w:lang w:val="pl-PL"/>
        </w:rPr>
        <w:t xml:space="preserve"> Pismo Urzędu Ochrony Konkurencji i Konsumentów </w:t>
      </w:r>
      <w:r w:rsidRPr="006803C1">
        <w:rPr>
          <w:rFonts w:ascii="Arial" w:hAnsi="Arial" w:cs="Arial"/>
          <w:sz w:val="16"/>
          <w:szCs w:val="16"/>
          <w:lang w:val="pl-PL"/>
        </w:rPr>
        <w:t xml:space="preserve">z dnia </w:t>
      </w:r>
      <w:r>
        <w:rPr>
          <w:rFonts w:ascii="Arial" w:hAnsi="Arial" w:cs="Arial"/>
          <w:sz w:val="16"/>
          <w:szCs w:val="16"/>
          <w:lang w:val="pl-PL"/>
        </w:rPr>
        <w:t xml:space="preserve">25 lipca </w:t>
      </w:r>
      <w:r w:rsidRPr="006803C1">
        <w:rPr>
          <w:rFonts w:ascii="Arial" w:hAnsi="Arial" w:cs="Arial"/>
          <w:sz w:val="16"/>
          <w:szCs w:val="16"/>
          <w:lang w:val="pl-PL"/>
        </w:rPr>
        <w:t>2011</w:t>
      </w:r>
      <w:r>
        <w:rPr>
          <w:rFonts w:ascii="Arial" w:hAnsi="Arial" w:cs="Arial"/>
          <w:sz w:val="16"/>
          <w:szCs w:val="16"/>
          <w:lang w:val="pl-PL"/>
        </w:rPr>
        <w:t xml:space="preserve"> r., znak: </w:t>
      </w:r>
      <w:r w:rsidRPr="006803C1">
        <w:rPr>
          <w:rFonts w:ascii="Arial" w:hAnsi="Arial" w:cs="Arial"/>
          <w:sz w:val="16"/>
          <w:szCs w:val="16"/>
          <w:lang w:val="pl-PL"/>
        </w:rPr>
        <w:t>DDO-52-93(3)/11/</w:t>
      </w:r>
      <w:proofErr w:type="spellStart"/>
      <w:r w:rsidRPr="006803C1">
        <w:rPr>
          <w:rFonts w:ascii="Arial" w:hAnsi="Arial" w:cs="Arial"/>
          <w:sz w:val="16"/>
          <w:szCs w:val="16"/>
          <w:lang w:val="pl-PL"/>
        </w:rPr>
        <w:t>MGr</w:t>
      </w:r>
      <w:proofErr w:type="spellEnd"/>
      <w:r>
        <w:rPr>
          <w:rFonts w:ascii="Arial" w:hAnsi="Arial" w:cs="Arial"/>
          <w:sz w:val="16"/>
          <w:szCs w:val="16"/>
          <w:lang w:val="pl-PL"/>
        </w:rPr>
        <w:t>.</w:t>
      </w:r>
      <w:r w:rsidRPr="006803C1">
        <w:rPr>
          <w:rFonts w:ascii="Arial" w:hAnsi="Arial" w:cs="Arial"/>
          <w:sz w:val="16"/>
          <w:szCs w:val="16"/>
          <w:lang w:val="pl-PL"/>
        </w:rPr>
        <w:t xml:space="preserve"> </w:t>
      </w:r>
    </w:p>
  </w:footnote>
  <w:footnote w:id="13">
    <w:p w:rsidR="00A03923" w:rsidRPr="00AA2E60" w:rsidRDefault="00A03923" w:rsidP="001C278F">
      <w:pPr>
        <w:pStyle w:val="Tekstprzypisudolnego"/>
        <w:ind w:left="0" w:firstLine="0"/>
        <w:jc w:val="both"/>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Może on bowiem ulec zmianie w wyniku decyzji samego beneficjenta lub innych niezależnych od niego okoliczności wpływających na tempo realizacji inwestycji. Płatności są </w:t>
      </w:r>
      <w:r w:rsidRPr="00B76256">
        <w:rPr>
          <w:rFonts w:ascii="Arial" w:hAnsi="Arial" w:cs="Arial"/>
          <w:sz w:val="16"/>
          <w:szCs w:val="16"/>
          <w:lang w:val="pl-PL"/>
        </w:rPr>
        <w:t xml:space="preserve">w takim przypadku </w:t>
      </w:r>
      <w:r w:rsidRPr="00AA2E60">
        <w:rPr>
          <w:rFonts w:ascii="Arial" w:hAnsi="Arial" w:cs="Arial"/>
          <w:sz w:val="16"/>
          <w:szCs w:val="16"/>
        </w:rPr>
        <w:t xml:space="preserve">realizowane na podstawie wniosków </w:t>
      </w:r>
      <w:r w:rsidRPr="00B76256">
        <w:rPr>
          <w:rFonts w:ascii="Arial" w:hAnsi="Arial" w:cs="Arial"/>
          <w:sz w:val="16"/>
          <w:szCs w:val="16"/>
        </w:rPr>
        <w:t>o</w:t>
      </w:r>
      <w:r w:rsidRPr="00B76256">
        <w:rPr>
          <w:rFonts w:ascii="Arial" w:hAnsi="Arial" w:cs="Arial"/>
          <w:sz w:val="16"/>
          <w:szCs w:val="16"/>
          <w:lang w:val="pl-PL"/>
        </w:rPr>
        <w:t xml:space="preserve"> </w:t>
      </w:r>
      <w:r w:rsidRPr="00AA2E60">
        <w:rPr>
          <w:rFonts w:ascii="Arial" w:hAnsi="Arial" w:cs="Arial"/>
          <w:sz w:val="16"/>
          <w:szCs w:val="16"/>
        </w:rPr>
        <w:t xml:space="preserve">płatność, które mogą być przedkładane wcześniej i </w:t>
      </w:r>
      <w:r>
        <w:rPr>
          <w:rFonts w:ascii="Arial" w:hAnsi="Arial" w:cs="Arial"/>
          <w:sz w:val="16"/>
          <w:szCs w:val="16"/>
          <w:lang w:val="pl-PL"/>
        </w:rPr>
        <w:t xml:space="preserve">mogą </w:t>
      </w:r>
      <w:r w:rsidRPr="00AA2E60">
        <w:rPr>
          <w:rFonts w:ascii="Arial" w:hAnsi="Arial" w:cs="Arial"/>
          <w:sz w:val="16"/>
          <w:szCs w:val="16"/>
        </w:rPr>
        <w:t xml:space="preserve">dotyczyć wyższych kwot niż wynikałoby to </w:t>
      </w:r>
      <w:r w:rsidRPr="00B76256">
        <w:rPr>
          <w:rFonts w:ascii="Arial" w:hAnsi="Arial" w:cs="Arial"/>
          <w:sz w:val="16"/>
          <w:szCs w:val="16"/>
        </w:rPr>
        <w:t>z</w:t>
      </w:r>
      <w:r w:rsidRPr="00B76256">
        <w:rPr>
          <w:rFonts w:ascii="Arial" w:hAnsi="Arial" w:cs="Arial"/>
          <w:sz w:val="16"/>
          <w:szCs w:val="16"/>
          <w:lang w:val="pl-PL"/>
        </w:rPr>
        <w:t xml:space="preserve"> </w:t>
      </w:r>
      <w:r w:rsidRPr="00AA2E60">
        <w:rPr>
          <w:rFonts w:ascii="Arial" w:hAnsi="Arial" w:cs="Arial"/>
          <w:sz w:val="16"/>
          <w:szCs w:val="16"/>
        </w:rPr>
        <w:t>harmonogramu.</w:t>
      </w:r>
    </w:p>
  </w:footnote>
  <w:footnote w:id="14">
    <w:p w:rsidR="00A03923" w:rsidRPr="00BD06F4" w:rsidRDefault="00A03923" w:rsidP="006101E2">
      <w:pPr>
        <w:tabs>
          <w:tab w:val="left" w:pos="0"/>
          <w:tab w:val="right" w:pos="284"/>
        </w:tabs>
        <w:spacing w:after="0" w:line="240" w:lineRule="auto"/>
        <w:ind w:left="284"/>
        <w:jc w:val="both"/>
        <w:rPr>
          <w:rFonts w:ascii="Arial" w:hAnsi="Arial" w:cs="Arial"/>
          <w:sz w:val="16"/>
          <w:szCs w:val="16"/>
        </w:rPr>
      </w:pPr>
      <w:r>
        <w:rPr>
          <w:rStyle w:val="Odwoanieprzypisudolnego"/>
        </w:rPr>
        <w:footnoteRef/>
      </w:r>
      <w:r>
        <w:t xml:space="preserve"> </w:t>
      </w:r>
      <w:r w:rsidRPr="00BD06F4">
        <w:rPr>
          <w:rFonts w:ascii="Arial" w:hAnsi="Arial" w:cs="Arial"/>
          <w:sz w:val="16"/>
          <w:szCs w:val="16"/>
        </w:rPr>
        <w:t xml:space="preserve">Pasywną infrastrukturą szerokopasmową </w:t>
      </w:r>
      <w:r>
        <w:rPr>
          <w:rFonts w:ascii="Arial" w:hAnsi="Arial" w:cs="Arial"/>
          <w:sz w:val="16"/>
          <w:szCs w:val="16"/>
        </w:rPr>
        <w:t xml:space="preserve">zgodnie z </w:t>
      </w:r>
      <w:r w:rsidRPr="00BD06F4">
        <w:rPr>
          <w:rFonts w:ascii="Arial" w:hAnsi="Arial" w:cs="Arial"/>
          <w:sz w:val="16"/>
          <w:szCs w:val="16"/>
        </w:rPr>
        <w:t xml:space="preserve"> rozporządzeni</w:t>
      </w:r>
      <w:r>
        <w:rPr>
          <w:rFonts w:ascii="Arial" w:hAnsi="Arial" w:cs="Arial"/>
          <w:sz w:val="16"/>
          <w:szCs w:val="16"/>
        </w:rPr>
        <w:t xml:space="preserve">em Komisji (UE) Nr 651/2014 z dnia 17 czerwca 2014 r. uznające niektóre rodzaje pomocy za zgodne z rynkiem wewnętrznym w zastosowaniu art. 107 i art. 108 Traktatu (dalej: GBER) </w:t>
      </w:r>
      <w:r w:rsidRPr="00BD06F4">
        <w:rPr>
          <w:rFonts w:ascii="Arial" w:hAnsi="Arial" w:cs="Arial"/>
          <w:sz w:val="16"/>
          <w:szCs w:val="16"/>
        </w:rPr>
        <w:t xml:space="preserve"> jest </w:t>
      </w:r>
      <w:r w:rsidRPr="00BD06F4">
        <w:rPr>
          <w:rFonts w:ascii="Arial" w:hAnsi="Arial" w:cs="Arial"/>
          <w:i/>
          <w:sz w:val="16"/>
          <w:szCs w:val="16"/>
        </w:rPr>
        <w:t>sieć szerokopasmowa bez żadnego aktywnego elementu. Zazwyczaj obejmuje ona infrastrukturę techniczną, kanały, światłowody ciemne oraz szafki uliczne</w:t>
      </w:r>
      <w:r w:rsidRPr="00BD06F4">
        <w:rPr>
          <w:rFonts w:ascii="Arial" w:hAnsi="Arial" w:cs="Arial"/>
          <w:sz w:val="16"/>
          <w:szCs w:val="16"/>
        </w:rPr>
        <w:t xml:space="preserve">. Wg GBER </w:t>
      </w:r>
      <w:r w:rsidRPr="00BD06F4">
        <w:rPr>
          <w:rFonts w:ascii="Arial" w:hAnsi="Arial" w:cs="Arial"/>
          <w:i/>
          <w:sz w:val="16"/>
          <w:szCs w:val="16"/>
        </w:rPr>
        <w:t>„kanały” oznaczają podziemne rury lub kanały kablowe, przez które biegną (światłowodowe, miedziane lub koncentryczne) przewody sieci szerokopasmowej</w:t>
      </w:r>
      <w:r w:rsidRPr="00BD06F4">
        <w:rPr>
          <w:rFonts w:ascii="Arial" w:hAnsi="Arial" w:cs="Arial"/>
          <w:sz w:val="16"/>
          <w:szCs w:val="16"/>
        </w:rPr>
        <w:t>.</w:t>
      </w:r>
    </w:p>
    <w:p w:rsidR="00A03923" w:rsidRPr="00BD06F4" w:rsidRDefault="00A03923" w:rsidP="006101E2">
      <w:pPr>
        <w:tabs>
          <w:tab w:val="left" w:pos="0"/>
          <w:tab w:val="right" w:pos="284"/>
        </w:tabs>
        <w:spacing w:after="0" w:line="240" w:lineRule="auto"/>
        <w:ind w:left="284"/>
        <w:jc w:val="both"/>
        <w:rPr>
          <w:rFonts w:ascii="Arial" w:hAnsi="Arial" w:cs="Arial"/>
          <w:sz w:val="16"/>
          <w:szCs w:val="16"/>
        </w:rPr>
      </w:pPr>
      <w:r w:rsidRPr="00BD06F4">
        <w:rPr>
          <w:rFonts w:ascii="Arial" w:hAnsi="Arial" w:cs="Arial"/>
          <w:sz w:val="16"/>
          <w:szCs w:val="16"/>
        </w:rPr>
        <w:t xml:space="preserve">Na gruncie polskich przepisów przez pojęcie pasywnej infrastruktury szerokopasmowej należy więc rozumieć w szczególności określone w rozporządzeniu Ministra Infrastruktury z dnia 26 października 2005 r. </w:t>
      </w:r>
      <w:r w:rsidRPr="00BD06F4">
        <w:rPr>
          <w:rFonts w:ascii="Arial" w:hAnsi="Arial" w:cs="Arial"/>
          <w:i/>
          <w:sz w:val="16"/>
          <w:szCs w:val="16"/>
        </w:rPr>
        <w:t>w sprawie warunków technicznych, jakim powinny odpowiadać telekomunikacyjne obiekty budowlane i ich usytuowanie</w:t>
      </w:r>
      <w:r w:rsidRPr="00BD06F4">
        <w:rPr>
          <w:rFonts w:ascii="Arial" w:hAnsi="Arial" w:cs="Arial"/>
          <w:sz w:val="16"/>
          <w:szCs w:val="16"/>
        </w:rPr>
        <w:t>:</w:t>
      </w:r>
    </w:p>
    <w:p w:rsidR="00A03923" w:rsidRPr="00BD06F4" w:rsidRDefault="00A03923" w:rsidP="00137BC9">
      <w:pPr>
        <w:pStyle w:val="Akapitzlist"/>
        <w:numPr>
          <w:ilvl w:val="0"/>
          <w:numId w:val="44"/>
        </w:numPr>
        <w:tabs>
          <w:tab w:val="left" w:pos="0"/>
          <w:tab w:val="right" w:pos="284"/>
        </w:tabs>
        <w:spacing w:after="0" w:line="240" w:lineRule="auto"/>
        <w:jc w:val="both"/>
        <w:rPr>
          <w:rFonts w:ascii="Arial" w:hAnsi="Arial" w:cs="Arial"/>
          <w:sz w:val="16"/>
          <w:szCs w:val="16"/>
        </w:rPr>
      </w:pPr>
      <w:r w:rsidRPr="00BD06F4">
        <w:rPr>
          <w:rFonts w:ascii="Arial" w:hAnsi="Arial" w:cs="Arial"/>
          <w:sz w:val="16"/>
          <w:szCs w:val="16"/>
        </w:rPr>
        <w:t xml:space="preserve">telekomunikacyjne obiekty budowlane tj. </w:t>
      </w:r>
      <w:r w:rsidRPr="00BD06F4">
        <w:rPr>
          <w:rFonts w:ascii="Arial" w:hAnsi="Arial" w:cs="Arial"/>
          <w:i/>
          <w:sz w:val="16"/>
          <w:szCs w:val="16"/>
        </w:rPr>
        <w:t>linię kablową podziemną, linię kablową nadziemną, kanalizację kablową, kontenery telekomunikacyjne, szafy kablowe oraz wolno stojące konstrukcje wsporcze anten i urządzeń radiowych, w tym wolno stojące maszty antenowe i wolno stojące wieże antenowe</w:t>
      </w:r>
      <w:r w:rsidRPr="00BD06F4">
        <w:rPr>
          <w:rFonts w:ascii="Arial" w:hAnsi="Arial" w:cs="Arial"/>
          <w:sz w:val="16"/>
          <w:szCs w:val="16"/>
        </w:rPr>
        <w:t>,</w:t>
      </w:r>
    </w:p>
    <w:p w:rsidR="00A03923" w:rsidRPr="00627D8F" w:rsidRDefault="00A03923" w:rsidP="00137BC9">
      <w:pPr>
        <w:pStyle w:val="Akapitzlist"/>
        <w:numPr>
          <w:ilvl w:val="0"/>
          <w:numId w:val="44"/>
        </w:numPr>
        <w:tabs>
          <w:tab w:val="left" w:pos="0"/>
          <w:tab w:val="right" w:pos="284"/>
        </w:tabs>
        <w:spacing w:after="0" w:line="240" w:lineRule="auto"/>
        <w:jc w:val="both"/>
      </w:pPr>
      <w:r w:rsidRPr="007F43F6">
        <w:rPr>
          <w:rFonts w:ascii="Arial" w:hAnsi="Arial" w:cs="Arial"/>
          <w:sz w:val="16"/>
          <w:szCs w:val="16"/>
        </w:rPr>
        <w:t>podbudowę nadziemną wykorzystywaną do realizacji linii kablowych nadziemnych.</w:t>
      </w:r>
    </w:p>
    <w:p w:rsidR="00A03923" w:rsidRPr="00790328" w:rsidRDefault="00A03923" w:rsidP="006101E2">
      <w:pPr>
        <w:pStyle w:val="Tekstprzypisudolnego"/>
        <w:rPr>
          <w:lang w:val="pl-PL"/>
        </w:rPr>
      </w:pPr>
    </w:p>
  </w:footnote>
  <w:footnote w:id="15">
    <w:p w:rsidR="00A03923" w:rsidRPr="004A6DED" w:rsidRDefault="00A03923" w:rsidP="006101E2">
      <w:pPr>
        <w:pStyle w:val="Tekstprzypisudolnego"/>
        <w:ind w:hanging="436"/>
        <w:jc w:val="both"/>
        <w:rPr>
          <w:rFonts w:ascii="Arial" w:eastAsiaTheme="minorHAnsi" w:hAnsi="Arial" w:cs="Arial"/>
          <w:sz w:val="16"/>
          <w:szCs w:val="16"/>
          <w:lang w:val="pl-PL"/>
        </w:rPr>
      </w:pPr>
      <w:r w:rsidRPr="004A6DED">
        <w:rPr>
          <w:rStyle w:val="Odwoanieprzypisudolnego"/>
          <w:rFonts w:asciiTheme="minorHAnsi" w:eastAsiaTheme="minorHAnsi" w:hAnsiTheme="minorHAnsi" w:cstheme="minorBidi"/>
          <w:sz w:val="22"/>
          <w:szCs w:val="22"/>
          <w:lang w:val="pl-PL"/>
        </w:rPr>
        <w:footnoteRef/>
      </w:r>
      <w:r w:rsidRPr="004A6DED">
        <w:rPr>
          <w:rStyle w:val="Odwoanieprzypisudolnego"/>
          <w:rFonts w:asciiTheme="minorHAnsi" w:eastAsiaTheme="minorHAnsi" w:hAnsiTheme="minorHAnsi" w:cstheme="minorBidi"/>
          <w:sz w:val="22"/>
          <w:szCs w:val="22"/>
          <w:lang w:val="pl-PL"/>
        </w:rPr>
        <w:t xml:space="preserve"> </w:t>
      </w:r>
      <w:r w:rsidRPr="004A6DED">
        <w:rPr>
          <w:rStyle w:val="Odwoanieprzypisudolnego"/>
          <w:rFonts w:asciiTheme="minorHAnsi" w:eastAsiaTheme="minorHAnsi" w:hAnsiTheme="minorHAnsi" w:cstheme="minorBidi"/>
          <w:sz w:val="22"/>
          <w:szCs w:val="22"/>
        </w:rPr>
        <w:t xml:space="preserve"> </w:t>
      </w:r>
      <w:r w:rsidRPr="004A6DED">
        <w:rPr>
          <w:rFonts w:ascii="Arial" w:eastAsiaTheme="minorHAnsi" w:hAnsi="Arial" w:cs="Arial"/>
          <w:sz w:val="16"/>
          <w:szCs w:val="16"/>
          <w:lang w:val="pl-PL"/>
        </w:rPr>
        <w:t>należy przez to rozumieć nabywanie rzeczy, praw oraz innych dóbr, w szczególności na podstawie umowy sprzedaży, dostawy, najmu, dzierżawy oraz leasingu</w:t>
      </w:r>
      <w:r w:rsidRPr="005321DB">
        <w:rPr>
          <w:rFonts w:ascii="Arial" w:eastAsiaTheme="minorHAnsi" w:hAnsi="Arial" w:cs="Arial"/>
          <w:sz w:val="16"/>
          <w:szCs w:val="16"/>
          <w:lang w:val="pl-PL"/>
        </w:rPr>
        <w:t>.</w:t>
      </w:r>
    </w:p>
  </w:footnote>
  <w:footnote w:id="16">
    <w:p w:rsidR="00A03923" w:rsidRPr="0011522A" w:rsidRDefault="00A03923" w:rsidP="006101E2">
      <w:pPr>
        <w:tabs>
          <w:tab w:val="left" w:pos="0"/>
          <w:tab w:val="left" w:pos="284"/>
        </w:tabs>
        <w:autoSpaceDE w:val="0"/>
        <w:autoSpaceDN w:val="0"/>
        <w:adjustRightInd w:val="0"/>
        <w:spacing w:after="0" w:line="240" w:lineRule="auto"/>
        <w:ind w:left="284"/>
        <w:jc w:val="both"/>
        <w:rPr>
          <w:rFonts w:ascii="Arial" w:hAnsi="Arial" w:cs="Arial"/>
          <w:sz w:val="16"/>
          <w:szCs w:val="16"/>
        </w:rPr>
      </w:pPr>
      <w:r w:rsidRPr="00966A4E">
        <w:rPr>
          <w:rStyle w:val="Odwoanieprzypisudolnego"/>
        </w:rPr>
        <w:footnoteRef/>
      </w:r>
      <w:r>
        <w:t xml:space="preserve"> </w:t>
      </w:r>
      <w:r w:rsidRPr="0011522A">
        <w:rPr>
          <w:rFonts w:ascii="Arial" w:hAnsi="Arial" w:cs="Arial"/>
          <w:sz w:val="16"/>
          <w:szCs w:val="16"/>
        </w:rPr>
        <w:t xml:space="preserve">Sieć szkieletowa i dystrybucyjna definiowana jest zgodnie z Rozporządzeniem Ministra Administracji i Cyfryzacji z dnia 24 lutego 2014 r. </w:t>
      </w:r>
      <w:r w:rsidRPr="0011522A">
        <w:rPr>
          <w:rFonts w:ascii="Arial" w:hAnsi="Arial" w:cs="Arial"/>
          <w:i/>
          <w:sz w:val="16"/>
          <w:szCs w:val="16"/>
        </w:rPr>
        <w:t>w sprawie inwentaryzacji infrastruktury i usług telekomunikacyjnych</w:t>
      </w:r>
      <w:r w:rsidRPr="0011522A">
        <w:rPr>
          <w:rFonts w:ascii="Arial" w:hAnsi="Arial" w:cs="Arial"/>
          <w:sz w:val="16"/>
          <w:szCs w:val="16"/>
        </w:rPr>
        <w:t xml:space="preserve"> tj.:</w:t>
      </w:r>
    </w:p>
    <w:p w:rsidR="00A03923" w:rsidRPr="0011522A" w:rsidRDefault="00A03923" w:rsidP="00137BC9">
      <w:pPr>
        <w:pStyle w:val="Akapitzlist"/>
        <w:numPr>
          <w:ilvl w:val="0"/>
          <w:numId w:val="34"/>
        </w:numPr>
        <w:tabs>
          <w:tab w:val="left" w:pos="0"/>
          <w:tab w:val="left" w:pos="284"/>
        </w:tabs>
        <w:autoSpaceDE w:val="0"/>
        <w:autoSpaceDN w:val="0"/>
        <w:adjustRightInd w:val="0"/>
        <w:spacing w:after="0" w:line="240" w:lineRule="auto"/>
        <w:contextualSpacing w:val="0"/>
        <w:jc w:val="both"/>
        <w:rPr>
          <w:rFonts w:ascii="Arial" w:hAnsi="Arial" w:cs="Arial"/>
          <w:sz w:val="16"/>
          <w:szCs w:val="16"/>
        </w:rPr>
      </w:pPr>
      <w:r w:rsidRPr="0011522A">
        <w:rPr>
          <w:rFonts w:ascii="Arial" w:hAnsi="Arial" w:cs="Arial"/>
          <w:sz w:val="16"/>
          <w:szCs w:val="16"/>
        </w:rPr>
        <w:t xml:space="preserve">szkieletowa sieć telekomunikacyjna - </w:t>
      </w:r>
      <w:r w:rsidRPr="0011522A">
        <w:rPr>
          <w:rFonts w:ascii="Arial" w:hAnsi="Arial" w:cs="Arial"/>
          <w:i/>
          <w:sz w:val="16"/>
          <w:szCs w:val="16"/>
        </w:rPr>
        <w:t>rozumie się przez to najwyższą warstwę publicznej sieci telekomunikacyjnej, agregującą ruch sieciowy z niższych warstw sieci</w:t>
      </w:r>
      <w:r w:rsidRPr="0011522A">
        <w:rPr>
          <w:rFonts w:ascii="Arial" w:hAnsi="Arial" w:cs="Arial"/>
          <w:sz w:val="16"/>
          <w:szCs w:val="16"/>
        </w:rPr>
        <w:t>;</w:t>
      </w:r>
    </w:p>
    <w:p w:rsidR="00A03923" w:rsidRPr="0011522A" w:rsidRDefault="00A03923" w:rsidP="00137BC9">
      <w:pPr>
        <w:pStyle w:val="Akapitzlist"/>
        <w:numPr>
          <w:ilvl w:val="0"/>
          <w:numId w:val="34"/>
        </w:numPr>
        <w:tabs>
          <w:tab w:val="left" w:pos="0"/>
          <w:tab w:val="left" w:pos="284"/>
        </w:tabs>
        <w:autoSpaceDE w:val="0"/>
        <w:autoSpaceDN w:val="0"/>
        <w:adjustRightInd w:val="0"/>
        <w:spacing w:after="0" w:line="240" w:lineRule="auto"/>
        <w:contextualSpacing w:val="0"/>
        <w:jc w:val="both"/>
        <w:rPr>
          <w:rFonts w:ascii="Arial" w:hAnsi="Arial" w:cs="Arial"/>
          <w:sz w:val="16"/>
          <w:szCs w:val="16"/>
        </w:rPr>
      </w:pPr>
      <w:r w:rsidRPr="0011522A">
        <w:rPr>
          <w:rFonts w:ascii="Arial" w:hAnsi="Arial" w:cs="Arial"/>
          <w:sz w:val="16"/>
          <w:szCs w:val="16"/>
        </w:rPr>
        <w:t xml:space="preserve">dystrybucyjna sieć telekomunikacyjna </w:t>
      </w:r>
      <w:r w:rsidRPr="0011522A">
        <w:rPr>
          <w:rFonts w:ascii="Arial" w:hAnsi="Arial" w:cs="Arial"/>
          <w:i/>
          <w:sz w:val="16"/>
          <w:szCs w:val="16"/>
        </w:rPr>
        <w:t>- rozumie się przez to warstwę publicznej sieci telekomunikacyjnej, łączącą węzły szkieletowej sieci telekomunikacyjnej z agregującymi ruch od użytkowników końcowych węzłami dostępowej sieci telekomunikacyjnej</w:t>
      </w:r>
      <w:r w:rsidRPr="0011522A">
        <w:rPr>
          <w:rFonts w:ascii="Arial" w:hAnsi="Arial" w:cs="Arial"/>
          <w:sz w:val="16"/>
          <w:szCs w:val="16"/>
        </w:rPr>
        <w:t>.</w:t>
      </w:r>
    </w:p>
    <w:p w:rsidR="00A03923" w:rsidRPr="00966A4E" w:rsidRDefault="00A03923" w:rsidP="006101E2">
      <w:pPr>
        <w:pStyle w:val="Tekstprzypisudolnego"/>
      </w:pPr>
    </w:p>
  </w:footnote>
  <w:footnote w:id="17">
    <w:p w:rsidR="00A03923" w:rsidRPr="00D34651" w:rsidRDefault="00A03923" w:rsidP="006101E2">
      <w:pPr>
        <w:pStyle w:val="Tekstprzypisudolnego"/>
        <w:rPr>
          <w:rFonts w:ascii="Arial" w:hAnsi="Arial" w:cs="Arial"/>
          <w:sz w:val="18"/>
          <w:szCs w:val="18"/>
          <w:lang w:val="pl-PL"/>
        </w:rPr>
      </w:pPr>
      <w:r w:rsidRPr="00D34651">
        <w:rPr>
          <w:rStyle w:val="Odwoanieprzypisudolnego"/>
          <w:rFonts w:ascii="Arial" w:hAnsi="Arial" w:cs="Arial"/>
          <w:sz w:val="18"/>
          <w:szCs w:val="18"/>
        </w:rPr>
        <w:footnoteRef/>
      </w:r>
      <w:r w:rsidRPr="00D34651">
        <w:rPr>
          <w:rFonts w:ascii="Arial" w:hAnsi="Arial" w:cs="Arial"/>
          <w:sz w:val="18"/>
          <w:szCs w:val="18"/>
        </w:rPr>
        <w:t xml:space="preserve"> </w:t>
      </w:r>
      <w:r w:rsidRPr="00D34651">
        <w:rPr>
          <w:rFonts w:ascii="Arial" w:hAnsi="Arial" w:cs="Arial"/>
          <w:sz w:val="18"/>
          <w:szCs w:val="18"/>
          <w:lang w:val="pl-PL"/>
        </w:rPr>
        <w:t>Umowa o udzielenie wsparcia – oznacza umowę o dofinansowanie projektu</w:t>
      </w:r>
    </w:p>
  </w:footnote>
  <w:footnote w:id="18">
    <w:p w:rsidR="00A03923" w:rsidRPr="00BD06F4" w:rsidRDefault="00A03923" w:rsidP="0036568A">
      <w:pPr>
        <w:tabs>
          <w:tab w:val="left" w:pos="0"/>
          <w:tab w:val="right" w:pos="284"/>
        </w:tabs>
        <w:spacing w:after="0" w:line="240" w:lineRule="auto"/>
        <w:ind w:left="284"/>
        <w:jc w:val="both"/>
        <w:rPr>
          <w:rFonts w:ascii="Arial" w:hAnsi="Arial" w:cs="Arial"/>
          <w:sz w:val="16"/>
          <w:szCs w:val="16"/>
        </w:rPr>
      </w:pPr>
      <w:r>
        <w:rPr>
          <w:rStyle w:val="Odwoanieprzypisudolnego"/>
        </w:rPr>
        <w:footnoteRef/>
      </w:r>
      <w:r>
        <w:t xml:space="preserve"> </w:t>
      </w:r>
      <w:r w:rsidRPr="00BD06F4">
        <w:rPr>
          <w:rFonts w:ascii="Arial" w:hAnsi="Arial" w:cs="Arial"/>
          <w:sz w:val="16"/>
          <w:szCs w:val="16"/>
        </w:rPr>
        <w:t xml:space="preserve">Pasywną infrastrukturą szerokopasmową </w:t>
      </w:r>
      <w:r>
        <w:rPr>
          <w:rFonts w:ascii="Arial" w:hAnsi="Arial" w:cs="Arial"/>
          <w:sz w:val="16"/>
          <w:szCs w:val="16"/>
        </w:rPr>
        <w:t xml:space="preserve">zgodnie z </w:t>
      </w:r>
      <w:r w:rsidRPr="00BD06F4">
        <w:rPr>
          <w:rFonts w:ascii="Arial" w:hAnsi="Arial" w:cs="Arial"/>
          <w:sz w:val="16"/>
          <w:szCs w:val="16"/>
        </w:rPr>
        <w:t xml:space="preserve"> rozporządzeni</w:t>
      </w:r>
      <w:r>
        <w:rPr>
          <w:rFonts w:ascii="Arial" w:hAnsi="Arial" w:cs="Arial"/>
          <w:sz w:val="16"/>
          <w:szCs w:val="16"/>
        </w:rPr>
        <w:t xml:space="preserve">em Komisji (UE) Nr 651/2014 z dnia 17 czerwca 2014 r. uznające niektóre rodzaje pomocy za zgodne z rynkiem wewnętrznym w zastosowaniu art. 107 i art. 108 Traktatu (dalej: GBER) </w:t>
      </w:r>
      <w:r w:rsidRPr="00BD06F4">
        <w:rPr>
          <w:rFonts w:ascii="Arial" w:hAnsi="Arial" w:cs="Arial"/>
          <w:sz w:val="16"/>
          <w:szCs w:val="16"/>
        </w:rPr>
        <w:t xml:space="preserve"> jest </w:t>
      </w:r>
      <w:r w:rsidRPr="00BD06F4">
        <w:rPr>
          <w:rFonts w:ascii="Arial" w:hAnsi="Arial" w:cs="Arial"/>
          <w:i/>
          <w:sz w:val="16"/>
          <w:szCs w:val="16"/>
        </w:rPr>
        <w:t>sieć szerokopasmowa bez żadnego aktywnego elementu. Zazwyczaj obejmuje ona infrastrukturę techniczną, kanały, światłowody ciemne oraz szafki uliczne</w:t>
      </w:r>
      <w:r w:rsidRPr="00BD06F4">
        <w:rPr>
          <w:rFonts w:ascii="Arial" w:hAnsi="Arial" w:cs="Arial"/>
          <w:sz w:val="16"/>
          <w:szCs w:val="16"/>
        </w:rPr>
        <w:t xml:space="preserve">. Wg GBER </w:t>
      </w:r>
      <w:r w:rsidRPr="00BD06F4">
        <w:rPr>
          <w:rFonts w:ascii="Arial" w:hAnsi="Arial" w:cs="Arial"/>
          <w:i/>
          <w:sz w:val="16"/>
          <w:szCs w:val="16"/>
        </w:rPr>
        <w:t>„kanały” oznaczają podziemne rury lub kanały kablowe, przez które biegną (światłowodowe, miedziane lub koncentryczne) przewody sieci szerokopasmowej</w:t>
      </w:r>
      <w:r w:rsidRPr="00BD06F4">
        <w:rPr>
          <w:rFonts w:ascii="Arial" w:hAnsi="Arial" w:cs="Arial"/>
          <w:sz w:val="16"/>
          <w:szCs w:val="16"/>
        </w:rPr>
        <w:t>.</w:t>
      </w:r>
    </w:p>
    <w:p w:rsidR="00A03923" w:rsidRPr="00BD06F4" w:rsidRDefault="00A03923" w:rsidP="0036568A">
      <w:pPr>
        <w:tabs>
          <w:tab w:val="left" w:pos="0"/>
          <w:tab w:val="right" w:pos="284"/>
        </w:tabs>
        <w:spacing w:after="0" w:line="240" w:lineRule="auto"/>
        <w:ind w:left="284"/>
        <w:jc w:val="both"/>
        <w:rPr>
          <w:rFonts w:ascii="Arial" w:hAnsi="Arial" w:cs="Arial"/>
          <w:sz w:val="16"/>
          <w:szCs w:val="16"/>
        </w:rPr>
      </w:pPr>
      <w:r w:rsidRPr="00BD06F4">
        <w:rPr>
          <w:rFonts w:ascii="Arial" w:hAnsi="Arial" w:cs="Arial"/>
          <w:sz w:val="16"/>
          <w:szCs w:val="16"/>
        </w:rPr>
        <w:t xml:space="preserve">Na gruncie polskich przepisów przez pojęcie pasywnej infrastruktury szerokopasmowej należy więc rozumieć w szczególności określone w rozporządzeniu Ministra Infrastruktury z dnia 26 października 2005 r. </w:t>
      </w:r>
      <w:r w:rsidRPr="00BD06F4">
        <w:rPr>
          <w:rFonts w:ascii="Arial" w:hAnsi="Arial" w:cs="Arial"/>
          <w:i/>
          <w:sz w:val="16"/>
          <w:szCs w:val="16"/>
        </w:rPr>
        <w:t>w sprawie warunków technicznych, jakim powinny odpowiadać telekomunikacyjne obiekty budowlane i ich usytuowanie</w:t>
      </w:r>
      <w:r w:rsidRPr="00BD06F4">
        <w:rPr>
          <w:rFonts w:ascii="Arial" w:hAnsi="Arial" w:cs="Arial"/>
          <w:sz w:val="16"/>
          <w:szCs w:val="16"/>
        </w:rPr>
        <w:t>:</w:t>
      </w:r>
    </w:p>
    <w:p w:rsidR="00A03923" w:rsidRPr="00BD06F4" w:rsidRDefault="00A03923" w:rsidP="00137BC9">
      <w:pPr>
        <w:pStyle w:val="Akapitzlist"/>
        <w:numPr>
          <w:ilvl w:val="0"/>
          <w:numId w:val="44"/>
        </w:numPr>
        <w:tabs>
          <w:tab w:val="left" w:pos="0"/>
          <w:tab w:val="right" w:pos="284"/>
        </w:tabs>
        <w:spacing w:after="0" w:line="240" w:lineRule="auto"/>
        <w:jc w:val="both"/>
        <w:rPr>
          <w:rFonts w:ascii="Arial" w:hAnsi="Arial" w:cs="Arial"/>
          <w:sz w:val="16"/>
          <w:szCs w:val="16"/>
        </w:rPr>
      </w:pPr>
      <w:r w:rsidRPr="00BD06F4">
        <w:rPr>
          <w:rFonts w:ascii="Arial" w:hAnsi="Arial" w:cs="Arial"/>
          <w:sz w:val="16"/>
          <w:szCs w:val="16"/>
        </w:rPr>
        <w:t xml:space="preserve">telekomunikacyjne obiekty budowlane tj. </w:t>
      </w:r>
      <w:r w:rsidRPr="00BD06F4">
        <w:rPr>
          <w:rFonts w:ascii="Arial" w:hAnsi="Arial" w:cs="Arial"/>
          <w:i/>
          <w:sz w:val="16"/>
          <w:szCs w:val="16"/>
        </w:rPr>
        <w:t>linię kablową podziemną, linię kablową nadziemną, kanalizację kablową, kontenery telekomunikacyjne, szafy kablowe oraz wolno stojące konstrukcje wsporcze anten i urządzeń radiowych, w tym wolno stojące maszty antenowe i wolno stojące wieże antenowe</w:t>
      </w:r>
      <w:r w:rsidRPr="00BD06F4">
        <w:rPr>
          <w:rFonts w:ascii="Arial" w:hAnsi="Arial" w:cs="Arial"/>
          <w:sz w:val="16"/>
          <w:szCs w:val="16"/>
        </w:rPr>
        <w:t>,</w:t>
      </w:r>
    </w:p>
    <w:p w:rsidR="00A03923" w:rsidRPr="00627D8F" w:rsidRDefault="00A03923" w:rsidP="00137BC9">
      <w:pPr>
        <w:pStyle w:val="Akapitzlist"/>
        <w:numPr>
          <w:ilvl w:val="0"/>
          <w:numId w:val="44"/>
        </w:numPr>
        <w:tabs>
          <w:tab w:val="left" w:pos="0"/>
          <w:tab w:val="right" w:pos="284"/>
        </w:tabs>
        <w:spacing w:after="0" w:line="240" w:lineRule="auto"/>
        <w:jc w:val="both"/>
      </w:pPr>
      <w:r w:rsidRPr="007F43F6">
        <w:rPr>
          <w:rFonts w:ascii="Arial" w:hAnsi="Arial" w:cs="Arial"/>
          <w:sz w:val="16"/>
          <w:szCs w:val="16"/>
        </w:rPr>
        <w:t>podbudowę nadziemną wykorzystywaną do realizacji linii kablowych nadziemnych.</w:t>
      </w:r>
    </w:p>
    <w:p w:rsidR="00A03923" w:rsidRPr="00790328" w:rsidRDefault="00A03923" w:rsidP="0036568A">
      <w:pPr>
        <w:pStyle w:val="Tekstprzypisudolnego"/>
        <w:rPr>
          <w:lang w:val="pl-PL"/>
        </w:rPr>
      </w:pPr>
    </w:p>
  </w:footnote>
  <w:footnote w:id="19">
    <w:p w:rsidR="00A03923" w:rsidRPr="004A6DED" w:rsidRDefault="00A03923" w:rsidP="00C632DB">
      <w:pPr>
        <w:pStyle w:val="Tekstprzypisudolnego"/>
        <w:ind w:hanging="436"/>
        <w:jc w:val="both"/>
        <w:rPr>
          <w:rFonts w:ascii="Arial" w:eastAsiaTheme="minorHAnsi" w:hAnsi="Arial" w:cs="Arial"/>
          <w:sz w:val="16"/>
          <w:szCs w:val="16"/>
          <w:lang w:val="pl-PL"/>
        </w:rPr>
      </w:pPr>
      <w:r w:rsidRPr="004A6DED">
        <w:rPr>
          <w:rStyle w:val="Odwoanieprzypisudolnego"/>
          <w:rFonts w:asciiTheme="minorHAnsi" w:eastAsiaTheme="minorHAnsi" w:hAnsiTheme="minorHAnsi" w:cstheme="minorBidi"/>
          <w:sz w:val="22"/>
          <w:szCs w:val="22"/>
          <w:lang w:val="pl-PL"/>
        </w:rPr>
        <w:footnoteRef/>
      </w:r>
      <w:r w:rsidRPr="004A6DED">
        <w:rPr>
          <w:rStyle w:val="Odwoanieprzypisudolnego"/>
          <w:rFonts w:asciiTheme="minorHAnsi" w:eastAsiaTheme="minorHAnsi" w:hAnsiTheme="minorHAnsi" w:cstheme="minorBidi"/>
          <w:sz w:val="22"/>
          <w:szCs w:val="22"/>
          <w:lang w:val="pl-PL"/>
        </w:rPr>
        <w:t xml:space="preserve"> </w:t>
      </w:r>
      <w:r w:rsidRPr="004A6DED">
        <w:rPr>
          <w:rStyle w:val="Odwoanieprzypisudolnego"/>
          <w:rFonts w:asciiTheme="minorHAnsi" w:eastAsiaTheme="minorHAnsi" w:hAnsiTheme="minorHAnsi" w:cstheme="minorBidi"/>
          <w:sz w:val="22"/>
          <w:szCs w:val="22"/>
        </w:rPr>
        <w:t xml:space="preserve"> </w:t>
      </w:r>
      <w:r w:rsidRPr="004A6DED">
        <w:rPr>
          <w:rFonts w:ascii="Arial" w:eastAsiaTheme="minorHAnsi" w:hAnsi="Arial" w:cs="Arial"/>
          <w:sz w:val="16"/>
          <w:szCs w:val="16"/>
          <w:lang w:val="pl-PL"/>
        </w:rPr>
        <w:t>należy przez to rozumieć nabywanie rzeczy, praw oraz innych dóbr, w szczególności na podstawie umowy sprzedaży, dostawy, najmu, dzierżawy oraz leasingu</w:t>
      </w:r>
      <w:r w:rsidRPr="005321DB">
        <w:rPr>
          <w:rFonts w:ascii="Arial" w:eastAsiaTheme="minorHAnsi" w:hAnsi="Arial" w:cs="Arial"/>
          <w:sz w:val="16"/>
          <w:szCs w:val="16"/>
          <w:lang w:val="pl-PL"/>
        </w:rPr>
        <w:t>.</w:t>
      </w:r>
    </w:p>
  </w:footnote>
  <w:footnote w:id="20">
    <w:p w:rsidR="00A03923" w:rsidRPr="0011522A" w:rsidRDefault="00A03923" w:rsidP="00C632DB">
      <w:pPr>
        <w:tabs>
          <w:tab w:val="left" w:pos="0"/>
          <w:tab w:val="left" w:pos="284"/>
        </w:tabs>
        <w:autoSpaceDE w:val="0"/>
        <w:autoSpaceDN w:val="0"/>
        <w:adjustRightInd w:val="0"/>
        <w:spacing w:after="0" w:line="240" w:lineRule="auto"/>
        <w:ind w:left="284"/>
        <w:jc w:val="both"/>
        <w:rPr>
          <w:rFonts w:ascii="Arial" w:hAnsi="Arial" w:cs="Arial"/>
          <w:sz w:val="16"/>
          <w:szCs w:val="16"/>
        </w:rPr>
      </w:pPr>
      <w:r w:rsidRPr="00966A4E">
        <w:rPr>
          <w:rStyle w:val="Odwoanieprzypisudolnego"/>
        </w:rPr>
        <w:footnoteRef/>
      </w:r>
      <w:r>
        <w:t xml:space="preserve"> </w:t>
      </w:r>
      <w:r w:rsidRPr="0011522A">
        <w:rPr>
          <w:rFonts w:ascii="Arial" w:hAnsi="Arial" w:cs="Arial"/>
          <w:sz w:val="16"/>
          <w:szCs w:val="16"/>
        </w:rPr>
        <w:t xml:space="preserve">Sieć szkieletowa i dystrybucyjna definiowana jest zgodnie z Rozporządzeniem Ministra Administracji i Cyfryzacji z dnia 24 lutego 2014 r. </w:t>
      </w:r>
      <w:r w:rsidRPr="0011522A">
        <w:rPr>
          <w:rFonts w:ascii="Arial" w:hAnsi="Arial" w:cs="Arial"/>
          <w:i/>
          <w:sz w:val="16"/>
          <w:szCs w:val="16"/>
        </w:rPr>
        <w:t>w sprawie inwentaryzacji infrastruktury i usług telekomunikacyjnych</w:t>
      </w:r>
      <w:r w:rsidRPr="0011522A">
        <w:rPr>
          <w:rFonts w:ascii="Arial" w:hAnsi="Arial" w:cs="Arial"/>
          <w:sz w:val="16"/>
          <w:szCs w:val="16"/>
        </w:rPr>
        <w:t xml:space="preserve"> tj.:</w:t>
      </w:r>
    </w:p>
    <w:p w:rsidR="00A03923" w:rsidRPr="0011522A" w:rsidRDefault="00A03923" w:rsidP="00137BC9">
      <w:pPr>
        <w:pStyle w:val="Akapitzlist"/>
        <w:numPr>
          <w:ilvl w:val="0"/>
          <w:numId w:val="34"/>
        </w:numPr>
        <w:tabs>
          <w:tab w:val="left" w:pos="0"/>
          <w:tab w:val="left" w:pos="284"/>
        </w:tabs>
        <w:autoSpaceDE w:val="0"/>
        <w:autoSpaceDN w:val="0"/>
        <w:adjustRightInd w:val="0"/>
        <w:spacing w:after="0" w:line="240" w:lineRule="auto"/>
        <w:contextualSpacing w:val="0"/>
        <w:jc w:val="both"/>
        <w:rPr>
          <w:rFonts w:ascii="Arial" w:hAnsi="Arial" w:cs="Arial"/>
          <w:sz w:val="16"/>
          <w:szCs w:val="16"/>
        </w:rPr>
      </w:pPr>
      <w:r w:rsidRPr="0011522A">
        <w:rPr>
          <w:rFonts w:ascii="Arial" w:hAnsi="Arial" w:cs="Arial"/>
          <w:sz w:val="16"/>
          <w:szCs w:val="16"/>
        </w:rPr>
        <w:t xml:space="preserve">szkieletowa sieć telekomunikacyjna - </w:t>
      </w:r>
      <w:r w:rsidRPr="0011522A">
        <w:rPr>
          <w:rFonts w:ascii="Arial" w:hAnsi="Arial" w:cs="Arial"/>
          <w:i/>
          <w:sz w:val="16"/>
          <w:szCs w:val="16"/>
        </w:rPr>
        <w:t>rozumie się przez to najwyższą warstwę publicznej sieci telekomunikacyjnej, agregującą ruch sieciowy z niższych warstw sieci</w:t>
      </w:r>
      <w:r w:rsidRPr="0011522A">
        <w:rPr>
          <w:rFonts w:ascii="Arial" w:hAnsi="Arial" w:cs="Arial"/>
          <w:sz w:val="16"/>
          <w:szCs w:val="16"/>
        </w:rPr>
        <w:t>;</w:t>
      </w:r>
    </w:p>
    <w:p w:rsidR="00A03923" w:rsidRPr="0011522A" w:rsidRDefault="00A03923" w:rsidP="00137BC9">
      <w:pPr>
        <w:pStyle w:val="Akapitzlist"/>
        <w:numPr>
          <w:ilvl w:val="0"/>
          <w:numId w:val="34"/>
        </w:numPr>
        <w:tabs>
          <w:tab w:val="left" w:pos="0"/>
          <w:tab w:val="left" w:pos="284"/>
        </w:tabs>
        <w:autoSpaceDE w:val="0"/>
        <w:autoSpaceDN w:val="0"/>
        <w:adjustRightInd w:val="0"/>
        <w:spacing w:after="0" w:line="240" w:lineRule="auto"/>
        <w:contextualSpacing w:val="0"/>
        <w:jc w:val="both"/>
        <w:rPr>
          <w:rFonts w:ascii="Arial" w:hAnsi="Arial" w:cs="Arial"/>
          <w:sz w:val="16"/>
          <w:szCs w:val="16"/>
        </w:rPr>
      </w:pPr>
      <w:r w:rsidRPr="0011522A">
        <w:rPr>
          <w:rFonts w:ascii="Arial" w:hAnsi="Arial" w:cs="Arial"/>
          <w:sz w:val="16"/>
          <w:szCs w:val="16"/>
        </w:rPr>
        <w:t xml:space="preserve">dystrybucyjna sieć telekomunikacyjna </w:t>
      </w:r>
      <w:r w:rsidRPr="0011522A">
        <w:rPr>
          <w:rFonts w:ascii="Arial" w:hAnsi="Arial" w:cs="Arial"/>
          <w:i/>
          <w:sz w:val="16"/>
          <w:szCs w:val="16"/>
        </w:rPr>
        <w:t>- rozumie się przez to warstwę publicznej sieci telekomunikacyjnej, łączącą węzły szkieletowej sieci telekomunikacyjnej z agregującymi ruch od użytkowników końcowych węzłami dostępowej sieci telekomunikacyjnej</w:t>
      </w:r>
      <w:r w:rsidRPr="0011522A">
        <w:rPr>
          <w:rFonts w:ascii="Arial" w:hAnsi="Arial" w:cs="Arial"/>
          <w:sz w:val="16"/>
          <w:szCs w:val="16"/>
        </w:rPr>
        <w:t>.</w:t>
      </w:r>
    </w:p>
    <w:p w:rsidR="00A03923" w:rsidRPr="00966A4E" w:rsidRDefault="00A03923" w:rsidP="00C632DB">
      <w:pPr>
        <w:pStyle w:val="Tekstprzypisudolnego"/>
      </w:pPr>
    </w:p>
  </w:footnote>
  <w:footnote w:id="21">
    <w:p w:rsidR="00A03923" w:rsidRPr="00D34651" w:rsidRDefault="00A03923" w:rsidP="00DF65A1">
      <w:pPr>
        <w:pStyle w:val="Tekstprzypisudolnego"/>
        <w:rPr>
          <w:rFonts w:ascii="Arial" w:hAnsi="Arial" w:cs="Arial"/>
          <w:sz w:val="18"/>
          <w:szCs w:val="18"/>
          <w:lang w:val="pl-PL"/>
        </w:rPr>
      </w:pPr>
      <w:r w:rsidRPr="00D34651">
        <w:rPr>
          <w:rStyle w:val="Odwoanieprzypisudolnego"/>
          <w:rFonts w:ascii="Arial" w:hAnsi="Arial" w:cs="Arial"/>
          <w:sz w:val="18"/>
          <w:szCs w:val="18"/>
        </w:rPr>
        <w:footnoteRef/>
      </w:r>
      <w:r w:rsidRPr="00D34651">
        <w:rPr>
          <w:rFonts w:ascii="Arial" w:hAnsi="Arial" w:cs="Arial"/>
          <w:sz w:val="18"/>
          <w:szCs w:val="18"/>
        </w:rPr>
        <w:t xml:space="preserve"> </w:t>
      </w:r>
      <w:r w:rsidRPr="00D34651">
        <w:rPr>
          <w:rFonts w:ascii="Arial" w:hAnsi="Arial" w:cs="Arial"/>
          <w:sz w:val="18"/>
          <w:szCs w:val="18"/>
          <w:lang w:val="pl-PL"/>
        </w:rPr>
        <w:t>Umowa o udzielenie wsparcia – oznacza umowę o dofinansowanie projektu</w:t>
      </w:r>
    </w:p>
  </w:footnote>
  <w:footnote w:id="22">
    <w:p w:rsidR="00A03923" w:rsidRPr="00BD06F4" w:rsidRDefault="00A03923" w:rsidP="00DD0F75">
      <w:pPr>
        <w:tabs>
          <w:tab w:val="left" w:pos="0"/>
          <w:tab w:val="right" w:pos="284"/>
        </w:tabs>
        <w:spacing w:after="0" w:line="240" w:lineRule="auto"/>
        <w:ind w:left="284"/>
        <w:jc w:val="both"/>
        <w:rPr>
          <w:rFonts w:ascii="Arial" w:hAnsi="Arial" w:cs="Arial"/>
          <w:sz w:val="16"/>
          <w:szCs w:val="16"/>
        </w:rPr>
      </w:pPr>
      <w:r>
        <w:rPr>
          <w:rStyle w:val="Odwoanieprzypisudolnego"/>
        </w:rPr>
        <w:footnoteRef/>
      </w:r>
      <w:r>
        <w:t xml:space="preserve"> </w:t>
      </w:r>
      <w:r w:rsidRPr="00BD06F4">
        <w:rPr>
          <w:rFonts w:ascii="Arial" w:hAnsi="Arial" w:cs="Arial"/>
          <w:sz w:val="16"/>
          <w:szCs w:val="16"/>
        </w:rPr>
        <w:t xml:space="preserve">Pasywną infrastrukturą szerokopasmową </w:t>
      </w:r>
      <w:r>
        <w:rPr>
          <w:rFonts w:ascii="Arial" w:hAnsi="Arial" w:cs="Arial"/>
          <w:sz w:val="16"/>
          <w:szCs w:val="16"/>
        </w:rPr>
        <w:t xml:space="preserve">zgodnie z </w:t>
      </w:r>
      <w:r w:rsidRPr="00BD06F4">
        <w:rPr>
          <w:rFonts w:ascii="Arial" w:hAnsi="Arial" w:cs="Arial"/>
          <w:sz w:val="16"/>
          <w:szCs w:val="16"/>
        </w:rPr>
        <w:t xml:space="preserve"> rozporządzeni</w:t>
      </w:r>
      <w:r>
        <w:rPr>
          <w:rFonts w:ascii="Arial" w:hAnsi="Arial" w:cs="Arial"/>
          <w:sz w:val="16"/>
          <w:szCs w:val="16"/>
        </w:rPr>
        <w:t xml:space="preserve">em Komisji (UE) Nr 651/2014 z dnia 17 czerwca 2014 r. uznające niektóre rodzaje pomocy za zgodne z rynkiem wewnętrznym w zastosowaniu art. 107 i art. 108 Traktatu (dalej: GBER) </w:t>
      </w:r>
      <w:r w:rsidRPr="00BD06F4">
        <w:rPr>
          <w:rFonts w:ascii="Arial" w:hAnsi="Arial" w:cs="Arial"/>
          <w:sz w:val="16"/>
          <w:szCs w:val="16"/>
        </w:rPr>
        <w:t xml:space="preserve"> jest </w:t>
      </w:r>
      <w:r w:rsidRPr="00BD06F4">
        <w:rPr>
          <w:rFonts w:ascii="Arial" w:hAnsi="Arial" w:cs="Arial"/>
          <w:i/>
          <w:sz w:val="16"/>
          <w:szCs w:val="16"/>
        </w:rPr>
        <w:t>sieć szerokopasmowa bez żadnego aktywnego elementu. Zazwyczaj obejmuje ona infrastrukturę techniczną, kanały, światłowody ciemne oraz szafki uliczne</w:t>
      </w:r>
      <w:r w:rsidRPr="00BD06F4">
        <w:rPr>
          <w:rFonts w:ascii="Arial" w:hAnsi="Arial" w:cs="Arial"/>
          <w:sz w:val="16"/>
          <w:szCs w:val="16"/>
        </w:rPr>
        <w:t xml:space="preserve">. Wg GBER </w:t>
      </w:r>
      <w:r w:rsidRPr="00BD06F4">
        <w:rPr>
          <w:rFonts w:ascii="Arial" w:hAnsi="Arial" w:cs="Arial"/>
          <w:i/>
          <w:sz w:val="16"/>
          <w:szCs w:val="16"/>
        </w:rPr>
        <w:t>„kanały” oznaczają podziemne rury lub kanały kablowe, przez które biegną (światłowodowe, miedziane lub koncentryczne) przewody sieci szerokopasmowej</w:t>
      </w:r>
      <w:r w:rsidRPr="00BD06F4">
        <w:rPr>
          <w:rFonts w:ascii="Arial" w:hAnsi="Arial" w:cs="Arial"/>
          <w:sz w:val="16"/>
          <w:szCs w:val="16"/>
        </w:rPr>
        <w:t>.</w:t>
      </w:r>
    </w:p>
    <w:p w:rsidR="00A03923" w:rsidRPr="00BD06F4" w:rsidRDefault="00A03923" w:rsidP="00DD0F75">
      <w:pPr>
        <w:tabs>
          <w:tab w:val="left" w:pos="0"/>
          <w:tab w:val="right" w:pos="284"/>
        </w:tabs>
        <w:spacing w:after="0" w:line="240" w:lineRule="auto"/>
        <w:ind w:left="284"/>
        <w:jc w:val="both"/>
        <w:rPr>
          <w:rFonts w:ascii="Arial" w:hAnsi="Arial" w:cs="Arial"/>
          <w:sz w:val="16"/>
          <w:szCs w:val="16"/>
        </w:rPr>
      </w:pPr>
      <w:r w:rsidRPr="00BD06F4">
        <w:rPr>
          <w:rFonts w:ascii="Arial" w:hAnsi="Arial" w:cs="Arial"/>
          <w:sz w:val="16"/>
          <w:szCs w:val="16"/>
        </w:rPr>
        <w:t xml:space="preserve">Na gruncie polskich przepisów przez pojęcie pasywnej infrastruktury szerokopasmowej należy więc rozumieć w szczególności określone w rozporządzeniu Ministra Infrastruktury z dnia 26 października 2005 r. </w:t>
      </w:r>
      <w:r w:rsidRPr="00BD06F4">
        <w:rPr>
          <w:rFonts w:ascii="Arial" w:hAnsi="Arial" w:cs="Arial"/>
          <w:i/>
          <w:sz w:val="16"/>
          <w:szCs w:val="16"/>
        </w:rPr>
        <w:t>w sprawie warunków technicznych, jakim powinny odpowiadać telekomunikacyjne obiekty budowlane i ich usytuowanie</w:t>
      </w:r>
      <w:r w:rsidRPr="00BD06F4">
        <w:rPr>
          <w:rFonts w:ascii="Arial" w:hAnsi="Arial" w:cs="Arial"/>
          <w:sz w:val="16"/>
          <w:szCs w:val="16"/>
        </w:rPr>
        <w:t>:</w:t>
      </w:r>
    </w:p>
    <w:p w:rsidR="00A03923" w:rsidRPr="00BD06F4" w:rsidRDefault="00A03923" w:rsidP="00137BC9">
      <w:pPr>
        <w:pStyle w:val="Akapitzlist"/>
        <w:numPr>
          <w:ilvl w:val="0"/>
          <w:numId w:val="44"/>
        </w:numPr>
        <w:tabs>
          <w:tab w:val="left" w:pos="0"/>
          <w:tab w:val="right" w:pos="284"/>
        </w:tabs>
        <w:spacing w:after="0" w:line="240" w:lineRule="auto"/>
        <w:jc w:val="both"/>
        <w:rPr>
          <w:rFonts w:ascii="Arial" w:hAnsi="Arial" w:cs="Arial"/>
          <w:sz w:val="16"/>
          <w:szCs w:val="16"/>
        </w:rPr>
      </w:pPr>
      <w:r w:rsidRPr="00BD06F4">
        <w:rPr>
          <w:rFonts w:ascii="Arial" w:hAnsi="Arial" w:cs="Arial"/>
          <w:sz w:val="16"/>
          <w:szCs w:val="16"/>
        </w:rPr>
        <w:t xml:space="preserve">telekomunikacyjne obiekty budowlane tj. </w:t>
      </w:r>
      <w:r w:rsidRPr="00BD06F4">
        <w:rPr>
          <w:rFonts w:ascii="Arial" w:hAnsi="Arial" w:cs="Arial"/>
          <w:i/>
          <w:sz w:val="16"/>
          <w:szCs w:val="16"/>
        </w:rPr>
        <w:t>linię kablową podziemną, linię kablową nadziemną, kanalizację kablową, kontenery telekomunikacyjne, szafy kablowe oraz wolno stojące konstrukcje wsporcze anten i urządzeń radiowych, w tym wolno stojące maszty antenowe i wolno stojące wieże antenowe</w:t>
      </w:r>
      <w:r w:rsidRPr="00BD06F4">
        <w:rPr>
          <w:rFonts w:ascii="Arial" w:hAnsi="Arial" w:cs="Arial"/>
          <w:sz w:val="16"/>
          <w:szCs w:val="16"/>
        </w:rPr>
        <w:t>,</w:t>
      </w:r>
    </w:p>
    <w:p w:rsidR="00A03923" w:rsidRPr="00627D8F" w:rsidRDefault="00A03923" w:rsidP="00137BC9">
      <w:pPr>
        <w:pStyle w:val="Akapitzlist"/>
        <w:numPr>
          <w:ilvl w:val="0"/>
          <w:numId w:val="44"/>
        </w:numPr>
        <w:tabs>
          <w:tab w:val="left" w:pos="0"/>
          <w:tab w:val="right" w:pos="284"/>
        </w:tabs>
        <w:spacing w:after="0" w:line="240" w:lineRule="auto"/>
        <w:jc w:val="both"/>
      </w:pPr>
      <w:r w:rsidRPr="007F43F6">
        <w:rPr>
          <w:rFonts w:ascii="Arial" w:hAnsi="Arial" w:cs="Arial"/>
          <w:sz w:val="16"/>
          <w:szCs w:val="16"/>
        </w:rPr>
        <w:t>podbudowę nadziemną wykorzystywaną do realizacji linii kablowych nadziemnych.</w:t>
      </w:r>
    </w:p>
    <w:p w:rsidR="00A03923" w:rsidRPr="00790328" w:rsidRDefault="00A03923" w:rsidP="00DD0F75">
      <w:pPr>
        <w:pStyle w:val="Tekstprzypisudolnego"/>
        <w:rPr>
          <w:lang w:val="pl-PL"/>
        </w:rPr>
      </w:pPr>
    </w:p>
  </w:footnote>
  <w:footnote w:id="23">
    <w:p w:rsidR="00A03923" w:rsidRPr="004A6DED" w:rsidRDefault="00A03923" w:rsidP="00DD0F75">
      <w:pPr>
        <w:pStyle w:val="Tekstprzypisudolnego"/>
        <w:ind w:hanging="436"/>
        <w:jc w:val="both"/>
        <w:rPr>
          <w:rFonts w:ascii="Arial" w:eastAsiaTheme="minorHAnsi" w:hAnsi="Arial" w:cs="Arial"/>
          <w:sz w:val="16"/>
          <w:szCs w:val="16"/>
          <w:lang w:val="pl-PL"/>
        </w:rPr>
      </w:pPr>
      <w:r w:rsidRPr="004A6DED">
        <w:rPr>
          <w:rStyle w:val="Odwoanieprzypisudolnego"/>
          <w:rFonts w:asciiTheme="minorHAnsi" w:eastAsiaTheme="minorHAnsi" w:hAnsiTheme="minorHAnsi" w:cstheme="minorBidi"/>
          <w:sz w:val="22"/>
          <w:szCs w:val="22"/>
          <w:lang w:val="pl-PL"/>
        </w:rPr>
        <w:footnoteRef/>
      </w:r>
      <w:r w:rsidRPr="004A6DED">
        <w:rPr>
          <w:rStyle w:val="Odwoanieprzypisudolnego"/>
          <w:rFonts w:asciiTheme="minorHAnsi" w:eastAsiaTheme="minorHAnsi" w:hAnsiTheme="minorHAnsi" w:cstheme="minorBidi"/>
          <w:sz w:val="22"/>
          <w:szCs w:val="22"/>
          <w:lang w:val="pl-PL"/>
        </w:rPr>
        <w:t xml:space="preserve"> </w:t>
      </w:r>
      <w:r w:rsidRPr="004A6DED">
        <w:rPr>
          <w:rStyle w:val="Odwoanieprzypisudolnego"/>
          <w:rFonts w:asciiTheme="minorHAnsi" w:eastAsiaTheme="minorHAnsi" w:hAnsiTheme="minorHAnsi" w:cstheme="minorBidi"/>
          <w:sz w:val="22"/>
          <w:szCs w:val="22"/>
        </w:rPr>
        <w:t xml:space="preserve"> </w:t>
      </w:r>
      <w:r w:rsidRPr="004A6DED">
        <w:rPr>
          <w:rFonts w:ascii="Arial" w:eastAsiaTheme="minorHAnsi" w:hAnsi="Arial" w:cs="Arial"/>
          <w:sz w:val="16"/>
          <w:szCs w:val="16"/>
          <w:lang w:val="pl-PL"/>
        </w:rPr>
        <w:t>należy przez to rozumieć nabywanie rzeczy, praw oraz innych dóbr, w szczególności na podstawie umowy sprzedaży, dostawy, najmu, dzierżawy oraz leasingu</w:t>
      </w:r>
      <w:r w:rsidRPr="005321DB">
        <w:rPr>
          <w:rFonts w:ascii="Arial" w:eastAsiaTheme="minorHAnsi" w:hAnsi="Arial" w:cs="Arial"/>
          <w:sz w:val="16"/>
          <w:szCs w:val="16"/>
          <w:lang w:val="pl-PL"/>
        </w:rPr>
        <w:t>.</w:t>
      </w:r>
    </w:p>
  </w:footnote>
  <w:footnote w:id="24">
    <w:p w:rsidR="00A03923" w:rsidRPr="0011522A" w:rsidRDefault="00A03923" w:rsidP="00DD0F75">
      <w:pPr>
        <w:tabs>
          <w:tab w:val="left" w:pos="0"/>
          <w:tab w:val="left" w:pos="284"/>
        </w:tabs>
        <w:autoSpaceDE w:val="0"/>
        <w:autoSpaceDN w:val="0"/>
        <w:adjustRightInd w:val="0"/>
        <w:spacing w:after="0" w:line="240" w:lineRule="auto"/>
        <w:ind w:left="284"/>
        <w:jc w:val="both"/>
        <w:rPr>
          <w:rFonts w:ascii="Arial" w:hAnsi="Arial" w:cs="Arial"/>
          <w:sz w:val="16"/>
          <w:szCs w:val="16"/>
        </w:rPr>
      </w:pPr>
      <w:r w:rsidRPr="00966A4E">
        <w:rPr>
          <w:rStyle w:val="Odwoanieprzypisudolnego"/>
        </w:rPr>
        <w:footnoteRef/>
      </w:r>
      <w:r>
        <w:t xml:space="preserve"> </w:t>
      </w:r>
      <w:r w:rsidRPr="0011522A">
        <w:rPr>
          <w:rFonts w:ascii="Arial" w:hAnsi="Arial" w:cs="Arial"/>
          <w:sz w:val="16"/>
          <w:szCs w:val="16"/>
        </w:rPr>
        <w:t xml:space="preserve">Sieć szkieletowa i dystrybucyjna definiowana jest zgodnie z Rozporządzeniem Ministra Administracji i Cyfryzacji z dnia 24 lutego 2014 r. </w:t>
      </w:r>
      <w:r w:rsidRPr="0011522A">
        <w:rPr>
          <w:rFonts w:ascii="Arial" w:hAnsi="Arial" w:cs="Arial"/>
          <w:i/>
          <w:sz w:val="16"/>
          <w:szCs w:val="16"/>
        </w:rPr>
        <w:t>w sprawie inwentaryzacji infrastruktury i usług telekomunikacyjnych</w:t>
      </w:r>
      <w:r w:rsidRPr="0011522A">
        <w:rPr>
          <w:rFonts w:ascii="Arial" w:hAnsi="Arial" w:cs="Arial"/>
          <w:sz w:val="16"/>
          <w:szCs w:val="16"/>
        </w:rPr>
        <w:t xml:space="preserve"> tj.:</w:t>
      </w:r>
    </w:p>
    <w:p w:rsidR="00A03923" w:rsidRPr="0011522A" w:rsidRDefault="00A03923" w:rsidP="00137BC9">
      <w:pPr>
        <w:pStyle w:val="Akapitzlist"/>
        <w:numPr>
          <w:ilvl w:val="0"/>
          <w:numId w:val="34"/>
        </w:numPr>
        <w:tabs>
          <w:tab w:val="left" w:pos="0"/>
          <w:tab w:val="left" w:pos="284"/>
        </w:tabs>
        <w:autoSpaceDE w:val="0"/>
        <w:autoSpaceDN w:val="0"/>
        <w:adjustRightInd w:val="0"/>
        <w:spacing w:after="0" w:line="240" w:lineRule="auto"/>
        <w:contextualSpacing w:val="0"/>
        <w:jc w:val="both"/>
        <w:rPr>
          <w:rFonts w:ascii="Arial" w:hAnsi="Arial" w:cs="Arial"/>
          <w:sz w:val="16"/>
          <w:szCs w:val="16"/>
        </w:rPr>
      </w:pPr>
      <w:r w:rsidRPr="0011522A">
        <w:rPr>
          <w:rFonts w:ascii="Arial" w:hAnsi="Arial" w:cs="Arial"/>
          <w:sz w:val="16"/>
          <w:szCs w:val="16"/>
        </w:rPr>
        <w:t xml:space="preserve">szkieletowa sieć telekomunikacyjna - </w:t>
      </w:r>
      <w:r w:rsidRPr="0011522A">
        <w:rPr>
          <w:rFonts w:ascii="Arial" w:hAnsi="Arial" w:cs="Arial"/>
          <w:i/>
          <w:sz w:val="16"/>
          <w:szCs w:val="16"/>
        </w:rPr>
        <w:t>rozumie się przez to najwyższą warstwę publicznej sieci telekomunikacyjnej, agregującą ruch sieciowy z niższych warstw sieci</w:t>
      </w:r>
      <w:r w:rsidRPr="0011522A">
        <w:rPr>
          <w:rFonts w:ascii="Arial" w:hAnsi="Arial" w:cs="Arial"/>
          <w:sz w:val="16"/>
          <w:szCs w:val="16"/>
        </w:rPr>
        <w:t>;</w:t>
      </w:r>
    </w:p>
    <w:p w:rsidR="00A03923" w:rsidRPr="0011522A" w:rsidRDefault="00A03923" w:rsidP="00137BC9">
      <w:pPr>
        <w:pStyle w:val="Akapitzlist"/>
        <w:numPr>
          <w:ilvl w:val="0"/>
          <w:numId w:val="34"/>
        </w:numPr>
        <w:tabs>
          <w:tab w:val="left" w:pos="0"/>
          <w:tab w:val="left" w:pos="284"/>
        </w:tabs>
        <w:autoSpaceDE w:val="0"/>
        <w:autoSpaceDN w:val="0"/>
        <w:adjustRightInd w:val="0"/>
        <w:spacing w:after="0" w:line="240" w:lineRule="auto"/>
        <w:contextualSpacing w:val="0"/>
        <w:jc w:val="both"/>
        <w:rPr>
          <w:rFonts w:ascii="Arial" w:hAnsi="Arial" w:cs="Arial"/>
          <w:sz w:val="16"/>
          <w:szCs w:val="16"/>
        </w:rPr>
      </w:pPr>
      <w:r w:rsidRPr="0011522A">
        <w:rPr>
          <w:rFonts w:ascii="Arial" w:hAnsi="Arial" w:cs="Arial"/>
          <w:sz w:val="16"/>
          <w:szCs w:val="16"/>
        </w:rPr>
        <w:t xml:space="preserve">dystrybucyjna sieć telekomunikacyjna </w:t>
      </w:r>
      <w:r w:rsidRPr="0011522A">
        <w:rPr>
          <w:rFonts w:ascii="Arial" w:hAnsi="Arial" w:cs="Arial"/>
          <w:i/>
          <w:sz w:val="16"/>
          <w:szCs w:val="16"/>
        </w:rPr>
        <w:t>- rozumie się przez to warstwę publicznej sieci telekomunikacyjnej, łączącą węzły szkieletowej sieci telekomunikacyjnej z agregującymi ruch od użytkowników końcowych węzłami dostępowej sieci telekomunikacyjnej</w:t>
      </w:r>
      <w:r w:rsidRPr="0011522A">
        <w:rPr>
          <w:rFonts w:ascii="Arial" w:hAnsi="Arial" w:cs="Arial"/>
          <w:sz w:val="16"/>
          <w:szCs w:val="16"/>
        </w:rPr>
        <w:t>.</w:t>
      </w:r>
    </w:p>
    <w:p w:rsidR="00A03923" w:rsidRPr="00966A4E" w:rsidRDefault="00A03923" w:rsidP="00DD0F75">
      <w:pPr>
        <w:pStyle w:val="Tekstprzypisudolnego"/>
      </w:pPr>
    </w:p>
  </w:footnote>
  <w:footnote w:id="25">
    <w:p w:rsidR="00A03923" w:rsidRPr="00D34651" w:rsidRDefault="00A03923" w:rsidP="00DD0F75">
      <w:pPr>
        <w:pStyle w:val="Tekstprzypisudolnego"/>
        <w:rPr>
          <w:rFonts w:ascii="Arial" w:hAnsi="Arial" w:cs="Arial"/>
          <w:sz w:val="18"/>
          <w:szCs w:val="18"/>
          <w:lang w:val="pl-PL"/>
        </w:rPr>
      </w:pPr>
      <w:r w:rsidRPr="00D34651">
        <w:rPr>
          <w:rStyle w:val="Odwoanieprzypisudolnego"/>
          <w:rFonts w:ascii="Arial" w:hAnsi="Arial" w:cs="Arial"/>
          <w:sz w:val="18"/>
          <w:szCs w:val="18"/>
        </w:rPr>
        <w:footnoteRef/>
      </w:r>
      <w:r w:rsidRPr="00D34651">
        <w:rPr>
          <w:rFonts w:ascii="Arial" w:hAnsi="Arial" w:cs="Arial"/>
          <w:sz w:val="18"/>
          <w:szCs w:val="18"/>
        </w:rPr>
        <w:t xml:space="preserve"> </w:t>
      </w:r>
      <w:r w:rsidRPr="00D34651">
        <w:rPr>
          <w:rFonts w:ascii="Arial" w:hAnsi="Arial" w:cs="Arial"/>
          <w:sz w:val="18"/>
          <w:szCs w:val="18"/>
          <w:lang w:val="pl-PL"/>
        </w:rPr>
        <w:t>Umowa o udzielenie wsparcia – oznacza umowę o dofinansowanie projektu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049"/>
    <w:multiLevelType w:val="hybridMultilevel"/>
    <w:tmpl w:val="C4207C06"/>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611533"/>
    <w:multiLevelType w:val="hybridMultilevel"/>
    <w:tmpl w:val="C4207C06"/>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38178D"/>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3E6406C"/>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494436C"/>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4EB5C55"/>
    <w:multiLevelType w:val="hybridMultilevel"/>
    <w:tmpl w:val="BCF6C1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3B5FFC"/>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99C66EA"/>
    <w:multiLevelType w:val="hybridMultilevel"/>
    <w:tmpl w:val="BCF6C1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9B45CCC"/>
    <w:multiLevelType w:val="hybridMultilevel"/>
    <w:tmpl w:val="94262362"/>
    <w:lvl w:ilvl="0" w:tplc="04150011">
      <w:start w:val="1"/>
      <w:numFmt w:val="decimal"/>
      <w:lvlText w:val="%1)"/>
      <w:lvlJc w:val="left"/>
      <w:pPr>
        <w:ind w:left="426" w:hanging="360"/>
      </w:pPr>
      <w:rPr>
        <w:rFonts w:hint="default"/>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2A622A"/>
    <w:multiLevelType w:val="hybridMultilevel"/>
    <w:tmpl w:val="55504434"/>
    <w:lvl w:ilvl="0" w:tplc="521A43E0">
      <w:start w:val="1"/>
      <w:numFmt w:val="bullet"/>
      <w:lvlText w:val="­"/>
      <w:lvlJc w:val="left"/>
      <w:pPr>
        <w:ind w:left="644" w:hanging="360"/>
      </w:pPr>
      <w:rPr>
        <w:rFonts w:ascii="Calibri" w:hAnsi="Calibr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
    <w:nsid w:val="0F7411F3"/>
    <w:multiLevelType w:val="multilevel"/>
    <w:tmpl w:val="4D4EF7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D92CF0"/>
    <w:multiLevelType w:val="hybridMultilevel"/>
    <w:tmpl w:val="C9EA9F20"/>
    <w:lvl w:ilvl="0" w:tplc="04150011">
      <w:start w:val="1"/>
      <w:numFmt w:val="decimal"/>
      <w:lvlText w:val="%1)"/>
      <w:lvlJc w:val="left"/>
      <w:pPr>
        <w:ind w:left="426" w:hanging="360"/>
      </w:pPr>
      <w:rPr>
        <w:rFonts w:hint="default"/>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0DA3210"/>
    <w:multiLevelType w:val="hybridMultilevel"/>
    <w:tmpl w:val="C9EA9F20"/>
    <w:lvl w:ilvl="0" w:tplc="04150011">
      <w:start w:val="1"/>
      <w:numFmt w:val="decimal"/>
      <w:lvlText w:val="%1)"/>
      <w:lvlJc w:val="left"/>
      <w:pPr>
        <w:ind w:left="426" w:hanging="360"/>
      </w:pPr>
      <w:rPr>
        <w:rFonts w:hint="default"/>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010CA8"/>
    <w:multiLevelType w:val="hybridMultilevel"/>
    <w:tmpl w:val="9A403150"/>
    <w:lvl w:ilvl="0" w:tplc="81C616F6">
      <w:start w:val="2"/>
      <w:numFmt w:val="decimal"/>
      <w:lvlText w:val="%1)"/>
      <w:lvlJc w:val="left"/>
      <w:pPr>
        <w:ind w:left="426"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1C43DCD"/>
    <w:multiLevelType w:val="multilevel"/>
    <w:tmpl w:val="4D4EF7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2C831D3"/>
    <w:multiLevelType w:val="hybridMultilevel"/>
    <w:tmpl w:val="29CE39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43F5B3F"/>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4506975"/>
    <w:multiLevelType w:val="hybridMultilevel"/>
    <w:tmpl w:val="C9EA9F20"/>
    <w:lvl w:ilvl="0" w:tplc="04150011">
      <w:start w:val="1"/>
      <w:numFmt w:val="decimal"/>
      <w:lvlText w:val="%1)"/>
      <w:lvlJc w:val="left"/>
      <w:pPr>
        <w:ind w:left="426" w:hanging="360"/>
      </w:pPr>
      <w:rPr>
        <w:rFonts w:hint="default"/>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5A04024"/>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171F3165"/>
    <w:multiLevelType w:val="hybridMultilevel"/>
    <w:tmpl w:val="3552FF06"/>
    <w:lvl w:ilvl="0" w:tplc="521A43E0">
      <w:start w:val="1"/>
      <w:numFmt w:val="bullet"/>
      <w:lvlText w:val="­"/>
      <w:lvlJc w:val="left"/>
      <w:pPr>
        <w:ind w:left="644" w:hanging="360"/>
      </w:pPr>
      <w:rPr>
        <w:rFonts w:ascii="Calibri" w:hAnsi="Calibri"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0">
    <w:nsid w:val="1B80279C"/>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EBB26D1"/>
    <w:multiLevelType w:val="hybridMultilevel"/>
    <w:tmpl w:val="94262362"/>
    <w:lvl w:ilvl="0" w:tplc="04150011">
      <w:start w:val="1"/>
      <w:numFmt w:val="decimal"/>
      <w:lvlText w:val="%1)"/>
      <w:lvlJc w:val="left"/>
      <w:pPr>
        <w:ind w:left="426" w:hanging="360"/>
      </w:pPr>
      <w:rPr>
        <w:rFonts w:hint="default"/>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F443C6C"/>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04E03FA"/>
    <w:multiLevelType w:val="hybridMultilevel"/>
    <w:tmpl w:val="CA664746"/>
    <w:lvl w:ilvl="0" w:tplc="D7AA3430">
      <w:start w:val="1"/>
      <w:numFmt w:val="lowerRoman"/>
      <w:lvlText w:val="%1)"/>
      <w:lvlJc w:val="left"/>
      <w:pPr>
        <w:ind w:left="928" w:hanging="360"/>
      </w:pPr>
      <w:rPr>
        <w:rFonts w:ascii="Corbel" w:eastAsia="Calibri" w:hAnsi="Corbel" w:cs="Times New Roman"/>
        <w:b w:val="0"/>
        <w:i w:val="0"/>
      </w:rPr>
    </w:lvl>
    <w:lvl w:ilvl="1" w:tplc="04150019" w:tentative="1">
      <w:start w:val="1"/>
      <w:numFmt w:val="lowerLetter"/>
      <w:lvlText w:val="%2."/>
      <w:lvlJc w:val="left"/>
      <w:pPr>
        <w:ind w:left="568" w:hanging="360"/>
      </w:pPr>
    </w:lvl>
    <w:lvl w:ilvl="2" w:tplc="0415001B" w:tentative="1">
      <w:start w:val="1"/>
      <w:numFmt w:val="lowerRoman"/>
      <w:lvlText w:val="%3."/>
      <w:lvlJc w:val="right"/>
      <w:pPr>
        <w:ind w:left="1288" w:hanging="180"/>
      </w:pPr>
    </w:lvl>
    <w:lvl w:ilvl="3" w:tplc="0415000F" w:tentative="1">
      <w:start w:val="1"/>
      <w:numFmt w:val="decimal"/>
      <w:lvlText w:val="%4."/>
      <w:lvlJc w:val="left"/>
      <w:pPr>
        <w:ind w:left="2008" w:hanging="360"/>
      </w:pPr>
    </w:lvl>
    <w:lvl w:ilvl="4" w:tplc="04150019" w:tentative="1">
      <w:start w:val="1"/>
      <w:numFmt w:val="lowerLetter"/>
      <w:lvlText w:val="%5."/>
      <w:lvlJc w:val="left"/>
      <w:pPr>
        <w:ind w:left="2728" w:hanging="360"/>
      </w:pPr>
    </w:lvl>
    <w:lvl w:ilvl="5" w:tplc="0415001B" w:tentative="1">
      <w:start w:val="1"/>
      <w:numFmt w:val="lowerRoman"/>
      <w:lvlText w:val="%6."/>
      <w:lvlJc w:val="right"/>
      <w:pPr>
        <w:ind w:left="3448" w:hanging="180"/>
      </w:pPr>
    </w:lvl>
    <w:lvl w:ilvl="6" w:tplc="0415000F" w:tentative="1">
      <w:start w:val="1"/>
      <w:numFmt w:val="decimal"/>
      <w:lvlText w:val="%7."/>
      <w:lvlJc w:val="left"/>
      <w:pPr>
        <w:ind w:left="4168" w:hanging="360"/>
      </w:pPr>
    </w:lvl>
    <w:lvl w:ilvl="7" w:tplc="04150019" w:tentative="1">
      <w:start w:val="1"/>
      <w:numFmt w:val="lowerLetter"/>
      <w:lvlText w:val="%8."/>
      <w:lvlJc w:val="left"/>
      <w:pPr>
        <w:ind w:left="4888" w:hanging="360"/>
      </w:pPr>
    </w:lvl>
    <w:lvl w:ilvl="8" w:tplc="0415001B" w:tentative="1">
      <w:start w:val="1"/>
      <w:numFmt w:val="lowerRoman"/>
      <w:lvlText w:val="%9."/>
      <w:lvlJc w:val="right"/>
      <w:pPr>
        <w:ind w:left="5608" w:hanging="180"/>
      </w:pPr>
    </w:lvl>
  </w:abstractNum>
  <w:abstractNum w:abstractNumId="24">
    <w:nsid w:val="21586381"/>
    <w:multiLevelType w:val="hybridMultilevel"/>
    <w:tmpl w:val="B0BCA936"/>
    <w:lvl w:ilvl="0" w:tplc="0A7ECD4E">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222C3182"/>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22D63590"/>
    <w:multiLevelType w:val="hybridMultilevel"/>
    <w:tmpl w:val="C4207C06"/>
    <w:lvl w:ilvl="0" w:tplc="0415001B">
      <w:start w:val="1"/>
      <w:numFmt w:val="lowerRoman"/>
      <w:lvlText w:val="%1."/>
      <w:lvlJc w:val="righ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nsid w:val="243944AD"/>
    <w:multiLevelType w:val="hybridMultilevel"/>
    <w:tmpl w:val="C3C62244"/>
    <w:lvl w:ilvl="0" w:tplc="79563B10">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8DF3462"/>
    <w:multiLevelType w:val="hybridMultilevel"/>
    <w:tmpl w:val="ADC26E60"/>
    <w:lvl w:ilvl="0" w:tplc="41EA1C66">
      <w:start w:val="3"/>
      <w:numFmt w:val="decimal"/>
      <w:lvlText w:val="%1)"/>
      <w:lvlJc w:val="left"/>
      <w:pPr>
        <w:ind w:left="360" w:hanging="360"/>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29">
    <w:nsid w:val="29C11BC9"/>
    <w:multiLevelType w:val="hybridMultilevel"/>
    <w:tmpl w:val="94262362"/>
    <w:lvl w:ilvl="0" w:tplc="04150011">
      <w:start w:val="1"/>
      <w:numFmt w:val="decimal"/>
      <w:lvlText w:val="%1)"/>
      <w:lvlJc w:val="left"/>
      <w:pPr>
        <w:ind w:left="426" w:hanging="360"/>
      </w:pPr>
      <w:rPr>
        <w:rFonts w:hint="default"/>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BF7594F"/>
    <w:multiLevelType w:val="hybridMultilevel"/>
    <w:tmpl w:val="94262362"/>
    <w:lvl w:ilvl="0" w:tplc="04150011">
      <w:start w:val="1"/>
      <w:numFmt w:val="decimal"/>
      <w:lvlText w:val="%1)"/>
      <w:lvlJc w:val="left"/>
      <w:pPr>
        <w:ind w:left="426" w:hanging="360"/>
      </w:pPr>
      <w:rPr>
        <w:rFonts w:hint="default"/>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DBF2132"/>
    <w:multiLevelType w:val="hybridMultilevel"/>
    <w:tmpl w:val="BCF6C1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F5E640C"/>
    <w:multiLevelType w:val="hybridMultilevel"/>
    <w:tmpl w:val="C44AF7D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FC84DE2"/>
    <w:multiLevelType w:val="hybridMultilevel"/>
    <w:tmpl w:val="A3EE8324"/>
    <w:lvl w:ilvl="0" w:tplc="95D69BE4">
      <w:start w:val="1"/>
      <w:numFmt w:val="lowerRoman"/>
      <w:lvlText w:val="%1)"/>
      <w:lvlJc w:val="left"/>
      <w:pPr>
        <w:ind w:left="786" w:hanging="360"/>
      </w:pPr>
      <w:rPr>
        <w:rFonts w:ascii="Corbel" w:eastAsia="Calibri" w:hAnsi="Corbel" w:cs="Times New Roman"/>
        <w:b w:val="0"/>
        <w:i w:val="0"/>
      </w:rPr>
    </w:lvl>
    <w:lvl w:ilvl="1" w:tplc="04150019" w:tentative="1">
      <w:start w:val="1"/>
      <w:numFmt w:val="lowerLetter"/>
      <w:lvlText w:val="%2."/>
      <w:lvlJc w:val="left"/>
      <w:pPr>
        <w:ind w:left="426" w:hanging="360"/>
      </w:pPr>
    </w:lvl>
    <w:lvl w:ilvl="2" w:tplc="0415001B" w:tentative="1">
      <w:start w:val="1"/>
      <w:numFmt w:val="lowerRoman"/>
      <w:lvlText w:val="%3."/>
      <w:lvlJc w:val="right"/>
      <w:pPr>
        <w:ind w:left="1146" w:hanging="180"/>
      </w:pPr>
    </w:lvl>
    <w:lvl w:ilvl="3" w:tplc="0415000F" w:tentative="1">
      <w:start w:val="1"/>
      <w:numFmt w:val="decimal"/>
      <w:lvlText w:val="%4."/>
      <w:lvlJc w:val="left"/>
      <w:pPr>
        <w:ind w:left="1866" w:hanging="360"/>
      </w:pPr>
    </w:lvl>
    <w:lvl w:ilvl="4" w:tplc="04150019" w:tentative="1">
      <w:start w:val="1"/>
      <w:numFmt w:val="lowerLetter"/>
      <w:lvlText w:val="%5."/>
      <w:lvlJc w:val="left"/>
      <w:pPr>
        <w:ind w:left="2586" w:hanging="360"/>
      </w:pPr>
    </w:lvl>
    <w:lvl w:ilvl="5" w:tplc="0415001B" w:tentative="1">
      <w:start w:val="1"/>
      <w:numFmt w:val="lowerRoman"/>
      <w:lvlText w:val="%6."/>
      <w:lvlJc w:val="right"/>
      <w:pPr>
        <w:ind w:left="3306" w:hanging="180"/>
      </w:pPr>
    </w:lvl>
    <w:lvl w:ilvl="6" w:tplc="0415000F" w:tentative="1">
      <w:start w:val="1"/>
      <w:numFmt w:val="decimal"/>
      <w:lvlText w:val="%7."/>
      <w:lvlJc w:val="left"/>
      <w:pPr>
        <w:ind w:left="4026" w:hanging="360"/>
      </w:pPr>
    </w:lvl>
    <w:lvl w:ilvl="7" w:tplc="04150019" w:tentative="1">
      <w:start w:val="1"/>
      <w:numFmt w:val="lowerLetter"/>
      <w:lvlText w:val="%8."/>
      <w:lvlJc w:val="left"/>
      <w:pPr>
        <w:ind w:left="4746" w:hanging="360"/>
      </w:pPr>
    </w:lvl>
    <w:lvl w:ilvl="8" w:tplc="0415001B" w:tentative="1">
      <w:start w:val="1"/>
      <w:numFmt w:val="lowerRoman"/>
      <w:lvlText w:val="%9."/>
      <w:lvlJc w:val="right"/>
      <w:pPr>
        <w:ind w:left="5466" w:hanging="180"/>
      </w:pPr>
    </w:lvl>
  </w:abstractNum>
  <w:abstractNum w:abstractNumId="34">
    <w:nsid w:val="31431649"/>
    <w:multiLevelType w:val="hybridMultilevel"/>
    <w:tmpl w:val="7FB6109A"/>
    <w:lvl w:ilvl="0" w:tplc="04150011">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1C47B79"/>
    <w:multiLevelType w:val="multilevel"/>
    <w:tmpl w:val="80DA908A"/>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330B5D61"/>
    <w:multiLevelType w:val="hybridMultilevel"/>
    <w:tmpl w:val="C9EA9F20"/>
    <w:lvl w:ilvl="0" w:tplc="04150011">
      <w:start w:val="1"/>
      <w:numFmt w:val="decimal"/>
      <w:lvlText w:val="%1)"/>
      <w:lvlJc w:val="left"/>
      <w:pPr>
        <w:ind w:left="426" w:hanging="360"/>
      </w:pPr>
      <w:rPr>
        <w:rFonts w:hint="default"/>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7D179EE"/>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38D6369E"/>
    <w:multiLevelType w:val="singleLevel"/>
    <w:tmpl w:val="95708AFE"/>
    <w:lvl w:ilvl="0">
      <w:start w:val="1"/>
      <w:numFmt w:val="decimal"/>
      <w:lvlText w:val="%1)"/>
      <w:lvlJc w:val="left"/>
      <w:pPr>
        <w:ind w:left="720" w:hanging="360"/>
      </w:pPr>
      <w:rPr>
        <w:rFonts w:hint="default"/>
        <w:b w:val="0"/>
        <w:i w:val="0"/>
        <w:sz w:val="22"/>
        <w:szCs w:val="22"/>
      </w:rPr>
    </w:lvl>
  </w:abstractNum>
  <w:abstractNum w:abstractNumId="39">
    <w:nsid w:val="3C40280F"/>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3F032804"/>
    <w:multiLevelType w:val="hybridMultilevel"/>
    <w:tmpl w:val="23700482"/>
    <w:lvl w:ilvl="0" w:tplc="86B2FE2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43072ADD"/>
    <w:multiLevelType w:val="hybridMultilevel"/>
    <w:tmpl w:val="BF34D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3BE7FD0"/>
    <w:multiLevelType w:val="hybridMultilevel"/>
    <w:tmpl w:val="C9EA9F20"/>
    <w:lvl w:ilvl="0" w:tplc="04150011">
      <w:start w:val="1"/>
      <w:numFmt w:val="decimal"/>
      <w:lvlText w:val="%1)"/>
      <w:lvlJc w:val="left"/>
      <w:pPr>
        <w:ind w:left="426" w:hanging="360"/>
      </w:pPr>
      <w:rPr>
        <w:rFonts w:hint="default"/>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3CD5233"/>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44507500"/>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45853345"/>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458E24DC"/>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47206B3F"/>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479D151E"/>
    <w:multiLevelType w:val="hybridMultilevel"/>
    <w:tmpl w:val="6D84BDF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4BB643FD"/>
    <w:multiLevelType w:val="hybridMultilevel"/>
    <w:tmpl w:val="EFA4E808"/>
    <w:lvl w:ilvl="0" w:tplc="67E2A570">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4E000EC5"/>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4E600D0A"/>
    <w:multiLevelType w:val="hybridMultilevel"/>
    <w:tmpl w:val="94262362"/>
    <w:lvl w:ilvl="0" w:tplc="04150011">
      <w:start w:val="1"/>
      <w:numFmt w:val="decimal"/>
      <w:lvlText w:val="%1)"/>
      <w:lvlJc w:val="left"/>
      <w:pPr>
        <w:ind w:left="426" w:hanging="360"/>
      </w:pPr>
      <w:rPr>
        <w:rFonts w:hint="default"/>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ECB0B9C"/>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4FF6462F"/>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501801C8"/>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50662173"/>
    <w:multiLevelType w:val="hybridMultilevel"/>
    <w:tmpl w:val="CE0C455E"/>
    <w:lvl w:ilvl="0" w:tplc="BE623D7A">
      <w:start w:val="1"/>
      <w:numFmt w:val="decimal"/>
      <w:lvlText w:val="%1)"/>
      <w:lvlJc w:val="left"/>
      <w:pPr>
        <w:ind w:left="360" w:hanging="360"/>
      </w:pPr>
      <w:rPr>
        <w:rFonts w:hint="default"/>
        <w:b w:val="0"/>
        <w:color w:val="000000" w:themeColor="text1"/>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50C84D0C"/>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5299737E"/>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52B06F28"/>
    <w:multiLevelType w:val="hybridMultilevel"/>
    <w:tmpl w:val="61E61446"/>
    <w:lvl w:ilvl="0" w:tplc="04150011">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39A7BC3"/>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57481FC9"/>
    <w:multiLevelType w:val="hybridMultilevel"/>
    <w:tmpl w:val="E9BA30A4"/>
    <w:lvl w:ilvl="0" w:tplc="64AA4FEE">
      <w:start w:val="1"/>
      <w:numFmt w:val="lowerRoman"/>
      <w:lvlText w:val="%1)"/>
      <w:lvlJc w:val="left"/>
      <w:pPr>
        <w:ind w:left="644" w:hanging="360"/>
      </w:pPr>
      <w:rPr>
        <w:rFonts w:asciiTheme="minorHAnsi" w:eastAsiaTheme="minorHAnsi" w:hAnsiTheme="minorHAnsi" w:cstheme="minorBidi"/>
        <w:b w:val="0"/>
        <w:i w:val="0"/>
      </w:rPr>
    </w:lvl>
    <w:lvl w:ilvl="1" w:tplc="04150019" w:tentative="1">
      <w:start w:val="1"/>
      <w:numFmt w:val="lowerLetter"/>
      <w:lvlText w:val="%2."/>
      <w:lvlJc w:val="left"/>
      <w:pPr>
        <w:ind w:left="284" w:hanging="360"/>
      </w:pPr>
    </w:lvl>
    <w:lvl w:ilvl="2" w:tplc="0415001B" w:tentative="1">
      <w:start w:val="1"/>
      <w:numFmt w:val="lowerRoman"/>
      <w:lvlText w:val="%3."/>
      <w:lvlJc w:val="right"/>
      <w:pPr>
        <w:ind w:left="1004" w:hanging="180"/>
      </w:pPr>
    </w:lvl>
    <w:lvl w:ilvl="3" w:tplc="0415000F" w:tentative="1">
      <w:start w:val="1"/>
      <w:numFmt w:val="decimal"/>
      <w:lvlText w:val="%4."/>
      <w:lvlJc w:val="left"/>
      <w:pPr>
        <w:ind w:left="1724" w:hanging="360"/>
      </w:pPr>
    </w:lvl>
    <w:lvl w:ilvl="4" w:tplc="04150019" w:tentative="1">
      <w:start w:val="1"/>
      <w:numFmt w:val="lowerLetter"/>
      <w:lvlText w:val="%5."/>
      <w:lvlJc w:val="left"/>
      <w:pPr>
        <w:ind w:left="2444" w:hanging="360"/>
      </w:pPr>
    </w:lvl>
    <w:lvl w:ilvl="5" w:tplc="0415001B" w:tentative="1">
      <w:start w:val="1"/>
      <w:numFmt w:val="lowerRoman"/>
      <w:lvlText w:val="%6."/>
      <w:lvlJc w:val="right"/>
      <w:pPr>
        <w:ind w:left="3164" w:hanging="180"/>
      </w:pPr>
    </w:lvl>
    <w:lvl w:ilvl="6" w:tplc="0415000F" w:tentative="1">
      <w:start w:val="1"/>
      <w:numFmt w:val="decimal"/>
      <w:lvlText w:val="%7."/>
      <w:lvlJc w:val="left"/>
      <w:pPr>
        <w:ind w:left="3884" w:hanging="360"/>
      </w:pPr>
    </w:lvl>
    <w:lvl w:ilvl="7" w:tplc="04150019" w:tentative="1">
      <w:start w:val="1"/>
      <w:numFmt w:val="lowerLetter"/>
      <w:lvlText w:val="%8."/>
      <w:lvlJc w:val="left"/>
      <w:pPr>
        <w:ind w:left="4604" w:hanging="360"/>
      </w:pPr>
    </w:lvl>
    <w:lvl w:ilvl="8" w:tplc="0415001B" w:tentative="1">
      <w:start w:val="1"/>
      <w:numFmt w:val="lowerRoman"/>
      <w:lvlText w:val="%9."/>
      <w:lvlJc w:val="right"/>
      <w:pPr>
        <w:ind w:left="5324" w:hanging="180"/>
      </w:pPr>
    </w:lvl>
  </w:abstractNum>
  <w:abstractNum w:abstractNumId="61">
    <w:nsid w:val="59D16F0C"/>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5AB777F6"/>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5BC567A1"/>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5BE76AA8"/>
    <w:multiLevelType w:val="hybridMultilevel"/>
    <w:tmpl w:val="9384B6E8"/>
    <w:lvl w:ilvl="0" w:tplc="6144F7D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C462EB9"/>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5DDF6D4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nsid w:val="5EF6555B"/>
    <w:multiLevelType w:val="hybridMultilevel"/>
    <w:tmpl w:val="9156F3FA"/>
    <w:lvl w:ilvl="0" w:tplc="852A32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F2F5A53"/>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60D522DD"/>
    <w:multiLevelType w:val="hybridMultilevel"/>
    <w:tmpl w:val="C9EA9F20"/>
    <w:lvl w:ilvl="0" w:tplc="04150011">
      <w:start w:val="1"/>
      <w:numFmt w:val="decimal"/>
      <w:lvlText w:val="%1)"/>
      <w:lvlJc w:val="left"/>
      <w:pPr>
        <w:ind w:left="426" w:hanging="360"/>
      </w:pPr>
      <w:rPr>
        <w:rFonts w:hint="default"/>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1821309"/>
    <w:multiLevelType w:val="hybridMultilevel"/>
    <w:tmpl w:val="EE861032"/>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1">
    <w:nsid w:val="63FB676C"/>
    <w:multiLevelType w:val="multilevel"/>
    <w:tmpl w:val="ADF2996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1287"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nsid w:val="641D73A2"/>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nsid w:val="657E6C2C"/>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6767398C"/>
    <w:multiLevelType w:val="hybridMultilevel"/>
    <w:tmpl w:val="E8F6DF8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5">
    <w:nsid w:val="683169FF"/>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695A6882"/>
    <w:multiLevelType w:val="hybridMultilevel"/>
    <w:tmpl w:val="7F2E6B74"/>
    <w:lvl w:ilvl="0" w:tplc="A7C6DA3C">
      <w:start w:val="1"/>
      <w:numFmt w:val="decimal"/>
      <w:lvlText w:val="%1)"/>
      <w:lvlJc w:val="left"/>
      <w:pPr>
        <w:tabs>
          <w:tab w:val="num" w:pos="403"/>
        </w:tabs>
        <w:ind w:left="403" w:hanging="403"/>
      </w:pPr>
      <w:rPr>
        <w:rFonts w:ascii="Arial" w:hAnsi="Arial" w:cs="Arial" w:hint="default"/>
      </w:rPr>
    </w:lvl>
    <w:lvl w:ilvl="1" w:tplc="04150019">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696E5D9B"/>
    <w:multiLevelType w:val="hybridMultilevel"/>
    <w:tmpl w:val="8D7079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9E83133"/>
    <w:multiLevelType w:val="multilevel"/>
    <w:tmpl w:val="D2BC3306"/>
    <w:lvl w:ilvl="0">
      <w:start w:val="4"/>
      <w:numFmt w:val="decimal"/>
      <w:lvlText w:val="%1."/>
      <w:lvlJc w:val="left"/>
      <w:pPr>
        <w:ind w:left="720" w:hanging="360"/>
      </w:pPr>
      <w:rPr>
        <w:rFonts w:hint="default"/>
      </w:rPr>
    </w:lvl>
    <w:lvl w:ilvl="1">
      <w:start w:val="4"/>
      <w:numFmt w:val="decimal"/>
      <w:isLgl/>
      <w:lvlText w:val="%1.%2"/>
      <w:lvlJc w:val="left"/>
      <w:pPr>
        <w:ind w:left="1004" w:hanging="720"/>
      </w:pPr>
      <w:rPr>
        <w:rFonts w:hint="default"/>
        <w:color w:val="auto"/>
      </w:rPr>
    </w:lvl>
    <w:lvl w:ilvl="2">
      <w:start w:val="1"/>
      <w:numFmt w:val="decimal"/>
      <w:isLgl/>
      <w:lvlText w:val="%1.%2.%3"/>
      <w:lvlJc w:val="left"/>
      <w:pPr>
        <w:ind w:left="1287"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9">
    <w:nsid w:val="6AC377D6"/>
    <w:multiLevelType w:val="multilevel"/>
    <w:tmpl w:val="183AF29C"/>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0">
    <w:nsid w:val="6B684C12"/>
    <w:multiLevelType w:val="hybridMultilevel"/>
    <w:tmpl w:val="94262362"/>
    <w:lvl w:ilvl="0" w:tplc="04150011">
      <w:start w:val="1"/>
      <w:numFmt w:val="decimal"/>
      <w:lvlText w:val="%1)"/>
      <w:lvlJc w:val="left"/>
      <w:pPr>
        <w:ind w:left="426" w:hanging="360"/>
      </w:pPr>
      <w:rPr>
        <w:rFonts w:hint="default"/>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B91556C"/>
    <w:multiLevelType w:val="hybridMultilevel"/>
    <w:tmpl w:val="B5AAABC2"/>
    <w:lvl w:ilvl="0" w:tplc="FB8CBAF4">
      <w:start w:val="2"/>
      <w:numFmt w:val="lowerRoman"/>
      <w:lvlText w:val="%1)"/>
      <w:lvlJc w:val="left"/>
      <w:pPr>
        <w:ind w:left="502" w:hanging="360"/>
      </w:pPr>
      <w:rPr>
        <w:rFonts w:ascii="Corbel" w:eastAsia="Calibri" w:hAnsi="Corbel"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B987E75"/>
    <w:multiLevelType w:val="hybridMultilevel"/>
    <w:tmpl w:val="235CFED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6BB966F7"/>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nsid w:val="6BC9578D"/>
    <w:multiLevelType w:val="multilevel"/>
    <w:tmpl w:val="80DA908A"/>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5">
    <w:nsid w:val="6CB11F59"/>
    <w:multiLevelType w:val="hybridMultilevel"/>
    <w:tmpl w:val="94262362"/>
    <w:lvl w:ilvl="0" w:tplc="04150011">
      <w:start w:val="1"/>
      <w:numFmt w:val="decimal"/>
      <w:lvlText w:val="%1)"/>
      <w:lvlJc w:val="left"/>
      <w:pPr>
        <w:ind w:left="426" w:hanging="360"/>
      </w:pPr>
      <w:rPr>
        <w:rFonts w:hint="default"/>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D32587F"/>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nsid w:val="6D78696E"/>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nsid w:val="6E33697F"/>
    <w:multiLevelType w:val="multilevel"/>
    <w:tmpl w:val="BBFC587C"/>
    <w:lvl w:ilvl="0">
      <w:start w:val="1"/>
      <w:numFmt w:val="decimal"/>
      <w:lvlText w:val="%1)"/>
      <w:lvlJc w:val="left"/>
      <w:pPr>
        <w:ind w:left="502" w:hanging="360"/>
      </w:pPr>
      <w:rPr>
        <w:rFonts w:hint="default"/>
        <w:i w:val="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89">
    <w:nsid w:val="70AA0171"/>
    <w:multiLevelType w:val="singleLevel"/>
    <w:tmpl w:val="B55C40E8"/>
    <w:lvl w:ilvl="0">
      <w:start w:val="1"/>
      <w:numFmt w:val="decimal"/>
      <w:lvlText w:val="%1)"/>
      <w:lvlJc w:val="left"/>
      <w:pPr>
        <w:tabs>
          <w:tab w:val="num" w:pos="405"/>
        </w:tabs>
        <w:ind w:left="405" w:hanging="405"/>
      </w:pPr>
      <w:rPr>
        <w:rFonts w:ascii="Arial" w:hAnsi="Arial" w:cs="Arial" w:hint="default"/>
        <w:sz w:val="22"/>
        <w:szCs w:val="22"/>
      </w:rPr>
    </w:lvl>
  </w:abstractNum>
  <w:abstractNum w:abstractNumId="9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nsid w:val="72E91D11"/>
    <w:multiLevelType w:val="hybridMultilevel"/>
    <w:tmpl w:val="9156F3FA"/>
    <w:lvl w:ilvl="0" w:tplc="852A32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4541BF8"/>
    <w:multiLevelType w:val="hybridMultilevel"/>
    <w:tmpl w:val="D4C41CEE"/>
    <w:lvl w:ilvl="0" w:tplc="86B2FE2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745B232E"/>
    <w:multiLevelType w:val="hybridMultilevel"/>
    <w:tmpl w:val="B9ACA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73C0D9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nsid w:val="77B950DB"/>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nsid w:val="79F91A27"/>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nsid w:val="7ABD06A6"/>
    <w:multiLevelType w:val="hybridMultilevel"/>
    <w:tmpl w:val="666E00D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nsid w:val="7AF556C2"/>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nsid w:val="7C407D96"/>
    <w:multiLevelType w:val="hybridMultilevel"/>
    <w:tmpl w:val="95B49352"/>
    <w:lvl w:ilvl="0" w:tplc="41EA1C66">
      <w:start w:val="3"/>
      <w:numFmt w:val="decimal"/>
      <w:lvlText w:val="%1)"/>
      <w:lvlJc w:val="left"/>
      <w:pPr>
        <w:ind w:left="360" w:hanging="360"/>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00">
    <w:nsid w:val="7CE353B7"/>
    <w:multiLevelType w:val="hybridMultilevel"/>
    <w:tmpl w:val="95B49352"/>
    <w:lvl w:ilvl="0" w:tplc="41EA1C66">
      <w:start w:val="3"/>
      <w:numFmt w:val="decimal"/>
      <w:lvlText w:val="%1)"/>
      <w:lvlJc w:val="left"/>
      <w:pPr>
        <w:ind w:left="360" w:hanging="360"/>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01">
    <w:nsid w:val="7D213BAA"/>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nsid w:val="7D6E38AC"/>
    <w:multiLevelType w:val="hybridMultilevel"/>
    <w:tmpl w:val="C4207C06"/>
    <w:lvl w:ilvl="0" w:tplc="0415001B">
      <w:start w:val="1"/>
      <w:numFmt w:val="lowerRoman"/>
      <w:lvlText w:val="%1."/>
      <w:lvlJc w:val="righ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3">
    <w:nsid w:val="7DEB6C97"/>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71"/>
  </w:num>
  <w:num w:numId="2">
    <w:abstractNumId w:val="48"/>
  </w:num>
  <w:num w:numId="3">
    <w:abstractNumId w:val="90"/>
  </w:num>
  <w:num w:numId="4">
    <w:abstractNumId w:val="89"/>
  </w:num>
  <w:num w:numId="5">
    <w:abstractNumId w:val="73"/>
  </w:num>
  <w:num w:numId="6">
    <w:abstractNumId w:val="94"/>
  </w:num>
  <w:num w:numId="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88"/>
  </w:num>
  <w:num w:numId="11">
    <w:abstractNumId w:val="66"/>
  </w:num>
  <w:num w:numId="12">
    <w:abstractNumId w:val="86"/>
  </w:num>
  <w:num w:numId="13">
    <w:abstractNumId w:val="65"/>
  </w:num>
  <w:num w:numId="14">
    <w:abstractNumId w:val="61"/>
  </w:num>
  <w:num w:numId="15">
    <w:abstractNumId w:val="103"/>
  </w:num>
  <w:num w:numId="1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84"/>
  </w:num>
  <w:num w:numId="19">
    <w:abstractNumId w:val="63"/>
  </w:num>
  <w:num w:numId="20">
    <w:abstractNumId w:val="37"/>
  </w:num>
  <w:num w:numId="21">
    <w:abstractNumId w:val="72"/>
  </w:num>
  <w:num w:numId="22">
    <w:abstractNumId w:val="18"/>
  </w:num>
  <w:num w:numId="23">
    <w:abstractNumId w:val="44"/>
  </w:num>
  <w:num w:numId="24">
    <w:abstractNumId w:val="79"/>
  </w:num>
  <w:num w:numId="25">
    <w:abstractNumId w:val="60"/>
  </w:num>
  <w:num w:numId="26">
    <w:abstractNumId w:val="23"/>
  </w:num>
  <w:num w:numId="27">
    <w:abstractNumId w:val="95"/>
  </w:num>
  <w:num w:numId="28">
    <w:abstractNumId w:val="4"/>
  </w:num>
  <w:num w:numId="29">
    <w:abstractNumId w:val="25"/>
  </w:num>
  <w:num w:numId="30">
    <w:abstractNumId w:val="58"/>
  </w:num>
  <w:num w:numId="31">
    <w:abstractNumId w:val="53"/>
  </w:num>
  <w:num w:numId="32">
    <w:abstractNumId w:val="92"/>
  </w:num>
  <w:num w:numId="33">
    <w:abstractNumId w:val="15"/>
  </w:num>
  <w:num w:numId="34">
    <w:abstractNumId w:val="19"/>
  </w:num>
  <w:num w:numId="35">
    <w:abstractNumId w:val="59"/>
  </w:num>
  <w:num w:numId="36">
    <w:abstractNumId w:val="77"/>
  </w:num>
  <w:num w:numId="37">
    <w:abstractNumId w:val="34"/>
  </w:num>
  <w:num w:numId="38">
    <w:abstractNumId w:val="7"/>
  </w:num>
  <w:num w:numId="39">
    <w:abstractNumId w:val="32"/>
  </w:num>
  <w:num w:numId="40">
    <w:abstractNumId w:val="64"/>
  </w:num>
  <w:num w:numId="41">
    <w:abstractNumId w:val="40"/>
  </w:num>
  <w:num w:numId="42">
    <w:abstractNumId w:val="13"/>
  </w:num>
  <w:num w:numId="43">
    <w:abstractNumId w:val="27"/>
  </w:num>
  <w:num w:numId="44">
    <w:abstractNumId w:val="9"/>
  </w:num>
  <w:num w:numId="45">
    <w:abstractNumId w:val="70"/>
  </w:num>
  <w:num w:numId="46">
    <w:abstractNumId w:val="35"/>
  </w:num>
  <w:num w:numId="47">
    <w:abstractNumId w:val="43"/>
  </w:num>
  <w:num w:numId="48">
    <w:abstractNumId w:val="33"/>
  </w:num>
  <w:num w:numId="49">
    <w:abstractNumId w:val="41"/>
  </w:num>
  <w:num w:numId="50">
    <w:abstractNumId w:val="81"/>
  </w:num>
  <w:num w:numId="51">
    <w:abstractNumId w:val="100"/>
  </w:num>
  <w:num w:numId="52">
    <w:abstractNumId w:val="80"/>
  </w:num>
  <w:num w:numId="53">
    <w:abstractNumId w:val="24"/>
  </w:num>
  <w:num w:numId="54">
    <w:abstractNumId w:val="31"/>
  </w:num>
  <w:num w:numId="55">
    <w:abstractNumId w:val="67"/>
  </w:num>
  <w:num w:numId="56">
    <w:abstractNumId w:val="99"/>
  </w:num>
  <w:num w:numId="57">
    <w:abstractNumId w:val="51"/>
  </w:num>
  <w:num w:numId="58">
    <w:abstractNumId w:val="6"/>
  </w:num>
  <w:num w:numId="59">
    <w:abstractNumId w:val="30"/>
  </w:num>
  <w:num w:numId="60">
    <w:abstractNumId w:val="20"/>
  </w:num>
  <w:num w:numId="61">
    <w:abstractNumId w:val="101"/>
  </w:num>
  <w:num w:numId="62">
    <w:abstractNumId w:val="98"/>
  </w:num>
  <w:num w:numId="63">
    <w:abstractNumId w:val="22"/>
  </w:num>
  <w:num w:numId="64">
    <w:abstractNumId w:val="83"/>
  </w:num>
  <w:num w:numId="65">
    <w:abstractNumId w:val="47"/>
  </w:num>
  <w:num w:numId="66">
    <w:abstractNumId w:val="8"/>
  </w:num>
  <w:num w:numId="67">
    <w:abstractNumId w:val="2"/>
  </w:num>
  <w:num w:numId="68">
    <w:abstractNumId w:val="54"/>
  </w:num>
  <w:num w:numId="69">
    <w:abstractNumId w:val="11"/>
  </w:num>
  <w:num w:numId="70">
    <w:abstractNumId w:val="16"/>
  </w:num>
  <w:num w:numId="71">
    <w:abstractNumId w:val="36"/>
  </w:num>
  <w:num w:numId="72">
    <w:abstractNumId w:val="10"/>
  </w:num>
  <w:num w:numId="73">
    <w:abstractNumId w:val="5"/>
  </w:num>
  <w:num w:numId="74">
    <w:abstractNumId w:val="91"/>
  </w:num>
  <w:num w:numId="75">
    <w:abstractNumId w:val="28"/>
  </w:num>
  <w:num w:numId="76">
    <w:abstractNumId w:val="29"/>
  </w:num>
  <w:num w:numId="77">
    <w:abstractNumId w:val="21"/>
  </w:num>
  <w:num w:numId="78">
    <w:abstractNumId w:val="93"/>
  </w:num>
  <w:num w:numId="79">
    <w:abstractNumId w:val="17"/>
  </w:num>
  <w:num w:numId="80">
    <w:abstractNumId w:val="68"/>
  </w:num>
  <w:num w:numId="81">
    <w:abstractNumId w:val="45"/>
  </w:num>
  <w:num w:numId="82">
    <w:abstractNumId w:val="57"/>
  </w:num>
  <w:num w:numId="83">
    <w:abstractNumId w:val="50"/>
  </w:num>
  <w:num w:numId="84">
    <w:abstractNumId w:val="46"/>
  </w:num>
  <w:num w:numId="85">
    <w:abstractNumId w:val="62"/>
  </w:num>
  <w:num w:numId="86">
    <w:abstractNumId w:val="52"/>
  </w:num>
  <w:num w:numId="87">
    <w:abstractNumId w:val="74"/>
  </w:num>
  <w:num w:numId="88">
    <w:abstractNumId w:val="97"/>
  </w:num>
  <w:num w:numId="89">
    <w:abstractNumId w:val="55"/>
  </w:num>
  <w:num w:numId="90">
    <w:abstractNumId w:val="82"/>
  </w:num>
  <w:num w:numId="91">
    <w:abstractNumId w:val="12"/>
  </w:num>
  <w:num w:numId="92">
    <w:abstractNumId w:val="3"/>
  </w:num>
  <w:num w:numId="93">
    <w:abstractNumId w:val="56"/>
  </w:num>
  <w:num w:numId="94">
    <w:abstractNumId w:val="0"/>
  </w:num>
  <w:num w:numId="95">
    <w:abstractNumId w:val="1"/>
  </w:num>
  <w:num w:numId="96">
    <w:abstractNumId w:val="26"/>
  </w:num>
  <w:num w:numId="97">
    <w:abstractNumId w:val="39"/>
  </w:num>
  <w:num w:numId="98">
    <w:abstractNumId w:val="96"/>
  </w:num>
  <w:num w:numId="99">
    <w:abstractNumId w:val="75"/>
  </w:num>
  <w:num w:numId="100">
    <w:abstractNumId w:val="102"/>
  </w:num>
  <w:num w:numId="101">
    <w:abstractNumId w:val="69"/>
  </w:num>
  <w:num w:numId="102">
    <w:abstractNumId w:val="78"/>
  </w:num>
  <w:num w:numId="103">
    <w:abstractNumId w:val="85"/>
  </w:num>
  <w:num w:numId="104">
    <w:abstractNumId w:val="4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documentProtection w:edit="readOnly"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9A"/>
    <w:rsid w:val="0000063F"/>
    <w:rsid w:val="000014A4"/>
    <w:rsid w:val="000016A6"/>
    <w:rsid w:val="00001873"/>
    <w:rsid w:val="00002167"/>
    <w:rsid w:val="00002598"/>
    <w:rsid w:val="00003683"/>
    <w:rsid w:val="00003731"/>
    <w:rsid w:val="00003E0A"/>
    <w:rsid w:val="00003F5C"/>
    <w:rsid w:val="00005009"/>
    <w:rsid w:val="00005A52"/>
    <w:rsid w:val="000065C1"/>
    <w:rsid w:val="000070D2"/>
    <w:rsid w:val="0000716C"/>
    <w:rsid w:val="000073B8"/>
    <w:rsid w:val="00007CB4"/>
    <w:rsid w:val="00010292"/>
    <w:rsid w:val="00010581"/>
    <w:rsid w:val="00011AF8"/>
    <w:rsid w:val="00011FDB"/>
    <w:rsid w:val="00012B6B"/>
    <w:rsid w:val="0001346A"/>
    <w:rsid w:val="00013639"/>
    <w:rsid w:val="000145B4"/>
    <w:rsid w:val="00014F16"/>
    <w:rsid w:val="000152DE"/>
    <w:rsid w:val="00016FFB"/>
    <w:rsid w:val="00020158"/>
    <w:rsid w:val="000201CD"/>
    <w:rsid w:val="00021CD4"/>
    <w:rsid w:val="00022735"/>
    <w:rsid w:val="0002293C"/>
    <w:rsid w:val="00022BD8"/>
    <w:rsid w:val="00022C0D"/>
    <w:rsid w:val="0002398A"/>
    <w:rsid w:val="00024087"/>
    <w:rsid w:val="00024657"/>
    <w:rsid w:val="000246C0"/>
    <w:rsid w:val="000259C0"/>
    <w:rsid w:val="000302E5"/>
    <w:rsid w:val="0003090B"/>
    <w:rsid w:val="00030FC9"/>
    <w:rsid w:val="0003137D"/>
    <w:rsid w:val="000325A3"/>
    <w:rsid w:val="00032714"/>
    <w:rsid w:val="00032F2E"/>
    <w:rsid w:val="0003302C"/>
    <w:rsid w:val="000337E1"/>
    <w:rsid w:val="00033C45"/>
    <w:rsid w:val="00033FD4"/>
    <w:rsid w:val="00034FB2"/>
    <w:rsid w:val="00036003"/>
    <w:rsid w:val="0003694F"/>
    <w:rsid w:val="00037054"/>
    <w:rsid w:val="000379CA"/>
    <w:rsid w:val="00037A99"/>
    <w:rsid w:val="00037BC9"/>
    <w:rsid w:val="00040C25"/>
    <w:rsid w:val="000410BF"/>
    <w:rsid w:val="00042EE0"/>
    <w:rsid w:val="00043E8A"/>
    <w:rsid w:val="00044603"/>
    <w:rsid w:val="00045401"/>
    <w:rsid w:val="000456F0"/>
    <w:rsid w:val="00045D7E"/>
    <w:rsid w:val="000475A0"/>
    <w:rsid w:val="0004784F"/>
    <w:rsid w:val="00050247"/>
    <w:rsid w:val="000509B4"/>
    <w:rsid w:val="000521D0"/>
    <w:rsid w:val="000529F6"/>
    <w:rsid w:val="00053156"/>
    <w:rsid w:val="00053198"/>
    <w:rsid w:val="00053E19"/>
    <w:rsid w:val="000541BD"/>
    <w:rsid w:val="0005470F"/>
    <w:rsid w:val="00054989"/>
    <w:rsid w:val="00054DB0"/>
    <w:rsid w:val="0005508B"/>
    <w:rsid w:val="000554C7"/>
    <w:rsid w:val="000559C6"/>
    <w:rsid w:val="00057155"/>
    <w:rsid w:val="00057BA3"/>
    <w:rsid w:val="000604FC"/>
    <w:rsid w:val="00061EF4"/>
    <w:rsid w:val="00064173"/>
    <w:rsid w:val="0006445D"/>
    <w:rsid w:val="00064AA9"/>
    <w:rsid w:val="000650D0"/>
    <w:rsid w:val="00065C4D"/>
    <w:rsid w:val="0006631E"/>
    <w:rsid w:val="000713B9"/>
    <w:rsid w:val="00071740"/>
    <w:rsid w:val="00071F62"/>
    <w:rsid w:val="00072143"/>
    <w:rsid w:val="0007341D"/>
    <w:rsid w:val="00073686"/>
    <w:rsid w:val="000741CC"/>
    <w:rsid w:val="00074FD4"/>
    <w:rsid w:val="000750B1"/>
    <w:rsid w:val="00075F9D"/>
    <w:rsid w:val="00076071"/>
    <w:rsid w:val="00076237"/>
    <w:rsid w:val="000763E4"/>
    <w:rsid w:val="00076531"/>
    <w:rsid w:val="000769D3"/>
    <w:rsid w:val="00076E6D"/>
    <w:rsid w:val="0007708D"/>
    <w:rsid w:val="0007766E"/>
    <w:rsid w:val="00077774"/>
    <w:rsid w:val="00077862"/>
    <w:rsid w:val="00080A0C"/>
    <w:rsid w:val="0008106A"/>
    <w:rsid w:val="00081D98"/>
    <w:rsid w:val="000833F8"/>
    <w:rsid w:val="00083AA2"/>
    <w:rsid w:val="0008407A"/>
    <w:rsid w:val="0008520B"/>
    <w:rsid w:val="00085488"/>
    <w:rsid w:val="000854EB"/>
    <w:rsid w:val="00085868"/>
    <w:rsid w:val="00086E2C"/>
    <w:rsid w:val="00087209"/>
    <w:rsid w:val="00087B26"/>
    <w:rsid w:val="000906F5"/>
    <w:rsid w:val="00090762"/>
    <w:rsid w:val="00090795"/>
    <w:rsid w:val="00090C88"/>
    <w:rsid w:val="00090E32"/>
    <w:rsid w:val="00091A7E"/>
    <w:rsid w:val="00091F70"/>
    <w:rsid w:val="0009210F"/>
    <w:rsid w:val="00092351"/>
    <w:rsid w:val="00092D65"/>
    <w:rsid w:val="00094895"/>
    <w:rsid w:val="0009597A"/>
    <w:rsid w:val="0009597E"/>
    <w:rsid w:val="00095A2D"/>
    <w:rsid w:val="00095D7C"/>
    <w:rsid w:val="00096EEF"/>
    <w:rsid w:val="00097B59"/>
    <w:rsid w:val="000A0499"/>
    <w:rsid w:val="000A0535"/>
    <w:rsid w:val="000A2712"/>
    <w:rsid w:val="000A2A22"/>
    <w:rsid w:val="000A2EED"/>
    <w:rsid w:val="000A3879"/>
    <w:rsid w:val="000A3D3D"/>
    <w:rsid w:val="000A3FAE"/>
    <w:rsid w:val="000A5790"/>
    <w:rsid w:val="000A6538"/>
    <w:rsid w:val="000A6BEF"/>
    <w:rsid w:val="000A70EB"/>
    <w:rsid w:val="000A7900"/>
    <w:rsid w:val="000B0575"/>
    <w:rsid w:val="000B0E38"/>
    <w:rsid w:val="000B12E7"/>
    <w:rsid w:val="000B1361"/>
    <w:rsid w:val="000B3BAE"/>
    <w:rsid w:val="000B4656"/>
    <w:rsid w:val="000B5657"/>
    <w:rsid w:val="000B5768"/>
    <w:rsid w:val="000B5D01"/>
    <w:rsid w:val="000B655A"/>
    <w:rsid w:val="000B6928"/>
    <w:rsid w:val="000B6D26"/>
    <w:rsid w:val="000B7397"/>
    <w:rsid w:val="000B768C"/>
    <w:rsid w:val="000B76BC"/>
    <w:rsid w:val="000C0132"/>
    <w:rsid w:val="000C0EAB"/>
    <w:rsid w:val="000C13DB"/>
    <w:rsid w:val="000C19C0"/>
    <w:rsid w:val="000C1A98"/>
    <w:rsid w:val="000C2827"/>
    <w:rsid w:val="000C2C01"/>
    <w:rsid w:val="000C3534"/>
    <w:rsid w:val="000C4F74"/>
    <w:rsid w:val="000C548C"/>
    <w:rsid w:val="000C6255"/>
    <w:rsid w:val="000C73CA"/>
    <w:rsid w:val="000D0034"/>
    <w:rsid w:val="000D0300"/>
    <w:rsid w:val="000D066D"/>
    <w:rsid w:val="000D08A5"/>
    <w:rsid w:val="000D1C63"/>
    <w:rsid w:val="000D1E84"/>
    <w:rsid w:val="000D28C8"/>
    <w:rsid w:val="000D309A"/>
    <w:rsid w:val="000D406D"/>
    <w:rsid w:val="000D419C"/>
    <w:rsid w:val="000D4B02"/>
    <w:rsid w:val="000D5644"/>
    <w:rsid w:val="000D5876"/>
    <w:rsid w:val="000D7515"/>
    <w:rsid w:val="000D79AE"/>
    <w:rsid w:val="000D7FC0"/>
    <w:rsid w:val="000E0615"/>
    <w:rsid w:val="000E1269"/>
    <w:rsid w:val="000E1626"/>
    <w:rsid w:val="000E16BE"/>
    <w:rsid w:val="000E3421"/>
    <w:rsid w:val="000E3AAB"/>
    <w:rsid w:val="000E3FA5"/>
    <w:rsid w:val="000E41DA"/>
    <w:rsid w:val="000E4225"/>
    <w:rsid w:val="000E48AD"/>
    <w:rsid w:val="000E4CE8"/>
    <w:rsid w:val="000E529C"/>
    <w:rsid w:val="000E57F6"/>
    <w:rsid w:val="000E5829"/>
    <w:rsid w:val="000E5D72"/>
    <w:rsid w:val="000E5F42"/>
    <w:rsid w:val="000E71DB"/>
    <w:rsid w:val="000E7546"/>
    <w:rsid w:val="000F215F"/>
    <w:rsid w:val="000F289A"/>
    <w:rsid w:val="000F4AF4"/>
    <w:rsid w:val="000F505C"/>
    <w:rsid w:val="000F6033"/>
    <w:rsid w:val="000F634A"/>
    <w:rsid w:val="000F6550"/>
    <w:rsid w:val="000F6788"/>
    <w:rsid w:val="000F6F91"/>
    <w:rsid w:val="000F7D49"/>
    <w:rsid w:val="001002AE"/>
    <w:rsid w:val="001008EC"/>
    <w:rsid w:val="00102499"/>
    <w:rsid w:val="00103A27"/>
    <w:rsid w:val="00103AA7"/>
    <w:rsid w:val="00103D76"/>
    <w:rsid w:val="00104059"/>
    <w:rsid w:val="00104230"/>
    <w:rsid w:val="0010462C"/>
    <w:rsid w:val="0010465C"/>
    <w:rsid w:val="00105308"/>
    <w:rsid w:val="00105C17"/>
    <w:rsid w:val="00105D2D"/>
    <w:rsid w:val="001101A3"/>
    <w:rsid w:val="00111628"/>
    <w:rsid w:val="0011522A"/>
    <w:rsid w:val="00115D70"/>
    <w:rsid w:val="00116078"/>
    <w:rsid w:val="001163F6"/>
    <w:rsid w:val="0011664B"/>
    <w:rsid w:val="001175BA"/>
    <w:rsid w:val="00117841"/>
    <w:rsid w:val="00120A47"/>
    <w:rsid w:val="001216B1"/>
    <w:rsid w:val="001227E2"/>
    <w:rsid w:val="00122D3D"/>
    <w:rsid w:val="00124D15"/>
    <w:rsid w:val="00125362"/>
    <w:rsid w:val="001261EB"/>
    <w:rsid w:val="00126CBB"/>
    <w:rsid w:val="00126CDA"/>
    <w:rsid w:val="00127010"/>
    <w:rsid w:val="001275BF"/>
    <w:rsid w:val="001279E4"/>
    <w:rsid w:val="00130C06"/>
    <w:rsid w:val="00130DBE"/>
    <w:rsid w:val="0013274B"/>
    <w:rsid w:val="00132869"/>
    <w:rsid w:val="00132BE3"/>
    <w:rsid w:val="00134061"/>
    <w:rsid w:val="00135077"/>
    <w:rsid w:val="001359B7"/>
    <w:rsid w:val="00136638"/>
    <w:rsid w:val="00136A4C"/>
    <w:rsid w:val="00137BBF"/>
    <w:rsid w:val="00137BC9"/>
    <w:rsid w:val="00140537"/>
    <w:rsid w:val="00140E9C"/>
    <w:rsid w:val="0014122D"/>
    <w:rsid w:val="001424A1"/>
    <w:rsid w:val="00142D92"/>
    <w:rsid w:val="00142E02"/>
    <w:rsid w:val="001430DE"/>
    <w:rsid w:val="001439C2"/>
    <w:rsid w:val="00146312"/>
    <w:rsid w:val="001476E2"/>
    <w:rsid w:val="00150EC2"/>
    <w:rsid w:val="001512EB"/>
    <w:rsid w:val="0015171E"/>
    <w:rsid w:val="0015194D"/>
    <w:rsid w:val="00151E60"/>
    <w:rsid w:val="00152923"/>
    <w:rsid w:val="00153B01"/>
    <w:rsid w:val="00154FC6"/>
    <w:rsid w:val="00155A9A"/>
    <w:rsid w:val="001561AC"/>
    <w:rsid w:val="00156499"/>
    <w:rsid w:val="00156976"/>
    <w:rsid w:val="00156D42"/>
    <w:rsid w:val="00156EDF"/>
    <w:rsid w:val="0015745A"/>
    <w:rsid w:val="00157816"/>
    <w:rsid w:val="00157A42"/>
    <w:rsid w:val="00161E7C"/>
    <w:rsid w:val="001624F5"/>
    <w:rsid w:val="0016338A"/>
    <w:rsid w:val="00163737"/>
    <w:rsid w:val="00164A89"/>
    <w:rsid w:val="001654B8"/>
    <w:rsid w:val="001658FB"/>
    <w:rsid w:val="00165BF2"/>
    <w:rsid w:val="00167127"/>
    <w:rsid w:val="001678EF"/>
    <w:rsid w:val="001707F6"/>
    <w:rsid w:val="0017179E"/>
    <w:rsid w:val="00171987"/>
    <w:rsid w:val="00171C7E"/>
    <w:rsid w:val="00172161"/>
    <w:rsid w:val="001723E7"/>
    <w:rsid w:val="001732A9"/>
    <w:rsid w:val="00173EDE"/>
    <w:rsid w:val="00174638"/>
    <w:rsid w:val="001747C0"/>
    <w:rsid w:val="00175527"/>
    <w:rsid w:val="00176626"/>
    <w:rsid w:val="00176DC9"/>
    <w:rsid w:val="00176E4C"/>
    <w:rsid w:val="00176EE6"/>
    <w:rsid w:val="00176FE7"/>
    <w:rsid w:val="00177350"/>
    <w:rsid w:val="001773D8"/>
    <w:rsid w:val="00180CF6"/>
    <w:rsid w:val="00181391"/>
    <w:rsid w:val="00181F03"/>
    <w:rsid w:val="0018204E"/>
    <w:rsid w:val="001823B0"/>
    <w:rsid w:val="00182454"/>
    <w:rsid w:val="001829DF"/>
    <w:rsid w:val="00182A7C"/>
    <w:rsid w:val="0018384D"/>
    <w:rsid w:val="00183A6B"/>
    <w:rsid w:val="0018452E"/>
    <w:rsid w:val="00184C34"/>
    <w:rsid w:val="00184E6E"/>
    <w:rsid w:val="0018519F"/>
    <w:rsid w:val="001853E1"/>
    <w:rsid w:val="00185B94"/>
    <w:rsid w:val="00187C2C"/>
    <w:rsid w:val="00191704"/>
    <w:rsid w:val="001917FD"/>
    <w:rsid w:val="00191D8F"/>
    <w:rsid w:val="00192F06"/>
    <w:rsid w:val="00193059"/>
    <w:rsid w:val="0019369D"/>
    <w:rsid w:val="001936FF"/>
    <w:rsid w:val="0019373C"/>
    <w:rsid w:val="00193874"/>
    <w:rsid w:val="00195512"/>
    <w:rsid w:val="001957C2"/>
    <w:rsid w:val="00196134"/>
    <w:rsid w:val="00196A2F"/>
    <w:rsid w:val="00197016"/>
    <w:rsid w:val="00197515"/>
    <w:rsid w:val="00197752"/>
    <w:rsid w:val="001A038A"/>
    <w:rsid w:val="001A0724"/>
    <w:rsid w:val="001A0739"/>
    <w:rsid w:val="001A10AC"/>
    <w:rsid w:val="001A1EA4"/>
    <w:rsid w:val="001A2F4F"/>
    <w:rsid w:val="001A3DB1"/>
    <w:rsid w:val="001A58B3"/>
    <w:rsid w:val="001A61B7"/>
    <w:rsid w:val="001A6A6C"/>
    <w:rsid w:val="001A6D76"/>
    <w:rsid w:val="001A714B"/>
    <w:rsid w:val="001A794E"/>
    <w:rsid w:val="001B051A"/>
    <w:rsid w:val="001B213A"/>
    <w:rsid w:val="001B27A2"/>
    <w:rsid w:val="001B2E78"/>
    <w:rsid w:val="001B330C"/>
    <w:rsid w:val="001B345A"/>
    <w:rsid w:val="001B34E4"/>
    <w:rsid w:val="001B5166"/>
    <w:rsid w:val="001B5E60"/>
    <w:rsid w:val="001B5F57"/>
    <w:rsid w:val="001B6400"/>
    <w:rsid w:val="001B7151"/>
    <w:rsid w:val="001B77C5"/>
    <w:rsid w:val="001B7EDD"/>
    <w:rsid w:val="001B7EFE"/>
    <w:rsid w:val="001C0046"/>
    <w:rsid w:val="001C041B"/>
    <w:rsid w:val="001C0494"/>
    <w:rsid w:val="001C052F"/>
    <w:rsid w:val="001C278F"/>
    <w:rsid w:val="001C2814"/>
    <w:rsid w:val="001C3CAC"/>
    <w:rsid w:val="001C4734"/>
    <w:rsid w:val="001C60ED"/>
    <w:rsid w:val="001C6FB3"/>
    <w:rsid w:val="001D0403"/>
    <w:rsid w:val="001D1819"/>
    <w:rsid w:val="001D1B9C"/>
    <w:rsid w:val="001D21C2"/>
    <w:rsid w:val="001D23A5"/>
    <w:rsid w:val="001D2B1F"/>
    <w:rsid w:val="001D5656"/>
    <w:rsid w:val="001D5F3D"/>
    <w:rsid w:val="001D661D"/>
    <w:rsid w:val="001D6B0E"/>
    <w:rsid w:val="001E005E"/>
    <w:rsid w:val="001E08C8"/>
    <w:rsid w:val="001E09CA"/>
    <w:rsid w:val="001E0A6B"/>
    <w:rsid w:val="001E0F48"/>
    <w:rsid w:val="001E0F55"/>
    <w:rsid w:val="001E0FE8"/>
    <w:rsid w:val="001E114F"/>
    <w:rsid w:val="001E1312"/>
    <w:rsid w:val="001E18D1"/>
    <w:rsid w:val="001E26B3"/>
    <w:rsid w:val="001E2C53"/>
    <w:rsid w:val="001E51CF"/>
    <w:rsid w:val="001E5333"/>
    <w:rsid w:val="001E5C6D"/>
    <w:rsid w:val="001E60F3"/>
    <w:rsid w:val="001F0117"/>
    <w:rsid w:val="001F29FF"/>
    <w:rsid w:val="001F3497"/>
    <w:rsid w:val="001F3B76"/>
    <w:rsid w:val="001F5562"/>
    <w:rsid w:val="001F68FA"/>
    <w:rsid w:val="001F7640"/>
    <w:rsid w:val="001F767B"/>
    <w:rsid w:val="001F7DCC"/>
    <w:rsid w:val="0020010F"/>
    <w:rsid w:val="00200D32"/>
    <w:rsid w:val="0020122A"/>
    <w:rsid w:val="002016D6"/>
    <w:rsid w:val="002021EC"/>
    <w:rsid w:val="00202F2E"/>
    <w:rsid w:val="00203F6D"/>
    <w:rsid w:val="002041C0"/>
    <w:rsid w:val="00204465"/>
    <w:rsid w:val="0020460E"/>
    <w:rsid w:val="00205028"/>
    <w:rsid w:val="00205E48"/>
    <w:rsid w:val="002067C8"/>
    <w:rsid w:val="0020775D"/>
    <w:rsid w:val="0021005C"/>
    <w:rsid w:val="002115C1"/>
    <w:rsid w:val="002121F0"/>
    <w:rsid w:val="002124AE"/>
    <w:rsid w:val="00212B55"/>
    <w:rsid w:val="00212D11"/>
    <w:rsid w:val="0021350E"/>
    <w:rsid w:val="00213A9F"/>
    <w:rsid w:val="00213EA6"/>
    <w:rsid w:val="00214CD2"/>
    <w:rsid w:val="00214F83"/>
    <w:rsid w:val="00215351"/>
    <w:rsid w:val="002162FD"/>
    <w:rsid w:val="00217B78"/>
    <w:rsid w:val="00217D31"/>
    <w:rsid w:val="0022179D"/>
    <w:rsid w:val="00222F1A"/>
    <w:rsid w:val="00224492"/>
    <w:rsid w:val="0022645F"/>
    <w:rsid w:val="00226AF8"/>
    <w:rsid w:val="00227576"/>
    <w:rsid w:val="00230A42"/>
    <w:rsid w:val="00230FA5"/>
    <w:rsid w:val="00231213"/>
    <w:rsid w:val="00232666"/>
    <w:rsid w:val="00232DB4"/>
    <w:rsid w:val="0023368C"/>
    <w:rsid w:val="00233738"/>
    <w:rsid w:val="00233EAE"/>
    <w:rsid w:val="0023410C"/>
    <w:rsid w:val="00234DA2"/>
    <w:rsid w:val="0023639C"/>
    <w:rsid w:val="00236B9B"/>
    <w:rsid w:val="00236BE8"/>
    <w:rsid w:val="00237081"/>
    <w:rsid w:val="00240628"/>
    <w:rsid w:val="00241053"/>
    <w:rsid w:val="00241FEE"/>
    <w:rsid w:val="0024357C"/>
    <w:rsid w:val="00243A65"/>
    <w:rsid w:val="002445E8"/>
    <w:rsid w:val="00244F9F"/>
    <w:rsid w:val="0024647E"/>
    <w:rsid w:val="0024676B"/>
    <w:rsid w:val="00246C96"/>
    <w:rsid w:val="002477FB"/>
    <w:rsid w:val="00247D35"/>
    <w:rsid w:val="00250218"/>
    <w:rsid w:val="00250615"/>
    <w:rsid w:val="00250FF7"/>
    <w:rsid w:val="0025142F"/>
    <w:rsid w:val="002520B8"/>
    <w:rsid w:val="00252F32"/>
    <w:rsid w:val="00255346"/>
    <w:rsid w:val="00255CE3"/>
    <w:rsid w:val="002567A4"/>
    <w:rsid w:val="0025707A"/>
    <w:rsid w:val="002600F9"/>
    <w:rsid w:val="0026083D"/>
    <w:rsid w:val="002609C9"/>
    <w:rsid w:val="002618F8"/>
    <w:rsid w:val="00261940"/>
    <w:rsid w:val="00263598"/>
    <w:rsid w:val="00263BBC"/>
    <w:rsid w:val="00264C1D"/>
    <w:rsid w:val="00265CB2"/>
    <w:rsid w:val="00265D65"/>
    <w:rsid w:val="00266550"/>
    <w:rsid w:val="00266652"/>
    <w:rsid w:val="00266B5C"/>
    <w:rsid w:val="00266C13"/>
    <w:rsid w:val="00266EE3"/>
    <w:rsid w:val="002674E4"/>
    <w:rsid w:val="00267A3D"/>
    <w:rsid w:val="00267AA8"/>
    <w:rsid w:val="00270406"/>
    <w:rsid w:val="00270841"/>
    <w:rsid w:val="002718F5"/>
    <w:rsid w:val="00271B47"/>
    <w:rsid w:val="00271BFC"/>
    <w:rsid w:val="00272054"/>
    <w:rsid w:val="00273A60"/>
    <w:rsid w:val="00273CCA"/>
    <w:rsid w:val="00276018"/>
    <w:rsid w:val="002764D4"/>
    <w:rsid w:val="002765E2"/>
    <w:rsid w:val="002771CE"/>
    <w:rsid w:val="00280D01"/>
    <w:rsid w:val="002814CF"/>
    <w:rsid w:val="002826DB"/>
    <w:rsid w:val="00283A1A"/>
    <w:rsid w:val="00284CBD"/>
    <w:rsid w:val="00284F54"/>
    <w:rsid w:val="00287148"/>
    <w:rsid w:val="0028755F"/>
    <w:rsid w:val="002877CA"/>
    <w:rsid w:val="002914FC"/>
    <w:rsid w:val="00292675"/>
    <w:rsid w:val="00292945"/>
    <w:rsid w:val="00292C6D"/>
    <w:rsid w:val="002947A2"/>
    <w:rsid w:val="00294BC8"/>
    <w:rsid w:val="002960FE"/>
    <w:rsid w:val="002972AE"/>
    <w:rsid w:val="00297AC7"/>
    <w:rsid w:val="002A00B2"/>
    <w:rsid w:val="002A0309"/>
    <w:rsid w:val="002A0938"/>
    <w:rsid w:val="002A2E59"/>
    <w:rsid w:val="002A30B6"/>
    <w:rsid w:val="002A3793"/>
    <w:rsid w:val="002A4F4C"/>
    <w:rsid w:val="002A50FD"/>
    <w:rsid w:val="002A6259"/>
    <w:rsid w:val="002A65E7"/>
    <w:rsid w:val="002A6E15"/>
    <w:rsid w:val="002A72AF"/>
    <w:rsid w:val="002B013C"/>
    <w:rsid w:val="002B01CE"/>
    <w:rsid w:val="002B2E36"/>
    <w:rsid w:val="002B3930"/>
    <w:rsid w:val="002B4022"/>
    <w:rsid w:val="002B59BC"/>
    <w:rsid w:val="002B6212"/>
    <w:rsid w:val="002B630C"/>
    <w:rsid w:val="002B63B2"/>
    <w:rsid w:val="002B6EAF"/>
    <w:rsid w:val="002B78E0"/>
    <w:rsid w:val="002C0689"/>
    <w:rsid w:val="002C0CB4"/>
    <w:rsid w:val="002C0CD6"/>
    <w:rsid w:val="002C0FB6"/>
    <w:rsid w:val="002C1433"/>
    <w:rsid w:val="002C2953"/>
    <w:rsid w:val="002C2A58"/>
    <w:rsid w:val="002C2CBC"/>
    <w:rsid w:val="002C3E06"/>
    <w:rsid w:val="002C3FF2"/>
    <w:rsid w:val="002C5156"/>
    <w:rsid w:val="002C5614"/>
    <w:rsid w:val="002C5879"/>
    <w:rsid w:val="002C6384"/>
    <w:rsid w:val="002C6429"/>
    <w:rsid w:val="002C65C8"/>
    <w:rsid w:val="002C6932"/>
    <w:rsid w:val="002C702D"/>
    <w:rsid w:val="002C7424"/>
    <w:rsid w:val="002D057E"/>
    <w:rsid w:val="002D06D3"/>
    <w:rsid w:val="002D0AA9"/>
    <w:rsid w:val="002D1084"/>
    <w:rsid w:val="002D21BE"/>
    <w:rsid w:val="002D3F7E"/>
    <w:rsid w:val="002D4A8A"/>
    <w:rsid w:val="002D54CD"/>
    <w:rsid w:val="002D557B"/>
    <w:rsid w:val="002D60E6"/>
    <w:rsid w:val="002D64F7"/>
    <w:rsid w:val="002D6538"/>
    <w:rsid w:val="002D7AE8"/>
    <w:rsid w:val="002D7CC3"/>
    <w:rsid w:val="002E1205"/>
    <w:rsid w:val="002E2572"/>
    <w:rsid w:val="002E435F"/>
    <w:rsid w:val="002E473C"/>
    <w:rsid w:val="002E5D71"/>
    <w:rsid w:val="002E5E51"/>
    <w:rsid w:val="002E5ECE"/>
    <w:rsid w:val="002E6EF3"/>
    <w:rsid w:val="002E7152"/>
    <w:rsid w:val="002E75F2"/>
    <w:rsid w:val="002E761C"/>
    <w:rsid w:val="002F1571"/>
    <w:rsid w:val="002F1902"/>
    <w:rsid w:val="002F1D21"/>
    <w:rsid w:val="002F1E2A"/>
    <w:rsid w:val="002F22B0"/>
    <w:rsid w:val="002F308E"/>
    <w:rsid w:val="002F35E3"/>
    <w:rsid w:val="002F416C"/>
    <w:rsid w:val="002F4FE0"/>
    <w:rsid w:val="002F5048"/>
    <w:rsid w:val="002F5C6A"/>
    <w:rsid w:val="002F5F3C"/>
    <w:rsid w:val="002F69E5"/>
    <w:rsid w:val="002F72C7"/>
    <w:rsid w:val="00300022"/>
    <w:rsid w:val="00300532"/>
    <w:rsid w:val="00300FBE"/>
    <w:rsid w:val="00301253"/>
    <w:rsid w:val="003012FD"/>
    <w:rsid w:val="0030190E"/>
    <w:rsid w:val="0030208A"/>
    <w:rsid w:val="00302DBA"/>
    <w:rsid w:val="00302E5A"/>
    <w:rsid w:val="003031E8"/>
    <w:rsid w:val="00303490"/>
    <w:rsid w:val="0030372E"/>
    <w:rsid w:val="00303BFC"/>
    <w:rsid w:val="0030426E"/>
    <w:rsid w:val="00304309"/>
    <w:rsid w:val="0030478B"/>
    <w:rsid w:val="003048BC"/>
    <w:rsid w:val="00305BD6"/>
    <w:rsid w:val="00306AD9"/>
    <w:rsid w:val="00306F7A"/>
    <w:rsid w:val="00307123"/>
    <w:rsid w:val="00310434"/>
    <w:rsid w:val="0031150C"/>
    <w:rsid w:val="003117BF"/>
    <w:rsid w:val="003122C7"/>
    <w:rsid w:val="00312A93"/>
    <w:rsid w:val="00312A9C"/>
    <w:rsid w:val="0031305A"/>
    <w:rsid w:val="003136F4"/>
    <w:rsid w:val="00314CAE"/>
    <w:rsid w:val="00315267"/>
    <w:rsid w:val="00315AD2"/>
    <w:rsid w:val="00315F16"/>
    <w:rsid w:val="003163EC"/>
    <w:rsid w:val="00316996"/>
    <w:rsid w:val="0031738E"/>
    <w:rsid w:val="0032038A"/>
    <w:rsid w:val="003217B9"/>
    <w:rsid w:val="0032220C"/>
    <w:rsid w:val="00322968"/>
    <w:rsid w:val="00323871"/>
    <w:rsid w:val="00323F82"/>
    <w:rsid w:val="00326CA3"/>
    <w:rsid w:val="0032782F"/>
    <w:rsid w:val="00330101"/>
    <w:rsid w:val="003314BD"/>
    <w:rsid w:val="00332032"/>
    <w:rsid w:val="003326A1"/>
    <w:rsid w:val="003327DE"/>
    <w:rsid w:val="003334C0"/>
    <w:rsid w:val="0033393C"/>
    <w:rsid w:val="00334C1C"/>
    <w:rsid w:val="00335F20"/>
    <w:rsid w:val="00336ADA"/>
    <w:rsid w:val="003370FA"/>
    <w:rsid w:val="00337E7D"/>
    <w:rsid w:val="00340066"/>
    <w:rsid w:val="00340986"/>
    <w:rsid w:val="003412E8"/>
    <w:rsid w:val="00341445"/>
    <w:rsid w:val="00341721"/>
    <w:rsid w:val="00341F80"/>
    <w:rsid w:val="00342922"/>
    <w:rsid w:val="00342BA6"/>
    <w:rsid w:val="003435B8"/>
    <w:rsid w:val="003438B4"/>
    <w:rsid w:val="00344A80"/>
    <w:rsid w:val="0034559F"/>
    <w:rsid w:val="00345D20"/>
    <w:rsid w:val="003462A3"/>
    <w:rsid w:val="00346593"/>
    <w:rsid w:val="00346993"/>
    <w:rsid w:val="00346E16"/>
    <w:rsid w:val="00347005"/>
    <w:rsid w:val="0034735E"/>
    <w:rsid w:val="00347530"/>
    <w:rsid w:val="003477EE"/>
    <w:rsid w:val="00347890"/>
    <w:rsid w:val="00347ED2"/>
    <w:rsid w:val="00350544"/>
    <w:rsid w:val="0035124D"/>
    <w:rsid w:val="003513FD"/>
    <w:rsid w:val="00352001"/>
    <w:rsid w:val="003520DE"/>
    <w:rsid w:val="003527E1"/>
    <w:rsid w:val="00352A63"/>
    <w:rsid w:val="00352E37"/>
    <w:rsid w:val="00353138"/>
    <w:rsid w:val="003534B6"/>
    <w:rsid w:val="00354360"/>
    <w:rsid w:val="00355269"/>
    <w:rsid w:val="00355DBA"/>
    <w:rsid w:val="00355EFF"/>
    <w:rsid w:val="003564C9"/>
    <w:rsid w:val="00356615"/>
    <w:rsid w:val="00356C4A"/>
    <w:rsid w:val="00357515"/>
    <w:rsid w:val="00360EE9"/>
    <w:rsid w:val="00361FA5"/>
    <w:rsid w:val="00362E6F"/>
    <w:rsid w:val="003633D2"/>
    <w:rsid w:val="00363C7B"/>
    <w:rsid w:val="00363E15"/>
    <w:rsid w:val="003652DF"/>
    <w:rsid w:val="0036568A"/>
    <w:rsid w:val="00365CD1"/>
    <w:rsid w:val="00365EB7"/>
    <w:rsid w:val="003670A0"/>
    <w:rsid w:val="0036761B"/>
    <w:rsid w:val="0037088B"/>
    <w:rsid w:val="00371298"/>
    <w:rsid w:val="00371ABE"/>
    <w:rsid w:val="00371BC2"/>
    <w:rsid w:val="00371EBC"/>
    <w:rsid w:val="0037324D"/>
    <w:rsid w:val="00374A08"/>
    <w:rsid w:val="0037616C"/>
    <w:rsid w:val="00377263"/>
    <w:rsid w:val="00380304"/>
    <w:rsid w:val="00380698"/>
    <w:rsid w:val="003808DB"/>
    <w:rsid w:val="00380E1F"/>
    <w:rsid w:val="0038235F"/>
    <w:rsid w:val="0038246E"/>
    <w:rsid w:val="00382E5F"/>
    <w:rsid w:val="00383D88"/>
    <w:rsid w:val="00384ACA"/>
    <w:rsid w:val="0038539E"/>
    <w:rsid w:val="003853E0"/>
    <w:rsid w:val="00385B2D"/>
    <w:rsid w:val="0038649A"/>
    <w:rsid w:val="00386590"/>
    <w:rsid w:val="00386929"/>
    <w:rsid w:val="00386BE7"/>
    <w:rsid w:val="0038750A"/>
    <w:rsid w:val="0038790F"/>
    <w:rsid w:val="003879C6"/>
    <w:rsid w:val="00387ABF"/>
    <w:rsid w:val="00387FB3"/>
    <w:rsid w:val="003905CE"/>
    <w:rsid w:val="00392B26"/>
    <w:rsid w:val="0039330F"/>
    <w:rsid w:val="00393783"/>
    <w:rsid w:val="00394A06"/>
    <w:rsid w:val="00394D10"/>
    <w:rsid w:val="003953DC"/>
    <w:rsid w:val="00395C47"/>
    <w:rsid w:val="00395F09"/>
    <w:rsid w:val="00396BAB"/>
    <w:rsid w:val="003979F6"/>
    <w:rsid w:val="00397A8E"/>
    <w:rsid w:val="003A22C0"/>
    <w:rsid w:val="003A24D7"/>
    <w:rsid w:val="003A269B"/>
    <w:rsid w:val="003A2BAB"/>
    <w:rsid w:val="003A3290"/>
    <w:rsid w:val="003A3B96"/>
    <w:rsid w:val="003A4381"/>
    <w:rsid w:val="003A57CC"/>
    <w:rsid w:val="003A6511"/>
    <w:rsid w:val="003A68D3"/>
    <w:rsid w:val="003B02A5"/>
    <w:rsid w:val="003B0435"/>
    <w:rsid w:val="003B1241"/>
    <w:rsid w:val="003B1A1A"/>
    <w:rsid w:val="003B2F52"/>
    <w:rsid w:val="003B37A2"/>
    <w:rsid w:val="003B39A9"/>
    <w:rsid w:val="003B3A5F"/>
    <w:rsid w:val="003B4005"/>
    <w:rsid w:val="003B45E6"/>
    <w:rsid w:val="003B5914"/>
    <w:rsid w:val="003B5AEC"/>
    <w:rsid w:val="003B6C41"/>
    <w:rsid w:val="003C12C3"/>
    <w:rsid w:val="003C2904"/>
    <w:rsid w:val="003C75A8"/>
    <w:rsid w:val="003C781C"/>
    <w:rsid w:val="003D08C8"/>
    <w:rsid w:val="003D08E1"/>
    <w:rsid w:val="003D11CF"/>
    <w:rsid w:val="003D1349"/>
    <w:rsid w:val="003D164F"/>
    <w:rsid w:val="003D191D"/>
    <w:rsid w:val="003D26F1"/>
    <w:rsid w:val="003D4624"/>
    <w:rsid w:val="003D6B3B"/>
    <w:rsid w:val="003D6CF5"/>
    <w:rsid w:val="003E0718"/>
    <w:rsid w:val="003E0F44"/>
    <w:rsid w:val="003E142A"/>
    <w:rsid w:val="003E1D0C"/>
    <w:rsid w:val="003E2E32"/>
    <w:rsid w:val="003E3A16"/>
    <w:rsid w:val="003E3CE4"/>
    <w:rsid w:val="003E422C"/>
    <w:rsid w:val="003E4341"/>
    <w:rsid w:val="003E43E2"/>
    <w:rsid w:val="003E4528"/>
    <w:rsid w:val="003E6528"/>
    <w:rsid w:val="003F082D"/>
    <w:rsid w:val="003F176F"/>
    <w:rsid w:val="003F27C2"/>
    <w:rsid w:val="003F2DD1"/>
    <w:rsid w:val="003F35CE"/>
    <w:rsid w:val="003F366E"/>
    <w:rsid w:val="003F3B6E"/>
    <w:rsid w:val="003F48FE"/>
    <w:rsid w:val="003F493B"/>
    <w:rsid w:val="003F55CE"/>
    <w:rsid w:val="003F5665"/>
    <w:rsid w:val="003F5CBF"/>
    <w:rsid w:val="003F667C"/>
    <w:rsid w:val="003F6B74"/>
    <w:rsid w:val="00401528"/>
    <w:rsid w:val="0040184C"/>
    <w:rsid w:val="00402357"/>
    <w:rsid w:val="00402962"/>
    <w:rsid w:val="0040306B"/>
    <w:rsid w:val="0040350F"/>
    <w:rsid w:val="004036F0"/>
    <w:rsid w:val="00403C2E"/>
    <w:rsid w:val="00404DAF"/>
    <w:rsid w:val="004051C0"/>
    <w:rsid w:val="004061BC"/>
    <w:rsid w:val="00410629"/>
    <w:rsid w:val="004107D5"/>
    <w:rsid w:val="00410978"/>
    <w:rsid w:val="00410BAD"/>
    <w:rsid w:val="0041107B"/>
    <w:rsid w:val="0041158C"/>
    <w:rsid w:val="00411AD5"/>
    <w:rsid w:val="00412198"/>
    <w:rsid w:val="00413609"/>
    <w:rsid w:val="0041403F"/>
    <w:rsid w:val="004160CD"/>
    <w:rsid w:val="00416358"/>
    <w:rsid w:val="00416A9A"/>
    <w:rsid w:val="00416C45"/>
    <w:rsid w:val="0042031F"/>
    <w:rsid w:val="00420972"/>
    <w:rsid w:val="004213A3"/>
    <w:rsid w:val="00421A95"/>
    <w:rsid w:val="004228A6"/>
    <w:rsid w:val="00423158"/>
    <w:rsid w:val="00423B97"/>
    <w:rsid w:val="0042436A"/>
    <w:rsid w:val="0042552C"/>
    <w:rsid w:val="00425717"/>
    <w:rsid w:val="00425C54"/>
    <w:rsid w:val="00427BDC"/>
    <w:rsid w:val="00430733"/>
    <w:rsid w:val="00430898"/>
    <w:rsid w:val="0043262E"/>
    <w:rsid w:val="004326B2"/>
    <w:rsid w:val="00432A28"/>
    <w:rsid w:val="00432EFF"/>
    <w:rsid w:val="004332B6"/>
    <w:rsid w:val="004334C5"/>
    <w:rsid w:val="00433807"/>
    <w:rsid w:val="00434037"/>
    <w:rsid w:val="00434606"/>
    <w:rsid w:val="00435341"/>
    <w:rsid w:val="004356C2"/>
    <w:rsid w:val="004359A3"/>
    <w:rsid w:val="00435F34"/>
    <w:rsid w:val="004362EC"/>
    <w:rsid w:val="00437088"/>
    <w:rsid w:val="0043774B"/>
    <w:rsid w:val="00437B78"/>
    <w:rsid w:val="00440BAD"/>
    <w:rsid w:val="00440DCF"/>
    <w:rsid w:val="004416A0"/>
    <w:rsid w:val="004417C3"/>
    <w:rsid w:val="00441E3D"/>
    <w:rsid w:val="004425CF"/>
    <w:rsid w:val="004430FD"/>
    <w:rsid w:val="00443B3F"/>
    <w:rsid w:val="00444840"/>
    <w:rsid w:val="0044490D"/>
    <w:rsid w:val="00445172"/>
    <w:rsid w:val="00445249"/>
    <w:rsid w:val="00445481"/>
    <w:rsid w:val="00445897"/>
    <w:rsid w:val="00445DBF"/>
    <w:rsid w:val="00445ECC"/>
    <w:rsid w:val="0044687A"/>
    <w:rsid w:val="00446B30"/>
    <w:rsid w:val="00446DAA"/>
    <w:rsid w:val="00447506"/>
    <w:rsid w:val="004509B6"/>
    <w:rsid w:val="00450EF6"/>
    <w:rsid w:val="00451F12"/>
    <w:rsid w:val="00452610"/>
    <w:rsid w:val="00453410"/>
    <w:rsid w:val="004538CB"/>
    <w:rsid w:val="0045470F"/>
    <w:rsid w:val="00454ED2"/>
    <w:rsid w:val="00454F4C"/>
    <w:rsid w:val="00454F8A"/>
    <w:rsid w:val="00455FA0"/>
    <w:rsid w:val="00460AF1"/>
    <w:rsid w:val="00460CEC"/>
    <w:rsid w:val="0046139E"/>
    <w:rsid w:val="00463A68"/>
    <w:rsid w:val="00463D32"/>
    <w:rsid w:val="00464F3C"/>
    <w:rsid w:val="00465050"/>
    <w:rsid w:val="004654FE"/>
    <w:rsid w:val="0046646F"/>
    <w:rsid w:val="004664B8"/>
    <w:rsid w:val="004667D2"/>
    <w:rsid w:val="00466D6C"/>
    <w:rsid w:val="00466F67"/>
    <w:rsid w:val="0046731A"/>
    <w:rsid w:val="0047002D"/>
    <w:rsid w:val="00470A70"/>
    <w:rsid w:val="00470BAF"/>
    <w:rsid w:val="00470BF7"/>
    <w:rsid w:val="00470E04"/>
    <w:rsid w:val="00471BA5"/>
    <w:rsid w:val="00472BC4"/>
    <w:rsid w:val="00472C26"/>
    <w:rsid w:val="00473FF0"/>
    <w:rsid w:val="00474612"/>
    <w:rsid w:val="0047547E"/>
    <w:rsid w:val="0047578B"/>
    <w:rsid w:val="00475C97"/>
    <w:rsid w:val="00475EA7"/>
    <w:rsid w:val="00476832"/>
    <w:rsid w:val="0047796B"/>
    <w:rsid w:val="00480264"/>
    <w:rsid w:val="00480B94"/>
    <w:rsid w:val="00480F1B"/>
    <w:rsid w:val="00482633"/>
    <w:rsid w:val="004832F9"/>
    <w:rsid w:val="004849BA"/>
    <w:rsid w:val="00484E4C"/>
    <w:rsid w:val="00484F06"/>
    <w:rsid w:val="00484F0C"/>
    <w:rsid w:val="0048559F"/>
    <w:rsid w:val="00486031"/>
    <w:rsid w:val="004866F7"/>
    <w:rsid w:val="00487BFA"/>
    <w:rsid w:val="004937C9"/>
    <w:rsid w:val="004942C4"/>
    <w:rsid w:val="0049459F"/>
    <w:rsid w:val="00494766"/>
    <w:rsid w:val="00495C3D"/>
    <w:rsid w:val="00496484"/>
    <w:rsid w:val="004964C1"/>
    <w:rsid w:val="00496AD6"/>
    <w:rsid w:val="00496BD3"/>
    <w:rsid w:val="00497374"/>
    <w:rsid w:val="00497F9C"/>
    <w:rsid w:val="004A02A4"/>
    <w:rsid w:val="004A0E97"/>
    <w:rsid w:val="004A1A3D"/>
    <w:rsid w:val="004A25A4"/>
    <w:rsid w:val="004A38F3"/>
    <w:rsid w:val="004A3B82"/>
    <w:rsid w:val="004A3D48"/>
    <w:rsid w:val="004A3FDC"/>
    <w:rsid w:val="004A4567"/>
    <w:rsid w:val="004A4CEB"/>
    <w:rsid w:val="004A544F"/>
    <w:rsid w:val="004A5AC6"/>
    <w:rsid w:val="004A6420"/>
    <w:rsid w:val="004B0C3C"/>
    <w:rsid w:val="004B15BF"/>
    <w:rsid w:val="004B1759"/>
    <w:rsid w:val="004B179F"/>
    <w:rsid w:val="004B1D5F"/>
    <w:rsid w:val="004B2034"/>
    <w:rsid w:val="004B3C6C"/>
    <w:rsid w:val="004B3E3D"/>
    <w:rsid w:val="004B4ED8"/>
    <w:rsid w:val="004B5115"/>
    <w:rsid w:val="004B591F"/>
    <w:rsid w:val="004B5E6C"/>
    <w:rsid w:val="004B6B6C"/>
    <w:rsid w:val="004B76FC"/>
    <w:rsid w:val="004B7923"/>
    <w:rsid w:val="004C020F"/>
    <w:rsid w:val="004C0504"/>
    <w:rsid w:val="004C0BC9"/>
    <w:rsid w:val="004C1C93"/>
    <w:rsid w:val="004C2337"/>
    <w:rsid w:val="004C2474"/>
    <w:rsid w:val="004C27AA"/>
    <w:rsid w:val="004C30FE"/>
    <w:rsid w:val="004C3EFC"/>
    <w:rsid w:val="004C3F4C"/>
    <w:rsid w:val="004C4D46"/>
    <w:rsid w:val="004C5596"/>
    <w:rsid w:val="004C56FD"/>
    <w:rsid w:val="004C623E"/>
    <w:rsid w:val="004C6619"/>
    <w:rsid w:val="004C6A44"/>
    <w:rsid w:val="004C7222"/>
    <w:rsid w:val="004C74A4"/>
    <w:rsid w:val="004D04C4"/>
    <w:rsid w:val="004D05D2"/>
    <w:rsid w:val="004D07F4"/>
    <w:rsid w:val="004D0C3C"/>
    <w:rsid w:val="004D33DD"/>
    <w:rsid w:val="004D4641"/>
    <w:rsid w:val="004D52F8"/>
    <w:rsid w:val="004D5CA1"/>
    <w:rsid w:val="004D5E64"/>
    <w:rsid w:val="004D64BB"/>
    <w:rsid w:val="004D6BB6"/>
    <w:rsid w:val="004D6C22"/>
    <w:rsid w:val="004D74C2"/>
    <w:rsid w:val="004D7D79"/>
    <w:rsid w:val="004E0400"/>
    <w:rsid w:val="004E05DD"/>
    <w:rsid w:val="004E12B0"/>
    <w:rsid w:val="004E1B43"/>
    <w:rsid w:val="004E518B"/>
    <w:rsid w:val="004E5595"/>
    <w:rsid w:val="004E5FD5"/>
    <w:rsid w:val="004E6298"/>
    <w:rsid w:val="004E62D9"/>
    <w:rsid w:val="004E6864"/>
    <w:rsid w:val="004E6DFD"/>
    <w:rsid w:val="004E70C2"/>
    <w:rsid w:val="004F08B2"/>
    <w:rsid w:val="004F0B30"/>
    <w:rsid w:val="004F0F6C"/>
    <w:rsid w:val="004F2226"/>
    <w:rsid w:val="004F252A"/>
    <w:rsid w:val="004F33D5"/>
    <w:rsid w:val="004F4364"/>
    <w:rsid w:val="004F7E4E"/>
    <w:rsid w:val="00500206"/>
    <w:rsid w:val="00500BC0"/>
    <w:rsid w:val="00501EED"/>
    <w:rsid w:val="00502355"/>
    <w:rsid w:val="00502DB1"/>
    <w:rsid w:val="00503C44"/>
    <w:rsid w:val="00503F75"/>
    <w:rsid w:val="005041CB"/>
    <w:rsid w:val="005046CB"/>
    <w:rsid w:val="0050493C"/>
    <w:rsid w:val="00504DB3"/>
    <w:rsid w:val="00504DCA"/>
    <w:rsid w:val="00505EF9"/>
    <w:rsid w:val="0050673A"/>
    <w:rsid w:val="0050758B"/>
    <w:rsid w:val="00507DF5"/>
    <w:rsid w:val="0051003C"/>
    <w:rsid w:val="00510B88"/>
    <w:rsid w:val="0051208E"/>
    <w:rsid w:val="005123D7"/>
    <w:rsid w:val="00512781"/>
    <w:rsid w:val="00513299"/>
    <w:rsid w:val="0051401B"/>
    <w:rsid w:val="00515B32"/>
    <w:rsid w:val="005168B7"/>
    <w:rsid w:val="00517784"/>
    <w:rsid w:val="00517820"/>
    <w:rsid w:val="00517BF2"/>
    <w:rsid w:val="00517D1B"/>
    <w:rsid w:val="00520A79"/>
    <w:rsid w:val="0052190D"/>
    <w:rsid w:val="00521C36"/>
    <w:rsid w:val="00522049"/>
    <w:rsid w:val="005223A0"/>
    <w:rsid w:val="00522447"/>
    <w:rsid w:val="005224B8"/>
    <w:rsid w:val="005228E9"/>
    <w:rsid w:val="00523688"/>
    <w:rsid w:val="005237DC"/>
    <w:rsid w:val="0052414F"/>
    <w:rsid w:val="0052426D"/>
    <w:rsid w:val="0053091E"/>
    <w:rsid w:val="00531332"/>
    <w:rsid w:val="005319CA"/>
    <w:rsid w:val="00531C2C"/>
    <w:rsid w:val="00531FB2"/>
    <w:rsid w:val="005321DB"/>
    <w:rsid w:val="00533293"/>
    <w:rsid w:val="00533819"/>
    <w:rsid w:val="00533B80"/>
    <w:rsid w:val="00533D0B"/>
    <w:rsid w:val="00533D3A"/>
    <w:rsid w:val="005344EF"/>
    <w:rsid w:val="00534FD9"/>
    <w:rsid w:val="0053529F"/>
    <w:rsid w:val="005353F1"/>
    <w:rsid w:val="00536A35"/>
    <w:rsid w:val="00537344"/>
    <w:rsid w:val="00537C90"/>
    <w:rsid w:val="00537C95"/>
    <w:rsid w:val="00540534"/>
    <w:rsid w:val="00540B91"/>
    <w:rsid w:val="00540F0E"/>
    <w:rsid w:val="00541B25"/>
    <w:rsid w:val="00541DE7"/>
    <w:rsid w:val="005420E9"/>
    <w:rsid w:val="00543870"/>
    <w:rsid w:val="00543F33"/>
    <w:rsid w:val="00543FF0"/>
    <w:rsid w:val="00544529"/>
    <w:rsid w:val="00544ABC"/>
    <w:rsid w:val="0054596B"/>
    <w:rsid w:val="00545C9B"/>
    <w:rsid w:val="00545D61"/>
    <w:rsid w:val="00545F3D"/>
    <w:rsid w:val="005476DC"/>
    <w:rsid w:val="005477DE"/>
    <w:rsid w:val="00550C50"/>
    <w:rsid w:val="00551948"/>
    <w:rsid w:val="005519B1"/>
    <w:rsid w:val="00551C76"/>
    <w:rsid w:val="00552325"/>
    <w:rsid w:val="005529E3"/>
    <w:rsid w:val="005530C1"/>
    <w:rsid w:val="00553639"/>
    <w:rsid w:val="00554E0C"/>
    <w:rsid w:val="0055586F"/>
    <w:rsid w:val="00556EA6"/>
    <w:rsid w:val="005573BC"/>
    <w:rsid w:val="005611CD"/>
    <w:rsid w:val="005611EC"/>
    <w:rsid w:val="00561624"/>
    <w:rsid w:val="0056167D"/>
    <w:rsid w:val="00561753"/>
    <w:rsid w:val="00561A31"/>
    <w:rsid w:val="00562AD4"/>
    <w:rsid w:val="00562ECC"/>
    <w:rsid w:val="00563389"/>
    <w:rsid w:val="00564848"/>
    <w:rsid w:val="005654B8"/>
    <w:rsid w:val="00565DF9"/>
    <w:rsid w:val="00566036"/>
    <w:rsid w:val="005671F0"/>
    <w:rsid w:val="00570AC2"/>
    <w:rsid w:val="00570B37"/>
    <w:rsid w:val="00570C89"/>
    <w:rsid w:val="00571D79"/>
    <w:rsid w:val="00572BFD"/>
    <w:rsid w:val="005735D6"/>
    <w:rsid w:val="00573C20"/>
    <w:rsid w:val="00575083"/>
    <w:rsid w:val="0057541F"/>
    <w:rsid w:val="00576223"/>
    <w:rsid w:val="0057649E"/>
    <w:rsid w:val="00577535"/>
    <w:rsid w:val="00577648"/>
    <w:rsid w:val="00580F3A"/>
    <w:rsid w:val="00581342"/>
    <w:rsid w:val="00583AEB"/>
    <w:rsid w:val="005867C3"/>
    <w:rsid w:val="00586934"/>
    <w:rsid w:val="00586C58"/>
    <w:rsid w:val="00586E3D"/>
    <w:rsid w:val="00587EF1"/>
    <w:rsid w:val="00590467"/>
    <w:rsid w:val="00590F25"/>
    <w:rsid w:val="00591009"/>
    <w:rsid w:val="00592A28"/>
    <w:rsid w:val="00593439"/>
    <w:rsid w:val="00596030"/>
    <w:rsid w:val="00596857"/>
    <w:rsid w:val="005977B2"/>
    <w:rsid w:val="005A0649"/>
    <w:rsid w:val="005A0BB2"/>
    <w:rsid w:val="005A0D97"/>
    <w:rsid w:val="005A2543"/>
    <w:rsid w:val="005A2B28"/>
    <w:rsid w:val="005A3257"/>
    <w:rsid w:val="005A349B"/>
    <w:rsid w:val="005A3627"/>
    <w:rsid w:val="005A373A"/>
    <w:rsid w:val="005A3997"/>
    <w:rsid w:val="005A3E72"/>
    <w:rsid w:val="005A450F"/>
    <w:rsid w:val="005A49DE"/>
    <w:rsid w:val="005A6088"/>
    <w:rsid w:val="005A78D1"/>
    <w:rsid w:val="005B0F29"/>
    <w:rsid w:val="005B1CB4"/>
    <w:rsid w:val="005B1FD5"/>
    <w:rsid w:val="005B3105"/>
    <w:rsid w:val="005B43E3"/>
    <w:rsid w:val="005B4D37"/>
    <w:rsid w:val="005B528A"/>
    <w:rsid w:val="005B5859"/>
    <w:rsid w:val="005B5CDB"/>
    <w:rsid w:val="005B64BF"/>
    <w:rsid w:val="005B7149"/>
    <w:rsid w:val="005B7385"/>
    <w:rsid w:val="005B7B23"/>
    <w:rsid w:val="005C07DC"/>
    <w:rsid w:val="005C087A"/>
    <w:rsid w:val="005C1AAC"/>
    <w:rsid w:val="005C24D4"/>
    <w:rsid w:val="005C28C5"/>
    <w:rsid w:val="005C3D69"/>
    <w:rsid w:val="005C4465"/>
    <w:rsid w:val="005C46A3"/>
    <w:rsid w:val="005C49B2"/>
    <w:rsid w:val="005C4D88"/>
    <w:rsid w:val="005C6A62"/>
    <w:rsid w:val="005C74BF"/>
    <w:rsid w:val="005C7699"/>
    <w:rsid w:val="005C7839"/>
    <w:rsid w:val="005C7EA5"/>
    <w:rsid w:val="005D1D52"/>
    <w:rsid w:val="005D27FF"/>
    <w:rsid w:val="005D3185"/>
    <w:rsid w:val="005D37FE"/>
    <w:rsid w:val="005D3BD3"/>
    <w:rsid w:val="005D3ED4"/>
    <w:rsid w:val="005D5F94"/>
    <w:rsid w:val="005D652A"/>
    <w:rsid w:val="005E0166"/>
    <w:rsid w:val="005E05ED"/>
    <w:rsid w:val="005E11F0"/>
    <w:rsid w:val="005E1C2A"/>
    <w:rsid w:val="005E1FA6"/>
    <w:rsid w:val="005E223B"/>
    <w:rsid w:val="005E32B9"/>
    <w:rsid w:val="005E32F2"/>
    <w:rsid w:val="005E33F5"/>
    <w:rsid w:val="005E37ED"/>
    <w:rsid w:val="005E3F74"/>
    <w:rsid w:val="005E4B67"/>
    <w:rsid w:val="005E53EF"/>
    <w:rsid w:val="005E55A7"/>
    <w:rsid w:val="005E6DA4"/>
    <w:rsid w:val="005F0269"/>
    <w:rsid w:val="005F0287"/>
    <w:rsid w:val="005F04F0"/>
    <w:rsid w:val="005F1158"/>
    <w:rsid w:val="005F16BC"/>
    <w:rsid w:val="005F3BD6"/>
    <w:rsid w:val="005F4D4A"/>
    <w:rsid w:val="005F50B1"/>
    <w:rsid w:val="005F57D7"/>
    <w:rsid w:val="005F5959"/>
    <w:rsid w:val="005F6620"/>
    <w:rsid w:val="005F71F1"/>
    <w:rsid w:val="005F77F6"/>
    <w:rsid w:val="006000D0"/>
    <w:rsid w:val="0060068E"/>
    <w:rsid w:val="006009BD"/>
    <w:rsid w:val="006016E4"/>
    <w:rsid w:val="00602DF9"/>
    <w:rsid w:val="00603092"/>
    <w:rsid w:val="0060328C"/>
    <w:rsid w:val="00603CF8"/>
    <w:rsid w:val="006056AC"/>
    <w:rsid w:val="00607056"/>
    <w:rsid w:val="006101E2"/>
    <w:rsid w:val="006111C6"/>
    <w:rsid w:val="0061122E"/>
    <w:rsid w:val="006112EF"/>
    <w:rsid w:val="00611732"/>
    <w:rsid w:val="006121CB"/>
    <w:rsid w:val="00612300"/>
    <w:rsid w:val="00612801"/>
    <w:rsid w:val="00612AE4"/>
    <w:rsid w:val="00612E33"/>
    <w:rsid w:val="00613F08"/>
    <w:rsid w:val="0061474F"/>
    <w:rsid w:val="00614ECB"/>
    <w:rsid w:val="00615E65"/>
    <w:rsid w:val="00616390"/>
    <w:rsid w:val="00616598"/>
    <w:rsid w:val="00616629"/>
    <w:rsid w:val="00616A7E"/>
    <w:rsid w:val="00617929"/>
    <w:rsid w:val="00617E3C"/>
    <w:rsid w:val="00620109"/>
    <w:rsid w:val="0062043B"/>
    <w:rsid w:val="00620724"/>
    <w:rsid w:val="006222DB"/>
    <w:rsid w:val="00622FA1"/>
    <w:rsid w:val="006237BF"/>
    <w:rsid w:val="00623C42"/>
    <w:rsid w:val="00623D93"/>
    <w:rsid w:val="00623E2F"/>
    <w:rsid w:val="006245A4"/>
    <w:rsid w:val="006253DC"/>
    <w:rsid w:val="00626061"/>
    <w:rsid w:val="0062610E"/>
    <w:rsid w:val="00626D8E"/>
    <w:rsid w:val="00626F06"/>
    <w:rsid w:val="00626F88"/>
    <w:rsid w:val="00627215"/>
    <w:rsid w:val="006273FC"/>
    <w:rsid w:val="006277DA"/>
    <w:rsid w:val="00627D8F"/>
    <w:rsid w:val="0063026F"/>
    <w:rsid w:val="00630F61"/>
    <w:rsid w:val="00632896"/>
    <w:rsid w:val="0063292A"/>
    <w:rsid w:val="00633B90"/>
    <w:rsid w:val="0063423F"/>
    <w:rsid w:val="00634795"/>
    <w:rsid w:val="00634991"/>
    <w:rsid w:val="00634F23"/>
    <w:rsid w:val="0063506B"/>
    <w:rsid w:val="0063582E"/>
    <w:rsid w:val="006358A8"/>
    <w:rsid w:val="00635D0E"/>
    <w:rsid w:val="006377A0"/>
    <w:rsid w:val="00637A64"/>
    <w:rsid w:val="00637BD0"/>
    <w:rsid w:val="00640E59"/>
    <w:rsid w:val="0064115D"/>
    <w:rsid w:val="0064174E"/>
    <w:rsid w:val="006420B6"/>
    <w:rsid w:val="006423EA"/>
    <w:rsid w:val="006426A5"/>
    <w:rsid w:val="006430B5"/>
    <w:rsid w:val="00643EEC"/>
    <w:rsid w:val="006440A7"/>
    <w:rsid w:val="00645B90"/>
    <w:rsid w:val="00646752"/>
    <w:rsid w:val="00647629"/>
    <w:rsid w:val="00650012"/>
    <w:rsid w:val="006502E8"/>
    <w:rsid w:val="0065055F"/>
    <w:rsid w:val="006518C3"/>
    <w:rsid w:val="00652CEA"/>
    <w:rsid w:val="006550EE"/>
    <w:rsid w:val="00655A29"/>
    <w:rsid w:val="006572E6"/>
    <w:rsid w:val="00657432"/>
    <w:rsid w:val="00657D62"/>
    <w:rsid w:val="00657D82"/>
    <w:rsid w:val="00660646"/>
    <w:rsid w:val="00661F8E"/>
    <w:rsid w:val="006621E5"/>
    <w:rsid w:val="006622A9"/>
    <w:rsid w:val="00662715"/>
    <w:rsid w:val="0066313B"/>
    <w:rsid w:val="00663591"/>
    <w:rsid w:val="00663AF3"/>
    <w:rsid w:val="00663DE8"/>
    <w:rsid w:val="00664849"/>
    <w:rsid w:val="006650EA"/>
    <w:rsid w:val="00665F9F"/>
    <w:rsid w:val="0066636D"/>
    <w:rsid w:val="00667AAB"/>
    <w:rsid w:val="0067132C"/>
    <w:rsid w:val="00671489"/>
    <w:rsid w:val="00671B7F"/>
    <w:rsid w:val="00672DC3"/>
    <w:rsid w:val="00673218"/>
    <w:rsid w:val="00673AE1"/>
    <w:rsid w:val="00673C1E"/>
    <w:rsid w:val="0067404C"/>
    <w:rsid w:val="0067418A"/>
    <w:rsid w:val="00674BCA"/>
    <w:rsid w:val="00674E56"/>
    <w:rsid w:val="00675388"/>
    <w:rsid w:val="006753DD"/>
    <w:rsid w:val="006755BB"/>
    <w:rsid w:val="0067587C"/>
    <w:rsid w:val="00675DB0"/>
    <w:rsid w:val="0067779E"/>
    <w:rsid w:val="006803C1"/>
    <w:rsid w:val="00680917"/>
    <w:rsid w:val="00681087"/>
    <w:rsid w:val="00681D8A"/>
    <w:rsid w:val="006823D7"/>
    <w:rsid w:val="0068374F"/>
    <w:rsid w:val="00683A8E"/>
    <w:rsid w:val="00683B4F"/>
    <w:rsid w:val="00683EFC"/>
    <w:rsid w:val="00684302"/>
    <w:rsid w:val="00684817"/>
    <w:rsid w:val="00684D2A"/>
    <w:rsid w:val="006854B8"/>
    <w:rsid w:val="00685EC6"/>
    <w:rsid w:val="00686078"/>
    <w:rsid w:val="00686443"/>
    <w:rsid w:val="00686EA7"/>
    <w:rsid w:val="00687757"/>
    <w:rsid w:val="006927C7"/>
    <w:rsid w:val="006928D9"/>
    <w:rsid w:val="00692CC9"/>
    <w:rsid w:val="00692CF7"/>
    <w:rsid w:val="006940BF"/>
    <w:rsid w:val="0069513E"/>
    <w:rsid w:val="0069576C"/>
    <w:rsid w:val="00695F36"/>
    <w:rsid w:val="0069677D"/>
    <w:rsid w:val="00696FF1"/>
    <w:rsid w:val="00697284"/>
    <w:rsid w:val="0069794E"/>
    <w:rsid w:val="006A017C"/>
    <w:rsid w:val="006A0C29"/>
    <w:rsid w:val="006A2267"/>
    <w:rsid w:val="006A276C"/>
    <w:rsid w:val="006A27E1"/>
    <w:rsid w:val="006A305E"/>
    <w:rsid w:val="006A3152"/>
    <w:rsid w:val="006A31C4"/>
    <w:rsid w:val="006A35D5"/>
    <w:rsid w:val="006A47EB"/>
    <w:rsid w:val="006A4932"/>
    <w:rsid w:val="006A566B"/>
    <w:rsid w:val="006A5F7B"/>
    <w:rsid w:val="006A626A"/>
    <w:rsid w:val="006A7402"/>
    <w:rsid w:val="006A7E80"/>
    <w:rsid w:val="006B1251"/>
    <w:rsid w:val="006B20FA"/>
    <w:rsid w:val="006B21E0"/>
    <w:rsid w:val="006B372C"/>
    <w:rsid w:val="006B49F8"/>
    <w:rsid w:val="006B5BDE"/>
    <w:rsid w:val="006B5DEA"/>
    <w:rsid w:val="006B6DD7"/>
    <w:rsid w:val="006B720A"/>
    <w:rsid w:val="006B7A31"/>
    <w:rsid w:val="006B7BB9"/>
    <w:rsid w:val="006C0743"/>
    <w:rsid w:val="006C0D6A"/>
    <w:rsid w:val="006C0F55"/>
    <w:rsid w:val="006C1F29"/>
    <w:rsid w:val="006C1F92"/>
    <w:rsid w:val="006C29BC"/>
    <w:rsid w:val="006C29ED"/>
    <w:rsid w:val="006C4092"/>
    <w:rsid w:val="006C40AF"/>
    <w:rsid w:val="006C5487"/>
    <w:rsid w:val="006C560E"/>
    <w:rsid w:val="006C586B"/>
    <w:rsid w:val="006C68DF"/>
    <w:rsid w:val="006C6D5C"/>
    <w:rsid w:val="006D0337"/>
    <w:rsid w:val="006D0485"/>
    <w:rsid w:val="006D0A51"/>
    <w:rsid w:val="006D0BA2"/>
    <w:rsid w:val="006D0D02"/>
    <w:rsid w:val="006D0F02"/>
    <w:rsid w:val="006D1BAC"/>
    <w:rsid w:val="006D2FCA"/>
    <w:rsid w:val="006D3492"/>
    <w:rsid w:val="006D3C41"/>
    <w:rsid w:val="006D3D7A"/>
    <w:rsid w:val="006D3E0B"/>
    <w:rsid w:val="006D435A"/>
    <w:rsid w:val="006D49C3"/>
    <w:rsid w:val="006D52A0"/>
    <w:rsid w:val="006E060F"/>
    <w:rsid w:val="006E2096"/>
    <w:rsid w:val="006E2B35"/>
    <w:rsid w:val="006E32A2"/>
    <w:rsid w:val="006E3C43"/>
    <w:rsid w:val="006E491B"/>
    <w:rsid w:val="006E689F"/>
    <w:rsid w:val="006E713E"/>
    <w:rsid w:val="006E78C8"/>
    <w:rsid w:val="006F1CAC"/>
    <w:rsid w:val="006F3069"/>
    <w:rsid w:val="006F58D2"/>
    <w:rsid w:val="006F5948"/>
    <w:rsid w:val="006F60C5"/>
    <w:rsid w:val="006F6150"/>
    <w:rsid w:val="006F676B"/>
    <w:rsid w:val="006F6C0E"/>
    <w:rsid w:val="006F73F0"/>
    <w:rsid w:val="007005C1"/>
    <w:rsid w:val="00700782"/>
    <w:rsid w:val="00700B88"/>
    <w:rsid w:val="00701653"/>
    <w:rsid w:val="00701B4A"/>
    <w:rsid w:val="007022B4"/>
    <w:rsid w:val="007023AA"/>
    <w:rsid w:val="007023C1"/>
    <w:rsid w:val="007027B1"/>
    <w:rsid w:val="007032A3"/>
    <w:rsid w:val="0070440E"/>
    <w:rsid w:val="00706043"/>
    <w:rsid w:val="00706107"/>
    <w:rsid w:val="007075B6"/>
    <w:rsid w:val="00707D92"/>
    <w:rsid w:val="00707DFF"/>
    <w:rsid w:val="00707EC4"/>
    <w:rsid w:val="00710FCA"/>
    <w:rsid w:val="00711909"/>
    <w:rsid w:val="00711BFC"/>
    <w:rsid w:val="0071356B"/>
    <w:rsid w:val="00714036"/>
    <w:rsid w:val="007142F7"/>
    <w:rsid w:val="00715F5A"/>
    <w:rsid w:val="00716456"/>
    <w:rsid w:val="00716C5C"/>
    <w:rsid w:val="007172BD"/>
    <w:rsid w:val="00720F4F"/>
    <w:rsid w:val="00721AD3"/>
    <w:rsid w:val="007228D0"/>
    <w:rsid w:val="00722AAF"/>
    <w:rsid w:val="00722ACD"/>
    <w:rsid w:val="0072344B"/>
    <w:rsid w:val="0072371F"/>
    <w:rsid w:val="00724983"/>
    <w:rsid w:val="00725045"/>
    <w:rsid w:val="00725586"/>
    <w:rsid w:val="00726B21"/>
    <w:rsid w:val="00726C7A"/>
    <w:rsid w:val="007317B3"/>
    <w:rsid w:val="00731E46"/>
    <w:rsid w:val="00731FAC"/>
    <w:rsid w:val="00732114"/>
    <w:rsid w:val="00732F27"/>
    <w:rsid w:val="00733293"/>
    <w:rsid w:val="00734B08"/>
    <w:rsid w:val="00735DB3"/>
    <w:rsid w:val="00735E7B"/>
    <w:rsid w:val="007362D8"/>
    <w:rsid w:val="007363B8"/>
    <w:rsid w:val="0073770B"/>
    <w:rsid w:val="00737A23"/>
    <w:rsid w:val="00740643"/>
    <w:rsid w:val="007406F4"/>
    <w:rsid w:val="007409A4"/>
    <w:rsid w:val="00740FCE"/>
    <w:rsid w:val="00741C01"/>
    <w:rsid w:val="00741F7C"/>
    <w:rsid w:val="007420C5"/>
    <w:rsid w:val="0074275F"/>
    <w:rsid w:val="007432B9"/>
    <w:rsid w:val="00743ED5"/>
    <w:rsid w:val="007449F1"/>
    <w:rsid w:val="00745CC5"/>
    <w:rsid w:val="00745E68"/>
    <w:rsid w:val="00746597"/>
    <w:rsid w:val="00746794"/>
    <w:rsid w:val="00747310"/>
    <w:rsid w:val="00747696"/>
    <w:rsid w:val="0075001C"/>
    <w:rsid w:val="00751D63"/>
    <w:rsid w:val="00752051"/>
    <w:rsid w:val="00752484"/>
    <w:rsid w:val="00752D90"/>
    <w:rsid w:val="00753271"/>
    <w:rsid w:val="00753E41"/>
    <w:rsid w:val="007548E0"/>
    <w:rsid w:val="00754A91"/>
    <w:rsid w:val="00754C5A"/>
    <w:rsid w:val="00755982"/>
    <w:rsid w:val="00755AAD"/>
    <w:rsid w:val="0075727D"/>
    <w:rsid w:val="00760ED7"/>
    <w:rsid w:val="00761B36"/>
    <w:rsid w:val="00761D8B"/>
    <w:rsid w:val="0076246C"/>
    <w:rsid w:val="007626FB"/>
    <w:rsid w:val="007642B8"/>
    <w:rsid w:val="00764FE1"/>
    <w:rsid w:val="007657CA"/>
    <w:rsid w:val="00765DC7"/>
    <w:rsid w:val="007711E2"/>
    <w:rsid w:val="007717B7"/>
    <w:rsid w:val="00771F97"/>
    <w:rsid w:val="007726E4"/>
    <w:rsid w:val="00772E65"/>
    <w:rsid w:val="00772F3A"/>
    <w:rsid w:val="007737D7"/>
    <w:rsid w:val="00773B8C"/>
    <w:rsid w:val="00773FC4"/>
    <w:rsid w:val="007741EF"/>
    <w:rsid w:val="0077511A"/>
    <w:rsid w:val="00775ECE"/>
    <w:rsid w:val="007763A9"/>
    <w:rsid w:val="00776635"/>
    <w:rsid w:val="007768D1"/>
    <w:rsid w:val="00776C73"/>
    <w:rsid w:val="00777453"/>
    <w:rsid w:val="00781AC3"/>
    <w:rsid w:val="00781CF9"/>
    <w:rsid w:val="007820F2"/>
    <w:rsid w:val="007821AD"/>
    <w:rsid w:val="007826D3"/>
    <w:rsid w:val="007832EA"/>
    <w:rsid w:val="00783EA4"/>
    <w:rsid w:val="0078484B"/>
    <w:rsid w:val="00784E58"/>
    <w:rsid w:val="007853F7"/>
    <w:rsid w:val="0078676E"/>
    <w:rsid w:val="00786850"/>
    <w:rsid w:val="00787498"/>
    <w:rsid w:val="00787C38"/>
    <w:rsid w:val="00790BE8"/>
    <w:rsid w:val="0079101C"/>
    <w:rsid w:val="007915A4"/>
    <w:rsid w:val="00791621"/>
    <w:rsid w:val="00791B55"/>
    <w:rsid w:val="00791E0A"/>
    <w:rsid w:val="00791FE8"/>
    <w:rsid w:val="00792F8A"/>
    <w:rsid w:val="0079581E"/>
    <w:rsid w:val="00795A1E"/>
    <w:rsid w:val="00796441"/>
    <w:rsid w:val="0079783A"/>
    <w:rsid w:val="00797E3D"/>
    <w:rsid w:val="007A173A"/>
    <w:rsid w:val="007A2B11"/>
    <w:rsid w:val="007A31CD"/>
    <w:rsid w:val="007A3744"/>
    <w:rsid w:val="007A48D6"/>
    <w:rsid w:val="007A4971"/>
    <w:rsid w:val="007A4A2E"/>
    <w:rsid w:val="007A523D"/>
    <w:rsid w:val="007A548E"/>
    <w:rsid w:val="007A7031"/>
    <w:rsid w:val="007A7104"/>
    <w:rsid w:val="007A7658"/>
    <w:rsid w:val="007A7DA4"/>
    <w:rsid w:val="007B1575"/>
    <w:rsid w:val="007B1CD7"/>
    <w:rsid w:val="007B2578"/>
    <w:rsid w:val="007B2AA6"/>
    <w:rsid w:val="007B2B6F"/>
    <w:rsid w:val="007B309E"/>
    <w:rsid w:val="007B34B6"/>
    <w:rsid w:val="007B4BB6"/>
    <w:rsid w:val="007B5C00"/>
    <w:rsid w:val="007B7854"/>
    <w:rsid w:val="007C0E43"/>
    <w:rsid w:val="007C1E86"/>
    <w:rsid w:val="007C291C"/>
    <w:rsid w:val="007C3F3D"/>
    <w:rsid w:val="007C4640"/>
    <w:rsid w:val="007C48BE"/>
    <w:rsid w:val="007C52E9"/>
    <w:rsid w:val="007C557A"/>
    <w:rsid w:val="007C6BE0"/>
    <w:rsid w:val="007C6CD6"/>
    <w:rsid w:val="007C710C"/>
    <w:rsid w:val="007C778E"/>
    <w:rsid w:val="007C7B07"/>
    <w:rsid w:val="007D044E"/>
    <w:rsid w:val="007D0467"/>
    <w:rsid w:val="007D16C6"/>
    <w:rsid w:val="007D182E"/>
    <w:rsid w:val="007D28CA"/>
    <w:rsid w:val="007D332A"/>
    <w:rsid w:val="007D362E"/>
    <w:rsid w:val="007D4317"/>
    <w:rsid w:val="007D4DE6"/>
    <w:rsid w:val="007D5585"/>
    <w:rsid w:val="007D5810"/>
    <w:rsid w:val="007D6918"/>
    <w:rsid w:val="007D709D"/>
    <w:rsid w:val="007D733F"/>
    <w:rsid w:val="007E0360"/>
    <w:rsid w:val="007E0407"/>
    <w:rsid w:val="007E1B5B"/>
    <w:rsid w:val="007E1E9D"/>
    <w:rsid w:val="007E226B"/>
    <w:rsid w:val="007E2DE4"/>
    <w:rsid w:val="007E304E"/>
    <w:rsid w:val="007E338C"/>
    <w:rsid w:val="007E41C5"/>
    <w:rsid w:val="007E4306"/>
    <w:rsid w:val="007E469E"/>
    <w:rsid w:val="007E4C06"/>
    <w:rsid w:val="007E4C40"/>
    <w:rsid w:val="007E5406"/>
    <w:rsid w:val="007E572E"/>
    <w:rsid w:val="007E5736"/>
    <w:rsid w:val="007E6771"/>
    <w:rsid w:val="007E678F"/>
    <w:rsid w:val="007E68AA"/>
    <w:rsid w:val="007E7165"/>
    <w:rsid w:val="007E7B82"/>
    <w:rsid w:val="007F0564"/>
    <w:rsid w:val="007F2268"/>
    <w:rsid w:val="007F3024"/>
    <w:rsid w:val="007F31A0"/>
    <w:rsid w:val="007F324B"/>
    <w:rsid w:val="007F3679"/>
    <w:rsid w:val="007F3783"/>
    <w:rsid w:val="007F40A8"/>
    <w:rsid w:val="007F43F6"/>
    <w:rsid w:val="007F6138"/>
    <w:rsid w:val="007F6385"/>
    <w:rsid w:val="00800CDA"/>
    <w:rsid w:val="00802100"/>
    <w:rsid w:val="00802FAE"/>
    <w:rsid w:val="00803087"/>
    <w:rsid w:val="008032A8"/>
    <w:rsid w:val="00804861"/>
    <w:rsid w:val="00805419"/>
    <w:rsid w:val="00805DB4"/>
    <w:rsid w:val="0080707A"/>
    <w:rsid w:val="00810E62"/>
    <w:rsid w:val="00811906"/>
    <w:rsid w:val="00811C55"/>
    <w:rsid w:val="00812E7C"/>
    <w:rsid w:val="00813560"/>
    <w:rsid w:val="00814BA1"/>
    <w:rsid w:val="00815311"/>
    <w:rsid w:val="0081564D"/>
    <w:rsid w:val="00815997"/>
    <w:rsid w:val="00816A2B"/>
    <w:rsid w:val="00817260"/>
    <w:rsid w:val="00820212"/>
    <w:rsid w:val="0082043D"/>
    <w:rsid w:val="00820922"/>
    <w:rsid w:val="00821012"/>
    <w:rsid w:val="00821A23"/>
    <w:rsid w:val="00821A7B"/>
    <w:rsid w:val="00821EDF"/>
    <w:rsid w:val="00822844"/>
    <w:rsid w:val="00823289"/>
    <w:rsid w:val="00823E97"/>
    <w:rsid w:val="008242CF"/>
    <w:rsid w:val="00824554"/>
    <w:rsid w:val="008246CF"/>
    <w:rsid w:val="008249E5"/>
    <w:rsid w:val="00824D6F"/>
    <w:rsid w:val="008251F3"/>
    <w:rsid w:val="00825A85"/>
    <w:rsid w:val="008272D8"/>
    <w:rsid w:val="0083030E"/>
    <w:rsid w:val="008310FB"/>
    <w:rsid w:val="0083127D"/>
    <w:rsid w:val="008318CC"/>
    <w:rsid w:val="00832E97"/>
    <w:rsid w:val="00833216"/>
    <w:rsid w:val="008336BD"/>
    <w:rsid w:val="00833A56"/>
    <w:rsid w:val="00833AC7"/>
    <w:rsid w:val="00833E80"/>
    <w:rsid w:val="00834BAA"/>
    <w:rsid w:val="00834C49"/>
    <w:rsid w:val="00836009"/>
    <w:rsid w:val="008363E1"/>
    <w:rsid w:val="00836AAF"/>
    <w:rsid w:val="008371B2"/>
    <w:rsid w:val="00837B10"/>
    <w:rsid w:val="00837B79"/>
    <w:rsid w:val="00837B94"/>
    <w:rsid w:val="00837C9D"/>
    <w:rsid w:val="00837D00"/>
    <w:rsid w:val="0084017C"/>
    <w:rsid w:val="00841273"/>
    <w:rsid w:val="008412DA"/>
    <w:rsid w:val="008415EC"/>
    <w:rsid w:val="00842875"/>
    <w:rsid w:val="00842FFD"/>
    <w:rsid w:val="008432BC"/>
    <w:rsid w:val="00843429"/>
    <w:rsid w:val="008434A1"/>
    <w:rsid w:val="00843986"/>
    <w:rsid w:val="008439EE"/>
    <w:rsid w:val="00843BE2"/>
    <w:rsid w:val="00843FEA"/>
    <w:rsid w:val="00844067"/>
    <w:rsid w:val="0084413D"/>
    <w:rsid w:val="00844BB3"/>
    <w:rsid w:val="00845064"/>
    <w:rsid w:val="00845218"/>
    <w:rsid w:val="008455ED"/>
    <w:rsid w:val="00846494"/>
    <w:rsid w:val="00846ADE"/>
    <w:rsid w:val="00846EBE"/>
    <w:rsid w:val="008472C5"/>
    <w:rsid w:val="00847CED"/>
    <w:rsid w:val="00850178"/>
    <w:rsid w:val="00850267"/>
    <w:rsid w:val="00850420"/>
    <w:rsid w:val="008507A6"/>
    <w:rsid w:val="00850C78"/>
    <w:rsid w:val="00851FE5"/>
    <w:rsid w:val="008523A3"/>
    <w:rsid w:val="008529A5"/>
    <w:rsid w:val="00853377"/>
    <w:rsid w:val="00853DF2"/>
    <w:rsid w:val="008542F1"/>
    <w:rsid w:val="00854B6B"/>
    <w:rsid w:val="00855027"/>
    <w:rsid w:val="00856390"/>
    <w:rsid w:val="008564D5"/>
    <w:rsid w:val="0085718F"/>
    <w:rsid w:val="00857E25"/>
    <w:rsid w:val="00860A90"/>
    <w:rsid w:val="008628B6"/>
    <w:rsid w:val="00862A3F"/>
    <w:rsid w:val="008630DD"/>
    <w:rsid w:val="0086362C"/>
    <w:rsid w:val="00863E03"/>
    <w:rsid w:val="008641E0"/>
    <w:rsid w:val="00864564"/>
    <w:rsid w:val="00865911"/>
    <w:rsid w:val="00866EDB"/>
    <w:rsid w:val="00867894"/>
    <w:rsid w:val="00870F4C"/>
    <w:rsid w:val="0087107E"/>
    <w:rsid w:val="008717A2"/>
    <w:rsid w:val="00871D76"/>
    <w:rsid w:val="00872365"/>
    <w:rsid w:val="00872A8B"/>
    <w:rsid w:val="0087354D"/>
    <w:rsid w:val="00873EC1"/>
    <w:rsid w:val="008768A5"/>
    <w:rsid w:val="00877F69"/>
    <w:rsid w:val="0088029A"/>
    <w:rsid w:val="008808EF"/>
    <w:rsid w:val="008825D4"/>
    <w:rsid w:val="00883099"/>
    <w:rsid w:val="00883110"/>
    <w:rsid w:val="0088319E"/>
    <w:rsid w:val="00883235"/>
    <w:rsid w:val="00885667"/>
    <w:rsid w:val="00885792"/>
    <w:rsid w:val="00885B56"/>
    <w:rsid w:val="00886062"/>
    <w:rsid w:val="00887D8B"/>
    <w:rsid w:val="00890E93"/>
    <w:rsid w:val="00892629"/>
    <w:rsid w:val="008928F6"/>
    <w:rsid w:val="00892E05"/>
    <w:rsid w:val="00893060"/>
    <w:rsid w:val="0089388D"/>
    <w:rsid w:val="00893C6C"/>
    <w:rsid w:val="00893E1A"/>
    <w:rsid w:val="00893F87"/>
    <w:rsid w:val="008940CA"/>
    <w:rsid w:val="00894245"/>
    <w:rsid w:val="0089452A"/>
    <w:rsid w:val="00894CF5"/>
    <w:rsid w:val="00895592"/>
    <w:rsid w:val="008955A6"/>
    <w:rsid w:val="00897517"/>
    <w:rsid w:val="00897C38"/>
    <w:rsid w:val="008A0460"/>
    <w:rsid w:val="008A0D8A"/>
    <w:rsid w:val="008A1080"/>
    <w:rsid w:val="008A222B"/>
    <w:rsid w:val="008A2CD9"/>
    <w:rsid w:val="008A2EC6"/>
    <w:rsid w:val="008A3CBE"/>
    <w:rsid w:val="008A451F"/>
    <w:rsid w:val="008A467D"/>
    <w:rsid w:val="008A559B"/>
    <w:rsid w:val="008A5E3D"/>
    <w:rsid w:val="008A603E"/>
    <w:rsid w:val="008A62BA"/>
    <w:rsid w:val="008A69F7"/>
    <w:rsid w:val="008A6F52"/>
    <w:rsid w:val="008A74B4"/>
    <w:rsid w:val="008A7E8D"/>
    <w:rsid w:val="008B010B"/>
    <w:rsid w:val="008B0389"/>
    <w:rsid w:val="008B1037"/>
    <w:rsid w:val="008B1747"/>
    <w:rsid w:val="008B185E"/>
    <w:rsid w:val="008B2A0F"/>
    <w:rsid w:val="008B36AC"/>
    <w:rsid w:val="008B4A24"/>
    <w:rsid w:val="008B4C44"/>
    <w:rsid w:val="008B5852"/>
    <w:rsid w:val="008B5BA3"/>
    <w:rsid w:val="008B60BF"/>
    <w:rsid w:val="008B6AB6"/>
    <w:rsid w:val="008B6F60"/>
    <w:rsid w:val="008B75D0"/>
    <w:rsid w:val="008C0338"/>
    <w:rsid w:val="008C0A73"/>
    <w:rsid w:val="008C0F3D"/>
    <w:rsid w:val="008C2856"/>
    <w:rsid w:val="008C4754"/>
    <w:rsid w:val="008C49CD"/>
    <w:rsid w:val="008C5BFF"/>
    <w:rsid w:val="008C620A"/>
    <w:rsid w:val="008C6766"/>
    <w:rsid w:val="008C68F7"/>
    <w:rsid w:val="008C717F"/>
    <w:rsid w:val="008C7677"/>
    <w:rsid w:val="008C7B32"/>
    <w:rsid w:val="008C7CFB"/>
    <w:rsid w:val="008D08BC"/>
    <w:rsid w:val="008D118F"/>
    <w:rsid w:val="008D204A"/>
    <w:rsid w:val="008D2680"/>
    <w:rsid w:val="008D2916"/>
    <w:rsid w:val="008D2BC6"/>
    <w:rsid w:val="008D2E9C"/>
    <w:rsid w:val="008D36C8"/>
    <w:rsid w:val="008D3E9B"/>
    <w:rsid w:val="008D3EB2"/>
    <w:rsid w:val="008D3EC8"/>
    <w:rsid w:val="008D4965"/>
    <w:rsid w:val="008D62A2"/>
    <w:rsid w:val="008E0D33"/>
    <w:rsid w:val="008E1144"/>
    <w:rsid w:val="008E14C5"/>
    <w:rsid w:val="008E284D"/>
    <w:rsid w:val="008E32BD"/>
    <w:rsid w:val="008E35A2"/>
    <w:rsid w:val="008E3DD4"/>
    <w:rsid w:val="008E41CC"/>
    <w:rsid w:val="008E4288"/>
    <w:rsid w:val="008E473B"/>
    <w:rsid w:val="008E50AF"/>
    <w:rsid w:val="008E56D1"/>
    <w:rsid w:val="008E6316"/>
    <w:rsid w:val="008E6445"/>
    <w:rsid w:val="008E6465"/>
    <w:rsid w:val="008E66D4"/>
    <w:rsid w:val="008F073C"/>
    <w:rsid w:val="008F0E09"/>
    <w:rsid w:val="008F2119"/>
    <w:rsid w:val="008F2862"/>
    <w:rsid w:val="008F28EB"/>
    <w:rsid w:val="008F3C6D"/>
    <w:rsid w:val="008F3F77"/>
    <w:rsid w:val="008F40B9"/>
    <w:rsid w:val="008F4615"/>
    <w:rsid w:val="008F5EA7"/>
    <w:rsid w:val="008F6563"/>
    <w:rsid w:val="008F73C3"/>
    <w:rsid w:val="008F7DE0"/>
    <w:rsid w:val="008F7E1D"/>
    <w:rsid w:val="008F7E83"/>
    <w:rsid w:val="0090047B"/>
    <w:rsid w:val="00900D7B"/>
    <w:rsid w:val="00900F16"/>
    <w:rsid w:val="00901595"/>
    <w:rsid w:val="0090199E"/>
    <w:rsid w:val="00903FFD"/>
    <w:rsid w:val="009043DA"/>
    <w:rsid w:val="009050F9"/>
    <w:rsid w:val="00905201"/>
    <w:rsid w:val="00905C43"/>
    <w:rsid w:val="009061D9"/>
    <w:rsid w:val="00906D5B"/>
    <w:rsid w:val="009074FA"/>
    <w:rsid w:val="00907742"/>
    <w:rsid w:val="00907C5A"/>
    <w:rsid w:val="0091013E"/>
    <w:rsid w:val="009106B7"/>
    <w:rsid w:val="00910ED9"/>
    <w:rsid w:val="0091113D"/>
    <w:rsid w:val="00911686"/>
    <w:rsid w:val="00911B95"/>
    <w:rsid w:val="00912CD0"/>
    <w:rsid w:val="009131EA"/>
    <w:rsid w:val="009135E8"/>
    <w:rsid w:val="00913D5A"/>
    <w:rsid w:val="00914E1F"/>
    <w:rsid w:val="00914E6F"/>
    <w:rsid w:val="009159EF"/>
    <w:rsid w:val="00915E0C"/>
    <w:rsid w:val="00916C8C"/>
    <w:rsid w:val="00916FBA"/>
    <w:rsid w:val="009177D2"/>
    <w:rsid w:val="00917B6E"/>
    <w:rsid w:val="00920595"/>
    <w:rsid w:val="00920ACF"/>
    <w:rsid w:val="00921EB1"/>
    <w:rsid w:val="00923253"/>
    <w:rsid w:val="00924329"/>
    <w:rsid w:val="009247F9"/>
    <w:rsid w:val="009256FD"/>
    <w:rsid w:val="00925C53"/>
    <w:rsid w:val="00926019"/>
    <w:rsid w:val="0092685C"/>
    <w:rsid w:val="009269AD"/>
    <w:rsid w:val="00930479"/>
    <w:rsid w:val="00930B7C"/>
    <w:rsid w:val="00930F57"/>
    <w:rsid w:val="009319B4"/>
    <w:rsid w:val="00932425"/>
    <w:rsid w:val="00933963"/>
    <w:rsid w:val="00933C1D"/>
    <w:rsid w:val="00934BE5"/>
    <w:rsid w:val="00934DDF"/>
    <w:rsid w:val="009356A3"/>
    <w:rsid w:val="00935D74"/>
    <w:rsid w:val="009366C8"/>
    <w:rsid w:val="00936EB3"/>
    <w:rsid w:val="00940789"/>
    <w:rsid w:val="009409C3"/>
    <w:rsid w:val="0094107D"/>
    <w:rsid w:val="009416AF"/>
    <w:rsid w:val="0094393F"/>
    <w:rsid w:val="00943F83"/>
    <w:rsid w:val="00944E2A"/>
    <w:rsid w:val="00945271"/>
    <w:rsid w:val="00945960"/>
    <w:rsid w:val="00946EF0"/>
    <w:rsid w:val="00946F3B"/>
    <w:rsid w:val="00947609"/>
    <w:rsid w:val="00947B3F"/>
    <w:rsid w:val="00947C48"/>
    <w:rsid w:val="00947E5D"/>
    <w:rsid w:val="0095095B"/>
    <w:rsid w:val="00950ECD"/>
    <w:rsid w:val="00951358"/>
    <w:rsid w:val="00951641"/>
    <w:rsid w:val="00951794"/>
    <w:rsid w:val="00951EBE"/>
    <w:rsid w:val="00953EBB"/>
    <w:rsid w:val="00954209"/>
    <w:rsid w:val="0095420F"/>
    <w:rsid w:val="00955B08"/>
    <w:rsid w:val="00955E13"/>
    <w:rsid w:val="00955F61"/>
    <w:rsid w:val="009568F8"/>
    <w:rsid w:val="00956CD8"/>
    <w:rsid w:val="00957F38"/>
    <w:rsid w:val="00960778"/>
    <w:rsid w:val="009611E3"/>
    <w:rsid w:val="00961AFC"/>
    <w:rsid w:val="009627C0"/>
    <w:rsid w:val="00962D35"/>
    <w:rsid w:val="00962DA7"/>
    <w:rsid w:val="00963A15"/>
    <w:rsid w:val="00964F88"/>
    <w:rsid w:val="00965769"/>
    <w:rsid w:val="00965C17"/>
    <w:rsid w:val="00965E93"/>
    <w:rsid w:val="00966651"/>
    <w:rsid w:val="00966A4E"/>
    <w:rsid w:val="00966A85"/>
    <w:rsid w:val="009679E0"/>
    <w:rsid w:val="00970051"/>
    <w:rsid w:val="0097059F"/>
    <w:rsid w:val="00971F94"/>
    <w:rsid w:val="00972436"/>
    <w:rsid w:val="00972CDD"/>
    <w:rsid w:val="00972D51"/>
    <w:rsid w:val="0097343C"/>
    <w:rsid w:val="009737C0"/>
    <w:rsid w:val="00973929"/>
    <w:rsid w:val="00974D72"/>
    <w:rsid w:val="00975C2A"/>
    <w:rsid w:val="00975DD6"/>
    <w:rsid w:val="0097604E"/>
    <w:rsid w:val="009767FE"/>
    <w:rsid w:val="00976C6D"/>
    <w:rsid w:val="00977EC1"/>
    <w:rsid w:val="00981126"/>
    <w:rsid w:val="00981301"/>
    <w:rsid w:val="00981ADE"/>
    <w:rsid w:val="00982440"/>
    <w:rsid w:val="009828E4"/>
    <w:rsid w:val="009829C6"/>
    <w:rsid w:val="0098338F"/>
    <w:rsid w:val="00983714"/>
    <w:rsid w:val="00984E88"/>
    <w:rsid w:val="00985101"/>
    <w:rsid w:val="00985AA7"/>
    <w:rsid w:val="009867E6"/>
    <w:rsid w:val="00986BBB"/>
    <w:rsid w:val="00990900"/>
    <w:rsid w:val="00990949"/>
    <w:rsid w:val="00991D21"/>
    <w:rsid w:val="0099202B"/>
    <w:rsid w:val="009921E6"/>
    <w:rsid w:val="0099260A"/>
    <w:rsid w:val="009929E6"/>
    <w:rsid w:val="009930A0"/>
    <w:rsid w:val="00993C18"/>
    <w:rsid w:val="0099463F"/>
    <w:rsid w:val="0099526D"/>
    <w:rsid w:val="00996453"/>
    <w:rsid w:val="00996BE7"/>
    <w:rsid w:val="00996CB3"/>
    <w:rsid w:val="00996F75"/>
    <w:rsid w:val="0099706A"/>
    <w:rsid w:val="00997B8B"/>
    <w:rsid w:val="00997BCA"/>
    <w:rsid w:val="009A05BD"/>
    <w:rsid w:val="009A0B6E"/>
    <w:rsid w:val="009A26C3"/>
    <w:rsid w:val="009A2C6B"/>
    <w:rsid w:val="009A31FF"/>
    <w:rsid w:val="009A373C"/>
    <w:rsid w:val="009A3B81"/>
    <w:rsid w:val="009A3DCE"/>
    <w:rsid w:val="009A3F8A"/>
    <w:rsid w:val="009A4A7B"/>
    <w:rsid w:val="009A4A81"/>
    <w:rsid w:val="009A5565"/>
    <w:rsid w:val="009A7563"/>
    <w:rsid w:val="009A781F"/>
    <w:rsid w:val="009B09C3"/>
    <w:rsid w:val="009B0C7E"/>
    <w:rsid w:val="009B0F8E"/>
    <w:rsid w:val="009B1BD7"/>
    <w:rsid w:val="009B2083"/>
    <w:rsid w:val="009B2165"/>
    <w:rsid w:val="009B2B66"/>
    <w:rsid w:val="009B2F58"/>
    <w:rsid w:val="009B33DF"/>
    <w:rsid w:val="009B3502"/>
    <w:rsid w:val="009B4F0E"/>
    <w:rsid w:val="009B5B78"/>
    <w:rsid w:val="009B5CA2"/>
    <w:rsid w:val="009B6440"/>
    <w:rsid w:val="009B65A2"/>
    <w:rsid w:val="009B7FF4"/>
    <w:rsid w:val="009C04CD"/>
    <w:rsid w:val="009C1841"/>
    <w:rsid w:val="009C1DB3"/>
    <w:rsid w:val="009C2A2B"/>
    <w:rsid w:val="009C3A3A"/>
    <w:rsid w:val="009C411B"/>
    <w:rsid w:val="009C432F"/>
    <w:rsid w:val="009C4ADD"/>
    <w:rsid w:val="009C4CCC"/>
    <w:rsid w:val="009C4F73"/>
    <w:rsid w:val="009C4FF9"/>
    <w:rsid w:val="009C60C6"/>
    <w:rsid w:val="009C6A2B"/>
    <w:rsid w:val="009C6AED"/>
    <w:rsid w:val="009C7F64"/>
    <w:rsid w:val="009D0504"/>
    <w:rsid w:val="009D060F"/>
    <w:rsid w:val="009D106A"/>
    <w:rsid w:val="009D1757"/>
    <w:rsid w:val="009D1FE5"/>
    <w:rsid w:val="009D3472"/>
    <w:rsid w:val="009D3646"/>
    <w:rsid w:val="009D436C"/>
    <w:rsid w:val="009D445F"/>
    <w:rsid w:val="009D506A"/>
    <w:rsid w:val="009D53B9"/>
    <w:rsid w:val="009D6562"/>
    <w:rsid w:val="009D7053"/>
    <w:rsid w:val="009E01BB"/>
    <w:rsid w:val="009E0804"/>
    <w:rsid w:val="009E2BB3"/>
    <w:rsid w:val="009E2E12"/>
    <w:rsid w:val="009E4CA1"/>
    <w:rsid w:val="009E4E0D"/>
    <w:rsid w:val="009E54D8"/>
    <w:rsid w:val="009E55CD"/>
    <w:rsid w:val="009E6BEC"/>
    <w:rsid w:val="009E6E9E"/>
    <w:rsid w:val="009E7747"/>
    <w:rsid w:val="009E7AB2"/>
    <w:rsid w:val="009E7E72"/>
    <w:rsid w:val="009F04C7"/>
    <w:rsid w:val="009F07ED"/>
    <w:rsid w:val="009F10D5"/>
    <w:rsid w:val="009F398B"/>
    <w:rsid w:val="009F5B56"/>
    <w:rsid w:val="009F6909"/>
    <w:rsid w:val="009F7050"/>
    <w:rsid w:val="009F73B5"/>
    <w:rsid w:val="009F76D8"/>
    <w:rsid w:val="009F76E2"/>
    <w:rsid w:val="009F7715"/>
    <w:rsid w:val="009F7F36"/>
    <w:rsid w:val="00A01186"/>
    <w:rsid w:val="00A011A3"/>
    <w:rsid w:val="00A01606"/>
    <w:rsid w:val="00A01612"/>
    <w:rsid w:val="00A01CC1"/>
    <w:rsid w:val="00A03923"/>
    <w:rsid w:val="00A03D0C"/>
    <w:rsid w:val="00A04115"/>
    <w:rsid w:val="00A0475E"/>
    <w:rsid w:val="00A04A1C"/>
    <w:rsid w:val="00A04CB6"/>
    <w:rsid w:val="00A06EE2"/>
    <w:rsid w:val="00A0723C"/>
    <w:rsid w:val="00A102BE"/>
    <w:rsid w:val="00A10D16"/>
    <w:rsid w:val="00A10FE0"/>
    <w:rsid w:val="00A11010"/>
    <w:rsid w:val="00A1111E"/>
    <w:rsid w:val="00A117E8"/>
    <w:rsid w:val="00A11AEA"/>
    <w:rsid w:val="00A120B0"/>
    <w:rsid w:val="00A12481"/>
    <w:rsid w:val="00A129B5"/>
    <w:rsid w:val="00A12E38"/>
    <w:rsid w:val="00A13938"/>
    <w:rsid w:val="00A139E9"/>
    <w:rsid w:val="00A13BD2"/>
    <w:rsid w:val="00A1407E"/>
    <w:rsid w:val="00A15602"/>
    <w:rsid w:val="00A159F0"/>
    <w:rsid w:val="00A15BDA"/>
    <w:rsid w:val="00A15E85"/>
    <w:rsid w:val="00A16228"/>
    <w:rsid w:val="00A1759B"/>
    <w:rsid w:val="00A17BDA"/>
    <w:rsid w:val="00A208B0"/>
    <w:rsid w:val="00A20DF2"/>
    <w:rsid w:val="00A22592"/>
    <w:rsid w:val="00A22FEB"/>
    <w:rsid w:val="00A23AB2"/>
    <w:rsid w:val="00A23C4B"/>
    <w:rsid w:val="00A242C6"/>
    <w:rsid w:val="00A244E9"/>
    <w:rsid w:val="00A24570"/>
    <w:rsid w:val="00A25E1B"/>
    <w:rsid w:val="00A265AD"/>
    <w:rsid w:val="00A2693A"/>
    <w:rsid w:val="00A2722D"/>
    <w:rsid w:val="00A27606"/>
    <w:rsid w:val="00A27714"/>
    <w:rsid w:val="00A303DF"/>
    <w:rsid w:val="00A31CC5"/>
    <w:rsid w:val="00A324AC"/>
    <w:rsid w:val="00A327D4"/>
    <w:rsid w:val="00A338E8"/>
    <w:rsid w:val="00A34087"/>
    <w:rsid w:val="00A341C2"/>
    <w:rsid w:val="00A34C99"/>
    <w:rsid w:val="00A3517B"/>
    <w:rsid w:val="00A35C47"/>
    <w:rsid w:val="00A40CD1"/>
    <w:rsid w:val="00A40E33"/>
    <w:rsid w:val="00A415C3"/>
    <w:rsid w:val="00A423E6"/>
    <w:rsid w:val="00A42593"/>
    <w:rsid w:val="00A451CE"/>
    <w:rsid w:val="00A453AA"/>
    <w:rsid w:val="00A46441"/>
    <w:rsid w:val="00A4723B"/>
    <w:rsid w:val="00A50440"/>
    <w:rsid w:val="00A50959"/>
    <w:rsid w:val="00A5133D"/>
    <w:rsid w:val="00A5183F"/>
    <w:rsid w:val="00A51E38"/>
    <w:rsid w:val="00A52331"/>
    <w:rsid w:val="00A532C5"/>
    <w:rsid w:val="00A555CE"/>
    <w:rsid w:val="00A55CF2"/>
    <w:rsid w:val="00A55FB8"/>
    <w:rsid w:val="00A5669F"/>
    <w:rsid w:val="00A56A08"/>
    <w:rsid w:val="00A577B3"/>
    <w:rsid w:val="00A57AB6"/>
    <w:rsid w:val="00A57EE2"/>
    <w:rsid w:val="00A623A1"/>
    <w:rsid w:val="00A62BB8"/>
    <w:rsid w:val="00A644A7"/>
    <w:rsid w:val="00A64D34"/>
    <w:rsid w:val="00A65C92"/>
    <w:rsid w:val="00A66503"/>
    <w:rsid w:val="00A665FA"/>
    <w:rsid w:val="00A66BCE"/>
    <w:rsid w:val="00A6757F"/>
    <w:rsid w:val="00A707BD"/>
    <w:rsid w:val="00A70827"/>
    <w:rsid w:val="00A70C6F"/>
    <w:rsid w:val="00A7124A"/>
    <w:rsid w:val="00A71256"/>
    <w:rsid w:val="00A7128C"/>
    <w:rsid w:val="00A7373A"/>
    <w:rsid w:val="00A74492"/>
    <w:rsid w:val="00A7452F"/>
    <w:rsid w:val="00A75577"/>
    <w:rsid w:val="00A75B72"/>
    <w:rsid w:val="00A762AA"/>
    <w:rsid w:val="00A764F2"/>
    <w:rsid w:val="00A77C3B"/>
    <w:rsid w:val="00A80B06"/>
    <w:rsid w:val="00A80E1D"/>
    <w:rsid w:val="00A80FE8"/>
    <w:rsid w:val="00A81271"/>
    <w:rsid w:val="00A81790"/>
    <w:rsid w:val="00A82255"/>
    <w:rsid w:val="00A829EE"/>
    <w:rsid w:val="00A83179"/>
    <w:rsid w:val="00A845B0"/>
    <w:rsid w:val="00A845F3"/>
    <w:rsid w:val="00A8527E"/>
    <w:rsid w:val="00A860E4"/>
    <w:rsid w:val="00A87209"/>
    <w:rsid w:val="00A87F67"/>
    <w:rsid w:val="00A906E5"/>
    <w:rsid w:val="00A91770"/>
    <w:rsid w:val="00A91EDA"/>
    <w:rsid w:val="00A92044"/>
    <w:rsid w:val="00A9345C"/>
    <w:rsid w:val="00A93697"/>
    <w:rsid w:val="00A945CD"/>
    <w:rsid w:val="00A95E79"/>
    <w:rsid w:val="00A96253"/>
    <w:rsid w:val="00A96780"/>
    <w:rsid w:val="00A9699A"/>
    <w:rsid w:val="00A969A5"/>
    <w:rsid w:val="00A96DAD"/>
    <w:rsid w:val="00A97424"/>
    <w:rsid w:val="00A97873"/>
    <w:rsid w:val="00A97B6B"/>
    <w:rsid w:val="00AA038F"/>
    <w:rsid w:val="00AA05B0"/>
    <w:rsid w:val="00AA0C5D"/>
    <w:rsid w:val="00AA0D56"/>
    <w:rsid w:val="00AA1145"/>
    <w:rsid w:val="00AA145E"/>
    <w:rsid w:val="00AA19D9"/>
    <w:rsid w:val="00AA1C40"/>
    <w:rsid w:val="00AA1C8A"/>
    <w:rsid w:val="00AA2C8A"/>
    <w:rsid w:val="00AA3A39"/>
    <w:rsid w:val="00AA3F9C"/>
    <w:rsid w:val="00AA40E5"/>
    <w:rsid w:val="00AA41C9"/>
    <w:rsid w:val="00AA4552"/>
    <w:rsid w:val="00AA502A"/>
    <w:rsid w:val="00AA5990"/>
    <w:rsid w:val="00AA5CA4"/>
    <w:rsid w:val="00AA5D96"/>
    <w:rsid w:val="00AA61C5"/>
    <w:rsid w:val="00AA774A"/>
    <w:rsid w:val="00AA7F64"/>
    <w:rsid w:val="00AB16A1"/>
    <w:rsid w:val="00AB17BC"/>
    <w:rsid w:val="00AB1BBD"/>
    <w:rsid w:val="00AB270B"/>
    <w:rsid w:val="00AB3610"/>
    <w:rsid w:val="00AB4E44"/>
    <w:rsid w:val="00AB5035"/>
    <w:rsid w:val="00AB5FE2"/>
    <w:rsid w:val="00AB670D"/>
    <w:rsid w:val="00AB75E2"/>
    <w:rsid w:val="00AB766D"/>
    <w:rsid w:val="00AC0114"/>
    <w:rsid w:val="00AC0BF2"/>
    <w:rsid w:val="00AC115D"/>
    <w:rsid w:val="00AC1244"/>
    <w:rsid w:val="00AC1DA9"/>
    <w:rsid w:val="00AC1FBA"/>
    <w:rsid w:val="00AC2372"/>
    <w:rsid w:val="00AC2401"/>
    <w:rsid w:val="00AC24D9"/>
    <w:rsid w:val="00AC2A05"/>
    <w:rsid w:val="00AC2C17"/>
    <w:rsid w:val="00AC3F48"/>
    <w:rsid w:val="00AC57E5"/>
    <w:rsid w:val="00AC5F52"/>
    <w:rsid w:val="00AC6B50"/>
    <w:rsid w:val="00AC6B8C"/>
    <w:rsid w:val="00AC6BF2"/>
    <w:rsid w:val="00AC7A0C"/>
    <w:rsid w:val="00AC7D5A"/>
    <w:rsid w:val="00AC7E96"/>
    <w:rsid w:val="00AC7ED8"/>
    <w:rsid w:val="00AD0828"/>
    <w:rsid w:val="00AD1191"/>
    <w:rsid w:val="00AD16DB"/>
    <w:rsid w:val="00AD289A"/>
    <w:rsid w:val="00AD29DB"/>
    <w:rsid w:val="00AD2C30"/>
    <w:rsid w:val="00AD2FC1"/>
    <w:rsid w:val="00AD339F"/>
    <w:rsid w:val="00AD39DB"/>
    <w:rsid w:val="00AD4367"/>
    <w:rsid w:val="00AD4B0A"/>
    <w:rsid w:val="00AD4BD9"/>
    <w:rsid w:val="00AD5069"/>
    <w:rsid w:val="00AD6BEF"/>
    <w:rsid w:val="00AD6F14"/>
    <w:rsid w:val="00AD728C"/>
    <w:rsid w:val="00AD7695"/>
    <w:rsid w:val="00AE000E"/>
    <w:rsid w:val="00AE0290"/>
    <w:rsid w:val="00AE03CC"/>
    <w:rsid w:val="00AE0B7E"/>
    <w:rsid w:val="00AE0DF0"/>
    <w:rsid w:val="00AE18B5"/>
    <w:rsid w:val="00AE1B92"/>
    <w:rsid w:val="00AE2260"/>
    <w:rsid w:val="00AE276F"/>
    <w:rsid w:val="00AE367A"/>
    <w:rsid w:val="00AE3847"/>
    <w:rsid w:val="00AE4553"/>
    <w:rsid w:val="00AE584F"/>
    <w:rsid w:val="00AE7230"/>
    <w:rsid w:val="00AE7E27"/>
    <w:rsid w:val="00AE7FAC"/>
    <w:rsid w:val="00AF0E77"/>
    <w:rsid w:val="00AF2250"/>
    <w:rsid w:val="00AF2711"/>
    <w:rsid w:val="00AF2E6B"/>
    <w:rsid w:val="00AF3AEE"/>
    <w:rsid w:val="00AF42B1"/>
    <w:rsid w:val="00AF44A5"/>
    <w:rsid w:val="00AF5579"/>
    <w:rsid w:val="00AF5716"/>
    <w:rsid w:val="00AF6489"/>
    <w:rsid w:val="00AF67D6"/>
    <w:rsid w:val="00AF762E"/>
    <w:rsid w:val="00AF77B2"/>
    <w:rsid w:val="00AF7C80"/>
    <w:rsid w:val="00B000DD"/>
    <w:rsid w:val="00B001B0"/>
    <w:rsid w:val="00B00420"/>
    <w:rsid w:val="00B00A6D"/>
    <w:rsid w:val="00B01588"/>
    <w:rsid w:val="00B02EF0"/>
    <w:rsid w:val="00B038A7"/>
    <w:rsid w:val="00B04CE8"/>
    <w:rsid w:val="00B05CF9"/>
    <w:rsid w:val="00B06589"/>
    <w:rsid w:val="00B10531"/>
    <w:rsid w:val="00B107B6"/>
    <w:rsid w:val="00B10CE1"/>
    <w:rsid w:val="00B10E1F"/>
    <w:rsid w:val="00B1132E"/>
    <w:rsid w:val="00B116A9"/>
    <w:rsid w:val="00B11EE1"/>
    <w:rsid w:val="00B126CF"/>
    <w:rsid w:val="00B1308B"/>
    <w:rsid w:val="00B1311E"/>
    <w:rsid w:val="00B142DE"/>
    <w:rsid w:val="00B14D05"/>
    <w:rsid w:val="00B153B2"/>
    <w:rsid w:val="00B156D9"/>
    <w:rsid w:val="00B17419"/>
    <w:rsid w:val="00B176BD"/>
    <w:rsid w:val="00B1775E"/>
    <w:rsid w:val="00B20486"/>
    <w:rsid w:val="00B21BAE"/>
    <w:rsid w:val="00B23AE2"/>
    <w:rsid w:val="00B23AF1"/>
    <w:rsid w:val="00B2526D"/>
    <w:rsid w:val="00B262C9"/>
    <w:rsid w:val="00B27B20"/>
    <w:rsid w:val="00B3047E"/>
    <w:rsid w:val="00B31278"/>
    <w:rsid w:val="00B3281F"/>
    <w:rsid w:val="00B32D0A"/>
    <w:rsid w:val="00B32EA7"/>
    <w:rsid w:val="00B33733"/>
    <w:rsid w:val="00B337EA"/>
    <w:rsid w:val="00B35599"/>
    <w:rsid w:val="00B366C3"/>
    <w:rsid w:val="00B36A75"/>
    <w:rsid w:val="00B372F4"/>
    <w:rsid w:val="00B37566"/>
    <w:rsid w:val="00B407F1"/>
    <w:rsid w:val="00B41D8D"/>
    <w:rsid w:val="00B428DD"/>
    <w:rsid w:val="00B431CA"/>
    <w:rsid w:val="00B4387B"/>
    <w:rsid w:val="00B43C62"/>
    <w:rsid w:val="00B452D6"/>
    <w:rsid w:val="00B45A3C"/>
    <w:rsid w:val="00B46B78"/>
    <w:rsid w:val="00B474C4"/>
    <w:rsid w:val="00B47648"/>
    <w:rsid w:val="00B50467"/>
    <w:rsid w:val="00B50613"/>
    <w:rsid w:val="00B517FA"/>
    <w:rsid w:val="00B52680"/>
    <w:rsid w:val="00B53DFF"/>
    <w:rsid w:val="00B547A7"/>
    <w:rsid w:val="00B54EE8"/>
    <w:rsid w:val="00B558BD"/>
    <w:rsid w:val="00B562BE"/>
    <w:rsid w:val="00B575D5"/>
    <w:rsid w:val="00B57EE7"/>
    <w:rsid w:val="00B616AE"/>
    <w:rsid w:val="00B62766"/>
    <w:rsid w:val="00B62908"/>
    <w:rsid w:val="00B64392"/>
    <w:rsid w:val="00B65991"/>
    <w:rsid w:val="00B65AC1"/>
    <w:rsid w:val="00B65CD0"/>
    <w:rsid w:val="00B6664F"/>
    <w:rsid w:val="00B67697"/>
    <w:rsid w:val="00B67806"/>
    <w:rsid w:val="00B705C5"/>
    <w:rsid w:val="00B70720"/>
    <w:rsid w:val="00B70925"/>
    <w:rsid w:val="00B70DD8"/>
    <w:rsid w:val="00B721B1"/>
    <w:rsid w:val="00B72AA2"/>
    <w:rsid w:val="00B739D6"/>
    <w:rsid w:val="00B744BA"/>
    <w:rsid w:val="00B7472D"/>
    <w:rsid w:val="00B753E7"/>
    <w:rsid w:val="00B77692"/>
    <w:rsid w:val="00B77AB6"/>
    <w:rsid w:val="00B77EC0"/>
    <w:rsid w:val="00B77FD2"/>
    <w:rsid w:val="00B81671"/>
    <w:rsid w:val="00B83038"/>
    <w:rsid w:val="00B845D5"/>
    <w:rsid w:val="00B84C54"/>
    <w:rsid w:val="00B85342"/>
    <w:rsid w:val="00B85808"/>
    <w:rsid w:val="00B86165"/>
    <w:rsid w:val="00B866E8"/>
    <w:rsid w:val="00B86A67"/>
    <w:rsid w:val="00B876EE"/>
    <w:rsid w:val="00B87890"/>
    <w:rsid w:val="00B87ED7"/>
    <w:rsid w:val="00B90001"/>
    <w:rsid w:val="00B9116D"/>
    <w:rsid w:val="00B91515"/>
    <w:rsid w:val="00B91DA8"/>
    <w:rsid w:val="00B949A5"/>
    <w:rsid w:val="00B95F90"/>
    <w:rsid w:val="00B96225"/>
    <w:rsid w:val="00B97E7F"/>
    <w:rsid w:val="00BA1160"/>
    <w:rsid w:val="00BA1401"/>
    <w:rsid w:val="00BA16EA"/>
    <w:rsid w:val="00BA18B6"/>
    <w:rsid w:val="00BA3033"/>
    <w:rsid w:val="00BA3E05"/>
    <w:rsid w:val="00BA3EBB"/>
    <w:rsid w:val="00BA4109"/>
    <w:rsid w:val="00BA44DA"/>
    <w:rsid w:val="00BA4657"/>
    <w:rsid w:val="00BA4943"/>
    <w:rsid w:val="00BA4B3F"/>
    <w:rsid w:val="00BA4D3E"/>
    <w:rsid w:val="00BA56A6"/>
    <w:rsid w:val="00BA58A7"/>
    <w:rsid w:val="00BA5960"/>
    <w:rsid w:val="00BA5C88"/>
    <w:rsid w:val="00BA5D2F"/>
    <w:rsid w:val="00BA6717"/>
    <w:rsid w:val="00BA671C"/>
    <w:rsid w:val="00BA6F29"/>
    <w:rsid w:val="00BA753B"/>
    <w:rsid w:val="00BA7B4A"/>
    <w:rsid w:val="00BB003F"/>
    <w:rsid w:val="00BB0CD5"/>
    <w:rsid w:val="00BB0D06"/>
    <w:rsid w:val="00BB1A0A"/>
    <w:rsid w:val="00BB27C9"/>
    <w:rsid w:val="00BB31C6"/>
    <w:rsid w:val="00BB3D95"/>
    <w:rsid w:val="00BB4F12"/>
    <w:rsid w:val="00BB5698"/>
    <w:rsid w:val="00BB649A"/>
    <w:rsid w:val="00BB793B"/>
    <w:rsid w:val="00BB7BAF"/>
    <w:rsid w:val="00BC0D37"/>
    <w:rsid w:val="00BC1477"/>
    <w:rsid w:val="00BC1E80"/>
    <w:rsid w:val="00BC1FED"/>
    <w:rsid w:val="00BC22B0"/>
    <w:rsid w:val="00BC2552"/>
    <w:rsid w:val="00BC25E1"/>
    <w:rsid w:val="00BC350B"/>
    <w:rsid w:val="00BC4756"/>
    <w:rsid w:val="00BC4892"/>
    <w:rsid w:val="00BC4BEF"/>
    <w:rsid w:val="00BC4D40"/>
    <w:rsid w:val="00BC5809"/>
    <w:rsid w:val="00BC5A8D"/>
    <w:rsid w:val="00BC62BA"/>
    <w:rsid w:val="00BC6CC9"/>
    <w:rsid w:val="00BC707C"/>
    <w:rsid w:val="00BC7216"/>
    <w:rsid w:val="00BC736A"/>
    <w:rsid w:val="00BC79D4"/>
    <w:rsid w:val="00BD0406"/>
    <w:rsid w:val="00BD06F4"/>
    <w:rsid w:val="00BD0AF0"/>
    <w:rsid w:val="00BD1124"/>
    <w:rsid w:val="00BD1EB4"/>
    <w:rsid w:val="00BD2B13"/>
    <w:rsid w:val="00BD33AD"/>
    <w:rsid w:val="00BD6F2D"/>
    <w:rsid w:val="00BD7178"/>
    <w:rsid w:val="00BD724E"/>
    <w:rsid w:val="00BD72B1"/>
    <w:rsid w:val="00BD7CB4"/>
    <w:rsid w:val="00BE05CC"/>
    <w:rsid w:val="00BE0D43"/>
    <w:rsid w:val="00BE0DAA"/>
    <w:rsid w:val="00BE13F2"/>
    <w:rsid w:val="00BE1CF0"/>
    <w:rsid w:val="00BE2A81"/>
    <w:rsid w:val="00BE5242"/>
    <w:rsid w:val="00BE5BD8"/>
    <w:rsid w:val="00BE71CC"/>
    <w:rsid w:val="00BE7EFA"/>
    <w:rsid w:val="00BE7F3C"/>
    <w:rsid w:val="00BE7FB5"/>
    <w:rsid w:val="00BF00F7"/>
    <w:rsid w:val="00BF0690"/>
    <w:rsid w:val="00BF099A"/>
    <w:rsid w:val="00BF1A3D"/>
    <w:rsid w:val="00BF1B1E"/>
    <w:rsid w:val="00BF1F95"/>
    <w:rsid w:val="00BF23A3"/>
    <w:rsid w:val="00BF29F7"/>
    <w:rsid w:val="00BF3B80"/>
    <w:rsid w:val="00BF416D"/>
    <w:rsid w:val="00BF45E6"/>
    <w:rsid w:val="00BF47C5"/>
    <w:rsid w:val="00BF4B52"/>
    <w:rsid w:val="00BF75B3"/>
    <w:rsid w:val="00BF7DDB"/>
    <w:rsid w:val="00BF7E93"/>
    <w:rsid w:val="00C003E4"/>
    <w:rsid w:val="00C00591"/>
    <w:rsid w:val="00C010F9"/>
    <w:rsid w:val="00C02985"/>
    <w:rsid w:val="00C030C8"/>
    <w:rsid w:val="00C03517"/>
    <w:rsid w:val="00C0534E"/>
    <w:rsid w:val="00C06178"/>
    <w:rsid w:val="00C06CBE"/>
    <w:rsid w:val="00C107C1"/>
    <w:rsid w:val="00C11FF0"/>
    <w:rsid w:val="00C120BC"/>
    <w:rsid w:val="00C12EEA"/>
    <w:rsid w:val="00C141C2"/>
    <w:rsid w:val="00C14962"/>
    <w:rsid w:val="00C15C3E"/>
    <w:rsid w:val="00C15D39"/>
    <w:rsid w:val="00C16997"/>
    <w:rsid w:val="00C16E9D"/>
    <w:rsid w:val="00C17000"/>
    <w:rsid w:val="00C205AA"/>
    <w:rsid w:val="00C20740"/>
    <w:rsid w:val="00C21031"/>
    <w:rsid w:val="00C21653"/>
    <w:rsid w:val="00C21A2A"/>
    <w:rsid w:val="00C21BD7"/>
    <w:rsid w:val="00C21E89"/>
    <w:rsid w:val="00C22E17"/>
    <w:rsid w:val="00C24600"/>
    <w:rsid w:val="00C24CEE"/>
    <w:rsid w:val="00C250ED"/>
    <w:rsid w:val="00C252E5"/>
    <w:rsid w:val="00C2533C"/>
    <w:rsid w:val="00C2534A"/>
    <w:rsid w:val="00C2615A"/>
    <w:rsid w:val="00C26275"/>
    <w:rsid w:val="00C2665B"/>
    <w:rsid w:val="00C27FED"/>
    <w:rsid w:val="00C31104"/>
    <w:rsid w:val="00C33055"/>
    <w:rsid w:val="00C33407"/>
    <w:rsid w:val="00C33D21"/>
    <w:rsid w:val="00C3411D"/>
    <w:rsid w:val="00C3526B"/>
    <w:rsid w:val="00C35285"/>
    <w:rsid w:val="00C35303"/>
    <w:rsid w:val="00C356C6"/>
    <w:rsid w:val="00C360B2"/>
    <w:rsid w:val="00C36C7A"/>
    <w:rsid w:val="00C371F9"/>
    <w:rsid w:val="00C373D1"/>
    <w:rsid w:val="00C37E81"/>
    <w:rsid w:val="00C40006"/>
    <w:rsid w:val="00C401A0"/>
    <w:rsid w:val="00C401DF"/>
    <w:rsid w:val="00C4069A"/>
    <w:rsid w:val="00C40762"/>
    <w:rsid w:val="00C40808"/>
    <w:rsid w:val="00C40D83"/>
    <w:rsid w:val="00C411C8"/>
    <w:rsid w:val="00C41422"/>
    <w:rsid w:val="00C429F0"/>
    <w:rsid w:val="00C42DC1"/>
    <w:rsid w:val="00C42F9C"/>
    <w:rsid w:val="00C43B5B"/>
    <w:rsid w:val="00C44F3D"/>
    <w:rsid w:val="00C4559E"/>
    <w:rsid w:val="00C46349"/>
    <w:rsid w:val="00C46873"/>
    <w:rsid w:val="00C46A3D"/>
    <w:rsid w:val="00C46AD4"/>
    <w:rsid w:val="00C4736B"/>
    <w:rsid w:val="00C47788"/>
    <w:rsid w:val="00C50197"/>
    <w:rsid w:val="00C51497"/>
    <w:rsid w:val="00C52157"/>
    <w:rsid w:val="00C523F3"/>
    <w:rsid w:val="00C52656"/>
    <w:rsid w:val="00C527A8"/>
    <w:rsid w:val="00C52988"/>
    <w:rsid w:val="00C52B02"/>
    <w:rsid w:val="00C52F37"/>
    <w:rsid w:val="00C53175"/>
    <w:rsid w:val="00C53381"/>
    <w:rsid w:val="00C534ED"/>
    <w:rsid w:val="00C53559"/>
    <w:rsid w:val="00C54289"/>
    <w:rsid w:val="00C54520"/>
    <w:rsid w:val="00C5464E"/>
    <w:rsid w:val="00C55006"/>
    <w:rsid w:val="00C55050"/>
    <w:rsid w:val="00C558DE"/>
    <w:rsid w:val="00C55C98"/>
    <w:rsid w:val="00C569D0"/>
    <w:rsid w:val="00C56A4C"/>
    <w:rsid w:val="00C575F4"/>
    <w:rsid w:val="00C60541"/>
    <w:rsid w:val="00C61057"/>
    <w:rsid w:val="00C618E2"/>
    <w:rsid w:val="00C62948"/>
    <w:rsid w:val="00C62978"/>
    <w:rsid w:val="00C62C76"/>
    <w:rsid w:val="00C62CEF"/>
    <w:rsid w:val="00C632DB"/>
    <w:rsid w:val="00C633C9"/>
    <w:rsid w:val="00C63F33"/>
    <w:rsid w:val="00C64403"/>
    <w:rsid w:val="00C64931"/>
    <w:rsid w:val="00C653DF"/>
    <w:rsid w:val="00C65CDF"/>
    <w:rsid w:val="00C66350"/>
    <w:rsid w:val="00C67492"/>
    <w:rsid w:val="00C67786"/>
    <w:rsid w:val="00C70B34"/>
    <w:rsid w:val="00C70C13"/>
    <w:rsid w:val="00C72302"/>
    <w:rsid w:val="00C729FB"/>
    <w:rsid w:val="00C738B9"/>
    <w:rsid w:val="00C73969"/>
    <w:rsid w:val="00C748ED"/>
    <w:rsid w:val="00C75FF8"/>
    <w:rsid w:val="00C76BC9"/>
    <w:rsid w:val="00C771B1"/>
    <w:rsid w:val="00C772D6"/>
    <w:rsid w:val="00C7760B"/>
    <w:rsid w:val="00C776AC"/>
    <w:rsid w:val="00C81DF5"/>
    <w:rsid w:val="00C824B5"/>
    <w:rsid w:val="00C82A02"/>
    <w:rsid w:val="00C82C49"/>
    <w:rsid w:val="00C837C2"/>
    <w:rsid w:val="00C84327"/>
    <w:rsid w:val="00C84BE0"/>
    <w:rsid w:val="00C8561F"/>
    <w:rsid w:val="00C8666E"/>
    <w:rsid w:val="00C868D5"/>
    <w:rsid w:val="00C872CE"/>
    <w:rsid w:val="00C877F8"/>
    <w:rsid w:val="00C87A22"/>
    <w:rsid w:val="00C91351"/>
    <w:rsid w:val="00C91A9D"/>
    <w:rsid w:val="00C920D9"/>
    <w:rsid w:val="00C92313"/>
    <w:rsid w:val="00C928AF"/>
    <w:rsid w:val="00C9324B"/>
    <w:rsid w:val="00C954CF"/>
    <w:rsid w:val="00C95BC5"/>
    <w:rsid w:val="00C95C74"/>
    <w:rsid w:val="00C95D28"/>
    <w:rsid w:val="00C9614E"/>
    <w:rsid w:val="00C974BD"/>
    <w:rsid w:val="00C97FE4"/>
    <w:rsid w:val="00CA1367"/>
    <w:rsid w:val="00CA15AD"/>
    <w:rsid w:val="00CA16B2"/>
    <w:rsid w:val="00CA1CDE"/>
    <w:rsid w:val="00CA236D"/>
    <w:rsid w:val="00CA25E1"/>
    <w:rsid w:val="00CA534F"/>
    <w:rsid w:val="00CA5383"/>
    <w:rsid w:val="00CA54F0"/>
    <w:rsid w:val="00CA5B99"/>
    <w:rsid w:val="00CA5CE8"/>
    <w:rsid w:val="00CA5DF3"/>
    <w:rsid w:val="00CA62EB"/>
    <w:rsid w:val="00CB001E"/>
    <w:rsid w:val="00CB01A4"/>
    <w:rsid w:val="00CB0346"/>
    <w:rsid w:val="00CB0A52"/>
    <w:rsid w:val="00CB0C90"/>
    <w:rsid w:val="00CB19CE"/>
    <w:rsid w:val="00CB1A12"/>
    <w:rsid w:val="00CB1E97"/>
    <w:rsid w:val="00CB2D7E"/>
    <w:rsid w:val="00CB2D96"/>
    <w:rsid w:val="00CB5350"/>
    <w:rsid w:val="00CB6FEB"/>
    <w:rsid w:val="00CB71A7"/>
    <w:rsid w:val="00CB73BB"/>
    <w:rsid w:val="00CB7B49"/>
    <w:rsid w:val="00CC0114"/>
    <w:rsid w:val="00CC2497"/>
    <w:rsid w:val="00CC27DC"/>
    <w:rsid w:val="00CC2AD0"/>
    <w:rsid w:val="00CC407A"/>
    <w:rsid w:val="00CC50B3"/>
    <w:rsid w:val="00CC5C43"/>
    <w:rsid w:val="00CC6E84"/>
    <w:rsid w:val="00CC740C"/>
    <w:rsid w:val="00CC767C"/>
    <w:rsid w:val="00CC7BF7"/>
    <w:rsid w:val="00CC7DB9"/>
    <w:rsid w:val="00CC7E35"/>
    <w:rsid w:val="00CD02C2"/>
    <w:rsid w:val="00CD07A9"/>
    <w:rsid w:val="00CD0F21"/>
    <w:rsid w:val="00CD1492"/>
    <w:rsid w:val="00CD228A"/>
    <w:rsid w:val="00CD3E7C"/>
    <w:rsid w:val="00CD40DC"/>
    <w:rsid w:val="00CD465E"/>
    <w:rsid w:val="00CD60F5"/>
    <w:rsid w:val="00CD6B47"/>
    <w:rsid w:val="00CD7A71"/>
    <w:rsid w:val="00CE07AA"/>
    <w:rsid w:val="00CE23A6"/>
    <w:rsid w:val="00CE4030"/>
    <w:rsid w:val="00CE4756"/>
    <w:rsid w:val="00CE520A"/>
    <w:rsid w:val="00CE6564"/>
    <w:rsid w:val="00CE6EE9"/>
    <w:rsid w:val="00CE7EFD"/>
    <w:rsid w:val="00CF0209"/>
    <w:rsid w:val="00CF097D"/>
    <w:rsid w:val="00CF1C5D"/>
    <w:rsid w:val="00CF1D0B"/>
    <w:rsid w:val="00CF2E3E"/>
    <w:rsid w:val="00CF30FC"/>
    <w:rsid w:val="00CF3B86"/>
    <w:rsid w:val="00CF3E68"/>
    <w:rsid w:val="00CF5561"/>
    <w:rsid w:val="00CF5FA0"/>
    <w:rsid w:val="00CF6608"/>
    <w:rsid w:val="00CF76A7"/>
    <w:rsid w:val="00CF7A8D"/>
    <w:rsid w:val="00D001B9"/>
    <w:rsid w:val="00D002C3"/>
    <w:rsid w:val="00D005AF"/>
    <w:rsid w:val="00D01232"/>
    <w:rsid w:val="00D02883"/>
    <w:rsid w:val="00D0310D"/>
    <w:rsid w:val="00D038D9"/>
    <w:rsid w:val="00D04682"/>
    <w:rsid w:val="00D04FFE"/>
    <w:rsid w:val="00D053DC"/>
    <w:rsid w:val="00D05645"/>
    <w:rsid w:val="00D05DE8"/>
    <w:rsid w:val="00D0630D"/>
    <w:rsid w:val="00D06CDD"/>
    <w:rsid w:val="00D06DE1"/>
    <w:rsid w:val="00D06EF0"/>
    <w:rsid w:val="00D07B18"/>
    <w:rsid w:val="00D07F9C"/>
    <w:rsid w:val="00D07FC1"/>
    <w:rsid w:val="00D103D8"/>
    <w:rsid w:val="00D1145E"/>
    <w:rsid w:val="00D11897"/>
    <w:rsid w:val="00D11C3F"/>
    <w:rsid w:val="00D122D1"/>
    <w:rsid w:val="00D1313C"/>
    <w:rsid w:val="00D13888"/>
    <w:rsid w:val="00D13B2A"/>
    <w:rsid w:val="00D13EF6"/>
    <w:rsid w:val="00D145C0"/>
    <w:rsid w:val="00D152B5"/>
    <w:rsid w:val="00D16B4E"/>
    <w:rsid w:val="00D16DE9"/>
    <w:rsid w:val="00D175E6"/>
    <w:rsid w:val="00D1771F"/>
    <w:rsid w:val="00D20E82"/>
    <w:rsid w:val="00D21515"/>
    <w:rsid w:val="00D2189D"/>
    <w:rsid w:val="00D21DDE"/>
    <w:rsid w:val="00D222BB"/>
    <w:rsid w:val="00D22C4B"/>
    <w:rsid w:val="00D23CD6"/>
    <w:rsid w:val="00D25A27"/>
    <w:rsid w:val="00D26224"/>
    <w:rsid w:val="00D263D2"/>
    <w:rsid w:val="00D2674D"/>
    <w:rsid w:val="00D26E50"/>
    <w:rsid w:val="00D27E4D"/>
    <w:rsid w:val="00D306DF"/>
    <w:rsid w:val="00D30D27"/>
    <w:rsid w:val="00D31B7B"/>
    <w:rsid w:val="00D31F38"/>
    <w:rsid w:val="00D31F4D"/>
    <w:rsid w:val="00D321CD"/>
    <w:rsid w:val="00D326EB"/>
    <w:rsid w:val="00D32C34"/>
    <w:rsid w:val="00D32D03"/>
    <w:rsid w:val="00D33EBF"/>
    <w:rsid w:val="00D34651"/>
    <w:rsid w:val="00D349EB"/>
    <w:rsid w:val="00D34A00"/>
    <w:rsid w:val="00D35CCC"/>
    <w:rsid w:val="00D36BB6"/>
    <w:rsid w:val="00D36DF6"/>
    <w:rsid w:val="00D36F23"/>
    <w:rsid w:val="00D36FA3"/>
    <w:rsid w:val="00D40A00"/>
    <w:rsid w:val="00D413AC"/>
    <w:rsid w:val="00D41963"/>
    <w:rsid w:val="00D41B32"/>
    <w:rsid w:val="00D42900"/>
    <w:rsid w:val="00D4331B"/>
    <w:rsid w:val="00D4352C"/>
    <w:rsid w:val="00D442E9"/>
    <w:rsid w:val="00D45AEE"/>
    <w:rsid w:val="00D46B2C"/>
    <w:rsid w:val="00D470B9"/>
    <w:rsid w:val="00D50053"/>
    <w:rsid w:val="00D50079"/>
    <w:rsid w:val="00D508CB"/>
    <w:rsid w:val="00D51C72"/>
    <w:rsid w:val="00D52C11"/>
    <w:rsid w:val="00D52D9B"/>
    <w:rsid w:val="00D537E5"/>
    <w:rsid w:val="00D53CA4"/>
    <w:rsid w:val="00D543B5"/>
    <w:rsid w:val="00D5659B"/>
    <w:rsid w:val="00D57065"/>
    <w:rsid w:val="00D575CF"/>
    <w:rsid w:val="00D576C6"/>
    <w:rsid w:val="00D576D5"/>
    <w:rsid w:val="00D57C28"/>
    <w:rsid w:val="00D607C2"/>
    <w:rsid w:val="00D62061"/>
    <w:rsid w:val="00D62C38"/>
    <w:rsid w:val="00D62EAE"/>
    <w:rsid w:val="00D6331F"/>
    <w:rsid w:val="00D63BA6"/>
    <w:rsid w:val="00D64366"/>
    <w:rsid w:val="00D64958"/>
    <w:rsid w:val="00D64AA3"/>
    <w:rsid w:val="00D64C3C"/>
    <w:rsid w:val="00D65165"/>
    <w:rsid w:val="00D657A3"/>
    <w:rsid w:val="00D65B70"/>
    <w:rsid w:val="00D66C51"/>
    <w:rsid w:val="00D70193"/>
    <w:rsid w:val="00D703FC"/>
    <w:rsid w:val="00D71696"/>
    <w:rsid w:val="00D718EC"/>
    <w:rsid w:val="00D71A59"/>
    <w:rsid w:val="00D72E4B"/>
    <w:rsid w:val="00D73C02"/>
    <w:rsid w:val="00D740D8"/>
    <w:rsid w:val="00D74493"/>
    <w:rsid w:val="00D74AC7"/>
    <w:rsid w:val="00D74F83"/>
    <w:rsid w:val="00D75DC0"/>
    <w:rsid w:val="00D75F6F"/>
    <w:rsid w:val="00D8058F"/>
    <w:rsid w:val="00D81D18"/>
    <w:rsid w:val="00D81E84"/>
    <w:rsid w:val="00D82F37"/>
    <w:rsid w:val="00D83D85"/>
    <w:rsid w:val="00D84142"/>
    <w:rsid w:val="00D842F2"/>
    <w:rsid w:val="00D8445A"/>
    <w:rsid w:val="00D84A3D"/>
    <w:rsid w:val="00D8545E"/>
    <w:rsid w:val="00D86170"/>
    <w:rsid w:val="00D86371"/>
    <w:rsid w:val="00D8678F"/>
    <w:rsid w:val="00D8687F"/>
    <w:rsid w:val="00D86A2B"/>
    <w:rsid w:val="00D86C28"/>
    <w:rsid w:val="00D86F30"/>
    <w:rsid w:val="00D87074"/>
    <w:rsid w:val="00D8796E"/>
    <w:rsid w:val="00D87A18"/>
    <w:rsid w:val="00D90F07"/>
    <w:rsid w:val="00D91A66"/>
    <w:rsid w:val="00D91AFA"/>
    <w:rsid w:val="00D92028"/>
    <w:rsid w:val="00D9225F"/>
    <w:rsid w:val="00D92FE0"/>
    <w:rsid w:val="00D9435B"/>
    <w:rsid w:val="00D944FA"/>
    <w:rsid w:val="00D94A8B"/>
    <w:rsid w:val="00D94F26"/>
    <w:rsid w:val="00D95735"/>
    <w:rsid w:val="00D96718"/>
    <w:rsid w:val="00D97006"/>
    <w:rsid w:val="00D9767A"/>
    <w:rsid w:val="00DA1357"/>
    <w:rsid w:val="00DA2A78"/>
    <w:rsid w:val="00DA3246"/>
    <w:rsid w:val="00DA326F"/>
    <w:rsid w:val="00DA4361"/>
    <w:rsid w:val="00DA4775"/>
    <w:rsid w:val="00DA47C3"/>
    <w:rsid w:val="00DA486C"/>
    <w:rsid w:val="00DA53E2"/>
    <w:rsid w:val="00DA5A59"/>
    <w:rsid w:val="00DA626A"/>
    <w:rsid w:val="00DA6F73"/>
    <w:rsid w:val="00DA7EEE"/>
    <w:rsid w:val="00DB008D"/>
    <w:rsid w:val="00DB0835"/>
    <w:rsid w:val="00DB0A7D"/>
    <w:rsid w:val="00DB1147"/>
    <w:rsid w:val="00DB2391"/>
    <w:rsid w:val="00DB42EB"/>
    <w:rsid w:val="00DB4451"/>
    <w:rsid w:val="00DB48A2"/>
    <w:rsid w:val="00DB5AD0"/>
    <w:rsid w:val="00DB5FC3"/>
    <w:rsid w:val="00DB7BDD"/>
    <w:rsid w:val="00DC0DBD"/>
    <w:rsid w:val="00DC1407"/>
    <w:rsid w:val="00DC1597"/>
    <w:rsid w:val="00DC1E2E"/>
    <w:rsid w:val="00DC332E"/>
    <w:rsid w:val="00DC3C1F"/>
    <w:rsid w:val="00DC4272"/>
    <w:rsid w:val="00DC4A79"/>
    <w:rsid w:val="00DC4B8A"/>
    <w:rsid w:val="00DC4D7B"/>
    <w:rsid w:val="00DC5253"/>
    <w:rsid w:val="00DC53D6"/>
    <w:rsid w:val="00DC56FD"/>
    <w:rsid w:val="00DC5771"/>
    <w:rsid w:val="00DC5D6E"/>
    <w:rsid w:val="00DC6F3F"/>
    <w:rsid w:val="00DC7C95"/>
    <w:rsid w:val="00DC7DDC"/>
    <w:rsid w:val="00DD020C"/>
    <w:rsid w:val="00DD0764"/>
    <w:rsid w:val="00DD0767"/>
    <w:rsid w:val="00DD0F75"/>
    <w:rsid w:val="00DD1033"/>
    <w:rsid w:val="00DD270F"/>
    <w:rsid w:val="00DD32F1"/>
    <w:rsid w:val="00DD3D1E"/>
    <w:rsid w:val="00DD3FA5"/>
    <w:rsid w:val="00DD4011"/>
    <w:rsid w:val="00DD5C59"/>
    <w:rsid w:val="00DD5D8C"/>
    <w:rsid w:val="00DD625F"/>
    <w:rsid w:val="00DD6A15"/>
    <w:rsid w:val="00DD6A85"/>
    <w:rsid w:val="00DD79AE"/>
    <w:rsid w:val="00DE048C"/>
    <w:rsid w:val="00DE2731"/>
    <w:rsid w:val="00DE349A"/>
    <w:rsid w:val="00DE389C"/>
    <w:rsid w:val="00DE4548"/>
    <w:rsid w:val="00DE47B1"/>
    <w:rsid w:val="00DE5A26"/>
    <w:rsid w:val="00DE5CF0"/>
    <w:rsid w:val="00DE6DE7"/>
    <w:rsid w:val="00DE75F9"/>
    <w:rsid w:val="00DF02DB"/>
    <w:rsid w:val="00DF0365"/>
    <w:rsid w:val="00DF270E"/>
    <w:rsid w:val="00DF3C0E"/>
    <w:rsid w:val="00DF53DB"/>
    <w:rsid w:val="00DF553E"/>
    <w:rsid w:val="00DF5977"/>
    <w:rsid w:val="00DF61D4"/>
    <w:rsid w:val="00DF65A1"/>
    <w:rsid w:val="00DF6954"/>
    <w:rsid w:val="00DF69F1"/>
    <w:rsid w:val="00DF7A30"/>
    <w:rsid w:val="00DF7A6E"/>
    <w:rsid w:val="00DF7B4F"/>
    <w:rsid w:val="00E00B0B"/>
    <w:rsid w:val="00E00B2F"/>
    <w:rsid w:val="00E00BFC"/>
    <w:rsid w:val="00E012EE"/>
    <w:rsid w:val="00E01771"/>
    <w:rsid w:val="00E02F39"/>
    <w:rsid w:val="00E02FBD"/>
    <w:rsid w:val="00E03004"/>
    <w:rsid w:val="00E035C0"/>
    <w:rsid w:val="00E045EC"/>
    <w:rsid w:val="00E050EF"/>
    <w:rsid w:val="00E0589A"/>
    <w:rsid w:val="00E07473"/>
    <w:rsid w:val="00E07509"/>
    <w:rsid w:val="00E07B51"/>
    <w:rsid w:val="00E07C9A"/>
    <w:rsid w:val="00E107B5"/>
    <w:rsid w:val="00E1174F"/>
    <w:rsid w:val="00E11D51"/>
    <w:rsid w:val="00E11F62"/>
    <w:rsid w:val="00E12176"/>
    <w:rsid w:val="00E1233F"/>
    <w:rsid w:val="00E12972"/>
    <w:rsid w:val="00E13049"/>
    <w:rsid w:val="00E150F1"/>
    <w:rsid w:val="00E162C7"/>
    <w:rsid w:val="00E1742E"/>
    <w:rsid w:val="00E200CF"/>
    <w:rsid w:val="00E200DF"/>
    <w:rsid w:val="00E20860"/>
    <w:rsid w:val="00E2113F"/>
    <w:rsid w:val="00E22797"/>
    <w:rsid w:val="00E22971"/>
    <w:rsid w:val="00E231EE"/>
    <w:rsid w:val="00E241C6"/>
    <w:rsid w:val="00E24781"/>
    <w:rsid w:val="00E247E3"/>
    <w:rsid w:val="00E25BC3"/>
    <w:rsid w:val="00E2651F"/>
    <w:rsid w:val="00E266FD"/>
    <w:rsid w:val="00E27252"/>
    <w:rsid w:val="00E27EA2"/>
    <w:rsid w:val="00E300D9"/>
    <w:rsid w:val="00E31308"/>
    <w:rsid w:val="00E33857"/>
    <w:rsid w:val="00E342DB"/>
    <w:rsid w:val="00E348EB"/>
    <w:rsid w:val="00E35240"/>
    <w:rsid w:val="00E352AA"/>
    <w:rsid w:val="00E355C3"/>
    <w:rsid w:val="00E359CD"/>
    <w:rsid w:val="00E36694"/>
    <w:rsid w:val="00E3792E"/>
    <w:rsid w:val="00E40597"/>
    <w:rsid w:val="00E412A2"/>
    <w:rsid w:val="00E41634"/>
    <w:rsid w:val="00E41DE9"/>
    <w:rsid w:val="00E435FE"/>
    <w:rsid w:val="00E43D75"/>
    <w:rsid w:val="00E43E31"/>
    <w:rsid w:val="00E47DC3"/>
    <w:rsid w:val="00E50DDC"/>
    <w:rsid w:val="00E51A53"/>
    <w:rsid w:val="00E51A62"/>
    <w:rsid w:val="00E520FB"/>
    <w:rsid w:val="00E5236F"/>
    <w:rsid w:val="00E53586"/>
    <w:rsid w:val="00E537D4"/>
    <w:rsid w:val="00E538D7"/>
    <w:rsid w:val="00E54207"/>
    <w:rsid w:val="00E5432A"/>
    <w:rsid w:val="00E54E1F"/>
    <w:rsid w:val="00E553F7"/>
    <w:rsid w:val="00E56482"/>
    <w:rsid w:val="00E57485"/>
    <w:rsid w:val="00E57F07"/>
    <w:rsid w:val="00E60329"/>
    <w:rsid w:val="00E60936"/>
    <w:rsid w:val="00E6142B"/>
    <w:rsid w:val="00E6236C"/>
    <w:rsid w:val="00E62388"/>
    <w:rsid w:val="00E625BF"/>
    <w:rsid w:val="00E62E0D"/>
    <w:rsid w:val="00E630D2"/>
    <w:rsid w:val="00E632CF"/>
    <w:rsid w:val="00E639F6"/>
    <w:rsid w:val="00E64834"/>
    <w:rsid w:val="00E65664"/>
    <w:rsid w:val="00E66A28"/>
    <w:rsid w:val="00E66D6D"/>
    <w:rsid w:val="00E678A7"/>
    <w:rsid w:val="00E678C0"/>
    <w:rsid w:val="00E704ED"/>
    <w:rsid w:val="00E717DC"/>
    <w:rsid w:val="00E71E68"/>
    <w:rsid w:val="00E72277"/>
    <w:rsid w:val="00E72463"/>
    <w:rsid w:val="00E735CD"/>
    <w:rsid w:val="00E740C1"/>
    <w:rsid w:val="00E74897"/>
    <w:rsid w:val="00E75E2B"/>
    <w:rsid w:val="00E76EB5"/>
    <w:rsid w:val="00E7708A"/>
    <w:rsid w:val="00E779F1"/>
    <w:rsid w:val="00E77C54"/>
    <w:rsid w:val="00E80614"/>
    <w:rsid w:val="00E808EC"/>
    <w:rsid w:val="00E8221B"/>
    <w:rsid w:val="00E822A6"/>
    <w:rsid w:val="00E831A0"/>
    <w:rsid w:val="00E83436"/>
    <w:rsid w:val="00E83765"/>
    <w:rsid w:val="00E83F5B"/>
    <w:rsid w:val="00E8501E"/>
    <w:rsid w:val="00E853A0"/>
    <w:rsid w:val="00E87638"/>
    <w:rsid w:val="00E90BD5"/>
    <w:rsid w:val="00E93843"/>
    <w:rsid w:val="00E93EDB"/>
    <w:rsid w:val="00E94126"/>
    <w:rsid w:val="00E94238"/>
    <w:rsid w:val="00E94D42"/>
    <w:rsid w:val="00E94D7A"/>
    <w:rsid w:val="00E95155"/>
    <w:rsid w:val="00E95DF7"/>
    <w:rsid w:val="00EA04FF"/>
    <w:rsid w:val="00EA1F44"/>
    <w:rsid w:val="00EA2E7B"/>
    <w:rsid w:val="00EA34DC"/>
    <w:rsid w:val="00EA3619"/>
    <w:rsid w:val="00EA379B"/>
    <w:rsid w:val="00EA4806"/>
    <w:rsid w:val="00EA526C"/>
    <w:rsid w:val="00EA5CAA"/>
    <w:rsid w:val="00EA6F18"/>
    <w:rsid w:val="00EA7577"/>
    <w:rsid w:val="00EA7CBA"/>
    <w:rsid w:val="00EB0137"/>
    <w:rsid w:val="00EB1293"/>
    <w:rsid w:val="00EB2F9C"/>
    <w:rsid w:val="00EB34E0"/>
    <w:rsid w:val="00EB381F"/>
    <w:rsid w:val="00EB4001"/>
    <w:rsid w:val="00EB49F1"/>
    <w:rsid w:val="00EB52D3"/>
    <w:rsid w:val="00EB55C3"/>
    <w:rsid w:val="00EB5CE5"/>
    <w:rsid w:val="00EB6109"/>
    <w:rsid w:val="00EB6EE4"/>
    <w:rsid w:val="00EB71D2"/>
    <w:rsid w:val="00EB7602"/>
    <w:rsid w:val="00EC0ABE"/>
    <w:rsid w:val="00EC1966"/>
    <w:rsid w:val="00EC1D27"/>
    <w:rsid w:val="00EC2C47"/>
    <w:rsid w:val="00EC33C3"/>
    <w:rsid w:val="00EC349A"/>
    <w:rsid w:val="00EC35AA"/>
    <w:rsid w:val="00EC6255"/>
    <w:rsid w:val="00EC679F"/>
    <w:rsid w:val="00EC72A1"/>
    <w:rsid w:val="00EC7E67"/>
    <w:rsid w:val="00ED1EF5"/>
    <w:rsid w:val="00ED2B08"/>
    <w:rsid w:val="00ED2C6D"/>
    <w:rsid w:val="00ED2E4E"/>
    <w:rsid w:val="00ED378A"/>
    <w:rsid w:val="00ED5095"/>
    <w:rsid w:val="00ED6A08"/>
    <w:rsid w:val="00ED70A6"/>
    <w:rsid w:val="00ED73E2"/>
    <w:rsid w:val="00ED74FF"/>
    <w:rsid w:val="00ED7982"/>
    <w:rsid w:val="00EE0AC6"/>
    <w:rsid w:val="00EE0AE6"/>
    <w:rsid w:val="00EE40E0"/>
    <w:rsid w:val="00EE4A1F"/>
    <w:rsid w:val="00EE72B0"/>
    <w:rsid w:val="00EE76DB"/>
    <w:rsid w:val="00EE7DEE"/>
    <w:rsid w:val="00EF0233"/>
    <w:rsid w:val="00EF083E"/>
    <w:rsid w:val="00EF1174"/>
    <w:rsid w:val="00EF1234"/>
    <w:rsid w:val="00EF19AE"/>
    <w:rsid w:val="00EF1B0B"/>
    <w:rsid w:val="00EF2FE9"/>
    <w:rsid w:val="00EF3544"/>
    <w:rsid w:val="00EF3A1D"/>
    <w:rsid w:val="00EF54BF"/>
    <w:rsid w:val="00EF558F"/>
    <w:rsid w:val="00EF674D"/>
    <w:rsid w:val="00EF73BA"/>
    <w:rsid w:val="00F002CC"/>
    <w:rsid w:val="00F007C2"/>
    <w:rsid w:val="00F0145F"/>
    <w:rsid w:val="00F01779"/>
    <w:rsid w:val="00F02135"/>
    <w:rsid w:val="00F02995"/>
    <w:rsid w:val="00F02CE9"/>
    <w:rsid w:val="00F02DB9"/>
    <w:rsid w:val="00F02F42"/>
    <w:rsid w:val="00F03AB7"/>
    <w:rsid w:val="00F046BD"/>
    <w:rsid w:val="00F04887"/>
    <w:rsid w:val="00F04A2A"/>
    <w:rsid w:val="00F05760"/>
    <w:rsid w:val="00F057DA"/>
    <w:rsid w:val="00F0653C"/>
    <w:rsid w:val="00F06A31"/>
    <w:rsid w:val="00F0720E"/>
    <w:rsid w:val="00F07388"/>
    <w:rsid w:val="00F075BA"/>
    <w:rsid w:val="00F07BD6"/>
    <w:rsid w:val="00F07E4A"/>
    <w:rsid w:val="00F07EFC"/>
    <w:rsid w:val="00F1015F"/>
    <w:rsid w:val="00F102D5"/>
    <w:rsid w:val="00F10595"/>
    <w:rsid w:val="00F116D9"/>
    <w:rsid w:val="00F133D8"/>
    <w:rsid w:val="00F133ED"/>
    <w:rsid w:val="00F13F71"/>
    <w:rsid w:val="00F14286"/>
    <w:rsid w:val="00F155A0"/>
    <w:rsid w:val="00F16248"/>
    <w:rsid w:val="00F16827"/>
    <w:rsid w:val="00F178EE"/>
    <w:rsid w:val="00F20645"/>
    <w:rsid w:val="00F20870"/>
    <w:rsid w:val="00F215D0"/>
    <w:rsid w:val="00F21869"/>
    <w:rsid w:val="00F22583"/>
    <w:rsid w:val="00F22B56"/>
    <w:rsid w:val="00F236D8"/>
    <w:rsid w:val="00F23948"/>
    <w:rsid w:val="00F24101"/>
    <w:rsid w:val="00F24C3C"/>
    <w:rsid w:val="00F260AC"/>
    <w:rsid w:val="00F261F7"/>
    <w:rsid w:val="00F261FC"/>
    <w:rsid w:val="00F27327"/>
    <w:rsid w:val="00F2779B"/>
    <w:rsid w:val="00F27859"/>
    <w:rsid w:val="00F27D09"/>
    <w:rsid w:val="00F30BDB"/>
    <w:rsid w:val="00F3155E"/>
    <w:rsid w:val="00F328F4"/>
    <w:rsid w:val="00F33CCF"/>
    <w:rsid w:val="00F341B3"/>
    <w:rsid w:val="00F34341"/>
    <w:rsid w:val="00F34971"/>
    <w:rsid w:val="00F34F1E"/>
    <w:rsid w:val="00F34F77"/>
    <w:rsid w:val="00F35DC7"/>
    <w:rsid w:val="00F361AC"/>
    <w:rsid w:val="00F362BD"/>
    <w:rsid w:val="00F3697A"/>
    <w:rsid w:val="00F37DB1"/>
    <w:rsid w:val="00F402F9"/>
    <w:rsid w:val="00F40AD0"/>
    <w:rsid w:val="00F4208B"/>
    <w:rsid w:val="00F42678"/>
    <w:rsid w:val="00F4397A"/>
    <w:rsid w:val="00F43F25"/>
    <w:rsid w:val="00F44425"/>
    <w:rsid w:val="00F44C36"/>
    <w:rsid w:val="00F466BF"/>
    <w:rsid w:val="00F46A83"/>
    <w:rsid w:val="00F46CF9"/>
    <w:rsid w:val="00F47613"/>
    <w:rsid w:val="00F5063F"/>
    <w:rsid w:val="00F510FD"/>
    <w:rsid w:val="00F51504"/>
    <w:rsid w:val="00F51E02"/>
    <w:rsid w:val="00F52DBF"/>
    <w:rsid w:val="00F5386A"/>
    <w:rsid w:val="00F540E9"/>
    <w:rsid w:val="00F54420"/>
    <w:rsid w:val="00F55434"/>
    <w:rsid w:val="00F55644"/>
    <w:rsid w:val="00F55A14"/>
    <w:rsid w:val="00F56343"/>
    <w:rsid w:val="00F56D59"/>
    <w:rsid w:val="00F56EC7"/>
    <w:rsid w:val="00F572E5"/>
    <w:rsid w:val="00F606BF"/>
    <w:rsid w:val="00F6099D"/>
    <w:rsid w:val="00F6104C"/>
    <w:rsid w:val="00F615BE"/>
    <w:rsid w:val="00F623F7"/>
    <w:rsid w:val="00F62487"/>
    <w:rsid w:val="00F63950"/>
    <w:rsid w:val="00F649C6"/>
    <w:rsid w:val="00F665EF"/>
    <w:rsid w:val="00F66AB8"/>
    <w:rsid w:val="00F66CE2"/>
    <w:rsid w:val="00F71A5D"/>
    <w:rsid w:val="00F734A9"/>
    <w:rsid w:val="00F73C28"/>
    <w:rsid w:val="00F744C6"/>
    <w:rsid w:val="00F74A2A"/>
    <w:rsid w:val="00F752E8"/>
    <w:rsid w:val="00F7567E"/>
    <w:rsid w:val="00F7657F"/>
    <w:rsid w:val="00F766A3"/>
    <w:rsid w:val="00F77074"/>
    <w:rsid w:val="00F77A93"/>
    <w:rsid w:val="00F77AC3"/>
    <w:rsid w:val="00F77FDE"/>
    <w:rsid w:val="00F80636"/>
    <w:rsid w:val="00F818DF"/>
    <w:rsid w:val="00F81D5B"/>
    <w:rsid w:val="00F82476"/>
    <w:rsid w:val="00F835BC"/>
    <w:rsid w:val="00F838AB"/>
    <w:rsid w:val="00F838CC"/>
    <w:rsid w:val="00F839C1"/>
    <w:rsid w:val="00F846B0"/>
    <w:rsid w:val="00F84B19"/>
    <w:rsid w:val="00F85169"/>
    <w:rsid w:val="00F861DC"/>
    <w:rsid w:val="00F86FA6"/>
    <w:rsid w:val="00F86FBF"/>
    <w:rsid w:val="00F87DEC"/>
    <w:rsid w:val="00F9170D"/>
    <w:rsid w:val="00F9200B"/>
    <w:rsid w:val="00F92714"/>
    <w:rsid w:val="00F93F49"/>
    <w:rsid w:val="00F96897"/>
    <w:rsid w:val="00F97FA1"/>
    <w:rsid w:val="00FA05B2"/>
    <w:rsid w:val="00FA125F"/>
    <w:rsid w:val="00FA152D"/>
    <w:rsid w:val="00FA1603"/>
    <w:rsid w:val="00FA167A"/>
    <w:rsid w:val="00FA2310"/>
    <w:rsid w:val="00FA2351"/>
    <w:rsid w:val="00FA2B0E"/>
    <w:rsid w:val="00FA408A"/>
    <w:rsid w:val="00FA5E88"/>
    <w:rsid w:val="00FA7BF4"/>
    <w:rsid w:val="00FB04C2"/>
    <w:rsid w:val="00FB0BAB"/>
    <w:rsid w:val="00FB2061"/>
    <w:rsid w:val="00FB2AC3"/>
    <w:rsid w:val="00FB3050"/>
    <w:rsid w:val="00FB3C94"/>
    <w:rsid w:val="00FB4329"/>
    <w:rsid w:val="00FB4C07"/>
    <w:rsid w:val="00FB5657"/>
    <w:rsid w:val="00FB673A"/>
    <w:rsid w:val="00FB69FE"/>
    <w:rsid w:val="00FB6CCD"/>
    <w:rsid w:val="00FC0998"/>
    <w:rsid w:val="00FC112E"/>
    <w:rsid w:val="00FC14EC"/>
    <w:rsid w:val="00FC1D20"/>
    <w:rsid w:val="00FC219D"/>
    <w:rsid w:val="00FC26CD"/>
    <w:rsid w:val="00FC3644"/>
    <w:rsid w:val="00FC38F9"/>
    <w:rsid w:val="00FC3DA8"/>
    <w:rsid w:val="00FC425B"/>
    <w:rsid w:val="00FC5C7E"/>
    <w:rsid w:val="00FC6059"/>
    <w:rsid w:val="00FC691C"/>
    <w:rsid w:val="00FC6CA9"/>
    <w:rsid w:val="00FC7DC3"/>
    <w:rsid w:val="00FD0FB3"/>
    <w:rsid w:val="00FD117F"/>
    <w:rsid w:val="00FD182C"/>
    <w:rsid w:val="00FD1C7C"/>
    <w:rsid w:val="00FD1D9B"/>
    <w:rsid w:val="00FD3A63"/>
    <w:rsid w:val="00FD3F69"/>
    <w:rsid w:val="00FD42C8"/>
    <w:rsid w:val="00FD4F8D"/>
    <w:rsid w:val="00FD5138"/>
    <w:rsid w:val="00FD52C4"/>
    <w:rsid w:val="00FD58CF"/>
    <w:rsid w:val="00FD60EC"/>
    <w:rsid w:val="00FD6133"/>
    <w:rsid w:val="00FD6AFB"/>
    <w:rsid w:val="00FD6EBF"/>
    <w:rsid w:val="00FD73EB"/>
    <w:rsid w:val="00FE001A"/>
    <w:rsid w:val="00FE0317"/>
    <w:rsid w:val="00FE07CF"/>
    <w:rsid w:val="00FE255F"/>
    <w:rsid w:val="00FE2DAF"/>
    <w:rsid w:val="00FE3B30"/>
    <w:rsid w:val="00FE58DD"/>
    <w:rsid w:val="00FE5CC6"/>
    <w:rsid w:val="00FE66D5"/>
    <w:rsid w:val="00FE780F"/>
    <w:rsid w:val="00FE7B9B"/>
    <w:rsid w:val="00FF1AB4"/>
    <w:rsid w:val="00FF1CDD"/>
    <w:rsid w:val="00FF281B"/>
    <w:rsid w:val="00FF2954"/>
    <w:rsid w:val="00FF2999"/>
    <w:rsid w:val="00FF2E8F"/>
    <w:rsid w:val="00FF40FA"/>
    <w:rsid w:val="00FF5A15"/>
    <w:rsid w:val="00FF6838"/>
    <w:rsid w:val="00FF6DFC"/>
    <w:rsid w:val="00FF73D0"/>
    <w:rsid w:val="00FF7D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5599"/>
  </w:style>
  <w:style w:type="paragraph" w:styleId="Nagwek1">
    <w:name w:val="heading 1"/>
    <w:basedOn w:val="Normalny"/>
    <w:next w:val="Normalny"/>
    <w:link w:val="Nagwek1Znak"/>
    <w:uiPriority w:val="9"/>
    <w:qFormat/>
    <w:rsid w:val="00E632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632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326A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71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74A4"/>
    <w:pPr>
      <w:ind w:left="720"/>
      <w:contextualSpacing/>
    </w:pPr>
  </w:style>
  <w:style w:type="character" w:customStyle="1" w:styleId="Nagwek1Znak">
    <w:name w:val="Nagłówek 1 Znak"/>
    <w:basedOn w:val="Domylnaczcionkaakapitu"/>
    <w:link w:val="Nagwek1"/>
    <w:uiPriority w:val="9"/>
    <w:rsid w:val="00E632C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E632C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3326A1"/>
    <w:rPr>
      <w:rFonts w:asciiTheme="majorHAnsi" w:eastAsiaTheme="majorEastAsia" w:hAnsiTheme="majorHAnsi" w:cstheme="majorBidi"/>
      <w:b/>
      <w:bCs/>
      <w:color w:val="4F81BD" w:themeColor="accent1"/>
    </w:rPr>
  </w:style>
  <w:style w:type="paragraph" w:styleId="Nagwekspisutreci">
    <w:name w:val="TOC Heading"/>
    <w:basedOn w:val="Nagwek1"/>
    <w:next w:val="Normalny"/>
    <w:uiPriority w:val="39"/>
    <w:semiHidden/>
    <w:unhideWhenUsed/>
    <w:qFormat/>
    <w:rsid w:val="00003731"/>
    <w:pPr>
      <w:outlineLvl w:val="9"/>
    </w:pPr>
    <w:rPr>
      <w:lang w:eastAsia="pl-PL"/>
    </w:rPr>
  </w:style>
  <w:style w:type="paragraph" w:styleId="Spistreci2">
    <w:name w:val="toc 2"/>
    <w:basedOn w:val="Normalny"/>
    <w:next w:val="Normalny"/>
    <w:autoRedefine/>
    <w:uiPriority w:val="39"/>
    <w:unhideWhenUsed/>
    <w:qFormat/>
    <w:rsid w:val="00003731"/>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8B0389"/>
    <w:pPr>
      <w:tabs>
        <w:tab w:val="left" w:pos="440"/>
        <w:tab w:val="right" w:leader="dot" w:pos="9062"/>
      </w:tabs>
      <w:spacing w:after="100"/>
      <w:jc w:val="both"/>
    </w:pPr>
    <w:rPr>
      <w:rFonts w:ascii="Arial" w:eastAsiaTheme="minorEastAsia" w:hAnsi="Arial" w:cs="Arial"/>
      <w:b/>
      <w:noProof/>
      <w:lang w:eastAsia="pl-PL"/>
    </w:rPr>
  </w:style>
  <w:style w:type="paragraph" w:styleId="Spistreci3">
    <w:name w:val="toc 3"/>
    <w:basedOn w:val="Normalny"/>
    <w:next w:val="Normalny"/>
    <w:autoRedefine/>
    <w:uiPriority w:val="39"/>
    <w:unhideWhenUsed/>
    <w:qFormat/>
    <w:rsid w:val="00003731"/>
    <w:pPr>
      <w:spacing w:after="100"/>
      <w:ind w:left="440"/>
    </w:pPr>
    <w:rPr>
      <w:rFonts w:eastAsiaTheme="minorEastAsia"/>
      <w:lang w:eastAsia="pl-PL"/>
    </w:rPr>
  </w:style>
  <w:style w:type="paragraph" w:styleId="Tekstdymka">
    <w:name w:val="Balloon Text"/>
    <w:basedOn w:val="Normalny"/>
    <w:link w:val="TekstdymkaZnak"/>
    <w:uiPriority w:val="99"/>
    <w:semiHidden/>
    <w:unhideWhenUsed/>
    <w:rsid w:val="000037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731"/>
    <w:rPr>
      <w:rFonts w:ascii="Tahoma" w:hAnsi="Tahoma" w:cs="Tahoma"/>
      <w:sz w:val="16"/>
      <w:szCs w:val="16"/>
    </w:rPr>
  </w:style>
  <w:style w:type="character" w:styleId="Hipercze">
    <w:name w:val="Hyperlink"/>
    <w:basedOn w:val="Domylnaczcionkaakapitu"/>
    <w:uiPriority w:val="99"/>
    <w:unhideWhenUsed/>
    <w:rsid w:val="00003731"/>
    <w:rPr>
      <w:color w:val="0000FF" w:themeColor="hyperlink"/>
      <w:u w:val="single"/>
    </w:rPr>
  </w:style>
  <w:style w:type="paragraph" w:styleId="Spistreci4">
    <w:name w:val="toc 4"/>
    <w:basedOn w:val="Normalny"/>
    <w:next w:val="Normalny"/>
    <w:autoRedefine/>
    <w:uiPriority w:val="39"/>
    <w:unhideWhenUsed/>
    <w:rsid w:val="00755982"/>
    <w:pPr>
      <w:spacing w:after="100"/>
      <w:ind w:left="660"/>
    </w:pPr>
    <w:rPr>
      <w:rFonts w:eastAsiaTheme="minorEastAsia"/>
      <w:lang w:eastAsia="pl-PL"/>
    </w:rPr>
  </w:style>
  <w:style w:type="paragraph" w:styleId="Spistreci5">
    <w:name w:val="toc 5"/>
    <w:basedOn w:val="Normalny"/>
    <w:next w:val="Normalny"/>
    <w:autoRedefine/>
    <w:uiPriority w:val="39"/>
    <w:unhideWhenUsed/>
    <w:rsid w:val="00755982"/>
    <w:pPr>
      <w:spacing w:after="100"/>
      <w:ind w:left="880"/>
    </w:pPr>
    <w:rPr>
      <w:rFonts w:eastAsiaTheme="minorEastAsia"/>
      <w:lang w:eastAsia="pl-PL"/>
    </w:rPr>
  </w:style>
  <w:style w:type="paragraph" w:styleId="Spistreci6">
    <w:name w:val="toc 6"/>
    <w:basedOn w:val="Normalny"/>
    <w:next w:val="Normalny"/>
    <w:autoRedefine/>
    <w:unhideWhenUsed/>
    <w:rsid w:val="00755982"/>
    <w:pPr>
      <w:spacing w:after="100"/>
      <w:ind w:left="1100"/>
    </w:pPr>
    <w:rPr>
      <w:rFonts w:eastAsiaTheme="minorEastAsia"/>
      <w:lang w:eastAsia="pl-PL"/>
    </w:rPr>
  </w:style>
  <w:style w:type="paragraph" w:styleId="Spistreci7">
    <w:name w:val="toc 7"/>
    <w:basedOn w:val="Normalny"/>
    <w:next w:val="Normalny"/>
    <w:autoRedefine/>
    <w:uiPriority w:val="39"/>
    <w:unhideWhenUsed/>
    <w:rsid w:val="00755982"/>
    <w:pPr>
      <w:spacing w:after="100"/>
      <w:ind w:left="1320"/>
    </w:pPr>
    <w:rPr>
      <w:rFonts w:eastAsiaTheme="minorEastAsia"/>
      <w:lang w:eastAsia="pl-PL"/>
    </w:rPr>
  </w:style>
  <w:style w:type="paragraph" w:styleId="Spistreci8">
    <w:name w:val="toc 8"/>
    <w:basedOn w:val="Normalny"/>
    <w:next w:val="Normalny"/>
    <w:autoRedefine/>
    <w:uiPriority w:val="39"/>
    <w:unhideWhenUsed/>
    <w:rsid w:val="00755982"/>
    <w:pPr>
      <w:spacing w:after="100"/>
      <w:ind w:left="1540"/>
    </w:pPr>
    <w:rPr>
      <w:rFonts w:eastAsiaTheme="minorEastAsia"/>
      <w:lang w:eastAsia="pl-PL"/>
    </w:rPr>
  </w:style>
  <w:style w:type="paragraph" w:styleId="Spistreci9">
    <w:name w:val="toc 9"/>
    <w:basedOn w:val="Normalny"/>
    <w:next w:val="Normalny"/>
    <w:autoRedefine/>
    <w:uiPriority w:val="39"/>
    <w:unhideWhenUsed/>
    <w:rsid w:val="00755982"/>
    <w:pPr>
      <w:spacing w:after="100"/>
      <w:ind w:left="1760"/>
    </w:pPr>
    <w:rPr>
      <w:rFonts w:eastAsiaTheme="minorEastAsia"/>
      <w:lang w:eastAsia="pl-PL"/>
    </w:rPr>
  </w:style>
  <w:style w:type="paragraph" w:styleId="Nagwek">
    <w:name w:val="header"/>
    <w:basedOn w:val="Normalny"/>
    <w:link w:val="NagwekZnak"/>
    <w:uiPriority w:val="99"/>
    <w:unhideWhenUsed/>
    <w:rsid w:val="000454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401"/>
  </w:style>
  <w:style w:type="paragraph" w:styleId="Stopka">
    <w:name w:val="footer"/>
    <w:basedOn w:val="Normalny"/>
    <w:link w:val="StopkaZnak"/>
    <w:uiPriority w:val="99"/>
    <w:unhideWhenUsed/>
    <w:rsid w:val="000454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401"/>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7A548E"/>
    <w:rPr>
      <w:vertAlign w:val="superscript"/>
    </w:rPr>
  </w:style>
  <w:style w:type="paragraph" w:styleId="Tekstprzypisudolnego">
    <w:name w:val="footnote text"/>
    <w:aliases w:val="Podrozdział,Footnote,Podrozdzia3,Footnote Text Char,fn,footnote text,Footnotes,Footnote ak"/>
    <w:basedOn w:val="Normalny"/>
    <w:link w:val="TekstprzypisudolnegoZnak"/>
    <w:rsid w:val="007A548E"/>
    <w:pPr>
      <w:spacing w:after="0" w:line="240" w:lineRule="auto"/>
      <w:ind w:left="720" w:hanging="720"/>
    </w:pPr>
    <w:rPr>
      <w:rFonts w:ascii="Times New Roman" w:eastAsia="Times New Roman" w:hAnsi="Times New Roman" w:cs="Times New Roman"/>
      <w:sz w:val="24"/>
      <w:szCs w:val="20"/>
      <w:lang w:val="x-none"/>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rsid w:val="007A548E"/>
    <w:rPr>
      <w:rFonts w:ascii="Times New Roman" w:eastAsia="Times New Roman" w:hAnsi="Times New Roman" w:cs="Times New Roman"/>
      <w:sz w:val="24"/>
      <w:szCs w:val="20"/>
      <w:lang w:val="x-none"/>
    </w:rPr>
  </w:style>
  <w:style w:type="paragraph" w:customStyle="1" w:styleId="Tytuowa1">
    <w:name w:val="Tytułowa 1"/>
    <w:basedOn w:val="Tytu"/>
    <w:rsid w:val="00E352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paragraph" w:styleId="Tytu">
    <w:name w:val="Title"/>
    <w:basedOn w:val="Normalny"/>
    <w:next w:val="Normalny"/>
    <w:link w:val="TytuZnak"/>
    <w:uiPriority w:val="10"/>
    <w:qFormat/>
    <w:rsid w:val="00E352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352AA"/>
    <w:rPr>
      <w:rFonts w:asciiTheme="majorHAnsi" w:eastAsiaTheme="majorEastAsia" w:hAnsiTheme="majorHAnsi" w:cstheme="majorBidi"/>
      <w:color w:val="17365D" w:themeColor="text2" w:themeShade="BF"/>
      <w:spacing w:val="5"/>
      <w:kern w:val="28"/>
      <w:sz w:val="52"/>
      <w:szCs w:val="52"/>
    </w:rPr>
  </w:style>
  <w:style w:type="paragraph" w:customStyle="1" w:styleId="Akapit">
    <w:name w:val="Akapit"/>
    <w:basedOn w:val="Normalny"/>
    <w:rsid w:val="00E1174F"/>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ZnakZnak">
    <w:name w:val="Znak Znak"/>
    <w:basedOn w:val="Normalny"/>
    <w:rsid w:val="00740FCE"/>
    <w:pPr>
      <w:spacing w:after="0" w:line="360" w:lineRule="auto"/>
      <w:jc w:val="both"/>
    </w:pPr>
    <w:rPr>
      <w:rFonts w:ascii="Verdana" w:eastAsia="Times New Roman" w:hAnsi="Verdana" w:cs="Times New Roman"/>
      <w:sz w:val="20"/>
      <w:szCs w:val="20"/>
      <w:lang w:eastAsia="pl-PL"/>
    </w:rPr>
  </w:style>
  <w:style w:type="paragraph" w:customStyle="1" w:styleId="ZnakZnak0">
    <w:name w:val="Znak Znak"/>
    <w:basedOn w:val="Normalny"/>
    <w:rsid w:val="00AA2C8A"/>
    <w:pPr>
      <w:spacing w:after="0" w:line="360" w:lineRule="auto"/>
      <w:jc w:val="both"/>
    </w:pPr>
    <w:rPr>
      <w:rFonts w:ascii="Verdana" w:eastAsia="Times New Roman" w:hAnsi="Verdana" w:cs="Times New Roman"/>
      <w:sz w:val="20"/>
      <w:szCs w:val="20"/>
      <w:lang w:eastAsia="pl-PL"/>
    </w:rPr>
  </w:style>
  <w:style w:type="paragraph" w:customStyle="1" w:styleId="ZnakZnak1">
    <w:name w:val="Znak Znak"/>
    <w:basedOn w:val="Normalny"/>
    <w:rsid w:val="00D32C34"/>
    <w:pPr>
      <w:spacing w:after="0" w:line="360" w:lineRule="auto"/>
      <w:jc w:val="both"/>
    </w:pPr>
    <w:rPr>
      <w:rFonts w:ascii="Verdana" w:eastAsia="Times New Roman" w:hAnsi="Verdana" w:cs="Times New Roman"/>
      <w:sz w:val="20"/>
      <w:szCs w:val="20"/>
      <w:lang w:eastAsia="pl-PL"/>
    </w:rPr>
  </w:style>
  <w:style w:type="paragraph" w:customStyle="1" w:styleId="ZnakZnak2">
    <w:name w:val="Znak Znak"/>
    <w:basedOn w:val="Normalny"/>
    <w:rsid w:val="00F510FD"/>
    <w:pPr>
      <w:spacing w:after="0" w:line="360" w:lineRule="auto"/>
      <w:jc w:val="both"/>
    </w:pPr>
    <w:rPr>
      <w:rFonts w:ascii="Verdana" w:eastAsia="Times New Roman" w:hAnsi="Verdana" w:cs="Times New Roman"/>
      <w:sz w:val="20"/>
      <w:szCs w:val="20"/>
      <w:lang w:eastAsia="pl-PL"/>
    </w:rPr>
  </w:style>
  <w:style w:type="paragraph" w:customStyle="1" w:styleId="ZnakZnak3">
    <w:name w:val="Znak Znak"/>
    <w:basedOn w:val="Normalny"/>
    <w:rsid w:val="006B6DD7"/>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rsid w:val="00480264"/>
    <w:rPr>
      <w:sz w:val="16"/>
      <w:szCs w:val="16"/>
    </w:rPr>
  </w:style>
  <w:style w:type="paragraph" w:styleId="Tekstkomentarza">
    <w:name w:val="annotation text"/>
    <w:basedOn w:val="Normalny"/>
    <w:link w:val="TekstkomentarzaZnak"/>
    <w:uiPriority w:val="99"/>
    <w:unhideWhenUsed/>
    <w:rsid w:val="00480264"/>
    <w:pPr>
      <w:spacing w:line="240" w:lineRule="auto"/>
    </w:pPr>
    <w:rPr>
      <w:sz w:val="20"/>
      <w:szCs w:val="20"/>
    </w:rPr>
  </w:style>
  <w:style w:type="character" w:customStyle="1" w:styleId="TekstkomentarzaZnak">
    <w:name w:val="Tekst komentarza Znak"/>
    <w:basedOn w:val="Domylnaczcionkaakapitu"/>
    <w:link w:val="Tekstkomentarza"/>
    <w:uiPriority w:val="99"/>
    <w:rsid w:val="00480264"/>
    <w:rPr>
      <w:sz w:val="20"/>
      <w:szCs w:val="20"/>
    </w:rPr>
  </w:style>
  <w:style w:type="paragraph" w:styleId="Tematkomentarza">
    <w:name w:val="annotation subject"/>
    <w:basedOn w:val="Tekstkomentarza"/>
    <w:next w:val="Tekstkomentarza"/>
    <w:link w:val="TematkomentarzaZnak"/>
    <w:uiPriority w:val="99"/>
    <w:semiHidden/>
    <w:unhideWhenUsed/>
    <w:rsid w:val="00480264"/>
    <w:rPr>
      <w:b/>
      <w:bCs/>
    </w:rPr>
  </w:style>
  <w:style w:type="character" w:customStyle="1" w:styleId="TematkomentarzaZnak">
    <w:name w:val="Temat komentarza Znak"/>
    <w:basedOn w:val="TekstkomentarzaZnak"/>
    <w:link w:val="Tematkomentarza"/>
    <w:uiPriority w:val="99"/>
    <w:semiHidden/>
    <w:rsid w:val="00480264"/>
    <w:rPr>
      <w:b/>
      <w:bCs/>
      <w:sz w:val="20"/>
      <w:szCs w:val="20"/>
    </w:rPr>
  </w:style>
  <w:style w:type="paragraph" w:customStyle="1" w:styleId="ZnakZnak4">
    <w:name w:val="Znak Znak"/>
    <w:basedOn w:val="Normalny"/>
    <w:rsid w:val="00480264"/>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303BFC"/>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semiHidden/>
    <w:unhideWhenUsed/>
    <w:rsid w:val="00645B90"/>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645B90"/>
    <w:rPr>
      <w:sz w:val="20"/>
      <w:szCs w:val="20"/>
    </w:rPr>
  </w:style>
  <w:style w:type="character" w:styleId="Odwoanieprzypisukocowego">
    <w:name w:val="endnote reference"/>
    <w:basedOn w:val="Domylnaczcionkaakapitu"/>
    <w:uiPriority w:val="99"/>
    <w:semiHidden/>
    <w:unhideWhenUsed/>
    <w:rsid w:val="00645B90"/>
    <w:rPr>
      <w:vertAlign w:val="superscript"/>
    </w:rPr>
  </w:style>
  <w:style w:type="paragraph" w:styleId="Poprawka">
    <w:name w:val="Revision"/>
    <w:hidden/>
    <w:uiPriority w:val="99"/>
    <w:semiHidden/>
    <w:rsid w:val="00B721B1"/>
    <w:pPr>
      <w:spacing w:after="0" w:line="240" w:lineRule="auto"/>
    </w:pPr>
  </w:style>
  <w:style w:type="paragraph" w:customStyle="1" w:styleId="CM1">
    <w:name w:val="CM1"/>
    <w:basedOn w:val="Default"/>
    <w:next w:val="Default"/>
    <w:uiPriority w:val="99"/>
    <w:rsid w:val="009D3646"/>
    <w:pPr>
      <w:spacing w:before="200" w:after="200"/>
    </w:pPr>
    <w:rPr>
      <w:rFonts w:ascii="EUAlbertina" w:hAnsi="EUAlbertina" w:cstheme="minorBidi"/>
      <w:color w:val="auto"/>
    </w:rPr>
  </w:style>
  <w:style w:type="paragraph" w:customStyle="1" w:styleId="CM3">
    <w:name w:val="CM3"/>
    <w:basedOn w:val="Default"/>
    <w:next w:val="Default"/>
    <w:uiPriority w:val="99"/>
    <w:rsid w:val="009D3646"/>
    <w:pPr>
      <w:spacing w:before="60" w:after="60"/>
    </w:pPr>
    <w:rPr>
      <w:rFonts w:ascii="EUAlbertina" w:hAnsi="EUAlbertina" w:cstheme="minorBidi"/>
      <w:color w:val="auto"/>
    </w:rPr>
  </w:style>
  <w:style w:type="paragraph" w:customStyle="1" w:styleId="CM4">
    <w:name w:val="CM4"/>
    <w:basedOn w:val="Default"/>
    <w:next w:val="Default"/>
    <w:uiPriority w:val="99"/>
    <w:rsid w:val="009D3646"/>
    <w:pPr>
      <w:spacing w:before="60" w:after="60"/>
    </w:pPr>
    <w:rPr>
      <w:rFonts w:ascii="EUAlbertina" w:hAnsi="EUAlbertina" w:cstheme="minorBidi"/>
      <w:color w:val="auto"/>
    </w:rPr>
  </w:style>
  <w:style w:type="character" w:customStyle="1" w:styleId="Nagwek4Znak">
    <w:name w:val="Nagłówek 4 Znak"/>
    <w:basedOn w:val="Domylnaczcionkaakapitu"/>
    <w:link w:val="Nagwek4"/>
    <w:uiPriority w:val="9"/>
    <w:semiHidden/>
    <w:rsid w:val="00D71A59"/>
    <w:rPr>
      <w:rFonts w:asciiTheme="majorHAnsi" w:eastAsiaTheme="majorEastAsia" w:hAnsiTheme="majorHAnsi" w:cstheme="majorBidi"/>
      <w:b/>
      <w:bCs/>
      <w:i/>
      <w:iCs/>
      <w:color w:val="4F81BD" w:themeColor="accent1"/>
    </w:rPr>
  </w:style>
  <w:style w:type="character" w:styleId="Pogrubienie">
    <w:name w:val="Strong"/>
    <w:basedOn w:val="Domylnaczcionkaakapitu"/>
    <w:uiPriority w:val="22"/>
    <w:qFormat/>
    <w:rsid w:val="00F215D0"/>
    <w:rPr>
      <w:b/>
      <w:bCs/>
    </w:rPr>
  </w:style>
  <w:style w:type="paragraph" w:styleId="NormalnyWeb">
    <w:name w:val="Normal (Web)"/>
    <w:basedOn w:val="Normalny"/>
    <w:uiPriority w:val="99"/>
    <w:semiHidden/>
    <w:unhideWhenUsed/>
    <w:rsid w:val="00F215D0"/>
    <w:pPr>
      <w:spacing w:after="300" w:line="240" w:lineRule="auto"/>
    </w:pPr>
    <w:rPr>
      <w:rFonts w:ascii="inherit" w:eastAsia="Times New Roman" w:hAnsi="inherit" w:cs="Times New Roman"/>
      <w:sz w:val="24"/>
      <w:szCs w:val="24"/>
      <w:lang w:eastAsia="pl-PL"/>
    </w:rPr>
  </w:style>
  <w:style w:type="paragraph" w:customStyle="1" w:styleId="ZnakZnak5">
    <w:name w:val="Znak Znak"/>
    <w:basedOn w:val="Normalny"/>
    <w:rsid w:val="00A10FE0"/>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A10FE0"/>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10FE0"/>
    <w:rPr>
      <w:rFonts w:ascii="Times New Roman" w:eastAsia="Times New Roman" w:hAnsi="Times New Roman" w:cs="Times New Roman"/>
      <w:sz w:val="16"/>
      <w:szCs w:val="16"/>
      <w:lang w:eastAsia="pl-PL"/>
    </w:rPr>
  </w:style>
  <w:style w:type="paragraph" w:customStyle="1" w:styleId="ZnakZnak6">
    <w:name w:val="Znak Znak"/>
    <w:basedOn w:val="Normalny"/>
    <w:rsid w:val="005D652A"/>
    <w:pPr>
      <w:spacing w:after="0" w:line="360" w:lineRule="auto"/>
      <w:jc w:val="both"/>
    </w:pPr>
    <w:rPr>
      <w:rFonts w:ascii="Verdana" w:eastAsia="Times New Roman" w:hAnsi="Verdana" w:cs="Times New Roman"/>
      <w:sz w:val="20"/>
      <w:szCs w:val="20"/>
      <w:lang w:eastAsia="pl-PL"/>
    </w:rPr>
  </w:style>
  <w:style w:type="paragraph" w:customStyle="1" w:styleId="ManualNumPar1">
    <w:name w:val="Manual NumPar 1"/>
    <w:basedOn w:val="Normalny"/>
    <w:next w:val="Normalny"/>
    <w:rsid w:val="00DA5A59"/>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ny"/>
    <w:rsid w:val="00DA5A59"/>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ZnakZnak7">
    <w:name w:val="Znak Znak"/>
    <w:basedOn w:val="Normalny"/>
    <w:rsid w:val="006B20FA"/>
    <w:pPr>
      <w:spacing w:after="0" w:line="360" w:lineRule="auto"/>
      <w:jc w:val="both"/>
    </w:pPr>
    <w:rPr>
      <w:rFonts w:ascii="Verdana" w:eastAsia="Times New Roman" w:hAnsi="Verdana" w:cs="Times New Roman"/>
      <w:sz w:val="20"/>
      <w:szCs w:val="20"/>
      <w:lang w:eastAsia="pl-PL"/>
    </w:rPr>
  </w:style>
  <w:style w:type="paragraph" w:customStyle="1" w:styleId="ZnakZnak8">
    <w:name w:val="Znak Znak"/>
    <w:basedOn w:val="Normalny"/>
    <w:rsid w:val="004B15BF"/>
    <w:pPr>
      <w:spacing w:after="0" w:line="360" w:lineRule="auto"/>
      <w:jc w:val="both"/>
    </w:pPr>
    <w:rPr>
      <w:rFonts w:ascii="Verdana" w:eastAsia="Times New Roman" w:hAnsi="Verdana" w:cs="Times New Roman"/>
      <w:sz w:val="20"/>
      <w:szCs w:val="20"/>
      <w:lang w:eastAsia="pl-PL"/>
    </w:rPr>
  </w:style>
  <w:style w:type="paragraph" w:customStyle="1" w:styleId="ZnakZnak9">
    <w:name w:val="Znak Znak"/>
    <w:basedOn w:val="Normalny"/>
    <w:rsid w:val="003905CE"/>
    <w:pPr>
      <w:spacing w:after="0" w:line="360" w:lineRule="auto"/>
      <w:jc w:val="both"/>
    </w:pPr>
    <w:rPr>
      <w:rFonts w:ascii="Verdana" w:eastAsia="Times New Roman" w:hAnsi="Verdana" w:cs="Times New Roman"/>
      <w:sz w:val="20"/>
      <w:szCs w:val="20"/>
      <w:lang w:eastAsia="pl-PL"/>
    </w:rPr>
  </w:style>
  <w:style w:type="paragraph" w:customStyle="1" w:styleId="Standard">
    <w:name w:val="Standard"/>
    <w:rsid w:val="00903FFD"/>
    <w:pPr>
      <w:suppressAutoHyphens/>
      <w:autoSpaceDN w:val="0"/>
      <w:textAlignment w:val="baseline"/>
    </w:pPr>
    <w:rPr>
      <w:rFonts w:ascii="Calibri" w:eastAsia="Times New Roman" w:hAnsi="Calibri" w:cs="Times New Roman"/>
      <w:kern w:val="3"/>
      <w:lang w:eastAsia="zh-CN"/>
    </w:rPr>
  </w:style>
  <w:style w:type="table" w:styleId="Tabela-Siatka">
    <w:name w:val="Table Grid"/>
    <w:basedOn w:val="Standardowy"/>
    <w:uiPriority w:val="59"/>
    <w:rsid w:val="0090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06EE2"/>
    <w:pPr>
      <w:spacing w:after="120"/>
    </w:pPr>
  </w:style>
  <w:style w:type="character" w:customStyle="1" w:styleId="TekstpodstawowyZnak">
    <w:name w:val="Tekst podstawowy Znak"/>
    <w:basedOn w:val="Domylnaczcionkaakapitu"/>
    <w:link w:val="Tekstpodstawowy"/>
    <w:uiPriority w:val="99"/>
    <w:semiHidden/>
    <w:rsid w:val="00A06EE2"/>
  </w:style>
  <w:style w:type="paragraph" w:customStyle="1" w:styleId="ZnakZnaka">
    <w:name w:val="Znak Znak"/>
    <w:basedOn w:val="Normalny"/>
    <w:rsid w:val="00224492"/>
    <w:pPr>
      <w:spacing w:after="0" w:line="360" w:lineRule="auto"/>
      <w:jc w:val="both"/>
    </w:pPr>
    <w:rPr>
      <w:rFonts w:ascii="Verdana" w:eastAsia="Times New Roman" w:hAnsi="Verdana" w:cs="Times New Roman"/>
      <w:sz w:val="20"/>
      <w:szCs w:val="20"/>
      <w:lang w:eastAsia="pl-PL"/>
    </w:rPr>
  </w:style>
  <w:style w:type="paragraph" w:customStyle="1" w:styleId="ZnakZnakb">
    <w:name w:val="Znak Znak"/>
    <w:basedOn w:val="Normalny"/>
    <w:rsid w:val="007409A4"/>
    <w:pPr>
      <w:spacing w:after="0" w:line="360" w:lineRule="auto"/>
      <w:jc w:val="both"/>
    </w:pPr>
    <w:rPr>
      <w:rFonts w:ascii="Verdana" w:eastAsia="Times New Roman" w:hAnsi="Verdana" w:cs="Times New Roman"/>
      <w:sz w:val="20"/>
      <w:szCs w:val="20"/>
      <w:lang w:eastAsia="pl-PL"/>
    </w:rPr>
  </w:style>
  <w:style w:type="character" w:customStyle="1" w:styleId="highlight">
    <w:name w:val="highlight"/>
    <w:basedOn w:val="Domylnaczcionkaakapitu"/>
    <w:rsid w:val="00D50079"/>
  </w:style>
  <w:style w:type="paragraph" w:customStyle="1" w:styleId="PKTpunkt">
    <w:name w:val="PKT – punkt"/>
    <w:uiPriority w:val="13"/>
    <w:qFormat/>
    <w:rsid w:val="00D06CDD"/>
    <w:pPr>
      <w:spacing w:after="0" w:line="360" w:lineRule="auto"/>
      <w:ind w:left="510" w:hanging="510"/>
      <w:jc w:val="both"/>
    </w:pPr>
    <w:rPr>
      <w:rFonts w:ascii="Times" w:eastAsiaTheme="minorEastAsia" w:hAnsi="Times" w:cs="Arial"/>
      <w:bCs/>
      <w:sz w:val="24"/>
      <w:szCs w:val="20"/>
      <w:lang w:eastAsia="pl-PL"/>
    </w:rPr>
  </w:style>
  <w:style w:type="character" w:customStyle="1" w:styleId="st">
    <w:name w:val="st"/>
    <w:basedOn w:val="Domylnaczcionkaakapitu"/>
    <w:rsid w:val="00132BE3"/>
  </w:style>
  <w:style w:type="character" w:styleId="UyteHipercze">
    <w:name w:val="FollowedHyperlink"/>
    <w:basedOn w:val="Domylnaczcionkaakapitu"/>
    <w:uiPriority w:val="99"/>
    <w:semiHidden/>
    <w:unhideWhenUsed/>
    <w:rsid w:val="00BC255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5599"/>
  </w:style>
  <w:style w:type="paragraph" w:styleId="Nagwek1">
    <w:name w:val="heading 1"/>
    <w:basedOn w:val="Normalny"/>
    <w:next w:val="Normalny"/>
    <w:link w:val="Nagwek1Znak"/>
    <w:uiPriority w:val="9"/>
    <w:qFormat/>
    <w:rsid w:val="00E632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632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326A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71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74A4"/>
    <w:pPr>
      <w:ind w:left="720"/>
      <w:contextualSpacing/>
    </w:pPr>
  </w:style>
  <w:style w:type="character" w:customStyle="1" w:styleId="Nagwek1Znak">
    <w:name w:val="Nagłówek 1 Znak"/>
    <w:basedOn w:val="Domylnaczcionkaakapitu"/>
    <w:link w:val="Nagwek1"/>
    <w:uiPriority w:val="9"/>
    <w:rsid w:val="00E632C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E632C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3326A1"/>
    <w:rPr>
      <w:rFonts w:asciiTheme="majorHAnsi" w:eastAsiaTheme="majorEastAsia" w:hAnsiTheme="majorHAnsi" w:cstheme="majorBidi"/>
      <w:b/>
      <w:bCs/>
      <w:color w:val="4F81BD" w:themeColor="accent1"/>
    </w:rPr>
  </w:style>
  <w:style w:type="paragraph" w:styleId="Nagwekspisutreci">
    <w:name w:val="TOC Heading"/>
    <w:basedOn w:val="Nagwek1"/>
    <w:next w:val="Normalny"/>
    <w:uiPriority w:val="39"/>
    <w:semiHidden/>
    <w:unhideWhenUsed/>
    <w:qFormat/>
    <w:rsid w:val="00003731"/>
    <w:pPr>
      <w:outlineLvl w:val="9"/>
    </w:pPr>
    <w:rPr>
      <w:lang w:eastAsia="pl-PL"/>
    </w:rPr>
  </w:style>
  <w:style w:type="paragraph" w:styleId="Spistreci2">
    <w:name w:val="toc 2"/>
    <w:basedOn w:val="Normalny"/>
    <w:next w:val="Normalny"/>
    <w:autoRedefine/>
    <w:uiPriority w:val="39"/>
    <w:unhideWhenUsed/>
    <w:qFormat/>
    <w:rsid w:val="00003731"/>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8B0389"/>
    <w:pPr>
      <w:tabs>
        <w:tab w:val="left" w:pos="440"/>
        <w:tab w:val="right" w:leader="dot" w:pos="9062"/>
      </w:tabs>
      <w:spacing w:after="100"/>
      <w:jc w:val="both"/>
    </w:pPr>
    <w:rPr>
      <w:rFonts w:ascii="Arial" w:eastAsiaTheme="minorEastAsia" w:hAnsi="Arial" w:cs="Arial"/>
      <w:b/>
      <w:noProof/>
      <w:lang w:eastAsia="pl-PL"/>
    </w:rPr>
  </w:style>
  <w:style w:type="paragraph" w:styleId="Spistreci3">
    <w:name w:val="toc 3"/>
    <w:basedOn w:val="Normalny"/>
    <w:next w:val="Normalny"/>
    <w:autoRedefine/>
    <w:uiPriority w:val="39"/>
    <w:unhideWhenUsed/>
    <w:qFormat/>
    <w:rsid w:val="00003731"/>
    <w:pPr>
      <w:spacing w:after="100"/>
      <w:ind w:left="440"/>
    </w:pPr>
    <w:rPr>
      <w:rFonts w:eastAsiaTheme="minorEastAsia"/>
      <w:lang w:eastAsia="pl-PL"/>
    </w:rPr>
  </w:style>
  <w:style w:type="paragraph" w:styleId="Tekstdymka">
    <w:name w:val="Balloon Text"/>
    <w:basedOn w:val="Normalny"/>
    <w:link w:val="TekstdymkaZnak"/>
    <w:uiPriority w:val="99"/>
    <w:semiHidden/>
    <w:unhideWhenUsed/>
    <w:rsid w:val="000037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731"/>
    <w:rPr>
      <w:rFonts w:ascii="Tahoma" w:hAnsi="Tahoma" w:cs="Tahoma"/>
      <w:sz w:val="16"/>
      <w:szCs w:val="16"/>
    </w:rPr>
  </w:style>
  <w:style w:type="character" w:styleId="Hipercze">
    <w:name w:val="Hyperlink"/>
    <w:basedOn w:val="Domylnaczcionkaakapitu"/>
    <w:uiPriority w:val="99"/>
    <w:unhideWhenUsed/>
    <w:rsid w:val="00003731"/>
    <w:rPr>
      <w:color w:val="0000FF" w:themeColor="hyperlink"/>
      <w:u w:val="single"/>
    </w:rPr>
  </w:style>
  <w:style w:type="paragraph" w:styleId="Spistreci4">
    <w:name w:val="toc 4"/>
    <w:basedOn w:val="Normalny"/>
    <w:next w:val="Normalny"/>
    <w:autoRedefine/>
    <w:uiPriority w:val="39"/>
    <w:unhideWhenUsed/>
    <w:rsid w:val="00755982"/>
    <w:pPr>
      <w:spacing w:after="100"/>
      <w:ind w:left="660"/>
    </w:pPr>
    <w:rPr>
      <w:rFonts w:eastAsiaTheme="minorEastAsia"/>
      <w:lang w:eastAsia="pl-PL"/>
    </w:rPr>
  </w:style>
  <w:style w:type="paragraph" w:styleId="Spistreci5">
    <w:name w:val="toc 5"/>
    <w:basedOn w:val="Normalny"/>
    <w:next w:val="Normalny"/>
    <w:autoRedefine/>
    <w:uiPriority w:val="39"/>
    <w:unhideWhenUsed/>
    <w:rsid w:val="00755982"/>
    <w:pPr>
      <w:spacing w:after="100"/>
      <w:ind w:left="880"/>
    </w:pPr>
    <w:rPr>
      <w:rFonts w:eastAsiaTheme="minorEastAsia"/>
      <w:lang w:eastAsia="pl-PL"/>
    </w:rPr>
  </w:style>
  <w:style w:type="paragraph" w:styleId="Spistreci6">
    <w:name w:val="toc 6"/>
    <w:basedOn w:val="Normalny"/>
    <w:next w:val="Normalny"/>
    <w:autoRedefine/>
    <w:unhideWhenUsed/>
    <w:rsid w:val="00755982"/>
    <w:pPr>
      <w:spacing w:after="100"/>
      <w:ind w:left="1100"/>
    </w:pPr>
    <w:rPr>
      <w:rFonts w:eastAsiaTheme="minorEastAsia"/>
      <w:lang w:eastAsia="pl-PL"/>
    </w:rPr>
  </w:style>
  <w:style w:type="paragraph" w:styleId="Spistreci7">
    <w:name w:val="toc 7"/>
    <w:basedOn w:val="Normalny"/>
    <w:next w:val="Normalny"/>
    <w:autoRedefine/>
    <w:uiPriority w:val="39"/>
    <w:unhideWhenUsed/>
    <w:rsid w:val="00755982"/>
    <w:pPr>
      <w:spacing w:after="100"/>
      <w:ind w:left="1320"/>
    </w:pPr>
    <w:rPr>
      <w:rFonts w:eastAsiaTheme="minorEastAsia"/>
      <w:lang w:eastAsia="pl-PL"/>
    </w:rPr>
  </w:style>
  <w:style w:type="paragraph" w:styleId="Spistreci8">
    <w:name w:val="toc 8"/>
    <w:basedOn w:val="Normalny"/>
    <w:next w:val="Normalny"/>
    <w:autoRedefine/>
    <w:uiPriority w:val="39"/>
    <w:unhideWhenUsed/>
    <w:rsid w:val="00755982"/>
    <w:pPr>
      <w:spacing w:after="100"/>
      <w:ind w:left="1540"/>
    </w:pPr>
    <w:rPr>
      <w:rFonts w:eastAsiaTheme="minorEastAsia"/>
      <w:lang w:eastAsia="pl-PL"/>
    </w:rPr>
  </w:style>
  <w:style w:type="paragraph" w:styleId="Spistreci9">
    <w:name w:val="toc 9"/>
    <w:basedOn w:val="Normalny"/>
    <w:next w:val="Normalny"/>
    <w:autoRedefine/>
    <w:uiPriority w:val="39"/>
    <w:unhideWhenUsed/>
    <w:rsid w:val="00755982"/>
    <w:pPr>
      <w:spacing w:after="100"/>
      <w:ind w:left="1760"/>
    </w:pPr>
    <w:rPr>
      <w:rFonts w:eastAsiaTheme="minorEastAsia"/>
      <w:lang w:eastAsia="pl-PL"/>
    </w:rPr>
  </w:style>
  <w:style w:type="paragraph" w:styleId="Nagwek">
    <w:name w:val="header"/>
    <w:basedOn w:val="Normalny"/>
    <w:link w:val="NagwekZnak"/>
    <w:uiPriority w:val="99"/>
    <w:unhideWhenUsed/>
    <w:rsid w:val="000454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401"/>
  </w:style>
  <w:style w:type="paragraph" w:styleId="Stopka">
    <w:name w:val="footer"/>
    <w:basedOn w:val="Normalny"/>
    <w:link w:val="StopkaZnak"/>
    <w:uiPriority w:val="99"/>
    <w:unhideWhenUsed/>
    <w:rsid w:val="000454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401"/>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7A548E"/>
    <w:rPr>
      <w:vertAlign w:val="superscript"/>
    </w:rPr>
  </w:style>
  <w:style w:type="paragraph" w:styleId="Tekstprzypisudolnego">
    <w:name w:val="footnote text"/>
    <w:aliases w:val="Podrozdział,Footnote,Podrozdzia3,Footnote Text Char,fn,footnote text,Footnotes,Footnote ak"/>
    <w:basedOn w:val="Normalny"/>
    <w:link w:val="TekstprzypisudolnegoZnak"/>
    <w:rsid w:val="007A548E"/>
    <w:pPr>
      <w:spacing w:after="0" w:line="240" w:lineRule="auto"/>
      <w:ind w:left="720" w:hanging="720"/>
    </w:pPr>
    <w:rPr>
      <w:rFonts w:ascii="Times New Roman" w:eastAsia="Times New Roman" w:hAnsi="Times New Roman" w:cs="Times New Roman"/>
      <w:sz w:val="24"/>
      <w:szCs w:val="20"/>
      <w:lang w:val="x-none"/>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rsid w:val="007A548E"/>
    <w:rPr>
      <w:rFonts w:ascii="Times New Roman" w:eastAsia="Times New Roman" w:hAnsi="Times New Roman" w:cs="Times New Roman"/>
      <w:sz w:val="24"/>
      <w:szCs w:val="20"/>
      <w:lang w:val="x-none"/>
    </w:rPr>
  </w:style>
  <w:style w:type="paragraph" w:customStyle="1" w:styleId="Tytuowa1">
    <w:name w:val="Tytułowa 1"/>
    <w:basedOn w:val="Tytu"/>
    <w:rsid w:val="00E352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paragraph" w:styleId="Tytu">
    <w:name w:val="Title"/>
    <w:basedOn w:val="Normalny"/>
    <w:next w:val="Normalny"/>
    <w:link w:val="TytuZnak"/>
    <w:uiPriority w:val="10"/>
    <w:qFormat/>
    <w:rsid w:val="00E352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352AA"/>
    <w:rPr>
      <w:rFonts w:asciiTheme="majorHAnsi" w:eastAsiaTheme="majorEastAsia" w:hAnsiTheme="majorHAnsi" w:cstheme="majorBidi"/>
      <w:color w:val="17365D" w:themeColor="text2" w:themeShade="BF"/>
      <w:spacing w:val="5"/>
      <w:kern w:val="28"/>
      <w:sz w:val="52"/>
      <w:szCs w:val="52"/>
    </w:rPr>
  </w:style>
  <w:style w:type="paragraph" w:customStyle="1" w:styleId="Akapit">
    <w:name w:val="Akapit"/>
    <w:basedOn w:val="Normalny"/>
    <w:rsid w:val="00E1174F"/>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ZnakZnak">
    <w:name w:val="Znak Znak"/>
    <w:basedOn w:val="Normalny"/>
    <w:rsid w:val="00740FCE"/>
    <w:pPr>
      <w:spacing w:after="0" w:line="360" w:lineRule="auto"/>
      <w:jc w:val="both"/>
    </w:pPr>
    <w:rPr>
      <w:rFonts w:ascii="Verdana" w:eastAsia="Times New Roman" w:hAnsi="Verdana" w:cs="Times New Roman"/>
      <w:sz w:val="20"/>
      <w:szCs w:val="20"/>
      <w:lang w:eastAsia="pl-PL"/>
    </w:rPr>
  </w:style>
  <w:style w:type="paragraph" w:customStyle="1" w:styleId="ZnakZnak0">
    <w:name w:val="Znak Znak"/>
    <w:basedOn w:val="Normalny"/>
    <w:rsid w:val="00AA2C8A"/>
    <w:pPr>
      <w:spacing w:after="0" w:line="360" w:lineRule="auto"/>
      <w:jc w:val="both"/>
    </w:pPr>
    <w:rPr>
      <w:rFonts w:ascii="Verdana" w:eastAsia="Times New Roman" w:hAnsi="Verdana" w:cs="Times New Roman"/>
      <w:sz w:val="20"/>
      <w:szCs w:val="20"/>
      <w:lang w:eastAsia="pl-PL"/>
    </w:rPr>
  </w:style>
  <w:style w:type="paragraph" w:customStyle="1" w:styleId="ZnakZnak1">
    <w:name w:val="Znak Znak"/>
    <w:basedOn w:val="Normalny"/>
    <w:rsid w:val="00D32C34"/>
    <w:pPr>
      <w:spacing w:after="0" w:line="360" w:lineRule="auto"/>
      <w:jc w:val="both"/>
    </w:pPr>
    <w:rPr>
      <w:rFonts w:ascii="Verdana" w:eastAsia="Times New Roman" w:hAnsi="Verdana" w:cs="Times New Roman"/>
      <w:sz w:val="20"/>
      <w:szCs w:val="20"/>
      <w:lang w:eastAsia="pl-PL"/>
    </w:rPr>
  </w:style>
  <w:style w:type="paragraph" w:customStyle="1" w:styleId="ZnakZnak2">
    <w:name w:val="Znak Znak"/>
    <w:basedOn w:val="Normalny"/>
    <w:rsid w:val="00F510FD"/>
    <w:pPr>
      <w:spacing w:after="0" w:line="360" w:lineRule="auto"/>
      <w:jc w:val="both"/>
    </w:pPr>
    <w:rPr>
      <w:rFonts w:ascii="Verdana" w:eastAsia="Times New Roman" w:hAnsi="Verdana" w:cs="Times New Roman"/>
      <w:sz w:val="20"/>
      <w:szCs w:val="20"/>
      <w:lang w:eastAsia="pl-PL"/>
    </w:rPr>
  </w:style>
  <w:style w:type="paragraph" w:customStyle="1" w:styleId="ZnakZnak3">
    <w:name w:val="Znak Znak"/>
    <w:basedOn w:val="Normalny"/>
    <w:rsid w:val="006B6DD7"/>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rsid w:val="00480264"/>
    <w:rPr>
      <w:sz w:val="16"/>
      <w:szCs w:val="16"/>
    </w:rPr>
  </w:style>
  <w:style w:type="paragraph" w:styleId="Tekstkomentarza">
    <w:name w:val="annotation text"/>
    <w:basedOn w:val="Normalny"/>
    <w:link w:val="TekstkomentarzaZnak"/>
    <w:uiPriority w:val="99"/>
    <w:unhideWhenUsed/>
    <w:rsid w:val="00480264"/>
    <w:pPr>
      <w:spacing w:line="240" w:lineRule="auto"/>
    </w:pPr>
    <w:rPr>
      <w:sz w:val="20"/>
      <w:szCs w:val="20"/>
    </w:rPr>
  </w:style>
  <w:style w:type="character" w:customStyle="1" w:styleId="TekstkomentarzaZnak">
    <w:name w:val="Tekst komentarza Znak"/>
    <w:basedOn w:val="Domylnaczcionkaakapitu"/>
    <w:link w:val="Tekstkomentarza"/>
    <w:uiPriority w:val="99"/>
    <w:rsid w:val="00480264"/>
    <w:rPr>
      <w:sz w:val="20"/>
      <w:szCs w:val="20"/>
    </w:rPr>
  </w:style>
  <w:style w:type="paragraph" w:styleId="Tematkomentarza">
    <w:name w:val="annotation subject"/>
    <w:basedOn w:val="Tekstkomentarza"/>
    <w:next w:val="Tekstkomentarza"/>
    <w:link w:val="TematkomentarzaZnak"/>
    <w:uiPriority w:val="99"/>
    <w:semiHidden/>
    <w:unhideWhenUsed/>
    <w:rsid w:val="00480264"/>
    <w:rPr>
      <w:b/>
      <w:bCs/>
    </w:rPr>
  </w:style>
  <w:style w:type="character" w:customStyle="1" w:styleId="TematkomentarzaZnak">
    <w:name w:val="Temat komentarza Znak"/>
    <w:basedOn w:val="TekstkomentarzaZnak"/>
    <w:link w:val="Tematkomentarza"/>
    <w:uiPriority w:val="99"/>
    <w:semiHidden/>
    <w:rsid w:val="00480264"/>
    <w:rPr>
      <w:b/>
      <w:bCs/>
      <w:sz w:val="20"/>
      <w:szCs w:val="20"/>
    </w:rPr>
  </w:style>
  <w:style w:type="paragraph" w:customStyle="1" w:styleId="ZnakZnak4">
    <w:name w:val="Znak Znak"/>
    <w:basedOn w:val="Normalny"/>
    <w:rsid w:val="00480264"/>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303BFC"/>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semiHidden/>
    <w:unhideWhenUsed/>
    <w:rsid w:val="00645B90"/>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645B90"/>
    <w:rPr>
      <w:sz w:val="20"/>
      <w:szCs w:val="20"/>
    </w:rPr>
  </w:style>
  <w:style w:type="character" w:styleId="Odwoanieprzypisukocowego">
    <w:name w:val="endnote reference"/>
    <w:basedOn w:val="Domylnaczcionkaakapitu"/>
    <w:uiPriority w:val="99"/>
    <w:semiHidden/>
    <w:unhideWhenUsed/>
    <w:rsid w:val="00645B90"/>
    <w:rPr>
      <w:vertAlign w:val="superscript"/>
    </w:rPr>
  </w:style>
  <w:style w:type="paragraph" w:styleId="Poprawka">
    <w:name w:val="Revision"/>
    <w:hidden/>
    <w:uiPriority w:val="99"/>
    <w:semiHidden/>
    <w:rsid w:val="00B721B1"/>
    <w:pPr>
      <w:spacing w:after="0" w:line="240" w:lineRule="auto"/>
    </w:pPr>
  </w:style>
  <w:style w:type="paragraph" w:customStyle="1" w:styleId="CM1">
    <w:name w:val="CM1"/>
    <w:basedOn w:val="Default"/>
    <w:next w:val="Default"/>
    <w:uiPriority w:val="99"/>
    <w:rsid w:val="009D3646"/>
    <w:pPr>
      <w:spacing w:before="200" w:after="200"/>
    </w:pPr>
    <w:rPr>
      <w:rFonts w:ascii="EUAlbertina" w:hAnsi="EUAlbertina" w:cstheme="minorBidi"/>
      <w:color w:val="auto"/>
    </w:rPr>
  </w:style>
  <w:style w:type="paragraph" w:customStyle="1" w:styleId="CM3">
    <w:name w:val="CM3"/>
    <w:basedOn w:val="Default"/>
    <w:next w:val="Default"/>
    <w:uiPriority w:val="99"/>
    <w:rsid w:val="009D3646"/>
    <w:pPr>
      <w:spacing w:before="60" w:after="60"/>
    </w:pPr>
    <w:rPr>
      <w:rFonts w:ascii="EUAlbertina" w:hAnsi="EUAlbertina" w:cstheme="minorBidi"/>
      <w:color w:val="auto"/>
    </w:rPr>
  </w:style>
  <w:style w:type="paragraph" w:customStyle="1" w:styleId="CM4">
    <w:name w:val="CM4"/>
    <w:basedOn w:val="Default"/>
    <w:next w:val="Default"/>
    <w:uiPriority w:val="99"/>
    <w:rsid w:val="009D3646"/>
    <w:pPr>
      <w:spacing w:before="60" w:after="60"/>
    </w:pPr>
    <w:rPr>
      <w:rFonts w:ascii="EUAlbertina" w:hAnsi="EUAlbertina" w:cstheme="minorBidi"/>
      <w:color w:val="auto"/>
    </w:rPr>
  </w:style>
  <w:style w:type="character" w:customStyle="1" w:styleId="Nagwek4Znak">
    <w:name w:val="Nagłówek 4 Znak"/>
    <w:basedOn w:val="Domylnaczcionkaakapitu"/>
    <w:link w:val="Nagwek4"/>
    <w:uiPriority w:val="9"/>
    <w:semiHidden/>
    <w:rsid w:val="00D71A59"/>
    <w:rPr>
      <w:rFonts w:asciiTheme="majorHAnsi" w:eastAsiaTheme="majorEastAsia" w:hAnsiTheme="majorHAnsi" w:cstheme="majorBidi"/>
      <w:b/>
      <w:bCs/>
      <w:i/>
      <w:iCs/>
      <w:color w:val="4F81BD" w:themeColor="accent1"/>
    </w:rPr>
  </w:style>
  <w:style w:type="character" w:styleId="Pogrubienie">
    <w:name w:val="Strong"/>
    <w:basedOn w:val="Domylnaczcionkaakapitu"/>
    <w:uiPriority w:val="22"/>
    <w:qFormat/>
    <w:rsid w:val="00F215D0"/>
    <w:rPr>
      <w:b/>
      <w:bCs/>
    </w:rPr>
  </w:style>
  <w:style w:type="paragraph" w:styleId="NormalnyWeb">
    <w:name w:val="Normal (Web)"/>
    <w:basedOn w:val="Normalny"/>
    <w:uiPriority w:val="99"/>
    <w:semiHidden/>
    <w:unhideWhenUsed/>
    <w:rsid w:val="00F215D0"/>
    <w:pPr>
      <w:spacing w:after="300" w:line="240" w:lineRule="auto"/>
    </w:pPr>
    <w:rPr>
      <w:rFonts w:ascii="inherit" w:eastAsia="Times New Roman" w:hAnsi="inherit" w:cs="Times New Roman"/>
      <w:sz w:val="24"/>
      <w:szCs w:val="24"/>
      <w:lang w:eastAsia="pl-PL"/>
    </w:rPr>
  </w:style>
  <w:style w:type="paragraph" w:customStyle="1" w:styleId="ZnakZnak5">
    <w:name w:val="Znak Znak"/>
    <w:basedOn w:val="Normalny"/>
    <w:rsid w:val="00A10FE0"/>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A10FE0"/>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10FE0"/>
    <w:rPr>
      <w:rFonts w:ascii="Times New Roman" w:eastAsia="Times New Roman" w:hAnsi="Times New Roman" w:cs="Times New Roman"/>
      <w:sz w:val="16"/>
      <w:szCs w:val="16"/>
      <w:lang w:eastAsia="pl-PL"/>
    </w:rPr>
  </w:style>
  <w:style w:type="paragraph" w:customStyle="1" w:styleId="ZnakZnak6">
    <w:name w:val="Znak Znak"/>
    <w:basedOn w:val="Normalny"/>
    <w:rsid w:val="005D652A"/>
    <w:pPr>
      <w:spacing w:after="0" w:line="360" w:lineRule="auto"/>
      <w:jc w:val="both"/>
    </w:pPr>
    <w:rPr>
      <w:rFonts w:ascii="Verdana" w:eastAsia="Times New Roman" w:hAnsi="Verdana" w:cs="Times New Roman"/>
      <w:sz w:val="20"/>
      <w:szCs w:val="20"/>
      <w:lang w:eastAsia="pl-PL"/>
    </w:rPr>
  </w:style>
  <w:style w:type="paragraph" w:customStyle="1" w:styleId="ManualNumPar1">
    <w:name w:val="Manual NumPar 1"/>
    <w:basedOn w:val="Normalny"/>
    <w:next w:val="Normalny"/>
    <w:rsid w:val="00DA5A59"/>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ny"/>
    <w:rsid w:val="00DA5A59"/>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ZnakZnak7">
    <w:name w:val="Znak Znak"/>
    <w:basedOn w:val="Normalny"/>
    <w:rsid w:val="006B20FA"/>
    <w:pPr>
      <w:spacing w:after="0" w:line="360" w:lineRule="auto"/>
      <w:jc w:val="both"/>
    </w:pPr>
    <w:rPr>
      <w:rFonts w:ascii="Verdana" w:eastAsia="Times New Roman" w:hAnsi="Verdana" w:cs="Times New Roman"/>
      <w:sz w:val="20"/>
      <w:szCs w:val="20"/>
      <w:lang w:eastAsia="pl-PL"/>
    </w:rPr>
  </w:style>
  <w:style w:type="paragraph" w:customStyle="1" w:styleId="ZnakZnak8">
    <w:name w:val="Znak Znak"/>
    <w:basedOn w:val="Normalny"/>
    <w:rsid w:val="004B15BF"/>
    <w:pPr>
      <w:spacing w:after="0" w:line="360" w:lineRule="auto"/>
      <w:jc w:val="both"/>
    </w:pPr>
    <w:rPr>
      <w:rFonts w:ascii="Verdana" w:eastAsia="Times New Roman" w:hAnsi="Verdana" w:cs="Times New Roman"/>
      <w:sz w:val="20"/>
      <w:szCs w:val="20"/>
      <w:lang w:eastAsia="pl-PL"/>
    </w:rPr>
  </w:style>
  <w:style w:type="paragraph" w:customStyle="1" w:styleId="ZnakZnak9">
    <w:name w:val="Znak Znak"/>
    <w:basedOn w:val="Normalny"/>
    <w:rsid w:val="003905CE"/>
    <w:pPr>
      <w:spacing w:after="0" w:line="360" w:lineRule="auto"/>
      <w:jc w:val="both"/>
    </w:pPr>
    <w:rPr>
      <w:rFonts w:ascii="Verdana" w:eastAsia="Times New Roman" w:hAnsi="Verdana" w:cs="Times New Roman"/>
      <w:sz w:val="20"/>
      <w:szCs w:val="20"/>
      <w:lang w:eastAsia="pl-PL"/>
    </w:rPr>
  </w:style>
  <w:style w:type="paragraph" w:customStyle="1" w:styleId="Standard">
    <w:name w:val="Standard"/>
    <w:rsid w:val="00903FFD"/>
    <w:pPr>
      <w:suppressAutoHyphens/>
      <w:autoSpaceDN w:val="0"/>
      <w:textAlignment w:val="baseline"/>
    </w:pPr>
    <w:rPr>
      <w:rFonts w:ascii="Calibri" w:eastAsia="Times New Roman" w:hAnsi="Calibri" w:cs="Times New Roman"/>
      <w:kern w:val="3"/>
      <w:lang w:eastAsia="zh-CN"/>
    </w:rPr>
  </w:style>
  <w:style w:type="table" w:styleId="Tabela-Siatka">
    <w:name w:val="Table Grid"/>
    <w:basedOn w:val="Standardowy"/>
    <w:uiPriority w:val="59"/>
    <w:rsid w:val="0090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06EE2"/>
    <w:pPr>
      <w:spacing w:after="120"/>
    </w:pPr>
  </w:style>
  <w:style w:type="character" w:customStyle="1" w:styleId="TekstpodstawowyZnak">
    <w:name w:val="Tekst podstawowy Znak"/>
    <w:basedOn w:val="Domylnaczcionkaakapitu"/>
    <w:link w:val="Tekstpodstawowy"/>
    <w:uiPriority w:val="99"/>
    <w:semiHidden/>
    <w:rsid w:val="00A06EE2"/>
  </w:style>
  <w:style w:type="paragraph" w:customStyle="1" w:styleId="ZnakZnaka">
    <w:name w:val="Znak Znak"/>
    <w:basedOn w:val="Normalny"/>
    <w:rsid w:val="00224492"/>
    <w:pPr>
      <w:spacing w:after="0" w:line="360" w:lineRule="auto"/>
      <w:jc w:val="both"/>
    </w:pPr>
    <w:rPr>
      <w:rFonts w:ascii="Verdana" w:eastAsia="Times New Roman" w:hAnsi="Verdana" w:cs="Times New Roman"/>
      <w:sz w:val="20"/>
      <w:szCs w:val="20"/>
      <w:lang w:eastAsia="pl-PL"/>
    </w:rPr>
  </w:style>
  <w:style w:type="paragraph" w:customStyle="1" w:styleId="ZnakZnakb">
    <w:name w:val="Znak Znak"/>
    <w:basedOn w:val="Normalny"/>
    <w:rsid w:val="007409A4"/>
    <w:pPr>
      <w:spacing w:after="0" w:line="360" w:lineRule="auto"/>
      <w:jc w:val="both"/>
    </w:pPr>
    <w:rPr>
      <w:rFonts w:ascii="Verdana" w:eastAsia="Times New Roman" w:hAnsi="Verdana" w:cs="Times New Roman"/>
      <w:sz w:val="20"/>
      <w:szCs w:val="20"/>
      <w:lang w:eastAsia="pl-PL"/>
    </w:rPr>
  </w:style>
  <w:style w:type="character" w:customStyle="1" w:styleId="highlight">
    <w:name w:val="highlight"/>
    <w:basedOn w:val="Domylnaczcionkaakapitu"/>
    <w:rsid w:val="00D50079"/>
  </w:style>
  <w:style w:type="paragraph" w:customStyle="1" w:styleId="PKTpunkt">
    <w:name w:val="PKT – punkt"/>
    <w:uiPriority w:val="13"/>
    <w:qFormat/>
    <w:rsid w:val="00D06CDD"/>
    <w:pPr>
      <w:spacing w:after="0" w:line="360" w:lineRule="auto"/>
      <w:ind w:left="510" w:hanging="510"/>
      <w:jc w:val="both"/>
    </w:pPr>
    <w:rPr>
      <w:rFonts w:ascii="Times" w:eastAsiaTheme="minorEastAsia" w:hAnsi="Times" w:cs="Arial"/>
      <w:bCs/>
      <w:sz w:val="24"/>
      <w:szCs w:val="20"/>
      <w:lang w:eastAsia="pl-PL"/>
    </w:rPr>
  </w:style>
  <w:style w:type="character" w:customStyle="1" w:styleId="st">
    <w:name w:val="st"/>
    <w:basedOn w:val="Domylnaczcionkaakapitu"/>
    <w:rsid w:val="00132BE3"/>
  </w:style>
  <w:style w:type="character" w:styleId="UyteHipercze">
    <w:name w:val="FollowedHyperlink"/>
    <w:basedOn w:val="Domylnaczcionkaakapitu"/>
    <w:uiPriority w:val="99"/>
    <w:semiHidden/>
    <w:unhideWhenUsed/>
    <w:rsid w:val="00BC25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449">
      <w:bodyDiv w:val="1"/>
      <w:marLeft w:val="0"/>
      <w:marRight w:val="0"/>
      <w:marTop w:val="0"/>
      <w:marBottom w:val="0"/>
      <w:divBdr>
        <w:top w:val="none" w:sz="0" w:space="0" w:color="auto"/>
        <w:left w:val="none" w:sz="0" w:space="0" w:color="auto"/>
        <w:bottom w:val="none" w:sz="0" w:space="0" w:color="auto"/>
        <w:right w:val="none" w:sz="0" w:space="0" w:color="auto"/>
      </w:divBdr>
    </w:div>
    <w:div w:id="379062381">
      <w:bodyDiv w:val="1"/>
      <w:marLeft w:val="0"/>
      <w:marRight w:val="0"/>
      <w:marTop w:val="0"/>
      <w:marBottom w:val="0"/>
      <w:divBdr>
        <w:top w:val="none" w:sz="0" w:space="0" w:color="auto"/>
        <w:left w:val="none" w:sz="0" w:space="0" w:color="auto"/>
        <w:bottom w:val="none" w:sz="0" w:space="0" w:color="auto"/>
        <w:right w:val="none" w:sz="0" w:space="0" w:color="auto"/>
      </w:divBdr>
      <w:divsChild>
        <w:div w:id="995917482">
          <w:marLeft w:val="0"/>
          <w:marRight w:val="0"/>
          <w:marTop w:val="0"/>
          <w:marBottom w:val="0"/>
          <w:divBdr>
            <w:top w:val="none" w:sz="0" w:space="0" w:color="auto"/>
            <w:left w:val="none" w:sz="0" w:space="0" w:color="auto"/>
            <w:bottom w:val="none" w:sz="0" w:space="0" w:color="auto"/>
            <w:right w:val="none" w:sz="0" w:space="0" w:color="auto"/>
          </w:divBdr>
        </w:div>
        <w:div w:id="1785035878">
          <w:marLeft w:val="0"/>
          <w:marRight w:val="0"/>
          <w:marTop w:val="0"/>
          <w:marBottom w:val="0"/>
          <w:divBdr>
            <w:top w:val="none" w:sz="0" w:space="0" w:color="auto"/>
            <w:left w:val="none" w:sz="0" w:space="0" w:color="auto"/>
            <w:bottom w:val="none" w:sz="0" w:space="0" w:color="auto"/>
            <w:right w:val="none" w:sz="0" w:space="0" w:color="auto"/>
          </w:divBdr>
        </w:div>
        <w:div w:id="240527201">
          <w:marLeft w:val="0"/>
          <w:marRight w:val="0"/>
          <w:marTop w:val="0"/>
          <w:marBottom w:val="0"/>
          <w:divBdr>
            <w:top w:val="none" w:sz="0" w:space="0" w:color="auto"/>
            <w:left w:val="none" w:sz="0" w:space="0" w:color="auto"/>
            <w:bottom w:val="none" w:sz="0" w:space="0" w:color="auto"/>
            <w:right w:val="none" w:sz="0" w:space="0" w:color="auto"/>
          </w:divBdr>
        </w:div>
        <w:div w:id="945356879">
          <w:marLeft w:val="0"/>
          <w:marRight w:val="0"/>
          <w:marTop w:val="0"/>
          <w:marBottom w:val="0"/>
          <w:divBdr>
            <w:top w:val="none" w:sz="0" w:space="0" w:color="auto"/>
            <w:left w:val="none" w:sz="0" w:space="0" w:color="auto"/>
            <w:bottom w:val="none" w:sz="0" w:space="0" w:color="auto"/>
            <w:right w:val="none" w:sz="0" w:space="0" w:color="auto"/>
          </w:divBdr>
        </w:div>
        <w:div w:id="1610578125">
          <w:marLeft w:val="0"/>
          <w:marRight w:val="0"/>
          <w:marTop w:val="0"/>
          <w:marBottom w:val="0"/>
          <w:divBdr>
            <w:top w:val="none" w:sz="0" w:space="0" w:color="auto"/>
            <w:left w:val="none" w:sz="0" w:space="0" w:color="auto"/>
            <w:bottom w:val="none" w:sz="0" w:space="0" w:color="auto"/>
            <w:right w:val="none" w:sz="0" w:space="0" w:color="auto"/>
          </w:divBdr>
        </w:div>
        <w:div w:id="1100611763">
          <w:marLeft w:val="0"/>
          <w:marRight w:val="0"/>
          <w:marTop w:val="0"/>
          <w:marBottom w:val="0"/>
          <w:divBdr>
            <w:top w:val="none" w:sz="0" w:space="0" w:color="auto"/>
            <w:left w:val="none" w:sz="0" w:space="0" w:color="auto"/>
            <w:bottom w:val="none" w:sz="0" w:space="0" w:color="auto"/>
            <w:right w:val="none" w:sz="0" w:space="0" w:color="auto"/>
          </w:divBdr>
        </w:div>
        <w:div w:id="1556041043">
          <w:marLeft w:val="0"/>
          <w:marRight w:val="0"/>
          <w:marTop w:val="0"/>
          <w:marBottom w:val="0"/>
          <w:divBdr>
            <w:top w:val="none" w:sz="0" w:space="0" w:color="auto"/>
            <w:left w:val="none" w:sz="0" w:space="0" w:color="auto"/>
            <w:bottom w:val="none" w:sz="0" w:space="0" w:color="auto"/>
            <w:right w:val="none" w:sz="0" w:space="0" w:color="auto"/>
          </w:divBdr>
        </w:div>
      </w:divsChild>
    </w:div>
    <w:div w:id="651561811">
      <w:bodyDiv w:val="1"/>
      <w:marLeft w:val="0"/>
      <w:marRight w:val="0"/>
      <w:marTop w:val="0"/>
      <w:marBottom w:val="0"/>
      <w:divBdr>
        <w:top w:val="none" w:sz="0" w:space="0" w:color="auto"/>
        <w:left w:val="none" w:sz="0" w:space="0" w:color="auto"/>
        <w:bottom w:val="none" w:sz="0" w:space="0" w:color="auto"/>
        <w:right w:val="none" w:sz="0" w:space="0" w:color="auto"/>
      </w:divBdr>
      <w:divsChild>
        <w:div w:id="2044090575">
          <w:marLeft w:val="0"/>
          <w:marRight w:val="0"/>
          <w:marTop w:val="0"/>
          <w:marBottom w:val="0"/>
          <w:divBdr>
            <w:top w:val="none" w:sz="0" w:space="0" w:color="auto"/>
            <w:left w:val="none" w:sz="0" w:space="0" w:color="auto"/>
            <w:bottom w:val="none" w:sz="0" w:space="0" w:color="auto"/>
            <w:right w:val="none" w:sz="0" w:space="0" w:color="auto"/>
          </w:divBdr>
        </w:div>
        <w:div w:id="232084502">
          <w:marLeft w:val="0"/>
          <w:marRight w:val="0"/>
          <w:marTop w:val="0"/>
          <w:marBottom w:val="0"/>
          <w:divBdr>
            <w:top w:val="none" w:sz="0" w:space="0" w:color="auto"/>
            <w:left w:val="none" w:sz="0" w:space="0" w:color="auto"/>
            <w:bottom w:val="none" w:sz="0" w:space="0" w:color="auto"/>
            <w:right w:val="none" w:sz="0" w:space="0" w:color="auto"/>
          </w:divBdr>
        </w:div>
        <w:div w:id="2061660173">
          <w:marLeft w:val="0"/>
          <w:marRight w:val="0"/>
          <w:marTop w:val="0"/>
          <w:marBottom w:val="0"/>
          <w:divBdr>
            <w:top w:val="none" w:sz="0" w:space="0" w:color="auto"/>
            <w:left w:val="none" w:sz="0" w:space="0" w:color="auto"/>
            <w:bottom w:val="none" w:sz="0" w:space="0" w:color="auto"/>
            <w:right w:val="none" w:sz="0" w:space="0" w:color="auto"/>
          </w:divBdr>
        </w:div>
        <w:div w:id="1224101812">
          <w:marLeft w:val="0"/>
          <w:marRight w:val="0"/>
          <w:marTop w:val="0"/>
          <w:marBottom w:val="0"/>
          <w:divBdr>
            <w:top w:val="none" w:sz="0" w:space="0" w:color="auto"/>
            <w:left w:val="none" w:sz="0" w:space="0" w:color="auto"/>
            <w:bottom w:val="none" w:sz="0" w:space="0" w:color="auto"/>
            <w:right w:val="none" w:sz="0" w:space="0" w:color="auto"/>
          </w:divBdr>
        </w:div>
        <w:div w:id="1349873252">
          <w:marLeft w:val="0"/>
          <w:marRight w:val="0"/>
          <w:marTop w:val="0"/>
          <w:marBottom w:val="0"/>
          <w:divBdr>
            <w:top w:val="none" w:sz="0" w:space="0" w:color="auto"/>
            <w:left w:val="none" w:sz="0" w:space="0" w:color="auto"/>
            <w:bottom w:val="none" w:sz="0" w:space="0" w:color="auto"/>
            <w:right w:val="none" w:sz="0" w:space="0" w:color="auto"/>
          </w:divBdr>
        </w:div>
        <w:div w:id="542063305">
          <w:marLeft w:val="0"/>
          <w:marRight w:val="0"/>
          <w:marTop w:val="0"/>
          <w:marBottom w:val="0"/>
          <w:divBdr>
            <w:top w:val="none" w:sz="0" w:space="0" w:color="auto"/>
            <w:left w:val="none" w:sz="0" w:space="0" w:color="auto"/>
            <w:bottom w:val="none" w:sz="0" w:space="0" w:color="auto"/>
            <w:right w:val="none" w:sz="0" w:space="0" w:color="auto"/>
          </w:divBdr>
        </w:div>
        <w:div w:id="934094675">
          <w:marLeft w:val="0"/>
          <w:marRight w:val="0"/>
          <w:marTop w:val="0"/>
          <w:marBottom w:val="0"/>
          <w:divBdr>
            <w:top w:val="none" w:sz="0" w:space="0" w:color="auto"/>
            <w:left w:val="none" w:sz="0" w:space="0" w:color="auto"/>
            <w:bottom w:val="none" w:sz="0" w:space="0" w:color="auto"/>
            <w:right w:val="none" w:sz="0" w:space="0" w:color="auto"/>
          </w:divBdr>
        </w:div>
        <w:div w:id="922573177">
          <w:marLeft w:val="0"/>
          <w:marRight w:val="0"/>
          <w:marTop w:val="0"/>
          <w:marBottom w:val="0"/>
          <w:divBdr>
            <w:top w:val="none" w:sz="0" w:space="0" w:color="auto"/>
            <w:left w:val="none" w:sz="0" w:space="0" w:color="auto"/>
            <w:bottom w:val="none" w:sz="0" w:space="0" w:color="auto"/>
            <w:right w:val="none" w:sz="0" w:space="0" w:color="auto"/>
          </w:divBdr>
        </w:div>
        <w:div w:id="694812944">
          <w:marLeft w:val="0"/>
          <w:marRight w:val="0"/>
          <w:marTop w:val="0"/>
          <w:marBottom w:val="0"/>
          <w:divBdr>
            <w:top w:val="none" w:sz="0" w:space="0" w:color="auto"/>
            <w:left w:val="none" w:sz="0" w:space="0" w:color="auto"/>
            <w:bottom w:val="none" w:sz="0" w:space="0" w:color="auto"/>
            <w:right w:val="none" w:sz="0" w:space="0" w:color="auto"/>
          </w:divBdr>
        </w:div>
        <w:div w:id="1060904970">
          <w:marLeft w:val="0"/>
          <w:marRight w:val="0"/>
          <w:marTop w:val="0"/>
          <w:marBottom w:val="0"/>
          <w:divBdr>
            <w:top w:val="none" w:sz="0" w:space="0" w:color="auto"/>
            <w:left w:val="none" w:sz="0" w:space="0" w:color="auto"/>
            <w:bottom w:val="none" w:sz="0" w:space="0" w:color="auto"/>
            <w:right w:val="none" w:sz="0" w:space="0" w:color="auto"/>
          </w:divBdr>
        </w:div>
        <w:div w:id="591276698">
          <w:marLeft w:val="0"/>
          <w:marRight w:val="0"/>
          <w:marTop w:val="0"/>
          <w:marBottom w:val="0"/>
          <w:divBdr>
            <w:top w:val="none" w:sz="0" w:space="0" w:color="auto"/>
            <w:left w:val="none" w:sz="0" w:space="0" w:color="auto"/>
            <w:bottom w:val="none" w:sz="0" w:space="0" w:color="auto"/>
            <w:right w:val="none" w:sz="0" w:space="0" w:color="auto"/>
          </w:divBdr>
        </w:div>
        <w:div w:id="2011326730">
          <w:marLeft w:val="0"/>
          <w:marRight w:val="0"/>
          <w:marTop w:val="0"/>
          <w:marBottom w:val="0"/>
          <w:divBdr>
            <w:top w:val="none" w:sz="0" w:space="0" w:color="auto"/>
            <w:left w:val="none" w:sz="0" w:space="0" w:color="auto"/>
            <w:bottom w:val="none" w:sz="0" w:space="0" w:color="auto"/>
            <w:right w:val="none" w:sz="0" w:space="0" w:color="auto"/>
          </w:divBdr>
        </w:div>
        <w:div w:id="1424689048">
          <w:marLeft w:val="0"/>
          <w:marRight w:val="0"/>
          <w:marTop w:val="0"/>
          <w:marBottom w:val="0"/>
          <w:divBdr>
            <w:top w:val="none" w:sz="0" w:space="0" w:color="auto"/>
            <w:left w:val="none" w:sz="0" w:space="0" w:color="auto"/>
            <w:bottom w:val="none" w:sz="0" w:space="0" w:color="auto"/>
            <w:right w:val="none" w:sz="0" w:space="0" w:color="auto"/>
          </w:divBdr>
        </w:div>
        <w:div w:id="1762412988">
          <w:marLeft w:val="0"/>
          <w:marRight w:val="0"/>
          <w:marTop w:val="0"/>
          <w:marBottom w:val="0"/>
          <w:divBdr>
            <w:top w:val="none" w:sz="0" w:space="0" w:color="auto"/>
            <w:left w:val="none" w:sz="0" w:space="0" w:color="auto"/>
            <w:bottom w:val="none" w:sz="0" w:space="0" w:color="auto"/>
            <w:right w:val="none" w:sz="0" w:space="0" w:color="auto"/>
          </w:divBdr>
        </w:div>
        <w:div w:id="1541355306">
          <w:marLeft w:val="0"/>
          <w:marRight w:val="0"/>
          <w:marTop w:val="0"/>
          <w:marBottom w:val="0"/>
          <w:divBdr>
            <w:top w:val="none" w:sz="0" w:space="0" w:color="auto"/>
            <w:left w:val="none" w:sz="0" w:space="0" w:color="auto"/>
            <w:bottom w:val="none" w:sz="0" w:space="0" w:color="auto"/>
            <w:right w:val="none" w:sz="0" w:space="0" w:color="auto"/>
          </w:divBdr>
        </w:div>
        <w:div w:id="1293554855">
          <w:marLeft w:val="0"/>
          <w:marRight w:val="0"/>
          <w:marTop w:val="0"/>
          <w:marBottom w:val="0"/>
          <w:divBdr>
            <w:top w:val="none" w:sz="0" w:space="0" w:color="auto"/>
            <w:left w:val="none" w:sz="0" w:space="0" w:color="auto"/>
            <w:bottom w:val="none" w:sz="0" w:space="0" w:color="auto"/>
            <w:right w:val="none" w:sz="0" w:space="0" w:color="auto"/>
          </w:divBdr>
        </w:div>
        <w:div w:id="1201280447">
          <w:marLeft w:val="0"/>
          <w:marRight w:val="0"/>
          <w:marTop w:val="0"/>
          <w:marBottom w:val="0"/>
          <w:divBdr>
            <w:top w:val="none" w:sz="0" w:space="0" w:color="auto"/>
            <w:left w:val="none" w:sz="0" w:space="0" w:color="auto"/>
            <w:bottom w:val="none" w:sz="0" w:space="0" w:color="auto"/>
            <w:right w:val="none" w:sz="0" w:space="0" w:color="auto"/>
          </w:divBdr>
        </w:div>
        <w:div w:id="1397779087">
          <w:marLeft w:val="0"/>
          <w:marRight w:val="0"/>
          <w:marTop w:val="0"/>
          <w:marBottom w:val="0"/>
          <w:divBdr>
            <w:top w:val="none" w:sz="0" w:space="0" w:color="auto"/>
            <w:left w:val="none" w:sz="0" w:space="0" w:color="auto"/>
            <w:bottom w:val="none" w:sz="0" w:space="0" w:color="auto"/>
            <w:right w:val="none" w:sz="0" w:space="0" w:color="auto"/>
          </w:divBdr>
        </w:div>
        <w:div w:id="492452194">
          <w:marLeft w:val="0"/>
          <w:marRight w:val="0"/>
          <w:marTop w:val="0"/>
          <w:marBottom w:val="0"/>
          <w:divBdr>
            <w:top w:val="none" w:sz="0" w:space="0" w:color="auto"/>
            <w:left w:val="none" w:sz="0" w:space="0" w:color="auto"/>
            <w:bottom w:val="none" w:sz="0" w:space="0" w:color="auto"/>
            <w:right w:val="none" w:sz="0" w:space="0" w:color="auto"/>
          </w:divBdr>
        </w:div>
        <w:div w:id="173345143">
          <w:marLeft w:val="0"/>
          <w:marRight w:val="0"/>
          <w:marTop w:val="0"/>
          <w:marBottom w:val="0"/>
          <w:divBdr>
            <w:top w:val="none" w:sz="0" w:space="0" w:color="auto"/>
            <w:left w:val="none" w:sz="0" w:space="0" w:color="auto"/>
            <w:bottom w:val="none" w:sz="0" w:space="0" w:color="auto"/>
            <w:right w:val="none" w:sz="0" w:space="0" w:color="auto"/>
          </w:divBdr>
        </w:div>
        <w:div w:id="438793605">
          <w:marLeft w:val="0"/>
          <w:marRight w:val="0"/>
          <w:marTop w:val="0"/>
          <w:marBottom w:val="0"/>
          <w:divBdr>
            <w:top w:val="none" w:sz="0" w:space="0" w:color="auto"/>
            <w:left w:val="none" w:sz="0" w:space="0" w:color="auto"/>
            <w:bottom w:val="none" w:sz="0" w:space="0" w:color="auto"/>
            <w:right w:val="none" w:sz="0" w:space="0" w:color="auto"/>
          </w:divBdr>
        </w:div>
        <w:div w:id="763962660">
          <w:marLeft w:val="0"/>
          <w:marRight w:val="0"/>
          <w:marTop w:val="0"/>
          <w:marBottom w:val="0"/>
          <w:divBdr>
            <w:top w:val="none" w:sz="0" w:space="0" w:color="auto"/>
            <w:left w:val="none" w:sz="0" w:space="0" w:color="auto"/>
            <w:bottom w:val="none" w:sz="0" w:space="0" w:color="auto"/>
            <w:right w:val="none" w:sz="0" w:space="0" w:color="auto"/>
          </w:divBdr>
        </w:div>
        <w:div w:id="1491409145">
          <w:marLeft w:val="0"/>
          <w:marRight w:val="0"/>
          <w:marTop w:val="0"/>
          <w:marBottom w:val="0"/>
          <w:divBdr>
            <w:top w:val="none" w:sz="0" w:space="0" w:color="auto"/>
            <w:left w:val="none" w:sz="0" w:space="0" w:color="auto"/>
            <w:bottom w:val="none" w:sz="0" w:space="0" w:color="auto"/>
            <w:right w:val="none" w:sz="0" w:space="0" w:color="auto"/>
          </w:divBdr>
        </w:div>
        <w:div w:id="718211951">
          <w:marLeft w:val="0"/>
          <w:marRight w:val="0"/>
          <w:marTop w:val="0"/>
          <w:marBottom w:val="0"/>
          <w:divBdr>
            <w:top w:val="none" w:sz="0" w:space="0" w:color="auto"/>
            <w:left w:val="none" w:sz="0" w:space="0" w:color="auto"/>
            <w:bottom w:val="none" w:sz="0" w:space="0" w:color="auto"/>
            <w:right w:val="none" w:sz="0" w:space="0" w:color="auto"/>
          </w:divBdr>
        </w:div>
        <w:div w:id="690959282">
          <w:marLeft w:val="0"/>
          <w:marRight w:val="0"/>
          <w:marTop w:val="0"/>
          <w:marBottom w:val="0"/>
          <w:divBdr>
            <w:top w:val="none" w:sz="0" w:space="0" w:color="auto"/>
            <w:left w:val="none" w:sz="0" w:space="0" w:color="auto"/>
            <w:bottom w:val="none" w:sz="0" w:space="0" w:color="auto"/>
            <w:right w:val="none" w:sz="0" w:space="0" w:color="auto"/>
          </w:divBdr>
        </w:div>
        <w:div w:id="1306158140">
          <w:marLeft w:val="0"/>
          <w:marRight w:val="0"/>
          <w:marTop w:val="0"/>
          <w:marBottom w:val="0"/>
          <w:divBdr>
            <w:top w:val="none" w:sz="0" w:space="0" w:color="auto"/>
            <w:left w:val="none" w:sz="0" w:space="0" w:color="auto"/>
            <w:bottom w:val="none" w:sz="0" w:space="0" w:color="auto"/>
            <w:right w:val="none" w:sz="0" w:space="0" w:color="auto"/>
          </w:divBdr>
        </w:div>
        <w:div w:id="12462067">
          <w:marLeft w:val="0"/>
          <w:marRight w:val="0"/>
          <w:marTop w:val="0"/>
          <w:marBottom w:val="0"/>
          <w:divBdr>
            <w:top w:val="none" w:sz="0" w:space="0" w:color="auto"/>
            <w:left w:val="none" w:sz="0" w:space="0" w:color="auto"/>
            <w:bottom w:val="none" w:sz="0" w:space="0" w:color="auto"/>
            <w:right w:val="none" w:sz="0" w:space="0" w:color="auto"/>
          </w:divBdr>
        </w:div>
        <w:div w:id="874848416">
          <w:marLeft w:val="0"/>
          <w:marRight w:val="0"/>
          <w:marTop w:val="0"/>
          <w:marBottom w:val="0"/>
          <w:divBdr>
            <w:top w:val="none" w:sz="0" w:space="0" w:color="auto"/>
            <w:left w:val="none" w:sz="0" w:space="0" w:color="auto"/>
            <w:bottom w:val="none" w:sz="0" w:space="0" w:color="auto"/>
            <w:right w:val="none" w:sz="0" w:space="0" w:color="auto"/>
          </w:divBdr>
        </w:div>
        <w:div w:id="885414186">
          <w:marLeft w:val="0"/>
          <w:marRight w:val="0"/>
          <w:marTop w:val="0"/>
          <w:marBottom w:val="0"/>
          <w:divBdr>
            <w:top w:val="none" w:sz="0" w:space="0" w:color="auto"/>
            <w:left w:val="none" w:sz="0" w:space="0" w:color="auto"/>
            <w:bottom w:val="none" w:sz="0" w:space="0" w:color="auto"/>
            <w:right w:val="none" w:sz="0" w:space="0" w:color="auto"/>
          </w:divBdr>
        </w:div>
        <w:div w:id="834149878">
          <w:marLeft w:val="0"/>
          <w:marRight w:val="0"/>
          <w:marTop w:val="0"/>
          <w:marBottom w:val="0"/>
          <w:divBdr>
            <w:top w:val="none" w:sz="0" w:space="0" w:color="auto"/>
            <w:left w:val="none" w:sz="0" w:space="0" w:color="auto"/>
            <w:bottom w:val="none" w:sz="0" w:space="0" w:color="auto"/>
            <w:right w:val="none" w:sz="0" w:space="0" w:color="auto"/>
          </w:divBdr>
        </w:div>
        <w:div w:id="50230512">
          <w:marLeft w:val="0"/>
          <w:marRight w:val="0"/>
          <w:marTop w:val="0"/>
          <w:marBottom w:val="0"/>
          <w:divBdr>
            <w:top w:val="none" w:sz="0" w:space="0" w:color="auto"/>
            <w:left w:val="none" w:sz="0" w:space="0" w:color="auto"/>
            <w:bottom w:val="none" w:sz="0" w:space="0" w:color="auto"/>
            <w:right w:val="none" w:sz="0" w:space="0" w:color="auto"/>
          </w:divBdr>
        </w:div>
        <w:div w:id="1285960013">
          <w:marLeft w:val="0"/>
          <w:marRight w:val="0"/>
          <w:marTop w:val="0"/>
          <w:marBottom w:val="0"/>
          <w:divBdr>
            <w:top w:val="none" w:sz="0" w:space="0" w:color="auto"/>
            <w:left w:val="none" w:sz="0" w:space="0" w:color="auto"/>
            <w:bottom w:val="none" w:sz="0" w:space="0" w:color="auto"/>
            <w:right w:val="none" w:sz="0" w:space="0" w:color="auto"/>
          </w:divBdr>
        </w:div>
        <w:div w:id="1591356440">
          <w:marLeft w:val="0"/>
          <w:marRight w:val="0"/>
          <w:marTop w:val="0"/>
          <w:marBottom w:val="0"/>
          <w:divBdr>
            <w:top w:val="none" w:sz="0" w:space="0" w:color="auto"/>
            <w:left w:val="none" w:sz="0" w:space="0" w:color="auto"/>
            <w:bottom w:val="none" w:sz="0" w:space="0" w:color="auto"/>
            <w:right w:val="none" w:sz="0" w:space="0" w:color="auto"/>
          </w:divBdr>
        </w:div>
        <w:div w:id="672951004">
          <w:marLeft w:val="0"/>
          <w:marRight w:val="0"/>
          <w:marTop w:val="0"/>
          <w:marBottom w:val="0"/>
          <w:divBdr>
            <w:top w:val="none" w:sz="0" w:space="0" w:color="auto"/>
            <w:left w:val="none" w:sz="0" w:space="0" w:color="auto"/>
            <w:bottom w:val="none" w:sz="0" w:space="0" w:color="auto"/>
            <w:right w:val="none" w:sz="0" w:space="0" w:color="auto"/>
          </w:divBdr>
        </w:div>
        <w:div w:id="314064552">
          <w:marLeft w:val="0"/>
          <w:marRight w:val="0"/>
          <w:marTop w:val="0"/>
          <w:marBottom w:val="0"/>
          <w:divBdr>
            <w:top w:val="none" w:sz="0" w:space="0" w:color="auto"/>
            <w:left w:val="none" w:sz="0" w:space="0" w:color="auto"/>
            <w:bottom w:val="none" w:sz="0" w:space="0" w:color="auto"/>
            <w:right w:val="none" w:sz="0" w:space="0" w:color="auto"/>
          </w:divBdr>
        </w:div>
        <w:div w:id="1041592885">
          <w:marLeft w:val="0"/>
          <w:marRight w:val="0"/>
          <w:marTop w:val="0"/>
          <w:marBottom w:val="0"/>
          <w:divBdr>
            <w:top w:val="none" w:sz="0" w:space="0" w:color="auto"/>
            <w:left w:val="none" w:sz="0" w:space="0" w:color="auto"/>
            <w:bottom w:val="none" w:sz="0" w:space="0" w:color="auto"/>
            <w:right w:val="none" w:sz="0" w:space="0" w:color="auto"/>
          </w:divBdr>
        </w:div>
        <w:div w:id="131020576">
          <w:marLeft w:val="0"/>
          <w:marRight w:val="0"/>
          <w:marTop w:val="0"/>
          <w:marBottom w:val="0"/>
          <w:divBdr>
            <w:top w:val="none" w:sz="0" w:space="0" w:color="auto"/>
            <w:left w:val="none" w:sz="0" w:space="0" w:color="auto"/>
            <w:bottom w:val="none" w:sz="0" w:space="0" w:color="auto"/>
            <w:right w:val="none" w:sz="0" w:space="0" w:color="auto"/>
          </w:divBdr>
        </w:div>
        <w:div w:id="1489783553">
          <w:marLeft w:val="0"/>
          <w:marRight w:val="0"/>
          <w:marTop w:val="0"/>
          <w:marBottom w:val="0"/>
          <w:divBdr>
            <w:top w:val="none" w:sz="0" w:space="0" w:color="auto"/>
            <w:left w:val="none" w:sz="0" w:space="0" w:color="auto"/>
            <w:bottom w:val="none" w:sz="0" w:space="0" w:color="auto"/>
            <w:right w:val="none" w:sz="0" w:space="0" w:color="auto"/>
          </w:divBdr>
        </w:div>
        <w:div w:id="1975867209">
          <w:marLeft w:val="0"/>
          <w:marRight w:val="0"/>
          <w:marTop w:val="0"/>
          <w:marBottom w:val="0"/>
          <w:divBdr>
            <w:top w:val="none" w:sz="0" w:space="0" w:color="auto"/>
            <w:left w:val="none" w:sz="0" w:space="0" w:color="auto"/>
            <w:bottom w:val="none" w:sz="0" w:space="0" w:color="auto"/>
            <w:right w:val="none" w:sz="0" w:space="0" w:color="auto"/>
          </w:divBdr>
        </w:div>
        <w:div w:id="589508644">
          <w:marLeft w:val="0"/>
          <w:marRight w:val="0"/>
          <w:marTop w:val="0"/>
          <w:marBottom w:val="0"/>
          <w:divBdr>
            <w:top w:val="none" w:sz="0" w:space="0" w:color="auto"/>
            <w:left w:val="none" w:sz="0" w:space="0" w:color="auto"/>
            <w:bottom w:val="none" w:sz="0" w:space="0" w:color="auto"/>
            <w:right w:val="none" w:sz="0" w:space="0" w:color="auto"/>
          </w:divBdr>
        </w:div>
        <w:div w:id="2107114091">
          <w:marLeft w:val="0"/>
          <w:marRight w:val="0"/>
          <w:marTop w:val="0"/>
          <w:marBottom w:val="0"/>
          <w:divBdr>
            <w:top w:val="none" w:sz="0" w:space="0" w:color="auto"/>
            <w:left w:val="none" w:sz="0" w:space="0" w:color="auto"/>
            <w:bottom w:val="none" w:sz="0" w:space="0" w:color="auto"/>
            <w:right w:val="none" w:sz="0" w:space="0" w:color="auto"/>
          </w:divBdr>
        </w:div>
        <w:div w:id="1174035200">
          <w:marLeft w:val="0"/>
          <w:marRight w:val="0"/>
          <w:marTop w:val="0"/>
          <w:marBottom w:val="0"/>
          <w:divBdr>
            <w:top w:val="none" w:sz="0" w:space="0" w:color="auto"/>
            <w:left w:val="none" w:sz="0" w:space="0" w:color="auto"/>
            <w:bottom w:val="none" w:sz="0" w:space="0" w:color="auto"/>
            <w:right w:val="none" w:sz="0" w:space="0" w:color="auto"/>
          </w:divBdr>
        </w:div>
        <w:div w:id="666135012">
          <w:marLeft w:val="0"/>
          <w:marRight w:val="0"/>
          <w:marTop w:val="0"/>
          <w:marBottom w:val="0"/>
          <w:divBdr>
            <w:top w:val="none" w:sz="0" w:space="0" w:color="auto"/>
            <w:left w:val="none" w:sz="0" w:space="0" w:color="auto"/>
            <w:bottom w:val="none" w:sz="0" w:space="0" w:color="auto"/>
            <w:right w:val="none" w:sz="0" w:space="0" w:color="auto"/>
          </w:divBdr>
        </w:div>
        <w:div w:id="1729496948">
          <w:marLeft w:val="0"/>
          <w:marRight w:val="0"/>
          <w:marTop w:val="0"/>
          <w:marBottom w:val="0"/>
          <w:divBdr>
            <w:top w:val="none" w:sz="0" w:space="0" w:color="auto"/>
            <w:left w:val="none" w:sz="0" w:space="0" w:color="auto"/>
            <w:bottom w:val="none" w:sz="0" w:space="0" w:color="auto"/>
            <w:right w:val="none" w:sz="0" w:space="0" w:color="auto"/>
          </w:divBdr>
        </w:div>
        <w:div w:id="2140949844">
          <w:marLeft w:val="0"/>
          <w:marRight w:val="0"/>
          <w:marTop w:val="0"/>
          <w:marBottom w:val="0"/>
          <w:divBdr>
            <w:top w:val="none" w:sz="0" w:space="0" w:color="auto"/>
            <w:left w:val="none" w:sz="0" w:space="0" w:color="auto"/>
            <w:bottom w:val="none" w:sz="0" w:space="0" w:color="auto"/>
            <w:right w:val="none" w:sz="0" w:space="0" w:color="auto"/>
          </w:divBdr>
        </w:div>
      </w:divsChild>
    </w:div>
    <w:div w:id="755783932">
      <w:bodyDiv w:val="1"/>
      <w:marLeft w:val="0"/>
      <w:marRight w:val="0"/>
      <w:marTop w:val="0"/>
      <w:marBottom w:val="0"/>
      <w:divBdr>
        <w:top w:val="none" w:sz="0" w:space="0" w:color="auto"/>
        <w:left w:val="none" w:sz="0" w:space="0" w:color="auto"/>
        <w:bottom w:val="none" w:sz="0" w:space="0" w:color="auto"/>
        <w:right w:val="none" w:sz="0" w:space="0" w:color="auto"/>
      </w:divBdr>
    </w:div>
    <w:div w:id="868102768">
      <w:bodyDiv w:val="1"/>
      <w:marLeft w:val="0"/>
      <w:marRight w:val="0"/>
      <w:marTop w:val="0"/>
      <w:marBottom w:val="0"/>
      <w:divBdr>
        <w:top w:val="none" w:sz="0" w:space="0" w:color="auto"/>
        <w:left w:val="none" w:sz="0" w:space="0" w:color="auto"/>
        <w:bottom w:val="none" w:sz="0" w:space="0" w:color="auto"/>
        <w:right w:val="none" w:sz="0" w:space="0" w:color="auto"/>
      </w:divBdr>
      <w:divsChild>
        <w:div w:id="1938051625">
          <w:marLeft w:val="0"/>
          <w:marRight w:val="0"/>
          <w:marTop w:val="0"/>
          <w:marBottom w:val="0"/>
          <w:divBdr>
            <w:top w:val="none" w:sz="0" w:space="0" w:color="auto"/>
            <w:left w:val="none" w:sz="0" w:space="0" w:color="auto"/>
            <w:bottom w:val="none" w:sz="0" w:space="0" w:color="auto"/>
            <w:right w:val="none" w:sz="0" w:space="0" w:color="auto"/>
          </w:divBdr>
        </w:div>
        <w:div w:id="2115132689">
          <w:marLeft w:val="0"/>
          <w:marRight w:val="0"/>
          <w:marTop w:val="0"/>
          <w:marBottom w:val="0"/>
          <w:divBdr>
            <w:top w:val="none" w:sz="0" w:space="0" w:color="auto"/>
            <w:left w:val="none" w:sz="0" w:space="0" w:color="auto"/>
            <w:bottom w:val="none" w:sz="0" w:space="0" w:color="auto"/>
            <w:right w:val="none" w:sz="0" w:space="0" w:color="auto"/>
          </w:divBdr>
        </w:div>
        <w:div w:id="1775244310">
          <w:marLeft w:val="0"/>
          <w:marRight w:val="0"/>
          <w:marTop w:val="0"/>
          <w:marBottom w:val="0"/>
          <w:divBdr>
            <w:top w:val="none" w:sz="0" w:space="0" w:color="auto"/>
            <w:left w:val="none" w:sz="0" w:space="0" w:color="auto"/>
            <w:bottom w:val="none" w:sz="0" w:space="0" w:color="auto"/>
            <w:right w:val="none" w:sz="0" w:space="0" w:color="auto"/>
          </w:divBdr>
        </w:div>
        <w:div w:id="642538634">
          <w:marLeft w:val="0"/>
          <w:marRight w:val="0"/>
          <w:marTop w:val="0"/>
          <w:marBottom w:val="0"/>
          <w:divBdr>
            <w:top w:val="none" w:sz="0" w:space="0" w:color="auto"/>
            <w:left w:val="none" w:sz="0" w:space="0" w:color="auto"/>
            <w:bottom w:val="none" w:sz="0" w:space="0" w:color="auto"/>
            <w:right w:val="none" w:sz="0" w:space="0" w:color="auto"/>
          </w:divBdr>
        </w:div>
        <w:div w:id="720255115">
          <w:marLeft w:val="0"/>
          <w:marRight w:val="0"/>
          <w:marTop w:val="0"/>
          <w:marBottom w:val="0"/>
          <w:divBdr>
            <w:top w:val="none" w:sz="0" w:space="0" w:color="auto"/>
            <w:left w:val="none" w:sz="0" w:space="0" w:color="auto"/>
            <w:bottom w:val="none" w:sz="0" w:space="0" w:color="auto"/>
            <w:right w:val="none" w:sz="0" w:space="0" w:color="auto"/>
          </w:divBdr>
        </w:div>
        <w:div w:id="971668044">
          <w:marLeft w:val="0"/>
          <w:marRight w:val="0"/>
          <w:marTop w:val="0"/>
          <w:marBottom w:val="0"/>
          <w:divBdr>
            <w:top w:val="none" w:sz="0" w:space="0" w:color="auto"/>
            <w:left w:val="none" w:sz="0" w:space="0" w:color="auto"/>
            <w:bottom w:val="none" w:sz="0" w:space="0" w:color="auto"/>
            <w:right w:val="none" w:sz="0" w:space="0" w:color="auto"/>
          </w:divBdr>
        </w:div>
        <w:div w:id="1643460475">
          <w:marLeft w:val="0"/>
          <w:marRight w:val="0"/>
          <w:marTop w:val="0"/>
          <w:marBottom w:val="0"/>
          <w:divBdr>
            <w:top w:val="none" w:sz="0" w:space="0" w:color="auto"/>
            <w:left w:val="none" w:sz="0" w:space="0" w:color="auto"/>
            <w:bottom w:val="none" w:sz="0" w:space="0" w:color="auto"/>
            <w:right w:val="none" w:sz="0" w:space="0" w:color="auto"/>
          </w:divBdr>
        </w:div>
        <w:div w:id="135492708">
          <w:marLeft w:val="0"/>
          <w:marRight w:val="0"/>
          <w:marTop w:val="0"/>
          <w:marBottom w:val="0"/>
          <w:divBdr>
            <w:top w:val="none" w:sz="0" w:space="0" w:color="auto"/>
            <w:left w:val="none" w:sz="0" w:space="0" w:color="auto"/>
            <w:bottom w:val="none" w:sz="0" w:space="0" w:color="auto"/>
            <w:right w:val="none" w:sz="0" w:space="0" w:color="auto"/>
          </w:divBdr>
        </w:div>
        <w:div w:id="939801102">
          <w:marLeft w:val="0"/>
          <w:marRight w:val="0"/>
          <w:marTop w:val="0"/>
          <w:marBottom w:val="0"/>
          <w:divBdr>
            <w:top w:val="none" w:sz="0" w:space="0" w:color="auto"/>
            <w:left w:val="none" w:sz="0" w:space="0" w:color="auto"/>
            <w:bottom w:val="none" w:sz="0" w:space="0" w:color="auto"/>
            <w:right w:val="none" w:sz="0" w:space="0" w:color="auto"/>
          </w:divBdr>
        </w:div>
      </w:divsChild>
    </w:div>
    <w:div w:id="952519556">
      <w:bodyDiv w:val="1"/>
      <w:marLeft w:val="0"/>
      <w:marRight w:val="0"/>
      <w:marTop w:val="0"/>
      <w:marBottom w:val="0"/>
      <w:divBdr>
        <w:top w:val="none" w:sz="0" w:space="0" w:color="auto"/>
        <w:left w:val="none" w:sz="0" w:space="0" w:color="auto"/>
        <w:bottom w:val="none" w:sz="0" w:space="0" w:color="auto"/>
        <w:right w:val="none" w:sz="0" w:space="0" w:color="auto"/>
      </w:divBdr>
      <w:divsChild>
        <w:div w:id="1394307241">
          <w:marLeft w:val="0"/>
          <w:marRight w:val="0"/>
          <w:marTop w:val="0"/>
          <w:marBottom w:val="0"/>
          <w:divBdr>
            <w:top w:val="none" w:sz="0" w:space="0" w:color="auto"/>
            <w:left w:val="none" w:sz="0" w:space="0" w:color="auto"/>
            <w:bottom w:val="none" w:sz="0" w:space="0" w:color="auto"/>
            <w:right w:val="none" w:sz="0" w:space="0" w:color="auto"/>
          </w:divBdr>
          <w:divsChild>
            <w:div w:id="2081171588">
              <w:marLeft w:val="0"/>
              <w:marRight w:val="0"/>
              <w:marTop w:val="0"/>
              <w:marBottom w:val="0"/>
              <w:divBdr>
                <w:top w:val="none" w:sz="0" w:space="0" w:color="auto"/>
                <w:left w:val="none" w:sz="0" w:space="0" w:color="auto"/>
                <w:bottom w:val="none" w:sz="0" w:space="0" w:color="auto"/>
                <w:right w:val="none" w:sz="0" w:space="0" w:color="auto"/>
              </w:divBdr>
              <w:divsChild>
                <w:div w:id="733090377">
                  <w:marLeft w:val="0"/>
                  <w:marRight w:val="0"/>
                  <w:marTop w:val="0"/>
                  <w:marBottom w:val="0"/>
                  <w:divBdr>
                    <w:top w:val="none" w:sz="0" w:space="0" w:color="auto"/>
                    <w:left w:val="none" w:sz="0" w:space="0" w:color="auto"/>
                    <w:bottom w:val="none" w:sz="0" w:space="0" w:color="auto"/>
                    <w:right w:val="none" w:sz="0" w:space="0" w:color="auto"/>
                  </w:divBdr>
                  <w:divsChild>
                    <w:div w:id="183250284">
                      <w:marLeft w:val="0"/>
                      <w:marRight w:val="0"/>
                      <w:marTop w:val="0"/>
                      <w:marBottom w:val="0"/>
                      <w:divBdr>
                        <w:top w:val="none" w:sz="0" w:space="0" w:color="auto"/>
                        <w:left w:val="none" w:sz="0" w:space="0" w:color="auto"/>
                        <w:bottom w:val="none" w:sz="0" w:space="0" w:color="auto"/>
                        <w:right w:val="none" w:sz="0" w:space="0" w:color="auto"/>
                      </w:divBdr>
                      <w:divsChild>
                        <w:div w:id="1813709671">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367205">
      <w:bodyDiv w:val="1"/>
      <w:marLeft w:val="0"/>
      <w:marRight w:val="0"/>
      <w:marTop w:val="0"/>
      <w:marBottom w:val="0"/>
      <w:divBdr>
        <w:top w:val="none" w:sz="0" w:space="0" w:color="auto"/>
        <w:left w:val="none" w:sz="0" w:space="0" w:color="auto"/>
        <w:bottom w:val="none" w:sz="0" w:space="0" w:color="auto"/>
        <w:right w:val="none" w:sz="0" w:space="0" w:color="auto"/>
      </w:divBdr>
      <w:divsChild>
        <w:div w:id="1575899149">
          <w:marLeft w:val="0"/>
          <w:marRight w:val="0"/>
          <w:marTop w:val="0"/>
          <w:marBottom w:val="0"/>
          <w:divBdr>
            <w:top w:val="none" w:sz="0" w:space="0" w:color="auto"/>
            <w:left w:val="none" w:sz="0" w:space="0" w:color="auto"/>
            <w:bottom w:val="none" w:sz="0" w:space="0" w:color="auto"/>
            <w:right w:val="none" w:sz="0" w:space="0" w:color="auto"/>
          </w:divBdr>
        </w:div>
        <w:div w:id="295841024">
          <w:marLeft w:val="0"/>
          <w:marRight w:val="0"/>
          <w:marTop w:val="0"/>
          <w:marBottom w:val="0"/>
          <w:divBdr>
            <w:top w:val="none" w:sz="0" w:space="0" w:color="auto"/>
            <w:left w:val="none" w:sz="0" w:space="0" w:color="auto"/>
            <w:bottom w:val="none" w:sz="0" w:space="0" w:color="auto"/>
            <w:right w:val="none" w:sz="0" w:space="0" w:color="auto"/>
          </w:divBdr>
        </w:div>
        <w:div w:id="2044866215">
          <w:marLeft w:val="0"/>
          <w:marRight w:val="0"/>
          <w:marTop w:val="0"/>
          <w:marBottom w:val="0"/>
          <w:divBdr>
            <w:top w:val="none" w:sz="0" w:space="0" w:color="auto"/>
            <w:left w:val="none" w:sz="0" w:space="0" w:color="auto"/>
            <w:bottom w:val="none" w:sz="0" w:space="0" w:color="auto"/>
            <w:right w:val="none" w:sz="0" w:space="0" w:color="auto"/>
          </w:divBdr>
        </w:div>
        <w:div w:id="1503810643">
          <w:marLeft w:val="0"/>
          <w:marRight w:val="0"/>
          <w:marTop w:val="0"/>
          <w:marBottom w:val="0"/>
          <w:divBdr>
            <w:top w:val="none" w:sz="0" w:space="0" w:color="auto"/>
            <w:left w:val="none" w:sz="0" w:space="0" w:color="auto"/>
            <w:bottom w:val="none" w:sz="0" w:space="0" w:color="auto"/>
            <w:right w:val="none" w:sz="0" w:space="0" w:color="auto"/>
          </w:divBdr>
        </w:div>
        <w:div w:id="609899915">
          <w:marLeft w:val="0"/>
          <w:marRight w:val="0"/>
          <w:marTop w:val="0"/>
          <w:marBottom w:val="0"/>
          <w:divBdr>
            <w:top w:val="none" w:sz="0" w:space="0" w:color="auto"/>
            <w:left w:val="none" w:sz="0" w:space="0" w:color="auto"/>
            <w:bottom w:val="none" w:sz="0" w:space="0" w:color="auto"/>
            <w:right w:val="none" w:sz="0" w:space="0" w:color="auto"/>
          </w:divBdr>
        </w:div>
        <w:div w:id="1315138275">
          <w:marLeft w:val="0"/>
          <w:marRight w:val="0"/>
          <w:marTop w:val="0"/>
          <w:marBottom w:val="0"/>
          <w:divBdr>
            <w:top w:val="none" w:sz="0" w:space="0" w:color="auto"/>
            <w:left w:val="none" w:sz="0" w:space="0" w:color="auto"/>
            <w:bottom w:val="none" w:sz="0" w:space="0" w:color="auto"/>
            <w:right w:val="none" w:sz="0" w:space="0" w:color="auto"/>
          </w:divBdr>
        </w:div>
        <w:div w:id="545800590">
          <w:marLeft w:val="0"/>
          <w:marRight w:val="0"/>
          <w:marTop w:val="0"/>
          <w:marBottom w:val="0"/>
          <w:divBdr>
            <w:top w:val="none" w:sz="0" w:space="0" w:color="auto"/>
            <w:left w:val="none" w:sz="0" w:space="0" w:color="auto"/>
            <w:bottom w:val="none" w:sz="0" w:space="0" w:color="auto"/>
            <w:right w:val="none" w:sz="0" w:space="0" w:color="auto"/>
          </w:divBdr>
        </w:div>
        <w:div w:id="87193363">
          <w:marLeft w:val="0"/>
          <w:marRight w:val="0"/>
          <w:marTop w:val="0"/>
          <w:marBottom w:val="0"/>
          <w:divBdr>
            <w:top w:val="none" w:sz="0" w:space="0" w:color="auto"/>
            <w:left w:val="none" w:sz="0" w:space="0" w:color="auto"/>
            <w:bottom w:val="none" w:sz="0" w:space="0" w:color="auto"/>
            <w:right w:val="none" w:sz="0" w:space="0" w:color="auto"/>
          </w:divBdr>
        </w:div>
      </w:divsChild>
    </w:div>
    <w:div w:id="1339623789">
      <w:bodyDiv w:val="1"/>
      <w:marLeft w:val="0"/>
      <w:marRight w:val="0"/>
      <w:marTop w:val="0"/>
      <w:marBottom w:val="0"/>
      <w:divBdr>
        <w:top w:val="none" w:sz="0" w:space="0" w:color="auto"/>
        <w:left w:val="none" w:sz="0" w:space="0" w:color="auto"/>
        <w:bottom w:val="none" w:sz="0" w:space="0" w:color="auto"/>
        <w:right w:val="none" w:sz="0" w:space="0" w:color="auto"/>
      </w:divBdr>
    </w:div>
    <w:div w:id="1424258039">
      <w:bodyDiv w:val="1"/>
      <w:marLeft w:val="0"/>
      <w:marRight w:val="0"/>
      <w:marTop w:val="0"/>
      <w:marBottom w:val="0"/>
      <w:divBdr>
        <w:top w:val="none" w:sz="0" w:space="0" w:color="auto"/>
        <w:left w:val="none" w:sz="0" w:space="0" w:color="auto"/>
        <w:bottom w:val="none" w:sz="0" w:space="0" w:color="auto"/>
        <w:right w:val="none" w:sz="0" w:space="0" w:color="auto"/>
      </w:divBdr>
    </w:div>
    <w:div w:id="1656713976">
      <w:bodyDiv w:val="1"/>
      <w:marLeft w:val="0"/>
      <w:marRight w:val="0"/>
      <w:marTop w:val="0"/>
      <w:marBottom w:val="0"/>
      <w:divBdr>
        <w:top w:val="none" w:sz="0" w:space="0" w:color="auto"/>
        <w:left w:val="none" w:sz="0" w:space="0" w:color="auto"/>
        <w:bottom w:val="none" w:sz="0" w:space="0" w:color="auto"/>
        <w:right w:val="none" w:sz="0" w:space="0" w:color="auto"/>
      </w:divBdr>
      <w:divsChild>
        <w:div w:id="650059475">
          <w:marLeft w:val="0"/>
          <w:marRight w:val="0"/>
          <w:marTop w:val="0"/>
          <w:marBottom w:val="0"/>
          <w:divBdr>
            <w:top w:val="none" w:sz="0" w:space="0" w:color="auto"/>
            <w:left w:val="none" w:sz="0" w:space="0" w:color="auto"/>
            <w:bottom w:val="none" w:sz="0" w:space="0" w:color="auto"/>
            <w:right w:val="none" w:sz="0" w:space="0" w:color="auto"/>
          </w:divBdr>
        </w:div>
        <w:div w:id="183783985">
          <w:marLeft w:val="0"/>
          <w:marRight w:val="0"/>
          <w:marTop w:val="0"/>
          <w:marBottom w:val="0"/>
          <w:divBdr>
            <w:top w:val="none" w:sz="0" w:space="0" w:color="auto"/>
            <w:left w:val="none" w:sz="0" w:space="0" w:color="auto"/>
            <w:bottom w:val="none" w:sz="0" w:space="0" w:color="auto"/>
            <w:right w:val="none" w:sz="0" w:space="0" w:color="auto"/>
          </w:divBdr>
        </w:div>
        <w:div w:id="874537971">
          <w:marLeft w:val="0"/>
          <w:marRight w:val="0"/>
          <w:marTop w:val="0"/>
          <w:marBottom w:val="0"/>
          <w:divBdr>
            <w:top w:val="none" w:sz="0" w:space="0" w:color="auto"/>
            <w:left w:val="none" w:sz="0" w:space="0" w:color="auto"/>
            <w:bottom w:val="none" w:sz="0" w:space="0" w:color="auto"/>
            <w:right w:val="none" w:sz="0" w:space="0" w:color="auto"/>
          </w:divBdr>
        </w:div>
        <w:div w:id="2069299805">
          <w:marLeft w:val="0"/>
          <w:marRight w:val="0"/>
          <w:marTop w:val="0"/>
          <w:marBottom w:val="0"/>
          <w:divBdr>
            <w:top w:val="none" w:sz="0" w:space="0" w:color="auto"/>
            <w:left w:val="none" w:sz="0" w:space="0" w:color="auto"/>
            <w:bottom w:val="none" w:sz="0" w:space="0" w:color="auto"/>
            <w:right w:val="none" w:sz="0" w:space="0" w:color="auto"/>
          </w:divBdr>
        </w:div>
        <w:div w:id="873812081">
          <w:marLeft w:val="0"/>
          <w:marRight w:val="0"/>
          <w:marTop w:val="0"/>
          <w:marBottom w:val="0"/>
          <w:divBdr>
            <w:top w:val="none" w:sz="0" w:space="0" w:color="auto"/>
            <w:left w:val="none" w:sz="0" w:space="0" w:color="auto"/>
            <w:bottom w:val="none" w:sz="0" w:space="0" w:color="auto"/>
            <w:right w:val="none" w:sz="0" w:space="0" w:color="auto"/>
          </w:divBdr>
        </w:div>
        <w:div w:id="719674896">
          <w:marLeft w:val="0"/>
          <w:marRight w:val="0"/>
          <w:marTop w:val="0"/>
          <w:marBottom w:val="0"/>
          <w:divBdr>
            <w:top w:val="none" w:sz="0" w:space="0" w:color="auto"/>
            <w:left w:val="none" w:sz="0" w:space="0" w:color="auto"/>
            <w:bottom w:val="none" w:sz="0" w:space="0" w:color="auto"/>
            <w:right w:val="none" w:sz="0" w:space="0" w:color="auto"/>
          </w:divBdr>
        </w:div>
        <w:div w:id="512036892">
          <w:marLeft w:val="0"/>
          <w:marRight w:val="0"/>
          <w:marTop w:val="0"/>
          <w:marBottom w:val="0"/>
          <w:divBdr>
            <w:top w:val="none" w:sz="0" w:space="0" w:color="auto"/>
            <w:left w:val="none" w:sz="0" w:space="0" w:color="auto"/>
            <w:bottom w:val="none" w:sz="0" w:space="0" w:color="auto"/>
            <w:right w:val="none" w:sz="0" w:space="0" w:color="auto"/>
          </w:divBdr>
        </w:div>
        <w:div w:id="484319791">
          <w:marLeft w:val="0"/>
          <w:marRight w:val="0"/>
          <w:marTop w:val="0"/>
          <w:marBottom w:val="0"/>
          <w:divBdr>
            <w:top w:val="none" w:sz="0" w:space="0" w:color="auto"/>
            <w:left w:val="none" w:sz="0" w:space="0" w:color="auto"/>
            <w:bottom w:val="none" w:sz="0" w:space="0" w:color="auto"/>
            <w:right w:val="none" w:sz="0" w:space="0" w:color="auto"/>
          </w:divBdr>
        </w:div>
        <w:div w:id="1854687311">
          <w:marLeft w:val="0"/>
          <w:marRight w:val="0"/>
          <w:marTop w:val="0"/>
          <w:marBottom w:val="0"/>
          <w:divBdr>
            <w:top w:val="none" w:sz="0" w:space="0" w:color="auto"/>
            <w:left w:val="none" w:sz="0" w:space="0" w:color="auto"/>
            <w:bottom w:val="none" w:sz="0" w:space="0" w:color="auto"/>
            <w:right w:val="none" w:sz="0" w:space="0" w:color="auto"/>
          </w:divBdr>
        </w:div>
        <w:div w:id="753361289">
          <w:marLeft w:val="0"/>
          <w:marRight w:val="0"/>
          <w:marTop w:val="0"/>
          <w:marBottom w:val="0"/>
          <w:divBdr>
            <w:top w:val="none" w:sz="0" w:space="0" w:color="auto"/>
            <w:left w:val="none" w:sz="0" w:space="0" w:color="auto"/>
            <w:bottom w:val="none" w:sz="0" w:space="0" w:color="auto"/>
            <w:right w:val="none" w:sz="0" w:space="0" w:color="auto"/>
          </w:divBdr>
        </w:div>
        <w:div w:id="1802379169">
          <w:marLeft w:val="0"/>
          <w:marRight w:val="0"/>
          <w:marTop w:val="0"/>
          <w:marBottom w:val="0"/>
          <w:divBdr>
            <w:top w:val="none" w:sz="0" w:space="0" w:color="auto"/>
            <w:left w:val="none" w:sz="0" w:space="0" w:color="auto"/>
            <w:bottom w:val="none" w:sz="0" w:space="0" w:color="auto"/>
            <w:right w:val="none" w:sz="0" w:space="0" w:color="auto"/>
          </w:divBdr>
        </w:div>
        <w:div w:id="28530740">
          <w:marLeft w:val="0"/>
          <w:marRight w:val="0"/>
          <w:marTop w:val="0"/>
          <w:marBottom w:val="0"/>
          <w:divBdr>
            <w:top w:val="none" w:sz="0" w:space="0" w:color="auto"/>
            <w:left w:val="none" w:sz="0" w:space="0" w:color="auto"/>
            <w:bottom w:val="none" w:sz="0" w:space="0" w:color="auto"/>
            <w:right w:val="none" w:sz="0" w:space="0" w:color="auto"/>
          </w:divBdr>
        </w:div>
        <w:div w:id="1699695486">
          <w:marLeft w:val="0"/>
          <w:marRight w:val="0"/>
          <w:marTop w:val="0"/>
          <w:marBottom w:val="0"/>
          <w:divBdr>
            <w:top w:val="none" w:sz="0" w:space="0" w:color="auto"/>
            <w:left w:val="none" w:sz="0" w:space="0" w:color="auto"/>
            <w:bottom w:val="none" w:sz="0" w:space="0" w:color="auto"/>
            <w:right w:val="none" w:sz="0" w:space="0" w:color="auto"/>
          </w:divBdr>
        </w:div>
        <w:div w:id="934483419">
          <w:marLeft w:val="0"/>
          <w:marRight w:val="0"/>
          <w:marTop w:val="0"/>
          <w:marBottom w:val="0"/>
          <w:divBdr>
            <w:top w:val="none" w:sz="0" w:space="0" w:color="auto"/>
            <w:left w:val="none" w:sz="0" w:space="0" w:color="auto"/>
            <w:bottom w:val="none" w:sz="0" w:space="0" w:color="auto"/>
            <w:right w:val="none" w:sz="0" w:space="0" w:color="auto"/>
          </w:divBdr>
        </w:div>
        <w:div w:id="1973099942">
          <w:marLeft w:val="0"/>
          <w:marRight w:val="0"/>
          <w:marTop w:val="0"/>
          <w:marBottom w:val="0"/>
          <w:divBdr>
            <w:top w:val="none" w:sz="0" w:space="0" w:color="auto"/>
            <w:left w:val="none" w:sz="0" w:space="0" w:color="auto"/>
            <w:bottom w:val="none" w:sz="0" w:space="0" w:color="auto"/>
            <w:right w:val="none" w:sz="0" w:space="0" w:color="auto"/>
          </w:divBdr>
        </w:div>
        <w:div w:id="1912764687">
          <w:marLeft w:val="0"/>
          <w:marRight w:val="0"/>
          <w:marTop w:val="0"/>
          <w:marBottom w:val="0"/>
          <w:divBdr>
            <w:top w:val="none" w:sz="0" w:space="0" w:color="auto"/>
            <w:left w:val="none" w:sz="0" w:space="0" w:color="auto"/>
            <w:bottom w:val="none" w:sz="0" w:space="0" w:color="auto"/>
            <w:right w:val="none" w:sz="0" w:space="0" w:color="auto"/>
          </w:divBdr>
        </w:div>
        <w:div w:id="1556088735">
          <w:marLeft w:val="0"/>
          <w:marRight w:val="0"/>
          <w:marTop w:val="0"/>
          <w:marBottom w:val="0"/>
          <w:divBdr>
            <w:top w:val="none" w:sz="0" w:space="0" w:color="auto"/>
            <w:left w:val="none" w:sz="0" w:space="0" w:color="auto"/>
            <w:bottom w:val="none" w:sz="0" w:space="0" w:color="auto"/>
            <w:right w:val="none" w:sz="0" w:space="0" w:color="auto"/>
          </w:divBdr>
        </w:div>
        <w:div w:id="1651517688">
          <w:marLeft w:val="0"/>
          <w:marRight w:val="0"/>
          <w:marTop w:val="0"/>
          <w:marBottom w:val="0"/>
          <w:divBdr>
            <w:top w:val="none" w:sz="0" w:space="0" w:color="auto"/>
            <w:left w:val="none" w:sz="0" w:space="0" w:color="auto"/>
            <w:bottom w:val="none" w:sz="0" w:space="0" w:color="auto"/>
            <w:right w:val="none" w:sz="0" w:space="0" w:color="auto"/>
          </w:divBdr>
        </w:div>
        <w:div w:id="1390032695">
          <w:marLeft w:val="0"/>
          <w:marRight w:val="0"/>
          <w:marTop w:val="0"/>
          <w:marBottom w:val="0"/>
          <w:divBdr>
            <w:top w:val="none" w:sz="0" w:space="0" w:color="auto"/>
            <w:left w:val="none" w:sz="0" w:space="0" w:color="auto"/>
            <w:bottom w:val="none" w:sz="0" w:space="0" w:color="auto"/>
            <w:right w:val="none" w:sz="0" w:space="0" w:color="auto"/>
          </w:divBdr>
        </w:div>
        <w:div w:id="1445494138">
          <w:marLeft w:val="0"/>
          <w:marRight w:val="0"/>
          <w:marTop w:val="0"/>
          <w:marBottom w:val="0"/>
          <w:divBdr>
            <w:top w:val="none" w:sz="0" w:space="0" w:color="auto"/>
            <w:left w:val="none" w:sz="0" w:space="0" w:color="auto"/>
            <w:bottom w:val="none" w:sz="0" w:space="0" w:color="auto"/>
            <w:right w:val="none" w:sz="0" w:space="0" w:color="auto"/>
          </w:divBdr>
        </w:div>
        <w:div w:id="1661887284">
          <w:marLeft w:val="0"/>
          <w:marRight w:val="0"/>
          <w:marTop w:val="0"/>
          <w:marBottom w:val="0"/>
          <w:divBdr>
            <w:top w:val="none" w:sz="0" w:space="0" w:color="auto"/>
            <w:left w:val="none" w:sz="0" w:space="0" w:color="auto"/>
            <w:bottom w:val="none" w:sz="0" w:space="0" w:color="auto"/>
            <w:right w:val="none" w:sz="0" w:space="0" w:color="auto"/>
          </w:divBdr>
        </w:div>
        <w:div w:id="1952131333">
          <w:marLeft w:val="0"/>
          <w:marRight w:val="0"/>
          <w:marTop w:val="0"/>
          <w:marBottom w:val="0"/>
          <w:divBdr>
            <w:top w:val="none" w:sz="0" w:space="0" w:color="auto"/>
            <w:left w:val="none" w:sz="0" w:space="0" w:color="auto"/>
            <w:bottom w:val="none" w:sz="0" w:space="0" w:color="auto"/>
            <w:right w:val="none" w:sz="0" w:space="0" w:color="auto"/>
          </w:divBdr>
        </w:div>
        <w:div w:id="1027486844">
          <w:marLeft w:val="0"/>
          <w:marRight w:val="0"/>
          <w:marTop w:val="0"/>
          <w:marBottom w:val="0"/>
          <w:divBdr>
            <w:top w:val="none" w:sz="0" w:space="0" w:color="auto"/>
            <w:left w:val="none" w:sz="0" w:space="0" w:color="auto"/>
            <w:bottom w:val="none" w:sz="0" w:space="0" w:color="auto"/>
            <w:right w:val="none" w:sz="0" w:space="0" w:color="auto"/>
          </w:divBdr>
        </w:div>
        <w:div w:id="32265880">
          <w:marLeft w:val="0"/>
          <w:marRight w:val="0"/>
          <w:marTop w:val="0"/>
          <w:marBottom w:val="0"/>
          <w:divBdr>
            <w:top w:val="none" w:sz="0" w:space="0" w:color="auto"/>
            <w:left w:val="none" w:sz="0" w:space="0" w:color="auto"/>
            <w:bottom w:val="none" w:sz="0" w:space="0" w:color="auto"/>
            <w:right w:val="none" w:sz="0" w:space="0" w:color="auto"/>
          </w:divBdr>
        </w:div>
        <w:div w:id="626744886">
          <w:marLeft w:val="0"/>
          <w:marRight w:val="0"/>
          <w:marTop w:val="0"/>
          <w:marBottom w:val="0"/>
          <w:divBdr>
            <w:top w:val="none" w:sz="0" w:space="0" w:color="auto"/>
            <w:left w:val="none" w:sz="0" w:space="0" w:color="auto"/>
            <w:bottom w:val="none" w:sz="0" w:space="0" w:color="auto"/>
            <w:right w:val="none" w:sz="0" w:space="0" w:color="auto"/>
          </w:divBdr>
        </w:div>
        <w:div w:id="1865746298">
          <w:marLeft w:val="0"/>
          <w:marRight w:val="0"/>
          <w:marTop w:val="0"/>
          <w:marBottom w:val="0"/>
          <w:divBdr>
            <w:top w:val="none" w:sz="0" w:space="0" w:color="auto"/>
            <w:left w:val="none" w:sz="0" w:space="0" w:color="auto"/>
            <w:bottom w:val="none" w:sz="0" w:space="0" w:color="auto"/>
            <w:right w:val="none" w:sz="0" w:space="0" w:color="auto"/>
          </w:divBdr>
        </w:div>
        <w:div w:id="1811442315">
          <w:marLeft w:val="0"/>
          <w:marRight w:val="0"/>
          <w:marTop w:val="0"/>
          <w:marBottom w:val="0"/>
          <w:divBdr>
            <w:top w:val="none" w:sz="0" w:space="0" w:color="auto"/>
            <w:left w:val="none" w:sz="0" w:space="0" w:color="auto"/>
            <w:bottom w:val="none" w:sz="0" w:space="0" w:color="auto"/>
            <w:right w:val="none" w:sz="0" w:space="0" w:color="auto"/>
          </w:divBdr>
        </w:div>
        <w:div w:id="196821852">
          <w:marLeft w:val="0"/>
          <w:marRight w:val="0"/>
          <w:marTop w:val="0"/>
          <w:marBottom w:val="0"/>
          <w:divBdr>
            <w:top w:val="none" w:sz="0" w:space="0" w:color="auto"/>
            <w:left w:val="none" w:sz="0" w:space="0" w:color="auto"/>
            <w:bottom w:val="none" w:sz="0" w:space="0" w:color="auto"/>
            <w:right w:val="none" w:sz="0" w:space="0" w:color="auto"/>
          </w:divBdr>
        </w:div>
        <w:div w:id="1110199449">
          <w:marLeft w:val="0"/>
          <w:marRight w:val="0"/>
          <w:marTop w:val="0"/>
          <w:marBottom w:val="0"/>
          <w:divBdr>
            <w:top w:val="none" w:sz="0" w:space="0" w:color="auto"/>
            <w:left w:val="none" w:sz="0" w:space="0" w:color="auto"/>
            <w:bottom w:val="none" w:sz="0" w:space="0" w:color="auto"/>
            <w:right w:val="none" w:sz="0" w:space="0" w:color="auto"/>
          </w:divBdr>
        </w:div>
        <w:div w:id="846792340">
          <w:marLeft w:val="0"/>
          <w:marRight w:val="0"/>
          <w:marTop w:val="0"/>
          <w:marBottom w:val="0"/>
          <w:divBdr>
            <w:top w:val="none" w:sz="0" w:space="0" w:color="auto"/>
            <w:left w:val="none" w:sz="0" w:space="0" w:color="auto"/>
            <w:bottom w:val="none" w:sz="0" w:space="0" w:color="auto"/>
            <w:right w:val="none" w:sz="0" w:space="0" w:color="auto"/>
          </w:divBdr>
        </w:div>
        <w:div w:id="1987590177">
          <w:marLeft w:val="0"/>
          <w:marRight w:val="0"/>
          <w:marTop w:val="0"/>
          <w:marBottom w:val="0"/>
          <w:divBdr>
            <w:top w:val="none" w:sz="0" w:space="0" w:color="auto"/>
            <w:left w:val="none" w:sz="0" w:space="0" w:color="auto"/>
            <w:bottom w:val="none" w:sz="0" w:space="0" w:color="auto"/>
            <w:right w:val="none" w:sz="0" w:space="0" w:color="auto"/>
          </w:divBdr>
        </w:div>
      </w:divsChild>
    </w:div>
    <w:div w:id="1681928618">
      <w:bodyDiv w:val="1"/>
      <w:marLeft w:val="0"/>
      <w:marRight w:val="0"/>
      <w:marTop w:val="0"/>
      <w:marBottom w:val="0"/>
      <w:divBdr>
        <w:top w:val="none" w:sz="0" w:space="0" w:color="auto"/>
        <w:left w:val="none" w:sz="0" w:space="0" w:color="auto"/>
        <w:bottom w:val="none" w:sz="0" w:space="0" w:color="auto"/>
        <w:right w:val="none" w:sz="0" w:space="0" w:color="auto"/>
      </w:divBdr>
      <w:divsChild>
        <w:div w:id="754014119">
          <w:marLeft w:val="0"/>
          <w:marRight w:val="0"/>
          <w:marTop w:val="0"/>
          <w:marBottom w:val="0"/>
          <w:divBdr>
            <w:top w:val="none" w:sz="0" w:space="0" w:color="auto"/>
            <w:left w:val="none" w:sz="0" w:space="0" w:color="auto"/>
            <w:bottom w:val="none" w:sz="0" w:space="0" w:color="auto"/>
            <w:right w:val="none" w:sz="0" w:space="0" w:color="auto"/>
          </w:divBdr>
        </w:div>
        <w:div w:id="1310015718">
          <w:marLeft w:val="0"/>
          <w:marRight w:val="0"/>
          <w:marTop w:val="0"/>
          <w:marBottom w:val="0"/>
          <w:divBdr>
            <w:top w:val="none" w:sz="0" w:space="0" w:color="auto"/>
            <w:left w:val="none" w:sz="0" w:space="0" w:color="auto"/>
            <w:bottom w:val="none" w:sz="0" w:space="0" w:color="auto"/>
            <w:right w:val="none" w:sz="0" w:space="0" w:color="auto"/>
          </w:divBdr>
        </w:div>
        <w:div w:id="1652372039">
          <w:marLeft w:val="0"/>
          <w:marRight w:val="0"/>
          <w:marTop w:val="0"/>
          <w:marBottom w:val="0"/>
          <w:divBdr>
            <w:top w:val="none" w:sz="0" w:space="0" w:color="auto"/>
            <w:left w:val="none" w:sz="0" w:space="0" w:color="auto"/>
            <w:bottom w:val="none" w:sz="0" w:space="0" w:color="auto"/>
            <w:right w:val="none" w:sz="0" w:space="0" w:color="auto"/>
          </w:divBdr>
        </w:div>
        <w:div w:id="1922904722">
          <w:marLeft w:val="0"/>
          <w:marRight w:val="0"/>
          <w:marTop w:val="0"/>
          <w:marBottom w:val="0"/>
          <w:divBdr>
            <w:top w:val="none" w:sz="0" w:space="0" w:color="auto"/>
            <w:left w:val="none" w:sz="0" w:space="0" w:color="auto"/>
            <w:bottom w:val="none" w:sz="0" w:space="0" w:color="auto"/>
            <w:right w:val="none" w:sz="0" w:space="0" w:color="auto"/>
          </w:divBdr>
        </w:div>
        <w:div w:id="263928290">
          <w:marLeft w:val="0"/>
          <w:marRight w:val="0"/>
          <w:marTop w:val="0"/>
          <w:marBottom w:val="0"/>
          <w:divBdr>
            <w:top w:val="none" w:sz="0" w:space="0" w:color="auto"/>
            <w:left w:val="none" w:sz="0" w:space="0" w:color="auto"/>
            <w:bottom w:val="none" w:sz="0" w:space="0" w:color="auto"/>
            <w:right w:val="none" w:sz="0" w:space="0" w:color="auto"/>
          </w:divBdr>
        </w:div>
        <w:div w:id="455755760">
          <w:marLeft w:val="0"/>
          <w:marRight w:val="0"/>
          <w:marTop w:val="0"/>
          <w:marBottom w:val="0"/>
          <w:divBdr>
            <w:top w:val="none" w:sz="0" w:space="0" w:color="auto"/>
            <w:left w:val="none" w:sz="0" w:space="0" w:color="auto"/>
            <w:bottom w:val="none" w:sz="0" w:space="0" w:color="auto"/>
            <w:right w:val="none" w:sz="0" w:space="0" w:color="auto"/>
          </w:divBdr>
        </w:div>
        <w:div w:id="1299072708">
          <w:marLeft w:val="0"/>
          <w:marRight w:val="0"/>
          <w:marTop w:val="0"/>
          <w:marBottom w:val="0"/>
          <w:divBdr>
            <w:top w:val="none" w:sz="0" w:space="0" w:color="auto"/>
            <w:left w:val="none" w:sz="0" w:space="0" w:color="auto"/>
            <w:bottom w:val="none" w:sz="0" w:space="0" w:color="auto"/>
            <w:right w:val="none" w:sz="0" w:space="0" w:color="auto"/>
          </w:divBdr>
        </w:div>
        <w:div w:id="1589802398">
          <w:marLeft w:val="0"/>
          <w:marRight w:val="0"/>
          <w:marTop w:val="0"/>
          <w:marBottom w:val="0"/>
          <w:divBdr>
            <w:top w:val="none" w:sz="0" w:space="0" w:color="auto"/>
            <w:left w:val="none" w:sz="0" w:space="0" w:color="auto"/>
            <w:bottom w:val="none" w:sz="0" w:space="0" w:color="auto"/>
            <w:right w:val="none" w:sz="0" w:space="0" w:color="auto"/>
          </w:divBdr>
        </w:div>
        <w:div w:id="1376199942">
          <w:marLeft w:val="0"/>
          <w:marRight w:val="0"/>
          <w:marTop w:val="0"/>
          <w:marBottom w:val="0"/>
          <w:divBdr>
            <w:top w:val="none" w:sz="0" w:space="0" w:color="auto"/>
            <w:left w:val="none" w:sz="0" w:space="0" w:color="auto"/>
            <w:bottom w:val="none" w:sz="0" w:space="0" w:color="auto"/>
            <w:right w:val="none" w:sz="0" w:space="0" w:color="auto"/>
          </w:divBdr>
        </w:div>
        <w:div w:id="1925145386">
          <w:marLeft w:val="0"/>
          <w:marRight w:val="0"/>
          <w:marTop w:val="0"/>
          <w:marBottom w:val="0"/>
          <w:divBdr>
            <w:top w:val="none" w:sz="0" w:space="0" w:color="auto"/>
            <w:left w:val="none" w:sz="0" w:space="0" w:color="auto"/>
            <w:bottom w:val="none" w:sz="0" w:space="0" w:color="auto"/>
            <w:right w:val="none" w:sz="0" w:space="0" w:color="auto"/>
          </w:divBdr>
        </w:div>
        <w:div w:id="1619683793">
          <w:marLeft w:val="0"/>
          <w:marRight w:val="0"/>
          <w:marTop w:val="0"/>
          <w:marBottom w:val="0"/>
          <w:divBdr>
            <w:top w:val="none" w:sz="0" w:space="0" w:color="auto"/>
            <w:left w:val="none" w:sz="0" w:space="0" w:color="auto"/>
            <w:bottom w:val="none" w:sz="0" w:space="0" w:color="auto"/>
            <w:right w:val="none" w:sz="0" w:space="0" w:color="auto"/>
          </w:divBdr>
        </w:div>
        <w:div w:id="338195327">
          <w:marLeft w:val="0"/>
          <w:marRight w:val="0"/>
          <w:marTop w:val="0"/>
          <w:marBottom w:val="0"/>
          <w:divBdr>
            <w:top w:val="none" w:sz="0" w:space="0" w:color="auto"/>
            <w:left w:val="none" w:sz="0" w:space="0" w:color="auto"/>
            <w:bottom w:val="none" w:sz="0" w:space="0" w:color="auto"/>
            <w:right w:val="none" w:sz="0" w:space="0" w:color="auto"/>
          </w:divBdr>
        </w:div>
        <w:div w:id="1795362407">
          <w:marLeft w:val="0"/>
          <w:marRight w:val="0"/>
          <w:marTop w:val="0"/>
          <w:marBottom w:val="0"/>
          <w:divBdr>
            <w:top w:val="none" w:sz="0" w:space="0" w:color="auto"/>
            <w:left w:val="none" w:sz="0" w:space="0" w:color="auto"/>
            <w:bottom w:val="none" w:sz="0" w:space="0" w:color="auto"/>
            <w:right w:val="none" w:sz="0" w:space="0" w:color="auto"/>
          </w:divBdr>
        </w:div>
        <w:div w:id="18094800">
          <w:marLeft w:val="0"/>
          <w:marRight w:val="0"/>
          <w:marTop w:val="0"/>
          <w:marBottom w:val="0"/>
          <w:divBdr>
            <w:top w:val="none" w:sz="0" w:space="0" w:color="auto"/>
            <w:left w:val="none" w:sz="0" w:space="0" w:color="auto"/>
            <w:bottom w:val="none" w:sz="0" w:space="0" w:color="auto"/>
            <w:right w:val="none" w:sz="0" w:space="0" w:color="auto"/>
          </w:divBdr>
        </w:div>
        <w:div w:id="540704251">
          <w:marLeft w:val="0"/>
          <w:marRight w:val="0"/>
          <w:marTop w:val="0"/>
          <w:marBottom w:val="0"/>
          <w:divBdr>
            <w:top w:val="none" w:sz="0" w:space="0" w:color="auto"/>
            <w:left w:val="none" w:sz="0" w:space="0" w:color="auto"/>
            <w:bottom w:val="none" w:sz="0" w:space="0" w:color="auto"/>
            <w:right w:val="none" w:sz="0" w:space="0" w:color="auto"/>
          </w:divBdr>
        </w:div>
        <w:div w:id="713967209">
          <w:marLeft w:val="0"/>
          <w:marRight w:val="0"/>
          <w:marTop w:val="0"/>
          <w:marBottom w:val="0"/>
          <w:divBdr>
            <w:top w:val="none" w:sz="0" w:space="0" w:color="auto"/>
            <w:left w:val="none" w:sz="0" w:space="0" w:color="auto"/>
            <w:bottom w:val="none" w:sz="0" w:space="0" w:color="auto"/>
            <w:right w:val="none" w:sz="0" w:space="0" w:color="auto"/>
          </w:divBdr>
        </w:div>
        <w:div w:id="955909375">
          <w:marLeft w:val="0"/>
          <w:marRight w:val="0"/>
          <w:marTop w:val="0"/>
          <w:marBottom w:val="0"/>
          <w:divBdr>
            <w:top w:val="none" w:sz="0" w:space="0" w:color="auto"/>
            <w:left w:val="none" w:sz="0" w:space="0" w:color="auto"/>
            <w:bottom w:val="none" w:sz="0" w:space="0" w:color="auto"/>
            <w:right w:val="none" w:sz="0" w:space="0" w:color="auto"/>
          </w:divBdr>
        </w:div>
        <w:div w:id="802886676">
          <w:marLeft w:val="0"/>
          <w:marRight w:val="0"/>
          <w:marTop w:val="0"/>
          <w:marBottom w:val="0"/>
          <w:divBdr>
            <w:top w:val="none" w:sz="0" w:space="0" w:color="auto"/>
            <w:left w:val="none" w:sz="0" w:space="0" w:color="auto"/>
            <w:bottom w:val="none" w:sz="0" w:space="0" w:color="auto"/>
            <w:right w:val="none" w:sz="0" w:space="0" w:color="auto"/>
          </w:divBdr>
        </w:div>
      </w:divsChild>
    </w:div>
    <w:div w:id="1857495469">
      <w:bodyDiv w:val="1"/>
      <w:marLeft w:val="0"/>
      <w:marRight w:val="0"/>
      <w:marTop w:val="0"/>
      <w:marBottom w:val="0"/>
      <w:divBdr>
        <w:top w:val="none" w:sz="0" w:space="0" w:color="auto"/>
        <w:left w:val="none" w:sz="0" w:space="0" w:color="auto"/>
        <w:bottom w:val="none" w:sz="0" w:space="0" w:color="auto"/>
        <w:right w:val="none" w:sz="0" w:space="0" w:color="auto"/>
      </w:divBdr>
    </w:div>
    <w:div w:id="1911111744">
      <w:bodyDiv w:val="1"/>
      <w:marLeft w:val="0"/>
      <w:marRight w:val="0"/>
      <w:marTop w:val="0"/>
      <w:marBottom w:val="0"/>
      <w:divBdr>
        <w:top w:val="none" w:sz="0" w:space="0" w:color="auto"/>
        <w:left w:val="none" w:sz="0" w:space="0" w:color="auto"/>
        <w:bottom w:val="none" w:sz="0" w:space="0" w:color="auto"/>
        <w:right w:val="none" w:sz="0" w:space="0" w:color="auto"/>
      </w:divBdr>
    </w:div>
    <w:div w:id="1940328020">
      <w:bodyDiv w:val="1"/>
      <w:marLeft w:val="0"/>
      <w:marRight w:val="0"/>
      <w:marTop w:val="0"/>
      <w:marBottom w:val="0"/>
      <w:divBdr>
        <w:top w:val="none" w:sz="0" w:space="0" w:color="auto"/>
        <w:left w:val="none" w:sz="0" w:space="0" w:color="auto"/>
        <w:bottom w:val="none" w:sz="0" w:space="0" w:color="auto"/>
        <w:right w:val="none" w:sz="0" w:space="0" w:color="auto"/>
      </w:divBdr>
      <w:divsChild>
        <w:div w:id="182264836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okik.gov.pl/download.php?plik=14422"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59240-6107-4264-A45F-484EC6309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72</Pages>
  <Words>20111</Words>
  <Characters>120670</Characters>
  <Application>Microsoft Office Word</Application>
  <DocSecurity>0</DocSecurity>
  <Lines>1005</Lines>
  <Paragraphs>280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140501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Aneta Rudalska</cp:lastModifiedBy>
  <cp:revision>10</cp:revision>
  <cp:lastPrinted>2017-11-20T12:50:00Z</cp:lastPrinted>
  <dcterms:created xsi:type="dcterms:W3CDTF">2018-02-08T10:37:00Z</dcterms:created>
  <dcterms:modified xsi:type="dcterms:W3CDTF">2018-03-12T14:03:00Z</dcterms:modified>
</cp:coreProperties>
</file>