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DD2D4" w14:textId="02662984" w:rsidR="0088418E" w:rsidRPr="008F589B" w:rsidRDefault="0088418E" w:rsidP="008F589B">
      <w:pPr>
        <w:spacing w:line="360" w:lineRule="auto"/>
        <w:jc w:val="right"/>
        <w:rPr>
          <w:rFonts w:ascii="Verdana" w:hAnsi="Verdana"/>
          <w:szCs w:val="24"/>
        </w:rPr>
      </w:pPr>
      <w:r w:rsidRPr="008F589B">
        <w:rPr>
          <w:rFonts w:ascii="Verdana" w:hAnsi="Verdana"/>
          <w:szCs w:val="24"/>
        </w:rPr>
        <w:t xml:space="preserve">Załącznik nr 1 do Uchwały nr </w:t>
      </w:r>
      <w:r w:rsidR="00C62A41" w:rsidRPr="008F589B">
        <w:rPr>
          <w:rFonts w:ascii="Verdana" w:hAnsi="Verdana"/>
          <w:szCs w:val="24"/>
        </w:rPr>
        <w:t>170</w:t>
      </w:r>
      <w:r w:rsidRPr="008F589B">
        <w:rPr>
          <w:rFonts w:ascii="Verdana" w:hAnsi="Verdana"/>
          <w:szCs w:val="24"/>
        </w:rPr>
        <w:t xml:space="preserve"> </w:t>
      </w:r>
    </w:p>
    <w:p w14:paraId="3966DFD1" w14:textId="4F7037A9" w:rsidR="0088418E" w:rsidRPr="008F589B" w:rsidRDefault="0088418E" w:rsidP="008F589B">
      <w:pPr>
        <w:spacing w:line="360" w:lineRule="auto"/>
        <w:jc w:val="right"/>
        <w:rPr>
          <w:rFonts w:ascii="Verdana" w:hAnsi="Verdana"/>
          <w:szCs w:val="24"/>
        </w:rPr>
      </w:pPr>
      <w:r w:rsidRPr="008F589B">
        <w:rPr>
          <w:rFonts w:ascii="Verdana" w:hAnsi="Verdana"/>
          <w:szCs w:val="24"/>
        </w:rPr>
        <w:t xml:space="preserve">Rady Działalności Pożytku Publicznego z dnia </w:t>
      </w:r>
      <w:r w:rsidR="00C62A41" w:rsidRPr="008F589B">
        <w:rPr>
          <w:rFonts w:ascii="Verdana" w:hAnsi="Verdana"/>
          <w:szCs w:val="24"/>
        </w:rPr>
        <w:t>9 kwietnia</w:t>
      </w:r>
      <w:r w:rsidR="00B048CD" w:rsidRPr="008F589B">
        <w:rPr>
          <w:rFonts w:ascii="Verdana" w:hAnsi="Verdana"/>
          <w:szCs w:val="24"/>
        </w:rPr>
        <w:t xml:space="preserve"> 2021 r.</w:t>
      </w:r>
    </w:p>
    <w:p w14:paraId="2A16F281" w14:textId="44652001" w:rsidR="00E13817" w:rsidRPr="008F589B" w:rsidRDefault="0088418E" w:rsidP="008F589B">
      <w:pPr>
        <w:spacing w:line="360" w:lineRule="auto"/>
        <w:jc w:val="right"/>
        <w:rPr>
          <w:rFonts w:ascii="Verdana" w:hAnsi="Verdana"/>
          <w:szCs w:val="24"/>
        </w:rPr>
      </w:pPr>
      <w:r w:rsidRPr="008F589B">
        <w:rPr>
          <w:rFonts w:ascii="Verdana" w:hAnsi="Verdana"/>
          <w:szCs w:val="24"/>
        </w:rPr>
        <w:t>Uwagi do projektu Krajowego Planu Odbudowy i Zwiększania Odporności</w:t>
      </w:r>
    </w:p>
    <w:p w14:paraId="0EDADA3B" w14:textId="27D19C04" w:rsidR="00E13817" w:rsidRPr="008F589B" w:rsidRDefault="00E13817" w:rsidP="008F589B">
      <w:pPr>
        <w:spacing w:line="360" w:lineRule="auto"/>
        <w:jc w:val="center"/>
        <w:rPr>
          <w:rFonts w:ascii="Verdana" w:eastAsia="Times New Roman" w:hAnsi="Verdana"/>
          <w:szCs w:val="24"/>
        </w:rPr>
      </w:pPr>
    </w:p>
    <w:p w14:paraId="7CF2BFE7" w14:textId="77777777" w:rsidR="00E13817" w:rsidRPr="008F589B" w:rsidRDefault="00E13817" w:rsidP="008F589B">
      <w:pPr>
        <w:spacing w:line="360" w:lineRule="auto"/>
        <w:ind w:left="4536"/>
        <w:jc w:val="both"/>
        <w:rPr>
          <w:rFonts w:ascii="Verdana" w:eastAsia="Times New Roman" w:hAnsi="Verdana"/>
          <w:szCs w:val="24"/>
        </w:rPr>
      </w:pPr>
    </w:p>
    <w:p w14:paraId="07EF1444" w14:textId="0F311895" w:rsidR="00E13817" w:rsidRPr="008F589B" w:rsidRDefault="00E13817" w:rsidP="008F589B">
      <w:pPr>
        <w:spacing w:line="360" w:lineRule="auto"/>
        <w:jc w:val="both"/>
        <w:rPr>
          <w:rFonts w:ascii="Verdana" w:eastAsia="Times New Roman" w:hAnsi="Verdana"/>
          <w:b/>
          <w:bCs/>
          <w:color w:val="000000"/>
          <w:szCs w:val="24"/>
          <w:u w:val="single"/>
        </w:rPr>
      </w:pPr>
      <w:r w:rsidRPr="008F589B">
        <w:rPr>
          <w:rFonts w:ascii="Verdana" w:eastAsia="Times New Roman" w:hAnsi="Verdana"/>
          <w:b/>
          <w:bCs/>
          <w:color w:val="000000"/>
          <w:szCs w:val="24"/>
          <w:u w:val="single"/>
        </w:rPr>
        <w:t>GŁÓWNE POSTULATY:</w:t>
      </w:r>
    </w:p>
    <w:p w14:paraId="022871BE" w14:textId="77777777" w:rsidR="00744FDF" w:rsidRPr="008F589B" w:rsidRDefault="00744FDF" w:rsidP="008F589B">
      <w:pPr>
        <w:spacing w:line="360" w:lineRule="auto"/>
        <w:jc w:val="both"/>
        <w:rPr>
          <w:rFonts w:ascii="Verdana" w:hAnsi="Verdana"/>
          <w:b/>
          <w:bCs/>
          <w:szCs w:val="24"/>
        </w:rPr>
      </w:pPr>
    </w:p>
    <w:p w14:paraId="1728D242" w14:textId="77777777"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Przeznaczenie 1 % alokacji ze środków bezzwrotnych na rozwój i budowę odporności organizacji pozarządowych.</w:t>
      </w:r>
    </w:p>
    <w:p w14:paraId="1416FE01" w14:textId="77777777"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Właściwa realizacja zasady partnerstwa na wszystkich etapach wdrażania programu. Udział organizacji społeczeństwa obywatelskiego w Komitecie Monitorującym KPO.</w:t>
      </w:r>
    </w:p>
    <w:p w14:paraId="511B1F8A" w14:textId="77777777"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Dostępność finansowa środków w KPO dla organizacji pozarządowych.</w:t>
      </w:r>
    </w:p>
    <w:p w14:paraId="1895CD4C" w14:textId="068E23B5"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 xml:space="preserve">Rozbudowanie komponentu A o elementy społeczno-obywatelskie lub stworzenie dodatkowego  komponentu: “Rozwój oraz odporność społeczna i obywatelska” </w:t>
      </w:r>
      <w:r w:rsidR="009445CF" w:rsidRPr="008F589B">
        <w:rPr>
          <w:rFonts w:ascii="Verdana" w:eastAsia="Times New Roman" w:hAnsi="Verdana"/>
          <w:color w:val="000000"/>
          <w:sz w:val="24"/>
          <w:szCs w:val="24"/>
        </w:rPr>
        <w:t>–</w:t>
      </w:r>
      <w:r w:rsidRPr="008F589B">
        <w:rPr>
          <w:rFonts w:ascii="Verdana" w:eastAsia="Times New Roman" w:hAnsi="Verdana"/>
          <w:color w:val="000000"/>
          <w:sz w:val="24"/>
          <w:szCs w:val="24"/>
        </w:rPr>
        <w:t xml:space="preserve"> centra aktywności społeczno-obywatelskiej wzmacniające odporność i spójność społeczną.</w:t>
      </w:r>
    </w:p>
    <w:p w14:paraId="45F1A01F" w14:textId="77777777"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Uwzględnienie zasad horyzontalnych, w tym zasady dostępności dla osób z niepełnosprawnościami w krajowym programie odbudowy.</w:t>
      </w:r>
    </w:p>
    <w:p w14:paraId="619891FD" w14:textId="45CE7C83"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Dodanie reformy A5 wzmocnienie kobi</w:t>
      </w:r>
      <w:r w:rsidR="009445CF" w:rsidRPr="008F589B">
        <w:rPr>
          <w:rFonts w:ascii="Verdana" w:eastAsia="Times New Roman" w:hAnsi="Verdana"/>
          <w:color w:val="000000"/>
          <w:sz w:val="24"/>
          <w:szCs w:val="24"/>
        </w:rPr>
        <w:t>et w pełnieniu ról zawodowych i </w:t>
      </w:r>
      <w:r w:rsidRPr="008F589B">
        <w:rPr>
          <w:rFonts w:ascii="Verdana" w:eastAsia="Times New Roman" w:hAnsi="Verdana"/>
          <w:color w:val="000000"/>
          <w:sz w:val="24"/>
          <w:szCs w:val="24"/>
        </w:rPr>
        <w:t>społecznych w komponencie a (r</w:t>
      </w:r>
      <w:r w:rsidR="009445CF" w:rsidRPr="008F589B">
        <w:rPr>
          <w:rFonts w:ascii="Verdana" w:eastAsia="Times New Roman" w:hAnsi="Verdana"/>
          <w:color w:val="000000"/>
          <w:sz w:val="24"/>
          <w:szCs w:val="24"/>
        </w:rPr>
        <w:t>eforma: A5 wzmocnienie kobiet w </w:t>
      </w:r>
      <w:r w:rsidRPr="008F589B">
        <w:rPr>
          <w:rFonts w:ascii="Verdana" w:eastAsia="Times New Roman" w:hAnsi="Verdana"/>
          <w:color w:val="000000"/>
          <w:sz w:val="24"/>
          <w:szCs w:val="24"/>
        </w:rPr>
        <w:t>pełnieniu ról zawodowych i społecznych;  inwestycja: A5.1 rozwój siatki usług społecznych pozwalających na powrót na rynek pracy i utrzymanie się na nim).</w:t>
      </w:r>
    </w:p>
    <w:p w14:paraId="352570C0" w14:textId="3FACF4D2"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Efektywność, dostępność i jakość systemu ochrony zdrowia i usług społecznych. Wdrożenie deinstytucjonalizac</w:t>
      </w:r>
      <w:r w:rsidR="009445CF" w:rsidRPr="008F589B">
        <w:rPr>
          <w:rFonts w:ascii="Verdana" w:eastAsia="Times New Roman" w:hAnsi="Verdana"/>
          <w:color w:val="000000"/>
          <w:sz w:val="24"/>
          <w:szCs w:val="24"/>
        </w:rPr>
        <w:t>ji usług zdrowotnych i </w:t>
      </w:r>
      <w:r w:rsidRPr="008F589B">
        <w:rPr>
          <w:rFonts w:ascii="Verdana" w:eastAsia="Times New Roman" w:hAnsi="Verdana"/>
          <w:color w:val="000000"/>
          <w:sz w:val="24"/>
          <w:szCs w:val="24"/>
        </w:rPr>
        <w:t>społecznych</w:t>
      </w:r>
    </w:p>
    <w:p w14:paraId="7863476B" w14:textId="77777777"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Dodanie celu szczegółowego: D5 Usługi społeczne z inwestycyjną D5.1. Mieszkalnictwo wspomagane.</w:t>
      </w:r>
    </w:p>
    <w:p w14:paraId="0C457B52" w14:textId="3C06BACE" w:rsidR="00432546" w:rsidRPr="008F589B" w:rsidRDefault="00432546" w:rsidP="008F589B">
      <w:pPr>
        <w:pStyle w:val="Akapitzlist"/>
        <w:numPr>
          <w:ilvl w:val="0"/>
          <w:numId w:val="17"/>
        </w:numPr>
        <w:spacing w:after="0" w:line="360" w:lineRule="auto"/>
        <w:ind w:left="426"/>
        <w:jc w:val="both"/>
        <w:rPr>
          <w:rFonts w:ascii="Verdana" w:eastAsia="Times New Roman" w:hAnsi="Verdana"/>
          <w:color w:val="000000"/>
          <w:sz w:val="24"/>
          <w:szCs w:val="24"/>
        </w:rPr>
      </w:pPr>
      <w:r w:rsidRPr="008F589B">
        <w:rPr>
          <w:rFonts w:ascii="Verdana" w:eastAsia="Times New Roman" w:hAnsi="Verdana"/>
          <w:color w:val="000000"/>
          <w:sz w:val="24"/>
          <w:szCs w:val="24"/>
        </w:rPr>
        <w:t>Wzmocnienie działań na rzecz Zielonej Transformacji w KPO.</w:t>
      </w:r>
    </w:p>
    <w:p w14:paraId="159B62DE" w14:textId="77777777" w:rsidR="009445CF" w:rsidRPr="008F589B" w:rsidRDefault="009445CF" w:rsidP="008F589B">
      <w:pPr>
        <w:spacing w:line="360" w:lineRule="auto"/>
        <w:rPr>
          <w:rFonts w:ascii="Verdana" w:eastAsia="Times New Roman" w:hAnsi="Verdana"/>
          <w:b/>
          <w:bCs/>
          <w:color w:val="000000"/>
          <w:szCs w:val="24"/>
          <w:u w:val="single"/>
        </w:rPr>
      </w:pPr>
      <w:r w:rsidRPr="008F589B">
        <w:rPr>
          <w:rFonts w:ascii="Verdana" w:eastAsia="Times New Roman" w:hAnsi="Verdana"/>
          <w:b/>
          <w:bCs/>
          <w:color w:val="000000"/>
          <w:szCs w:val="24"/>
          <w:u w:val="single"/>
        </w:rPr>
        <w:br w:type="page"/>
      </w:r>
    </w:p>
    <w:p w14:paraId="415507D4" w14:textId="0B389AE8" w:rsidR="00E13817" w:rsidRPr="008F589B" w:rsidRDefault="0088418E" w:rsidP="008F589B">
      <w:pPr>
        <w:spacing w:line="360" w:lineRule="auto"/>
        <w:jc w:val="both"/>
        <w:rPr>
          <w:rFonts w:ascii="Verdana" w:eastAsia="Times New Roman" w:hAnsi="Verdana"/>
          <w:b/>
          <w:bCs/>
          <w:color w:val="000000"/>
          <w:szCs w:val="24"/>
          <w:u w:val="single"/>
        </w:rPr>
      </w:pPr>
      <w:r w:rsidRPr="008F589B">
        <w:rPr>
          <w:rFonts w:ascii="Verdana" w:eastAsia="Times New Roman" w:hAnsi="Verdana"/>
          <w:b/>
          <w:bCs/>
          <w:color w:val="000000"/>
          <w:szCs w:val="24"/>
          <w:u w:val="single"/>
        </w:rPr>
        <w:lastRenderedPageBreak/>
        <w:t>UWAGI</w:t>
      </w:r>
      <w:r w:rsidR="00084D42" w:rsidRPr="008F589B">
        <w:rPr>
          <w:rFonts w:ascii="Verdana" w:eastAsia="Times New Roman" w:hAnsi="Verdana"/>
          <w:b/>
          <w:bCs/>
          <w:color w:val="000000"/>
          <w:szCs w:val="24"/>
          <w:u w:val="single"/>
        </w:rPr>
        <w:t>:</w:t>
      </w:r>
    </w:p>
    <w:p w14:paraId="761A1B17" w14:textId="77777777" w:rsidR="00E13817" w:rsidRPr="008F589B" w:rsidRDefault="00E13817" w:rsidP="008F589B">
      <w:pPr>
        <w:spacing w:line="360" w:lineRule="auto"/>
        <w:jc w:val="both"/>
        <w:rPr>
          <w:rFonts w:ascii="Verdana" w:eastAsia="Times New Roman" w:hAnsi="Verdana"/>
          <w:b/>
          <w:bCs/>
          <w:color w:val="000000"/>
          <w:szCs w:val="24"/>
        </w:rPr>
      </w:pPr>
    </w:p>
    <w:p w14:paraId="628E41B5" w14:textId="77777777"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A/ ZASADY PODSTAWOWE I HORYZONTALNE</w:t>
      </w:r>
    </w:p>
    <w:p w14:paraId="067B9C71" w14:textId="77777777" w:rsidR="00E13817" w:rsidRPr="008F589B" w:rsidRDefault="00E13817" w:rsidP="008F589B">
      <w:pPr>
        <w:spacing w:line="360" w:lineRule="auto"/>
        <w:jc w:val="both"/>
        <w:rPr>
          <w:rFonts w:ascii="Verdana" w:eastAsia="Times New Roman" w:hAnsi="Verdana"/>
          <w:color w:val="000000"/>
          <w:szCs w:val="24"/>
        </w:rPr>
      </w:pPr>
    </w:p>
    <w:p w14:paraId="4F2D4CCD" w14:textId="77777777"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I. PRZEZNACZENIE 1 % ALOKACJI ZE ŚRODKÓW BEZZWROTNYCH NA ROZWÓJ I BUDOWĘ ODPORNOŚCI ORGANIZACJI POZARZĄDOWYCH.</w:t>
      </w:r>
    </w:p>
    <w:p w14:paraId="17E845B1" w14:textId="77777777" w:rsidR="00E13817" w:rsidRPr="008F589B" w:rsidRDefault="00E13817" w:rsidP="008F589B">
      <w:pPr>
        <w:spacing w:line="360" w:lineRule="auto"/>
        <w:jc w:val="both"/>
        <w:rPr>
          <w:rFonts w:ascii="Verdana" w:eastAsia="Times New Roman" w:hAnsi="Verdana"/>
          <w:color w:val="000000"/>
          <w:szCs w:val="24"/>
        </w:rPr>
      </w:pPr>
    </w:p>
    <w:p w14:paraId="44C65C62" w14:textId="7C5C39A8"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Alokacja odpowiedniej kwoty środków KPO ze środków bezzwrotnych analogicznie  na budowanie zdolności partnerów społecznych i organizacji społeczeństwa obywatelskiego tak bardzo</w:t>
      </w:r>
      <w:r w:rsidR="009445CF" w:rsidRPr="008F589B">
        <w:rPr>
          <w:rFonts w:ascii="Verdana" w:eastAsia="Times New Roman" w:hAnsi="Verdana"/>
          <w:color w:val="000000"/>
          <w:szCs w:val="24"/>
        </w:rPr>
        <w:t xml:space="preserve"> dotkniętych pandemią. Należy w </w:t>
      </w:r>
      <w:r w:rsidRPr="008F589B">
        <w:rPr>
          <w:rFonts w:ascii="Verdana" w:eastAsia="Times New Roman" w:hAnsi="Verdana"/>
          <w:color w:val="000000"/>
          <w:szCs w:val="24"/>
        </w:rPr>
        <w:t>tym miejscu podkreślić, że to organizacje obywatelskie jako pierwsze odpowiedziały na potrzeby wynikające z sytuacji epidemicznej (szycie maseczek, pomoc żywnościowa, pomoc osobom starszym, samotnym czy wykluczonym). Można tutaj również przywołać dwa obszary interwencji wskazane w Rozporządzeniu Parlamentu Europejskiego i Rady (UE) 2021/241 z dnia 12 lutego 2021 r. ustanawiające</w:t>
      </w:r>
      <w:r w:rsidR="00B048CD" w:rsidRPr="008F589B">
        <w:rPr>
          <w:rFonts w:ascii="Verdana" w:eastAsia="Times New Roman" w:hAnsi="Verdana"/>
          <w:color w:val="000000"/>
          <w:szCs w:val="24"/>
        </w:rPr>
        <w:t xml:space="preserve"> Instrument na rzecz Odbudowy </w:t>
      </w:r>
      <w:r w:rsidR="00B048CD" w:rsidRPr="008F589B">
        <w:rPr>
          <w:rFonts w:ascii="Verdana" w:hAnsi="Verdana"/>
          <w:szCs w:val="24"/>
        </w:rPr>
        <w:t>i </w:t>
      </w:r>
      <w:r w:rsidRPr="008F589B">
        <w:rPr>
          <w:rFonts w:ascii="Verdana" w:hAnsi="Verdana"/>
          <w:szCs w:val="24"/>
        </w:rPr>
        <w:t>Zwiększania</w:t>
      </w:r>
      <w:r w:rsidRPr="008F589B">
        <w:rPr>
          <w:rFonts w:ascii="Verdana" w:eastAsia="Times New Roman" w:hAnsi="Verdana"/>
          <w:color w:val="000000"/>
          <w:szCs w:val="24"/>
        </w:rPr>
        <w:t xml:space="preserve"> Odporności”, obszar nr 143 “Wzmocnienie potencjału organów państwa członkowskiego, beneficjentów i odpowiednich partnerów” oraz obszar nr 133 “Poprawa współpracy z partnerami w ramach danego państwa członkowskiego i poza nim”.</w:t>
      </w:r>
    </w:p>
    <w:p w14:paraId="08D30794" w14:textId="77777777" w:rsidR="00E13817" w:rsidRPr="008F589B" w:rsidRDefault="00E13817" w:rsidP="008F589B">
      <w:pPr>
        <w:spacing w:line="360" w:lineRule="auto"/>
        <w:jc w:val="both"/>
        <w:rPr>
          <w:rFonts w:ascii="Verdana" w:eastAsia="Times New Roman" w:hAnsi="Verdana"/>
          <w:color w:val="000000"/>
          <w:szCs w:val="24"/>
        </w:rPr>
      </w:pPr>
    </w:p>
    <w:p w14:paraId="22D6626E" w14:textId="77777777"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II. REALIZACJA ZASADY PARTNERSTWA:</w:t>
      </w:r>
    </w:p>
    <w:p w14:paraId="645CB486" w14:textId="77777777" w:rsidR="009445CF" w:rsidRPr="008F589B" w:rsidRDefault="009445CF" w:rsidP="008F589B">
      <w:pPr>
        <w:spacing w:line="360" w:lineRule="auto"/>
        <w:jc w:val="both"/>
        <w:rPr>
          <w:rFonts w:ascii="Verdana" w:eastAsia="Times New Roman" w:hAnsi="Verdana"/>
          <w:szCs w:val="24"/>
        </w:rPr>
      </w:pPr>
    </w:p>
    <w:p w14:paraId="158AC924" w14:textId="5CD14BFB" w:rsidR="00E13817" w:rsidRPr="008F589B" w:rsidRDefault="00E13817" w:rsidP="008F589B">
      <w:pPr>
        <w:spacing w:line="360" w:lineRule="auto"/>
        <w:jc w:val="both"/>
        <w:rPr>
          <w:rFonts w:ascii="Verdana" w:hAnsi="Verdana"/>
          <w:szCs w:val="24"/>
        </w:rPr>
      </w:pPr>
      <w:r w:rsidRPr="008F589B">
        <w:rPr>
          <w:rFonts w:ascii="Verdana" w:eastAsia="Times New Roman" w:hAnsi="Verdana"/>
          <w:szCs w:val="24"/>
        </w:rPr>
        <w:t>Dla zachowania demokratycznych zasad również w procesie wdrażania Krajowego Planu Odbudowy i Zwiększania Odporności, bardzo ważnym jest zaangażowanie wszystkich właściwych partnerów w tym organizacji społeczeństwa obywatelskiego.</w:t>
      </w:r>
    </w:p>
    <w:p w14:paraId="08531FE1" w14:textId="77777777" w:rsidR="00E13817" w:rsidRPr="008F589B" w:rsidRDefault="00E13817" w:rsidP="008F589B">
      <w:pPr>
        <w:numPr>
          <w:ilvl w:val="0"/>
          <w:numId w:val="2"/>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Udział partnerów reprezentujących społeczeństwo obywatelskie na każdym etapie (programowanie, realizacja, monitoring, ewaluacja).</w:t>
      </w:r>
    </w:p>
    <w:p w14:paraId="77FABE3F" w14:textId="77777777" w:rsidR="00E13817" w:rsidRPr="008F589B" w:rsidRDefault="00E13817" w:rsidP="008F589B">
      <w:pPr>
        <w:numPr>
          <w:ilvl w:val="0"/>
          <w:numId w:val="2"/>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Właściwa reprezentatywność partnerów.</w:t>
      </w:r>
    </w:p>
    <w:p w14:paraId="592B75A8" w14:textId="6B291159" w:rsidR="00E13817" w:rsidRPr="008F589B" w:rsidRDefault="00E13817" w:rsidP="008F589B">
      <w:pPr>
        <w:numPr>
          <w:ilvl w:val="0"/>
          <w:numId w:val="2"/>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Transparentne zasady udziału naszych przedstawicieli w Komitecie Monitorującym KPO.</w:t>
      </w:r>
    </w:p>
    <w:p w14:paraId="734DA610"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b/>
          <w:bCs/>
          <w:color w:val="000000"/>
          <w:szCs w:val="24"/>
        </w:rPr>
        <w:lastRenderedPageBreak/>
        <w:t>III. DOSTĘPNOŚĆ FINANSOWA ŚRODKÓW W KPO DLA ORGANIZACJI POZARZĄDOWYCH</w:t>
      </w:r>
      <w:r w:rsidRPr="008F589B">
        <w:rPr>
          <w:rFonts w:ascii="Verdana" w:eastAsia="Times New Roman" w:hAnsi="Verdana"/>
          <w:color w:val="000000"/>
          <w:szCs w:val="24"/>
        </w:rPr>
        <w:t>:</w:t>
      </w:r>
    </w:p>
    <w:p w14:paraId="6E3D8FF9" w14:textId="544E072D" w:rsidR="00E13817" w:rsidRPr="008F589B" w:rsidRDefault="00E13817" w:rsidP="008F589B">
      <w:pPr>
        <w:spacing w:line="360" w:lineRule="auto"/>
        <w:jc w:val="both"/>
        <w:rPr>
          <w:rFonts w:ascii="Verdana" w:eastAsia="Times New Roman" w:hAnsi="Verdana"/>
          <w:color w:val="000000"/>
          <w:szCs w:val="24"/>
        </w:rPr>
      </w:pPr>
    </w:p>
    <w:p w14:paraId="4AC93C8A" w14:textId="18A8D794" w:rsidR="00E13817" w:rsidRPr="008F589B" w:rsidRDefault="00E13817" w:rsidP="008F589B">
      <w:pPr>
        <w:pStyle w:val="Akapitzlist"/>
        <w:numPr>
          <w:ilvl w:val="0"/>
          <w:numId w:val="18"/>
        </w:numPr>
        <w:spacing w:after="0" w:line="360" w:lineRule="auto"/>
        <w:jc w:val="both"/>
        <w:rPr>
          <w:rFonts w:ascii="Verdana" w:eastAsia="Times New Roman" w:hAnsi="Verdana"/>
          <w:color w:val="000000"/>
          <w:sz w:val="24"/>
          <w:szCs w:val="24"/>
        </w:rPr>
      </w:pPr>
      <w:r w:rsidRPr="008F589B">
        <w:rPr>
          <w:rFonts w:ascii="Verdana" w:eastAsia="Times New Roman" w:hAnsi="Verdana"/>
          <w:color w:val="000000"/>
          <w:sz w:val="24"/>
          <w:szCs w:val="24"/>
        </w:rPr>
        <w:t>Partycypacja w dostępie do środków organizacji pozarządowych na zasadach wskazanych dla przedsiębiorstw oraz na zasadach wsparcia MŚP.</w:t>
      </w:r>
    </w:p>
    <w:p w14:paraId="2524685B" w14:textId="1CD4B9FC"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Polska definicja przedsiębiorcy oraz małego i średniego przedsiębiorcy odwołuje się do prowadzonych przez te podmioty działalności gospodarczej, co powoduje że jest ona węższa niż definicja wskazana w przepisach UE. Specyfiką polskiego systemu prawnego</w:t>
      </w:r>
      <w:r w:rsidR="00B048CD" w:rsidRPr="008F589B">
        <w:rPr>
          <w:rFonts w:ascii="Verdana" w:eastAsia="Times New Roman" w:hAnsi="Verdana"/>
          <w:color w:val="000000"/>
          <w:szCs w:val="24"/>
        </w:rPr>
        <w:t xml:space="preserve"> jest wyodrębnienie w ustawie o </w:t>
      </w:r>
      <w:r w:rsidRPr="008F589B">
        <w:rPr>
          <w:rFonts w:ascii="Verdana" w:eastAsia="Times New Roman" w:hAnsi="Verdana"/>
          <w:color w:val="000000"/>
          <w:szCs w:val="24"/>
        </w:rPr>
        <w:t>działalności pożytku publicznego działalności odpłatnej i nieodpłatnej pożytku publicznego. Powoduje to, że przy zachowaniu w KPO dotychczasowych definicji przedsiębiorcy i MŚP znaczna część interwencji będzie niedostępna dla większości NGO.</w:t>
      </w:r>
    </w:p>
    <w:p w14:paraId="7FF0D2A2" w14:textId="44456118" w:rsidR="00E13817" w:rsidRPr="008F589B" w:rsidRDefault="00E13817" w:rsidP="008F589B">
      <w:pPr>
        <w:spacing w:line="360" w:lineRule="auto"/>
        <w:jc w:val="both"/>
        <w:rPr>
          <w:rFonts w:ascii="Verdana" w:eastAsia="Times New Roman" w:hAnsi="Verdana"/>
          <w:color w:val="000000"/>
          <w:szCs w:val="24"/>
        </w:rPr>
      </w:pPr>
    </w:p>
    <w:p w14:paraId="54CD9E9E" w14:textId="7823D9D4" w:rsidR="00E13817" w:rsidRPr="008F589B" w:rsidRDefault="00E13817" w:rsidP="008F589B">
      <w:pPr>
        <w:pStyle w:val="Akapitzlist"/>
        <w:numPr>
          <w:ilvl w:val="0"/>
          <w:numId w:val="18"/>
        </w:numPr>
        <w:spacing w:after="0" w:line="360" w:lineRule="auto"/>
        <w:jc w:val="both"/>
        <w:rPr>
          <w:rFonts w:ascii="Verdana" w:eastAsia="Times New Roman" w:hAnsi="Verdana"/>
          <w:color w:val="000000"/>
          <w:sz w:val="24"/>
          <w:szCs w:val="24"/>
        </w:rPr>
      </w:pPr>
      <w:r w:rsidRPr="008F589B">
        <w:rPr>
          <w:rFonts w:ascii="Verdana" w:eastAsia="Times New Roman" w:hAnsi="Verdana"/>
          <w:color w:val="000000"/>
          <w:sz w:val="24"/>
          <w:szCs w:val="24"/>
        </w:rPr>
        <w:t>Utworzenie funduszu pożyczkowego lub zaliczkowanie umożliwiają absor</w:t>
      </w:r>
      <w:r w:rsidR="00B048CD" w:rsidRPr="008F589B">
        <w:rPr>
          <w:rFonts w:ascii="Verdana" w:eastAsia="Times New Roman" w:hAnsi="Verdana"/>
          <w:color w:val="000000"/>
          <w:sz w:val="24"/>
          <w:szCs w:val="24"/>
        </w:rPr>
        <w:t>pcję środków z KPO.</w:t>
      </w:r>
    </w:p>
    <w:p w14:paraId="6F4AEBE3" w14:textId="7BC4F2D1"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Organizacje pozarządowe nie prowadzą większości działalności gospodarczej, nie generują również zysku, który mogłyby przeznaczyć na zabezpieczenie środków niezbędnych do realizacji projektów w systemie refundacyjnym. Dla większości NGO nie dostępne są również komercyjne kredyty bankowe. Dlatego niezbędnym jest zapewnienie środków</w:t>
      </w:r>
      <w:r w:rsidR="00B048CD" w:rsidRPr="008F589B">
        <w:rPr>
          <w:rFonts w:ascii="Verdana" w:eastAsia="Times New Roman" w:hAnsi="Verdana"/>
          <w:color w:val="000000"/>
          <w:szCs w:val="24"/>
        </w:rPr>
        <w:t xml:space="preserve"> na realizację tych projektów w </w:t>
      </w:r>
      <w:r w:rsidRPr="008F589B">
        <w:rPr>
          <w:rFonts w:ascii="Verdana" w:eastAsia="Times New Roman" w:hAnsi="Verdana"/>
          <w:color w:val="000000"/>
          <w:szCs w:val="24"/>
        </w:rPr>
        <w:t xml:space="preserve">formie zaliczek lub uruchomienie specjalnej linii pożyczkowej. </w:t>
      </w:r>
    </w:p>
    <w:p w14:paraId="28485129" w14:textId="77777777" w:rsidR="00E13817" w:rsidRPr="008F589B" w:rsidRDefault="00E13817" w:rsidP="008F589B">
      <w:pPr>
        <w:spacing w:line="360" w:lineRule="auto"/>
        <w:jc w:val="both"/>
        <w:rPr>
          <w:rFonts w:ascii="Verdana" w:eastAsia="Times New Roman" w:hAnsi="Verdana"/>
          <w:color w:val="000000"/>
          <w:szCs w:val="24"/>
        </w:rPr>
      </w:pPr>
    </w:p>
    <w:p w14:paraId="28C46402" w14:textId="6BF309AB" w:rsidR="00E13817" w:rsidRPr="008F589B" w:rsidRDefault="00E13817" w:rsidP="008F589B">
      <w:pPr>
        <w:pStyle w:val="Akapitzlist"/>
        <w:numPr>
          <w:ilvl w:val="0"/>
          <w:numId w:val="18"/>
        </w:numPr>
        <w:spacing w:after="0" w:line="360" w:lineRule="auto"/>
        <w:jc w:val="both"/>
        <w:rPr>
          <w:rFonts w:ascii="Verdana" w:eastAsia="Times New Roman" w:hAnsi="Verdana"/>
          <w:color w:val="000000"/>
          <w:sz w:val="24"/>
          <w:szCs w:val="24"/>
        </w:rPr>
      </w:pPr>
      <w:r w:rsidRPr="008F589B">
        <w:rPr>
          <w:rFonts w:ascii="Verdana" w:eastAsia="Times New Roman" w:hAnsi="Verdana"/>
          <w:color w:val="000000"/>
          <w:sz w:val="24"/>
          <w:szCs w:val="24"/>
        </w:rPr>
        <w:t>Wyodrębnienie w KPO dodatkowej inwestycji umożliwiającej realizację wymogów wynikających z ustawy o zapewnianiu dostępności osobom ze szczególnymi potrzebami, dedykowanej organizacjom pozarządowym.</w:t>
      </w:r>
    </w:p>
    <w:p w14:paraId="1A419274" w14:textId="77777777" w:rsidR="008F589B" w:rsidRDefault="008F589B" w:rsidP="008F589B">
      <w:pPr>
        <w:spacing w:line="360" w:lineRule="auto"/>
        <w:rPr>
          <w:rFonts w:ascii="Verdana" w:eastAsia="Times New Roman" w:hAnsi="Verdana"/>
          <w:b/>
          <w:bCs/>
          <w:color w:val="000000"/>
          <w:szCs w:val="24"/>
        </w:rPr>
      </w:pPr>
    </w:p>
    <w:p w14:paraId="113D6DE8" w14:textId="72AE0D4F" w:rsidR="00E13817" w:rsidRPr="008F589B" w:rsidRDefault="00E13817" w:rsidP="008F589B">
      <w:pPr>
        <w:spacing w:line="360" w:lineRule="auto"/>
        <w:rPr>
          <w:rFonts w:ascii="Verdana" w:eastAsia="Times New Roman" w:hAnsi="Verdana"/>
          <w:b/>
          <w:bCs/>
          <w:color w:val="000000"/>
          <w:szCs w:val="24"/>
        </w:rPr>
      </w:pPr>
      <w:r w:rsidRPr="008F589B">
        <w:rPr>
          <w:rFonts w:ascii="Verdana" w:eastAsia="Times New Roman" w:hAnsi="Verdana"/>
          <w:b/>
          <w:bCs/>
          <w:color w:val="000000"/>
          <w:szCs w:val="24"/>
        </w:rPr>
        <w:t>B/ UWZGLĘDNIENIE ZASAD HORYZONTALNYCH, W TYM ZASADY DOSTĘPNOŚCI DLA</w:t>
      </w:r>
      <w:r w:rsidR="00B048CD" w:rsidRPr="008F589B">
        <w:rPr>
          <w:rFonts w:ascii="Verdana" w:eastAsia="Times New Roman" w:hAnsi="Verdana"/>
          <w:b/>
          <w:bCs/>
          <w:color w:val="000000"/>
          <w:szCs w:val="24"/>
        </w:rPr>
        <w:t xml:space="preserve"> OSÓB Z NIEPEŁNOSPRAWNOŚCIAMI W </w:t>
      </w:r>
      <w:r w:rsidRPr="008F589B">
        <w:rPr>
          <w:rFonts w:ascii="Verdana" w:eastAsia="Times New Roman" w:hAnsi="Verdana"/>
          <w:b/>
          <w:bCs/>
          <w:color w:val="000000"/>
          <w:szCs w:val="24"/>
        </w:rPr>
        <w:t xml:space="preserve">KRAJOWYM PROGRAMIE ODBUDOWY </w:t>
      </w:r>
      <w:r w:rsidR="00B048CD" w:rsidRPr="008F589B">
        <w:rPr>
          <w:rFonts w:ascii="Verdana" w:eastAsia="Times New Roman" w:hAnsi="Verdana"/>
          <w:color w:val="000000"/>
          <w:szCs w:val="24"/>
        </w:rPr>
        <w:t>(dotyczy generalnej reguły i </w:t>
      </w:r>
      <w:r w:rsidRPr="008F589B">
        <w:rPr>
          <w:rFonts w:ascii="Verdana" w:eastAsia="Times New Roman" w:hAnsi="Verdana"/>
          <w:color w:val="000000"/>
          <w:szCs w:val="24"/>
        </w:rPr>
        <w:t>wszystkich komponentów)</w:t>
      </w:r>
    </w:p>
    <w:p w14:paraId="4D29D06A" w14:textId="5BF96DF6" w:rsidR="00084D42" w:rsidRPr="008F589B" w:rsidRDefault="00084D42" w:rsidP="008F589B">
      <w:pPr>
        <w:spacing w:line="360" w:lineRule="auto"/>
        <w:jc w:val="both"/>
        <w:rPr>
          <w:rFonts w:ascii="Verdana" w:hAnsi="Verdana"/>
          <w:szCs w:val="24"/>
        </w:rPr>
      </w:pPr>
    </w:p>
    <w:p w14:paraId="0B367CCD" w14:textId="0CA3831E" w:rsidR="00B048CD" w:rsidRPr="008F589B" w:rsidRDefault="00E13817" w:rsidP="008F589B">
      <w:pPr>
        <w:pStyle w:val="Akapitzlist"/>
        <w:numPr>
          <w:ilvl w:val="0"/>
          <w:numId w:val="19"/>
        </w:numPr>
        <w:spacing w:after="0" w:line="360" w:lineRule="auto"/>
        <w:jc w:val="both"/>
        <w:rPr>
          <w:rFonts w:ascii="Verdana" w:hAnsi="Verdana"/>
          <w:sz w:val="24"/>
          <w:szCs w:val="24"/>
        </w:rPr>
      </w:pPr>
      <w:r w:rsidRPr="008F589B">
        <w:rPr>
          <w:rFonts w:ascii="Verdana" w:eastAsia="Times New Roman" w:hAnsi="Verdana"/>
          <w:color w:val="000000"/>
          <w:sz w:val="24"/>
          <w:szCs w:val="24"/>
        </w:rPr>
        <w:t>KPO posługuje się inną terminologią niż w przypadków zasad horyzontalnych dotyczących umo</w:t>
      </w:r>
      <w:r w:rsidR="00B048CD" w:rsidRPr="008F589B">
        <w:rPr>
          <w:rFonts w:ascii="Verdana" w:eastAsia="Times New Roman" w:hAnsi="Verdana"/>
          <w:color w:val="000000"/>
          <w:sz w:val="24"/>
          <w:szCs w:val="24"/>
        </w:rPr>
        <w:t>wy partnerstwa. Tam jest mowa o </w:t>
      </w:r>
      <w:r w:rsidRPr="008F589B">
        <w:rPr>
          <w:rFonts w:ascii="Verdana" w:eastAsia="Times New Roman" w:hAnsi="Verdana"/>
          <w:color w:val="000000"/>
          <w:sz w:val="24"/>
          <w:szCs w:val="24"/>
        </w:rPr>
        <w:t>“zasadzie równości szan</w:t>
      </w:r>
      <w:r w:rsidR="00B048CD" w:rsidRPr="008F589B">
        <w:rPr>
          <w:rFonts w:ascii="Verdana" w:eastAsia="Times New Roman" w:hAnsi="Verdana"/>
          <w:color w:val="000000"/>
          <w:sz w:val="24"/>
          <w:szCs w:val="24"/>
        </w:rPr>
        <w:t>s, w tym dostępności dla osób z </w:t>
      </w:r>
      <w:r w:rsidRPr="008F589B">
        <w:rPr>
          <w:rFonts w:ascii="Verdana" w:eastAsia="Times New Roman" w:hAnsi="Verdana"/>
          <w:color w:val="000000"/>
          <w:sz w:val="24"/>
          <w:szCs w:val="24"/>
        </w:rPr>
        <w:t>niepełnosprawnościami oraz z</w:t>
      </w:r>
      <w:r w:rsidR="00B048CD" w:rsidRPr="008F589B">
        <w:rPr>
          <w:rFonts w:ascii="Verdana" w:eastAsia="Times New Roman" w:hAnsi="Verdana"/>
          <w:color w:val="000000"/>
          <w:sz w:val="24"/>
          <w:szCs w:val="24"/>
        </w:rPr>
        <w:t>asadzie równości szans kobiet i </w:t>
      </w:r>
      <w:r w:rsidRPr="008F589B">
        <w:rPr>
          <w:rFonts w:ascii="Verdana" w:eastAsia="Times New Roman" w:hAnsi="Verdana"/>
          <w:color w:val="000000"/>
          <w:sz w:val="24"/>
          <w:szCs w:val="24"/>
        </w:rPr>
        <w:t>mężczyzn”. Z tekstu rozdziału I.3 nie wynika (bezpośrednio), że dostępność dla osób z niepełnosprawnościami jest częścią zasady równości szans. Należy to poprawić.</w:t>
      </w:r>
    </w:p>
    <w:p w14:paraId="47DDEA18" w14:textId="77777777" w:rsidR="00B048CD" w:rsidRPr="008F589B" w:rsidRDefault="00E13817" w:rsidP="008F589B">
      <w:pPr>
        <w:pStyle w:val="Akapitzlist"/>
        <w:numPr>
          <w:ilvl w:val="0"/>
          <w:numId w:val="19"/>
        </w:numPr>
        <w:spacing w:after="0" w:line="360" w:lineRule="auto"/>
        <w:jc w:val="both"/>
        <w:rPr>
          <w:rFonts w:ascii="Verdana" w:hAnsi="Verdana"/>
          <w:sz w:val="24"/>
          <w:szCs w:val="24"/>
        </w:rPr>
      </w:pPr>
      <w:r w:rsidRPr="008F589B">
        <w:rPr>
          <w:rFonts w:ascii="Verdana" w:eastAsia="Times New Roman" w:hAnsi="Verdana"/>
          <w:color w:val="000000"/>
          <w:sz w:val="24"/>
          <w:szCs w:val="24"/>
        </w:rPr>
        <w:t>Zasady horyzontalne jak zasada równych szans są zaznaczone w KPO, ale jest to wprowadzone na “miękko”. Zasady mają “przyświecać”, działania mają “dążyć” do ich zapewnienia itp.</w:t>
      </w:r>
    </w:p>
    <w:p w14:paraId="165BA92E" w14:textId="654861D2" w:rsidR="00B048CD" w:rsidRPr="008F589B" w:rsidRDefault="00E13817" w:rsidP="008F589B">
      <w:pPr>
        <w:pStyle w:val="Akapitzlist"/>
        <w:numPr>
          <w:ilvl w:val="0"/>
          <w:numId w:val="19"/>
        </w:numPr>
        <w:spacing w:after="0" w:line="360" w:lineRule="auto"/>
        <w:jc w:val="both"/>
        <w:rPr>
          <w:rFonts w:ascii="Verdana" w:hAnsi="Verdana"/>
          <w:sz w:val="24"/>
          <w:szCs w:val="24"/>
        </w:rPr>
      </w:pPr>
      <w:r w:rsidRPr="008F589B">
        <w:rPr>
          <w:rFonts w:ascii="Verdana" w:eastAsia="Times New Roman" w:hAnsi="Verdana"/>
          <w:color w:val="000000"/>
          <w:sz w:val="24"/>
          <w:szCs w:val="24"/>
        </w:rPr>
        <w:t>Ze względu na Konstytucję (między innymi art. 32), unijne i krajowe przepisy antydyskryminacy</w:t>
      </w:r>
      <w:r w:rsidR="00B048CD" w:rsidRPr="008F589B">
        <w:rPr>
          <w:rFonts w:ascii="Verdana" w:eastAsia="Times New Roman" w:hAnsi="Verdana"/>
          <w:color w:val="000000"/>
          <w:sz w:val="24"/>
          <w:szCs w:val="24"/>
        </w:rPr>
        <w:t>jne, Konwencję o prawach osób z </w:t>
      </w:r>
      <w:r w:rsidRPr="008F589B">
        <w:rPr>
          <w:rFonts w:ascii="Verdana" w:eastAsia="Times New Roman" w:hAnsi="Verdana"/>
          <w:color w:val="000000"/>
          <w:sz w:val="24"/>
          <w:szCs w:val="24"/>
        </w:rPr>
        <w:t>niepełnosprawnościami, ustawę o zapewnianiu dostępności osobom ze szczególnymi potrzebami itp. zasady horyzontalne muszą być bezwzględnie uwzględniane w KPO</w:t>
      </w:r>
      <w:r w:rsidR="00B048CD" w:rsidRPr="008F589B">
        <w:rPr>
          <w:rFonts w:ascii="Verdana" w:eastAsia="Times New Roman" w:hAnsi="Verdana"/>
          <w:color w:val="000000"/>
          <w:sz w:val="24"/>
          <w:szCs w:val="24"/>
        </w:rPr>
        <w:t xml:space="preserve"> i bezwzględnie przestrzegane w </w:t>
      </w:r>
      <w:r w:rsidRPr="008F589B">
        <w:rPr>
          <w:rFonts w:ascii="Verdana" w:eastAsia="Times New Roman" w:hAnsi="Verdana"/>
          <w:color w:val="000000"/>
          <w:sz w:val="24"/>
          <w:szCs w:val="24"/>
        </w:rPr>
        <w:t>ramach jego realizacji. Na to wszystko nakłada się perspektywa społeczna i demograficzna Polski, w tym starzejące się społeczeństwo.</w:t>
      </w:r>
    </w:p>
    <w:p w14:paraId="31B49AD3" w14:textId="3C5F8F3E" w:rsidR="00B048CD" w:rsidRPr="008F589B" w:rsidRDefault="00E13817" w:rsidP="008F589B">
      <w:pPr>
        <w:pStyle w:val="Akapitzlist"/>
        <w:numPr>
          <w:ilvl w:val="0"/>
          <w:numId w:val="19"/>
        </w:numPr>
        <w:spacing w:after="0" w:line="360" w:lineRule="auto"/>
        <w:jc w:val="both"/>
        <w:rPr>
          <w:rFonts w:ascii="Verdana" w:hAnsi="Verdana"/>
          <w:sz w:val="24"/>
          <w:szCs w:val="24"/>
        </w:rPr>
      </w:pPr>
      <w:r w:rsidRPr="008F589B">
        <w:rPr>
          <w:rFonts w:ascii="Verdana" w:eastAsia="Times New Roman" w:hAnsi="Verdana"/>
          <w:color w:val="000000"/>
          <w:sz w:val="24"/>
          <w:szCs w:val="24"/>
        </w:rPr>
        <w:t xml:space="preserve">Nie możemy sobie pozwolić na finansowanie niedostępnych produktów projektów czy projektów niezapewniających równych szans. Mamy negatywne doświadczenia z PO KL, gdzie dopiero działania w ramach POWER-a poprawiały niedostępność </w:t>
      </w:r>
      <w:r w:rsidR="00B048CD" w:rsidRPr="008F589B">
        <w:rPr>
          <w:rFonts w:ascii="Verdana" w:eastAsia="Times New Roman" w:hAnsi="Verdana"/>
          <w:color w:val="000000"/>
          <w:sz w:val="24"/>
          <w:szCs w:val="24"/>
        </w:rPr>
        <w:t>produktów współfinansowanych ze </w:t>
      </w:r>
      <w:r w:rsidRPr="008F589B">
        <w:rPr>
          <w:rFonts w:ascii="Verdana" w:eastAsia="Times New Roman" w:hAnsi="Verdana"/>
          <w:color w:val="000000"/>
          <w:sz w:val="24"/>
          <w:szCs w:val="24"/>
        </w:rPr>
        <w:t xml:space="preserve">środków europejskich. Zapewne Komisja Europejska nie zgodzi się po raz kolejny, żebyśmy w kolejnych perspektywa poprawiali błędy </w:t>
      </w:r>
      <w:proofErr w:type="spellStart"/>
      <w:r w:rsidRPr="008F589B">
        <w:rPr>
          <w:rFonts w:ascii="Verdana" w:eastAsia="Times New Roman" w:hAnsi="Verdana"/>
          <w:color w:val="000000"/>
          <w:sz w:val="24"/>
          <w:szCs w:val="24"/>
        </w:rPr>
        <w:t>dostępnościowe</w:t>
      </w:r>
      <w:proofErr w:type="spellEnd"/>
      <w:r w:rsidRPr="008F589B">
        <w:rPr>
          <w:rFonts w:ascii="Verdana" w:eastAsia="Times New Roman" w:hAnsi="Verdana"/>
          <w:color w:val="000000"/>
          <w:sz w:val="24"/>
          <w:szCs w:val="24"/>
        </w:rPr>
        <w:t xml:space="preserve"> z poprzednich. Nawet niedawno wytworzona infrastruktura (jak publiczne systemy IT) - nawet jeśli była finansowana ze środków europejskich - często bywa niedostępna (na przykład publiczne e-usługi jak: ZUS PUE </w:t>
      </w:r>
      <w:r w:rsidR="008F589B">
        <w:rPr>
          <w:rFonts w:ascii="Verdana" w:eastAsia="Times New Roman" w:hAnsi="Verdana"/>
          <w:color w:val="000000"/>
          <w:sz w:val="24"/>
          <w:szCs w:val="24"/>
        </w:rPr>
        <w:t>–</w:t>
      </w:r>
      <w:r w:rsidRPr="008F589B">
        <w:rPr>
          <w:rFonts w:ascii="Verdana" w:eastAsia="Times New Roman" w:hAnsi="Verdana"/>
          <w:color w:val="000000"/>
          <w:sz w:val="24"/>
          <w:szCs w:val="24"/>
        </w:rPr>
        <w:t xml:space="preserve"> Platfor</w:t>
      </w:r>
      <w:r w:rsidR="008F589B">
        <w:rPr>
          <w:rFonts w:ascii="Verdana" w:eastAsia="Times New Roman" w:hAnsi="Verdana"/>
          <w:color w:val="000000"/>
          <w:sz w:val="24"/>
          <w:szCs w:val="24"/>
        </w:rPr>
        <w:t xml:space="preserve">ma Usług Elektronicznych </w:t>
      </w:r>
      <w:r w:rsidR="008F589B">
        <w:rPr>
          <w:rFonts w:ascii="Verdana" w:eastAsia="Times New Roman" w:hAnsi="Verdana"/>
          <w:color w:val="000000"/>
          <w:sz w:val="24"/>
          <w:szCs w:val="24"/>
        </w:rPr>
        <w:br/>
        <w:t>ZUS-u, </w:t>
      </w:r>
      <w:r w:rsidRPr="008F589B">
        <w:rPr>
          <w:rFonts w:ascii="Verdana" w:eastAsia="Times New Roman" w:hAnsi="Verdana"/>
          <w:color w:val="000000"/>
          <w:sz w:val="24"/>
          <w:szCs w:val="24"/>
        </w:rPr>
        <w:t>e-Zamówienia czy SL2014). Nie wolno nam powtórzy tych drogich błędów w KPO.</w:t>
      </w:r>
    </w:p>
    <w:p w14:paraId="098475B2" w14:textId="5711BE18" w:rsidR="00B048CD" w:rsidRPr="008F589B" w:rsidRDefault="00E13817" w:rsidP="008F589B">
      <w:pPr>
        <w:pStyle w:val="Akapitzlist"/>
        <w:numPr>
          <w:ilvl w:val="0"/>
          <w:numId w:val="19"/>
        </w:numPr>
        <w:spacing w:after="0" w:line="360" w:lineRule="auto"/>
        <w:jc w:val="both"/>
        <w:rPr>
          <w:rFonts w:ascii="Verdana" w:hAnsi="Verdana"/>
          <w:sz w:val="24"/>
          <w:szCs w:val="24"/>
        </w:rPr>
      </w:pPr>
      <w:r w:rsidRPr="008F589B">
        <w:rPr>
          <w:rFonts w:ascii="Verdana" w:eastAsia="Times New Roman" w:hAnsi="Verdana"/>
          <w:color w:val="000000"/>
          <w:sz w:val="24"/>
          <w:szCs w:val="24"/>
        </w:rPr>
        <w:t>Konwencja o prawach osób z niepeł</w:t>
      </w:r>
      <w:r w:rsidR="00B048CD" w:rsidRPr="008F589B">
        <w:rPr>
          <w:rFonts w:ascii="Verdana" w:eastAsia="Times New Roman" w:hAnsi="Verdana"/>
          <w:color w:val="000000"/>
          <w:sz w:val="24"/>
          <w:szCs w:val="24"/>
        </w:rPr>
        <w:t>nosprawnościami, jak i ustawa o </w:t>
      </w:r>
      <w:r w:rsidRPr="008F589B">
        <w:rPr>
          <w:rFonts w:ascii="Verdana" w:eastAsia="Times New Roman" w:hAnsi="Verdana"/>
          <w:color w:val="000000"/>
          <w:sz w:val="24"/>
          <w:szCs w:val="24"/>
        </w:rPr>
        <w:t xml:space="preserve">zapewnianiu dostępności osobom ze szczególnymi potrzebami </w:t>
      </w:r>
      <w:r w:rsidRPr="008F589B">
        <w:rPr>
          <w:rFonts w:ascii="Verdana" w:eastAsia="Times New Roman" w:hAnsi="Verdana"/>
          <w:color w:val="000000"/>
          <w:sz w:val="24"/>
          <w:szCs w:val="24"/>
        </w:rPr>
        <w:lastRenderedPageBreak/>
        <w:t xml:space="preserve">nakazują uwzględnianie dostępności </w:t>
      </w:r>
      <w:r w:rsidR="00B048CD" w:rsidRPr="008F589B">
        <w:rPr>
          <w:rFonts w:ascii="Verdana" w:eastAsia="Times New Roman" w:hAnsi="Verdana"/>
          <w:color w:val="000000"/>
          <w:sz w:val="24"/>
          <w:szCs w:val="24"/>
        </w:rPr>
        <w:t>i projektowania uniwersalnego w </w:t>
      </w:r>
      <w:r w:rsidRPr="008F589B">
        <w:rPr>
          <w:rFonts w:ascii="Verdana" w:eastAsia="Times New Roman" w:hAnsi="Verdana"/>
          <w:color w:val="000000"/>
          <w:sz w:val="24"/>
          <w:szCs w:val="24"/>
        </w:rPr>
        <w:t>każdej działalności podmiotu publ</w:t>
      </w:r>
      <w:r w:rsidR="00B048CD" w:rsidRPr="008F589B">
        <w:rPr>
          <w:rFonts w:ascii="Verdana" w:eastAsia="Times New Roman" w:hAnsi="Verdana"/>
          <w:color w:val="000000"/>
          <w:sz w:val="24"/>
          <w:szCs w:val="24"/>
        </w:rPr>
        <w:t>icznego. Tego również brakuje w </w:t>
      </w:r>
      <w:r w:rsidRPr="008F589B">
        <w:rPr>
          <w:rFonts w:ascii="Verdana" w:eastAsia="Times New Roman" w:hAnsi="Verdana"/>
          <w:color w:val="000000"/>
          <w:sz w:val="24"/>
          <w:szCs w:val="24"/>
        </w:rPr>
        <w:t>KPO.</w:t>
      </w:r>
    </w:p>
    <w:p w14:paraId="6AFAABA6" w14:textId="382D5B24" w:rsidR="00E3772D" w:rsidRPr="008F589B" w:rsidRDefault="00E13817" w:rsidP="008F589B">
      <w:pPr>
        <w:pStyle w:val="Akapitzlist"/>
        <w:numPr>
          <w:ilvl w:val="0"/>
          <w:numId w:val="19"/>
        </w:numPr>
        <w:spacing w:after="0" w:line="360" w:lineRule="auto"/>
        <w:jc w:val="both"/>
        <w:rPr>
          <w:rFonts w:ascii="Verdana" w:hAnsi="Verdana"/>
          <w:sz w:val="24"/>
          <w:szCs w:val="24"/>
        </w:rPr>
      </w:pPr>
      <w:r w:rsidRPr="008F589B">
        <w:rPr>
          <w:rFonts w:ascii="Verdana" w:eastAsia="Times New Roman" w:hAnsi="Verdana"/>
          <w:color w:val="000000"/>
          <w:sz w:val="24"/>
          <w:szCs w:val="24"/>
        </w:rPr>
        <w:t xml:space="preserve">Kolejnym elementem jest wdrażana w Polsce tak zwana dyrektywa </w:t>
      </w:r>
      <w:proofErr w:type="spellStart"/>
      <w:r w:rsidRPr="008F589B">
        <w:rPr>
          <w:rFonts w:ascii="Verdana" w:eastAsia="Times New Roman" w:hAnsi="Verdana"/>
          <w:color w:val="000000"/>
          <w:sz w:val="24"/>
          <w:szCs w:val="24"/>
        </w:rPr>
        <w:t>dostępnościową</w:t>
      </w:r>
      <w:proofErr w:type="spellEnd"/>
      <w:r w:rsidRPr="008F589B">
        <w:rPr>
          <w:rFonts w:ascii="Verdana" w:eastAsia="Times New Roman" w:hAnsi="Verdana"/>
          <w:color w:val="000000"/>
          <w:sz w:val="24"/>
          <w:szCs w:val="24"/>
        </w:rPr>
        <w:t xml:space="preserve"> (dyrektywa z dnia 17 kwietnia 2019 r. w sprawie wymogów dostępności produktów i us</w:t>
      </w:r>
      <w:r w:rsidR="00B048CD" w:rsidRPr="008F589B">
        <w:rPr>
          <w:rFonts w:ascii="Verdana" w:eastAsia="Times New Roman" w:hAnsi="Verdana"/>
          <w:color w:val="000000"/>
          <w:sz w:val="24"/>
          <w:szCs w:val="24"/>
        </w:rPr>
        <w:t>ług). Rozszerza ona obowiązki w </w:t>
      </w:r>
      <w:r w:rsidRPr="008F589B">
        <w:rPr>
          <w:rFonts w:ascii="Verdana" w:eastAsia="Times New Roman" w:hAnsi="Verdana"/>
          <w:color w:val="000000"/>
          <w:sz w:val="24"/>
          <w:szCs w:val="24"/>
        </w:rPr>
        <w:t>zakresie zapewniania dostępności także na podmioty prywatne. Powinno to znaleźć odbicie w inwestycjach skierowanych do sektora komercyjnego.</w:t>
      </w:r>
    </w:p>
    <w:p w14:paraId="2DEF0F23" w14:textId="77777777" w:rsidR="00B048CD" w:rsidRPr="008F589B" w:rsidRDefault="00B048CD" w:rsidP="008F589B">
      <w:pPr>
        <w:spacing w:line="360" w:lineRule="auto"/>
        <w:rPr>
          <w:rFonts w:ascii="Verdana" w:eastAsia="Times New Roman" w:hAnsi="Verdana"/>
          <w:b/>
          <w:bCs/>
          <w:color w:val="000000"/>
          <w:szCs w:val="24"/>
        </w:rPr>
      </w:pPr>
      <w:r w:rsidRPr="008F589B">
        <w:rPr>
          <w:rFonts w:ascii="Verdana" w:eastAsia="Times New Roman" w:hAnsi="Verdana"/>
          <w:b/>
          <w:bCs/>
          <w:color w:val="000000"/>
          <w:szCs w:val="24"/>
        </w:rPr>
        <w:br w:type="page"/>
      </w:r>
    </w:p>
    <w:p w14:paraId="30F4D24C" w14:textId="61AFBCE9"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lastRenderedPageBreak/>
        <w:t>Postulaty szczegółowe:</w:t>
      </w:r>
    </w:p>
    <w:p w14:paraId="0430F313" w14:textId="77777777" w:rsidR="00E3772D" w:rsidRPr="008F589B" w:rsidRDefault="00E3772D" w:rsidP="008F589B">
      <w:pPr>
        <w:spacing w:line="360" w:lineRule="auto"/>
        <w:jc w:val="both"/>
        <w:rPr>
          <w:rFonts w:ascii="Verdana" w:hAnsi="Verdana"/>
          <w:szCs w:val="24"/>
        </w:rPr>
      </w:pPr>
    </w:p>
    <w:p w14:paraId="3B347DC9" w14:textId="0B08F0AF" w:rsidR="00E13817" w:rsidRPr="008F589B" w:rsidRDefault="00E13817" w:rsidP="008F589B">
      <w:pPr>
        <w:numPr>
          <w:ilvl w:val="0"/>
          <w:numId w:val="3"/>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Bezwzględne, “twarde” wpisanie zasad horyzontalnych, w tym zasady równości szans,  w tym dostępności dla osób ze szczególnymi potrzebami w KPO, w tym w rozdziale I.3 “Realizacja zasady dotyczącej równości płci i zapewnienia równych szans dla wszystkich”. Należy wprost zaznaczyć, że zasada równości szans polega, w szczególności, na dostępności dla osób z niepełnosprawnościami (osób ze szczególnymi potrzebami). Najlepszym rozwiązaniem jest stosowanie terminologii znanej i upowszechnionej w Polsce przy okazji realizacji umowy partnerstwa, czyli “zasada równości szans, w tym dostępności dla osób z niepełnosprawnościami oraz</w:t>
      </w:r>
      <w:r w:rsidR="00B048CD" w:rsidRPr="008F589B">
        <w:rPr>
          <w:rFonts w:ascii="Verdana" w:eastAsia="Times New Roman" w:hAnsi="Verdana"/>
          <w:color w:val="000000"/>
          <w:szCs w:val="24"/>
        </w:rPr>
        <w:t xml:space="preserve"> zasada równości szans kobiet i </w:t>
      </w:r>
      <w:r w:rsidRPr="008F589B">
        <w:rPr>
          <w:rFonts w:ascii="Verdana" w:eastAsia="Times New Roman" w:hAnsi="Verdana"/>
          <w:color w:val="000000"/>
          <w:szCs w:val="24"/>
        </w:rPr>
        <w:t>mężczyzn”.</w:t>
      </w:r>
    </w:p>
    <w:p w14:paraId="67CA4921" w14:textId="249F2EA4" w:rsidR="00E13817" w:rsidRPr="008F589B" w:rsidRDefault="00E13817" w:rsidP="008F589B">
      <w:pPr>
        <w:numPr>
          <w:ilvl w:val="0"/>
          <w:numId w:val="3"/>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Wskazanie wprost wymogu</w:t>
      </w:r>
      <w:r w:rsidR="00B048CD" w:rsidRPr="008F589B">
        <w:rPr>
          <w:rFonts w:ascii="Verdana" w:eastAsia="Times New Roman" w:hAnsi="Verdana"/>
          <w:color w:val="000000"/>
          <w:szCs w:val="24"/>
        </w:rPr>
        <w:t xml:space="preserve"> dostępności dla produktów w 19 </w:t>
      </w:r>
      <w:r w:rsidRPr="008F589B">
        <w:rPr>
          <w:rFonts w:ascii="Verdana" w:eastAsia="Times New Roman" w:hAnsi="Verdana"/>
          <w:color w:val="000000"/>
          <w:szCs w:val="24"/>
        </w:rPr>
        <w:t>inwestycjach szczególnie wrażliwych na dostępność jak:</w:t>
      </w:r>
    </w:p>
    <w:p w14:paraId="56647145"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A1.1.4. Przygotowanie terenów inwestycyjnych w Polsce</w:t>
      </w:r>
    </w:p>
    <w:p w14:paraId="665A4EB0"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A1.1.5. Wdrożenie reformy planowania i zagospodarowania przestrzennego</w:t>
      </w:r>
    </w:p>
    <w:p w14:paraId="3189A1FC"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A2.2.1. Program wsparcia rozwoju nowych technologii na potrzeby gospodarki</w:t>
      </w:r>
    </w:p>
    <w:p w14:paraId="0818178B"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A2.1.3. Innowacyjne rozwiązania w kulturze (przemysły kreatywne)</w:t>
      </w:r>
    </w:p>
    <w:p w14:paraId="1F4BDE8E"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A3.1.1. Wsparcie rozwoju nowoczesnego kształcenia zawodowego, szkolnictwa wyższego oraz uczenia się przez całe życie</w:t>
      </w:r>
    </w:p>
    <w:p w14:paraId="3CA5A3C2"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A3.1.2. Doposażenie pracowników/przedsiębiorstw umożliwiające pracę zdalną</w:t>
      </w:r>
    </w:p>
    <w:p w14:paraId="39882FD4"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B1.1.2. Efektywność budynków mieszkalnych</w:t>
      </w:r>
    </w:p>
    <w:p w14:paraId="389FB680"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B1.1.3. Termomodernizacja szkół</w:t>
      </w:r>
    </w:p>
    <w:p w14:paraId="62292836"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B3.1.3. Zielona transformacja miast i obszarów funkcjonalnych,</w:t>
      </w:r>
    </w:p>
    <w:p w14:paraId="5FF8860B"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B3.1.4 Pasywne obiekty lokalnej aktywności społecznej</w:t>
      </w:r>
    </w:p>
    <w:p w14:paraId="5C3B3973"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C2.1.1. E-usługi publiczne, rozwiązania IT usprawniające funkcjonowanie administracji i sektorów gospodarki oraz technologie przełomowe w sektorze publicznym, gospodarce, społeczeństwie</w:t>
      </w:r>
    </w:p>
    <w:p w14:paraId="6717C85E"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lastRenderedPageBreak/>
        <w:t>C2.1.2. Cyfrowa infrastruktura szkół</w:t>
      </w:r>
    </w:p>
    <w:p w14:paraId="166EA4F4"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C2.1.3. E-kompetencje</w:t>
      </w:r>
    </w:p>
    <w:p w14:paraId="2DBAE036"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D1.1.1. Rozwój i modernizacja infrastruktury podmiotów leczniczych</w:t>
      </w:r>
    </w:p>
    <w:p w14:paraId="75383A9A" w14:textId="79FDFC1A"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D1.1.3. Zwiększenie wykorzystania nowoczes</w:t>
      </w:r>
      <w:r w:rsidR="00B048CD" w:rsidRPr="008F589B">
        <w:rPr>
          <w:rFonts w:ascii="Verdana" w:eastAsia="Times New Roman" w:hAnsi="Verdana"/>
          <w:color w:val="000000"/>
          <w:sz w:val="24"/>
          <w:szCs w:val="24"/>
        </w:rPr>
        <w:t>nych technologii i </w:t>
      </w:r>
      <w:r w:rsidRPr="008F589B">
        <w:rPr>
          <w:rFonts w:ascii="Verdana" w:eastAsia="Times New Roman" w:hAnsi="Verdana"/>
          <w:color w:val="000000"/>
          <w:sz w:val="24"/>
          <w:szCs w:val="24"/>
        </w:rPr>
        <w:t>dalszy rozwój e-zdrowia</w:t>
      </w:r>
    </w:p>
    <w:p w14:paraId="092D0EA0"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D2.1.1. Wsparcie rozwoju potencjału uczelni medycznych</w:t>
      </w:r>
    </w:p>
    <w:p w14:paraId="2096BA29"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E1.1.1. Wsparcie przemysłu dla gospodarki niskoemisyjnej</w:t>
      </w:r>
    </w:p>
    <w:p w14:paraId="51708CE9"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E1.1.2. Zeroemisyjny transport zbiorowy</w:t>
      </w:r>
    </w:p>
    <w:p w14:paraId="65DAB490"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E2.1.2. Pasażerski tabor kolejowy</w:t>
      </w:r>
    </w:p>
    <w:p w14:paraId="124DE410" w14:textId="77777777" w:rsidR="00E13817" w:rsidRPr="008F589B" w:rsidRDefault="00E13817" w:rsidP="008F589B">
      <w:pPr>
        <w:pStyle w:val="Akapitzlist"/>
        <w:numPr>
          <w:ilvl w:val="0"/>
          <w:numId w:val="20"/>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E2.2.2. Cyfryzacja transportu</w:t>
      </w:r>
    </w:p>
    <w:p w14:paraId="4027B0CC" w14:textId="77777777" w:rsidR="002B2525" w:rsidRPr="008F589B" w:rsidRDefault="00E13817" w:rsidP="008F589B">
      <w:pPr>
        <w:pStyle w:val="Akapitzlist"/>
        <w:numPr>
          <w:ilvl w:val="0"/>
          <w:numId w:val="22"/>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Uwzględnienie w opisach inwestycji projektowania uniwersalnego jako obowiązkowej metody realizacji 12 inwestycji szczególnie podatnych na projektowanie uniwersalne:</w:t>
      </w:r>
    </w:p>
    <w:p w14:paraId="2AEB345D" w14:textId="799765C2"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A1.1.4. Przygotowanie terenów inwestycyjnych w Polsce [projektowanie uniwersalne przestrzeni publicznej]</w:t>
      </w:r>
    </w:p>
    <w:p w14:paraId="1C44AED3"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A1.1.5. Wdrożenie reformy planowania i zagospodarowania przestrzennego</w:t>
      </w:r>
    </w:p>
    <w:p w14:paraId="11F3A2BB"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A2.2.1. Program wsparcia rozwoju nowych technologii na potrzeby gospodarki</w:t>
      </w:r>
    </w:p>
    <w:p w14:paraId="4AB69DC0"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A2.1.3. Innowacyjne rozwiązania w kulturze (przemysły kreatywne)</w:t>
      </w:r>
    </w:p>
    <w:p w14:paraId="5ACEA2F8"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A3.1.1. Wsparcie rozwoju nowoczesnego kształcenia zawodowego, szkolnictwa wyższego oraz uczenia się przez całe życie [uniwersalne projektowania jako przedmiot i metoda kształcenia]</w:t>
      </w:r>
    </w:p>
    <w:p w14:paraId="444EE43A"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B3.1.3. Zielona transformacja miast i obszarów funkcjonalnych</w:t>
      </w:r>
    </w:p>
    <w:p w14:paraId="219660A3"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C2.1.1. E-usługi publiczne, rozwiązania IT usprawniające funkcjonowanie administracji i sektorów gospodarki oraz technologie przełomowe w sektorze publicznym, gospodarce, społeczeństwie</w:t>
      </w:r>
    </w:p>
    <w:p w14:paraId="2105FF58"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D1.1.1. Rozwój i modernizacja infrastruktury podmiotów leczniczych</w:t>
      </w:r>
    </w:p>
    <w:p w14:paraId="7E219A4C"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C2.1.2. Cyfrowa infrastruktura szkół</w:t>
      </w:r>
    </w:p>
    <w:p w14:paraId="6A2952D0" w14:textId="3A458866"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D1.1.3. Zwiększenie wykorzyst</w:t>
      </w:r>
      <w:r w:rsidR="002B2525" w:rsidRPr="008F589B">
        <w:rPr>
          <w:rFonts w:ascii="Verdana" w:eastAsia="Times New Roman" w:hAnsi="Verdana"/>
          <w:color w:val="000000"/>
          <w:sz w:val="24"/>
          <w:szCs w:val="24"/>
        </w:rPr>
        <w:t>ania nowoczesnych technologii i </w:t>
      </w:r>
      <w:r w:rsidRPr="008F589B">
        <w:rPr>
          <w:rFonts w:ascii="Verdana" w:eastAsia="Times New Roman" w:hAnsi="Verdana"/>
          <w:color w:val="000000"/>
          <w:sz w:val="24"/>
          <w:szCs w:val="24"/>
        </w:rPr>
        <w:t>dalszy rozwój e-zdrowia</w:t>
      </w:r>
    </w:p>
    <w:p w14:paraId="4E5AE37B"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E1.1.2. Zeroemisyjny transport zbiorowy</w:t>
      </w:r>
    </w:p>
    <w:p w14:paraId="0FD5D16F" w14:textId="77777777" w:rsidR="00E13817" w:rsidRPr="008F589B" w:rsidRDefault="00E13817" w:rsidP="008F589B">
      <w:pPr>
        <w:pStyle w:val="Akapitzlist"/>
        <w:numPr>
          <w:ilvl w:val="0"/>
          <w:numId w:val="23"/>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lastRenderedPageBreak/>
        <w:t>E2.1.2. Pasażerski tabor kolejowy</w:t>
      </w:r>
    </w:p>
    <w:p w14:paraId="18D04A72" w14:textId="7CC9B142" w:rsidR="00E13817" w:rsidRPr="008F589B" w:rsidRDefault="00E13817" w:rsidP="008F589B">
      <w:pPr>
        <w:pStyle w:val="Akapitzlist"/>
        <w:numPr>
          <w:ilvl w:val="0"/>
          <w:numId w:val="24"/>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Uwzględnienie wymogów dyrekt</w:t>
      </w:r>
      <w:r w:rsidR="002B2525" w:rsidRPr="008F589B">
        <w:rPr>
          <w:rFonts w:ascii="Verdana" w:eastAsia="Times New Roman" w:hAnsi="Verdana"/>
          <w:color w:val="000000"/>
          <w:sz w:val="24"/>
          <w:szCs w:val="24"/>
        </w:rPr>
        <w:t xml:space="preserve">ywy </w:t>
      </w:r>
      <w:proofErr w:type="spellStart"/>
      <w:r w:rsidR="002B2525" w:rsidRPr="008F589B">
        <w:rPr>
          <w:rFonts w:ascii="Verdana" w:eastAsia="Times New Roman" w:hAnsi="Verdana"/>
          <w:color w:val="000000"/>
          <w:sz w:val="24"/>
          <w:szCs w:val="24"/>
        </w:rPr>
        <w:t>dostępnościowej</w:t>
      </w:r>
      <w:proofErr w:type="spellEnd"/>
      <w:r w:rsidR="002B2525" w:rsidRPr="008F589B">
        <w:rPr>
          <w:rFonts w:ascii="Verdana" w:eastAsia="Times New Roman" w:hAnsi="Verdana"/>
          <w:color w:val="000000"/>
          <w:sz w:val="24"/>
          <w:szCs w:val="24"/>
        </w:rPr>
        <w:t xml:space="preserve"> w opisach 7 </w:t>
      </w:r>
      <w:r w:rsidRPr="008F589B">
        <w:rPr>
          <w:rFonts w:ascii="Verdana" w:eastAsia="Times New Roman" w:hAnsi="Verdana"/>
          <w:color w:val="000000"/>
          <w:sz w:val="24"/>
          <w:szCs w:val="24"/>
        </w:rPr>
        <w:t>inwestycji realizowanych przez podmioty prywatne jak: Program wsparcia rozwoju nowych technologii na potrzeby gospodarki</w:t>
      </w:r>
    </w:p>
    <w:p w14:paraId="09C4B6F5" w14:textId="77777777" w:rsidR="00E13817"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A1.1.1. Wsparcie inwestycji w przedsiębiorstwach</w:t>
      </w:r>
    </w:p>
    <w:p w14:paraId="5AAB89AD" w14:textId="77777777" w:rsidR="00E13817"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A2.1.1. Duże projekty innowacyjne</w:t>
      </w:r>
    </w:p>
    <w:p w14:paraId="01CDA64A" w14:textId="77777777" w:rsidR="00E13817"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A2.2.1. Program wsparcia rozwoju nowych technologii na potrzeby gospodarki</w:t>
      </w:r>
    </w:p>
    <w:p w14:paraId="497122B3" w14:textId="77777777" w:rsidR="00E13817"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E1.1.1. Wsparcie przemysłu dla gospodarki niskoemisyjnej</w:t>
      </w:r>
    </w:p>
    <w:p w14:paraId="144D0141" w14:textId="77777777" w:rsidR="00E13817"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E1.1.2. Zeroemisyjny transport zbiorowy</w:t>
      </w:r>
    </w:p>
    <w:p w14:paraId="6935C505" w14:textId="77777777" w:rsidR="00E13817"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E2.1.2. Pasażerski tabor kolejowy</w:t>
      </w:r>
    </w:p>
    <w:p w14:paraId="106C91FD" w14:textId="034AEDE5" w:rsidR="00084D42" w:rsidRPr="008F589B" w:rsidRDefault="00E13817" w:rsidP="008F589B">
      <w:pPr>
        <w:pStyle w:val="Akapitzlist"/>
        <w:numPr>
          <w:ilvl w:val="0"/>
          <w:numId w:val="25"/>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E2.2.2. Cyfryzacja transportu</w:t>
      </w:r>
    </w:p>
    <w:p w14:paraId="1C143609" w14:textId="77777777" w:rsidR="002B2525" w:rsidRPr="008F589B" w:rsidRDefault="002B2525" w:rsidP="008F589B">
      <w:pPr>
        <w:spacing w:line="360" w:lineRule="auto"/>
        <w:rPr>
          <w:rFonts w:ascii="Verdana" w:eastAsia="Times New Roman" w:hAnsi="Verdana"/>
          <w:b/>
          <w:bCs/>
          <w:color w:val="000000"/>
          <w:szCs w:val="24"/>
        </w:rPr>
      </w:pPr>
      <w:r w:rsidRPr="008F589B">
        <w:rPr>
          <w:rFonts w:ascii="Verdana" w:eastAsia="Times New Roman" w:hAnsi="Verdana"/>
          <w:b/>
          <w:bCs/>
          <w:color w:val="000000"/>
          <w:szCs w:val="24"/>
        </w:rPr>
        <w:br w:type="page"/>
      </w:r>
    </w:p>
    <w:p w14:paraId="7F8704D3" w14:textId="2F38F39B"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lastRenderedPageBreak/>
        <w:t>C/ PROPO</w:t>
      </w:r>
      <w:r w:rsidR="008F589B">
        <w:rPr>
          <w:rFonts w:ascii="Verdana" w:eastAsia="Times New Roman" w:hAnsi="Verdana"/>
          <w:b/>
          <w:bCs/>
          <w:color w:val="000000"/>
          <w:szCs w:val="24"/>
        </w:rPr>
        <w:t>ZYCJA DODATOWYCH ZAPISÓW DO KPO</w:t>
      </w:r>
    </w:p>
    <w:p w14:paraId="79D1049D" w14:textId="77777777" w:rsidR="00E13817" w:rsidRPr="008F589B" w:rsidRDefault="00E13817" w:rsidP="008F589B">
      <w:pPr>
        <w:spacing w:line="360" w:lineRule="auto"/>
        <w:jc w:val="both"/>
        <w:rPr>
          <w:rFonts w:ascii="Verdana" w:eastAsia="Times New Roman" w:hAnsi="Verdana"/>
          <w:szCs w:val="24"/>
        </w:rPr>
      </w:pPr>
    </w:p>
    <w:p w14:paraId="62AB05E0" w14:textId="262A7387" w:rsidR="00E13817" w:rsidRPr="008F589B" w:rsidRDefault="00E13817" w:rsidP="008F589B">
      <w:pPr>
        <w:spacing w:line="360" w:lineRule="auto"/>
        <w:jc w:val="both"/>
        <w:rPr>
          <w:rFonts w:ascii="Verdana" w:eastAsia="Times New Roman" w:hAnsi="Verdana"/>
          <w:b/>
          <w:bCs/>
          <w:szCs w:val="24"/>
        </w:rPr>
      </w:pPr>
      <w:r w:rsidRPr="008F589B">
        <w:rPr>
          <w:rFonts w:ascii="Verdana" w:eastAsia="Times New Roman" w:hAnsi="Verdana"/>
          <w:b/>
          <w:bCs/>
          <w:szCs w:val="24"/>
        </w:rPr>
        <w:t>I.</w:t>
      </w:r>
      <w:r w:rsidRPr="008F589B">
        <w:rPr>
          <w:rFonts w:ascii="Verdana" w:eastAsia="Times New Roman" w:hAnsi="Verdana"/>
          <w:b/>
          <w:bCs/>
          <w:szCs w:val="24"/>
        </w:rPr>
        <w:tab/>
        <w:t>ROZBUDOWANIE KOMPONENTU A O ELEMENTY SPOŁECZNO-OBYWATELS</w:t>
      </w:r>
      <w:r w:rsidR="008F589B">
        <w:rPr>
          <w:rFonts w:ascii="Verdana" w:eastAsia="Times New Roman" w:hAnsi="Verdana"/>
          <w:b/>
          <w:bCs/>
          <w:szCs w:val="24"/>
        </w:rPr>
        <w:t xml:space="preserve">KIE LUB STWORZENIE DODATKOWEGO </w:t>
      </w:r>
      <w:r w:rsidRPr="008F589B">
        <w:rPr>
          <w:rFonts w:ascii="Verdana" w:eastAsia="Times New Roman" w:hAnsi="Verdana"/>
          <w:b/>
          <w:bCs/>
          <w:szCs w:val="24"/>
        </w:rPr>
        <w:t>KOMPONENTU: “ROZWÓJ ORAZ ODPORNOŚĆ SPOŁECZNA I OBYWATELSKA”.</w:t>
      </w:r>
    </w:p>
    <w:p w14:paraId="560D528B" w14:textId="77777777" w:rsidR="00E13817" w:rsidRPr="008F589B" w:rsidRDefault="00E13817" w:rsidP="008F589B">
      <w:pPr>
        <w:spacing w:line="360" w:lineRule="auto"/>
        <w:jc w:val="both"/>
        <w:rPr>
          <w:rFonts w:ascii="Verdana" w:eastAsia="Times New Roman" w:hAnsi="Verdana"/>
          <w:szCs w:val="24"/>
        </w:rPr>
      </w:pPr>
    </w:p>
    <w:p w14:paraId="5824751D" w14:textId="33080CCA" w:rsidR="00E13817" w:rsidRPr="008F589B" w:rsidRDefault="00E13817" w:rsidP="008F589B">
      <w:pPr>
        <w:spacing w:line="360" w:lineRule="auto"/>
        <w:jc w:val="both"/>
        <w:rPr>
          <w:rFonts w:ascii="Verdana" w:eastAsia="Times New Roman" w:hAnsi="Verdana"/>
          <w:szCs w:val="24"/>
        </w:rPr>
      </w:pPr>
      <w:r w:rsidRPr="008F589B">
        <w:rPr>
          <w:rFonts w:ascii="Verdana" w:eastAsia="Times New Roman" w:hAnsi="Verdana"/>
          <w:color w:val="000000"/>
          <w:szCs w:val="24"/>
        </w:rPr>
        <w:t>Postulujemy wprowadzeni</w:t>
      </w:r>
      <w:r w:rsidR="008F589B">
        <w:rPr>
          <w:rFonts w:ascii="Verdana" w:eastAsia="Times New Roman" w:hAnsi="Verdana"/>
          <w:color w:val="000000"/>
          <w:szCs w:val="24"/>
        </w:rPr>
        <w:t>e osobnej reformy i inwestycji:</w:t>
      </w:r>
    </w:p>
    <w:p w14:paraId="09ADB27B"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b/>
          <w:bCs/>
          <w:color w:val="000000"/>
          <w:szCs w:val="24"/>
        </w:rPr>
        <w:t>REFORMA:</w:t>
      </w:r>
      <w:r w:rsidRPr="008F589B">
        <w:rPr>
          <w:rFonts w:ascii="Verdana" w:eastAsia="Times New Roman" w:hAnsi="Verdana"/>
          <w:color w:val="000000"/>
          <w:szCs w:val="24"/>
        </w:rPr>
        <w:t xml:space="preserve"> SPOŁECZEŃSTWO ODPORNE NA KRYZYS I SPÓJNE SPOŁECZNIE </w:t>
      </w:r>
    </w:p>
    <w:p w14:paraId="67A4BD19" w14:textId="6A876796" w:rsidR="00E13817"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b/>
          <w:bCs/>
          <w:color w:val="000000"/>
          <w:szCs w:val="24"/>
        </w:rPr>
        <w:t>INWESTYCJA:</w:t>
      </w:r>
      <w:r w:rsidRPr="008F589B">
        <w:rPr>
          <w:rFonts w:ascii="Verdana" w:eastAsia="Times New Roman" w:hAnsi="Verdana"/>
          <w:color w:val="000000"/>
          <w:szCs w:val="24"/>
        </w:rPr>
        <w:t xml:space="preserve"> CENTRA AKTYWNOŚCI SPOŁECZNO-OBYWATELSKIEJ WZMACNIAJĄCE</w:t>
      </w:r>
      <w:r w:rsidR="008F589B">
        <w:rPr>
          <w:rFonts w:ascii="Verdana" w:eastAsia="Times New Roman" w:hAnsi="Verdana"/>
          <w:color w:val="000000"/>
          <w:szCs w:val="24"/>
        </w:rPr>
        <w:t xml:space="preserve"> ODPORNOŚĆ I SPÓJNOŚĆ SPOŁECZNĄ</w:t>
      </w:r>
    </w:p>
    <w:p w14:paraId="149F5367" w14:textId="77777777" w:rsidR="008F589B" w:rsidRPr="008F589B" w:rsidRDefault="008F589B" w:rsidP="008F589B">
      <w:pPr>
        <w:spacing w:line="360" w:lineRule="auto"/>
        <w:jc w:val="both"/>
        <w:rPr>
          <w:rFonts w:ascii="Verdana" w:eastAsia="Times New Roman" w:hAnsi="Verdana"/>
          <w:color w:val="000000"/>
          <w:szCs w:val="24"/>
        </w:rPr>
      </w:pPr>
    </w:p>
    <w:p w14:paraId="35F74C90"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Wolontariusze i organizacje pozarządowe jako pierwsi zaczęli docierać do potrzebujących i do dziś pełnią funkcję uzupełniającą względem wsparcia kierowanego przez państwo (pomoc żywnościowa, społeczne szycie maseczek, pomoc sąsiedzka/seniorom/kom, pomoc dla szpitali i inne) </w:t>
      </w:r>
    </w:p>
    <w:p w14:paraId="6B40FA0A"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Centra aktywności społeczno-obywatelskiej prowadzone przez organizacje pozarządowe, to:</w:t>
      </w:r>
    </w:p>
    <w:p w14:paraId="3D68A950" w14:textId="77777777" w:rsidR="002B2525" w:rsidRPr="008F589B" w:rsidRDefault="00E13817" w:rsidP="008F589B">
      <w:pPr>
        <w:pStyle w:val="Akapitzlist"/>
        <w:numPr>
          <w:ilvl w:val="0"/>
          <w:numId w:val="26"/>
        </w:numPr>
        <w:spacing w:after="0" w:line="360" w:lineRule="auto"/>
        <w:jc w:val="both"/>
        <w:rPr>
          <w:rFonts w:ascii="Verdana" w:hAnsi="Verdana"/>
          <w:sz w:val="24"/>
          <w:szCs w:val="24"/>
        </w:rPr>
      </w:pPr>
      <w:r w:rsidRPr="008F589B">
        <w:rPr>
          <w:rFonts w:ascii="Verdana" w:eastAsia="Times New Roman" w:hAnsi="Verdana"/>
          <w:color w:val="000000"/>
          <w:sz w:val="24"/>
          <w:szCs w:val="24"/>
        </w:rPr>
        <w:t>gwarancja spójności i odporności społecznej; </w:t>
      </w:r>
    </w:p>
    <w:p w14:paraId="07EF7E38" w14:textId="77777777" w:rsidR="002B2525" w:rsidRPr="008F589B" w:rsidRDefault="00E13817" w:rsidP="008F589B">
      <w:pPr>
        <w:pStyle w:val="Akapitzlist"/>
        <w:numPr>
          <w:ilvl w:val="0"/>
          <w:numId w:val="26"/>
        </w:numPr>
        <w:spacing w:after="0" w:line="360" w:lineRule="auto"/>
        <w:jc w:val="both"/>
        <w:rPr>
          <w:rFonts w:ascii="Verdana" w:hAnsi="Verdana"/>
          <w:sz w:val="24"/>
          <w:szCs w:val="24"/>
        </w:rPr>
      </w:pPr>
      <w:r w:rsidRPr="008F589B">
        <w:rPr>
          <w:rFonts w:ascii="Verdana" w:eastAsia="Times New Roman" w:hAnsi="Verdana"/>
          <w:color w:val="000000"/>
          <w:sz w:val="24"/>
          <w:szCs w:val="24"/>
        </w:rPr>
        <w:t>niezależne ośrodki diagnozy społecznej, mediacji, negocjacji, rzecznictwa, dialogu obywatelskiego; </w:t>
      </w:r>
    </w:p>
    <w:p w14:paraId="09B1CB59" w14:textId="77777777" w:rsidR="002B2525" w:rsidRPr="008F589B" w:rsidRDefault="00E13817" w:rsidP="008F589B">
      <w:pPr>
        <w:pStyle w:val="Akapitzlist"/>
        <w:numPr>
          <w:ilvl w:val="0"/>
          <w:numId w:val="26"/>
        </w:numPr>
        <w:spacing w:after="0" w:line="360" w:lineRule="auto"/>
        <w:jc w:val="both"/>
        <w:rPr>
          <w:rFonts w:ascii="Verdana" w:hAnsi="Verdana"/>
          <w:sz w:val="24"/>
          <w:szCs w:val="24"/>
        </w:rPr>
      </w:pPr>
      <w:r w:rsidRPr="008F589B">
        <w:rPr>
          <w:rFonts w:ascii="Verdana" w:eastAsia="Times New Roman" w:hAnsi="Verdana"/>
          <w:color w:val="000000"/>
          <w:sz w:val="24"/>
          <w:szCs w:val="24"/>
        </w:rPr>
        <w:t>miejsca mobilizacji potencjału ludzkiego i wolontariatu wokół lokalnych, ponadlokalnych, regionalnych, krajowych i globalnych wyzwań;</w:t>
      </w:r>
    </w:p>
    <w:p w14:paraId="3914D318" w14:textId="181E2A36" w:rsidR="00E13817" w:rsidRPr="008F589B" w:rsidRDefault="00E13817" w:rsidP="008F589B">
      <w:pPr>
        <w:pStyle w:val="Akapitzlist"/>
        <w:numPr>
          <w:ilvl w:val="0"/>
          <w:numId w:val="26"/>
        </w:numPr>
        <w:spacing w:after="0" w:line="360" w:lineRule="auto"/>
        <w:jc w:val="both"/>
        <w:rPr>
          <w:rFonts w:ascii="Verdana" w:hAnsi="Verdana"/>
          <w:sz w:val="24"/>
          <w:szCs w:val="24"/>
        </w:rPr>
      </w:pPr>
      <w:r w:rsidRPr="008F589B">
        <w:rPr>
          <w:rFonts w:ascii="Verdana" w:eastAsia="Times New Roman" w:hAnsi="Verdana"/>
          <w:color w:val="000000"/>
          <w:sz w:val="24"/>
          <w:szCs w:val="24"/>
        </w:rPr>
        <w:t>ośrodki reagowania i interwencji oraz eduk</w:t>
      </w:r>
      <w:r w:rsidR="008F589B">
        <w:rPr>
          <w:rFonts w:ascii="Verdana" w:eastAsia="Times New Roman" w:hAnsi="Verdana"/>
          <w:color w:val="000000"/>
          <w:sz w:val="24"/>
          <w:szCs w:val="24"/>
        </w:rPr>
        <w:t>acji społeczności do aktywności;</w:t>
      </w:r>
    </w:p>
    <w:p w14:paraId="6EF31E6D" w14:textId="21C246E1" w:rsidR="00E13817" w:rsidRPr="008F589B" w:rsidRDefault="00E13817" w:rsidP="008F589B">
      <w:pPr>
        <w:pStyle w:val="Akapitzlist"/>
        <w:numPr>
          <w:ilvl w:val="0"/>
          <w:numId w:val="26"/>
        </w:numPr>
        <w:spacing w:after="0" w:line="360" w:lineRule="auto"/>
        <w:jc w:val="both"/>
        <w:rPr>
          <w:rFonts w:ascii="Verdana" w:hAnsi="Verdana"/>
          <w:sz w:val="24"/>
          <w:szCs w:val="24"/>
        </w:rPr>
      </w:pPr>
      <w:r w:rsidRPr="008F589B">
        <w:rPr>
          <w:rFonts w:ascii="Verdana" w:eastAsia="Times New Roman" w:hAnsi="Verdana"/>
          <w:color w:val="000000"/>
          <w:sz w:val="24"/>
          <w:szCs w:val="24"/>
        </w:rPr>
        <w:t>źródło informacji i kontaktów dla obywateli/lek;</w:t>
      </w:r>
    </w:p>
    <w:p w14:paraId="7FE32C36" w14:textId="36A16CB2" w:rsidR="00E13817" w:rsidRPr="008F589B" w:rsidRDefault="00E13817" w:rsidP="008F589B">
      <w:pPr>
        <w:pStyle w:val="Akapitzlist"/>
        <w:numPr>
          <w:ilvl w:val="0"/>
          <w:numId w:val="26"/>
        </w:numPr>
        <w:spacing w:after="0" w:line="360" w:lineRule="auto"/>
        <w:jc w:val="both"/>
        <w:rPr>
          <w:rFonts w:ascii="Verdana" w:hAnsi="Verdana"/>
          <w:sz w:val="24"/>
          <w:szCs w:val="24"/>
        </w:rPr>
      </w:pPr>
      <w:r w:rsidRPr="008F589B">
        <w:rPr>
          <w:rFonts w:ascii="Verdana" w:eastAsia="Times New Roman" w:hAnsi="Verdana"/>
          <w:color w:val="000000"/>
          <w:sz w:val="24"/>
          <w:szCs w:val="24"/>
        </w:rPr>
        <w:t>źródło więzi społecznych.</w:t>
      </w:r>
    </w:p>
    <w:p w14:paraId="4924141E"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Realizacja zasady partnerstwa:</w:t>
      </w:r>
    </w:p>
    <w:p w14:paraId="0824B086" w14:textId="6D135345" w:rsidR="00E13817" w:rsidRPr="008F589B" w:rsidRDefault="00E13817" w:rsidP="008F589B">
      <w:pPr>
        <w:pStyle w:val="Akapitzlist"/>
        <w:numPr>
          <w:ilvl w:val="0"/>
          <w:numId w:val="28"/>
        </w:numPr>
        <w:spacing w:after="0" w:line="360" w:lineRule="auto"/>
        <w:jc w:val="both"/>
        <w:rPr>
          <w:rFonts w:ascii="Verdana" w:hAnsi="Verdana"/>
          <w:sz w:val="24"/>
          <w:szCs w:val="24"/>
        </w:rPr>
      </w:pPr>
      <w:r w:rsidRPr="008F589B">
        <w:rPr>
          <w:rFonts w:ascii="Verdana" w:eastAsia="Times New Roman" w:hAnsi="Verdana"/>
          <w:color w:val="000000"/>
          <w:sz w:val="24"/>
          <w:szCs w:val="24"/>
        </w:rPr>
        <w:t>udział partnerów reprezentujących społeczeństwo obywatelskie na każdym etapie (programowanie, realizacja, ewalu</w:t>
      </w:r>
      <w:r w:rsidR="008F589B">
        <w:rPr>
          <w:rFonts w:ascii="Verdana" w:eastAsia="Times New Roman" w:hAnsi="Verdana"/>
          <w:color w:val="000000"/>
          <w:sz w:val="24"/>
          <w:szCs w:val="24"/>
        </w:rPr>
        <w:t>acja);</w:t>
      </w:r>
    </w:p>
    <w:p w14:paraId="0294AE32" w14:textId="14506A1F" w:rsidR="00E13817" w:rsidRPr="008F589B" w:rsidRDefault="00E13817" w:rsidP="008F589B">
      <w:pPr>
        <w:pStyle w:val="Akapitzlist"/>
        <w:numPr>
          <w:ilvl w:val="0"/>
          <w:numId w:val="28"/>
        </w:numPr>
        <w:spacing w:after="0" w:line="360" w:lineRule="auto"/>
        <w:jc w:val="both"/>
        <w:rPr>
          <w:rFonts w:ascii="Verdana" w:hAnsi="Verdana"/>
          <w:sz w:val="24"/>
          <w:szCs w:val="24"/>
        </w:rPr>
      </w:pPr>
      <w:r w:rsidRPr="008F589B">
        <w:rPr>
          <w:rFonts w:ascii="Verdana" w:eastAsia="Times New Roman" w:hAnsi="Verdana"/>
          <w:color w:val="000000"/>
          <w:sz w:val="24"/>
          <w:szCs w:val="24"/>
        </w:rPr>
        <w:t>właśc</w:t>
      </w:r>
      <w:r w:rsidR="008F589B">
        <w:rPr>
          <w:rFonts w:ascii="Verdana" w:eastAsia="Times New Roman" w:hAnsi="Verdana"/>
          <w:color w:val="000000"/>
          <w:sz w:val="24"/>
          <w:szCs w:val="24"/>
        </w:rPr>
        <w:t>iwa reprezentatywność partnerów;</w:t>
      </w:r>
    </w:p>
    <w:p w14:paraId="1CEB5968" w14:textId="2AB5C6C1" w:rsidR="00E13817" w:rsidRPr="008F589B" w:rsidRDefault="00E13817" w:rsidP="008F589B">
      <w:pPr>
        <w:pStyle w:val="Akapitzlist"/>
        <w:numPr>
          <w:ilvl w:val="0"/>
          <w:numId w:val="28"/>
        </w:numPr>
        <w:spacing w:after="0" w:line="360" w:lineRule="auto"/>
        <w:jc w:val="both"/>
        <w:rPr>
          <w:rFonts w:ascii="Verdana" w:hAnsi="Verdana"/>
          <w:sz w:val="24"/>
          <w:szCs w:val="24"/>
        </w:rPr>
      </w:pPr>
      <w:r w:rsidRPr="008F589B">
        <w:rPr>
          <w:rFonts w:ascii="Verdana" w:eastAsia="Times New Roman" w:hAnsi="Verdana"/>
          <w:color w:val="000000"/>
          <w:sz w:val="24"/>
          <w:szCs w:val="24"/>
        </w:rPr>
        <w:t>transparentne zasady udziału naszych przedstawicieli do KM</w:t>
      </w:r>
    </w:p>
    <w:p w14:paraId="111A26F2" w14:textId="77777777" w:rsidR="002B2525" w:rsidRPr="008F589B" w:rsidRDefault="002B2525" w:rsidP="008F589B">
      <w:pPr>
        <w:spacing w:line="360" w:lineRule="auto"/>
        <w:rPr>
          <w:rFonts w:ascii="Verdana" w:eastAsia="Times New Roman" w:hAnsi="Verdana"/>
          <w:szCs w:val="24"/>
        </w:rPr>
      </w:pPr>
      <w:r w:rsidRPr="008F589B">
        <w:rPr>
          <w:rFonts w:ascii="Verdana" w:eastAsia="Times New Roman" w:hAnsi="Verdana"/>
          <w:szCs w:val="24"/>
        </w:rPr>
        <w:br w:type="page"/>
      </w:r>
    </w:p>
    <w:p w14:paraId="0546806C" w14:textId="390BB48C" w:rsidR="00E13817" w:rsidRPr="008F589B" w:rsidRDefault="00E13817" w:rsidP="008F589B">
      <w:pPr>
        <w:spacing w:line="360" w:lineRule="auto"/>
        <w:jc w:val="both"/>
        <w:rPr>
          <w:rFonts w:ascii="Verdana" w:hAnsi="Verdana"/>
          <w:szCs w:val="24"/>
        </w:rPr>
      </w:pPr>
      <w:r w:rsidRPr="008F589B">
        <w:rPr>
          <w:rFonts w:ascii="Verdana" w:eastAsia="Times New Roman" w:hAnsi="Verdana"/>
          <w:b/>
          <w:bCs/>
          <w:color w:val="000000"/>
          <w:szCs w:val="24"/>
        </w:rPr>
        <w:lastRenderedPageBreak/>
        <w:t>D/ POSTULATY ZMIAN W ISTNIEJĄCYCH KOMPONENTACH:</w:t>
      </w:r>
    </w:p>
    <w:p w14:paraId="7CB95392"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 </w:t>
      </w:r>
    </w:p>
    <w:p w14:paraId="6CC80BE9"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b/>
          <w:bCs/>
          <w:color w:val="000000"/>
          <w:szCs w:val="24"/>
        </w:rPr>
        <w:t>KOMPONENT A „ODPORNOŚĆ I KONKURENCYJNOŚĆ GOSPODARKI”</w:t>
      </w:r>
    </w:p>
    <w:p w14:paraId="517DDDDC" w14:textId="77777777" w:rsidR="00E13817" w:rsidRPr="008F589B" w:rsidRDefault="00E13817" w:rsidP="008F589B">
      <w:pPr>
        <w:spacing w:line="360" w:lineRule="auto"/>
        <w:jc w:val="both"/>
        <w:rPr>
          <w:rFonts w:ascii="Verdana" w:eastAsia="Times New Roman" w:hAnsi="Verdana"/>
          <w:b/>
          <w:bCs/>
          <w:color w:val="000000"/>
          <w:szCs w:val="24"/>
        </w:rPr>
      </w:pPr>
    </w:p>
    <w:p w14:paraId="64B51045" w14:textId="77777777"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1. POSZERZENIE ZAKRESU ODDZIAŁYWANIA INWESTYCJI A.4.1.1. INWESTYCJE WSPIERAJĄCE REFORMĘ INSTYTUCJI RYNKU PRACY ORAZ ROZWÓJ EKONOMII SPOŁECZNEJ W ZAKRESIE SKALI ODDZIAŁYWANIA EKONOMII SPOŁECZNEJ I ZMIANY DEFINICJI PRZEDSIĘBIORSTWA SPOŁECZNEGO</w:t>
      </w:r>
    </w:p>
    <w:p w14:paraId="113E0E9F" w14:textId="77777777" w:rsidR="00E13817" w:rsidRPr="008F589B" w:rsidRDefault="00E13817" w:rsidP="008F589B">
      <w:pPr>
        <w:spacing w:line="360" w:lineRule="auto"/>
        <w:jc w:val="both"/>
        <w:rPr>
          <w:rFonts w:ascii="Verdana" w:eastAsia="Times New Roman" w:hAnsi="Verdana"/>
          <w:color w:val="000000"/>
          <w:szCs w:val="24"/>
        </w:rPr>
      </w:pPr>
    </w:p>
    <w:p w14:paraId="14C39E4A" w14:textId="15F8462F"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Polska definicja przedsiębiorstwa społecznego jest jedną z najbardziej skomplikowanych w Europie i nie daje równych szans w dostępie do funduszy i rozwoju organizacjom pozarządowym. Działalność odpłatną prowadzi 36% organizacji (ok. 51 tys. zgodnie z danymi KLON/Jawor), gdy na liście przedsiębiorstw społecznych znajduje się tylko 1,5 tys. podmiotów. Inwestycja A.4.1.1 nie przewiduje faktycznej inwestycji w cały sektor ekonomii społecznej, a tylko i wyłącznie</w:t>
      </w:r>
      <w:r w:rsidR="002B2525" w:rsidRPr="008F589B">
        <w:rPr>
          <w:rFonts w:ascii="Verdana" w:eastAsia="Times New Roman" w:hAnsi="Verdana"/>
          <w:color w:val="000000"/>
          <w:szCs w:val="24"/>
        </w:rPr>
        <w:t xml:space="preserve"> w przedsiębiorstwa społeczne i </w:t>
      </w:r>
      <w:r w:rsidRPr="008F589B">
        <w:rPr>
          <w:rFonts w:ascii="Verdana" w:eastAsia="Times New Roman" w:hAnsi="Verdana"/>
          <w:color w:val="000000"/>
          <w:szCs w:val="24"/>
        </w:rPr>
        <w:t>spółdzielnie socjalne, co nie tworzy równych szans rozwoju wszystkim podmiotom ekonomii społecznej a wręcz wyklucza znaczną jego część ze wsparcia. Przeregulowanie definicji nie sprzyja utrzymaniu się przedsiębiorstw społecznych na rynku i może pogłębić wykluczenie pracowników a nie ich reintegrację, tymczasem to ekonomia społeczna może być alternatywą zatrudnienia dla osób tracących pracę w wyniku kryzysu. </w:t>
      </w:r>
    </w:p>
    <w:p w14:paraId="2F9C3D06" w14:textId="77777777" w:rsidR="00E13817" w:rsidRPr="008F589B" w:rsidRDefault="00E13817" w:rsidP="008F589B">
      <w:pPr>
        <w:spacing w:line="360" w:lineRule="auto"/>
        <w:jc w:val="both"/>
        <w:rPr>
          <w:rFonts w:ascii="Verdana" w:hAnsi="Verdana"/>
          <w:szCs w:val="24"/>
        </w:rPr>
      </w:pPr>
    </w:p>
    <w:p w14:paraId="17DDD53E" w14:textId="77777777"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2. DODANIE REFORMY A5 WZMOCNIENIE KOBIET W PEŁNIENIU RÓL ZAWODOWYCH I SPOŁECZNYCH I INWESTYCJI: A5.1 ROZWÓJ SIATKI USŁUG SPOŁECZNYCH POZWALAJĄCYCH NA POWRÓT NA RYNEK PRACY I UTRZYMANIE SIĘ NA NIM</w:t>
      </w:r>
    </w:p>
    <w:p w14:paraId="344A58A2" w14:textId="77777777" w:rsidR="00E13817" w:rsidRPr="008F589B" w:rsidRDefault="00E13817" w:rsidP="008F589B">
      <w:pPr>
        <w:spacing w:line="360" w:lineRule="auto"/>
        <w:jc w:val="both"/>
        <w:rPr>
          <w:rFonts w:ascii="Verdana" w:hAnsi="Verdana"/>
          <w:szCs w:val="24"/>
        </w:rPr>
      </w:pPr>
    </w:p>
    <w:p w14:paraId="2336FFAB" w14:textId="3C0CF11E"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W czasach pandemii to kobiety najsi</w:t>
      </w:r>
      <w:r w:rsidR="002B2525" w:rsidRPr="008F589B">
        <w:rPr>
          <w:rFonts w:ascii="Verdana" w:eastAsia="Times New Roman" w:hAnsi="Verdana"/>
          <w:color w:val="000000"/>
          <w:szCs w:val="24"/>
        </w:rPr>
        <w:t>lniej odczuły kryzys związany z </w:t>
      </w:r>
      <w:r w:rsidRPr="008F589B">
        <w:rPr>
          <w:rFonts w:ascii="Verdana" w:eastAsia="Times New Roman" w:hAnsi="Verdana"/>
          <w:color w:val="000000"/>
          <w:szCs w:val="24"/>
        </w:rPr>
        <w:t xml:space="preserve">załamaniem się systemu edukacji i przejęły funkcje opiekuńcze nad dziećmi, </w:t>
      </w:r>
      <w:r w:rsidRPr="008F589B">
        <w:rPr>
          <w:rFonts w:ascii="Verdana" w:eastAsia="Times New Roman" w:hAnsi="Verdana"/>
          <w:color w:val="000000"/>
          <w:szCs w:val="24"/>
        </w:rPr>
        <w:lastRenderedPageBreak/>
        <w:t xml:space="preserve">osłabiając jednocześnie swoją pozycję na rynku pracy. To kobiety są także grupą, która opiekuje się rodzicami czy osobami zależnymi. </w:t>
      </w:r>
    </w:p>
    <w:p w14:paraId="0FFAFB2C"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Dlatego postulujemy: </w:t>
      </w:r>
    </w:p>
    <w:p w14:paraId="2A82755E" w14:textId="0121BDB6" w:rsidR="00E13817" w:rsidRPr="008F589B" w:rsidRDefault="00E13817" w:rsidP="008F589B">
      <w:pPr>
        <w:pStyle w:val="Akapitzlist"/>
        <w:numPr>
          <w:ilvl w:val="0"/>
          <w:numId w:val="29"/>
        </w:numPr>
        <w:spacing w:after="0" w:line="360" w:lineRule="auto"/>
        <w:jc w:val="both"/>
        <w:rPr>
          <w:rFonts w:ascii="Verdana" w:hAnsi="Verdana"/>
          <w:sz w:val="24"/>
          <w:szCs w:val="24"/>
        </w:rPr>
      </w:pPr>
      <w:r w:rsidRPr="008F589B">
        <w:rPr>
          <w:rFonts w:ascii="Verdana" w:eastAsia="Times New Roman" w:hAnsi="Verdana"/>
          <w:color w:val="000000"/>
          <w:sz w:val="24"/>
          <w:szCs w:val="24"/>
        </w:rPr>
        <w:t>Rozwój alternatywnych do szkoły i rodziny form opieki nad dziećmi powyżej 3 roku życia w tym rozwój świetlic środowiskowych</w:t>
      </w:r>
    </w:p>
    <w:p w14:paraId="69DD5B55" w14:textId="7AD8C7F5" w:rsidR="00E13817" w:rsidRPr="008F589B" w:rsidRDefault="00E13817" w:rsidP="008F589B">
      <w:pPr>
        <w:pStyle w:val="Akapitzlist"/>
        <w:numPr>
          <w:ilvl w:val="0"/>
          <w:numId w:val="29"/>
        </w:numPr>
        <w:spacing w:after="0" w:line="360" w:lineRule="auto"/>
        <w:jc w:val="both"/>
        <w:rPr>
          <w:rFonts w:ascii="Verdana" w:hAnsi="Verdana"/>
          <w:sz w:val="24"/>
          <w:szCs w:val="24"/>
        </w:rPr>
      </w:pPr>
      <w:r w:rsidRPr="008F589B">
        <w:rPr>
          <w:rFonts w:ascii="Verdana" w:eastAsia="Times New Roman" w:hAnsi="Verdana"/>
          <w:color w:val="000000"/>
          <w:sz w:val="24"/>
          <w:szCs w:val="24"/>
        </w:rPr>
        <w:t>Rozwój alternatywnych form szkolnictwa i e</w:t>
      </w:r>
      <w:r w:rsidR="002B2525" w:rsidRPr="008F589B">
        <w:rPr>
          <w:rFonts w:ascii="Verdana" w:eastAsia="Times New Roman" w:hAnsi="Verdana"/>
          <w:color w:val="000000"/>
          <w:sz w:val="24"/>
          <w:szCs w:val="24"/>
        </w:rPr>
        <w:t>dukacji</w:t>
      </w:r>
    </w:p>
    <w:p w14:paraId="6C05B0F4" w14:textId="1F4E488C" w:rsidR="00E13817" w:rsidRPr="008F589B" w:rsidRDefault="00E13817" w:rsidP="008F589B">
      <w:pPr>
        <w:pStyle w:val="Akapitzlist"/>
        <w:numPr>
          <w:ilvl w:val="0"/>
          <w:numId w:val="29"/>
        </w:numPr>
        <w:spacing w:after="0" w:line="360" w:lineRule="auto"/>
        <w:jc w:val="both"/>
        <w:rPr>
          <w:rFonts w:ascii="Verdana" w:hAnsi="Verdana"/>
          <w:sz w:val="24"/>
          <w:szCs w:val="24"/>
        </w:rPr>
      </w:pPr>
      <w:r w:rsidRPr="008F589B">
        <w:rPr>
          <w:rFonts w:ascii="Verdana" w:eastAsia="Times New Roman" w:hAnsi="Verdana"/>
          <w:color w:val="000000"/>
          <w:sz w:val="24"/>
          <w:szCs w:val="24"/>
        </w:rPr>
        <w:t>Rozwój środowiskowych usług opiekuńczych i towarzyszących dla osób starszych </w:t>
      </w:r>
    </w:p>
    <w:p w14:paraId="3162821E" w14:textId="39CE6F6F" w:rsidR="00E13817" w:rsidRPr="008F589B" w:rsidRDefault="00E13817" w:rsidP="008F589B">
      <w:pPr>
        <w:pStyle w:val="Akapitzlist"/>
        <w:numPr>
          <w:ilvl w:val="0"/>
          <w:numId w:val="29"/>
        </w:numPr>
        <w:spacing w:after="0" w:line="360" w:lineRule="auto"/>
        <w:jc w:val="both"/>
        <w:rPr>
          <w:rFonts w:ascii="Verdana" w:hAnsi="Verdana"/>
          <w:sz w:val="24"/>
          <w:szCs w:val="24"/>
        </w:rPr>
      </w:pPr>
      <w:r w:rsidRPr="008F589B">
        <w:rPr>
          <w:rFonts w:ascii="Verdana" w:eastAsia="Times New Roman" w:hAnsi="Verdana"/>
          <w:color w:val="000000"/>
          <w:sz w:val="24"/>
          <w:szCs w:val="24"/>
        </w:rPr>
        <w:t xml:space="preserve">Wprowadzanie kultury </w:t>
      </w:r>
      <w:proofErr w:type="spellStart"/>
      <w:r w:rsidRPr="008F589B">
        <w:rPr>
          <w:rFonts w:ascii="Verdana" w:eastAsia="Times New Roman" w:hAnsi="Verdana"/>
          <w:color w:val="000000"/>
          <w:sz w:val="24"/>
          <w:szCs w:val="24"/>
        </w:rPr>
        <w:t>gender</w:t>
      </w:r>
      <w:proofErr w:type="spellEnd"/>
      <w:r w:rsidRPr="008F589B">
        <w:rPr>
          <w:rFonts w:ascii="Verdana" w:eastAsia="Times New Roman" w:hAnsi="Verdana"/>
          <w:color w:val="000000"/>
          <w:sz w:val="24"/>
          <w:szCs w:val="24"/>
        </w:rPr>
        <w:t xml:space="preserve"> </w:t>
      </w:r>
      <w:proofErr w:type="spellStart"/>
      <w:r w:rsidRPr="008F589B">
        <w:rPr>
          <w:rFonts w:ascii="Verdana" w:eastAsia="Times New Roman" w:hAnsi="Verdana"/>
          <w:color w:val="000000"/>
          <w:sz w:val="24"/>
          <w:szCs w:val="24"/>
        </w:rPr>
        <w:t>balance</w:t>
      </w:r>
      <w:proofErr w:type="spellEnd"/>
      <w:r w:rsidRPr="008F589B">
        <w:rPr>
          <w:rFonts w:ascii="Verdana" w:eastAsia="Times New Roman" w:hAnsi="Verdana"/>
          <w:color w:val="000000"/>
          <w:sz w:val="24"/>
          <w:szCs w:val="24"/>
        </w:rPr>
        <w:t xml:space="preserve"> w administracji, przedsiębiorstwach i organizacjach społeczeństwa obywatelskiego m.in. na poziomie podejmowania decyzji i płac.</w:t>
      </w:r>
    </w:p>
    <w:p w14:paraId="2B268DF2" w14:textId="77777777" w:rsidR="00E13817" w:rsidRPr="008F589B" w:rsidRDefault="00E13817" w:rsidP="008F589B">
      <w:pPr>
        <w:spacing w:line="360" w:lineRule="auto"/>
        <w:jc w:val="both"/>
        <w:rPr>
          <w:rFonts w:ascii="Verdana" w:eastAsia="Times New Roman" w:hAnsi="Verdana"/>
          <w:szCs w:val="24"/>
        </w:rPr>
      </w:pPr>
    </w:p>
    <w:p w14:paraId="0120369D"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b/>
          <w:bCs/>
          <w:color w:val="000000"/>
          <w:szCs w:val="24"/>
        </w:rPr>
        <w:t>KOMPONENT B ZIELONA ENERGIA I ZMNIEJSZENIE ENERGOCHŁONNOŚCI</w:t>
      </w:r>
    </w:p>
    <w:p w14:paraId="0676BC3B" w14:textId="77777777" w:rsidR="002B2525" w:rsidRPr="008F589B" w:rsidRDefault="002B2525" w:rsidP="008F589B">
      <w:pPr>
        <w:spacing w:line="360" w:lineRule="auto"/>
        <w:jc w:val="both"/>
        <w:rPr>
          <w:rFonts w:ascii="Verdana" w:eastAsia="Times New Roman" w:hAnsi="Verdana"/>
          <w:b/>
          <w:bCs/>
          <w:color w:val="000000"/>
          <w:szCs w:val="24"/>
        </w:rPr>
      </w:pPr>
    </w:p>
    <w:p w14:paraId="4BDBD344" w14:textId="0358F334"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Postulujemy:</w:t>
      </w:r>
    </w:p>
    <w:p w14:paraId="4B44B451" w14:textId="77777777" w:rsidR="00E13817" w:rsidRPr="008F589B" w:rsidRDefault="00E13817" w:rsidP="008F589B">
      <w:pPr>
        <w:spacing w:line="360" w:lineRule="auto"/>
        <w:jc w:val="both"/>
        <w:rPr>
          <w:rFonts w:ascii="Verdana" w:hAnsi="Verdana"/>
          <w:szCs w:val="24"/>
        </w:rPr>
      </w:pPr>
    </w:p>
    <w:p w14:paraId="25C659D9" w14:textId="77777777" w:rsidR="00E13817" w:rsidRPr="008F589B" w:rsidRDefault="00E13817" w:rsidP="008F589B">
      <w:pPr>
        <w:numPr>
          <w:ilvl w:val="0"/>
          <w:numId w:val="9"/>
        </w:numPr>
        <w:suppressAutoHyphens/>
        <w:autoSpaceDN w:val="0"/>
        <w:spacing w:line="360" w:lineRule="auto"/>
        <w:ind w:left="0" w:firstLine="0"/>
        <w:jc w:val="both"/>
        <w:textAlignment w:val="baseline"/>
        <w:rPr>
          <w:rFonts w:ascii="Verdana" w:eastAsia="Times New Roman" w:hAnsi="Verdana"/>
          <w:color w:val="000000"/>
          <w:szCs w:val="24"/>
        </w:rPr>
      </w:pPr>
      <w:r w:rsidRPr="008F589B">
        <w:rPr>
          <w:rFonts w:ascii="Verdana" w:eastAsia="Times New Roman" w:hAnsi="Verdana"/>
          <w:color w:val="000000"/>
          <w:szCs w:val="24"/>
        </w:rPr>
        <w:t>Przeciwdziałanie Ubóstwu energetycznemu.</w:t>
      </w:r>
    </w:p>
    <w:p w14:paraId="4571AC2E" w14:textId="1DC32F0D"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Niskie dochody, wysokie koszty energii i niedostateczna efektywność energetyczna budynków to główne przyczyny ubóstwa energetycznego. W Polsce boryka się z tym problemem ok. 10 proc. gospodarstw domowych, czyli 3,35 mln osó</w:t>
      </w:r>
      <w:r w:rsidR="002B2525" w:rsidRPr="008F589B">
        <w:rPr>
          <w:rFonts w:ascii="Verdana" w:eastAsia="Times New Roman" w:hAnsi="Verdana"/>
          <w:color w:val="000000"/>
          <w:szCs w:val="24"/>
        </w:rPr>
        <w:t>b. Największe ryzyko związane z </w:t>
      </w:r>
      <w:r w:rsidRPr="008F589B">
        <w:rPr>
          <w:rFonts w:ascii="Verdana" w:eastAsia="Times New Roman" w:hAnsi="Verdana"/>
          <w:color w:val="000000"/>
          <w:szCs w:val="24"/>
        </w:rPr>
        <w:t>zapewnieniem ciepła dotyczy rodzin zamieszkujących domy jednorodzinne na wsi.</w:t>
      </w:r>
    </w:p>
    <w:p w14:paraId="34E72C17" w14:textId="77777777" w:rsidR="00E13817" w:rsidRPr="008F589B" w:rsidRDefault="00E13817" w:rsidP="008F589B">
      <w:pPr>
        <w:spacing w:line="360" w:lineRule="auto"/>
        <w:jc w:val="both"/>
        <w:rPr>
          <w:rFonts w:ascii="Verdana" w:eastAsia="Times New Roman" w:hAnsi="Verdana"/>
          <w:color w:val="000000"/>
          <w:szCs w:val="24"/>
        </w:rPr>
      </w:pPr>
    </w:p>
    <w:p w14:paraId="23933DDB" w14:textId="347CE728"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 xml:space="preserve">Znacznie zmniejszenie nakładów dla </w:t>
      </w:r>
      <w:r w:rsidR="002B2525" w:rsidRPr="008F589B">
        <w:rPr>
          <w:rFonts w:ascii="Verdana" w:eastAsia="Times New Roman" w:hAnsi="Verdana"/>
          <w:color w:val="000000"/>
          <w:sz w:val="24"/>
          <w:szCs w:val="24"/>
          <w:lang w:eastAsia="pl-PL"/>
        </w:rPr>
        <w:t>rozwiązań wodorowych z </w:t>
      </w:r>
      <w:r w:rsidRPr="008F589B">
        <w:rPr>
          <w:rFonts w:ascii="Verdana" w:eastAsia="Times New Roman" w:hAnsi="Verdana"/>
          <w:color w:val="000000"/>
          <w:sz w:val="24"/>
          <w:szCs w:val="24"/>
          <w:lang w:eastAsia="pl-PL"/>
        </w:rPr>
        <w:t>jednoczesnym skierowaniem tych środków na badania i rozwój możliwych technologii.</w:t>
      </w:r>
    </w:p>
    <w:p w14:paraId="62B8C9AE" w14:textId="4EC5994F"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uważamy rozbudowę infrastruktury przesyłowej gazu po płaszczykiem “rozwoju technologii wodorowych” jako bezsensowne z racji braku wiarygodnych perspektyw na rychłe osiągnięcie przez Polskę nadwyżek </w:t>
      </w:r>
      <w:r w:rsidRPr="008F589B">
        <w:rPr>
          <w:rFonts w:ascii="Verdana" w:eastAsia="Times New Roman" w:hAnsi="Verdana"/>
          <w:color w:val="000000"/>
          <w:szCs w:val="24"/>
        </w:rPr>
        <w:lastRenderedPageBreak/>
        <w:t>czystej energii z OZE. Rozbudowa sieci gazowych i przesyłowych oraz magazynów “pod wodór” tylko zwiększy naszą zależność od paliw kopalnych. </w:t>
      </w:r>
    </w:p>
    <w:p w14:paraId="0D975221" w14:textId="77777777" w:rsidR="004639F3" w:rsidRPr="008F589B" w:rsidRDefault="004639F3" w:rsidP="008F589B">
      <w:pPr>
        <w:spacing w:line="360" w:lineRule="auto"/>
        <w:jc w:val="both"/>
        <w:rPr>
          <w:rFonts w:ascii="Verdana" w:hAnsi="Verdana"/>
          <w:szCs w:val="24"/>
        </w:rPr>
      </w:pPr>
    </w:p>
    <w:p w14:paraId="661E1138"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Przeredagować działania B1.1.1 i B 1.1.4 w ten sposób aby uniemożliwić finansowanie elektrociepłowni gazowych</w:t>
      </w:r>
    </w:p>
    <w:p w14:paraId="2A877899"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nie należy stosować półśrodków gdy celem jest </w:t>
      </w:r>
      <w:proofErr w:type="spellStart"/>
      <w:r w:rsidRPr="008F589B">
        <w:rPr>
          <w:rFonts w:ascii="Verdana" w:eastAsia="Times New Roman" w:hAnsi="Verdana"/>
          <w:color w:val="000000"/>
          <w:szCs w:val="24"/>
        </w:rPr>
        <w:t>zeroemisyjność</w:t>
      </w:r>
      <w:proofErr w:type="spellEnd"/>
      <w:r w:rsidRPr="008F589B">
        <w:rPr>
          <w:rFonts w:ascii="Verdana" w:eastAsia="Times New Roman" w:hAnsi="Verdana"/>
          <w:color w:val="000000"/>
          <w:szCs w:val="24"/>
        </w:rPr>
        <w:t>. </w:t>
      </w:r>
    </w:p>
    <w:p w14:paraId="2A2A4499" w14:textId="77777777" w:rsidR="00E13817" w:rsidRPr="008F589B" w:rsidRDefault="00E13817" w:rsidP="008F589B">
      <w:pPr>
        <w:spacing w:line="360" w:lineRule="auto"/>
        <w:jc w:val="both"/>
        <w:rPr>
          <w:rFonts w:ascii="Verdana" w:hAnsi="Verdana"/>
          <w:szCs w:val="24"/>
        </w:rPr>
      </w:pPr>
    </w:p>
    <w:p w14:paraId="32967235" w14:textId="52282B94"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Katalog wspieranych działań termomoderni</w:t>
      </w:r>
      <w:r w:rsidR="002B2525" w:rsidRPr="008F589B">
        <w:rPr>
          <w:rFonts w:ascii="Verdana" w:eastAsia="Times New Roman" w:hAnsi="Verdana"/>
          <w:color w:val="000000"/>
          <w:sz w:val="24"/>
          <w:szCs w:val="24"/>
          <w:lang w:eastAsia="pl-PL"/>
        </w:rPr>
        <w:t>zacyjnych dla szkół określony w </w:t>
      </w:r>
      <w:r w:rsidRPr="008F589B">
        <w:rPr>
          <w:rFonts w:ascii="Verdana" w:eastAsia="Times New Roman" w:hAnsi="Verdana"/>
          <w:color w:val="000000"/>
          <w:sz w:val="24"/>
          <w:szCs w:val="24"/>
          <w:lang w:eastAsia="pl-PL"/>
        </w:rPr>
        <w:t>B1.1.3 powinien zostać ograniczony do rozwiązań zakładających kompleksową modernizację wraz z obligatoryjną wymianą źródeł ciepła, na źródła zielone. </w:t>
      </w:r>
    </w:p>
    <w:p w14:paraId="50A81FD0"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Całkowite wyeliminowanie nieefektywnych systemów ciepłowniczych pozwoli Polsce na realną kontrybucję do celu redukcyjnego UE na rok 2030, na poziomie co najmniej 55% redukcji w stosunku do 1990 roku. Komponent B1.1.1. planu (Inwestycje w </w:t>
      </w:r>
      <w:proofErr w:type="spellStart"/>
      <w:r w:rsidRPr="008F589B">
        <w:rPr>
          <w:rFonts w:ascii="Verdana" w:eastAsia="Times New Roman" w:hAnsi="Verdana"/>
          <w:color w:val="000000"/>
          <w:szCs w:val="24"/>
        </w:rPr>
        <w:t>źródła</w:t>
      </w:r>
      <w:proofErr w:type="spellEnd"/>
      <w:r w:rsidRPr="008F589B">
        <w:rPr>
          <w:rFonts w:ascii="Verdana" w:eastAsia="Times New Roman" w:hAnsi="Verdana"/>
          <w:color w:val="000000"/>
          <w:szCs w:val="24"/>
        </w:rPr>
        <w:t xml:space="preserve"> ciepła (chłodu) w systemach ciepłowniczych) powinien być zarysowany śmielej. Strategicznym celem dla optymalizacji gospodarki cieplno-energetycznej powinna być wymiana do 2030 r. </w:t>
      </w:r>
      <w:r w:rsidRPr="008F589B">
        <w:rPr>
          <w:rFonts w:ascii="Verdana" w:eastAsia="Times New Roman" w:hAnsi="Verdana"/>
          <w:b/>
          <w:bCs/>
          <w:color w:val="000000"/>
          <w:szCs w:val="24"/>
        </w:rPr>
        <w:t xml:space="preserve">wszystkich </w:t>
      </w:r>
      <w:r w:rsidRPr="008F589B">
        <w:rPr>
          <w:rFonts w:ascii="Verdana" w:eastAsia="Times New Roman" w:hAnsi="Verdana"/>
          <w:color w:val="000000"/>
          <w:szCs w:val="24"/>
        </w:rPr>
        <w:t xml:space="preserve">systemów ciepłowniczych, na takie, które wykorzystują dostęp do nowych technologii i nie zwiększają emisji gazów cieplarnianych. Dlatego np. katalog wspieranych działań termomodernizacyjnych dla szkół (komponent B1.1.3) już teraz powinien </w:t>
      </w:r>
      <w:proofErr w:type="spellStart"/>
      <w:r w:rsidRPr="008F589B">
        <w:rPr>
          <w:rFonts w:ascii="Verdana" w:eastAsia="Times New Roman" w:hAnsi="Verdana"/>
          <w:color w:val="000000"/>
          <w:szCs w:val="24"/>
        </w:rPr>
        <w:t>powinien</w:t>
      </w:r>
      <w:proofErr w:type="spellEnd"/>
      <w:r w:rsidRPr="008F589B">
        <w:rPr>
          <w:rFonts w:ascii="Verdana" w:eastAsia="Times New Roman" w:hAnsi="Verdana"/>
          <w:color w:val="000000"/>
          <w:szCs w:val="24"/>
        </w:rPr>
        <w:t xml:space="preserve"> zostać ograniczony do rozwiązań zakładających kompleksową modernizację wraz z obligatoryjną wymianą źródeł ciepła, na źródła zielone, rozumiane jako zgodne z definicją Europejskiej Taksonomii Zrównoważonego Rozwoju. Taki program powinien objąć również wszystkie budynki administracyjne. </w:t>
      </w:r>
    </w:p>
    <w:p w14:paraId="5CD9501E" w14:textId="77777777" w:rsidR="00E13817" w:rsidRPr="008F589B" w:rsidRDefault="00E13817" w:rsidP="008F589B">
      <w:pPr>
        <w:spacing w:line="360" w:lineRule="auto"/>
        <w:jc w:val="both"/>
        <w:rPr>
          <w:rFonts w:ascii="Verdana" w:hAnsi="Verdana"/>
          <w:szCs w:val="24"/>
        </w:rPr>
      </w:pPr>
    </w:p>
    <w:p w14:paraId="17E37BC6" w14:textId="77777777" w:rsidR="00E13817" w:rsidRPr="008F589B" w:rsidRDefault="00E13817" w:rsidP="008F589B">
      <w:pPr>
        <w:pStyle w:val="Akapitzlist"/>
        <w:numPr>
          <w:ilvl w:val="0"/>
          <w:numId w:val="9"/>
        </w:numPr>
        <w:suppressAutoHyphens/>
        <w:autoSpaceDN w:val="0"/>
        <w:spacing w:after="0" w:line="360" w:lineRule="auto"/>
        <w:ind w:left="426"/>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Przeredagować działanie B2.1.1 w ten sposób aby uniemożliwić finansowanie sieci przesyłowych i dystrybucyjnych </w:t>
      </w:r>
    </w:p>
    <w:p w14:paraId="0D100B7D"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Niestety brak jest wiarygodnych perspektyw na rychłe osiągnięcie przez Polskę nadwyżek czystej energii z OZE, którą można by wykorzystać do spełniającej kryteria ekologiczne produkcji tzw. “zielonego </w:t>
      </w:r>
      <w:r w:rsidRPr="008F589B">
        <w:rPr>
          <w:rFonts w:ascii="Verdana" w:eastAsia="Times New Roman" w:hAnsi="Verdana"/>
          <w:color w:val="000000"/>
          <w:szCs w:val="24"/>
        </w:rPr>
        <w:lastRenderedPageBreak/>
        <w:t>wodoru”. Natomiast pewnym jest, że przy obecnych założeniach, rozbudowa sieci gazowych i przesyłowych oraz magazynów “pod wodór”, jedynie wzmocni naszą zależność od paliw kopalnych.</w:t>
      </w:r>
    </w:p>
    <w:p w14:paraId="3B95627F" w14:textId="77777777" w:rsidR="00E13817" w:rsidRPr="008F589B" w:rsidRDefault="00E13817" w:rsidP="008F589B">
      <w:pPr>
        <w:spacing w:line="360" w:lineRule="auto"/>
        <w:jc w:val="both"/>
        <w:rPr>
          <w:rFonts w:ascii="Verdana" w:hAnsi="Verdana"/>
          <w:szCs w:val="24"/>
        </w:rPr>
      </w:pPr>
    </w:p>
    <w:p w14:paraId="6CF082CB" w14:textId="1A05CBFF"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Poszerzenie obszaru inwestowani</w:t>
      </w:r>
      <w:r w:rsidR="002B2525" w:rsidRPr="008F589B">
        <w:rPr>
          <w:rFonts w:ascii="Verdana" w:eastAsia="Times New Roman" w:hAnsi="Verdana"/>
          <w:color w:val="000000"/>
          <w:sz w:val="24"/>
          <w:szCs w:val="24"/>
          <w:lang w:eastAsia="pl-PL"/>
        </w:rPr>
        <w:t>a w odnawialne źródła energii o </w:t>
      </w:r>
      <w:r w:rsidRPr="008F589B">
        <w:rPr>
          <w:rFonts w:ascii="Verdana" w:eastAsia="Times New Roman" w:hAnsi="Verdana"/>
          <w:color w:val="000000"/>
          <w:sz w:val="24"/>
          <w:szCs w:val="24"/>
          <w:lang w:eastAsia="pl-PL"/>
        </w:rPr>
        <w:t>energetykę wiatrową na lądzie i rozproszonej energetyki obywatelskiej wraz z wdrożeniem odpowiednich reform</w:t>
      </w:r>
    </w:p>
    <w:p w14:paraId="61D68BB9" w14:textId="03790008"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Uważamy, że bez skali mikro, czyli rozproszonej energetyki opartej na OZE i pompach ciepła, wymiernej poprawie efektywności energetycznej budynków publicznych i gospodarstw domowych, cel makro redukcji pozostanie nieosiągnięt</w:t>
      </w:r>
      <w:r w:rsidR="002B2525" w:rsidRPr="008F589B">
        <w:rPr>
          <w:rFonts w:ascii="Verdana" w:eastAsia="Times New Roman" w:hAnsi="Verdana"/>
          <w:color w:val="000000"/>
          <w:szCs w:val="24"/>
        </w:rPr>
        <w:t>y. Dlatego uważamy, że jednym z </w:t>
      </w:r>
      <w:r w:rsidRPr="008F589B">
        <w:rPr>
          <w:rFonts w:ascii="Verdana" w:eastAsia="Times New Roman" w:hAnsi="Verdana"/>
          <w:color w:val="000000"/>
          <w:szCs w:val="24"/>
        </w:rPr>
        <w:t>najważniejszych elementów KPO powinien być pakiet reform zmierzających do odblokowania potencjału energetyki odnawialnej, zwłaszcza rozproszonej energetyki obywatelskiej. Taki pakiet powinien obejmować:</w:t>
      </w:r>
    </w:p>
    <w:p w14:paraId="7EBB1A49" w14:textId="77777777" w:rsidR="00E13817" w:rsidRPr="008F589B" w:rsidRDefault="00E13817" w:rsidP="008F589B">
      <w:pPr>
        <w:numPr>
          <w:ilvl w:val="0"/>
          <w:numId w:val="10"/>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opracowanie i przyjęcie długoterminowej strategii energetyczno-klimatycznej do 2050 r., zgodnej z unijnymi celami klimatycznymi jako strategicznej ramy pozostałych reform (wymóg przyjęcia takiej strategii w terminie do końca 2019 r. wynika z prawa unijnego)</w:t>
      </w:r>
    </w:p>
    <w:p w14:paraId="6AEC59CE" w14:textId="77777777" w:rsidR="00E13817" w:rsidRPr="008F589B" w:rsidRDefault="00E13817" w:rsidP="008F589B">
      <w:pPr>
        <w:numPr>
          <w:ilvl w:val="0"/>
          <w:numId w:val="10"/>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pełne wdrożenie przepisów pakietu „Czysta energia dla wszystkich Europejczyków”, dotyczących OZE, prosumentów indywidualnych, zbiorowych i społeczności energetycznych</w:t>
      </w:r>
    </w:p>
    <w:p w14:paraId="083E1446" w14:textId="77777777" w:rsidR="00E13817" w:rsidRPr="008F589B" w:rsidRDefault="00E13817" w:rsidP="008F589B">
      <w:pPr>
        <w:numPr>
          <w:ilvl w:val="0"/>
          <w:numId w:val="10"/>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nowelizacja prawa w takim kierunku, aby przepisy dotyczące wspólnot energetycznych zawierały więcej realnych zachęt niż ograniczeń</w:t>
      </w:r>
    </w:p>
    <w:p w14:paraId="509C6C37" w14:textId="77777777" w:rsidR="00E13817" w:rsidRPr="008F589B" w:rsidRDefault="00E13817" w:rsidP="008F589B">
      <w:pPr>
        <w:numPr>
          <w:ilvl w:val="0"/>
          <w:numId w:val="10"/>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wyposażenie samorządów w narzędzia pozwalające na prowadzenie lokalnej polityki energetycznej</w:t>
      </w:r>
    </w:p>
    <w:p w14:paraId="1BF048F5" w14:textId="77777777" w:rsidR="00E13817" w:rsidRPr="008F589B" w:rsidRDefault="00E13817" w:rsidP="008F589B">
      <w:pPr>
        <w:numPr>
          <w:ilvl w:val="0"/>
          <w:numId w:val="10"/>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złagodzenie przepisów ustawy odległościowej, tak by energetyka wiatrowa na lądzie mogła rozwijać się dynamicznie z poszanowaniem ochrony przyrody i praw lokalnych społeczności</w:t>
      </w:r>
    </w:p>
    <w:p w14:paraId="6C2BA3B6" w14:textId="6EAFFD1B" w:rsidR="00E13817" w:rsidRPr="008F589B" w:rsidRDefault="00E13817" w:rsidP="008F589B">
      <w:pPr>
        <w:spacing w:line="360" w:lineRule="auto"/>
        <w:jc w:val="both"/>
        <w:rPr>
          <w:rFonts w:ascii="Verdana" w:eastAsia="Times New Roman" w:hAnsi="Verdana"/>
          <w:szCs w:val="24"/>
        </w:rPr>
      </w:pPr>
    </w:p>
    <w:p w14:paraId="61346C9C"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Uniemożliwienie realizowania inwestycji w ramach KPO w zakresie spalania odpadów komunalnych</w:t>
      </w:r>
    </w:p>
    <w:p w14:paraId="3337814D"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lastRenderedPageBreak/>
        <w:t>Uzasadnienie</w:t>
      </w:r>
      <w:r w:rsidRPr="008F589B">
        <w:rPr>
          <w:rFonts w:ascii="Verdana" w:eastAsia="Times New Roman" w:hAnsi="Verdana"/>
          <w:color w:val="000000"/>
          <w:szCs w:val="24"/>
        </w:rPr>
        <w:t>: niepokojący jest fakt, że pod hasłem odnawialnych źródeł energii, projekt KPO wymienia, pośród różnych projektów ciepłowniczych, nowe inwestycje w zakresie spalania odpadów komunalnych. Ta propozycja nie może zostać przyjęta, a już na pewno nie w tej formie, ponieważ jedynie część odpadów można sklasyfikować jako „źródło energii odnawialnej”. Tymczasem niemal wszystkie już działające i planowane spalarnie zakładają wykorzystanie odpadów pozostałych po przetworzeniu odpadów komunalnych, a większość z nich (do 74%) to tworzywa sztuczne. Ten rodzaj spalania odpadów doprowadzi do emisji CO2 (w przeliczeniu na jednostkę wyprodukowanej energii) porównywalnej z instalacjami opalanymi węglem.</w:t>
      </w:r>
    </w:p>
    <w:p w14:paraId="73683EA3" w14:textId="77777777" w:rsidR="00E13817" w:rsidRPr="008F589B" w:rsidRDefault="00E13817" w:rsidP="008F589B">
      <w:pPr>
        <w:spacing w:line="360" w:lineRule="auto"/>
        <w:jc w:val="both"/>
        <w:rPr>
          <w:rFonts w:ascii="Verdana" w:hAnsi="Verdana"/>
          <w:szCs w:val="24"/>
        </w:rPr>
      </w:pPr>
    </w:p>
    <w:p w14:paraId="0137E0FD" w14:textId="77777777" w:rsidR="00E13817" w:rsidRPr="008F589B" w:rsidRDefault="00E13817" w:rsidP="008F589B">
      <w:pPr>
        <w:pStyle w:val="Akapitzlist"/>
        <w:numPr>
          <w:ilvl w:val="0"/>
          <w:numId w:val="9"/>
        </w:numPr>
        <w:suppressAutoHyphens/>
        <w:autoSpaceDN w:val="0"/>
        <w:spacing w:after="0" w:line="360" w:lineRule="auto"/>
        <w:ind w:left="426"/>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Wykluczenie wsparcia dla instalowania nowych źródeł ciepła zasilanym węglem w programie Czyste Powietrze</w:t>
      </w:r>
    </w:p>
    <w:p w14:paraId="57BF016E" w14:textId="1DDE3AA5"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Spalanie węgla jest główną przyczyną silnie zanieczyszczonego powietrza w Polsce, przyczyniającego się rocznie do prawie 50 tys. przedwczesnych zgonów. Największym źró</w:t>
      </w:r>
      <w:r w:rsidR="002B2525" w:rsidRPr="008F589B">
        <w:rPr>
          <w:rFonts w:ascii="Verdana" w:eastAsia="Times New Roman" w:hAnsi="Verdana"/>
          <w:color w:val="000000"/>
          <w:szCs w:val="24"/>
        </w:rPr>
        <w:t>dłem zanieczyszczeń powietrza w </w:t>
      </w:r>
      <w:r w:rsidRPr="008F589B">
        <w:rPr>
          <w:rFonts w:ascii="Verdana" w:eastAsia="Times New Roman" w:hAnsi="Verdana"/>
          <w:color w:val="000000"/>
          <w:szCs w:val="24"/>
        </w:rPr>
        <w:t>Polsce jest tzw. niska emisja pochodzą</w:t>
      </w:r>
      <w:r w:rsidR="002B2525" w:rsidRPr="008F589B">
        <w:rPr>
          <w:rFonts w:ascii="Verdana" w:eastAsia="Times New Roman" w:hAnsi="Verdana"/>
          <w:color w:val="000000"/>
          <w:szCs w:val="24"/>
        </w:rPr>
        <w:t>ca ze spalania paliw stałych (w </w:t>
      </w:r>
      <w:r w:rsidRPr="008F589B">
        <w:rPr>
          <w:rFonts w:ascii="Verdana" w:eastAsia="Times New Roman" w:hAnsi="Verdana"/>
          <w:color w:val="000000"/>
          <w:szCs w:val="24"/>
        </w:rPr>
        <w:t>zdecydowanej większości węgla) w sektorze komunalno-bytowym, czyli domowych piecach i kotłach. Dalsze spalanie węgla w domowych instalacjach grzewczych, choćby o lepszych parametrach, utrwali istniejące status quo i</w:t>
      </w:r>
      <w:r w:rsidR="002B2525" w:rsidRPr="008F589B">
        <w:rPr>
          <w:rFonts w:ascii="Verdana" w:eastAsia="Times New Roman" w:hAnsi="Verdana"/>
          <w:color w:val="000000"/>
          <w:szCs w:val="24"/>
        </w:rPr>
        <w:t> </w:t>
      </w:r>
      <w:r w:rsidRPr="008F589B">
        <w:rPr>
          <w:rFonts w:ascii="Verdana" w:eastAsia="Times New Roman" w:hAnsi="Verdana"/>
          <w:color w:val="000000"/>
          <w:szCs w:val="24"/>
        </w:rPr>
        <w:t>będzie zaprzeczeniem transformacji</w:t>
      </w:r>
      <w:r w:rsidR="002B2525" w:rsidRPr="008F589B">
        <w:rPr>
          <w:rFonts w:ascii="Verdana" w:eastAsia="Times New Roman" w:hAnsi="Verdana"/>
          <w:color w:val="000000"/>
          <w:szCs w:val="24"/>
        </w:rPr>
        <w:t xml:space="preserve"> w stronę przyjaznych zdrowiu i </w:t>
      </w:r>
      <w:r w:rsidRPr="008F589B">
        <w:rPr>
          <w:rFonts w:ascii="Verdana" w:eastAsia="Times New Roman" w:hAnsi="Verdana"/>
          <w:color w:val="000000"/>
          <w:szCs w:val="24"/>
        </w:rPr>
        <w:t xml:space="preserve">środowisku źródeł energii. Takie wsparcie jest niekompatybilne z unijną zasadą “nie czyń poważnych szkód”. Ponadto “Czyste Powietrze” dofinansowuje również kotły na </w:t>
      </w:r>
      <w:proofErr w:type="spellStart"/>
      <w:r w:rsidRPr="008F589B">
        <w:rPr>
          <w:rFonts w:ascii="Verdana" w:eastAsia="Times New Roman" w:hAnsi="Verdana"/>
          <w:color w:val="000000"/>
          <w:szCs w:val="24"/>
        </w:rPr>
        <w:t>pellet</w:t>
      </w:r>
      <w:proofErr w:type="spellEnd"/>
      <w:r w:rsidRPr="008F589B">
        <w:rPr>
          <w:rFonts w:ascii="Verdana" w:eastAsia="Times New Roman" w:hAnsi="Verdana"/>
          <w:color w:val="000000"/>
          <w:szCs w:val="24"/>
        </w:rPr>
        <w:t xml:space="preserve">. W Polsce brak jest obowiązkowych norm jakości i produkcji tego paliwa, dlatego w obrocie handlowym dostępny jest </w:t>
      </w:r>
      <w:proofErr w:type="spellStart"/>
      <w:r w:rsidRPr="008F589B">
        <w:rPr>
          <w:rFonts w:ascii="Verdana" w:eastAsia="Times New Roman" w:hAnsi="Verdana"/>
          <w:color w:val="000000"/>
          <w:szCs w:val="24"/>
        </w:rPr>
        <w:t>pellet</w:t>
      </w:r>
      <w:proofErr w:type="spellEnd"/>
      <w:r w:rsidRPr="008F589B">
        <w:rPr>
          <w:rFonts w:ascii="Verdana" w:eastAsia="Times New Roman" w:hAnsi="Verdana"/>
          <w:color w:val="000000"/>
          <w:szCs w:val="24"/>
        </w:rPr>
        <w:t xml:space="preserve"> produkowany m.in. z takich niesprzyjających środowisku materiałów jak odpady meblowe.</w:t>
      </w:r>
    </w:p>
    <w:p w14:paraId="55A6C9A7" w14:textId="77777777" w:rsidR="00E13817" w:rsidRPr="008F589B" w:rsidRDefault="00E13817" w:rsidP="008F589B">
      <w:pPr>
        <w:spacing w:line="360" w:lineRule="auto"/>
        <w:jc w:val="both"/>
        <w:rPr>
          <w:rFonts w:ascii="Verdana" w:hAnsi="Verdana"/>
          <w:szCs w:val="24"/>
        </w:rPr>
      </w:pPr>
    </w:p>
    <w:p w14:paraId="7A92F829" w14:textId="77777777" w:rsidR="00E13817" w:rsidRPr="008F589B" w:rsidRDefault="00E13817" w:rsidP="008F589B">
      <w:pPr>
        <w:pStyle w:val="Akapitzlist"/>
        <w:numPr>
          <w:ilvl w:val="0"/>
          <w:numId w:val="9"/>
        </w:numPr>
        <w:suppressAutoHyphens/>
        <w:autoSpaceDN w:val="0"/>
        <w:spacing w:after="0" w:line="360" w:lineRule="auto"/>
        <w:ind w:left="426"/>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Każde wykorzystanie określenia “zielony” było zgodne z Europejską Taksonomią Zrównoważonego Rozwoju </w:t>
      </w:r>
    </w:p>
    <w:p w14:paraId="73473DB2"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Terminologia używana w KPO jest momentami problematyczna i myląca. Język dokumentu ma tendencję do „malowania na zielono” </w:t>
      </w:r>
      <w:r w:rsidRPr="008F589B">
        <w:rPr>
          <w:rFonts w:ascii="Verdana" w:eastAsia="Times New Roman" w:hAnsi="Verdana"/>
          <w:color w:val="000000"/>
          <w:szCs w:val="24"/>
        </w:rPr>
        <w:lastRenderedPageBreak/>
        <w:t>pojemnych pojęć-wytrychów, za którymi można ukryć wiele, niekoniecznie zielonych, działań. Użycie przymiotnika „zielony” powinno być ściśle zdefiniowane. Np. „zielone rozwiązania” w przedsiębiorstwach, to takie rozwiązania, które wpływają korzystnie na środowisko i służą poprawie efektywności energetycznej, czyli dają policzalną, udokumentowaną oszczędność energii oraz redukcję ekwiwalentu emisji CO</w:t>
      </w:r>
      <w:r w:rsidRPr="008F589B">
        <w:rPr>
          <w:rFonts w:ascii="Verdana" w:eastAsia="Times New Roman" w:hAnsi="Verdana"/>
          <w:b/>
          <w:bCs/>
          <w:color w:val="000000"/>
          <w:szCs w:val="24"/>
          <w:vertAlign w:val="subscript"/>
        </w:rPr>
        <w:t>2</w:t>
      </w:r>
      <w:r w:rsidRPr="008F589B">
        <w:rPr>
          <w:rFonts w:ascii="Verdana" w:eastAsia="Times New Roman" w:hAnsi="Verdana"/>
          <w:color w:val="000000"/>
          <w:szCs w:val="24"/>
        </w:rPr>
        <w:t>. Postulujemy, aby każde wykorzystanie określenia „zielony” było zgodne Europejską Taksonomią Zrównoważonego Rozwoju.</w:t>
      </w:r>
    </w:p>
    <w:p w14:paraId="0F16B8CC" w14:textId="77777777" w:rsidR="00E13817" w:rsidRPr="008F589B" w:rsidRDefault="00E13817" w:rsidP="008F589B">
      <w:pPr>
        <w:spacing w:line="360" w:lineRule="auto"/>
        <w:jc w:val="both"/>
        <w:rPr>
          <w:rFonts w:ascii="Verdana" w:hAnsi="Verdana"/>
          <w:szCs w:val="24"/>
        </w:rPr>
      </w:pPr>
    </w:p>
    <w:p w14:paraId="75BC2992"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 xml:space="preserve"> Wykluczenie bezwarunkowo wsparcia dla gazu ziemnego</w:t>
      </w:r>
    </w:p>
    <w:p w14:paraId="4E93C079"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Zgodnie z zasadą „nie czyń poważnych szkód” infrastruktura dla gazu ziemnego może być wspierana w wyjątkowych, ograniczonych przypadkach, pod warunkiem, że nie prowadzi to do pogłębienia zależności od paliw kopalnych i nie generuje znacznych emisji gazów cieplarnianych w całym cyklu działania. KPO zakłada natomiast rozbudowę infrastruktury gazowej. Jest kontynuacją polityki zawartej w przytoczonych wcześniej, mało ambitnych klimatycznie dokumentach. Zakłada ona, że w niedalekiej przyszłości, z gazu ziemnego (który zastąpi wycofywany węgiel) produkowana będzie ponad 1/3 energii. Takie założenie nie może w żadnym przypadku zostać uznane za spełniające kryterium zasady „nie czyń poważnych szkód”. Oznacza ono trudne do usunięcia utrwalenie wysokiej pozycji gazu na poziomie całego systemu energetycznego. Może to sprawić, że zamiast paliwem przejściowym w zielonej transformacji, gaz stanie się na długie lata paliwem dominującym w ciepłownictwie. </w:t>
      </w:r>
    </w:p>
    <w:p w14:paraId="154BB44E" w14:textId="77777777" w:rsidR="00E13817" w:rsidRPr="008F589B" w:rsidRDefault="00E13817" w:rsidP="008F589B">
      <w:pPr>
        <w:spacing w:line="360" w:lineRule="auto"/>
        <w:jc w:val="both"/>
        <w:rPr>
          <w:rFonts w:ascii="Verdana" w:eastAsia="Times New Roman" w:hAnsi="Verdana"/>
          <w:color w:val="000000"/>
          <w:szCs w:val="24"/>
        </w:rPr>
      </w:pPr>
    </w:p>
    <w:p w14:paraId="1450DFB7"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 xml:space="preserve"> Brak wsparcia dla </w:t>
      </w:r>
      <w:proofErr w:type="spellStart"/>
      <w:r w:rsidRPr="008F589B">
        <w:rPr>
          <w:rFonts w:ascii="Verdana" w:eastAsia="Times New Roman" w:hAnsi="Verdana"/>
          <w:color w:val="000000"/>
          <w:sz w:val="24"/>
          <w:szCs w:val="24"/>
          <w:lang w:eastAsia="pl-PL"/>
        </w:rPr>
        <w:t>spalarnii</w:t>
      </w:r>
      <w:proofErr w:type="spellEnd"/>
      <w:r w:rsidRPr="008F589B">
        <w:rPr>
          <w:rFonts w:ascii="Verdana" w:eastAsia="Times New Roman" w:hAnsi="Verdana"/>
          <w:color w:val="000000"/>
          <w:sz w:val="24"/>
          <w:szCs w:val="24"/>
          <w:lang w:eastAsia="pl-PL"/>
        </w:rPr>
        <w:t xml:space="preserve"> odpadków na rzecz usprawnienia systemu selektywnej zbiórki i recyklingu odpadów</w:t>
      </w:r>
    </w:p>
    <w:p w14:paraId="7DA33EFA" w14:textId="71EF913E"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Zwiększenia ilości spalanych odpadów komunalnych jest nie do przyjęcia zwłaszcza w sytuacji, gdy Polsce grozi nieosiągnięcie obligatoryjnych celów stojących wyżej w hierarchii postępowania z odpadami. Środki z KPO muszą być przeznaczone na usprawnieni</w:t>
      </w:r>
      <w:r w:rsidR="002B2525" w:rsidRPr="008F589B">
        <w:rPr>
          <w:rFonts w:ascii="Verdana" w:eastAsia="Times New Roman" w:hAnsi="Verdana"/>
          <w:color w:val="000000"/>
          <w:szCs w:val="24"/>
        </w:rPr>
        <w:t xml:space="preserve">e systemu selektywnej zbiórki </w:t>
      </w:r>
      <w:r w:rsidR="002B2525" w:rsidRPr="008F589B">
        <w:rPr>
          <w:rFonts w:ascii="Verdana" w:eastAsia="Times New Roman" w:hAnsi="Verdana"/>
          <w:color w:val="000000"/>
          <w:szCs w:val="24"/>
        </w:rPr>
        <w:lastRenderedPageBreak/>
        <w:t>i </w:t>
      </w:r>
      <w:r w:rsidRPr="008F589B">
        <w:rPr>
          <w:rFonts w:ascii="Verdana" w:eastAsia="Times New Roman" w:hAnsi="Verdana"/>
          <w:color w:val="000000"/>
          <w:szCs w:val="24"/>
        </w:rPr>
        <w:t>recyklingu odpadów, co będzie miało rzeczywisty, korzystny wpływ na redukcję emisji CO</w:t>
      </w:r>
      <w:r w:rsidRPr="008F589B">
        <w:rPr>
          <w:rFonts w:ascii="Verdana" w:eastAsia="Times New Roman" w:hAnsi="Verdana"/>
          <w:color w:val="000000"/>
          <w:szCs w:val="24"/>
          <w:vertAlign w:val="subscript"/>
        </w:rPr>
        <w:t>2</w:t>
      </w:r>
      <w:r w:rsidR="009445CF" w:rsidRPr="008F589B">
        <w:rPr>
          <w:rFonts w:ascii="Verdana" w:eastAsia="Times New Roman" w:hAnsi="Verdana"/>
          <w:color w:val="000000"/>
          <w:szCs w:val="24"/>
        </w:rPr>
        <w:t>.</w:t>
      </w:r>
    </w:p>
    <w:p w14:paraId="0EA3FF12" w14:textId="77777777" w:rsidR="009445CF" w:rsidRPr="008F589B" w:rsidRDefault="009445CF" w:rsidP="008F589B">
      <w:pPr>
        <w:spacing w:line="360" w:lineRule="auto"/>
        <w:jc w:val="both"/>
        <w:rPr>
          <w:rFonts w:ascii="Verdana" w:hAnsi="Verdana"/>
          <w:szCs w:val="24"/>
        </w:rPr>
      </w:pPr>
    </w:p>
    <w:p w14:paraId="7AB3F24E"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 xml:space="preserve"> Efektywność energetyczna powinna być konsekwentnie wdrażana we wszystkich sektorach gospodarki - wprowadzenie wskaźnika energochłonność.</w:t>
      </w:r>
    </w:p>
    <w:p w14:paraId="64639358" w14:textId="77777777" w:rsidR="00E13817" w:rsidRPr="008F589B" w:rsidRDefault="00E13817" w:rsidP="008F589B">
      <w:pPr>
        <w:pStyle w:val="Akapitzlist"/>
        <w:spacing w:after="0" w:line="360" w:lineRule="auto"/>
        <w:ind w:left="284"/>
        <w:jc w:val="both"/>
        <w:rPr>
          <w:rFonts w:ascii="Verdana" w:eastAsia="Times New Roman" w:hAnsi="Verdana"/>
          <w:color w:val="000000"/>
          <w:sz w:val="24"/>
          <w:szCs w:val="24"/>
          <w:lang w:eastAsia="pl-PL"/>
        </w:rPr>
      </w:pPr>
    </w:p>
    <w:p w14:paraId="5B187E4B"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 xml:space="preserve"> Rozwój sektora usług energetycznych, koncentrujących się na oszczędności energii</w:t>
      </w:r>
    </w:p>
    <w:p w14:paraId="55B1EF97" w14:textId="6D60E39E"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Ta nowoczesna gałąź usług </w:t>
      </w:r>
      <w:r w:rsidR="008F589B">
        <w:rPr>
          <w:rFonts w:ascii="Verdana" w:eastAsia="Times New Roman" w:hAnsi="Verdana"/>
          <w:color w:val="000000"/>
          <w:szCs w:val="24"/>
        </w:rPr>
        <w:t>nie powstanie bez nowych kadr i </w:t>
      </w:r>
      <w:r w:rsidRPr="008F589B">
        <w:rPr>
          <w:rFonts w:ascii="Verdana" w:eastAsia="Times New Roman" w:hAnsi="Verdana"/>
          <w:color w:val="000000"/>
          <w:szCs w:val="24"/>
        </w:rPr>
        <w:t>zielonego światła dla samorządów gotowych podjąć się zadania. Bez tego, małe i średnie przedsiębiorstwa oraz gospodarstwa domowe nie  uzyskają łatwego dostępu do “rynku oszczędności energii”. A to stawia pod znakiem zapytania osiągnięcie przez Polskę deklarowanego wkładu w wysiłki UE na rzecz efektywności energetycznej. </w:t>
      </w:r>
    </w:p>
    <w:p w14:paraId="264166B9" w14:textId="77777777" w:rsidR="00E13817" w:rsidRPr="008F589B" w:rsidRDefault="00E13817" w:rsidP="008F589B">
      <w:pPr>
        <w:spacing w:line="360" w:lineRule="auto"/>
        <w:jc w:val="both"/>
        <w:rPr>
          <w:rFonts w:ascii="Verdana" w:hAnsi="Verdana"/>
          <w:szCs w:val="24"/>
        </w:rPr>
      </w:pPr>
    </w:p>
    <w:p w14:paraId="360E8C24" w14:textId="77777777" w:rsidR="00E13817" w:rsidRPr="008F589B" w:rsidRDefault="00E13817" w:rsidP="008F589B">
      <w:pPr>
        <w:pStyle w:val="Akapitzlist"/>
        <w:numPr>
          <w:ilvl w:val="0"/>
          <w:numId w:val="9"/>
        </w:numPr>
        <w:suppressAutoHyphens/>
        <w:autoSpaceDN w:val="0"/>
        <w:spacing w:after="0" w:line="360" w:lineRule="auto"/>
        <w:ind w:left="284"/>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 xml:space="preserve"> Uwzględnienie bioróżnorodności i zasady “nie czyń poważnych szkód”:</w:t>
      </w:r>
    </w:p>
    <w:p w14:paraId="67231F1C" w14:textId="77777777" w:rsidR="00E13817" w:rsidRPr="008F589B" w:rsidRDefault="00E13817" w:rsidP="008F589B">
      <w:pPr>
        <w:pStyle w:val="Akapitzlist"/>
        <w:spacing w:after="0" w:line="360" w:lineRule="auto"/>
        <w:ind w:left="0"/>
        <w:jc w:val="both"/>
        <w:rPr>
          <w:rFonts w:ascii="Verdana" w:hAnsi="Verdana"/>
          <w:sz w:val="24"/>
          <w:szCs w:val="24"/>
        </w:rPr>
      </w:pPr>
    </w:p>
    <w:p w14:paraId="496D73CD"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14.1 Poprawa zarządzania obszarami NATURA 2000</w:t>
      </w:r>
    </w:p>
    <w:p w14:paraId="07005844"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14.2 Reformy dotyczące zachowania różnorodności biologicznej</w:t>
      </w:r>
    </w:p>
    <w:p w14:paraId="3346E58C" w14:textId="34DA0E44"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W unijnym rozporządzeniu, ustanawiającym Fundusz Odbudowy sporo miejsca poświęcone jest ochronie bioróżnorodności. Niestety w projekcie KPO nie znajdziemy na ten temat ani słowa. N</w:t>
      </w:r>
      <w:r w:rsidR="009445CF" w:rsidRPr="008F589B">
        <w:rPr>
          <w:rFonts w:ascii="Verdana" w:eastAsia="Times New Roman" w:hAnsi="Verdana"/>
          <w:color w:val="000000"/>
          <w:szCs w:val="24"/>
        </w:rPr>
        <w:t>ie znajdziemy w </w:t>
      </w:r>
      <w:r w:rsidRPr="008F589B">
        <w:rPr>
          <w:rFonts w:ascii="Verdana" w:eastAsia="Times New Roman" w:hAnsi="Verdana"/>
          <w:color w:val="000000"/>
          <w:szCs w:val="24"/>
        </w:rPr>
        <w:t xml:space="preserve">nim propozycji poprawiających nienajlepsze zarządzanie obszarami Natura 2000. W projekcie brakuje też tzw. </w:t>
      </w:r>
      <w:proofErr w:type="spellStart"/>
      <w:r w:rsidRPr="008F589B">
        <w:rPr>
          <w:rFonts w:ascii="Verdana" w:eastAsia="Times New Roman" w:hAnsi="Verdana"/>
          <w:color w:val="000000"/>
          <w:szCs w:val="24"/>
        </w:rPr>
        <w:t>nature-based</w:t>
      </w:r>
      <w:proofErr w:type="spellEnd"/>
      <w:r w:rsidRPr="008F589B">
        <w:rPr>
          <w:rFonts w:ascii="Verdana" w:eastAsia="Times New Roman" w:hAnsi="Verdana"/>
          <w:color w:val="000000"/>
          <w:szCs w:val="24"/>
        </w:rPr>
        <w:t xml:space="preserve"> </w:t>
      </w:r>
      <w:proofErr w:type="spellStart"/>
      <w:r w:rsidRPr="008F589B">
        <w:rPr>
          <w:rFonts w:ascii="Verdana" w:eastAsia="Times New Roman" w:hAnsi="Verdana"/>
          <w:color w:val="000000"/>
          <w:szCs w:val="24"/>
        </w:rPr>
        <w:t>solutions</w:t>
      </w:r>
      <w:proofErr w:type="spellEnd"/>
      <w:r w:rsidRPr="008F589B">
        <w:rPr>
          <w:rFonts w:ascii="Verdana" w:eastAsia="Times New Roman" w:hAnsi="Verdana"/>
          <w:color w:val="000000"/>
          <w:szCs w:val="24"/>
        </w:rPr>
        <w:t>, czyli rozwi</w:t>
      </w:r>
      <w:r w:rsidRPr="008F589B">
        <w:rPr>
          <w:rFonts w:ascii="Verdana" w:eastAsia="Times New Roman" w:hAnsi="Verdana" w:cs="Verdana"/>
          <w:color w:val="000000"/>
          <w:szCs w:val="24"/>
        </w:rPr>
        <w:t>ą</w:t>
      </w:r>
      <w:r w:rsidRPr="008F589B">
        <w:rPr>
          <w:rFonts w:ascii="Verdana" w:eastAsia="Times New Roman" w:hAnsi="Verdana"/>
          <w:color w:val="000000"/>
          <w:szCs w:val="24"/>
        </w:rPr>
        <w:t>za</w:t>
      </w:r>
      <w:r w:rsidRPr="008F589B">
        <w:rPr>
          <w:rFonts w:ascii="Verdana" w:eastAsia="Times New Roman" w:hAnsi="Verdana" w:cs="Verdana"/>
          <w:color w:val="000000"/>
          <w:szCs w:val="24"/>
        </w:rPr>
        <w:t>ń</w:t>
      </w:r>
      <w:r w:rsidRPr="008F589B">
        <w:rPr>
          <w:rFonts w:ascii="Verdana" w:eastAsia="Times New Roman" w:hAnsi="Verdana"/>
          <w:color w:val="000000"/>
          <w:szCs w:val="24"/>
        </w:rPr>
        <w:t xml:space="preserve"> opartych na przyrodzie i jej naturalnych mechanizmach. Pr</w:t>
      </w:r>
      <w:r w:rsidRPr="008F589B">
        <w:rPr>
          <w:rFonts w:ascii="Verdana" w:eastAsia="Times New Roman" w:hAnsi="Verdana" w:cs="Verdana"/>
          <w:color w:val="000000"/>
          <w:szCs w:val="24"/>
        </w:rPr>
        <w:t>óż</w:t>
      </w:r>
      <w:r w:rsidRPr="008F589B">
        <w:rPr>
          <w:rFonts w:ascii="Verdana" w:eastAsia="Times New Roman" w:hAnsi="Verdana"/>
          <w:color w:val="000000"/>
          <w:szCs w:val="24"/>
        </w:rPr>
        <w:t>no w nim szuka</w:t>
      </w:r>
      <w:r w:rsidRPr="008F589B">
        <w:rPr>
          <w:rFonts w:ascii="Verdana" w:eastAsia="Times New Roman" w:hAnsi="Verdana" w:cs="Verdana"/>
          <w:color w:val="000000"/>
          <w:szCs w:val="24"/>
        </w:rPr>
        <w:t>ć</w:t>
      </w:r>
      <w:r w:rsidRPr="008F589B">
        <w:rPr>
          <w:rFonts w:ascii="Verdana" w:eastAsia="Times New Roman" w:hAnsi="Verdana"/>
          <w:color w:val="000000"/>
          <w:szCs w:val="24"/>
        </w:rPr>
        <w:t xml:space="preserve"> r</w:t>
      </w:r>
      <w:r w:rsidRPr="008F589B">
        <w:rPr>
          <w:rFonts w:ascii="Verdana" w:eastAsia="Times New Roman" w:hAnsi="Verdana" w:cs="Verdana"/>
          <w:color w:val="000000"/>
          <w:szCs w:val="24"/>
        </w:rPr>
        <w:t>ó</w:t>
      </w:r>
      <w:r w:rsidRPr="008F589B">
        <w:rPr>
          <w:rFonts w:ascii="Verdana" w:eastAsia="Times New Roman" w:hAnsi="Verdana"/>
          <w:color w:val="000000"/>
          <w:szCs w:val="24"/>
        </w:rPr>
        <w:t>wnie</w:t>
      </w:r>
      <w:r w:rsidRPr="008F589B">
        <w:rPr>
          <w:rFonts w:ascii="Verdana" w:eastAsia="Times New Roman" w:hAnsi="Verdana" w:cs="Verdana"/>
          <w:color w:val="000000"/>
          <w:szCs w:val="24"/>
        </w:rPr>
        <w:t>ż</w:t>
      </w:r>
      <w:r w:rsidRPr="008F589B">
        <w:rPr>
          <w:rFonts w:ascii="Verdana" w:eastAsia="Times New Roman" w:hAnsi="Verdana"/>
          <w:color w:val="000000"/>
          <w:szCs w:val="24"/>
        </w:rPr>
        <w:t xml:space="preserve"> propozycji kompleksowych reform dotycz</w:t>
      </w:r>
      <w:r w:rsidRPr="008F589B">
        <w:rPr>
          <w:rFonts w:ascii="Verdana" w:eastAsia="Times New Roman" w:hAnsi="Verdana" w:cs="Verdana"/>
          <w:color w:val="000000"/>
          <w:szCs w:val="24"/>
        </w:rPr>
        <w:t>ą</w:t>
      </w:r>
      <w:r w:rsidRPr="008F589B">
        <w:rPr>
          <w:rFonts w:ascii="Verdana" w:eastAsia="Times New Roman" w:hAnsi="Verdana"/>
          <w:color w:val="000000"/>
          <w:szCs w:val="24"/>
        </w:rPr>
        <w:t>cych zachowania różnorodności biologicznej. W KPO znajdziemy wprawdzie p</w:t>
      </w:r>
      <w:r w:rsidR="009445CF" w:rsidRPr="008F589B">
        <w:rPr>
          <w:rFonts w:ascii="Verdana" w:eastAsia="Times New Roman" w:hAnsi="Verdana"/>
          <w:color w:val="000000"/>
          <w:szCs w:val="24"/>
        </w:rPr>
        <w:t>lany zakładania łąk kwietnych i </w:t>
      </w:r>
      <w:r w:rsidRPr="008F589B">
        <w:rPr>
          <w:rFonts w:ascii="Verdana" w:eastAsia="Times New Roman" w:hAnsi="Verdana"/>
          <w:color w:val="000000"/>
          <w:szCs w:val="24"/>
        </w:rPr>
        <w:t xml:space="preserve">podobne </w:t>
      </w:r>
      <w:proofErr w:type="spellStart"/>
      <w:r w:rsidRPr="008F589B">
        <w:rPr>
          <w:rFonts w:ascii="Verdana" w:eastAsia="Times New Roman" w:hAnsi="Verdana"/>
          <w:color w:val="000000"/>
          <w:szCs w:val="24"/>
        </w:rPr>
        <w:t>nature-based</w:t>
      </w:r>
      <w:proofErr w:type="spellEnd"/>
      <w:r w:rsidRPr="008F589B">
        <w:rPr>
          <w:rFonts w:ascii="Verdana" w:eastAsia="Times New Roman" w:hAnsi="Verdana"/>
          <w:color w:val="000000"/>
          <w:szCs w:val="24"/>
        </w:rPr>
        <w:t xml:space="preserve"> </w:t>
      </w:r>
      <w:proofErr w:type="spellStart"/>
      <w:r w:rsidRPr="008F589B">
        <w:rPr>
          <w:rFonts w:ascii="Verdana" w:eastAsia="Times New Roman" w:hAnsi="Verdana"/>
          <w:color w:val="000000"/>
          <w:szCs w:val="24"/>
        </w:rPr>
        <w:t>solutions</w:t>
      </w:r>
      <w:proofErr w:type="spellEnd"/>
      <w:r w:rsidRPr="008F589B">
        <w:rPr>
          <w:rFonts w:ascii="Verdana" w:eastAsia="Times New Roman" w:hAnsi="Verdana"/>
          <w:color w:val="000000"/>
          <w:szCs w:val="24"/>
        </w:rPr>
        <w:t xml:space="preserve"> dla miast, ale są one zepchnięte gdzieś na margines planu. Zdaje się on w ogóle nie zauważać głównych czynników utraty różnorodności biologicznej w Polsce, czyli zanikania siedlisk i korytarzy ekologicznych oraz nadmiernej eksploatacji zasobów przyrodniczych. Autorzy </w:t>
      </w:r>
      <w:r w:rsidRPr="008F589B">
        <w:rPr>
          <w:rFonts w:ascii="Verdana" w:eastAsia="Times New Roman" w:hAnsi="Verdana"/>
          <w:color w:val="000000"/>
          <w:szCs w:val="24"/>
        </w:rPr>
        <w:lastRenderedPageBreak/>
        <w:t xml:space="preserve">projektu z góry przyjęli założenie, że wszystkie reformy i inwestycje, które proponują w KPO przyczyniają się do ochrony bioróżnorodności i nie czynią poważnych szkód przyrodzie. </w:t>
      </w:r>
      <w:r w:rsidRPr="008F589B">
        <w:rPr>
          <w:rFonts w:ascii="Verdana" w:eastAsia="Times New Roman" w:hAnsi="Verdana"/>
          <w:b/>
          <w:bCs/>
          <w:color w:val="000000"/>
          <w:szCs w:val="24"/>
        </w:rPr>
        <w:t>Wytyczne techniczne Komisji Europejskiej natomiast jasno wskazują, że oc</w:t>
      </w:r>
      <w:r w:rsidR="009445CF" w:rsidRPr="008F589B">
        <w:rPr>
          <w:rFonts w:ascii="Verdana" w:eastAsia="Times New Roman" w:hAnsi="Verdana"/>
          <w:b/>
          <w:bCs/>
          <w:color w:val="000000"/>
          <w:szCs w:val="24"/>
        </w:rPr>
        <w:t>enę taką należy przeprowadzić i </w:t>
      </w:r>
      <w:r w:rsidRPr="008F589B">
        <w:rPr>
          <w:rFonts w:ascii="Verdana" w:eastAsia="Times New Roman" w:hAnsi="Verdana"/>
          <w:b/>
          <w:bCs/>
          <w:color w:val="000000"/>
          <w:szCs w:val="24"/>
        </w:rPr>
        <w:t xml:space="preserve">udokumentować osobno dla każdej inwestycji i reformy. </w:t>
      </w:r>
      <w:r w:rsidRPr="008F589B">
        <w:rPr>
          <w:rFonts w:ascii="Verdana" w:eastAsia="Times New Roman" w:hAnsi="Verdana"/>
          <w:color w:val="000000"/>
          <w:szCs w:val="24"/>
        </w:rPr>
        <w:t xml:space="preserve">KPO nie poświęca również dostatecznej uwagi adaptacji do zmian klimatu, w tym ekonomicznym skutkom narastającego problemu suszy, wspomnianej wyżej ochronie bioróżnorodności i naturalnym pochłaniaczom dwutlenku węgla, takim jak lasy. W projekcie nie zawarto żadnych reform służących ochronie gatunków, ekosystemów, korytarzy ekologicznych, ani żadnych pomysłów dotyczących wzmocnienia ochrony czy powiększenia obszarów chronionych. Wręcz przeciwnie; niektóre z proponowanych rozwiązań osłabiają prawodawstwo w dziedzinie ochrony środowiska. W programie przewidziano np. przyjęcie specjalnej ustawy o inwestycjach </w:t>
      </w:r>
      <w:proofErr w:type="spellStart"/>
      <w:r w:rsidRPr="008F589B">
        <w:rPr>
          <w:rFonts w:ascii="Verdana" w:eastAsia="Times New Roman" w:hAnsi="Verdana"/>
          <w:color w:val="000000"/>
          <w:szCs w:val="24"/>
        </w:rPr>
        <w:t>przeciwsuszowych</w:t>
      </w:r>
      <w:proofErr w:type="spellEnd"/>
      <w:r w:rsidRPr="008F589B">
        <w:rPr>
          <w:rFonts w:ascii="Verdana" w:eastAsia="Times New Roman" w:hAnsi="Verdana"/>
          <w:color w:val="000000"/>
          <w:szCs w:val="24"/>
        </w:rPr>
        <w:t xml:space="preserve">, której projekt zaproponowany został przez rząd w sierpniu ubiegłego roku. Zawiera on nowe przepisy zagrażające ochronie bioróżnorodności i zasobów wodnych Polski. Ustawa o inwestycjach </w:t>
      </w:r>
      <w:proofErr w:type="spellStart"/>
      <w:r w:rsidRPr="008F589B">
        <w:rPr>
          <w:rFonts w:ascii="Verdana" w:eastAsia="Times New Roman" w:hAnsi="Verdana"/>
          <w:color w:val="000000"/>
          <w:szCs w:val="24"/>
        </w:rPr>
        <w:t>przeciwsuszowych</w:t>
      </w:r>
      <w:proofErr w:type="spellEnd"/>
      <w:r w:rsidRPr="008F589B">
        <w:rPr>
          <w:rFonts w:ascii="Verdana" w:eastAsia="Times New Roman" w:hAnsi="Verdana"/>
          <w:color w:val="000000"/>
          <w:szCs w:val="24"/>
        </w:rPr>
        <w:t xml:space="preserve"> upraszcza procedury inwestycyjne dla określonych przedsięwzięć związanych z obiektami wodnymi, w szczególności ze zbiornikami retencyjn</w:t>
      </w:r>
      <w:r w:rsidR="009445CF" w:rsidRPr="008F589B">
        <w:rPr>
          <w:rFonts w:ascii="Verdana" w:eastAsia="Times New Roman" w:hAnsi="Verdana"/>
          <w:color w:val="000000"/>
          <w:szCs w:val="24"/>
        </w:rPr>
        <w:t>ymi w Niepołomicach na Wiśle, w </w:t>
      </w:r>
      <w:r w:rsidRPr="008F589B">
        <w:rPr>
          <w:rFonts w:ascii="Verdana" w:eastAsia="Times New Roman" w:hAnsi="Verdana"/>
          <w:color w:val="000000"/>
          <w:szCs w:val="24"/>
        </w:rPr>
        <w:t>Ścinawie i Lubiążu na Odrze oraz w Piszu na Pisie. Jej sednem jest ułatwienie Wodom Polskim uzyskiwania pozwoleń na nowe zapory, stopnie wodne i sztuczne zbiorniki. Projekt zakłada prymat przepisów specustawy nad ustawą o ochronie przyrody. Znacząco ułatwia to ingerencję w obszary chronione, m.in. umożliwiając budowę inf</w:t>
      </w:r>
      <w:r w:rsidR="009445CF" w:rsidRPr="008F589B">
        <w:rPr>
          <w:rFonts w:ascii="Verdana" w:eastAsia="Times New Roman" w:hAnsi="Verdana"/>
          <w:color w:val="000000"/>
          <w:szCs w:val="24"/>
        </w:rPr>
        <w:t>rastruktury hydrotechnicznej w </w:t>
      </w:r>
      <w:r w:rsidRPr="008F589B">
        <w:rPr>
          <w:rFonts w:ascii="Verdana" w:eastAsia="Times New Roman" w:hAnsi="Verdana"/>
          <w:color w:val="000000"/>
          <w:szCs w:val="24"/>
        </w:rPr>
        <w:t>rezerwatach przyrody. Te błędy KPO można jednak łatwo naprawić. Zacząć należy od wzmocnienia ochrony lasów, a także rzek i dolin rzecznych oraz przywrócenia ich do stanu naturalnego. Takie środki zostały zaproponowane przez grupę organizacji pozarządowych zaj</w:t>
      </w:r>
      <w:r w:rsidR="009445CF" w:rsidRPr="008F589B">
        <w:rPr>
          <w:rFonts w:ascii="Verdana" w:eastAsia="Times New Roman" w:hAnsi="Verdana"/>
          <w:color w:val="000000"/>
          <w:szCs w:val="24"/>
        </w:rPr>
        <w:t>mujących się ochroną przyrody i </w:t>
      </w:r>
      <w:r w:rsidRPr="008F589B">
        <w:rPr>
          <w:rFonts w:ascii="Verdana" w:eastAsia="Times New Roman" w:hAnsi="Verdana"/>
          <w:color w:val="000000"/>
          <w:szCs w:val="24"/>
        </w:rPr>
        <w:t>mogą być łatwo włączone do KPO. Są to:</w:t>
      </w:r>
    </w:p>
    <w:p w14:paraId="41E0F238" w14:textId="0B775E2B" w:rsidR="00E13817" w:rsidRPr="008F589B" w:rsidRDefault="00E13817" w:rsidP="008F589B">
      <w:pPr>
        <w:numPr>
          <w:ilvl w:val="0"/>
          <w:numId w:val="11"/>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reformy legislacyjne w celu usunięcia niezgodności z prawem UE (dotyczy:, specustaw inwestycyjnych, Ustawy o lasach, Prawa Wodnego)</w:t>
      </w:r>
      <w:r w:rsidR="008F589B">
        <w:rPr>
          <w:rFonts w:ascii="Verdana" w:eastAsia="Times New Roman" w:hAnsi="Verdana"/>
          <w:color w:val="000000"/>
          <w:szCs w:val="24"/>
        </w:rPr>
        <w:t>,</w:t>
      </w:r>
    </w:p>
    <w:p w14:paraId="6DB91752" w14:textId="24108FAF" w:rsidR="00E13817" w:rsidRPr="008F589B" w:rsidRDefault="00E13817" w:rsidP="008F589B">
      <w:pPr>
        <w:numPr>
          <w:ilvl w:val="0"/>
          <w:numId w:val="11"/>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lastRenderedPageBreak/>
        <w:t xml:space="preserve">wdrożenie Programu </w:t>
      </w:r>
      <w:proofErr w:type="spellStart"/>
      <w:r w:rsidRPr="008F589B">
        <w:rPr>
          <w:rFonts w:ascii="Verdana" w:eastAsia="Times New Roman" w:hAnsi="Verdana"/>
          <w:color w:val="000000"/>
          <w:szCs w:val="24"/>
        </w:rPr>
        <w:t>Renaturyzacji</w:t>
      </w:r>
      <w:proofErr w:type="spellEnd"/>
      <w:r w:rsidRPr="008F589B">
        <w:rPr>
          <w:rFonts w:ascii="Verdana" w:eastAsia="Times New Roman" w:hAnsi="Verdana"/>
          <w:color w:val="000000"/>
          <w:szCs w:val="24"/>
        </w:rPr>
        <w:t xml:space="preserve"> Wód Powierzchniowych</w:t>
      </w:r>
      <w:r w:rsidR="008F589B">
        <w:rPr>
          <w:rFonts w:ascii="Verdana" w:eastAsia="Times New Roman" w:hAnsi="Verdana"/>
          <w:color w:val="000000"/>
          <w:szCs w:val="24"/>
        </w:rPr>
        <w:t>,</w:t>
      </w:r>
    </w:p>
    <w:p w14:paraId="70C0A1D7" w14:textId="7802D09C" w:rsidR="00E13817" w:rsidRPr="008F589B" w:rsidRDefault="00E13817" w:rsidP="008F589B">
      <w:pPr>
        <w:numPr>
          <w:ilvl w:val="0"/>
          <w:numId w:val="11"/>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zmiany w Planie Przeciwdziałania Skutkom Suszy</w:t>
      </w:r>
      <w:r w:rsidR="008F589B">
        <w:rPr>
          <w:rFonts w:ascii="Verdana" w:eastAsia="Times New Roman" w:hAnsi="Verdana"/>
          <w:color w:val="000000"/>
          <w:szCs w:val="24"/>
        </w:rPr>
        <w:t>.</w:t>
      </w:r>
    </w:p>
    <w:p w14:paraId="290DBB74" w14:textId="73E21EDB"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 xml:space="preserve">Z projektu KPO powinno zostać wykreślone przyjęcie tzw. specustawy suszowej, której zapisy jeszcze bardziej osłabiłyby ochronę bioróżnorodności w Polsce, nie przynosząc jednocześnie poprawy w obszarze przeciwdziałania suszy. </w:t>
      </w:r>
      <w:r w:rsidRPr="008F589B">
        <w:rPr>
          <w:rFonts w:ascii="Verdana" w:eastAsia="Times New Roman" w:hAnsi="Verdana"/>
          <w:b/>
          <w:bCs/>
          <w:color w:val="000000"/>
          <w:szCs w:val="24"/>
        </w:rPr>
        <w:t xml:space="preserve">KPO powinno zagwarantować, że żadne inwestycje infrastrukturalne w obszarach transportu i energetyki nie będą realizowane z pominięciem (np. za pomocą kolejnej specustawy) obowiązujących regulacji polskich i unijnych lub zasady "nie czyń poważnych szkód", a także, że inwestycje te uwzględnią ocenę  prognozowanych skutków zdrowotnych proponowanych działań dla społeczności lokalnych lub/i całości społeczeństwa. </w:t>
      </w:r>
      <w:r w:rsidRPr="008F589B">
        <w:rPr>
          <w:rFonts w:ascii="Verdana" w:eastAsia="Times New Roman" w:hAnsi="Verdana"/>
          <w:color w:val="000000"/>
          <w:szCs w:val="24"/>
        </w:rPr>
        <w:t xml:space="preserve">Miasta i aglomeracje winny </w:t>
      </w:r>
      <w:r w:rsidR="008F589B" w:rsidRPr="008F589B">
        <w:rPr>
          <w:rFonts w:ascii="Verdana" w:eastAsia="Times New Roman" w:hAnsi="Verdana"/>
          <w:color w:val="000000"/>
          <w:szCs w:val="24"/>
        </w:rPr>
        <w:t>zaplanować</w:t>
      </w:r>
      <w:r w:rsidRPr="008F589B">
        <w:rPr>
          <w:rFonts w:ascii="Verdana" w:eastAsia="Times New Roman" w:hAnsi="Verdana"/>
          <w:color w:val="000000"/>
          <w:szCs w:val="24"/>
        </w:rPr>
        <w:t xml:space="preserve">́ </w:t>
      </w:r>
      <w:r w:rsidR="008F589B" w:rsidRPr="008F589B">
        <w:rPr>
          <w:rFonts w:ascii="Verdana" w:eastAsia="Times New Roman" w:hAnsi="Verdana"/>
          <w:color w:val="000000"/>
          <w:szCs w:val="24"/>
        </w:rPr>
        <w:t>spójne</w:t>
      </w:r>
      <w:r w:rsidRPr="008F589B">
        <w:rPr>
          <w:rFonts w:ascii="Verdana" w:eastAsia="Times New Roman" w:hAnsi="Verdana"/>
          <w:color w:val="000000"/>
          <w:szCs w:val="24"/>
        </w:rPr>
        <w:t xml:space="preserve">, </w:t>
      </w:r>
      <w:r w:rsidR="008F589B" w:rsidRPr="008F589B">
        <w:rPr>
          <w:rFonts w:ascii="Verdana" w:eastAsia="Times New Roman" w:hAnsi="Verdana"/>
          <w:color w:val="000000"/>
          <w:szCs w:val="24"/>
        </w:rPr>
        <w:t>całościowe</w:t>
      </w:r>
      <w:r w:rsidRPr="008F589B">
        <w:rPr>
          <w:rFonts w:ascii="Verdana" w:eastAsia="Times New Roman" w:hAnsi="Verdana"/>
          <w:color w:val="000000"/>
          <w:szCs w:val="24"/>
        </w:rPr>
        <w:t xml:space="preserve"> systemy transportu publicznego (szynowego i kołowego – </w:t>
      </w:r>
      <w:r w:rsidR="008F589B" w:rsidRPr="008F589B">
        <w:rPr>
          <w:rFonts w:ascii="Verdana" w:eastAsia="Times New Roman" w:hAnsi="Verdana"/>
          <w:color w:val="000000"/>
          <w:szCs w:val="24"/>
        </w:rPr>
        <w:t>również</w:t>
      </w:r>
      <w:r w:rsidRPr="008F589B">
        <w:rPr>
          <w:rFonts w:ascii="Arial" w:eastAsia="Times New Roman" w:hAnsi="Arial" w:cs="Arial"/>
          <w:color w:val="000000"/>
          <w:szCs w:val="24"/>
        </w:rPr>
        <w:t>̇</w:t>
      </w:r>
      <w:r w:rsidRPr="008F589B">
        <w:rPr>
          <w:rFonts w:ascii="Verdana" w:eastAsia="Times New Roman" w:hAnsi="Verdana"/>
          <w:color w:val="000000"/>
          <w:szCs w:val="24"/>
        </w:rPr>
        <w:t xml:space="preserve"> z wykorzystaniem </w:t>
      </w:r>
      <w:r w:rsidR="008F589B" w:rsidRPr="008F589B">
        <w:rPr>
          <w:rFonts w:ascii="Verdana" w:eastAsia="Times New Roman" w:hAnsi="Verdana"/>
          <w:color w:val="000000"/>
          <w:szCs w:val="24"/>
        </w:rPr>
        <w:t>istnieją</w:t>
      </w:r>
      <w:r w:rsidR="008F589B" w:rsidRPr="008F589B">
        <w:rPr>
          <w:rFonts w:ascii="Arial" w:eastAsia="Times New Roman" w:hAnsi="Arial" w:cs="Arial"/>
          <w:color w:val="000000"/>
          <w:szCs w:val="24"/>
        </w:rPr>
        <w:t>c</w:t>
      </w:r>
      <w:r w:rsidR="008F589B" w:rsidRPr="008F589B">
        <w:rPr>
          <w:rFonts w:ascii="Verdana" w:eastAsia="Times New Roman" w:hAnsi="Verdana"/>
          <w:color w:val="000000"/>
          <w:szCs w:val="24"/>
        </w:rPr>
        <w:t>ej</w:t>
      </w:r>
      <w:r w:rsidRPr="008F589B">
        <w:rPr>
          <w:rFonts w:ascii="Verdana" w:eastAsia="Times New Roman" w:hAnsi="Verdana"/>
          <w:color w:val="000000"/>
          <w:szCs w:val="24"/>
        </w:rPr>
        <w:t xml:space="preserve"> infrastruktury PKP), uzupełnionego promocja</w:t>
      </w:r>
      <w:r w:rsidRPr="008F589B">
        <w:rPr>
          <w:rFonts w:ascii="Arial" w:eastAsia="Times New Roman" w:hAnsi="Arial" w:cs="Arial"/>
          <w:color w:val="000000"/>
          <w:szCs w:val="24"/>
        </w:rPr>
        <w:t>̨</w:t>
      </w:r>
      <w:r w:rsidRPr="008F589B">
        <w:rPr>
          <w:rFonts w:ascii="Verdana" w:eastAsia="Times New Roman" w:hAnsi="Verdana"/>
          <w:color w:val="000000"/>
          <w:szCs w:val="24"/>
        </w:rPr>
        <w:t xml:space="preserve"> ruchu i </w:t>
      </w:r>
      <w:r w:rsidR="008F589B" w:rsidRPr="008F589B">
        <w:rPr>
          <w:rFonts w:ascii="Verdana" w:eastAsia="Times New Roman" w:hAnsi="Verdana"/>
          <w:color w:val="000000"/>
          <w:szCs w:val="24"/>
        </w:rPr>
        <w:t>ścieże</w:t>
      </w:r>
      <w:r w:rsidR="008F589B" w:rsidRPr="008F589B">
        <w:rPr>
          <w:rFonts w:ascii="Arial" w:eastAsia="Times New Roman" w:hAnsi="Arial" w:cs="Arial"/>
          <w:color w:val="000000"/>
          <w:szCs w:val="24"/>
        </w:rPr>
        <w:t>k</w:t>
      </w:r>
      <w:r w:rsidRPr="008F589B">
        <w:rPr>
          <w:rFonts w:ascii="Verdana" w:eastAsia="Times New Roman" w:hAnsi="Verdana"/>
          <w:color w:val="000000"/>
          <w:szCs w:val="24"/>
        </w:rPr>
        <w:t xml:space="preserve"> rowerowych. Pojazd indywidualny (</w:t>
      </w:r>
      <w:r w:rsidR="008F589B" w:rsidRPr="008F589B">
        <w:rPr>
          <w:rFonts w:ascii="Verdana" w:eastAsia="Times New Roman" w:hAnsi="Verdana"/>
          <w:color w:val="000000"/>
          <w:szCs w:val="24"/>
        </w:rPr>
        <w:t>również</w:t>
      </w:r>
      <w:r w:rsidRPr="008F589B">
        <w:rPr>
          <w:rFonts w:ascii="Arial" w:eastAsia="Times New Roman" w:hAnsi="Arial" w:cs="Arial"/>
          <w:color w:val="000000"/>
          <w:szCs w:val="24"/>
        </w:rPr>
        <w:t>̇</w:t>
      </w:r>
      <w:r w:rsidRPr="008F589B">
        <w:rPr>
          <w:rFonts w:ascii="Verdana" w:eastAsia="Times New Roman" w:hAnsi="Verdana"/>
          <w:color w:val="000000"/>
          <w:szCs w:val="24"/>
        </w:rPr>
        <w:t xml:space="preserve"> elektryczny i niskoemisyjny) </w:t>
      </w:r>
      <w:r w:rsidR="008F589B">
        <w:rPr>
          <w:rFonts w:ascii="Verdana" w:eastAsia="Times New Roman" w:hAnsi="Verdana"/>
          <w:b/>
          <w:bCs/>
          <w:color w:val="000000"/>
          <w:szCs w:val="24"/>
        </w:rPr>
        <w:t>nie moż</w:t>
      </w:r>
      <w:r w:rsidRPr="008F589B">
        <w:rPr>
          <w:rFonts w:ascii="Verdana" w:eastAsia="Times New Roman" w:hAnsi="Verdana"/>
          <w:b/>
          <w:bCs/>
          <w:color w:val="000000"/>
          <w:szCs w:val="24"/>
        </w:rPr>
        <w:t>e</w:t>
      </w:r>
      <w:r w:rsidRPr="008F589B">
        <w:rPr>
          <w:rFonts w:ascii="Verdana" w:eastAsia="Times New Roman" w:hAnsi="Verdana"/>
          <w:color w:val="000000"/>
          <w:szCs w:val="24"/>
        </w:rPr>
        <w:t xml:space="preserve"> </w:t>
      </w:r>
      <w:r w:rsidR="008F589B" w:rsidRPr="008F589B">
        <w:rPr>
          <w:rFonts w:ascii="Verdana" w:eastAsia="Times New Roman" w:hAnsi="Verdana"/>
          <w:color w:val="000000"/>
          <w:szCs w:val="24"/>
        </w:rPr>
        <w:t>stanowić</w:t>
      </w:r>
      <w:r w:rsidRPr="008F589B">
        <w:rPr>
          <w:rFonts w:ascii="Verdana" w:eastAsia="Times New Roman" w:hAnsi="Verdana"/>
          <w:color w:val="000000"/>
          <w:szCs w:val="24"/>
        </w:rPr>
        <w:t xml:space="preserve">́ trzonu tej koncepcji. </w:t>
      </w:r>
      <w:r w:rsidR="008F589B" w:rsidRPr="008F589B">
        <w:rPr>
          <w:rFonts w:ascii="Verdana" w:eastAsia="Times New Roman" w:hAnsi="Verdana"/>
          <w:color w:val="000000"/>
          <w:szCs w:val="24"/>
        </w:rPr>
        <w:t>Spójne</w:t>
      </w:r>
      <w:r w:rsidRPr="008F589B">
        <w:rPr>
          <w:rFonts w:ascii="Verdana" w:eastAsia="Times New Roman" w:hAnsi="Verdana"/>
          <w:color w:val="000000"/>
          <w:szCs w:val="24"/>
        </w:rPr>
        <w:t xml:space="preserve"> plany i programy winny </w:t>
      </w:r>
      <w:proofErr w:type="spellStart"/>
      <w:r w:rsidRPr="008F589B">
        <w:rPr>
          <w:rFonts w:ascii="Verdana" w:eastAsia="Times New Roman" w:hAnsi="Verdana"/>
          <w:color w:val="000000"/>
          <w:szCs w:val="24"/>
        </w:rPr>
        <w:t>byc</w:t>
      </w:r>
      <w:proofErr w:type="spellEnd"/>
      <w:r w:rsidRPr="008F589B">
        <w:rPr>
          <w:rFonts w:ascii="Verdana" w:eastAsia="Times New Roman" w:hAnsi="Verdana"/>
          <w:color w:val="000000"/>
          <w:szCs w:val="24"/>
        </w:rPr>
        <w:t>́ warunkiem uzyskania wsparcia z KPO. Ponadto kryterium zgodności z zasadą „nie czyń poważnych szkód” winny być poddane wszystkie projekty konkursowe, zgłaszane na realizację działań KPO.</w:t>
      </w:r>
    </w:p>
    <w:p w14:paraId="20689862" w14:textId="77777777" w:rsidR="009445CF" w:rsidRPr="008F589B" w:rsidRDefault="009445CF" w:rsidP="008F589B">
      <w:pPr>
        <w:spacing w:line="360" w:lineRule="auto"/>
        <w:rPr>
          <w:rFonts w:ascii="Verdana" w:eastAsia="Times New Roman" w:hAnsi="Verdana"/>
          <w:b/>
          <w:bCs/>
          <w:color w:val="000000"/>
          <w:szCs w:val="24"/>
        </w:rPr>
      </w:pPr>
    </w:p>
    <w:p w14:paraId="724718FC" w14:textId="30B810C8" w:rsidR="00E13817" w:rsidRPr="008F589B" w:rsidRDefault="00E13817" w:rsidP="008F589B">
      <w:pPr>
        <w:spacing w:line="360" w:lineRule="auto"/>
        <w:rPr>
          <w:rFonts w:ascii="Verdana" w:eastAsia="Times New Roman" w:hAnsi="Verdana"/>
          <w:b/>
          <w:bCs/>
          <w:color w:val="000000"/>
          <w:szCs w:val="24"/>
        </w:rPr>
      </w:pPr>
      <w:r w:rsidRPr="008F589B">
        <w:rPr>
          <w:rFonts w:ascii="Verdana" w:eastAsia="Times New Roman" w:hAnsi="Verdana"/>
          <w:b/>
          <w:bCs/>
          <w:color w:val="000000"/>
          <w:szCs w:val="24"/>
        </w:rPr>
        <w:t>KOMPONENT C TRANSFORMACJA CYFROWA:</w:t>
      </w:r>
    </w:p>
    <w:p w14:paraId="2C967C46" w14:textId="77777777" w:rsidR="00E13817" w:rsidRPr="008F589B" w:rsidRDefault="00E13817" w:rsidP="008F589B">
      <w:pPr>
        <w:spacing w:line="360" w:lineRule="auto"/>
        <w:jc w:val="both"/>
        <w:rPr>
          <w:rFonts w:ascii="Verdana" w:hAnsi="Verdana"/>
          <w:szCs w:val="24"/>
        </w:rPr>
      </w:pPr>
    </w:p>
    <w:p w14:paraId="242A65AB" w14:textId="350B09E4"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Organizacje społeczeństwa obywatelskiego i obywatele/</w:t>
      </w:r>
      <w:proofErr w:type="spellStart"/>
      <w:r w:rsidRPr="008F589B">
        <w:rPr>
          <w:rFonts w:ascii="Verdana" w:eastAsia="Times New Roman" w:hAnsi="Verdana" w:cs="Calibri"/>
          <w:color w:val="000000"/>
          <w:szCs w:val="24"/>
        </w:rPr>
        <w:t>lki</w:t>
      </w:r>
      <w:proofErr w:type="spellEnd"/>
      <w:r w:rsidRPr="008F589B">
        <w:rPr>
          <w:rFonts w:ascii="Verdana" w:eastAsia="Times New Roman" w:hAnsi="Verdana" w:cs="Calibri"/>
          <w:color w:val="000000"/>
          <w:szCs w:val="24"/>
        </w:rPr>
        <w:t xml:space="preserve"> w obecnym kształcie KPO nie istnieją w obszarze cyf</w:t>
      </w:r>
      <w:r w:rsidR="009445CF" w:rsidRPr="008F589B">
        <w:rPr>
          <w:rFonts w:ascii="Verdana" w:eastAsia="Times New Roman" w:hAnsi="Verdana" w:cs="Calibri"/>
          <w:color w:val="000000"/>
          <w:szCs w:val="24"/>
        </w:rPr>
        <w:t>rowym. Postęp technologicznej i </w:t>
      </w:r>
      <w:r w:rsidRPr="008F589B">
        <w:rPr>
          <w:rFonts w:ascii="Verdana" w:eastAsia="Times New Roman" w:hAnsi="Verdana" w:cs="Calibri"/>
          <w:color w:val="000000"/>
          <w:szCs w:val="24"/>
        </w:rPr>
        <w:t xml:space="preserve">cyfrowej transformacji może nasilić kilka zjawisk: </w:t>
      </w:r>
    </w:p>
    <w:p w14:paraId="70AD6CD0" w14:textId="77777777" w:rsidR="009445CF" w:rsidRPr="008F589B" w:rsidRDefault="00E13817" w:rsidP="008F589B">
      <w:pPr>
        <w:pStyle w:val="Akapitzlist"/>
        <w:numPr>
          <w:ilvl w:val="0"/>
          <w:numId w:val="31"/>
        </w:numPr>
        <w:spacing w:after="0" w:line="360" w:lineRule="auto"/>
        <w:jc w:val="both"/>
        <w:rPr>
          <w:rFonts w:ascii="Verdana" w:eastAsia="Times New Roman" w:hAnsi="Verdana" w:cs="Calibri"/>
          <w:color w:val="000000"/>
          <w:sz w:val="24"/>
          <w:szCs w:val="24"/>
        </w:rPr>
      </w:pPr>
      <w:r w:rsidRPr="008F589B">
        <w:rPr>
          <w:rFonts w:ascii="Verdana" w:eastAsia="Times New Roman" w:hAnsi="Verdana" w:cs="Calibri"/>
          <w:color w:val="000000"/>
          <w:sz w:val="24"/>
          <w:szCs w:val="24"/>
        </w:rPr>
        <w:t xml:space="preserve">ubóstwo cyfrowe zarówno w wymiarze ludzkim jak i podmiotowym, </w:t>
      </w:r>
    </w:p>
    <w:p w14:paraId="17661548" w14:textId="77777777" w:rsidR="009445CF" w:rsidRPr="008F589B" w:rsidRDefault="00E13817" w:rsidP="008F589B">
      <w:pPr>
        <w:pStyle w:val="Akapitzlist"/>
        <w:numPr>
          <w:ilvl w:val="0"/>
          <w:numId w:val="31"/>
        </w:numPr>
        <w:spacing w:after="0" w:line="360" w:lineRule="auto"/>
        <w:jc w:val="both"/>
        <w:rPr>
          <w:rFonts w:ascii="Verdana" w:eastAsia="Times New Roman" w:hAnsi="Verdana" w:cs="Calibri"/>
          <w:color w:val="000000"/>
          <w:sz w:val="24"/>
          <w:szCs w:val="24"/>
        </w:rPr>
      </w:pPr>
      <w:r w:rsidRPr="008F589B">
        <w:rPr>
          <w:rFonts w:ascii="Verdana" w:eastAsia="Times New Roman" w:hAnsi="Verdana" w:cs="Calibri"/>
          <w:color w:val="000000"/>
          <w:sz w:val="24"/>
          <w:szCs w:val="24"/>
        </w:rPr>
        <w:t>wykluczenie z dostępu do e-usług części społeczeństwa;</w:t>
      </w:r>
    </w:p>
    <w:p w14:paraId="1FF81A70" w14:textId="4AD98F95" w:rsidR="00E13817" w:rsidRPr="008F589B" w:rsidRDefault="00E13817" w:rsidP="008F589B">
      <w:pPr>
        <w:pStyle w:val="Akapitzlist"/>
        <w:numPr>
          <w:ilvl w:val="0"/>
          <w:numId w:val="31"/>
        </w:numPr>
        <w:spacing w:after="0" w:line="360" w:lineRule="auto"/>
        <w:jc w:val="both"/>
        <w:rPr>
          <w:rFonts w:ascii="Verdana" w:eastAsia="Times New Roman" w:hAnsi="Verdana" w:cs="Calibri"/>
          <w:color w:val="000000"/>
          <w:sz w:val="24"/>
          <w:szCs w:val="24"/>
        </w:rPr>
      </w:pPr>
      <w:r w:rsidRPr="008F589B">
        <w:rPr>
          <w:rFonts w:ascii="Verdana" w:eastAsia="Times New Roman" w:hAnsi="Verdana" w:cs="Calibri"/>
          <w:color w:val="000000"/>
          <w:sz w:val="24"/>
          <w:szCs w:val="24"/>
        </w:rPr>
        <w:t>zmiany na rynku pracy w wyniku automatyzacji i robotyzacji.</w:t>
      </w:r>
    </w:p>
    <w:p w14:paraId="0C1B08D7"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Dlatego proponujemy rozbudowanie KOMPONENTU C „TRANSFORMACJA CYFROWA” o 2 inwestycje:</w:t>
      </w:r>
    </w:p>
    <w:p w14:paraId="042EE4E5" w14:textId="77777777" w:rsidR="00E13817" w:rsidRPr="008F589B" w:rsidRDefault="00E13817" w:rsidP="008F589B">
      <w:pPr>
        <w:spacing w:line="360" w:lineRule="auto"/>
        <w:jc w:val="both"/>
        <w:rPr>
          <w:rFonts w:ascii="Verdana" w:eastAsia="Times New Roman" w:hAnsi="Verdana" w:cs="Calibri"/>
          <w:color w:val="000000"/>
          <w:szCs w:val="24"/>
        </w:rPr>
      </w:pPr>
    </w:p>
    <w:p w14:paraId="160FCEEE" w14:textId="3B48095D" w:rsidR="00E13817" w:rsidRPr="008F589B" w:rsidRDefault="00E13817" w:rsidP="008F589B">
      <w:pPr>
        <w:spacing w:line="360" w:lineRule="auto"/>
        <w:jc w:val="both"/>
        <w:rPr>
          <w:rFonts w:ascii="Verdana" w:eastAsia="Times New Roman" w:hAnsi="Verdana" w:cs="Calibri"/>
          <w:b/>
          <w:bCs/>
          <w:color w:val="000000"/>
          <w:szCs w:val="24"/>
        </w:rPr>
      </w:pPr>
      <w:r w:rsidRPr="008F589B">
        <w:rPr>
          <w:rFonts w:ascii="Verdana" w:eastAsia="Times New Roman" w:hAnsi="Verdana" w:cs="Calibri"/>
          <w:b/>
          <w:bCs/>
          <w:color w:val="000000"/>
          <w:szCs w:val="24"/>
        </w:rPr>
        <w:lastRenderedPageBreak/>
        <w:t>INWESTYCJA 1: DOSTOSOWANIE USŁUG SPOŁECZNYCH DO CYFROWEJ TRANSFORMACJI</w:t>
      </w:r>
    </w:p>
    <w:p w14:paraId="559BFBDB" w14:textId="77777777" w:rsidR="004639F3" w:rsidRPr="008F589B" w:rsidRDefault="004639F3" w:rsidP="008F589B">
      <w:pPr>
        <w:spacing w:line="360" w:lineRule="auto"/>
        <w:jc w:val="both"/>
        <w:rPr>
          <w:rFonts w:ascii="Verdana" w:eastAsia="Times New Roman" w:hAnsi="Verdana" w:cs="Calibri"/>
          <w:b/>
          <w:bCs/>
          <w:color w:val="000000"/>
          <w:szCs w:val="24"/>
        </w:rPr>
      </w:pPr>
    </w:p>
    <w:p w14:paraId="77823A9A" w14:textId="1B5F4BE4"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Organizacje społeczeństwa obywatelskiego wykorzystują technologię, oprogramowania m.in. do tworzenia nowych e-usług, jak i dostosowywania aktualnych chociażby do warunków pandemii. Brak obecności organizacji społeczeństwa obywatelskiego w obszarze B+R stanowi kolejny element wykluczenia tych podmiotów z transformacj</w:t>
      </w:r>
      <w:r w:rsidR="009445CF" w:rsidRPr="008F589B">
        <w:rPr>
          <w:rFonts w:ascii="Verdana" w:eastAsia="Times New Roman" w:hAnsi="Verdana" w:cs="Calibri"/>
          <w:color w:val="000000"/>
          <w:szCs w:val="24"/>
        </w:rPr>
        <w:t>i cyfrowej, która jest jednym z </w:t>
      </w:r>
      <w:r w:rsidRPr="008F589B">
        <w:rPr>
          <w:rFonts w:ascii="Verdana" w:eastAsia="Times New Roman" w:hAnsi="Verdana" w:cs="Calibri"/>
          <w:color w:val="000000"/>
          <w:szCs w:val="24"/>
        </w:rPr>
        <w:t>priorytetów Unii Europejskiej.</w:t>
      </w:r>
    </w:p>
    <w:p w14:paraId="5A0F2459"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Cyfryzacja usług, prototypowanie, współpraca z uczelniami i przedsiębiorcami wymaga nakładów, które są potrzebne także w obszarze usług społecznych.</w:t>
      </w:r>
    </w:p>
    <w:p w14:paraId="11F254A9" w14:textId="77777777" w:rsidR="00E13817" w:rsidRPr="008F589B" w:rsidRDefault="00E13817" w:rsidP="008F589B">
      <w:pPr>
        <w:spacing w:line="360" w:lineRule="auto"/>
        <w:jc w:val="both"/>
        <w:rPr>
          <w:rFonts w:ascii="Verdana" w:eastAsia="Times New Roman" w:hAnsi="Verdana" w:cs="Calibri"/>
          <w:color w:val="000000"/>
          <w:szCs w:val="24"/>
        </w:rPr>
      </w:pPr>
    </w:p>
    <w:p w14:paraId="18A68135" w14:textId="5C19D23B" w:rsidR="00E13817" w:rsidRPr="008F589B" w:rsidRDefault="00E13817" w:rsidP="008F589B">
      <w:pPr>
        <w:spacing w:line="360" w:lineRule="auto"/>
        <w:jc w:val="both"/>
        <w:rPr>
          <w:rFonts w:ascii="Verdana" w:eastAsia="Times New Roman" w:hAnsi="Verdana" w:cs="Calibri"/>
          <w:b/>
          <w:bCs/>
          <w:color w:val="000000"/>
          <w:szCs w:val="24"/>
        </w:rPr>
      </w:pPr>
      <w:r w:rsidRPr="008F589B">
        <w:rPr>
          <w:rFonts w:ascii="Verdana" w:eastAsia="Times New Roman" w:hAnsi="Verdana" w:cs="Calibri"/>
          <w:b/>
          <w:bCs/>
          <w:color w:val="000000"/>
          <w:szCs w:val="24"/>
        </w:rPr>
        <w:t xml:space="preserve">INWESTYCJA 2: PRZECIWDZIAŁANIE WYKLUCZENIU CYFROWEMU </w:t>
      </w:r>
    </w:p>
    <w:p w14:paraId="65A2FAD2" w14:textId="77777777" w:rsidR="004639F3" w:rsidRPr="008F589B" w:rsidRDefault="004639F3" w:rsidP="008F589B">
      <w:pPr>
        <w:spacing w:line="360" w:lineRule="auto"/>
        <w:jc w:val="both"/>
        <w:rPr>
          <w:rFonts w:ascii="Verdana" w:eastAsia="Times New Roman" w:hAnsi="Verdana" w:cs="Calibri"/>
          <w:b/>
          <w:bCs/>
          <w:color w:val="000000"/>
          <w:szCs w:val="24"/>
        </w:rPr>
      </w:pPr>
    </w:p>
    <w:p w14:paraId="46B78F5E"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 xml:space="preserve">Wykluczenie cyfrowe w obliczu planów cyfrowej transformacji może nasilić się w społeczeństwie. Szybszy postęp technologiczny i cyfryzacja wymagają m.in. edukacji i inwestycji także w gospodarstwach domowych. Praca zdalna sprawia, że zmienia się otoczenie pracy, sprzęt, ale też potrzeby edukacyjne. </w:t>
      </w:r>
    </w:p>
    <w:p w14:paraId="0B03DD12"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Rośnie skala e-usług publicznych. W podmiotach społecznych wdraża się masowo e-usługi z uwagi na pandemię i długotrwałą zmianę sposobu kontaktu.</w:t>
      </w:r>
    </w:p>
    <w:p w14:paraId="2E44BFCD"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Dlatego należy wyposażyć obywateli oraz podmioty w sprzęt, wiedzę i środki na rozwój cyfrowej świadomości i przeciwdziałanie ubóstwu cyfrowemu.</w:t>
      </w:r>
    </w:p>
    <w:p w14:paraId="04909287"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Udział organizacji społeczeństwa obywatelskiego i obywateli powinien być także obecny w takich inwestycjach jak:</w:t>
      </w:r>
    </w:p>
    <w:p w14:paraId="3951F419"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C2.1.1. E-usługi publiczne, rozwiązania IT usprawniające funkcjonowanie administracji i sektorów gospodarki oraz technologie przełomowe w sektorze publicznym, gospodarce, społeczeństwie</w:t>
      </w:r>
    </w:p>
    <w:p w14:paraId="180E3F9F" w14:textId="77777777" w:rsidR="00E13817" w:rsidRPr="008F589B" w:rsidRDefault="00E13817" w:rsidP="008F589B">
      <w:pPr>
        <w:spacing w:line="360" w:lineRule="auto"/>
        <w:jc w:val="both"/>
        <w:rPr>
          <w:rFonts w:ascii="Verdana" w:eastAsia="Times New Roman" w:hAnsi="Verdana" w:cs="Calibri"/>
          <w:color w:val="000000"/>
          <w:szCs w:val="24"/>
        </w:rPr>
      </w:pPr>
      <w:r w:rsidRPr="008F589B">
        <w:rPr>
          <w:rFonts w:ascii="Verdana" w:eastAsia="Times New Roman" w:hAnsi="Verdana" w:cs="Calibri"/>
          <w:color w:val="000000"/>
          <w:szCs w:val="24"/>
        </w:rPr>
        <w:t>C2.1.2. Cyfrowa infrastruktura szkół</w:t>
      </w:r>
    </w:p>
    <w:p w14:paraId="75AB76BF" w14:textId="77777777" w:rsidR="00E13817" w:rsidRPr="008F589B" w:rsidRDefault="00E13817" w:rsidP="008F589B">
      <w:pPr>
        <w:spacing w:line="360" w:lineRule="auto"/>
        <w:jc w:val="both"/>
        <w:rPr>
          <w:rFonts w:ascii="Verdana" w:eastAsia="Times New Roman" w:hAnsi="Verdana"/>
          <w:szCs w:val="24"/>
        </w:rPr>
      </w:pPr>
      <w:r w:rsidRPr="008F589B">
        <w:rPr>
          <w:rFonts w:ascii="Verdana" w:eastAsia="Times New Roman" w:hAnsi="Verdana" w:cs="Calibri"/>
          <w:color w:val="000000"/>
          <w:szCs w:val="24"/>
        </w:rPr>
        <w:t>C2.1.3. E-kompetencje</w:t>
      </w:r>
    </w:p>
    <w:p w14:paraId="2F7C29E3" w14:textId="77777777" w:rsidR="009445CF" w:rsidRPr="008F589B" w:rsidRDefault="009445CF" w:rsidP="008F589B">
      <w:pPr>
        <w:spacing w:line="360" w:lineRule="auto"/>
        <w:jc w:val="both"/>
        <w:rPr>
          <w:rFonts w:ascii="Verdana" w:eastAsia="Times New Roman" w:hAnsi="Verdana"/>
          <w:color w:val="000000"/>
          <w:szCs w:val="24"/>
        </w:rPr>
      </w:pPr>
    </w:p>
    <w:p w14:paraId="2B4C1396" w14:textId="6D7EAB3D" w:rsidR="00E13817" w:rsidRPr="008F589B" w:rsidRDefault="00E13817" w:rsidP="008F589B">
      <w:pPr>
        <w:spacing w:line="360" w:lineRule="auto"/>
        <w:jc w:val="both"/>
        <w:rPr>
          <w:rFonts w:ascii="Verdana" w:hAnsi="Verdana"/>
          <w:szCs w:val="24"/>
        </w:rPr>
      </w:pPr>
      <w:r w:rsidRPr="008F589B">
        <w:rPr>
          <w:rFonts w:ascii="Verdana" w:eastAsia="Times New Roman" w:hAnsi="Verdana"/>
          <w:b/>
          <w:bCs/>
          <w:color w:val="000000"/>
          <w:szCs w:val="24"/>
        </w:rPr>
        <w:lastRenderedPageBreak/>
        <w:t>KOMPONENT D EFEKTYWNOŚĆ, DOSTĘPNOŚĆ I JAKOŚĆ SYSTEMU OCHRONY ZDROWIA:</w:t>
      </w:r>
    </w:p>
    <w:p w14:paraId="20982887" w14:textId="77777777" w:rsidR="00E13817" w:rsidRPr="008F589B" w:rsidRDefault="00E13817" w:rsidP="008F589B">
      <w:pPr>
        <w:spacing w:line="360" w:lineRule="auto"/>
        <w:jc w:val="both"/>
        <w:rPr>
          <w:rFonts w:ascii="Verdana" w:eastAsia="Times New Roman" w:hAnsi="Verdana"/>
          <w:b/>
          <w:bCs/>
          <w:color w:val="000000"/>
          <w:szCs w:val="24"/>
        </w:rPr>
      </w:pPr>
    </w:p>
    <w:p w14:paraId="08577E04" w14:textId="77777777" w:rsidR="00E13817" w:rsidRPr="008F589B" w:rsidRDefault="00E13817" w:rsidP="008F589B">
      <w:pPr>
        <w:spacing w:line="360" w:lineRule="auto"/>
        <w:jc w:val="both"/>
        <w:rPr>
          <w:rFonts w:ascii="Verdana" w:hAnsi="Verdana"/>
          <w:szCs w:val="24"/>
        </w:rPr>
      </w:pPr>
      <w:r w:rsidRPr="008F589B">
        <w:rPr>
          <w:rFonts w:ascii="Verdana" w:eastAsia="Times New Roman" w:hAnsi="Verdana"/>
          <w:b/>
          <w:bCs/>
          <w:color w:val="000000"/>
          <w:szCs w:val="24"/>
        </w:rPr>
        <w:t>Postulujemy:</w:t>
      </w:r>
    </w:p>
    <w:p w14:paraId="1F8A110F" w14:textId="77777777" w:rsidR="00E13817" w:rsidRPr="008F589B" w:rsidRDefault="00E13817" w:rsidP="008F589B">
      <w:pPr>
        <w:numPr>
          <w:ilvl w:val="0"/>
          <w:numId w:val="12"/>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Zmianę nazwy komponentu D na „</w:t>
      </w:r>
      <w:bookmarkStart w:id="0" w:name="_Hlk68596310"/>
      <w:r w:rsidRPr="008F589B">
        <w:rPr>
          <w:rFonts w:ascii="Verdana" w:eastAsia="Times New Roman" w:hAnsi="Verdana"/>
          <w:color w:val="000000"/>
          <w:szCs w:val="24"/>
        </w:rPr>
        <w:t>Efektywność, dostępność i jakość systemu ochrony zdrowia i usług społecznych</w:t>
      </w:r>
      <w:bookmarkEnd w:id="0"/>
      <w:r w:rsidRPr="008F589B">
        <w:rPr>
          <w:rFonts w:ascii="Verdana" w:eastAsia="Times New Roman" w:hAnsi="Verdana"/>
          <w:color w:val="000000"/>
          <w:szCs w:val="24"/>
        </w:rPr>
        <w:t>.” oraz o dodanie dwóch reform i czterech inwestycji oraz uzupełnienia opisu istniejącej inwestycji.</w:t>
      </w:r>
    </w:p>
    <w:p w14:paraId="0EBD295F" w14:textId="77777777" w:rsidR="00E13817" w:rsidRPr="008F589B" w:rsidRDefault="00E13817" w:rsidP="008F589B">
      <w:pPr>
        <w:spacing w:line="360" w:lineRule="auto"/>
        <w:ind w:left="720"/>
        <w:jc w:val="both"/>
        <w:rPr>
          <w:rFonts w:ascii="Verdana" w:eastAsia="Times New Roman" w:hAnsi="Verdana"/>
          <w:color w:val="000000"/>
          <w:szCs w:val="24"/>
        </w:rPr>
      </w:pPr>
    </w:p>
    <w:p w14:paraId="1E98D413" w14:textId="2BC6CC4E" w:rsidR="005619C1" w:rsidRPr="008F589B" w:rsidRDefault="00E13817" w:rsidP="008F589B">
      <w:pPr>
        <w:numPr>
          <w:ilvl w:val="0"/>
          <w:numId w:val="12"/>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Opis istniejącej inwestycji D1.1.1 “Rozwój i modernizacja infrastruktury podmiotów leczniczych” należy uzupełnić o instrumenty zapewniające dostępność gabinetów gi</w:t>
      </w:r>
      <w:r w:rsidR="009445CF" w:rsidRPr="008F589B">
        <w:rPr>
          <w:rFonts w:ascii="Verdana" w:eastAsia="Times New Roman" w:hAnsi="Verdana"/>
          <w:color w:val="000000"/>
          <w:szCs w:val="24"/>
        </w:rPr>
        <w:t>nekologicznych, urologicznych i </w:t>
      </w:r>
      <w:r w:rsidRPr="008F589B">
        <w:rPr>
          <w:rFonts w:ascii="Verdana" w:eastAsia="Times New Roman" w:hAnsi="Verdana"/>
          <w:color w:val="000000"/>
          <w:szCs w:val="24"/>
        </w:rPr>
        <w:t>stomatologicznych oraz dostosowanie  w zakresie oczekiwań osób ze szczególnymi potrzebami w tym osób z niepełnosprawnością.</w:t>
      </w:r>
    </w:p>
    <w:p w14:paraId="425FB52E" w14:textId="6353ABE4"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KPO powinna zawierać rozwiązania zapewniające pełną dostępność usług zdrowotnych dla osób ze szczeg</w:t>
      </w:r>
      <w:r w:rsidR="009445CF" w:rsidRPr="008F589B">
        <w:rPr>
          <w:rFonts w:ascii="Verdana" w:eastAsia="Times New Roman" w:hAnsi="Verdana"/>
          <w:color w:val="000000"/>
          <w:szCs w:val="24"/>
        </w:rPr>
        <w:t>ólnymi potrzebami, w tym osób z </w:t>
      </w:r>
      <w:r w:rsidRPr="008F589B">
        <w:rPr>
          <w:rFonts w:ascii="Verdana" w:eastAsia="Times New Roman" w:hAnsi="Verdana"/>
          <w:color w:val="000000"/>
          <w:szCs w:val="24"/>
        </w:rPr>
        <w:t>niepełnosprawnościami. Te działania powinny wspierać usunięcie barier architektonicznych i komunikacyjnych. Jeśli chodzi o dostępność komunikacyjną, to należy zapewnić komunikację w Polskim Języku Migowym, języku łatwy do czytania i zrozumienia (ETR), komu</w:t>
      </w:r>
      <w:r w:rsidR="009445CF" w:rsidRPr="008F589B">
        <w:rPr>
          <w:rFonts w:ascii="Verdana" w:eastAsia="Times New Roman" w:hAnsi="Verdana"/>
          <w:color w:val="000000"/>
          <w:szCs w:val="24"/>
        </w:rPr>
        <w:t>nikację wspomagającą i </w:t>
      </w:r>
      <w:r w:rsidRPr="008F589B">
        <w:rPr>
          <w:rFonts w:ascii="Verdana" w:eastAsia="Times New Roman" w:hAnsi="Verdana"/>
          <w:color w:val="000000"/>
          <w:szCs w:val="24"/>
        </w:rPr>
        <w:t>alternatywną (AAC). Pandemia pokazała, że do szpitali trafiają pacjenci/</w:t>
      </w:r>
      <w:proofErr w:type="spellStart"/>
      <w:r w:rsidRPr="008F589B">
        <w:rPr>
          <w:rFonts w:ascii="Verdana" w:eastAsia="Times New Roman" w:hAnsi="Verdana"/>
          <w:color w:val="000000"/>
          <w:szCs w:val="24"/>
        </w:rPr>
        <w:t>tki</w:t>
      </w:r>
      <w:proofErr w:type="spellEnd"/>
      <w:r w:rsidRPr="008F589B">
        <w:rPr>
          <w:rFonts w:ascii="Verdana" w:eastAsia="Times New Roman" w:hAnsi="Verdana"/>
          <w:color w:val="000000"/>
          <w:szCs w:val="24"/>
        </w:rPr>
        <w:t xml:space="preserve"> W KPO warto także zawierać instrumenty wspierające zapewnienie odpowiedniej ilości i dostępności gabinetów gi</w:t>
      </w:r>
      <w:r w:rsidR="009445CF" w:rsidRPr="008F589B">
        <w:rPr>
          <w:rFonts w:ascii="Verdana" w:eastAsia="Times New Roman" w:hAnsi="Verdana"/>
          <w:color w:val="000000"/>
          <w:szCs w:val="24"/>
        </w:rPr>
        <w:t>nekologicznych, urologicznych i </w:t>
      </w:r>
      <w:r w:rsidRPr="008F589B">
        <w:rPr>
          <w:rFonts w:ascii="Verdana" w:eastAsia="Times New Roman" w:hAnsi="Verdana"/>
          <w:color w:val="000000"/>
          <w:szCs w:val="24"/>
        </w:rPr>
        <w:t xml:space="preserve">stomatologicznych </w:t>
      </w:r>
      <w:r w:rsidR="009445CF" w:rsidRPr="008F589B">
        <w:rPr>
          <w:rFonts w:ascii="Verdana" w:eastAsia="Times New Roman" w:hAnsi="Verdana"/>
          <w:color w:val="000000"/>
          <w:szCs w:val="24"/>
        </w:rPr>
        <w:t>dostosowanych do potrzeb osób z </w:t>
      </w:r>
      <w:r w:rsidRPr="008F589B">
        <w:rPr>
          <w:rFonts w:ascii="Verdana" w:eastAsia="Times New Roman" w:hAnsi="Verdana"/>
          <w:color w:val="000000"/>
          <w:szCs w:val="24"/>
        </w:rPr>
        <w:t>niepełnosprawnościami.</w:t>
      </w:r>
    </w:p>
    <w:p w14:paraId="6CB67CC6" w14:textId="77777777" w:rsidR="00E13817" w:rsidRPr="008F589B" w:rsidRDefault="00E13817" w:rsidP="008F589B">
      <w:pPr>
        <w:spacing w:line="360" w:lineRule="auto"/>
        <w:jc w:val="both"/>
        <w:rPr>
          <w:rFonts w:ascii="Verdana" w:hAnsi="Verdana"/>
          <w:szCs w:val="24"/>
        </w:rPr>
      </w:pPr>
    </w:p>
    <w:p w14:paraId="1D32B1B8" w14:textId="3FC2376A" w:rsidR="008F589B" w:rsidRPr="008F589B" w:rsidRDefault="00E13817" w:rsidP="008F589B">
      <w:pPr>
        <w:pStyle w:val="Akapitzlist"/>
        <w:numPr>
          <w:ilvl w:val="0"/>
          <w:numId w:val="12"/>
        </w:numPr>
        <w:suppressAutoHyphens/>
        <w:autoSpaceDN w:val="0"/>
        <w:spacing w:after="0" w:line="360" w:lineRule="auto"/>
        <w:jc w:val="both"/>
        <w:textAlignment w:val="baseline"/>
        <w:rPr>
          <w:rFonts w:ascii="Verdana" w:hAnsi="Verdana"/>
          <w:sz w:val="24"/>
          <w:szCs w:val="24"/>
        </w:rPr>
      </w:pPr>
      <w:r w:rsidRPr="008F589B">
        <w:rPr>
          <w:rFonts w:ascii="Verdana" w:eastAsia="Times New Roman" w:hAnsi="Verdana"/>
          <w:color w:val="000000"/>
          <w:sz w:val="24"/>
          <w:szCs w:val="24"/>
          <w:lang w:eastAsia="pl-PL"/>
        </w:rPr>
        <w:t>Dodanie dodatkowego podpunktu do celu D.1.1: D1.1.3 Poprawa dostępu do psychoterapii oraz samopomocowych grup wsparcia (w tym online)</w:t>
      </w:r>
    </w:p>
    <w:p w14:paraId="684F7DB3" w14:textId="3315448C"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Badania naukowe i wieloletnie obserwacje pokazują</w:t>
      </w:r>
      <w:r w:rsidR="009445CF" w:rsidRPr="008F589B">
        <w:rPr>
          <w:rFonts w:ascii="Verdana" w:eastAsia="Times New Roman" w:hAnsi="Verdana"/>
          <w:color w:val="000000"/>
          <w:szCs w:val="24"/>
        </w:rPr>
        <w:t xml:space="preserve"> wzrost w </w:t>
      </w:r>
      <w:r w:rsidRPr="008F589B">
        <w:rPr>
          <w:rFonts w:ascii="Verdana" w:eastAsia="Times New Roman" w:hAnsi="Verdana"/>
          <w:color w:val="000000"/>
          <w:szCs w:val="24"/>
        </w:rPr>
        <w:t xml:space="preserve">społeczeństwie zaburzeń psychicznych – depresja jest w czołówce najczęściej występujących schorzeń według WHO a do 2030 będzie na miejscu </w:t>
      </w:r>
      <w:r w:rsidRPr="008F589B">
        <w:rPr>
          <w:rFonts w:ascii="Verdana" w:eastAsia="Times New Roman" w:hAnsi="Verdana"/>
          <w:color w:val="000000"/>
          <w:szCs w:val="24"/>
        </w:rPr>
        <w:lastRenderedPageBreak/>
        <w:t>pierwszym. Pandemia dodatkowo zwiększyła powyższe problemy z powodu konieczności izolacji. Pogłębiające się problemy psychiczne mogą poważnie zaburzyć powrót gospodarki do normalności dlatego postawienie nacisku na dostępność do psychoterapii oraz samopomocowych grup wsparcia wydaje się wysoce istotnym elementem decydującym o powodzeniu Krajowego Planu Odbudowy i Zwiększania Odporności - ska</w:t>
      </w:r>
      <w:r w:rsidR="009445CF" w:rsidRPr="008F589B">
        <w:rPr>
          <w:rFonts w:ascii="Verdana" w:eastAsia="Times New Roman" w:hAnsi="Verdana"/>
          <w:color w:val="000000"/>
          <w:szCs w:val="24"/>
        </w:rPr>
        <w:t>la problemu wymaga inwestycji w </w:t>
      </w:r>
      <w:r w:rsidRPr="008F589B">
        <w:rPr>
          <w:rFonts w:ascii="Verdana" w:eastAsia="Times New Roman" w:hAnsi="Verdana"/>
          <w:color w:val="000000"/>
          <w:szCs w:val="24"/>
        </w:rPr>
        <w:t>wysokości min. 800 mln euro.</w:t>
      </w:r>
    </w:p>
    <w:p w14:paraId="4C9629B9" w14:textId="77777777" w:rsidR="00E13817" w:rsidRPr="008F589B" w:rsidRDefault="00E13817" w:rsidP="008F589B">
      <w:pPr>
        <w:spacing w:line="360" w:lineRule="auto"/>
        <w:jc w:val="both"/>
        <w:rPr>
          <w:rFonts w:ascii="Verdana" w:hAnsi="Verdana"/>
          <w:szCs w:val="24"/>
        </w:rPr>
      </w:pPr>
    </w:p>
    <w:p w14:paraId="37CB750D" w14:textId="77777777" w:rsidR="00E13817" w:rsidRPr="008F589B" w:rsidRDefault="00E13817" w:rsidP="008F589B">
      <w:pPr>
        <w:pStyle w:val="Akapitzlist"/>
        <w:numPr>
          <w:ilvl w:val="0"/>
          <w:numId w:val="12"/>
        </w:numPr>
        <w:suppressAutoHyphens/>
        <w:autoSpaceDN w:val="0"/>
        <w:spacing w:after="0" w:line="360" w:lineRule="auto"/>
        <w:jc w:val="both"/>
        <w:textAlignment w:val="baseline"/>
        <w:rPr>
          <w:rFonts w:ascii="Verdana" w:hAnsi="Verdana"/>
          <w:sz w:val="24"/>
          <w:szCs w:val="24"/>
        </w:rPr>
      </w:pPr>
      <w:r w:rsidRPr="008F589B">
        <w:rPr>
          <w:rFonts w:ascii="Verdana" w:eastAsia="Times New Roman" w:hAnsi="Verdana"/>
          <w:color w:val="000000"/>
          <w:sz w:val="24"/>
          <w:szCs w:val="24"/>
          <w:lang w:eastAsia="pl-PL"/>
        </w:rPr>
        <w:t>Dodanie dodatkowego celu szczegółowego D4 “Poprawa wsparcia pacjentów/</w:t>
      </w:r>
      <w:proofErr w:type="spellStart"/>
      <w:r w:rsidRPr="008F589B">
        <w:rPr>
          <w:rFonts w:ascii="Verdana" w:eastAsia="Times New Roman" w:hAnsi="Verdana"/>
          <w:color w:val="000000"/>
          <w:sz w:val="24"/>
          <w:szCs w:val="24"/>
          <w:lang w:eastAsia="pl-PL"/>
        </w:rPr>
        <w:t>ek</w:t>
      </w:r>
      <w:proofErr w:type="spellEnd"/>
      <w:r w:rsidRPr="008F589B">
        <w:rPr>
          <w:rFonts w:ascii="Verdana" w:eastAsia="Times New Roman" w:hAnsi="Verdana"/>
          <w:color w:val="000000"/>
          <w:sz w:val="24"/>
          <w:szCs w:val="24"/>
          <w:lang w:eastAsia="pl-PL"/>
        </w:rPr>
        <w:t>, w tym dzieci, i ich rodzin w środowisku lokalnym” oraz odpowiadającej mu reformy D4.1. Składałyby się na nią 2 inwestycje:</w:t>
      </w:r>
    </w:p>
    <w:p w14:paraId="37E2097E" w14:textId="1963DB96" w:rsidR="004639F3" w:rsidRPr="008F589B" w:rsidRDefault="00E13817" w:rsidP="008F589B">
      <w:pPr>
        <w:spacing w:line="360" w:lineRule="auto"/>
        <w:ind w:firstLine="720"/>
        <w:jc w:val="both"/>
        <w:rPr>
          <w:rFonts w:ascii="Verdana" w:eastAsia="Times New Roman" w:hAnsi="Verdana"/>
          <w:color w:val="000000"/>
          <w:szCs w:val="24"/>
        </w:rPr>
      </w:pPr>
      <w:r w:rsidRPr="008F589B">
        <w:rPr>
          <w:rFonts w:ascii="Verdana" w:eastAsia="Times New Roman" w:hAnsi="Verdana"/>
          <w:color w:val="000000"/>
          <w:szCs w:val="24"/>
        </w:rPr>
        <w:t>4.1 D4.1.1 Wzmocnienie wczesnej interwencji</w:t>
      </w:r>
    </w:p>
    <w:p w14:paraId="6E2A1EAB" w14:textId="5C03F49F"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Inwestycja ta odpowiadałaby na pilną potrzebę opracowania i wdrożenia programu umożliwiającego wczesne wy</w:t>
      </w:r>
      <w:r w:rsidR="009445CF" w:rsidRPr="008F589B">
        <w:rPr>
          <w:rFonts w:ascii="Verdana" w:eastAsia="Times New Roman" w:hAnsi="Verdana"/>
          <w:color w:val="000000"/>
          <w:szCs w:val="24"/>
        </w:rPr>
        <w:t>krywanie zaburzeń rozwojowych u </w:t>
      </w:r>
      <w:r w:rsidRPr="008F589B">
        <w:rPr>
          <w:rFonts w:ascii="Verdana" w:eastAsia="Times New Roman" w:hAnsi="Verdana"/>
          <w:color w:val="000000"/>
          <w:szCs w:val="24"/>
        </w:rPr>
        <w:t xml:space="preserve">dzieci. Umożliwiałaby także uruchomienie na jego podstawie </w:t>
      </w:r>
      <w:r w:rsidRPr="008F589B">
        <w:rPr>
          <w:rFonts w:ascii="Verdana" w:eastAsia="Times New Roman" w:hAnsi="Verdana"/>
          <w:b/>
          <w:bCs/>
          <w:color w:val="000000"/>
          <w:szCs w:val="24"/>
        </w:rPr>
        <w:t>kompleksowych</w:t>
      </w:r>
      <w:r w:rsidRPr="008F589B">
        <w:rPr>
          <w:rFonts w:ascii="Verdana" w:eastAsia="Times New Roman" w:hAnsi="Verdana"/>
          <w:color w:val="000000"/>
          <w:szCs w:val="24"/>
        </w:rPr>
        <w:t xml:space="preserve"> działań pomocowych skierowanych do </w:t>
      </w:r>
      <w:r w:rsidRPr="008F589B">
        <w:rPr>
          <w:rFonts w:ascii="Verdana" w:eastAsia="Times New Roman" w:hAnsi="Verdana"/>
          <w:b/>
          <w:bCs/>
          <w:color w:val="000000"/>
          <w:szCs w:val="24"/>
        </w:rPr>
        <w:t xml:space="preserve">dziecka i rodziny </w:t>
      </w:r>
      <w:r w:rsidRPr="008F589B">
        <w:rPr>
          <w:rFonts w:ascii="Verdana" w:eastAsia="Times New Roman" w:hAnsi="Verdana"/>
          <w:color w:val="000000"/>
          <w:szCs w:val="24"/>
        </w:rPr>
        <w:t>realizowanych w podmiotach medycznych oraz w środowisku wychowania i</w:t>
      </w:r>
      <w:r w:rsidR="009445CF" w:rsidRPr="008F589B">
        <w:rPr>
          <w:rFonts w:ascii="Verdana" w:eastAsia="Times New Roman" w:hAnsi="Verdana"/>
          <w:color w:val="000000"/>
          <w:szCs w:val="24"/>
        </w:rPr>
        <w:t> </w:t>
      </w:r>
      <w:r w:rsidRPr="008F589B">
        <w:rPr>
          <w:rFonts w:ascii="Verdana" w:eastAsia="Times New Roman" w:hAnsi="Verdana"/>
          <w:color w:val="000000"/>
          <w:szCs w:val="24"/>
        </w:rPr>
        <w:t>nauczania. Konieczne jest w nim zawarcie instrumentów, w których skutkiem wprowadzenia będzie skoordynowanie działa</w:t>
      </w:r>
      <w:r w:rsidR="009445CF" w:rsidRPr="008F589B">
        <w:rPr>
          <w:rFonts w:ascii="Verdana" w:eastAsia="Times New Roman" w:hAnsi="Verdana"/>
          <w:color w:val="000000"/>
          <w:szCs w:val="24"/>
        </w:rPr>
        <w:t>ń z zakresu zdrowia, edukacji i </w:t>
      </w:r>
      <w:r w:rsidRPr="008F589B">
        <w:rPr>
          <w:rFonts w:ascii="Verdana" w:eastAsia="Times New Roman" w:hAnsi="Verdana"/>
          <w:color w:val="000000"/>
          <w:szCs w:val="24"/>
        </w:rPr>
        <w:t>polityki społecznej oraz kontynuacja ich na każdym etapie życia osoby wymagającej wsparcia.</w:t>
      </w:r>
    </w:p>
    <w:p w14:paraId="053922B1" w14:textId="77777777" w:rsidR="005619C1" w:rsidRPr="008F589B" w:rsidRDefault="005619C1" w:rsidP="008F589B">
      <w:pPr>
        <w:spacing w:line="360" w:lineRule="auto"/>
        <w:jc w:val="both"/>
        <w:rPr>
          <w:rFonts w:ascii="Verdana" w:hAnsi="Verdana"/>
          <w:szCs w:val="24"/>
          <w:u w:val="single"/>
        </w:rPr>
      </w:pPr>
    </w:p>
    <w:p w14:paraId="60E76BB9" w14:textId="77777777" w:rsidR="00E13817" w:rsidRPr="008F589B" w:rsidRDefault="00E13817" w:rsidP="008F589B">
      <w:pPr>
        <w:spacing w:line="360" w:lineRule="auto"/>
        <w:ind w:firstLine="720"/>
        <w:jc w:val="both"/>
        <w:rPr>
          <w:rFonts w:ascii="Verdana" w:hAnsi="Verdana"/>
          <w:szCs w:val="24"/>
        </w:rPr>
      </w:pPr>
      <w:r w:rsidRPr="008F589B">
        <w:rPr>
          <w:rFonts w:ascii="Verdana" w:eastAsia="Times New Roman" w:hAnsi="Verdana"/>
          <w:color w:val="000000"/>
          <w:szCs w:val="24"/>
          <w:u w:val="single"/>
        </w:rPr>
        <w:t xml:space="preserve">4.2 D4.1.2 </w:t>
      </w:r>
      <w:bookmarkStart w:id="1" w:name="_Hlk68596378"/>
      <w:r w:rsidRPr="008F589B">
        <w:rPr>
          <w:rFonts w:ascii="Verdana" w:eastAsia="Times New Roman" w:hAnsi="Verdana"/>
          <w:color w:val="000000"/>
          <w:szCs w:val="24"/>
          <w:u w:val="single"/>
        </w:rPr>
        <w:t>Wdrożenie deinstytucjonalizacji usług zdrowotnych</w:t>
      </w:r>
      <w:bookmarkEnd w:id="1"/>
    </w:p>
    <w:p w14:paraId="291C7DBD" w14:textId="0C1430E4"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W KPO konieczne jest wsparcie procesu deinstytucjonalizacji usług zdrowotnych. Podstawowym zadaniem jest stworzenie realnych alternatyw dla Zakładów Opiekuńczo-Leczniczych, Domów Pomocy Społecznej – stworzenie systemowych rozwiązań w zakresie</w:t>
      </w:r>
      <w:r w:rsidR="009445CF" w:rsidRPr="008F589B">
        <w:rPr>
          <w:rFonts w:ascii="Verdana" w:eastAsia="Times New Roman" w:hAnsi="Verdana"/>
          <w:color w:val="000000"/>
          <w:szCs w:val="24"/>
        </w:rPr>
        <w:t xml:space="preserve"> usług zdrowotnych (np. DDOM) i </w:t>
      </w:r>
      <w:r w:rsidRPr="008F589B">
        <w:rPr>
          <w:rFonts w:ascii="Verdana" w:eastAsia="Times New Roman" w:hAnsi="Verdana"/>
          <w:color w:val="000000"/>
          <w:szCs w:val="24"/>
        </w:rPr>
        <w:t>połączenie ich z usługami społecznymi (np. asystencja osobista).</w:t>
      </w:r>
    </w:p>
    <w:p w14:paraId="4628535C" w14:textId="77777777" w:rsidR="00432546" w:rsidRPr="008F589B" w:rsidRDefault="00432546" w:rsidP="008F589B">
      <w:pPr>
        <w:spacing w:line="360" w:lineRule="auto"/>
        <w:jc w:val="both"/>
        <w:rPr>
          <w:rFonts w:ascii="Verdana" w:eastAsia="Times New Roman" w:hAnsi="Verdana"/>
          <w:color w:val="000000"/>
          <w:szCs w:val="24"/>
        </w:rPr>
      </w:pPr>
    </w:p>
    <w:p w14:paraId="451073DB" w14:textId="3FD7146E"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 xml:space="preserve">Kolejnym bardzo ważnym jego elementem tej inwestycji jest </w:t>
      </w:r>
      <w:proofErr w:type="spellStart"/>
      <w:r w:rsidRPr="008F589B">
        <w:rPr>
          <w:rFonts w:ascii="Verdana" w:eastAsia="Times New Roman" w:hAnsi="Verdana"/>
          <w:color w:val="000000"/>
          <w:szCs w:val="24"/>
        </w:rPr>
        <w:t>deinstytucjonalizacja</w:t>
      </w:r>
      <w:proofErr w:type="spellEnd"/>
      <w:r w:rsidRPr="008F589B">
        <w:rPr>
          <w:rFonts w:ascii="Verdana" w:eastAsia="Times New Roman" w:hAnsi="Verdana"/>
          <w:color w:val="000000"/>
          <w:szCs w:val="24"/>
        </w:rPr>
        <w:t xml:space="preserve"> psychiatrii. Niezbędne jest powstanie wsparcia psychiatrycznego, stworzonego w środowis</w:t>
      </w:r>
      <w:r w:rsidR="009445CF" w:rsidRPr="008F589B">
        <w:rPr>
          <w:rFonts w:ascii="Verdana" w:eastAsia="Times New Roman" w:hAnsi="Verdana"/>
          <w:color w:val="000000"/>
          <w:szCs w:val="24"/>
        </w:rPr>
        <w:t xml:space="preserve">ku lokalnym i z udziałem osób </w:t>
      </w:r>
      <w:r w:rsidR="009445CF" w:rsidRPr="008F589B">
        <w:rPr>
          <w:rFonts w:ascii="Verdana" w:eastAsia="Times New Roman" w:hAnsi="Verdana"/>
          <w:color w:val="000000"/>
          <w:szCs w:val="24"/>
        </w:rPr>
        <w:lastRenderedPageBreak/>
        <w:t>z </w:t>
      </w:r>
      <w:r w:rsidRPr="008F589B">
        <w:rPr>
          <w:rFonts w:ascii="Verdana" w:eastAsia="Times New Roman" w:hAnsi="Verdana"/>
          <w:color w:val="000000"/>
          <w:szCs w:val="24"/>
        </w:rPr>
        <w:t xml:space="preserve">doświadczeniem kryzysu psychicznego (asystentów zdrowienia) </w:t>
      </w:r>
      <w:r w:rsidR="009445CF" w:rsidRPr="008F589B">
        <w:rPr>
          <w:rFonts w:ascii="Verdana" w:eastAsia="Times New Roman" w:hAnsi="Verdana"/>
          <w:color w:val="000000"/>
          <w:szCs w:val="24"/>
        </w:rPr>
        <w:t>–</w:t>
      </w:r>
      <w:r w:rsidRPr="008F589B">
        <w:rPr>
          <w:rFonts w:ascii="Verdana" w:eastAsia="Times New Roman" w:hAnsi="Verdana"/>
          <w:color w:val="000000"/>
          <w:szCs w:val="24"/>
        </w:rPr>
        <w:t xml:space="preserve"> zamiast dominującego leczenia szpitalnego. Proces deinstytucjonalizacji musi objąć zarówno psychiatrię dorosłych, jak i dzieci oraz młodzieży. W przypadku hospitalizacji oddziały psychiatryczne powinno się tworzyć jako część szpitali z innymi oddziałami (a nie jako szpitale psychiatryczne).</w:t>
      </w:r>
    </w:p>
    <w:p w14:paraId="23397B3E" w14:textId="523B296C" w:rsidR="00E13817" w:rsidRPr="008F589B" w:rsidRDefault="00E13817" w:rsidP="008F589B">
      <w:pPr>
        <w:spacing w:line="360" w:lineRule="auto"/>
        <w:jc w:val="both"/>
        <w:rPr>
          <w:rFonts w:ascii="Verdana" w:eastAsia="Times New Roman" w:hAnsi="Verdana"/>
          <w:szCs w:val="24"/>
        </w:rPr>
      </w:pPr>
    </w:p>
    <w:p w14:paraId="6F39B577" w14:textId="7A97254A" w:rsidR="00E13817" w:rsidRPr="008F589B" w:rsidRDefault="00E13817" w:rsidP="008F589B">
      <w:pPr>
        <w:pStyle w:val="Akapitzlist"/>
        <w:numPr>
          <w:ilvl w:val="0"/>
          <w:numId w:val="12"/>
        </w:numPr>
        <w:suppressAutoHyphens/>
        <w:autoSpaceDN w:val="0"/>
        <w:spacing w:after="0" w:line="360" w:lineRule="auto"/>
        <w:jc w:val="both"/>
        <w:textAlignment w:val="baseline"/>
        <w:rPr>
          <w:rFonts w:ascii="Verdana" w:eastAsia="Times New Roman" w:hAnsi="Verdana"/>
          <w:i/>
          <w:iCs/>
          <w:sz w:val="24"/>
          <w:szCs w:val="24"/>
          <w:u w:val="single"/>
          <w:lang w:eastAsia="pl-PL"/>
        </w:rPr>
      </w:pPr>
      <w:r w:rsidRPr="008F589B">
        <w:rPr>
          <w:rFonts w:ascii="Verdana" w:eastAsia="Times New Roman" w:hAnsi="Verdana"/>
          <w:i/>
          <w:iCs/>
          <w:sz w:val="24"/>
          <w:szCs w:val="24"/>
          <w:u w:val="single"/>
          <w:lang w:eastAsia="pl-PL"/>
        </w:rPr>
        <w:t>Dodanie celu szczegółowego: D5 Usługi społeczne z inwestycyjną D5.1. Mieszkalnictwo wspomagane gdzie postulujemy o:</w:t>
      </w:r>
    </w:p>
    <w:p w14:paraId="137E91FB" w14:textId="77777777" w:rsidR="004D37E3" w:rsidRPr="008F589B" w:rsidRDefault="004D37E3" w:rsidP="008F589B">
      <w:pPr>
        <w:pStyle w:val="Akapitzlist"/>
        <w:suppressAutoHyphens/>
        <w:autoSpaceDN w:val="0"/>
        <w:spacing w:after="0" w:line="360" w:lineRule="auto"/>
        <w:jc w:val="both"/>
        <w:textAlignment w:val="baseline"/>
        <w:rPr>
          <w:rFonts w:ascii="Verdana" w:eastAsia="Times New Roman" w:hAnsi="Verdana"/>
          <w:i/>
          <w:iCs/>
          <w:sz w:val="24"/>
          <w:szCs w:val="24"/>
          <w:u w:val="single"/>
          <w:lang w:eastAsia="pl-PL"/>
        </w:rPr>
      </w:pPr>
    </w:p>
    <w:p w14:paraId="13F37C10" w14:textId="77777777" w:rsidR="00E13817" w:rsidRPr="008F589B" w:rsidRDefault="00E13817" w:rsidP="008F589B">
      <w:pPr>
        <w:spacing w:line="360" w:lineRule="auto"/>
        <w:ind w:left="720"/>
        <w:jc w:val="both"/>
        <w:rPr>
          <w:rFonts w:ascii="Verdana" w:hAnsi="Verdana"/>
          <w:szCs w:val="24"/>
          <w:u w:val="single"/>
        </w:rPr>
      </w:pPr>
      <w:r w:rsidRPr="008F589B">
        <w:rPr>
          <w:rFonts w:ascii="Verdana" w:eastAsia="Times New Roman" w:hAnsi="Verdana"/>
          <w:color w:val="000000"/>
          <w:szCs w:val="24"/>
          <w:u w:val="single"/>
        </w:rPr>
        <w:t>5.1   D5.1.1. Reforma legislacyjna</w:t>
      </w:r>
    </w:p>
    <w:p w14:paraId="7EEB1F97" w14:textId="20C996C5"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wprowadzenie zmian prawnych definiujących mieszkanie wspomagane jako w postaci mieszkania lub domu, przygotowującego osoby w nim przebywające przy wsparciu specjalistów, do prowadzenia  niezależnego życia lub zapewniającego  wsparcie w prowadzeniu niezależnego życia. Obecnie funkcjonująca formuła mieszkań chronionych jest zbyt wąska i zbyt mało elastyczna, nie uwzględnia wszystkich potrzeb różnorodnych grup odbiorców.</w:t>
      </w:r>
    </w:p>
    <w:p w14:paraId="58522960" w14:textId="77777777" w:rsidR="008F589B" w:rsidRDefault="008F589B" w:rsidP="008F589B">
      <w:pPr>
        <w:spacing w:line="360" w:lineRule="auto"/>
        <w:ind w:left="709"/>
        <w:jc w:val="both"/>
        <w:rPr>
          <w:rFonts w:ascii="Verdana" w:eastAsia="Times New Roman" w:hAnsi="Verdana"/>
          <w:i/>
          <w:iCs/>
          <w:color w:val="000000"/>
          <w:szCs w:val="24"/>
          <w:u w:val="single"/>
        </w:rPr>
      </w:pPr>
    </w:p>
    <w:p w14:paraId="1D27E363" w14:textId="69F432EA" w:rsidR="00E13817" w:rsidRPr="008F589B" w:rsidRDefault="00E13817" w:rsidP="008F589B">
      <w:pPr>
        <w:spacing w:line="360" w:lineRule="auto"/>
        <w:ind w:left="709"/>
        <w:jc w:val="both"/>
        <w:rPr>
          <w:rFonts w:ascii="Verdana" w:eastAsia="Times New Roman" w:hAnsi="Verdana"/>
          <w:i/>
          <w:iCs/>
          <w:color w:val="000000"/>
          <w:szCs w:val="24"/>
          <w:u w:val="single"/>
        </w:rPr>
      </w:pPr>
      <w:r w:rsidRPr="008F589B">
        <w:rPr>
          <w:rFonts w:ascii="Verdana" w:eastAsia="Times New Roman" w:hAnsi="Verdana"/>
          <w:i/>
          <w:iCs/>
          <w:color w:val="000000"/>
          <w:szCs w:val="24"/>
          <w:u w:val="single"/>
        </w:rPr>
        <w:t>5.2. D5.1.2 Poprawę dostępu do</w:t>
      </w:r>
      <w:r w:rsidR="009445CF" w:rsidRPr="008F589B">
        <w:rPr>
          <w:rFonts w:ascii="Verdana" w:eastAsia="Times New Roman" w:hAnsi="Verdana"/>
          <w:i/>
          <w:iCs/>
          <w:color w:val="000000"/>
          <w:szCs w:val="24"/>
          <w:u w:val="single"/>
        </w:rPr>
        <w:t xml:space="preserve"> infrastruktury mieszkaniowej z </w:t>
      </w:r>
      <w:r w:rsidRPr="008F589B">
        <w:rPr>
          <w:rFonts w:ascii="Verdana" w:eastAsia="Times New Roman" w:hAnsi="Verdana"/>
          <w:i/>
          <w:iCs/>
          <w:color w:val="000000"/>
          <w:szCs w:val="24"/>
          <w:u w:val="single"/>
        </w:rPr>
        <w:t>przeznaczeniem na ten cel 450 mln zł</w:t>
      </w:r>
    </w:p>
    <w:p w14:paraId="1E4B0670"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poszerzenie zasobu mieszkań wspomaganych m.in. w oparciu o komunalne zasoby mieszkaniowe. W zasobach polskich gmin  jest 54 tys. </w:t>
      </w:r>
    </w:p>
    <w:p w14:paraId="3F42B660" w14:textId="0BAD5066"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pustostanów (stan na 2018 rok), które są niewykorzystywane z różnych powodów. Jedną z barier jest ich zła kondycja techniczna lub brak funduszy na kosztowne remonty i dostosowani</w:t>
      </w:r>
      <w:r w:rsidR="009445CF" w:rsidRPr="008F589B">
        <w:rPr>
          <w:rFonts w:ascii="Verdana" w:eastAsia="Times New Roman" w:hAnsi="Verdana"/>
          <w:color w:val="000000"/>
          <w:szCs w:val="24"/>
        </w:rPr>
        <w:t>e. Dopuszczenie do degradacji i </w:t>
      </w:r>
      <w:r w:rsidRPr="008F589B">
        <w:rPr>
          <w:rFonts w:ascii="Verdana" w:eastAsia="Times New Roman" w:hAnsi="Verdana"/>
          <w:color w:val="000000"/>
          <w:szCs w:val="24"/>
        </w:rPr>
        <w:t xml:space="preserve">niszczenia takiego zasobu jest niecelowe, zważywszy na jego potencjał do realizacji celów społecznych wobec osób zagrożonych i doświadczających wykluczenia społecznego.  Aktywne działania mające na celu ograniczenie liczby pustostanów oraz wykorzystanie ich na cele społeczne są podejmowane w Europie i na świecie i mogą stanowić inspirujące dobre praktyki. Przy założeniu wykorzystania 10% z 54 tys. pustostanów, którymi dysponują gminy i stworzenia ok. 5 tys. mieszkań wspomaganych na ich bazie, </w:t>
      </w:r>
      <w:r w:rsidRPr="008F589B">
        <w:rPr>
          <w:rFonts w:ascii="Verdana" w:eastAsia="Times New Roman" w:hAnsi="Verdana"/>
          <w:color w:val="000000"/>
          <w:szCs w:val="24"/>
        </w:rPr>
        <w:lastRenderedPageBreak/>
        <w:t>przyjmując za średnią powierzchnię każdego mieszkania ok. 50 m</w:t>
      </w:r>
      <w:r w:rsidRPr="008F589B">
        <w:rPr>
          <w:rFonts w:ascii="Verdana" w:eastAsia="Times New Roman" w:hAnsi="Verdana"/>
          <w:color w:val="000000"/>
          <w:szCs w:val="24"/>
          <w:vertAlign w:val="superscript"/>
        </w:rPr>
        <w:t>2</w:t>
      </w:r>
      <w:r w:rsidRPr="008F589B">
        <w:rPr>
          <w:rFonts w:ascii="Verdana" w:eastAsia="Times New Roman" w:hAnsi="Verdana"/>
          <w:color w:val="000000"/>
          <w:szCs w:val="24"/>
        </w:rPr>
        <w:t xml:space="preserve"> i średni koszt remontu i ewentualnego wyposażenia pustostanów na poziomie ok. 1800  zł za m</w:t>
      </w:r>
      <w:r w:rsidRPr="008F589B">
        <w:rPr>
          <w:rFonts w:ascii="Verdana" w:eastAsia="Times New Roman" w:hAnsi="Verdana"/>
          <w:color w:val="000000"/>
          <w:szCs w:val="24"/>
          <w:vertAlign w:val="superscript"/>
        </w:rPr>
        <w:t>2</w:t>
      </w:r>
      <w:r w:rsidRPr="008F589B">
        <w:rPr>
          <w:rFonts w:ascii="Verdana" w:eastAsia="Times New Roman" w:hAnsi="Verdana"/>
          <w:color w:val="000000"/>
          <w:szCs w:val="24"/>
        </w:rPr>
        <w:t xml:space="preserve"> (przy uwzględnieniu systematycznego wzrostu cen) łączny koszt inwestycji w reformę to 450 mln zł.  Oczywiście 5 tys. mieszkań wspomaganych nie rozwiązuje ws</w:t>
      </w:r>
      <w:r w:rsidR="009445CF" w:rsidRPr="008F589B">
        <w:rPr>
          <w:rFonts w:ascii="Verdana" w:eastAsia="Times New Roman" w:hAnsi="Verdana"/>
          <w:color w:val="000000"/>
          <w:szCs w:val="24"/>
        </w:rPr>
        <w:t>zystkich problemów związanych z </w:t>
      </w:r>
      <w:r w:rsidRPr="008F589B">
        <w:rPr>
          <w:rFonts w:ascii="Verdana" w:eastAsia="Times New Roman" w:hAnsi="Verdana"/>
          <w:color w:val="000000"/>
          <w:szCs w:val="24"/>
        </w:rPr>
        <w:t>zapewnieniem osobom możliwości niezależnego życia w społecznościach lokalnych. Eksperci szacują, że takich mieszkań potrzeba w Polsce ok. 20 tys. Pamiętajmy, że w placówkach całodobowych przebywa obecnie ok. 150 tys. osób, ale brakuje danych dotyczących faktycznej liczby osób, które mogłyby opuścić te placówki i zamieszkać samod</w:t>
      </w:r>
      <w:r w:rsidR="009445CF" w:rsidRPr="008F589B">
        <w:rPr>
          <w:rFonts w:ascii="Verdana" w:eastAsia="Times New Roman" w:hAnsi="Verdana"/>
          <w:color w:val="000000"/>
          <w:szCs w:val="24"/>
        </w:rPr>
        <w:t>zielnie. Ponad 25% osób z </w:t>
      </w:r>
      <w:r w:rsidRPr="008F589B">
        <w:rPr>
          <w:rFonts w:ascii="Verdana" w:eastAsia="Times New Roman" w:hAnsi="Verdana"/>
          <w:color w:val="000000"/>
          <w:szCs w:val="24"/>
        </w:rPr>
        <w:t>niepełnosprawnościami mieszka ze swo</w:t>
      </w:r>
      <w:r w:rsidR="009445CF" w:rsidRPr="008F589B">
        <w:rPr>
          <w:rFonts w:ascii="Verdana" w:eastAsia="Times New Roman" w:hAnsi="Verdana"/>
          <w:color w:val="000000"/>
          <w:szCs w:val="24"/>
        </w:rPr>
        <w:t>imi rodzicami lub opiekunami. W </w:t>
      </w:r>
      <w:r w:rsidRPr="008F589B">
        <w:rPr>
          <w:rFonts w:ascii="Verdana" w:eastAsia="Times New Roman" w:hAnsi="Verdana"/>
          <w:color w:val="000000"/>
          <w:szCs w:val="24"/>
        </w:rPr>
        <w:t>grupie osób z niepełnosprawnością intelektualną jest to 50%. Ważne jest stworzenie dla tych osób alternatywnych do placówek rozwiązań środowiskowych, czyli właśnie mieszkań wspomaganych. Środki KPO byłyby bardzo ważnym impulsem dla rozwoju mieszkalnictwa wspomaganego. </w:t>
      </w:r>
    </w:p>
    <w:p w14:paraId="7F635F4F" w14:textId="77777777" w:rsidR="004D37E3" w:rsidRPr="008F589B" w:rsidRDefault="004D37E3" w:rsidP="008F589B">
      <w:pPr>
        <w:spacing w:line="360" w:lineRule="auto"/>
        <w:jc w:val="both"/>
        <w:rPr>
          <w:rFonts w:ascii="Verdana" w:hAnsi="Verdana"/>
          <w:szCs w:val="24"/>
        </w:rPr>
      </w:pPr>
    </w:p>
    <w:p w14:paraId="7D5B69D9" w14:textId="77777777" w:rsidR="00E13817" w:rsidRPr="008F589B" w:rsidRDefault="00E13817" w:rsidP="008F589B">
      <w:pPr>
        <w:spacing w:line="360" w:lineRule="auto"/>
        <w:ind w:left="993"/>
        <w:jc w:val="both"/>
        <w:rPr>
          <w:rFonts w:ascii="Verdana" w:hAnsi="Verdana"/>
          <w:i/>
          <w:iCs/>
          <w:szCs w:val="24"/>
          <w:u w:val="single"/>
        </w:rPr>
      </w:pPr>
      <w:r w:rsidRPr="008F589B">
        <w:rPr>
          <w:rFonts w:ascii="Verdana" w:hAnsi="Verdana"/>
          <w:i/>
          <w:iCs/>
          <w:szCs w:val="24"/>
          <w:u w:val="single"/>
        </w:rPr>
        <w:t>5.3. D5.1.3 Zapewnienie dostępu do usług społecznych</w:t>
      </w:r>
    </w:p>
    <w:p w14:paraId="36F89608"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usługi są koniecznym komponentem mieszkań wspomaganych, bez którego nie możemy mówić o oferowaniu tej formy wsparcia w danym lokalu.</w:t>
      </w:r>
    </w:p>
    <w:p w14:paraId="79A06F78" w14:textId="4B95051F"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Propozycje inwestycji w reformy dotycząc</w:t>
      </w:r>
      <w:r w:rsidR="009445CF" w:rsidRPr="008F589B">
        <w:rPr>
          <w:rFonts w:ascii="Verdana" w:eastAsia="Times New Roman" w:hAnsi="Verdana"/>
          <w:color w:val="000000"/>
          <w:szCs w:val="24"/>
        </w:rPr>
        <w:t>e mieszkalnictwa wspomaganego w </w:t>
      </w:r>
      <w:r w:rsidRPr="008F589B">
        <w:rPr>
          <w:rFonts w:ascii="Verdana" w:eastAsia="Times New Roman" w:hAnsi="Verdana"/>
          <w:color w:val="000000"/>
          <w:szCs w:val="24"/>
        </w:rPr>
        <w:t>pełni wpisują się w:</w:t>
      </w:r>
    </w:p>
    <w:p w14:paraId="1AE14223" w14:textId="6309C4E7" w:rsidR="00E13817" w:rsidRPr="008F589B" w:rsidRDefault="00E13817" w:rsidP="008F589B">
      <w:pPr>
        <w:pStyle w:val="Akapitzlist"/>
        <w:numPr>
          <w:ilvl w:val="0"/>
          <w:numId w:val="32"/>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„Zalecenia w sprawie krajowego programu reform Polski na 2019 r. oraz zawierające opinię Rady na temat przedstawionego przez Polskę programu konwergencji na 2019 r.” dotyczące poprawy dostępu do rynku pracy poprzez zapewnienie dostępu do opieki długoterminowej. Wiele spośród wspieranych osób dzięki mieszkalnictwu wspomaganemu ma szansę uzyskać samodzielność (zami</w:t>
      </w:r>
      <w:r w:rsidR="008F589B" w:rsidRPr="008F589B">
        <w:rPr>
          <w:rFonts w:ascii="Verdana" w:eastAsia="Times New Roman" w:hAnsi="Verdana"/>
          <w:color w:val="000000"/>
          <w:sz w:val="24"/>
          <w:szCs w:val="24"/>
        </w:rPr>
        <w:t>ast zasilać grupę osób w </w:t>
      </w:r>
      <w:r w:rsidRPr="008F589B">
        <w:rPr>
          <w:rFonts w:ascii="Verdana" w:eastAsia="Times New Roman" w:hAnsi="Verdana"/>
          <w:color w:val="000000"/>
          <w:sz w:val="24"/>
          <w:szCs w:val="24"/>
        </w:rPr>
        <w:t>kryzysie bezdomności, korzystających z pomocy społecznej) i w pełni uczestniczyć w życiu zawodowym lub co najmniej społecznym. Rozwiązania te będą także sprzyj</w:t>
      </w:r>
      <w:r w:rsidR="008F589B" w:rsidRPr="008F589B">
        <w:rPr>
          <w:rFonts w:ascii="Verdana" w:eastAsia="Times New Roman" w:hAnsi="Verdana"/>
          <w:color w:val="000000"/>
          <w:sz w:val="24"/>
          <w:szCs w:val="24"/>
        </w:rPr>
        <w:t xml:space="preserve">ały godzeniu życia zawodowego </w:t>
      </w:r>
      <w:r w:rsidR="008F589B" w:rsidRPr="008F589B">
        <w:rPr>
          <w:rFonts w:ascii="Verdana" w:eastAsia="Times New Roman" w:hAnsi="Verdana"/>
          <w:color w:val="000000"/>
          <w:sz w:val="24"/>
          <w:szCs w:val="24"/>
        </w:rPr>
        <w:lastRenderedPageBreak/>
        <w:t>i </w:t>
      </w:r>
      <w:r w:rsidRPr="008F589B">
        <w:rPr>
          <w:rFonts w:ascii="Verdana" w:eastAsia="Times New Roman" w:hAnsi="Verdana"/>
          <w:color w:val="000000"/>
          <w:sz w:val="24"/>
          <w:szCs w:val="24"/>
        </w:rPr>
        <w:t>rodzinnego przez rodziców osób z niepełnosprawnościami i ułatwiały ich powrót lub wejście na rynek pracy,</w:t>
      </w:r>
    </w:p>
    <w:p w14:paraId="4EB2EFC9" w14:textId="193911DA" w:rsidR="00E13817" w:rsidRPr="008F589B" w:rsidRDefault="00E13817" w:rsidP="008F589B">
      <w:pPr>
        <w:pStyle w:val="Akapitzlist"/>
        <w:numPr>
          <w:ilvl w:val="0"/>
          <w:numId w:val="32"/>
        </w:numPr>
        <w:suppressAutoHyphens/>
        <w:autoSpaceDN w:val="0"/>
        <w:spacing w:after="0" w:line="360" w:lineRule="auto"/>
        <w:jc w:val="both"/>
        <w:textAlignment w:val="baseline"/>
        <w:rPr>
          <w:rFonts w:ascii="Verdana" w:eastAsia="Times New Roman" w:hAnsi="Verdana"/>
          <w:color w:val="000000"/>
          <w:sz w:val="24"/>
          <w:szCs w:val="24"/>
        </w:rPr>
      </w:pPr>
      <w:r w:rsidRPr="008F589B">
        <w:rPr>
          <w:rFonts w:ascii="Verdana" w:eastAsia="Times New Roman" w:hAnsi="Verdana"/>
          <w:color w:val="000000"/>
          <w:sz w:val="24"/>
          <w:szCs w:val="24"/>
        </w:rPr>
        <w:t xml:space="preserve">Europejski Filar Praw Socjalnych </w:t>
      </w:r>
      <w:r w:rsidR="008F589B" w:rsidRPr="008F589B">
        <w:rPr>
          <w:rFonts w:ascii="Verdana" w:eastAsia="Times New Roman" w:hAnsi="Verdana"/>
          <w:color w:val="000000"/>
          <w:sz w:val="24"/>
          <w:szCs w:val="24"/>
        </w:rPr>
        <w:t>w kategorii „ochrona socjalna i </w:t>
      </w:r>
      <w:r w:rsidRPr="008F589B">
        <w:rPr>
          <w:rFonts w:ascii="Verdana" w:eastAsia="Times New Roman" w:hAnsi="Verdana"/>
          <w:color w:val="000000"/>
          <w:sz w:val="24"/>
          <w:szCs w:val="24"/>
        </w:rPr>
        <w:t>integracja społeczna” w zakresie: </w:t>
      </w:r>
    </w:p>
    <w:p w14:paraId="41A5DF44" w14:textId="4FC665F6" w:rsidR="00E13817" w:rsidRPr="008F589B" w:rsidRDefault="00E13817" w:rsidP="008F589B">
      <w:pPr>
        <w:numPr>
          <w:ilvl w:val="0"/>
          <w:numId w:val="14"/>
        </w:numPr>
        <w:tabs>
          <w:tab w:val="left" w:pos="720"/>
        </w:tabs>
        <w:suppressAutoHyphens/>
        <w:autoSpaceDN w:val="0"/>
        <w:spacing w:line="360" w:lineRule="auto"/>
        <w:ind w:left="1134"/>
        <w:jc w:val="both"/>
        <w:textAlignment w:val="baseline"/>
        <w:rPr>
          <w:rFonts w:ascii="Verdana" w:eastAsia="Times New Roman" w:hAnsi="Verdana"/>
          <w:color w:val="000000"/>
          <w:szCs w:val="24"/>
        </w:rPr>
      </w:pPr>
      <w:r w:rsidRPr="008F589B">
        <w:rPr>
          <w:rFonts w:ascii="Verdana" w:eastAsia="Times New Roman" w:hAnsi="Verdana"/>
          <w:color w:val="000000"/>
          <w:szCs w:val="24"/>
        </w:rPr>
        <w:t>„Integracja osób niepełnosprawnych” -  Osoby niepełnosprawne mają prawo do otrzymania wsparcia dochodu, które zapewnia godne życie, usług, które pozwolą im na</w:t>
      </w:r>
      <w:r w:rsidR="008F589B" w:rsidRPr="008F589B">
        <w:rPr>
          <w:rFonts w:ascii="Verdana" w:eastAsia="Times New Roman" w:hAnsi="Verdana"/>
          <w:color w:val="000000"/>
          <w:szCs w:val="24"/>
        </w:rPr>
        <w:t xml:space="preserve"> uczestnictwo w rynku pracy i w </w:t>
      </w:r>
      <w:r w:rsidRPr="008F589B">
        <w:rPr>
          <w:rFonts w:ascii="Verdana" w:eastAsia="Times New Roman" w:hAnsi="Verdana"/>
          <w:color w:val="000000"/>
          <w:szCs w:val="24"/>
        </w:rPr>
        <w:t>życiu społecznym, a także do środowiska pracy dostosowanego do ich potrzeb.</w:t>
      </w:r>
    </w:p>
    <w:p w14:paraId="1373071A" w14:textId="1E17793C" w:rsidR="00E13817" w:rsidRPr="008F589B" w:rsidRDefault="00E13817" w:rsidP="008F589B">
      <w:pPr>
        <w:numPr>
          <w:ilvl w:val="0"/>
          <w:numId w:val="14"/>
        </w:numPr>
        <w:tabs>
          <w:tab w:val="left" w:pos="720"/>
        </w:tabs>
        <w:suppressAutoHyphens/>
        <w:autoSpaceDN w:val="0"/>
        <w:spacing w:line="360" w:lineRule="auto"/>
        <w:ind w:left="1134"/>
        <w:jc w:val="both"/>
        <w:textAlignment w:val="baseline"/>
        <w:rPr>
          <w:rFonts w:ascii="Verdana" w:eastAsia="Times New Roman" w:hAnsi="Verdana"/>
          <w:color w:val="000000"/>
          <w:szCs w:val="24"/>
        </w:rPr>
      </w:pPr>
      <w:r w:rsidRPr="008F589B">
        <w:rPr>
          <w:rFonts w:ascii="Verdana" w:eastAsia="Times New Roman" w:hAnsi="Verdana"/>
          <w:color w:val="000000"/>
          <w:szCs w:val="24"/>
        </w:rPr>
        <w:t xml:space="preserve">„Opieki długoterminowej” – Każdy ma prawo do przystępnych cenowo i dobrej jakości </w:t>
      </w:r>
      <w:r w:rsidR="008F589B" w:rsidRPr="008F589B">
        <w:rPr>
          <w:rFonts w:ascii="Verdana" w:eastAsia="Times New Roman" w:hAnsi="Verdana"/>
          <w:color w:val="000000"/>
          <w:szCs w:val="24"/>
        </w:rPr>
        <w:t>usług opieki długoterminowej, w </w:t>
      </w:r>
      <w:r w:rsidRPr="008F589B">
        <w:rPr>
          <w:rFonts w:ascii="Verdana" w:eastAsia="Times New Roman" w:hAnsi="Verdana"/>
          <w:color w:val="000000"/>
          <w:szCs w:val="24"/>
        </w:rPr>
        <w:t>szczególności opieki w domu i usług środowiskowych.</w:t>
      </w:r>
    </w:p>
    <w:p w14:paraId="3EE42A4A" w14:textId="77777777" w:rsidR="00E13817" w:rsidRPr="008F589B" w:rsidRDefault="00E13817" w:rsidP="008F589B">
      <w:pPr>
        <w:numPr>
          <w:ilvl w:val="0"/>
          <w:numId w:val="14"/>
        </w:numPr>
        <w:tabs>
          <w:tab w:val="left" w:pos="720"/>
        </w:tabs>
        <w:suppressAutoHyphens/>
        <w:autoSpaceDN w:val="0"/>
        <w:spacing w:line="360" w:lineRule="auto"/>
        <w:ind w:left="1134"/>
        <w:jc w:val="both"/>
        <w:textAlignment w:val="baseline"/>
        <w:rPr>
          <w:rFonts w:ascii="Verdana" w:eastAsia="Times New Roman" w:hAnsi="Verdana"/>
          <w:color w:val="000000"/>
          <w:szCs w:val="24"/>
        </w:rPr>
      </w:pPr>
      <w:r w:rsidRPr="008F589B">
        <w:rPr>
          <w:rFonts w:ascii="Verdana" w:eastAsia="Times New Roman" w:hAnsi="Verdana"/>
          <w:color w:val="000000"/>
          <w:szCs w:val="24"/>
        </w:rPr>
        <w:t>„Mieszkalnictwa i pomoc dla bezdomnych” – Należy zapewnić osobom potrzebującym dostęp do mieszkań socjalnych lub pomocy mieszkaniowej dobrej jakości. Osoby znajdujące się w trudnej sytuacji mają prawo do odpowiedniej pomocy i ochrony przed przymusową eksmisją. Osoby doświadczające bezdomności otrzymują odpowiednie schronienie oraz świadczone są na ich rzecz usługi służące promowaniu ich integracji społecznej.</w:t>
      </w:r>
    </w:p>
    <w:p w14:paraId="52373B6A" w14:textId="77777777" w:rsidR="00E13817" w:rsidRPr="008F589B" w:rsidRDefault="00E13817" w:rsidP="008F589B">
      <w:pPr>
        <w:numPr>
          <w:ilvl w:val="0"/>
          <w:numId w:val="15"/>
        </w:numPr>
        <w:suppressAutoHyphens/>
        <w:autoSpaceDN w:val="0"/>
        <w:spacing w:line="360" w:lineRule="auto"/>
        <w:jc w:val="both"/>
        <w:textAlignment w:val="baseline"/>
        <w:rPr>
          <w:rFonts w:ascii="Verdana" w:hAnsi="Verdana"/>
          <w:szCs w:val="24"/>
        </w:rPr>
      </w:pPr>
      <w:r w:rsidRPr="008F589B">
        <w:rPr>
          <w:rFonts w:ascii="Verdana" w:eastAsia="Times New Roman" w:hAnsi="Verdana"/>
          <w:color w:val="000000"/>
          <w:szCs w:val="24"/>
        </w:rPr>
        <w:t xml:space="preserve">Europejską strategię na rzecz praw osób z niepełnosprawnościami na lata 2021–2030 oraz Konwencję ONZ o Prawach Osób Niepełnosprawnych w zakresie realizacji prawa do niezależnego życia (art. 19, </w:t>
      </w:r>
      <w:r w:rsidRPr="008F589B">
        <w:rPr>
          <w:rFonts w:ascii="Verdana" w:eastAsia="Times New Roman" w:hAnsi="Verdana"/>
          <w:color w:val="000000"/>
          <w:szCs w:val="24"/>
          <w:shd w:val="clear" w:color="auto" w:fill="FFFFFF"/>
        </w:rPr>
        <w:t>komentarz ogólny do konwencji nr 5</w:t>
      </w:r>
      <w:r w:rsidRPr="008F589B">
        <w:rPr>
          <w:rFonts w:ascii="Verdana" w:eastAsia="Times New Roman" w:hAnsi="Verdana"/>
          <w:color w:val="000000"/>
          <w:szCs w:val="24"/>
        </w:rPr>
        <w:t>).</w:t>
      </w:r>
    </w:p>
    <w:p w14:paraId="2BEF25E1" w14:textId="64E27E6B" w:rsidR="00E13817" w:rsidRPr="008F589B" w:rsidRDefault="00E13817" w:rsidP="008F589B">
      <w:pPr>
        <w:numPr>
          <w:ilvl w:val="0"/>
          <w:numId w:val="15"/>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Rezolucję Parlamentu Europejskie</w:t>
      </w:r>
      <w:r w:rsidR="008F589B" w:rsidRPr="008F589B">
        <w:rPr>
          <w:rFonts w:ascii="Verdana" w:eastAsia="Times New Roman" w:hAnsi="Verdana"/>
          <w:color w:val="000000"/>
          <w:szCs w:val="24"/>
        </w:rPr>
        <w:t>go z dnia 21 stycznia 2021 r. w </w:t>
      </w:r>
      <w:r w:rsidRPr="008F589B">
        <w:rPr>
          <w:rFonts w:ascii="Verdana" w:eastAsia="Times New Roman" w:hAnsi="Verdana"/>
          <w:color w:val="000000"/>
          <w:szCs w:val="24"/>
        </w:rPr>
        <w:t>sprawie powszechnego dostępu do godnych i przystępnych cenowo mieszkań, w której wzywa się państwa członkowskie do zwiększania inwestycji w przystępne cenowo, odpowiednie i energooszczędne mieszkania socjalne i publiczn</w:t>
      </w:r>
      <w:r w:rsidR="008F589B" w:rsidRPr="008F589B">
        <w:rPr>
          <w:rFonts w:ascii="Verdana" w:eastAsia="Times New Roman" w:hAnsi="Verdana"/>
          <w:color w:val="000000"/>
          <w:szCs w:val="24"/>
        </w:rPr>
        <w:t>e oraz w walkę z bezdomnością i </w:t>
      </w:r>
      <w:r w:rsidRPr="008F589B">
        <w:rPr>
          <w:rFonts w:ascii="Verdana" w:eastAsia="Times New Roman" w:hAnsi="Verdana"/>
          <w:color w:val="000000"/>
          <w:szCs w:val="24"/>
        </w:rPr>
        <w:t xml:space="preserve">wykluczeniem mieszkaniowym i apeluje w związku z tym o inwestycje za pośrednictwem m.in. EFRR, </w:t>
      </w:r>
      <w:proofErr w:type="spellStart"/>
      <w:r w:rsidRPr="008F589B">
        <w:rPr>
          <w:rFonts w:ascii="Verdana" w:eastAsia="Times New Roman" w:hAnsi="Verdana"/>
          <w:color w:val="000000"/>
          <w:szCs w:val="24"/>
        </w:rPr>
        <w:t>InvestEU</w:t>
      </w:r>
      <w:proofErr w:type="spellEnd"/>
      <w:r w:rsidRPr="008F589B">
        <w:rPr>
          <w:rFonts w:ascii="Verdana" w:eastAsia="Times New Roman" w:hAnsi="Verdana"/>
          <w:color w:val="000000"/>
          <w:szCs w:val="24"/>
        </w:rPr>
        <w:t xml:space="preserve">, EFS+, a w szczególności za pośrednictwem Instrumentu na rzecz Odbudowy i Zwiększania Odporności oraz inicjatyw inwestycyjnych w odpowiedzi na </w:t>
      </w:r>
      <w:proofErr w:type="spellStart"/>
      <w:r w:rsidRPr="008F589B">
        <w:rPr>
          <w:rFonts w:ascii="Verdana" w:eastAsia="Times New Roman" w:hAnsi="Verdana"/>
          <w:color w:val="000000"/>
          <w:szCs w:val="24"/>
        </w:rPr>
        <w:lastRenderedPageBreak/>
        <w:t>koronawirusa</w:t>
      </w:r>
      <w:proofErr w:type="spellEnd"/>
      <w:r w:rsidRPr="008F589B">
        <w:rPr>
          <w:rFonts w:ascii="Verdana" w:eastAsia="Times New Roman" w:hAnsi="Verdana"/>
          <w:color w:val="000000"/>
          <w:szCs w:val="24"/>
        </w:rPr>
        <w:t xml:space="preserve"> (CRII, CRII+), a także o większą synergię między tymi instrumentami,</w:t>
      </w:r>
    </w:p>
    <w:p w14:paraId="108CF073" w14:textId="77777777" w:rsidR="00E13817" w:rsidRPr="008F589B" w:rsidRDefault="00E13817" w:rsidP="008F589B">
      <w:pPr>
        <w:numPr>
          <w:ilvl w:val="0"/>
          <w:numId w:val="15"/>
        </w:numPr>
        <w:suppressAutoHyphens/>
        <w:autoSpaceDN w:val="0"/>
        <w:spacing w:line="360" w:lineRule="auto"/>
        <w:jc w:val="both"/>
        <w:textAlignment w:val="baseline"/>
        <w:rPr>
          <w:rFonts w:ascii="Verdana" w:eastAsia="Times New Roman" w:hAnsi="Verdana"/>
          <w:color w:val="000000"/>
          <w:szCs w:val="24"/>
        </w:rPr>
      </w:pPr>
      <w:r w:rsidRPr="008F589B">
        <w:rPr>
          <w:rFonts w:ascii="Verdana" w:eastAsia="Times New Roman" w:hAnsi="Verdana"/>
          <w:color w:val="000000"/>
          <w:szCs w:val="24"/>
        </w:rPr>
        <w:t>cele zrównoważonego rozwoju, w tym cel 10 (mniej nierówności) i cel 1 (koniec z ubóstwem).</w:t>
      </w:r>
    </w:p>
    <w:p w14:paraId="09F118BD" w14:textId="1FFDE826"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rPr>
        <w:t xml:space="preserve">Podsumowując powyższe: reforma związana z mieszkalnictwem wspomaganym i inwestycje w mieszkalnictwo wspomagane są realną odpowiedzią na zagrożenia i wyzwania związane z pandemią COVID-19, co wpisuje się w cel Funduszu Odbudowy. Są zgodne z polityką Unii Europejskiej wyrażoną w wielu dokumentach wydawanych przez organy Unii Europejskiej. Są zgodne z kierunkami rozwoju wyznaczonymi w dokumentach ONZ.  Są przede wszystkim ważne dla tysięcy obywateli i obywatelek naszego kraju, którzy dziś nie mogą żyć w mieszkaniach i </w:t>
      </w:r>
      <w:r w:rsidR="008F589B" w:rsidRPr="008F589B">
        <w:rPr>
          <w:rFonts w:ascii="Verdana" w:eastAsia="Times New Roman" w:hAnsi="Verdana"/>
          <w:color w:val="000000"/>
          <w:szCs w:val="24"/>
        </w:rPr>
        <w:t>prowadzić niezależnego życia, a </w:t>
      </w:r>
      <w:r w:rsidRPr="008F589B">
        <w:rPr>
          <w:rFonts w:ascii="Verdana" w:eastAsia="Times New Roman" w:hAnsi="Verdana"/>
          <w:color w:val="000000"/>
          <w:szCs w:val="24"/>
        </w:rPr>
        <w:t>także dla osób pracujących w wieloosob</w:t>
      </w:r>
      <w:r w:rsidR="008F589B" w:rsidRPr="008F589B">
        <w:rPr>
          <w:rFonts w:ascii="Verdana" w:eastAsia="Times New Roman" w:hAnsi="Verdana"/>
          <w:color w:val="000000"/>
          <w:szCs w:val="24"/>
        </w:rPr>
        <w:t>owych placówkach całodobowych i </w:t>
      </w:r>
      <w:r w:rsidRPr="008F589B">
        <w:rPr>
          <w:rFonts w:ascii="Verdana" w:eastAsia="Times New Roman" w:hAnsi="Verdana"/>
          <w:color w:val="000000"/>
          <w:szCs w:val="24"/>
        </w:rPr>
        <w:t>ich rodzin.</w:t>
      </w:r>
    </w:p>
    <w:p w14:paraId="7524B543" w14:textId="6A40B053" w:rsidR="004D37E3" w:rsidRPr="008F589B" w:rsidRDefault="004D37E3" w:rsidP="008F589B">
      <w:pPr>
        <w:spacing w:line="360" w:lineRule="auto"/>
        <w:jc w:val="both"/>
        <w:rPr>
          <w:rFonts w:ascii="Verdana" w:eastAsia="Times New Roman" w:hAnsi="Verdana"/>
          <w:b/>
          <w:bCs/>
          <w:color w:val="000000"/>
          <w:szCs w:val="24"/>
        </w:rPr>
      </w:pPr>
    </w:p>
    <w:p w14:paraId="44CA176C" w14:textId="46C45604" w:rsidR="00E13817" w:rsidRPr="008F589B" w:rsidRDefault="00E13817" w:rsidP="008F589B">
      <w:pPr>
        <w:spacing w:line="360" w:lineRule="auto"/>
        <w:jc w:val="both"/>
        <w:rPr>
          <w:rFonts w:ascii="Verdana" w:eastAsia="Times New Roman" w:hAnsi="Verdana"/>
          <w:b/>
          <w:bCs/>
          <w:color w:val="000000"/>
          <w:szCs w:val="24"/>
        </w:rPr>
      </w:pPr>
      <w:r w:rsidRPr="008F589B">
        <w:rPr>
          <w:rFonts w:ascii="Verdana" w:eastAsia="Times New Roman" w:hAnsi="Verdana"/>
          <w:b/>
          <w:bCs/>
          <w:color w:val="000000"/>
          <w:szCs w:val="24"/>
        </w:rPr>
        <w:t>Komponent E Zielona, inteligentna mobilność</w:t>
      </w:r>
    </w:p>
    <w:p w14:paraId="17F15E3C" w14:textId="77777777" w:rsidR="00E13817" w:rsidRPr="008F589B" w:rsidRDefault="00E13817" w:rsidP="008F589B">
      <w:pPr>
        <w:spacing w:line="360" w:lineRule="auto"/>
        <w:jc w:val="both"/>
        <w:rPr>
          <w:rFonts w:ascii="Verdana" w:hAnsi="Verdana"/>
          <w:szCs w:val="24"/>
        </w:rPr>
      </w:pPr>
    </w:p>
    <w:p w14:paraId="21B8D421" w14:textId="77777777"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rPr>
        <w:t>Postulujemy:</w:t>
      </w:r>
    </w:p>
    <w:p w14:paraId="4AAEAF88" w14:textId="77777777" w:rsidR="00E13817" w:rsidRPr="008F589B" w:rsidRDefault="00E13817" w:rsidP="008F589B">
      <w:pPr>
        <w:spacing w:line="360" w:lineRule="auto"/>
        <w:jc w:val="both"/>
        <w:rPr>
          <w:rFonts w:ascii="Verdana" w:hAnsi="Verdana"/>
          <w:szCs w:val="24"/>
        </w:rPr>
      </w:pPr>
    </w:p>
    <w:p w14:paraId="2A90E16E" w14:textId="77777777" w:rsidR="00E13817" w:rsidRPr="008F589B" w:rsidRDefault="00E13817" w:rsidP="008F589B">
      <w:pPr>
        <w:pStyle w:val="Akapitzlist"/>
        <w:numPr>
          <w:ilvl w:val="1"/>
          <w:numId w:val="15"/>
        </w:numPr>
        <w:suppressAutoHyphens/>
        <w:autoSpaceDN w:val="0"/>
        <w:spacing w:after="0" w:line="360" w:lineRule="auto"/>
        <w:ind w:left="426"/>
        <w:jc w:val="both"/>
        <w:textAlignment w:val="baseline"/>
        <w:rPr>
          <w:rFonts w:ascii="Verdana" w:eastAsia="Times New Roman" w:hAnsi="Verdana"/>
          <w:i/>
          <w:iCs/>
          <w:color w:val="000000"/>
          <w:sz w:val="24"/>
          <w:szCs w:val="24"/>
          <w:u w:val="single"/>
          <w:lang w:eastAsia="pl-PL"/>
        </w:rPr>
      </w:pPr>
      <w:r w:rsidRPr="008F589B">
        <w:rPr>
          <w:rFonts w:ascii="Verdana" w:eastAsia="Times New Roman" w:hAnsi="Verdana"/>
          <w:i/>
          <w:iCs/>
          <w:color w:val="000000"/>
          <w:sz w:val="24"/>
          <w:szCs w:val="24"/>
          <w:u w:val="single"/>
          <w:lang w:eastAsia="pl-PL"/>
        </w:rPr>
        <w:t>Ograniczyć środki PKP S.A. na rzecz regionalnych linii kolejowych</w:t>
      </w:r>
    </w:p>
    <w:p w14:paraId="1324F774" w14:textId="05946916"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KPO jest szansą na uczynienie sektora transportu czystszym. Tymczasem w dokumencie znajdziemy jedynie fragmentaryczne, wybiórcze działania, które nie składają się na wizję rozwoju systemu transportowego neutralnego klimatycznie. Największe pieniądze w tym komponencie zgarnia wprawdzie kolej, ale w sposób budzący wątpliwości. Zdecydowana większość z tych środków trafi do PKP S.A., które przeznaczą je głównie na modernizację istniejących linii i taboru, a tymczasem do wielu miast w Polsce można dojechać jedynie pociągami spalinowymi. Wsparcie dla miejskiego</w:t>
      </w:r>
      <w:r w:rsidR="008F589B" w:rsidRPr="008F589B">
        <w:rPr>
          <w:rFonts w:ascii="Verdana" w:eastAsia="Times New Roman" w:hAnsi="Verdana"/>
          <w:color w:val="000000"/>
          <w:szCs w:val="24"/>
        </w:rPr>
        <w:t xml:space="preserve"> i </w:t>
      </w:r>
      <w:r w:rsidRPr="008F589B">
        <w:rPr>
          <w:rFonts w:ascii="Verdana" w:eastAsia="Times New Roman" w:hAnsi="Verdana"/>
          <w:color w:val="000000"/>
          <w:szCs w:val="24"/>
        </w:rPr>
        <w:t xml:space="preserve">regionalnego transportu szynowego zostało całkowicie pominięte. Uważamy, że większość środków z komponentu transportowego powinna zostać przeznaczona na regionalne linie kolejowe – w tym ich elektryfikację – oraz </w:t>
      </w:r>
      <w:r w:rsidRPr="008F589B">
        <w:rPr>
          <w:rFonts w:ascii="Verdana" w:eastAsia="Times New Roman" w:hAnsi="Verdana"/>
          <w:color w:val="000000"/>
          <w:szCs w:val="24"/>
        </w:rPr>
        <w:lastRenderedPageBreak/>
        <w:t>do samorządów na rozwiązania infrastrukturalne uspokajające ruch: zwężan</w:t>
      </w:r>
      <w:r w:rsidR="008F589B" w:rsidRPr="008F589B">
        <w:rPr>
          <w:rFonts w:ascii="Verdana" w:eastAsia="Times New Roman" w:hAnsi="Verdana"/>
          <w:color w:val="000000"/>
          <w:szCs w:val="24"/>
        </w:rPr>
        <w:t>ie dróg, budowę anty-zatok itp.</w:t>
      </w:r>
    </w:p>
    <w:p w14:paraId="0C35E35A" w14:textId="77777777" w:rsidR="00E13817" w:rsidRPr="008F589B" w:rsidRDefault="00E13817" w:rsidP="008F589B">
      <w:pPr>
        <w:spacing w:line="360" w:lineRule="auto"/>
        <w:jc w:val="both"/>
        <w:rPr>
          <w:rFonts w:ascii="Verdana" w:hAnsi="Verdana"/>
          <w:szCs w:val="24"/>
        </w:rPr>
      </w:pPr>
    </w:p>
    <w:p w14:paraId="0A5FAEBE" w14:textId="77777777" w:rsidR="00E13817" w:rsidRPr="008F589B" w:rsidRDefault="00E13817" w:rsidP="008F589B">
      <w:pPr>
        <w:pStyle w:val="Akapitzlist"/>
        <w:numPr>
          <w:ilvl w:val="1"/>
          <w:numId w:val="15"/>
        </w:numPr>
        <w:suppressAutoHyphens/>
        <w:autoSpaceDN w:val="0"/>
        <w:spacing w:after="0" w:line="360" w:lineRule="auto"/>
        <w:ind w:left="426"/>
        <w:jc w:val="both"/>
        <w:textAlignment w:val="baseline"/>
        <w:rPr>
          <w:rFonts w:ascii="Verdana" w:eastAsia="Times New Roman" w:hAnsi="Verdana"/>
          <w:color w:val="000000"/>
          <w:sz w:val="24"/>
          <w:szCs w:val="24"/>
          <w:lang w:eastAsia="pl-PL"/>
        </w:rPr>
      </w:pPr>
      <w:r w:rsidRPr="008F589B">
        <w:rPr>
          <w:rFonts w:ascii="Verdana" w:eastAsia="Times New Roman" w:hAnsi="Verdana"/>
          <w:color w:val="000000"/>
          <w:sz w:val="24"/>
          <w:szCs w:val="24"/>
          <w:lang w:eastAsia="pl-PL"/>
        </w:rPr>
        <w:t>Wyeliminowanie możliwości zakupu autobusów na gaz</w:t>
      </w:r>
    </w:p>
    <w:p w14:paraId="30F61161" w14:textId="716ED7B4" w:rsidR="00E13817"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Celem wszystkich polityk jest doprowadzenie do </w:t>
      </w:r>
      <w:proofErr w:type="spellStart"/>
      <w:r w:rsidRPr="008F589B">
        <w:rPr>
          <w:rFonts w:ascii="Verdana" w:eastAsia="Times New Roman" w:hAnsi="Verdana"/>
          <w:color w:val="000000"/>
          <w:szCs w:val="24"/>
        </w:rPr>
        <w:t>zeroemisyjności</w:t>
      </w:r>
      <w:proofErr w:type="spellEnd"/>
      <w:r w:rsidRPr="008F589B">
        <w:rPr>
          <w:rFonts w:ascii="Verdana" w:eastAsia="Times New Roman" w:hAnsi="Verdana"/>
          <w:color w:val="000000"/>
          <w:szCs w:val="24"/>
        </w:rPr>
        <w:t xml:space="preserve"> a więc stosowanie pó</w:t>
      </w:r>
      <w:r w:rsidR="00C2156B">
        <w:rPr>
          <w:rFonts w:ascii="Verdana" w:eastAsia="Times New Roman" w:hAnsi="Verdana"/>
          <w:color w:val="000000"/>
          <w:szCs w:val="24"/>
        </w:rPr>
        <w:t>łśrodków powinno być odrzucone.</w:t>
      </w:r>
    </w:p>
    <w:p w14:paraId="445612DF" w14:textId="77777777" w:rsidR="00C2156B" w:rsidRPr="008F589B" w:rsidRDefault="00C2156B" w:rsidP="008F589B">
      <w:pPr>
        <w:spacing w:line="360" w:lineRule="auto"/>
        <w:jc w:val="both"/>
        <w:rPr>
          <w:rFonts w:ascii="Verdana" w:eastAsia="Times New Roman" w:hAnsi="Verdana"/>
          <w:color w:val="000000"/>
          <w:szCs w:val="24"/>
        </w:rPr>
      </w:pPr>
    </w:p>
    <w:p w14:paraId="6B0583F0" w14:textId="77777777" w:rsidR="00E13817" w:rsidRPr="008F589B" w:rsidRDefault="00E13817" w:rsidP="008F589B">
      <w:pPr>
        <w:pStyle w:val="Akapitzlist"/>
        <w:numPr>
          <w:ilvl w:val="1"/>
          <w:numId w:val="15"/>
        </w:numPr>
        <w:suppressAutoHyphens/>
        <w:autoSpaceDN w:val="0"/>
        <w:spacing w:after="0" w:line="360" w:lineRule="auto"/>
        <w:ind w:left="426"/>
        <w:jc w:val="both"/>
        <w:textAlignment w:val="baseline"/>
        <w:rPr>
          <w:rFonts w:ascii="Verdana" w:eastAsia="Times New Roman" w:hAnsi="Verdana"/>
          <w:i/>
          <w:iCs/>
          <w:color w:val="000000"/>
          <w:sz w:val="24"/>
          <w:szCs w:val="24"/>
          <w:u w:val="single"/>
          <w:lang w:eastAsia="pl-PL"/>
        </w:rPr>
      </w:pPr>
      <w:r w:rsidRPr="008F589B">
        <w:rPr>
          <w:rFonts w:ascii="Verdana" w:eastAsia="Times New Roman" w:hAnsi="Verdana"/>
          <w:i/>
          <w:iCs/>
          <w:color w:val="000000"/>
          <w:sz w:val="24"/>
          <w:szCs w:val="24"/>
          <w:u w:val="single"/>
          <w:lang w:eastAsia="pl-PL"/>
        </w:rPr>
        <w:t>Rozwój ruchu rowerowego</w:t>
      </w:r>
    </w:p>
    <w:p w14:paraId="4DA375E3" w14:textId="01A40DD2" w:rsidR="00E13817" w:rsidRPr="008F589B" w:rsidRDefault="00E13817" w:rsidP="008F589B">
      <w:pPr>
        <w:spacing w:line="360" w:lineRule="auto"/>
        <w:jc w:val="both"/>
        <w:rPr>
          <w:rFonts w:ascii="Verdana" w:eastAsia="Times New Roman" w:hAnsi="Verdana"/>
          <w:color w:val="000000"/>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xml:space="preserve">: KPO nie przewiduje niemal żadnego wsparcia dla rozwoju ruchu rowerowego, do czego wszak zachęca Unia Europejska. Szkoda, bo działania na rzecz rozwoju infrastruktury rowerowej wpisują się wprost w rozwój </w:t>
      </w:r>
      <w:proofErr w:type="spellStart"/>
      <w:r w:rsidRPr="008F589B">
        <w:rPr>
          <w:rFonts w:ascii="Verdana" w:eastAsia="Times New Roman" w:hAnsi="Verdana"/>
          <w:color w:val="000000"/>
          <w:szCs w:val="24"/>
        </w:rPr>
        <w:t>bezemisyjnego</w:t>
      </w:r>
      <w:proofErr w:type="spellEnd"/>
      <w:r w:rsidRPr="008F589B">
        <w:rPr>
          <w:rFonts w:ascii="Verdana" w:eastAsia="Times New Roman" w:hAnsi="Verdana"/>
          <w:color w:val="000000"/>
          <w:szCs w:val="24"/>
        </w:rPr>
        <w:t xml:space="preserve"> transportu. Większy udział rowerów w podróżach przybliża realizację części szczegółowych celów KPO: zielonej transformacji gospodarki oraz rozwoju zielonej, inteligentnej mobilności. Zmiany w zakresie minimalizowania emisji z transportu przełożą się bezpośrednio na poprawę zdrowia publicznego mieszkańców miast, za</w:t>
      </w:r>
      <w:r w:rsidR="008F589B" w:rsidRPr="008F589B">
        <w:rPr>
          <w:rFonts w:ascii="Verdana" w:eastAsia="Times New Roman" w:hAnsi="Verdana"/>
          <w:color w:val="000000"/>
          <w:szCs w:val="24"/>
        </w:rPr>
        <w:t>równo w sferze fizycznej, jak i </w:t>
      </w:r>
      <w:r w:rsidRPr="008F589B">
        <w:rPr>
          <w:rFonts w:ascii="Verdana" w:eastAsia="Times New Roman" w:hAnsi="Verdana"/>
          <w:color w:val="000000"/>
          <w:szCs w:val="24"/>
        </w:rPr>
        <w:t>psychicznej. Przyczyni się to także do zmniejszenia zewnętrznych kosztów zdrowotnych oraz kosztów</w:t>
      </w:r>
      <w:r w:rsidR="008F589B" w:rsidRPr="008F589B">
        <w:rPr>
          <w:rFonts w:ascii="Verdana" w:eastAsia="Times New Roman" w:hAnsi="Verdana"/>
          <w:color w:val="000000"/>
          <w:szCs w:val="24"/>
        </w:rPr>
        <w:t xml:space="preserve"> funkcjonowania służby zdrowia.</w:t>
      </w:r>
    </w:p>
    <w:p w14:paraId="12EE6E4B" w14:textId="77777777" w:rsidR="00E13817" w:rsidRPr="008F589B" w:rsidRDefault="00E13817" w:rsidP="008F589B">
      <w:pPr>
        <w:spacing w:line="360" w:lineRule="auto"/>
        <w:jc w:val="both"/>
        <w:rPr>
          <w:rFonts w:ascii="Verdana" w:hAnsi="Verdana"/>
          <w:szCs w:val="24"/>
        </w:rPr>
      </w:pPr>
    </w:p>
    <w:p w14:paraId="6009EB24" w14:textId="77777777" w:rsidR="00E13817" w:rsidRPr="008F589B" w:rsidRDefault="00E13817" w:rsidP="008F589B">
      <w:pPr>
        <w:pStyle w:val="Akapitzlist"/>
        <w:numPr>
          <w:ilvl w:val="1"/>
          <w:numId w:val="15"/>
        </w:numPr>
        <w:suppressAutoHyphens/>
        <w:autoSpaceDN w:val="0"/>
        <w:spacing w:after="0" w:line="360" w:lineRule="auto"/>
        <w:ind w:left="426"/>
        <w:jc w:val="both"/>
        <w:textAlignment w:val="baseline"/>
        <w:rPr>
          <w:rFonts w:ascii="Verdana" w:eastAsia="Times New Roman" w:hAnsi="Verdana"/>
          <w:i/>
          <w:iCs/>
          <w:color w:val="000000"/>
          <w:sz w:val="24"/>
          <w:szCs w:val="24"/>
          <w:u w:val="single"/>
          <w:lang w:eastAsia="pl-PL"/>
        </w:rPr>
      </w:pPr>
      <w:r w:rsidRPr="008F589B">
        <w:rPr>
          <w:rFonts w:ascii="Verdana" w:eastAsia="Times New Roman" w:hAnsi="Verdana"/>
          <w:i/>
          <w:iCs/>
          <w:color w:val="000000"/>
          <w:sz w:val="24"/>
          <w:szCs w:val="24"/>
          <w:u w:val="single"/>
          <w:lang w:eastAsia="pl-PL"/>
        </w:rPr>
        <w:t>Wprowadzenie inteligentnych Systemów Transportowych oraz transportu bez barier</w:t>
      </w:r>
    </w:p>
    <w:p w14:paraId="3832B0AD" w14:textId="48EF7013" w:rsidR="00E13817" w:rsidRPr="008F589B" w:rsidRDefault="00E13817" w:rsidP="008F589B">
      <w:pPr>
        <w:spacing w:line="360" w:lineRule="auto"/>
        <w:jc w:val="both"/>
        <w:rPr>
          <w:rFonts w:ascii="Verdana" w:hAnsi="Verdana"/>
          <w:szCs w:val="24"/>
        </w:rPr>
      </w:pPr>
      <w:r w:rsidRPr="008F589B">
        <w:rPr>
          <w:rFonts w:ascii="Verdana" w:eastAsia="Times New Roman" w:hAnsi="Verdana"/>
          <w:color w:val="000000"/>
          <w:szCs w:val="24"/>
          <w:u w:val="single"/>
        </w:rPr>
        <w:t>Uzasadnienie</w:t>
      </w:r>
      <w:r w:rsidRPr="008F589B">
        <w:rPr>
          <w:rFonts w:ascii="Verdana" w:eastAsia="Times New Roman" w:hAnsi="Verdana"/>
          <w:color w:val="000000"/>
          <w:szCs w:val="24"/>
        </w:rPr>
        <w:t>: Osoby z niepełnosprawnościami należą do grup, które najbardziej ucierpiały z powodu kryzysu związanego z COVID-19. Wielu z nich wciąż napotyka na przeszkody gdy korzystają z transportu publicznego. Idea dostępności jest uniwersalna, stąd potrzebne jest horyzontalne włączenie jej do wszystkich polityk publicznych. Wymaga to nowych rozwiązań systemowych. Bazowym dokumentem umożl</w:t>
      </w:r>
      <w:r w:rsidR="008F589B" w:rsidRPr="008F589B">
        <w:rPr>
          <w:rFonts w:ascii="Verdana" w:eastAsia="Times New Roman" w:hAnsi="Verdana"/>
          <w:color w:val="000000"/>
          <w:szCs w:val="24"/>
        </w:rPr>
        <w:t>iwiającym określenie obszarów w </w:t>
      </w:r>
      <w:r w:rsidRPr="008F589B">
        <w:rPr>
          <w:rFonts w:ascii="Verdana" w:eastAsia="Times New Roman" w:hAnsi="Verdana"/>
          <w:color w:val="000000"/>
          <w:szCs w:val="24"/>
        </w:rPr>
        <w:t>których są stosowane zasady dostępności jest Program Rządowy Dostępność Plus na lata 2018-2025. Dlatego mówiąc o zrównoważonej dostępności transportowej nie możemy zapominać o zapewnieniu odpowiedniej jakości usług związanych ze zbiorowym przewozem publicznym dla podróżujących osób ze szczególnymi potrzeba</w:t>
      </w:r>
      <w:r w:rsidR="008F589B" w:rsidRPr="008F589B">
        <w:rPr>
          <w:rFonts w:ascii="Verdana" w:eastAsia="Times New Roman" w:hAnsi="Verdana"/>
          <w:color w:val="000000"/>
          <w:szCs w:val="24"/>
        </w:rPr>
        <w:t xml:space="preserve">mi (w tym osób </w:t>
      </w:r>
      <w:r w:rsidR="008F589B" w:rsidRPr="008F589B">
        <w:rPr>
          <w:rFonts w:ascii="Verdana" w:eastAsia="Times New Roman" w:hAnsi="Verdana"/>
          <w:color w:val="000000"/>
          <w:szCs w:val="24"/>
        </w:rPr>
        <w:lastRenderedPageBreak/>
        <w:t>z </w:t>
      </w:r>
      <w:r w:rsidRPr="008F589B">
        <w:rPr>
          <w:rFonts w:ascii="Verdana" w:eastAsia="Times New Roman" w:hAnsi="Verdana"/>
          <w:color w:val="000000"/>
          <w:szCs w:val="24"/>
        </w:rPr>
        <w:t>niepełnosprawnościami, seniorów, kobiet w ciąży, podróżnych z bagażami). Wdrażanie idei projektowania uniwersalnego w transporcie powinno zmierzać do stworzenia dostępności w taki sposób, aby transport był bez barier – aby jak największa liczba osób mogła w sposób samodzielny i niezależny korzystać z transportu na równych prawach z innymi członkami społeczności. Dwie trzecie osób o ograniczonej mobilności to osoby starsze. Z drugiej strony autobusy niskopodłogowe i szerokie chodniki zwiększają wygodę wszystkich podróżnych, nie tylko tych z ograniczeniem mobilności. Obecnie w usługach transportowych coraz bardziej popularne są Inteligentne Systemy Transportowe, które stanowią połączen</w:t>
      </w:r>
      <w:r w:rsidR="008F589B" w:rsidRPr="008F589B">
        <w:rPr>
          <w:rFonts w:ascii="Verdana" w:eastAsia="Times New Roman" w:hAnsi="Verdana"/>
          <w:color w:val="000000"/>
          <w:szCs w:val="24"/>
        </w:rPr>
        <w:t>ie technologii informacyjnych i </w:t>
      </w:r>
      <w:r w:rsidRPr="008F589B">
        <w:rPr>
          <w:rFonts w:ascii="Verdana" w:eastAsia="Times New Roman" w:hAnsi="Verdana"/>
          <w:color w:val="000000"/>
          <w:szCs w:val="24"/>
        </w:rPr>
        <w:t xml:space="preserve">komunikacyjnych z infrastrukturą transportową w celu m.in. poprawy bezpieczeństwa, zwiększenia efektywności procesów transportowych oraz ochrony środowiska naturalnego. Inteligentne systemy transportowe to też zaawansowane aplikacje mobilne. Pandemia COVID-19 tylko przyspieszyła rewolucję w zakresie wdrażania rozwiązań cyfrowych. Grupa użytkowników – czyli pasażerów jest zróżnicowana i charakteryzuje się różnym stopniem możliwości odbioru informacji przekazywanych w formie cyfrowej. Stąd ważne jest stosowanie zasad dostępności cyfrowej, czyli umożliwienia wygodnego korzystania z aplikacji mobilnych osobom z niepełnosprawnościami np. </w:t>
      </w:r>
      <w:bookmarkStart w:id="2" w:name="_GoBack"/>
      <w:bookmarkEnd w:id="2"/>
      <w:r w:rsidRPr="008F589B">
        <w:rPr>
          <w:rFonts w:ascii="Verdana" w:eastAsia="Times New Roman" w:hAnsi="Verdana"/>
          <w:color w:val="000000"/>
          <w:szCs w:val="24"/>
        </w:rPr>
        <w:t>słabowidzących.</w:t>
      </w:r>
    </w:p>
    <w:sectPr w:rsidR="00E13817" w:rsidRPr="008F589B" w:rsidSect="002B7041">
      <w:footerReference w:type="default" r:id="rId7"/>
      <w:pgSz w:w="11899" w:h="16838"/>
      <w:pgMar w:top="1146" w:right="1418" w:bottom="1632" w:left="1134" w:header="851" w:footer="3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43B5" w14:textId="77777777" w:rsidR="00974B07" w:rsidRDefault="00974B07" w:rsidP="00E13817">
      <w:r>
        <w:separator/>
      </w:r>
    </w:p>
  </w:endnote>
  <w:endnote w:type="continuationSeparator" w:id="0">
    <w:p w14:paraId="56BD7433" w14:textId="77777777" w:rsidR="00974B07" w:rsidRDefault="00974B07" w:rsidP="00E1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149264"/>
      <w:docPartObj>
        <w:docPartGallery w:val="Page Numbers (Bottom of Page)"/>
        <w:docPartUnique/>
      </w:docPartObj>
    </w:sdtPr>
    <w:sdtEndPr/>
    <w:sdtContent>
      <w:p w14:paraId="01846062" w14:textId="30EA0665" w:rsidR="00084D42" w:rsidRDefault="00084D42">
        <w:pPr>
          <w:pStyle w:val="Stopka"/>
          <w:jc w:val="center"/>
        </w:pPr>
        <w:r>
          <w:fldChar w:fldCharType="begin"/>
        </w:r>
        <w:r>
          <w:instrText>PAGE   \* MERGEFORMAT</w:instrText>
        </w:r>
        <w:r>
          <w:fldChar w:fldCharType="separate"/>
        </w:r>
        <w:r w:rsidR="00C2156B">
          <w:rPr>
            <w:noProof/>
          </w:rPr>
          <w:t>20</w:t>
        </w:r>
        <w:r>
          <w:fldChar w:fldCharType="end"/>
        </w:r>
      </w:p>
    </w:sdtContent>
  </w:sdt>
  <w:p w14:paraId="0F8970B9" w14:textId="77777777" w:rsidR="00084D42" w:rsidRDefault="00084D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EDB9B" w14:textId="77777777" w:rsidR="00974B07" w:rsidRDefault="00974B07" w:rsidP="00E13817">
      <w:r>
        <w:separator/>
      </w:r>
    </w:p>
  </w:footnote>
  <w:footnote w:type="continuationSeparator" w:id="0">
    <w:p w14:paraId="057EC6C8" w14:textId="77777777" w:rsidR="00974B07" w:rsidRDefault="00974B07" w:rsidP="00E1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C41"/>
    <w:multiLevelType w:val="multilevel"/>
    <w:tmpl w:val="09EC0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B863C0"/>
    <w:multiLevelType w:val="multilevel"/>
    <w:tmpl w:val="2CCE4D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DD4687"/>
    <w:multiLevelType w:val="hybridMultilevel"/>
    <w:tmpl w:val="45A07E86"/>
    <w:lvl w:ilvl="0" w:tplc="84DC9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4D79EC"/>
    <w:multiLevelType w:val="multilevel"/>
    <w:tmpl w:val="59A8DB70"/>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30711C"/>
    <w:multiLevelType w:val="hybridMultilevel"/>
    <w:tmpl w:val="1DFE18AC"/>
    <w:lvl w:ilvl="0" w:tplc="84DC9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4D3F50"/>
    <w:multiLevelType w:val="multilevel"/>
    <w:tmpl w:val="5FA84CFA"/>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3BF3CC6"/>
    <w:multiLevelType w:val="hybridMultilevel"/>
    <w:tmpl w:val="6F5A58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DDE01C1"/>
    <w:multiLevelType w:val="hybridMultilevel"/>
    <w:tmpl w:val="00A051C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F6E780F"/>
    <w:multiLevelType w:val="multilevel"/>
    <w:tmpl w:val="68F288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1E0A60"/>
    <w:multiLevelType w:val="hybridMultilevel"/>
    <w:tmpl w:val="C0864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7904EC"/>
    <w:multiLevelType w:val="hybridMultilevel"/>
    <w:tmpl w:val="93F6E87C"/>
    <w:lvl w:ilvl="0" w:tplc="84DC9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3B1B06"/>
    <w:multiLevelType w:val="hybridMultilevel"/>
    <w:tmpl w:val="FE0E061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AC00F64"/>
    <w:multiLevelType w:val="hybridMultilevel"/>
    <w:tmpl w:val="00ECABA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DB87C77"/>
    <w:multiLevelType w:val="hybridMultilevel"/>
    <w:tmpl w:val="7220C26E"/>
    <w:lvl w:ilvl="0" w:tplc="84DC9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6327D5"/>
    <w:multiLevelType w:val="multilevel"/>
    <w:tmpl w:val="7F600576"/>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A52ACD"/>
    <w:multiLevelType w:val="multilevel"/>
    <w:tmpl w:val="580AF6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3CA5B33"/>
    <w:multiLevelType w:val="hybridMultilevel"/>
    <w:tmpl w:val="C0864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D741BC"/>
    <w:multiLevelType w:val="multilevel"/>
    <w:tmpl w:val="291EE3B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4441B78"/>
    <w:multiLevelType w:val="multilevel"/>
    <w:tmpl w:val="E6363146"/>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94D4F41"/>
    <w:multiLevelType w:val="hybridMultilevel"/>
    <w:tmpl w:val="FB2ECE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C37049"/>
    <w:multiLevelType w:val="multilevel"/>
    <w:tmpl w:val="FD6809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DA9028A"/>
    <w:multiLevelType w:val="multilevel"/>
    <w:tmpl w:val="27CAFB70"/>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DF91500"/>
    <w:multiLevelType w:val="multilevel"/>
    <w:tmpl w:val="BE00950E"/>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EE1508B"/>
    <w:multiLevelType w:val="hybridMultilevel"/>
    <w:tmpl w:val="6F6AB8D8"/>
    <w:lvl w:ilvl="0" w:tplc="84DC93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4F470E9C"/>
    <w:multiLevelType w:val="multilevel"/>
    <w:tmpl w:val="3C96A8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51031E8B"/>
    <w:multiLevelType w:val="hybridMultilevel"/>
    <w:tmpl w:val="CCF2DB7E"/>
    <w:lvl w:ilvl="0" w:tplc="84DC9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420F62"/>
    <w:multiLevelType w:val="hybridMultilevel"/>
    <w:tmpl w:val="B7D4B96E"/>
    <w:lvl w:ilvl="0" w:tplc="E00A68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4588F"/>
    <w:multiLevelType w:val="hybridMultilevel"/>
    <w:tmpl w:val="3F6C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706D52"/>
    <w:multiLevelType w:val="multilevel"/>
    <w:tmpl w:val="6ADE3F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9D60B1E"/>
    <w:multiLevelType w:val="hybridMultilevel"/>
    <w:tmpl w:val="4560E8C2"/>
    <w:lvl w:ilvl="0" w:tplc="84DC9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0C70FA"/>
    <w:multiLevelType w:val="multilevel"/>
    <w:tmpl w:val="070A5D9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7C4E157A"/>
    <w:multiLevelType w:val="multilevel"/>
    <w:tmpl w:val="4656E01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15"/>
  </w:num>
  <w:num w:numId="4">
    <w:abstractNumId w:val="21"/>
  </w:num>
  <w:num w:numId="5">
    <w:abstractNumId w:val="17"/>
  </w:num>
  <w:num w:numId="6">
    <w:abstractNumId w:val="22"/>
  </w:num>
  <w:num w:numId="7">
    <w:abstractNumId w:val="14"/>
  </w:num>
  <w:num w:numId="8">
    <w:abstractNumId w:val="5"/>
  </w:num>
  <w:num w:numId="9">
    <w:abstractNumId w:val="8"/>
  </w:num>
  <w:num w:numId="10">
    <w:abstractNumId w:val="30"/>
  </w:num>
  <w:num w:numId="11">
    <w:abstractNumId w:val="20"/>
  </w:num>
  <w:num w:numId="12">
    <w:abstractNumId w:val="28"/>
  </w:num>
  <w:num w:numId="13">
    <w:abstractNumId w:val="3"/>
  </w:num>
  <w:num w:numId="14">
    <w:abstractNumId w:val="24"/>
  </w:num>
  <w:num w:numId="15">
    <w:abstractNumId w:val="31"/>
  </w:num>
  <w:num w:numId="16">
    <w:abstractNumId w:val="18"/>
  </w:num>
  <w:num w:numId="17">
    <w:abstractNumId w:val="6"/>
  </w:num>
  <w:num w:numId="18">
    <w:abstractNumId w:val="27"/>
  </w:num>
  <w:num w:numId="19">
    <w:abstractNumId w:val="13"/>
  </w:num>
  <w:num w:numId="20">
    <w:abstractNumId w:val="11"/>
  </w:num>
  <w:num w:numId="21">
    <w:abstractNumId w:val="26"/>
  </w:num>
  <w:num w:numId="22">
    <w:abstractNumId w:val="16"/>
  </w:num>
  <w:num w:numId="23">
    <w:abstractNumId w:val="12"/>
  </w:num>
  <w:num w:numId="24">
    <w:abstractNumId w:val="9"/>
  </w:num>
  <w:num w:numId="25">
    <w:abstractNumId w:val="7"/>
  </w:num>
  <w:num w:numId="26">
    <w:abstractNumId w:val="2"/>
  </w:num>
  <w:num w:numId="27">
    <w:abstractNumId w:val="29"/>
  </w:num>
  <w:num w:numId="28">
    <w:abstractNumId w:val="4"/>
  </w:num>
  <w:num w:numId="29">
    <w:abstractNumId w:val="10"/>
  </w:num>
  <w:num w:numId="30">
    <w:abstractNumId w:val="23"/>
  </w:num>
  <w:num w:numId="31">
    <w:abstractNumId w:val="2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17"/>
    <w:rsid w:val="00084D42"/>
    <w:rsid w:val="000C4D15"/>
    <w:rsid w:val="002B2525"/>
    <w:rsid w:val="002B7041"/>
    <w:rsid w:val="00432546"/>
    <w:rsid w:val="004639F3"/>
    <w:rsid w:val="004D37E3"/>
    <w:rsid w:val="005619C1"/>
    <w:rsid w:val="00744FDF"/>
    <w:rsid w:val="007F284A"/>
    <w:rsid w:val="007F58F4"/>
    <w:rsid w:val="0088418E"/>
    <w:rsid w:val="008A0560"/>
    <w:rsid w:val="008F589B"/>
    <w:rsid w:val="009445CF"/>
    <w:rsid w:val="00974B07"/>
    <w:rsid w:val="00B048CD"/>
    <w:rsid w:val="00C2156B"/>
    <w:rsid w:val="00C62A41"/>
    <w:rsid w:val="00CC1BF7"/>
    <w:rsid w:val="00E13817"/>
    <w:rsid w:val="00E36F8D"/>
    <w:rsid w:val="00E3772D"/>
    <w:rsid w:val="00FC73D0"/>
    <w:rsid w:val="00FD3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9B55"/>
  <w15:chartTrackingRefBased/>
  <w15:docId w15:val="{85742EAF-B91E-B340-8823-420AED51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3817"/>
    <w:rPr>
      <w:rFonts w:ascii="Times" w:eastAsia="Times" w:hAnsi="Times" w:cs="Times New Roman"/>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13817"/>
    <w:pPr>
      <w:tabs>
        <w:tab w:val="center" w:pos="4320"/>
        <w:tab w:val="right" w:pos="8640"/>
      </w:tabs>
    </w:pPr>
  </w:style>
  <w:style w:type="character" w:customStyle="1" w:styleId="NagwekZnak">
    <w:name w:val="Nagłówek Znak"/>
    <w:basedOn w:val="Domylnaczcionkaakapitu"/>
    <w:link w:val="Nagwek"/>
    <w:rsid w:val="00E13817"/>
    <w:rPr>
      <w:rFonts w:ascii="Times" w:eastAsia="Times" w:hAnsi="Times" w:cs="Times New Roman"/>
      <w:szCs w:val="20"/>
      <w:lang w:eastAsia="pl-PL"/>
    </w:rPr>
  </w:style>
  <w:style w:type="paragraph" w:styleId="Stopka">
    <w:name w:val="footer"/>
    <w:basedOn w:val="Normalny"/>
    <w:link w:val="StopkaZnak"/>
    <w:uiPriority w:val="99"/>
    <w:rsid w:val="00E13817"/>
    <w:pPr>
      <w:tabs>
        <w:tab w:val="center" w:pos="4320"/>
        <w:tab w:val="right" w:pos="8640"/>
      </w:tabs>
    </w:pPr>
  </w:style>
  <w:style w:type="character" w:customStyle="1" w:styleId="StopkaZnak">
    <w:name w:val="Stopka Znak"/>
    <w:basedOn w:val="Domylnaczcionkaakapitu"/>
    <w:link w:val="Stopka"/>
    <w:uiPriority w:val="99"/>
    <w:rsid w:val="00E13817"/>
    <w:rPr>
      <w:rFonts w:ascii="Times" w:eastAsia="Times" w:hAnsi="Times" w:cs="Times New Roman"/>
      <w:szCs w:val="20"/>
      <w:lang w:eastAsia="pl-PL"/>
    </w:rPr>
  </w:style>
  <w:style w:type="paragraph" w:styleId="Akapitzlist">
    <w:name w:val="List Paragraph"/>
    <w:basedOn w:val="Normalny"/>
    <w:uiPriority w:val="34"/>
    <w:qFormat/>
    <w:rsid w:val="00E13817"/>
    <w:pPr>
      <w:spacing w:after="200" w:line="276" w:lineRule="auto"/>
      <w:ind w:left="720"/>
      <w:contextualSpacing/>
    </w:pPr>
    <w:rPr>
      <w:rFonts w:ascii="Calibri" w:eastAsia="Calibri" w:hAnsi="Calibri"/>
      <w:sz w:val="22"/>
      <w:szCs w:val="22"/>
      <w:lang w:eastAsia="en-US"/>
    </w:rPr>
  </w:style>
  <w:style w:type="character" w:styleId="Hipercze">
    <w:name w:val="Hyperlink"/>
    <w:rsid w:val="00E13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27</Pages>
  <Words>6307</Words>
  <Characters>37843</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 JKO</dc:creator>
  <cp:keywords/>
  <dc:description/>
  <cp:lastModifiedBy>Krupa Katarzyna (DOB)</cp:lastModifiedBy>
  <cp:revision>3</cp:revision>
  <dcterms:created xsi:type="dcterms:W3CDTF">2021-04-08T12:49:00Z</dcterms:created>
  <dcterms:modified xsi:type="dcterms:W3CDTF">2021-04-09T08:02:00Z</dcterms:modified>
</cp:coreProperties>
</file>