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A43F01" w14:paraId="24C889B4" w14:textId="77777777" w:rsidTr="00FC1527">
        <w:trPr>
          <w:cantSplit/>
          <w:trHeight w:hRule="exact" w:val="851"/>
        </w:trPr>
        <w:tc>
          <w:tcPr>
            <w:tcW w:w="1276" w:type="dxa"/>
            <w:tcBorders>
              <w:bottom w:val="single" w:sz="4" w:space="0" w:color="auto"/>
            </w:tcBorders>
            <w:vAlign w:val="bottom"/>
          </w:tcPr>
          <w:p w14:paraId="44878F1F" w14:textId="77777777" w:rsidR="00A43F01" w:rsidRDefault="00A43F01" w:rsidP="00FC1527">
            <w:pPr>
              <w:spacing w:after="80"/>
            </w:pPr>
          </w:p>
        </w:tc>
        <w:tc>
          <w:tcPr>
            <w:tcW w:w="2268" w:type="dxa"/>
            <w:tcBorders>
              <w:bottom w:val="single" w:sz="4" w:space="0" w:color="auto"/>
            </w:tcBorders>
            <w:vAlign w:val="bottom"/>
          </w:tcPr>
          <w:p w14:paraId="1F8A62BE" w14:textId="77777777" w:rsidR="00A43F01" w:rsidRPr="00B97172" w:rsidRDefault="00A43F01" w:rsidP="00FC1527">
            <w:pPr>
              <w:spacing w:after="80" w:line="300" w:lineRule="exact"/>
              <w:rPr>
                <w:b/>
                <w:sz w:val="24"/>
                <w:szCs w:val="24"/>
              </w:rPr>
            </w:pPr>
            <w:r>
              <w:rPr>
                <w:sz w:val="28"/>
              </w:rPr>
              <w:t>ONZ</w:t>
            </w:r>
          </w:p>
        </w:tc>
        <w:tc>
          <w:tcPr>
            <w:tcW w:w="6095" w:type="dxa"/>
            <w:gridSpan w:val="2"/>
            <w:tcBorders>
              <w:bottom w:val="single" w:sz="4" w:space="0" w:color="auto"/>
            </w:tcBorders>
            <w:vAlign w:val="bottom"/>
          </w:tcPr>
          <w:p w14:paraId="1AFADBA2" w14:textId="77777777" w:rsidR="00A43F01" w:rsidRPr="006E4EE9" w:rsidRDefault="00F7621C" w:rsidP="00F7621C">
            <w:pPr>
              <w:suppressAutoHyphens w:val="0"/>
              <w:spacing w:after="20"/>
              <w:jc w:val="right"/>
            </w:pPr>
            <w:r>
              <w:rPr>
                <w:sz w:val="40"/>
              </w:rPr>
              <w:t>CAT</w:t>
            </w:r>
            <w:r>
              <w:t>/C/POL/CO/7</w:t>
            </w:r>
          </w:p>
        </w:tc>
      </w:tr>
      <w:tr w:rsidR="00A43F01" w14:paraId="5612BDE9" w14:textId="77777777" w:rsidTr="00FC1527">
        <w:trPr>
          <w:cantSplit/>
          <w:trHeight w:hRule="exact" w:val="2835"/>
        </w:trPr>
        <w:tc>
          <w:tcPr>
            <w:tcW w:w="1276" w:type="dxa"/>
            <w:tcBorders>
              <w:top w:val="single" w:sz="4" w:space="0" w:color="auto"/>
              <w:bottom w:val="single" w:sz="12" w:space="0" w:color="auto"/>
            </w:tcBorders>
          </w:tcPr>
          <w:p w14:paraId="3C578C8B" w14:textId="77777777" w:rsidR="00A43F01" w:rsidRDefault="00A43F01" w:rsidP="00FC1527">
            <w:pPr>
              <w:spacing w:before="120"/>
              <w:jc w:val="center"/>
            </w:pPr>
            <w:r>
              <w:rPr>
                <w:noProof/>
              </w:rPr>
              <w:drawing>
                <wp:inline distT="0" distB="0" distL="0" distR="0" wp14:anchorId="0E938E53" wp14:editId="4DC7BF3F">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5B77549" w14:textId="77777777" w:rsidR="00A43F01" w:rsidRDefault="00A43F01" w:rsidP="00FC1527">
            <w:pPr>
              <w:spacing w:before="120" w:line="380" w:lineRule="exact"/>
            </w:pPr>
            <w:r>
              <w:rPr>
                <w:b/>
                <w:sz w:val="34"/>
              </w:rPr>
              <w:t>Konwencja w sprawie zakazu</w:t>
            </w:r>
            <w:r>
              <w:rPr>
                <w:b/>
                <w:sz w:val="34"/>
              </w:rPr>
              <w:br/>
              <w:t>stosowania tortur oraz innego</w:t>
            </w:r>
            <w:r>
              <w:rPr>
                <w:b/>
                <w:sz w:val="34"/>
              </w:rPr>
              <w:br/>
              <w:t>okrutnego, nieludzkiego lub</w:t>
            </w:r>
            <w:r>
              <w:rPr>
                <w:b/>
                <w:sz w:val="34"/>
              </w:rPr>
              <w:br/>
              <w:t>poniżającego traktowania albo karania</w:t>
            </w:r>
          </w:p>
        </w:tc>
        <w:tc>
          <w:tcPr>
            <w:tcW w:w="2835" w:type="dxa"/>
            <w:tcBorders>
              <w:top w:val="single" w:sz="4" w:space="0" w:color="auto"/>
              <w:bottom w:val="single" w:sz="12" w:space="0" w:color="auto"/>
            </w:tcBorders>
          </w:tcPr>
          <w:p w14:paraId="6A1B1B41" w14:textId="77777777" w:rsidR="00A43F01" w:rsidRDefault="00F7621C" w:rsidP="00F7621C">
            <w:pPr>
              <w:suppressAutoHyphens w:val="0"/>
              <w:spacing w:before="240"/>
            </w:pPr>
            <w:r>
              <w:t>Rozpowszechnianie: ogólne</w:t>
            </w:r>
          </w:p>
          <w:p w14:paraId="2CF16D1F" w14:textId="77777777" w:rsidR="00F7621C" w:rsidRDefault="002E5288" w:rsidP="002E5288">
            <w:pPr>
              <w:suppressAutoHyphens w:val="0"/>
            </w:pPr>
            <w:r>
              <w:t>29 sierpnia 2019 r.</w:t>
            </w:r>
          </w:p>
          <w:p w14:paraId="44F4164D" w14:textId="77777777" w:rsidR="00F7621C" w:rsidRDefault="00F7621C" w:rsidP="00F7621C">
            <w:pPr>
              <w:suppressAutoHyphens w:val="0"/>
            </w:pPr>
          </w:p>
          <w:p w14:paraId="63087238" w14:textId="77777777" w:rsidR="00F7621C" w:rsidRDefault="00F7621C" w:rsidP="00F7621C">
            <w:pPr>
              <w:suppressAutoHyphens w:val="0"/>
            </w:pPr>
            <w:r>
              <w:t>Wersja oryginalna: w języku angielskim</w:t>
            </w:r>
          </w:p>
        </w:tc>
      </w:tr>
    </w:tbl>
    <w:p w14:paraId="280C7F3E" w14:textId="77777777" w:rsidR="00F7621C" w:rsidRPr="00204527" w:rsidRDefault="00F7621C" w:rsidP="00F7621C">
      <w:pPr>
        <w:spacing w:before="120"/>
        <w:rPr>
          <w:b/>
          <w:sz w:val="24"/>
          <w:szCs w:val="24"/>
        </w:rPr>
      </w:pPr>
      <w:r>
        <w:rPr>
          <w:b/>
          <w:sz w:val="24"/>
        </w:rPr>
        <w:t>Komitet Przeciwko Torturom</w:t>
      </w:r>
    </w:p>
    <w:p w14:paraId="027A4113" w14:textId="77777777" w:rsidR="00F7621C" w:rsidRPr="00204527" w:rsidRDefault="000A43C5" w:rsidP="00F7621C">
      <w:pPr>
        <w:pStyle w:val="HChG"/>
      </w:pPr>
      <w:r>
        <w:tab/>
      </w:r>
      <w:r>
        <w:tab/>
        <w:t>Uwagi końcowe dotyczące siódmego sprawozdania okresowego Rzeczypospolitej Polskiej</w:t>
      </w:r>
      <w:r>
        <w:rPr>
          <w:rStyle w:val="Odwoanieprzypisudolnego"/>
          <w:b w:val="0"/>
          <w:bCs/>
          <w:sz w:val="20"/>
          <w:vertAlign w:val="baseline"/>
        </w:rPr>
        <w:tab/>
      </w:r>
    </w:p>
    <w:p w14:paraId="271F1752" w14:textId="77777777" w:rsidR="00672007" w:rsidRPr="00204527" w:rsidRDefault="00672007" w:rsidP="00672007">
      <w:pPr>
        <w:pStyle w:val="SingleTxtG"/>
      </w:pPr>
      <w:r>
        <w:footnoteReference w:customMarkFollows="1" w:id="1"/>
        <w:t>1.</w:t>
      </w:r>
      <w:r>
        <w:tab/>
        <w:t xml:space="preserve">Komitet Przeciwko Torturom rozpatrzył siódme sprawozdanie okresowe złożone przez Rzeczpospolitą Polską (CAT/C/POL/7) na posiedzeniach 1759. i 1762. (zob. CAT/C/SR.1759 i CAT/C/SR.1762), które odbyły się w dniach 23 i 24 lipca 2019 r., oraz przyjął niniejsze uwagi końcowe na posiedzeniu 1776. w dniu 5 sierpnia 2019 r. </w:t>
      </w:r>
    </w:p>
    <w:p w14:paraId="6ECE7F14" w14:textId="77777777" w:rsidR="00672007" w:rsidRPr="00204527" w:rsidRDefault="00672007" w:rsidP="00962B2C">
      <w:pPr>
        <w:pStyle w:val="H1G"/>
      </w:pPr>
      <w:r>
        <w:tab/>
        <w:t>A.</w:t>
      </w:r>
      <w:r>
        <w:tab/>
        <w:t>Wprowadzenie</w:t>
      </w:r>
    </w:p>
    <w:p w14:paraId="02EE0E64" w14:textId="4399050B" w:rsidR="00672007" w:rsidRPr="00204527" w:rsidRDefault="00672007" w:rsidP="00672007">
      <w:pPr>
        <w:pStyle w:val="SingleTxtG"/>
      </w:pPr>
      <w:r>
        <w:t>2.</w:t>
      </w:r>
      <w:r>
        <w:tab/>
        <w:t>Komitet z zadowoleniem przyjmuje dialog z delegacją Państwa-Strony oraz ustne i</w:t>
      </w:r>
      <w:r w:rsidR="00022215">
        <w:t> </w:t>
      </w:r>
      <w:r>
        <w:t>pisemne odpowiedzi udzielone na obawy wyrażone przez Komitet.</w:t>
      </w:r>
    </w:p>
    <w:p w14:paraId="01AACA01" w14:textId="77777777" w:rsidR="00672007" w:rsidRPr="00204527" w:rsidRDefault="00672007" w:rsidP="00962B2C">
      <w:pPr>
        <w:pStyle w:val="H1G"/>
      </w:pPr>
      <w:r>
        <w:tab/>
        <w:t>B.</w:t>
      </w:r>
      <w:r>
        <w:tab/>
        <w:t>Aspekty pozytywne</w:t>
      </w:r>
    </w:p>
    <w:p w14:paraId="10143A45" w14:textId="77777777" w:rsidR="00672007" w:rsidRPr="00204527" w:rsidRDefault="00672007" w:rsidP="00672007">
      <w:pPr>
        <w:pStyle w:val="SingleTxtG"/>
      </w:pPr>
      <w:r>
        <w:t>3.</w:t>
      </w:r>
      <w:r>
        <w:tab/>
        <w:t>Komitet z zadowoleniem przyjmuje ratyfikację przez Państwo-Stronę następujących dokumentów międzynarodowych:</w:t>
      </w:r>
    </w:p>
    <w:p w14:paraId="730C327D" w14:textId="77777777" w:rsidR="00672007" w:rsidRPr="00204527" w:rsidRDefault="000A43C5" w:rsidP="00672007">
      <w:pPr>
        <w:pStyle w:val="SingleTxtG"/>
      </w:pPr>
      <w:r>
        <w:tab/>
        <w:t>(a)</w:t>
      </w:r>
      <w:r>
        <w:tab/>
        <w:t xml:space="preserve">w 2014 r. – Drugiego protokołu fakultatywnego do Międzynarodowego Paktu Praw Obywatelskich i Politycznych; </w:t>
      </w:r>
    </w:p>
    <w:p w14:paraId="35F9DE4A" w14:textId="77777777" w:rsidR="00672007" w:rsidRPr="00204527" w:rsidRDefault="000A43C5" w:rsidP="00672007">
      <w:pPr>
        <w:pStyle w:val="SingleTxtG"/>
      </w:pPr>
      <w:r>
        <w:tab/>
        <w:t>(b)</w:t>
      </w:r>
      <w:r>
        <w:tab/>
        <w:t>w 2015 r. – Konwencji Rady Europy o zapobieganiu i zwalczaniu przemocy wobec kobiet i przemocy domowej;</w:t>
      </w:r>
    </w:p>
    <w:p w14:paraId="4DD18E7B" w14:textId="77777777" w:rsidR="00672007" w:rsidRPr="00204527" w:rsidRDefault="000A43C5" w:rsidP="00672007">
      <w:pPr>
        <w:pStyle w:val="SingleTxtG"/>
      </w:pPr>
      <w:r>
        <w:tab/>
        <w:t>(c)</w:t>
      </w:r>
      <w:r>
        <w:tab/>
        <w:t>w 2015 r. – Konwencji Rady Europy o ochronie dzieci przed seksualnym wykorzystywaniem i niegodziwym traktowaniem w celach seksualnych.</w:t>
      </w:r>
    </w:p>
    <w:p w14:paraId="7B53D71A" w14:textId="095A73C2" w:rsidR="00672007" w:rsidRPr="00204527" w:rsidRDefault="00672007" w:rsidP="00672007">
      <w:pPr>
        <w:pStyle w:val="SingleTxtG"/>
      </w:pPr>
      <w:r>
        <w:t>4.</w:t>
      </w:r>
      <w:r>
        <w:tab/>
        <w:t>Komitet z zadowoleniem przyjmuje również inicjatywy Państwa-Strony mające na</w:t>
      </w:r>
      <w:r w:rsidR="00FD31B3">
        <w:t> </w:t>
      </w:r>
      <w:r>
        <w:t>celu zmianę ustawodawstwa w obszarach istotnych dla Konwencji, w szczególności:</w:t>
      </w:r>
    </w:p>
    <w:p w14:paraId="5A6FF927" w14:textId="43823472" w:rsidR="00672007" w:rsidRPr="00204527" w:rsidRDefault="000A43C5" w:rsidP="00672007">
      <w:pPr>
        <w:pStyle w:val="SingleTxtG"/>
      </w:pPr>
      <w:r>
        <w:tab/>
        <w:t>(a)</w:t>
      </w:r>
      <w:r>
        <w:tab/>
        <w:t>zmiany w kodeksie postępowania karnego, które weszły w życie w dniu 1</w:t>
      </w:r>
      <w:r w:rsidR="00022215">
        <w:t> </w:t>
      </w:r>
      <w:r>
        <w:t>lipca 2015 r., dzięki którym wyeliminowano uprawnienie do odmowy udostępnienia akt sprawy w związku z zastosowaniem lub przedłużeniem tymczasowego aresztowania, ustanowiono, że zażalenie na postanowienie w przedmiocie tymczasowego aresztowania musi zostać rozpoznane nie później niż przed upływem 7 dni od przekazania sądowi zażalenia, umożliwiono przedłużenie terminu na złożenie poręczenia majątkowego, którego wniesienie skutkuje zmianą tymczasowego aresztowania na inny środek; zapewniono, by</w:t>
      </w:r>
      <w:r w:rsidR="00022215">
        <w:t> </w:t>
      </w:r>
      <w:r>
        <w:t>tymczasowe aresztowanie nie było przedłużane ponad 12 miesięcy, gdy kara grożąca nie przekracza 3 lat pozbawienia wolności, a ponad 2 lata, gdy ta kara nie przekracza 5 lat pozbawienia wolności oraz umożliwiono korzystanie z pomocy tłumacza ustnego w celu porozumienia się podejrzanego lub oskarżonego z obrońcą;</w:t>
      </w:r>
    </w:p>
    <w:p w14:paraId="14B63EFD" w14:textId="514EF5F8" w:rsidR="00672007" w:rsidRPr="00204527" w:rsidRDefault="000A43C5" w:rsidP="00672007">
      <w:pPr>
        <w:pStyle w:val="SingleTxtG"/>
      </w:pPr>
      <w:r>
        <w:lastRenderedPageBreak/>
        <w:tab/>
        <w:t>(b)</w:t>
      </w:r>
      <w:r>
        <w:tab/>
        <w:t>nowelizację w 2014 r. przepisów karnych w celu wprowadzenia ścigania z</w:t>
      </w:r>
      <w:r w:rsidR="00022215">
        <w:t> </w:t>
      </w:r>
      <w:r>
        <w:t>urzędu przestępstw seksualnych określonych w art. 197-199 kodeksu karnego oraz uchylenia art. 205, w wyniku czego doszło do zniesienia z dniem 27 stycznia 2014 r. wnioskowego trybu ścigania zgwałceń.</w:t>
      </w:r>
    </w:p>
    <w:p w14:paraId="2E9B2004" w14:textId="57734210" w:rsidR="00672007" w:rsidRPr="00204527" w:rsidRDefault="00672007" w:rsidP="00672007">
      <w:pPr>
        <w:pStyle w:val="SingleTxtG"/>
      </w:pPr>
      <w:r>
        <w:t>5.</w:t>
      </w:r>
      <w:r>
        <w:tab/>
        <w:t>Komitet z zadowoleniem przyjmuje również inicjatywy Państwa-Strony mające na</w:t>
      </w:r>
      <w:r w:rsidR="00022215">
        <w:t> </w:t>
      </w:r>
      <w:r>
        <w:t>celu zmianę jego polityki, programów i środków administracyjnych w celu nadania mocy postanowieniom Konwencji, w tym:</w:t>
      </w:r>
    </w:p>
    <w:p w14:paraId="10280476" w14:textId="77777777" w:rsidR="00672007" w:rsidRPr="00204527" w:rsidRDefault="00116ABF" w:rsidP="00672007">
      <w:pPr>
        <w:pStyle w:val="SingleTxtG"/>
      </w:pPr>
      <w:r>
        <w:tab/>
        <w:t>(a)</w:t>
      </w:r>
      <w:r>
        <w:tab/>
        <w:t>przyjęcie przez Radę Ministrów Krajowego Programu Przeciwdziałania Przemocy w Rodzinie na lata 2014-2020 w 2014 r. oraz przyjęcie Krajowego Programu Działań na rzecz Równego Traktowania;</w:t>
      </w:r>
    </w:p>
    <w:p w14:paraId="6A3FCF86" w14:textId="32598C4E" w:rsidR="00672007" w:rsidRPr="00204527" w:rsidRDefault="00116ABF" w:rsidP="00672007">
      <w:pPr>
        <w:pStyle w:val="SingleTxtG"/>
      </w:pPr>
      <w:r>
        <w:tab/>
        <w:t>(b)</w:t>
      </w:r>
      <w:r>
        <w:tab/>
        <w:t>wydanie przez Prokuratora Generalnego w 2014 r. Wytycznych w sprawie prowadzenia przez prokuratorów postępowań o przestępstwa związane z pozbawieniem życia oraz nieludzkim bądź poniżającym traktowaniem lub karaniem, których sprawcami są</w:t>
      </w:r>
      <w:r w:rsidR="00022215">
        <w:t> </w:t>
      </w:r>
      <w:r>
        <w:t>funkcjonariusze Policji lub inni funkcjonariusze publiczni;</w:t>
      </w:r>
    </w:p>
    <w:p w14:paraId="2D092B69" w14:textId="30E8153A" w:rsidR="00672007" w:rsidRPr="00204527" w:rsidRDefault="00116ABF" w:rsidP="00672007">
      <w:pPr>
        <w:pStyle w:val="SingleTxtG"/>
      </w:pPr>
      <w:r>
        <w:tab/>
        <w:t>(c)</w:t>
      </w:r>
      <w:r>
        <w:tab/>
        <w:t>przyjęcie przez parlament programu modernizacji Służby Więziennej w</w:t>
      </w:r>
      <w:r w:rsidR="00022215">
        <w:t> </w:t>
      </w:r>
      <w:r>
        <w:t>latach 2017-2020 w 2016 r;</w:t>
      </w:r>
    </w:p>
    <w:p w14:paraId="53D32BEB" w14:textId="77777777" w:rsidR="00672007" w:rsidRPr="00204527" w:rsidRDefault="00116ABF" w:rsidP="00672007">
      <w:pPr>
        <w:pStyle w:val="SingleTxtG"/>
      </w:pPr>
      <w:r>
        <w:tab/>
        <w:t>(d)</w:t>
      </w:r>
      <w:r>
        <w:tab/>
        <w:t>wydanie przez Komendanta Głównego Policji zarządzenia nr 14 w sprawie wykonywania zadań w zakresie przeciwdziałania handlowi ludźmi w 2016 r.;</w:t>
      </w:r>
    </w:p>
    <w:p w14:paraId="6748A8DD" w14:textId="77777777" w:rsidR="00672007" w:rsidRPr="00204527" w:rsidRDefault="00116ABF" w:rsidP="00672007">
      <w:pPr>
        <w:pStyle w:val="SingleTxtG"/>
      </w:pPr>
      <w:r>
        <w:tab/>
        <w:t>(e)</w:t>
      </w:r>
      <w:r>
        <w:tab/>
        <w:t>wprowadzenie systemu dozoru elektronicznego jako formy wykonywania kary pozbawienia wolności dla osób skazanych na karę pozbawienia wolności do jednego roku oraz zwolnienie 2.735 takich osób w 2016 r;</w:t>
      </w:r>
    </w:p>
    <w:p w14:paraId="698325F6" w14:textId="77777777" w:rsidR="00672007" w:rsidRPr="00204527" w:rsidRDefault="00116ABF" w:rsidP="00672007">
      <w:pPr>
        <w:pStyle w:val="SingleTxtG"/>
      </w:pPr>
      <w:r>
        <w:tab/>
        <w:t>(f)</w:t>
      </w:r>
      <w:r>
        <w:tab/>
        <w:t>wejście w życie w sierpniu 2018 r. dokumentu regulującego używanie przez Policję urządzeń służących do obezwładniania za pomocą prądu elektrycznego.</w:t>
      </w:r>
    </w:p>
    <w:p w14:paraId="67543BFC" w14:textId="77777777" w:rsidR="00672007" w:rsidRPr="00204527" w:rsidRDefault="00672007" w:rsidP="00116ABF">
      <w:pPr>
        <w:pStyle w:val="H1G"/>
      </w:pPr>
      <w:r>
        <w:tab/>
        <w:t>C.</w:t>
      </w:r>
      <w:r>
        <w:tab/>
        <w:t>Główne obawy i zalecenia</w:t>
      </w:r>
    </w:p>
    <w:p w14:paraId="258E28C9" w14:textId="77777777" w:rsidR="00672007" w:rsidRPr="00204527" w:rsidRDefault="000A43C5" w:rsidP="00116ABF">
      <w:pPr>
        <w:pStyle w:val="H23G"/>
      </w:pPr>
      <w:r>
        <w:tab/>
      </w:r>
      <w:r>
        <w:tab/>
        <w:t>Informacje uzupełniające dotyczące poprzedniego cyklu sprawozdawczego</w:t>
      </w:r>
    </w:p>
    <w:p w14:paraId="59BF729F" w14:textId="45B820AF" w:rsidR="00672007" w:rsidRPr="00204527" w:rsidRDefault="00672007" w:rsidP="00672007">
      <w:pPr>
        <w:pStyle w:val="SingleTxtG"/>
      </w:pPr>
      <w:r>
        <w:t>6.</w:t>
      </w:r>
      <w:r>
        <w:tab/>
        <w:t>W swoich poprzednich uwagach końcowych (CAT/C/POL/CO/5-6, pkt 29), Komitet zwrócił się do Państwa-Strony o przekazanie dalszych informacji w obszarach budzących szczególne obawy, w tym na temat wzmocnienia gwarancji prawnych dla osób pozbawionych wolności (pkt 8), ochrony osób ubiegających się o azyl (pkt 13) oraz badania niezwłocznie, efektywnie i bezstronnie wszystkich doniesień o przypadkach tortur lub niewłaściwego traktowania (pkt 18), a także informacji uzupełniających dotyczących odszkodowania i zadośćuczynienia dla ofiar tortur i niewłaściwego traktowania (pkt 21). Komitet wyraża uznanie dla odpowiedzi Państwa-Strony udzielonej w dniu 19 listopada 2014 r. (CAT/C/POL/CO/5-6/Add.1). Z żalem odnotowuje jednak brak odpowiedzi na</w:t>
      </w:r>
      <w:r w:rsidR="00022215">
        <w:t> </w:t>
      </w:r>
      <w:r>
        <w:t>wniosek o dodatkowe informacje zawarty w piśmie wysłanym przez sprawozdawcę ds.</w:t>
      </w:r>
      <w:r w:rsidR="00022215">
        <w:t> </w:t>
      </w:r>
      <w:r>
        <w:t>działań następczych, związanych z uwagami końcowymi, w dniu 29 sierpnia 2016 r. W</w:t>
      </w:r>
      <w:r w:rsidR="00022215">
        <w:t> </w:t>
      </w:r>
      <w:r>
        <w:t>świetle dostarczonych informacji i obaw opisanych poniżej (pkt 12, 15, 16, 18, 25, 26, 31, 32, 34, 36 i 38), Komitet uważa, że zalecenia zawarte w punktach 8, 13, 18 i 21 poprzednich uwag końcowych zostały częściowo wdrożone.</w:t>
      </w:r>
    </w:p>
    <w:p w14:paraId="209D222B" w14:textId="77777777" w:rsidR="00672007" w:rsidRPr="00204527" w:rsidRDefault="000A43C5" w:rsidP="00116ABF">
      <w:pPr>
        <w:pStyle w:val="H23G"/>
      </w:pPr>
      <w:r>
        <w:tab/>
      </w:r>
      <w:r>
        <w:tab/>
        <w:t>Definicja tortur jako odrębnego przestępstwa w kodeksie karnym</w:t>
      </w:r>
    </w:p>
    <w:p w14:paraId="47348E62" w14:textId="77777777" w:rsidR="00672007" w:rsidRPr="00204527" w:rsidRDefault="00672007" w:rsidP="00672007">
      <w:pPr>
        <w:pStyle w:val="SingleTxtG"/>
      </w:pPr>
      <w:r>
        <w:t>7.</w:t>
      </w:r>
      <w:r>
        <w:tab/>
        <w:t>Komitet jest zaniepokojony tym, że:</w:t>
      </w:r>
    </w:p>
    <w:p w14:paraId="4647195F" w14:textId="77777777" w:rsidR="00672007" w:rsidRPr="00204527" w:rsidRDefault="00116ABF" w:rsidP="00672007">
      <w:pPr>
        <w:pStyle w:val="SingleTxtG"/>
      </w:pPr>
      <w:r>
        <w:tab/>
        <w:t>(a)</w:t>
      </w:r>
      <w:r>
        <w:tab/>
        <w:t>jego wcześniejsze zalecenia, dotyczące niewłączenia do kodeksu karnego Państwa-Strony szczególnego przestępstwa tortur zgodnie z artykułem 4 ust. 2 Konwencji (A/55/44, pkt 92-95, CAT/C/POL/CO/4, pkt 6, i CAT/C/POL/CO/5-6, pkt 7), nie zostały dotychczas wdrożone;</w:t>
      </w:r>
    </w:p>
    <w:p w14:paraId="30A52E33" w14:textId="53B34B46" w:rsidR="00672007" w:rsidRPr="00204527" w:rsidRDefault="000A43C5" w:rsidP="00672007">
      <w:pPr>
        <w:pStyle w:val="SingleTxtG"/>
      </w:pPr>
      <w:r>
        <w:tab/>
        <w:t>(b)</w:t>
      </w:r>
      <w:r>
        <w:tab/>
        <w:t>ciągle brak jest definicji tortur obejmującej wszystkie elementy określone w</w:t>
      </w:r>
      <w:r w:rsidR="00022215">
        <w:t> </w:t>
      </w:r>
      <w:r>
        <w:t>art. 1 Konwencji, która to definicja przewidywałaby kary współmierne do wagi tego przestępstwa;</w:t>
      </w:r>
    </w:p>
    <w:p w14:paraId="4BEA2874" w14:textId="77777777" w:rsidR="00672007" w:rsidRPr="00204527" w:rsidRDefault="000A43C5" w:rsidP="00672007">
      <w:pPr>
        <w:pStyle w:val="SingleTxtG"/>
      </w:pPr>
      <w:r>
        <w:lastRenderedPageBreak/>
        <w:tab/>
        <w:t>(c)</w:t>
      </w:r>
      <w:r>
        <w:tab/>
        <w:t>różne przepisy kodeksu karnego, które nadal są „stosowane w przypadkach tortur” i które obejmują szerszy zakres przestępstw, takich jak naruszenie nietykalności cielesnej, groźby karalne, znęcanie się nad osobą pozostającą w stosunku zależności, spowodowanie obrażeń ciała, zmuszenie do określonego zachowania przemocą lub groźbą bezprawną lub wymuszenie zeznań przez funkcjonariusza publicznego przy zastosowaniu przemocy, groźby bezprawnej lub przy znęcaniu się fizycznie lub psychicznie nad osobą, na które to przepisy powołuje się delegacja Państwa-Strony, nie odzwierciedlają odpowiednio wagi takich przestępstw i uniemożliwiają przeprowadzenie postępowania niezwłocznie i bezstronnie oraz nałożenie odpowiednich kar na sprawców;</w:t>
      </w:r>
    </w:p>
    <w:p w14:paraId="711EC061" w14:textId="77777777" w:rsidR="00672007" w:rsidRPr="00204527" w:rsidRDefault="000A43C5" w:rsidP="00672007">
      <w:pPr>
        <w:pStyle w:val="SingleTxtG"/>
      </w:pPr>
      <w:r>
        <w:tab/>
        <w:t>(d)</w:t>
      </w:r>
      <w:r>
        <w:tab/>
        <w:t>podjęta przez Ministerstwo Sprawiedliwości w 2017 r. próba wprowadzenia definicji tortur do kodeksu karnego została odrzucona w pierwszym czytaniu w Sejmie;</w:t>
      </w:r>
    </w:p>
    <w:p w14:paraId="43C74C10" w14:textId="77777777" w:rsidR="00672007" w:rsidRPr="00204527" w:rsidRDefault="000A43C5" w:rsidP="00672007">
      <w:pPr>
        <w:pStyle w:val="SingleTxtG"/>
      </w:pPr>
      <w:r>
        <w:tab/>
        <w:t>(e)</w:t>
      </w:r>
      <w:r>
        <w:tab/>
        <w:t>termin przedawnienia w odniesieniu do aktów tortur nie został jednoznacznie zniesiony (art. 1, 2 i 4).</w:t>
      </w:r>
    </w:p>
    <w:p w14:paraId="4FBDE158" w14:textId="77777777" w:rsidR="00672007" w:rsidRPr="00204527" w:rsidRDefault="00672007" w:rsidP="00672007">
      <w:pPr>
        <w:pStyle w:val="SingleTxtG"/>
        <w:rPr>
          <w:b/>
          <w:bCs/>
        </w:rPr>
      </w:pPr>
      <w:r>
        <w:t>8.</w:t>
      </w:r>
      <w:r>
        <w:tab/>
      </w:r>
      <w:r>
        <w:rPr>
          <w:b/>
        </w:rPr>
        <w:t>Komitet:</w:t>
      </w:r>
    </w:p>
    <w:p w14:paraId="427ADD83" w14:textId="20F40BC8" w:rsidR="00672007" w:rsidRPr="00204527" w:rsidRDefault="000A43C5" w:rsidP="00672007">
      <w:pPr>
        <w:pStyle w:val="SingleTxtG"/>
        <w:rPr>
          <w:b/>
          <w:bCs/>
        </w:rPr>
      </w:pPr>
      <w:r>
        <w:rPr>
          <w:b/>
        </w:rPr>
        <w:tab/>
      </w:r>
      <w:r>
        <w:t>(a)</w:t>
      </w:r>
      <w:r>
        <w:rPr>
          <w:b/>
        </w:rPr>
        <w:tab/>
        <w:t>ponawia swoje wcześniejsze zalecenia dla Państwa-Strony i wzywa je</w:t>
      </w:r>
      <w:r w:rsidR="00022215">
        <w:rPr>
          <w:b/>
        </w:rPr>
        <w:t> </w:t>
      </w:r>
      <w:r>
        <w:rPr>
          <w:b/>
        </w:rPr>
        <w:t>do</w:t>
      </w:r>
      <w:r w:rsidR="00022215">
        <w:rPr>
          <w:b/>
        </w:rPr>
        <w:t> </w:t>
      </w:r>
      <w:r>
        <w:rPr>
          <w:b/>
        </w:rPr>
        <w:t>podjęcia skutecznych środków legislacyjnych w celu włączenia do kodeksu karnego tortur jako odrębnego i szczególnego przestępstwa oraz do przyjęcia definicji tortur obejmującej wszystkie elementy określone w art. 1 Konwencji;</w:t>
      </w:r>
    </w:p>
    <w:p w14:paraId="7E90BDAF" w14:textId="1303846D" w:rsidR="00672007" w:rsidRPr="00204527" w:rsidRDefault="000A43C5" w:rsidP="00672007">
      <w:pPr>
        <w:pStyle w:val="SingleTxtG"/>
        <w:rPr>
          <w:b/>
          <w:bCs/>
        </w:rPr>
      </w:pPr>
      <w:r>
        <w:rPr>
          <w:b/>
        </w:rPr>
        <w:tab/>
      </w:r>
      <w:r>
        <w:t>(b)</w:t>
      </w:r>
      <w:r>
        <w:rPr>
          <w:b/>
        </w:rPr>
        <w:tab/>
        <w:t>wzywa Państwo-Stronę do zapewnienia, by kary przewidziane za tortury były współmierne do wagi tego przestępstwa zgodnie z art. 4 ust. 2 Konwencji, co</w:t>
      </w:r>
      <w:r w:rsidR="00022215">
        <w:rPr>
          <w:b/>
        </w:rPr>
        <w:t> </w:t>
      </w:r>
      <w:r>
        <w:rPr>
          <w:b/>
        </w:rPr>
        <w:t>pomogłoby również odróżnić akty tortur od niewłaściwego traktowania. Ponadto Państwo-Strona powinno zapewnić, by sprawcy tortur byli karani stosownie do wagi przestępstwa zgodnie z art. 4 ust. 2 Konwencji;</w:t>
      </w:r>
    </w:p>
    <w:p w14:paraId="11C9CD46" w14:textId="4989CCA6" w:rsidR="00672007" w:rsidRPr="00204527" w:rsidRDefault="000A43C5" w:rsidP="00672007">
      <w:pPr>
        <w:pStyle w:val="SingleTxtG"/>
        <w:rPr>
          <w:b/>
          <w:bCs/>
        </w:rPr>
      </w:pPr>
      <w:r>
        <w:rPr>
          <w:b/>
        </w:rPr>
        <w:tab/>
      </w:r>
      <w:r>
        <w:t>(c)</w:t>
      </w:r>
      <w:r>
        <w:rPr>
          <w:b/>
        </w:rPr>
        <w:tab/>
        <w:t>ponownie zwraca uwagę na swój Komentarz Ogólny nr 2 (2007) w</w:t>
      </w:r>
      <w:r w:rsidR="00022215">
        <w:rPr>
          <w:b/>
        </w:rPr>
        <w:t> </w:t>
      </w:r>
      <w:r>
        <w:rPr>
          <w:b/>
        </w:rPr>
        <w:t>sprawie wdrożenia art. 2, w którym stwierdzono, że znaczne różnice pomiędzy konwencyjną definicją tortur a definicją wprowadzoną do prawa krajowego stanowią rzeczywistą lub potencjalną furtkę dla bezkarności (pkt 9);</w:t>
      </w:r>
    </w:p>
    <w:p w14:paraId="05D4C316" w14:textId="77777777" w:rsidR="00672007" w:rsidRPr="00204527" w:rsidRDefault="000A43C5" w:rsidP="00672007">
      <w:pPr>
        <w:pStyle w:val="SingleTxtG"/>
        <w:rPr>
          <w:b/>
          <w:bCs/>
        </w:rPr>
      </w:pPr>
      <w:r>
        <w:rPr>
          <w:b/>
        </w:rPr>
        <w:tab/>
      </w:r>
      <w:r>
        <w:t>(d)</w:t>
      </w:r>
      <w:r>
        <w:tab/>
      </w:r>
      <w:r>
        <w:rPr>
          <w:b/>
        </w:rPr>
        <w:t>wzywa Państwo-Stronę do zapewnienia, by bezwzględny zakaz tortur nie podlegał uchyleniu a akty tortur nie podlegały przedawnieniu i nie były ograniczone do tych wynikających ze zbrodni przeciwko ludzkości czy ze skrajnego cierpienia powodowanego przez funkcjonariuszy publicznych;</w:t>
      </w:r>
    </w:p>
    <w:p w14:paraId="4E4CCF80" w14:textId="77777777" w:rsidR="00672007" w:rsidRPr="00204527" w:rsidRDefault="000A43C5" w:rsidP="00672007">
      <w:pPr>
        <w:pStyle w:val="SingleTxtG"/>
        <w:rPr>
          <w:b/>
          <w:bCs/>
        </w:rPr>
      </w:pPr>
      <w:r>
        <w:rPr>
          <w:b/>
        </w:rPr>
        <w:tab/>
      </w:r>
      <w:r>
        <w:t>(e)</w:t>
      </w:r>
      <w:r>
        <w:rPr>
          <w:b/>
        </w:rPr>
        <w:tab/>
        <w:t>zwraca się do Państwa-Strony o udzielenie informacji dotyczących statusu analizy przeprowadzonej przez Ministerstwo Sprawiedliwości dotyczącej tego, czy tortury powinny zostać włączone do kodeksu karnego, i jej wyników.</w:t>
      </w:r>
    </w:p>
    <w:p w14:paraId="73C1374A" w14:textId="77777777" w:rsidR="00672007" w:rsidRPr="00204527" w:rsidRDefault="000A43C5" w:rsidP="00116ABF">
      <w:pPr>
        <w:pStyle w:val="H23G"/>
      </w:pPr>
      <w:r>
        <w:tab/>
      </w:r>
      <w:r>
        <w:tab/>
        <w:t xml:space="preserve">Status Konwencji w krajowym porządku prawnym </w:t>
      </w:r>
    </w:p>
    <w:p w14:paraId="56731143" w14:textId="77777777" w:rsidR="00672007" w:rsidRPr="00204527" w:rsidRDefault="00672007" w:rsidP="00672007">
      <w:pPr>
        <w:pStyle w:val="SingleTxtG"/>
      </w:pPr>
      <w:r>
        <w:t>9.</w:t>
      </w:r>
      <w:r>
        <w:tab/>
        <w:t>Przyjmując do wiadomości stwierdzenie, że Konwencja jest bezpośrednio stosowana w Państwie-Stronie, Komitet jest zaniepokojony tym, że:</w:t>
      </w:r>
    </w:p>
    <w:p w14:paraId="176A0917" w14:textId="77777777" w:rsidR="00672007" w:rsidRPr="00204527" w:rsidRDefault="00116ABF" w:rsidP="00672007">
      <w:pPr>
        <w:pStyle w:val="SingleTxtG"/>
      </w:pPr>
      <w:r>
        <w:tab/>
        <w:t>(a)</w:t>
      </w:r>
      <w:r>
        <w:tab/>
        <w:t>z dostępnych informacji wynika, iż Konwencja została przywołana jako źródło prawa po raz pierwszy i póki co ostatni w orzeczeniu wydanym przez sędziego Sądu Okręgowego w Lublinie w 2018 r.;</w:t>
      </w:r>
    </w:p>
    <w:p w14:paraId="59EB7159" w14:textId="32A5DE6F" w:rsidR="00672007" w:rsidRPr="00204527" w:rsidRDefault="00116ABF" w:rsidP="00672007">
      <w:pPr>
        <w:pStyle w:val="SingleTxtG"/>
      </w:pPr>
      <w:r>
        <w:tab/>
        <w:t>(b)</w:t>
      </w:r>
      <w:r>
        <w:tab/>
        <w:t>na wdrażanie Konwencji w Państwie-Stronie ewidentnie mają wpływ reformy systemu sądownictwa w kraju, w tym te dotyczące Trybunału Konstytucyjnego, które ograniczają konstytucyjną zasadę niezawisłości sędziowskiej i umożliwiają organom władzy ustawodawczej i wykonawczej ingerowanie w wymiar sprawiedliwości, co</w:t>
      </w:r>
      <w:r w:rsidR="00022215">
        <w:t> </w:t>
      </w:r>
      <w:r>
        <w:t>zauważono w sprawozdaniu Specjalnego Sprawozdawcy ds. niezawisłości sędziów i</w:t>
      </w:r>
      <w:r w:rsidR="00022215">
        <w:t> </w:t>
      </w:r>
      <w:r>
        <w:t>prawników z jego misji w Polsce (A/HRC/38/38/Add.1) (art. 1, 2 i 4).</w:t>
      </w:r>
    </w:p>
    <w:p w14:paraId="386853CD" w14:textId="77777777" w:rsidR="00672007" w:rsidRPr="00204527" w:rsidRDefault="00672007" w:rsidP="00672007">
      <w:pPr>
        <w:pStyle w:val="SingleTxtG"/>
        <w:rPr>
          <w:b/>
          <w:bCs/>
        </w:rPr>
      </w:pPr>
      <w:r>
        <w:t>10.</w:t>
      </w:r>
      <w:r>
        <w:tab/>
      </w:r>
      <w:r>
        <w:rPr>
          <w:b/>
        </w:rPr>
        <w:t>Państwo-Strona powinno:</w:t>
      </w:r>
    </w:p>
    <w:p w14:paraId="1563AB9A" w14:textId="2FA31ED2" w:rsidR="00672007" w:rsidRPr="00204527" w:rsidRDefault="000A43C5" w:rsidP="00672007">
      <w:pPr>
        <w:pStyle w:val="SingleTxtG"/>
        <w:rPr>
          <w:b/>
          <w:bCs/>
        </w:rPr>
      </w:pPr>
      <w:r>
        <w:rPr>
          <w:b/>
        </w:rPr>
        <w:tab/>
      </w:r>
      <w:r>
        <w:t>(a)</w:t>
      </w:r>
      <w:r>
        <w:tab/>
      </w:r>
      <w:r>
        <w:rPr>
          <w:b/>
        </w:rPr>
        <w:t>wyjaśnić, jaki jest status Konwencji w krajowym systemie prawnym, i</w:t>
      </w:r>
      <w:r w:rsidR="00022215">
        <w:rPr>
          <w:b/>
        </w:rPr>
        <w:t> </w:t>
      </w:r>
      <w:r>
        <w:rPr>
          <w:b/>
        </w:rPr>
        <w:t>zapewnić, by postanowienia Konwencji były w pełni stosowane w krajowym porządku prawnym jako źródło prawa;</w:t>
      </w:r>
    </w:p>
    <w:p w14:paraId="2BBAFB67" w14:textId="77777777" w:rsidR="00672007" w:rsidRPr="00204527" w:rsidRDefault="000A43C5" w:rsidP="00672007">
      <w:pPr>
        <w:pStyle w:val="SingleTxtG"/>
        <w:rPr>
          <w:b/>
          <w:bCs/>
        </w:rPr>
      </w:pPr>
      <w:r>
        <w:rPr>
          <w:b/>
        </w:rPr>
        <w:lastRenderedPageBreak/>
        <w:tab/>
      </w:r>
      <w:r>
        <w:t>(b)</w:t>
      </w:r>
      <w:r>
        <w:rPr>
          <w:b/>
        </w:rPr>
        <w:tab/>
        <w:t>zapewnić, by sędziowie, ławnicy, prokuratorzy, prawnicy i inni funkcjonariusze publiczni przeszli specjalne szkolenie w zakresie stosowania Konwencji, tak by byli w stanie powoływać się na prawa w niej zapisane, podkreślać je i stosować je bezpośrednio w sądzie;</w:t>
      </w:r>
    </w:p>
    <w:p w14:paraId="3F4B6AB2" w14:textId="41EC9A0D" w:rsidR="00672007" w:rsidRPr="00204527" w:rsidRDefault="000A43C5" w:rsidP="00672007">
      <w:pPr>
        <w:pStyle w:val="SingleTxtG"/>
        <w:rPr>
          <w:b/>
          <w:bCs/>
        </w:rPr>
      </w:pPr>
      <w:r>
        <w:rPr>
          <w:b/>
        </w:rPr>
        <w:tab/>
      </w:r>
      <w:r>
        <w:t>(c)</w:t>
      </w:r>
      <w:r>
        <w:rPr>
          <w:b/>
        </w:rPr>
        <w:tab/>
        <w:t>udzielić Komitetowi szczegółowych informacji na temat spraw, w</w:t>
      </w:r>
      <w:r w:rsidR="00022215">
        <w:rPr>
          <w:b/>
        </w:rPr>
        <w:t> </w:t>
      </w:r>
      <w:r>
        <w:rPr>
          <w:b/>
        </w:rPr>
        <w:t>których sądy krajowe powołały się i bezpośrednio zastosowały postanowienia Konwencji;</w:t>
      </w:r>
    </w:p>
    <w:p w14:paraId="4B49050E" w14:textId="77777777" w:rsidR="00672007" w:rsidRPr="00204527" w:rsidRDefault="000A43C5" w:rsidP="00672007">
      <w:pPr>
        <w:pStyle w:val="SingleTxtG"/>
        <w:rPr>
          <w:b/>
          <w:bCs/>
        </w:rPr>
      </w:pPr>
      <w:r>
        <w:rPr>
          <w:b/>
        </w:rPr>
        <w:tab/>
      </w:r>
      <w:r>
        <w:t>(d)</w:t>
      </w:r>
      <w:r>
        <w:tab/>
      </w:r>
      <w:r>
        <w:rPr>
          <w:b/>
          <w:bCs/>
        </w:rPr>
        <w:t>zweryfikować</w:t>
      </w:r>
      <w:r>
        <w:rPr>
          <w:b/>
        </w:rPr>
        <w:t xml:space="preserve"> trwającą reformę sądownictwa w celu zapewnienia zgodności z międzynarodowymi standardami niezależności sądownictwa, zasadami praworządności i podziału władzy oraz konstytucją Państwa-Strony. </w:t>
      </w:r>
    </w:p>
    <w:p w14:paraId="4B53D47C" w14:textId="77777777" w:rsidR="00672007" w:rsidRPr="00204527" w:rsidRDefault="000A43C5" w:rsidP="00116ABF">
      <w:pPr>
        <w:pStyle w:val="H23G"/>
      </w:pPr>
      <w:r>
        <w:tab/>
      </w:r>
      <w:r>
        <w:tab/>
        <w:t xml:space="preserve">Dopuszczanie dowodów uzyskanych z naruszeniem prawa </w:t>
      </w:r>
    </w:p>
    <w:p w14:paraId="6A0B7030" w14:textId="38ED3A2F" w:rsidR="00672007" w:rsidRPr="00204527" w:rsidRDefault="00672007" w:rsidP="00672007">
      <w:pPr>
        <w:pStyle w:val="SingleTxtG"/>
      </w:pPr>
      <w:r>
        <w:t>11.</w:t>
      </w:r>
      <w:r>
        <w:tab/>
        <w:t>Komitet jest poważnie zaniepokojony tym, że zgodnie z art. 168a kodeksu postępowania karnego dowodów uzyskanych z naruszeniem przepisów, w tym za pomocą czynu zabronionego, nie można uznać za niedopuszczalne w postępowaniu karnym, chyba że zostały uzyskane w wyniku zabójstwa, umyślnego spowodowania uszczerbku na</w:t>
      </w:r>
      <w:r w:rsidR="00022215">
        <w:t> </w:t>
      </w:r>
      <w:r>
        <w:t>zdrowiu lub pozbawienia wolności. Ponadto wyraża zaniepokojenie tym, że nie są</w:t>
      </w:r>
      <w:r w:rsidR="00022215">
        <w:t> </w:t>
      </w:r>
      <w:r>
        <w:t>gromadzone dane statystyczne dotyczące spraw, w których zarzuty zostały oddalone z</w:t>
      </w:r>
      <w:r w:rsidR="00022215">
        <w:t> </w:t>
      </w:r>
      <w:r>
        <w:t>powodu dopuszczenia dowodów, wyjaśnień lub zeznań uzyskanych w wyniku tortur lub niewłaściwego traktowania, a także tym, że wymuszone wyjaśnienia lub zeznania mogą być zatem nadal wykorzystywane jako dowód w sądach (art. 2, 15 i 16).</w:t>
      </w:r>
    </w:p>
    <w:p w14:paraId="53DBC4CB" w14:textId="77777777" w:rsidR="00672007" w:rsidRPr="00204527" w:rsidRDefault="00672007" w:rsidP="00672007">
      <w:pPr>
        <w:pStyle w:val="SingleTxtG"/>
        <w:rPr>
          <w:b/>
          <w:bCs/>
        </w:rPr>
      </w:pPr>
      <w:r>
        <w:t>12.</w:t>
      </w:r>
      <w:r>
        <w:tab/>
      </w:r>
      <w:r>
        <w:rPr>
          <w:b/>
        </w:rPr>
        <w:t>Komitet zaleca, aby Państwo-Strona:</w:t>
      </w:r>
    </w:p>
    <w:p w14:paraId="3119740B" w14:textId="77777777" w:rsidR="00672007" w:rsidRPr="00204527" w:rsidRDefault="000A43C5" w:rsidP="00672007">
      <w:pPr>
        <w:pStyle w:val="SingleTxtG"/>
        <w:rPr>
          <w:b/>
          <w:bCs/>
        </w:rPr>
      </w:pPr>
      <w:r>
        <w:rPr>
          <w:b/>
        </w:rPr>
        <w:tab/>
      </w:r>
      <w:r>
        <w:t>(a)</w:t>
      </w:r>
      <w:r>
        <w:tab/>
      </w:r>
      <w:r>
        <w:rPr>
          <w:b/>
          <w:bCs/>
        </w:rPr>
        <w:t xml:space="preserve">podjęło </w:t>
      </w:r>
      <w:r>
        <w:rPr>
          <w:b/>
        </w:rPr>
        <w:t>skuteczne kroki w celu uchwalenia przepisów wyraźnie zakazujących dopuszczanie dowodów uzyskanych w wyniku tortur lub niewłaściwego traktowania we wszystkich postępowaniach sądowych, zgodnie z art. 15 Konwencji, oraz uchyliło art. 168a kodeksu postępowania karnego;</w:t>
      </w:r>
    </w:p>
    <w:p w14:paraId="38858ABC" w14:textId="014DA112" w:rsidR="00672007" w:rsidRPr="00204527" w:rsidRDefault="000A43C5" w:rsidP="00672007">
      <w:pPr>
        <w:pStyle w:val="SingleTxtG"/>
        <w:rPr>
          <w:b/>
          <w:bCs/>
        </w:rPr>
      </w:pPr>
      <w:r>
        <w:rPr>
          <w:b/>
        </w:rPr>
        <w:tab/>
      </w:r>
      <w:r>
        <w:t>(b)</w:t>
      </w:r>
      <w:r>
        <w:rPr>
          <w:b/>
        </w:rPr>
        <w:tab/>
        <w:t>zapewniło, by sądy badały okoliczności, w jakich składane są</w:t>
      </w:r>
      <w:r w:rsidR="00022215">
        <w:rPr>
          <w:b/>
        </w:rPr>
        <w:t> </w:t>
      </w:r>
      <w:r>
        <w:rPr>
          <w:b/>
        </w:rPr>
        <w:t>wyjaśnienia i zeznania, w tym zeznania osób przesłuchiwanych w charakterze świadków, które to zeznania obciążają ich samych, oraz okoliczności, w jakich dochodzi do przyznania się do winy, a także by w przypadku podniesienia zarzutu wymuszonego przyznania się do winy sądy zawieszały bieg postępowania do czasu dokładnego zbadania takiego zarzutu;</w:t>
      </w:r>
    </w:p>
    <w:p w14:paraId="762825BC" w14:textId="280C2745" w:rsidR="00672007" w:rsidRPr="00204527" w:rsidRDefault="000A43C5" w:rsidP="00672007">
      <w:pPr>
        <w:pStyle w:val="SingleTxtG"/>
        <w:rPr>
          <w:b/>
          <w:bCs/>
        </w:rPr>
      </w:pPr>
      <w:r>
        <w:rPr>
          <w:b/>
        </w:rPr>
        <w:tab/>
      </w:r>
      <w:r>
        <w:t>(c)</w:t>
      </w:r>
      <w:r>
        <w:rPr>
          <w:b/>
        </w:rPr>
        <w:tab/>
        <w:t>podjęło bezzwłocznie kroki w celu zapewnienia, by w praktyce na</w:t>
      </w:r>
      <w:r w:rsidR="00022215">
        <w:rPr>
          <w:b/>
        </w:rPr>
        <w:t> </w:t>
      </w:r>
      <w:r>
        <w:rPr>
          <w:b/>
        </w:rPr>
        <w:t>wyjaśnienia i zeznania złożone w wyniku tortur nie można było się powoływać jako dowód w jakimkolwiek postępowaniu z wyjątkiem postępowania przeciwko osobie oskarżonej o stosowanie tortur jako dowód, że wyjaśnienia czy zeznania uzyskano w</w:t>
      </w:r>
      <w:r w:rsidR="00022215">
        <w:rPr>
          <w:b/>
        </w:rPr>
        <w:t> </w:t>
      </w:r>
      <w:r>
        <w:rPr>
          <w:b/>
        </w:rPr>
        <w:t>wyniku tortur;</w:t>
      </w:r>
    </w:p>
    <w:p w14:paraId="7D3C9C86" w14:textId="581C62AB" w:rsidR="00672007" w:rsidRPr="00204527" w:rsidRDefault="000A43C5" w:rsidP="00672007">
      <w:pPr>
        <w:pStyle w:val="SingleTxtG"/>
        <w:rPr>
          <w:b/>
          <w:bCs/>
        </w:rPr>
      </w:pPr>
      <w:r>
        <w:rPr>
          <w:b/>
        </w:rPr>
        <w:tab/>
      </w:r>
      <w:r>
        <w:t>(d)</w:t>
      </w:r>
      <w:r>
        <w:rPr>
          <w:b/>
        </w:rPr>
        <w:tab/>
        <w:t>doprowadziło do przeprowadzenia kontroli wyroków skazujących, opartych wyłącznie na przyznaniu się do winy, zwłaszcza jeżeli doszło do niego w</w:t>
      </w:r>
      <w:r w:rsidR="00022215">
        <w:rPr>
          <w:b/>
        </w:rPr>
        <w:t> </w:t>
      </w:r>
      <w:r>
        <w:rPr>
          <w:b/>
        </w:rPr>
        <w:t>wyniku stosowania tortur, oraz zapewniło niezwłoczne i bezstronne postępowania w</w:t>
      </w:r>
      <w:r w:rsidR="00022215">
        <w:rPr>
          <w:b/>
        </w:rPr>
        <w:t> </w:t>
      </w:r>
      <w:r>
        <w:rPr>
          <w:b/>
        </w:rPr>
        <w:t>takich sprawach, tak by osoby skazane na podstawie wymuszonych wyjaśnień lub zeznań miały zapewniony nowy proces i odpowiednie zadośćuczynienie, a sprawcy byli ścigani i karani, w tym zgodnie z zasadą odpowiedzialności zwierzchników;</w:t>
      </w:r>
    </w:p>
    <w:p w14:paraId="194DAB01" w14:textId="7284AAD7" w:rsidR="00672007" w:rsidRPr="00204527" w:rsidRDefault="000A43C5" w:rsidP="00672007">
      <w:pPr>
        <w:pStyle w:val="SingleTxtG"/>
        <w:rPr>
          <w:b/>
          <w:bCs/>
        </w:rPr>
      </w:pPr>
      <w:r>
        <w:rPr>
          <w:b/>
        </w:rPr>
        <w:tab/>
      </w:r>
      <w:r>
        <w:t>(e)</w:t>
      </w:r>
      <w:r>
        <w:rPr>
          <w:b/>
        </w:rPr>
        <w:tab/>
        <w:t>przeszkoliło sędziów i prokuratorów w celu zapewnienia ich zdolności do</w:t>
      </w:r>
      <w:r w:rsidR="00022215">
        <w:rPr>
          <w:b/>
        </w:rPr>
        <w:t> </w:t>
      </w:r>
      <w:r>
        <w:rPr>
          <w:b/>
        </w:rPr>
        <w:t>skutecznego identyfikowania przypadków tortur i niewłaściwego traktowania oraz badania wszystkich zarzutów dotyczących przyznania się do winy w wyniku tortur;</w:t>
      </w:r>
    </w:p>
    <w:p w14:paraId="53A6159C" w14:textId="77777777" w:rsidR="00672007" w:rsidRPr="00204527" w:rsidRDefault="000A43C5" w:rsidP="00672007">
      <w:pPr>
        <w:pStyle w:val="SingleTxtG"/>
        <w:rPr>
          <w:b/>
          <w:bCs/>
        </w:rPr>
      </w:pPr>
      <w:r>
        <w:rPr>
          <w:b/>
        </w:rPr>
        <w:tab/>
      </w:r>
      <w:r>
        <w:t>(f)</w:t>
      </w:r>
      <w:r>
        <w:rPr>
          <w:b/>
        </w:rPr>
        <w:tab/>
        <w:t>gromadziło dane statystyczne na temat zeznań, które zostały odrzucone na podstawie tego, że zostały uzyskane w wyniku tortur lub niewłaściwego traktowania, i dostarczyło je Komitetowi w następnym sprawozdaniu okresowym.</w:t>
      </w:r>
    </w:p>
    <w:p w14:paraId="2597F01E" w14:textId="77777777" w:rsidR="00672007" w:rsidRPr="00204527" w:rsidRDefault="000A43C5" w:rsidP="00116ABF">
      <w:pPr>
        <w:pStyle w:val="H23G"/>
      </w:pPr>
      <w:r>
        <w:tab/>
      </w:r>
      <w:r>
        <w:tab/>
        <w:t>Ostatnio wprowadzone zmiany w kodeksie karnym</w:t>
      </w:r>
    </w:p>
    <w:p w14:paraId="50E37EB2" w14:textId="77777777" w:rsidR="00672007" w:rsidRPr="00204527" w:rsidRDefault="00672007" w:rsidP="00672007">
      <w:pPr>
        <w:pStyle w:val="SingleTxtG"/>
      </w:pPr>
      <w:r>
        <w:t>13.</w:t>
      </w:r>
      <w:r>
        <w:tab/>
        <w:t xml:space="preserve">Komitet jest głęboko zaniepokojony nowelizacją kodeksu karnego uchwaloną przez Sejm w maju 2019 r. po zaledwie dwóch dniach obrad, która zdaniem Komisarza Praw Człowieka Rady Europy negatywnie wpłynie na niektóre kategorie więźniów, wprowadzi </w:t>
      </w:r>
      <w:r>
        <w:lastRenderedPageBreak/>
        <w:t>surowsze kary za liczne przestępstwa, podniesie górną granicę kary pozbawienia wolności do lat 30 a także podniesie dolną granicę, ograniczy możliwość orzekania kar wolnościowych, wydłuży okres oczekiwania na warunkowe zwolnienie, wydłuży okres oczekiwania na warunkowe zwolnienie dla skazanych na dożywocie lub co najmniej 20 lat pozbawienia wolności z 25 do 35 lat oraz wprowadzi karę dożywotniego pozbawienia wolności bez możliwości warunkowego zwolnienia (art. 2, 4, 11-13 i 16).</w:t>
      </w:r>
    </w:p>
    <w:p w14:paraId="42805DA9" w14:textId="63227334" w:rsidR="00672007" w:rsidRPr="00204527" w:rsidRDefault="00672007" w:rsidP="00672007">
      <w:pPr>
        <w:pStyle w:val="SingleTxtG"/>
        <w:rPr>
          <w:b/>
          <w:bCs/>
        </w:rPr>
      </w:pPr>
      <w:r>
        <w:t>14.</w:t>
      </w:r>
      <w:r>
        <w:tab/>
      </w:r>
      <w:r>
        <w:rPr>
          <w:b/>
        </w:rPr>
        <w:t>Komitet wzywa Senat do starannego i dogłębnego rozważenia istoty nowelizacji kodeksu karnego uchwalonej przez Sejm w maju 2019 r. oraz jej możliwych konsekwencji, w tym w świetle międzynarodowych zobowiązań Państwa-Strony. Jeśli nowelizacja ta zostanie przyjęta, może ona m.in. spowodować znaczny wzrost populacji więziennej w kraju i utrudnić stosowanie zasady poszanowania godności ludzkiej więźniów oraz humanitaryzmu w ich traktowaniu i resocjalizacji zgodnie z</w:t>
      </w:r>
      <w:r w:rsidR="00022215">
        <w:rPr>
          <w:b/>
        </w:rPr>
        <w:t> </w:t>
      </w:r>
      <w:r>
        <w:rPr>
          <w:b/>
        </w:rPr>
        <w:t>Konstytucją Rzeczypospolitej Polskiej i międzynarodowymi instrumentami ochrony praw człowieka, których Rzeczpospolita Polska jest stroną.</w:t>
      </w:r>
    </w:p>
    <w:p w14:paraId="519604EB" w14:textId="77777777" w:rsidR="00672007" w:rsidRPr="00204527" w:rsidRDefault="000A43C5" w:rsidP="00683AF4">
      <w:pPr>
        <w:pStyle w:val="H23G"/>
      </w:pPr>
      <w:r>
        <w:tab/>
      </w:r>
      <w:r>
        <w:tab/>
        <w:t>Podstawowe gwarancje prawne</w:t>
      </w:r>
    </w:p>
    <w:p w14:paraId="03479420" w14:textId="77777777" w:rsidR="00672007" w:rsidRPr="00204527" w:rsidRDefault="00672007" w:rsidP="00672007">
      <w:pPr>
        <w:pStyle w:val="SingleTxtG"/>
      </w:pPr>
      <w:r>
        <w:t>15.</w:t>
      </w:r>
      <w:r>
        <w:tab/>
        <w:t>Komitet jest zaniepokojony tym, że:</w:t>
      </w:r>
    </w:p>
    <w:p w14:paraId="6C0A408D" w14:textId="77777777" w:rsidR="00672007" w:rsidRPr="00204527" w:rsidRDefault="000A43C5" w:rsidP="00672007">
      <w:pPr>
        <w:pStyle w:val="SingleTxtG"/>
      </w:pPr>
      <w:r>
        <w:tab/>
        <w:t>(a)</w:t>
      </w:r>
      <w:r>
        <w:tab/>
        <w:t>osobom pozbawionym wolności nadal w praktyce nie przysługują wszystkie podstawowe gwarancje prawne od samego początku pozbawienia wolności, takie jak niezwłoczny dostęp do adwokata lub radcy prawnego przed pierwszym przesłuchaniem;</w:t>
      </w:r>
    </w:p>
    <w:p w14:paraId="605B5284" w14:textId="77777777" w:rsidR="00672007" w:rsidRPr="00204527" w:rsidRDefault="000A43C5" w:rsidP="00672007">
      <w:pPr>
        <w:pStyle w:val="SingleTxtG"/>
      </w:pPr>
      <w:r>
        <w:tab/>
        <w:t>(b)</w:t>
      </w:r>
      <w:r>
        <w:tab/>
        <w:t>funkcjonariusze na posterunkach policji nie są świadomi obowiązku zapewnienia osobom uprawnionym do nieodpłatnej pomocy prawnej wykazu dyżurujących adwokatów i radców prawnych, co według doniesień może trwać kilka dni lub nawet tygodni, przez co obrońcy z urzędu zazwyczaj nie są w stanie uczestniczyć w pierwszym przesłuchaniu zatrzymanego;</w:t>
      </w:r>
    </w:p>
    <w:p w14:paraId="2A797516" w14:textId="4CE7AABC" w:rsidR="00672007" w:rsidRPr="00204527" w:rsidRDefault="000A43C5" w:rsidP="00672007">
      <w:pPr>
        <w:pStyle w:val="SingleTxtG"/>
      </w:pPr>
      <w:r>
        <w:tab/>
        <w:t>(c)</w:t>
      </w:r>
      <w:r>
        <w:tab/>
        <w:t>braki w systemie rejestrów policyjnych powodują, że prawnicy mają trudności ze zlokalizowaniem swoich klientów przed pierwszym przesłuchaniem, a</w:t>
      </w:r>
      <w:r w:rsidR="00022215">
        <w:t> </w:t>
      </w:r>
      <w:r>
        <w:t>na</w:t>
      </w:r>
      <w:r w:rsidR="00022215">
        <w:t> </w:t>
      </w:r>
      <w:r>
        <w:t>niektórych komisariatach policji brakuje pomieszczeń, które gwarantowałyby prywatność, co zmusza prawników i ich klientów do spotykania się na korytarzach w</w:t>
      </w:r>
      <w:r w:rsidR="00022215">
        <w:t> </w:t>
      </w:r>
      <w:r>
        <w:t>obecności funkcjonariuszy policji;</w:t>
      </w:r>
    </w:p>
    <w:p w14:paraId="108D8C62" w14:textId="216BF06A" w:rsidR="00672007" w:rsidRPr="00204527" w:rsidRDefault="000A43C5" w:rsidP="00672007">
      <w:pPr>
        <w:pStyle w:val="SingleTxtG"/>
      </w:pPr>
      <w:r>
        <w:tab/>
        <w:t>(d)</w:t>
      </w:r>
      <w:r>
        <w:tab/>
        <w:t>kodeks postępowania karnego nadal ogranicza tajemnicę korespondencji i</w:t>
      </w:r>
      <w:r w:rsidR="00022215">
        <w:t> </w:t>
      </w:r>
      <w:r>
        <w:t>komunikacji między prawnikiem a klientem, a ograniczenia tajemnicy korespondencji i</w:t>
      </w:r>
      <w:r w:rsidR="00022215">
        <w:t> </w:t>
      </w:r>
      <w:r>
        <w:t>komunikacji prywatnej mogą obowiązywać do 14 dni, nie podlegając kontroli sądowej;</w:t>
      </w:r>
    </w:p>
    <w:p w14:paraId="214F58B4" w14:textId="77777777" w:rsidR="00672007" w:rsidRPr="00204527" w:rsidRDefault="000A43C5" w:rsidP="00672007">
      <w:pPr>
        <w:pStyle w:val="SingleTxtG"/>
      </w:pPr>
      <w:r>
        <w:tab/>
        <w:t>(e)</w:t>
      </w:r>
      <w:r>
        <w:tab/>
        <w:t>prokuratorzy mogą postanowić, że podejrzany może być przesłuchiwany bez udziału pełnomocnika;</w:t>
      </w:r>
    </w:p>
    <w:p w14:paraId="7C0AC7B4" w14:textId="77777777" w:rsidR="00672007" w:rsidRPr="00204527" w:rsidRDefault="000A43C5" w:rsidP="002E5288">
      <w:pPr>
        <w:pStyle w:val="SingleTxtG"/>
      </w:pPr>
      <w:r>
        <w:tab/>
        <w:t>(f)</w:t>
      </w:r>
      <w:r>
        <w:tab/>
        <w:t>proponowana nowelizacja kodeksu karnego wykonawczego ograniczyłaby dostęp osób pozbawionych wolności do pełnomocników, wprowadziłaby metody rewizji osobistej, które można będzie uznać za poniżające, w tym rewizję przeprowadzaną przez osoby innej płci, oraz spowodowałaby, że osoby pozbawione wolności mogą nie mieć bezzwłocznego dostępu do badań lekarskich (art. 2).</w:t>
      </w:r>
    </w:p>
    <w:p w14:paraId="449C4E2F" w14:textId="4983D791" w:rsidR="00672007" w:rsidRPr="00204527" w:rsidRDefault="00672007" w:rsidP="00672007">
      <w:pPr>
        <w:pStyle w:val="SingleTxtG"/>
        <w:rPr>
          <w:b/>
          <w:bCs/>
        </w:rPr>
      </w:pPr>
      <w:r>
        <w:t>16.</w:t>
      </w:r>
      <w:r>
        <w:tab/>
      </w:r>
      <w:r>
        <w:rPr>
          <w:b/>
        </w:rPr>
        <w:t>Państwo-Strona powinno podjąć skuteczne środki w celu zagwarantowania, by</w:t>
      </w:r>
      <w:r w:rsidR="00022215">
        <w:rPr>
          <w:b/>
        </w:rPr>
        <w:t> </w:t>
      </w:r>
      <w:r>
        <w:rPr>
          <w:b/>
        </w:rPr>
        <w:t>wszystkim zatrzymanym były zapewnione, w prawie i w praktyce, wszystkie podstawowe gwarancje prawne od samego początku pozbawienia wolności, zgodnie z</w:t>
      </w:r>
      <w:r w:rsidR="00022215">
        <w:rPr>
          <w:b/>
        </w:rPr>
        <w:t> </w:t>
      </w:r>
      <w:r>
        <w:rPr>
          <w:b/>
        </w:rPr>
        <w:t>międzynarodowymi standardami, w tym gwarancje wymienione w pkt 13 i 14 Komentarza Ogólnego Komitetu nr 2. W szczególności powinno:</w:t>
      </w:r>
    </w:p>
    <w:p w14:paraId="3B703C6A" w14:textId="77777777" w:rsidR="00672007" w:rsidRPr="00204527" w:rsidRDefault="000A43C5" w:rsidP="00672007">
      <w:pPr>
        <w:pStyle w:val="SingleTxtG"/>
        <w:rPr>
          <w:b/>
          <w:bCs/>
        </w:rPr>
      </w:pPr>
      <w:r>
        <w:rPr>
          <w:b/>
        </w:rPr>
        <w:tab/>
      </w:r>
      <w:r>
        <w:t>(a)</w:t>
      </w:r>
      <w:r>
        <w:tab/>
      </w:r>
      <w:r>
        <w:rPr>
          <w:b/>
          <w:bCs/>
        </w:rPr>
        <w:t xml:space="preserve">podjąć skuteczne kroki </w:t>
      </w:r>
      <w:r>
        <w:rPr>
          <w:b/>
        </w:rPr>
        <w:t>w celu zapewnienia wszystkim zatrzymanym szybkiego dostępu do pomocy prawnej, w tym dyżurujących adwokatów i radców prawnych w ramach nieodpłatnej pomocy prawnej przed ich pierwszym przesłuchaniem;</w:t>
      </w:r>
    </w:p>
    <w:p w14:paraId="5BCA7217" w14:textId="77777777" w:rsidR="00672007" w:rsidRPr="00204527" w:rsidRDefault="000A43C5" w:rsidP="00672007">
      <w:pPr>
        <w:pStyle w:val="SingleTxtG"/>
        <w:rPr>
          <w:b/>
          <w:bCs/>
        </w:rPr>
      </w:pPr>
      <w:r>
        <w:rPr>
          <w:b/>
        </w:rPr>
        <w:tab/>
      </w:r>
      <w:r>
        <w:t>(b)</w:t>
      </w:r>
      <w:r>
        <w:rPr>
          <w:b/>
        </w:rPr>
        <w:tab/>
        <w:t>dopilnować, by funkcjonariusze na komisariatach policji byli świadomi swojego obowiązku zapewnienia wykazu dyżurujących adwokatów i radców prawnych osobom uprawnionym do nieodpłatnej pomocy prawnej;</w:t>
      </w:r>
    </w:p>
    <w:p w14:paraId="0087D66B" w14:textId="7FAFE18B" w:rsidR="00672007" w:rsidRPr="00204527" w:rsidRDefault="000A43C5" w:rsidP="00672007">
      <w:pPr>
        <w:pStyle w:val="SingleTxtG"/>
        <w:rPr>
          <w:b/>
          <w:bCs/>
        </w:rPr>
      </w:pPr>
      <w:r>
        <w:rPr>
          <w:b/>
        </w:rPr>
        <w:lastRenderedPageBreak/>
        <w:tab/>
      </w:r>
      <w:r>
        <w:t>(c)</w:t>
      </w:r>
      <w:r>
        <w:rPr>
          <w:b/>
        </w:rPr>
        <w:tab/>
        <w:t>zapewnić, by pozbawienie wolności było ewidencjonowane w krajowym rejestrze na wszystkich etapach, w tym przy przenoszeniu do innego ośrodka, by</w:t>
      </w:r>
      <w:r w:rsidR="00022215">
        <w:rPr>
          <w:b/>
        </w:rPr>
        <w:t> </w:t>
      </w:r>
      <w:r>
        <w:rPr>
          <w:b/>
        </w:rPr>
        <w:t>adwokaci i radcy prawni mieli dostęp do takich informacji oraz by adwokaci i</w:t>
      </w:r>
      <w:r w:rsidR="00022215">
        <w:rPr>
          <w:b/>
        </w:rPr>
        <w:t> </w:t>
      </w:r>
      <w:r>
        <w:rPr>
          <w:b/>
        </w:rPr>
        <w:t>radcy prawni byli w stanie uzyskać szybki dostęp do swoich klientów i komunikować się z nimi na osobności w odpowiednich pomieszczeniach;</w:t>
      </w:r>
    </w:p>
    <w:p w14:paraId="76397639" w14:textId="75CACA03" w:rsidR="00672007" w:rsidRPr="00204527" w:rsidRDefault="000A43C5" w:rsidP="00672007">
      <w:pPr>
        <w:pStyle w:val="SingleTxtG"/>
        <w:rPr>
          <w:b/>
          <w:bCs/>
        </w:rPr>
      </w:pPr>
      <w:r>
        <w:rPr>
          <w:b/>
        </w:rPr>
        <w:tab/>
      </w:r>
      <w:r>
        <w:t>(d)</w:t>
      </w:r>
      <w:r>
        <w:tab/>
      </w:r>
      <w:r>
        <w:rPr>
          <w:b/>
          <w:bCs/>
        </w:rPr>
        <w:t>zweryfikować</w:t>
      </w:r>
      <w:r>
        <w:rPr>
          <w:b/>
        </w:rPr>
        <w:t xml:space="preserve"> przepisy kodeksu postępowania karnego, które pozwalają na ograniczenie tajemnicy korespondencji i komunikacji między prawnikiem a</w:t>
      </w:r>
      <w:r w:rsidR="00022215">
        <w:rPr>
          <w:b/>
        </w:rPr>
        <w:t> </w:t>
      </w:r>
      <w:r>
        <w:rPr>
          <w:b/>
        </w:rPr>
        <w:t>klientem, poddać te przepisy kontroli sądowej i możliwości odwołania oraz zapewnić, by prokuratorzy nie przesłuchiwali podejrzanych bez udziału ich pełnomocników;</w:t>
      </w:r>
    </w:p>
    <w:p w14:paraId="1579611F" w14:textId="77B08520" w:rsidR="00672007" w:rsidRPr="00204527" w:rsidRDefault="000A43C5" w:rsidP="00672007">
      <w:pPr>
        <w:pStyle w:val="SingleTxtG"/>
        <w:rPr>
          <w:b/>
          <w:bCs/>
        </w:rPr>
      </w:pPr>
      <w:r>
        <w:rPr>
          <w:b/>
        </w:rPr>
        <w:tab/>
      </w:r>
      <w:r>
        <w:t>(e)</w:t>
      </w:r>
      <w:r>
        <w:rPr>
          <w:b/>
        </w:rPr>
        <w:tab/>
        <w:t>zapewnić, by zatrzymanych poddawano objętym tajemnicą badaniu lekarskiemu, przeprowadzanemu przez niezależnego lekarza w ciągu 24 godzin od</w:t>
      </w:r>
      <w:r w:rsidR="00022215">
        <w:rPr>
          <w:b/>
        </w:rPr>
        <w:t> </w:t>
      </w:r>
      <w:r>
        <w:rPr>
          <w:b/>
        </w:rPr>
        <w:t>przybycia zatrzymanego do miejsca zatrzymania, by zatrzymani mieli prawo zażądać przeprowadzenia przez niezależnego lekarza badania lekarskiego w</w:t>
      </w:r>
      <w:r w:rsidR="00022215">
        <w:rPr>
          <w:b/>
        </w:rPr>
        <w:t> </w:t>
      </w:r>
      <w:r>
        <w:rPr>
          <w:b/>
        </w:rPr>
        <w:t>dowolnym momencie, poza zasięgiem wzroku i słuchu funkcjonariuszy organów ścigania, chyba że lekarz zażąda inaczej, oraz by zatrzymani nie byli poddawani rewizji metodami, w których są w sposób poniżający traktowani przez osoby płci przeciwnej;</w:t>
      </w:r>
    </w:p>
    <w:p w14:paraId="6C8F9D61" w14:textId="18A36464" w:rsidR="00672007" w:rsidRPr="00204527" w:rsidRDefault="000A43C5" w:rsidP="00672007">
      <w:pPr>
        <w:pStyle w:val="SingleTxtG"/>
        <w:rPr>
          <w:b/>
          <w:bCs/>
        </w:rPr>
      </w:pPr>
      <w:r>
        <w:rPr>
          <w:b/>
        </w:rPr>
        <w:tab/>
      </w:r>
      <w:r>
        <w:t>(f)</w:t>
      </w:r>
      <w:r>
        <w:rPr>
          <w:b/>
        </w:rPr>
        <w:tab/>
        <w:t>podjąć skuteczne kroki w celu dostosowania swojego ustawodawstwa i</w:t>
      </w:r>
      <w:r w:rsidR="00022215">
        <w:rPr>
          <w:b/>
        </w:rPr>
        <w:t> </w:t>
      </w:r>
      <w:r>
        <w:rPr>
          <w:b/>
        </w:rPr>
        <w:t>praktyk do międzynarodowych instrumentów, których jest stroną, w tym Konwencji oraz m.in. dyrektywy Parlamentu Europejskiego i Rady 2013/48/UE.</w:t>
      </w:r>
    </w:p>
    <w:p w14:paraId="5C957824" w14:textId="77777777" w:rsidR="00672007" w:rsidRPr="00204527" w:rsidRDefault="000A43C5" w:rsidP="00683AF4">
      <w:pPr>
        <w:pStyle w:val="H23G"/>
      </w:pPr>
      <w:r>
        <w:tab/>
      </w:r>
      <w:r>
        <w:tab/>
        <w:t>Areszt tymczasowy</w:t>
      </w:r>
    </w:p>
    <w:p w14:paraId="6D2ED81D" w14:textId="77777777" w:rsidR="00672007" w:rsidRPr="00204527" w:rsidRDefault="00672007" w:rsidP="00672007">
      <w:pPr>
        <w:pStyle w:val="SingleTxtG"/>
      </w:pPr>
      <w:r>
        <w:t>17.</w:t>
      </w:r>
      <w:r>
        <w:tab/>
        <w:t>Komitet jest zaniepokojony:</w:t>
      </w:r>
    </w:p>
    <w:p w14:paraId="3925C4F9" w14:textId="77777777" w:rsidR="00672007" w:rsidRPr="00204527" w:rsidRDefault="000A43C5" w:rsidP="00672007">
      <w:pPr>
        <w:pStyle w:val="SingleTxtG"/>
      </w:pPr>
      <w:r>
        <w:tab/>
        <w:t>(a)</w:t>
      </w:r>
      <w:r>
        <w:tab/>
        <w:t>zakresem stosowania i czasem trwania aresztowania tymczasowego oraz tym, że kodeks postępowania karnego nie przewiduje maksymalnego okresu tymczasowego aresztowania;</w:t>
      </w:r>
    </w:p>
    <w:p w14:paraId="790268C8" w14:textId="77777777" w:rsidR="00672007" w:rsidRPr="00204527" w:rsidRDefault="000A43C5" w:rsidP="00672007">
      <w:pPr>
        <w:pStyle w:val="SingleTxtG"/>
      </w:pPr>
      <w:r>
        <w:tab/>
        <w:t>(b)</w:t>
      </w:r>
      <w:r>
        <w:tab/>
        <w:t>tym, że przedłużenie tymczasowego aresztowania może odbywać się bez uzasadnienia, że sądy mają trudności z uzasadnieniem przedłużenia i że kodeks postępowania karnego zezwala na przedłużenie tymczasowego aresztowania o sześć miesięcy po pierwszym wyroku sądu pierwszej instancji;</w:t>
      </w:r>
    </w:p>
    <w:p w14:paraId="6C7AC92C" w14:textId="25E460EA" w:rsidR="00672007" w:rsidRPr="00204527" w:rsidRDefault="000A43C5" w:rsidP="00672007">
      <w:pPr>
        <w:pStyle w:val="SingleTxtG"/>
      </w:pPr>
      <w:r>
        <w:tab/>
        <w:t>(c)</w:t>
      </w:r>
      <w:r>
        <w:tab/>
        <w:t>tym, że kodeks postępowania karnego stanowi, iż tymczasowe aresztowanie nie może być stosowane w sprawach, w których przestępstwo zagrożone jest karą pozbawienia wolności nieprzekraczającą roku oraz że odwołania od postanowień o</w:t>
      </w:r>
      <w:r w:rsidR="00022215">
        <w:t> </w:t>
      </w:r>
      <w:r>
        <w:t>tymczasowym aresztowaniu mają niski wskaźnik powodzenia (art. 2, 14 i 16).</w:t>
      </w:r>
    </w:p>
    <w:p w14:paraId="3D849B64" w14:textId="77777777" w:rsidR="00672007" w:rsidRPr="00204527" w:rsidRDefault="00672007" w:rsidP="00672007">
      <w:pPr>
        <w:pStyle w:val="SingleTxtG"/>
        <w:rPr>
          <w:b/>
          <w:bCs/>
        </w:rPr>
      </w:pPr>
      <w:r>
        <w:t>18.</w:t>
      </w:r>
      <w:r>
        <w:tab/>
      </w:r>
      <w:r>
        <w:rPr>
          <w:b/>
        </w:rPr>
        <w:t>Państwo-Strona powinno:</w:t>
      </w:r>
    </w:p>
    <w:p w14:paraId="234A0F4A" w14:textId="77777777" w:rsidR="00672007" w:rsidRPr="00204527" w:rsidRDefault="000A43C5" w:rsidP="00672007">
      <w:pPr>
        <w:pStyle w:val="SingleTxtG"/>
        <w:rPr>
          <w:b/>
          <w:bCs/>
        </w:rPr>
      </w:pPr>
      <w:r>
        <w:rPr>
          <w:b/>
        </w:rPr>
        <w:tab/>
      </w:r>
      <w:r>
        <w:t>(a)</w:t>
      </w:r>
      <w:r>
        <w:rPr>
          <w:b/>
        </w:rPr>
        <w:tab/>
        <w:t>zapewnić, by tymczasowe aresztowanie było stosowane jako środek wyjątkowy i ostateczny przez ograniczony czas oraz by określono w przepisach prawa maksymalny okres tymczasowego aresztowania, który może monitorować sąd;</w:t>
      </w:r>
    </w:p>
    <w:p w14:paraId="6B395A0E" w14:textId="77777777" w:rsidR="00672007" w:rsidRPr="00204527" w:rsidRDefault="000A43C5" w:rsidP="00672007">
      <w:pPr>
        <w:pStyle w:val="SingleTxtG"/>
        <w:rPr>
          <w:b/>
          <w:bCs/>
        </w:rPr>
      </w:pPr>
      <w:r>
        <w:rPr>
          <w:b/>
        </w:rPr>
        <w:tab/>
      </w:r>
      <w:r>
        <w:t>(b)</w:t>
      </w:r>
      <w:r>
        <w:tab/>
      </w:r>
      <w:r>
        <w:rPr>
          <w:b/>
        </w:rPr>
        <w:t>podjąć środki w celu zaprzestania praktyki przedłużania tymczasowego aresztowania, a w szczególności przedłużania tymczasowego aresztowania o sześć miesięcy po pierwszym wyroku sądu pierwszej instancji, które to przedłużenie jest dozwolone na mocy kodeksu postępowania karnego, w celu zapewnienia, by areszt tymczasowy nie był przedłużany arbitralnie oraz by tymczasowo aresztowani byli rozmieszczani odrębnie od skazanych więźniów;</w:t>
      </w:r>
    </w:p>
    <w:p w14:paraId="1240B291" w14:textId="10AF38F8" w:rsidR="00672007" w:rsidRPr="00204527" w:rsidRDefault="000A43C5" w:rsidP="00672007">
      <w:pPr>
        <w:pStyle w:val="SingleTxtG"/>
        <w:rPr>
          <w:b/>
          <w:bCs/>
        </w:rPr>
      </w:pPr>
      <w:r>
        <w:rPr>
          <w:b/>
        </w:rPr>
        <w:tab/>
      </w:r>
      <w:r>
        <w:t>(c)</w:t>
      </w:r>
      <w:r>
        <w:rPr>
          <w:b/>
        </w:rPr>
        <w:tab/>
        <w:t>rozważyć zastąpienie tymczasowego aresztowania środkami wolnościowymi zwłaszcza w przypadku kar nieprzekraczających 2 lata pozbawienia wolności, oraz rozważyć środki alternatywne wobec pozbawienia wolności, zgodnie ze</w:t>
      </w:r>
      <w:r w:rsidR="00022215">
        <w:rPr>
          <w:b/>
        </w:rPr>
        <w:t> </w:t>
      </w:r>
      <w:r>
        <w:rPr>
          <w:b/>
        </w:rPr>
        <w:t>Wzorcowymi regułami minimalnymi Narodów Zjednoczonych dotyczącymi środków o charakterze nieizolacyjnym (Zasadami tokijskimi);</w:t>
      </w:r>
    </w:p>
    <w:p w14:paraId="570F124E" w14:textId="77777777" w:rsidR="00672007" w:rsidRPr="00204527" w:rsidRDefault="000A43C5" w:rsidP="00672007">
      <w:pPr>
        <w:pStyle w:val="SingleTxtG"/>
        <w:rPr>
          <w:b/>
          <w:bCs/>
        </w:rPr>
      </w:pPr>
      <w:r>
        <w:rPr>
          <w:b/>
        </w:rPr>
        <w:tab/>
      </w:r>
      <w:r>
        <w:t>(d)</w:t>
      </w:r>
      <w:r>
        <w:rPr>
          <w:b/>
        </w:rPr>
        <w:tab/>
        <w:t>zapewnić, by osoby, które padły ofiarą nieuzasadnionego przedłużenia tymczasowego aresztowania, uzyskały odszkodowanie i zadośćuczynienie.</w:t>
      </w:r>
    </w:p>
    <w:p w14:paraId="783E2BED" w14:textId="77777777" w:rsidR="00672007" w:rsidRPr="00204527" w:rsidRDefault="000A43C5" w:rsidP="00683AF4">
      <w:pPr>
        <w:pStyle w:val="H23G"/>
      </w:pPr>
      <w:r>
        <w:lastRenderedPageBreak/>
        <w:tab/>
      </w:r>
      <w:r>
        <w:tab/>
        <w:t>Brutalność policji</w:t>
      </w:r>
    </w:p>
    <w:p w14:paraId="04280B07" w14:textId="77777777" w:rsidR="00672007" w:rsidRPr="00204527" w:rsidRDefault="00672007" w:rsidP="00672007">
      <w:pPr>
        <w:pStyle w:val="SingleTxtG"/>
      </w:pPr>
      <w:r>
        <w:t>19.</w:t>
      </w:r>
      <w:r>
        <w:tab/>
        <w:t>Komitet jest poważnie zaniepokojony:</w:t>
      </w:r>
    </w:p>
    <w:p w14:paraId="0F3BBCA0" w14:textId="77777777" w:rsidR="00672007" w:rsidRPr="00204527" w:rsidRDefault="000A43C5" w:rsidP="00672007">
      <w:pPr>
        <w:pStyle w:val="SingleTxtG"/>
      </w:pPr>
      <w:r>
        <w:tab/>
        <w:t>(a)</w:t>
      </w:r>
      <w:r>
        <w:tab/>
        <w:t xml:space="preserve">doniesieniami o nadmiernym użyciu siły przez policję, w tym z użyciem urządzeń służących do obezwładniania za pomocą energii elektrycznej (paralizatorów elektrycznych) wobec zatrzymanych, którzy byli skuci kajdankami lub w inny sposób unieruchomieni, pomimo tego, iż prawo stanowi, że siła może być użyta tylko w celu wyegzekwowania zachowania zgodnego z poleceniem funkcjonariusza policji; </w:t>
      </w:r>
    </w:p>
    <w:p w14:paraId="01BFF8A1" w14:textId="77777777" w:rsidR="00672007" w:rsidRPr="00204527" w:rsidRDefault="000A43C5" w:rsidP="00672007">
      <w:pPr>
        <w:pStyle w:val="SingleTxtG"/>
      </w:pPr>
      <w:r>
        <w:tab/>
        <w:t>(b)</w:t>
      </w:r>
      <w:r>
        <w:tab/>
        <w:t xml:space="preserve">doniesieniami, że funkcjonariusze, którzy zostali oskarżeni o popełnienie przestępstw, nie zostali skazani, że w jednej sprawie niemożliwe było ustalenie tożsamości funkcjonariuszy policji odpowiedzialnych za stosowanie przemocy oraz że osoby, które doznały obrażeń ze strony policji, są w większości w stanie uzyskać sprawiedliwość tylko po złożeniu skargi do Europejskiego Trybunału Praw Człowieka i wydaniu przez niego wyroku; </w:t>
      </w:r>
    </w:p>
    <w:p w14:paraId="3CB1FC4D" w14:textId="77777777" w:rsidR="00672007" w:rsidRPr="00204527" w:rsidRDefault="000A43C5" w:rsidP="00672007">
      <w:pPr>
        <w:pStyle w:val="SingleTxtG"/>
      </w:pPr>
      <w:r>
        <w:tab/>
        <w:t>(c)</w:t>
      </w:r>
      <w:r>
        <w:tab/>
        <w:t xml:space="preserve">wiarygodnym doniesieniem, że osobie, która została pobita i miała widoczne siniaki i opuchliznę oraz która zasygnalizowała policji, że ma problemy zdrowotne, odmówiono dostępu do lekarza, a jej obrażeń nie odnotowano w protokole zatrzymania osoby; </w:t>
      </w:r>
    </w:p>
    <w:p w14:paraId="1328D837" w14:textId="16B78263" w:rsidR="00672007" w:rsidRPr="00204527" w:rsidRDefault="000A43C5" w:rsidP="00672007">
      <w:pPr>
        <w:pStyle w:val="SingleTxtG"/>
      </w:pPr>
      <w:r>
        <w:tab/>
        <w:t>(d)</w:t>
      </w:r>
      <w:r>
        <w:tab/>
        <w:t>śmiercią Igora Stachowiaka na komisariacie policji we Wrocławiu w maju 2016 r. po tym, jak czterech funkcjonariuszy policji użyło wobec niego paralizatora, gdy był skuty kajdankami, a także tym, że pomimo oskarżenia o popełnienie przestępstwa z</w:t>
      </w:r>
      <w:r w:rsidR="00022215">
        <w:t> </w:t>
      </w:r>
      <w:r>
        <w:t>art.</w:t>
      </w:r>
      <w:r w:rsidR="00022215">
        <w:t> </w:t>
      </w:r>
      <w:r>
        <w:t>247 kodeksu karnego rzeczeni policjanci wrócili do służby po zawieszeniu na krótki okres oraz tym, że nie pozostali oni zawieszeni w obowiązkach służbowych do czasu zakończenia postępowania (art. 2, 12-14 i 16).</w:t>
      </w:r>
    </w:p>
    <w:p w14:paraId="20FB6FFA" w14:textId="77777777" w:rsidR="00672007" w:rsidRPr="00204527" w:rsidRDefault="00672007" w:rsidP="00672007">
      <w:pPr>
        <w:pStyle w:val="SingleTxtG"/>
        <w:rPr>
          <w:b/>
          <w:bCs/>
        </w:rPr>
      </w:pPr>
      <w:r>
        <w:t>20.</w:t>
      </w:r>
      <w:r>
        <w:tab/>
      </w:r>
      <w:r>
        <w:rPr>
          <w:b/>
        </w:rPr>
        <w:t>Państwo-Strona powinno:</w:t>
      </w:r>
    </w:p>
    <w:p w14:paraId="690393EC" w14:textId="59193C82" w:rsidR="00672007" w:rsidRPr="00204527" w:rsidRDefault="000A43C5" w:rsidP="00672007">
      <w:pPr>
        <w:pStyle w:val="SingleTxtG"/>
        <w:rPr>
          <w:b/>
          <w:bCs/>
        </w:rPr>
      </w:pPr>
      <w:r>
        <w:rPr>
          <w:b/>
        </w:rPr>
        <w:tab/>
      </w:r>
      <w:r>
        <w:t>(a)</w:t>
      </w:r>
      <w:r>
        <w:rPr>
          <w:b/>
        </w:rPr>
        <w:tab/>
        <w:t>zapewnić, by wszystkie zarzuty dotyczące tortur i niewłaściwego traktowania przez funkcjonariuszy organów ścigania oraz wszystkie przypadki śmierci w areszcie były badane niezwłocznie, efektywnie i bezstronnie w ramach mechanizmów, które są strukturalnie i operacyjnie niezależne i w których nie ma</w:t>
      </w:r>
      <w:r w:rsidR="00022215">
        <w:rPr>
          <w:b/>
        </w:rPr>
        <w:t> </w:t>
      </w:r>
      <w:r>
        <w:rPr>
          <w:b/>
        </w:rPr>
        <w:t>instytucjonalnych lub hierarchicznych powiązań między śledczymi a rzekomymi sprawcami, oraz zapewnić, by sprawcy, jeśli zostaną uznani za winnych, byli ukarani w sposób współmierny do wagi przestępstwa;</w:t>
      </w:r>
    </w:p>
    <w:p w14:paraId="494EB739" w14:textId="1C51BD4F" w:rsidR="00672007" w:rsidRPr="00204527" w:rsidRDefault="000A43C5" w:rsidP="00672007">
      <w:pPr>
        <w:pStyle w:val="SingleTxtG"/>
        <w:rPr>
          <w:b/>
          <w:bCs/>
        </w:rPr>
      </w:pPr>
      <w:r>
        <w:rPr>
          <w:b/>
        </w:rPr>
        <w:tab/>
      </w:r>
      <w:r>
        <w:t>(b)</w:t>
      </w:r>
      <w:r>
        <w:rPr>
          <w:b/>
        </w:rPr>
        <w:tab/>
        <w:t>zapewnić, by wszystkie osoby, wobec których toczy się śledztwo w</w:t>
      </w:r>
      <w:r w:rsidR="00022215">
        <w:rPr>
          <w:b/>
        </w:rPr>
        <w:t> </w:t>
      </w:r>
      <w:r>
        <w:rPr>
          <w:b/>
        </w:rPr>
        <w:t>sprawie popełnienia aktów tortur lub niewłaściwego traktowania, były natychmiast zawieszane w pełnieniu obowiązków służbowych na cały czas trwania śledztwa przy jednoczesnym zachowaniu zasady domniemania niewinności;</w:t>
      </w:r>
    </w:p>
    <w:p w14:paraId="6BD7F486" w14:textId="2F5B3515" w:rsidR="00672007" w:rsidRPr="00204527" w:rsidRDefault="000A43C5" w:rsidP="00672007">
      <w:pPr>
        <w:pStyle w:val="SingleTxtG"/>
        <w:rPr>
          <w:b/>
          <w:bCs/>
        </w:rPr>
      </w:pPr>
      <w:r>
        <w:rPr>
          <w:b/>
        </w:rPr>
        <w:tab/>
      </w:r>
      <w:r>
        <w:t>(c)</w:t>
      </w:r>
      <w:r>
        <w:rPr>
          <w:b/>
        </w:rPr>
        <w:tab/>
        <w:t>wykonać wyroki Europejskiego Trybunału Praw Człowieka; przyspieszyć bieg postępowania karnego przeciwko czterem funkcjonariuszom policji rzekomo odpowiedzialnym za śmierć Igora Stachowiaka i poinformować Komitet o</w:t>
      </w:r>
      <w:r w:rsidR="00022215">
        <w:rPr>
          <w:b/>
        </w:rPr>
        <w:t> </w:t>
      </w:r>
      <w:r>
        <w:rPr>
          <w:b/>
        </w:rPr>
        <w:t>wyniku postępowania;</w:t>
      </w:r>
    </w:p>
    <w:p w14:paraId="56CCAB52" w14:textId="5BF11685" w:rsidR="00672007" w:rsidRPr="00204527" w:rsidRDefault="000A43C5" w:rsidP="00672007">
      <w:pPr>
        <w:pStyle w:val="SingleTxtG"/>
        <w:rPr>
          <w:b/>
          <w:bCs/>
        </w:rPr>
      </w:pPr>
      <w:r>
        <w:rPr>
          <w:b/>
        </w:rPr>
        <w:tab/>
      </w:r>
      <w:r>
        <w:t>(d)</w:t>
      </w:r>
      <w:r>
        <w:rPr>
          <w:b/>
        </w:rPr>
        <w:tab/>
        <w:t>dopilnować, by odnotowania obrażeń były przechowywane w miejscach ewidencjonowania przypadków tortur i niewłaściwego traktowania oraz by wszystkie pokoje przesłuchań we wszystkich obszarach kraju były wyposażone w system telewizji przemysłowej i sprzęt niezbędny do rejestrowania obrazu i dźwięku z</w:t>
      </w:r>
      <w:r w:rsidR="00022215">
        <w:rPr>
          <w:b/>
        </w:rPr>
        <w:t> </w:t>
      </w:r>
      <w:r>
        <w:rPr>
          <w:b/>
        </w:rPr>
        <w:t>przesłuchań;</w:t>
      </w:r>
    </w:p>
    <w:p w14:paraId="04D53F56" w14:textId="52E264F1" w:rsidR="00672007" w:rsidRPr="00204527" w:rsidRDefault="000A43C5" w:rsidP="00672007">
      <w:pPr>
        <w:pStyle w:val="SingleTxtG"/>
        <w:rPr>
          <w:b/>
          <w:bCs/>
        </w:rPr>
      </w:pPr>
      <w:r>
        <w:rPr>
          <w:b/>
        </w:rPr>
        <w:tab/>
      </w:r>
      <w:r>
        <w:t>(e)</w:t>
      </w:r>
      <w:r>
        <w:rPr>
          <w:b/>
        </w:rPr>
        <w:tab/>
        <w:t>zapewnić, by użycie urządzeń służących do obezwładniania za pomocą energii elektrycznej (paralizatorów) było ściśle zgodne z zasadami konieczności, pomocniczości, proporcjonalności, wcześniejszego ostrzegania (tam, gdzie jest to</w:t>
      </w:r>
      <w:r w:rsidR="00022215">
        <w:rPr>
          <w:b/>
        </w:rPr>
        <w:t> </w:t>
      </w:r>
      <w:r>
        <w:rPr>
          <w:b/>
        </w:rPr>
        <w:t>możliwe) i ostrożności oraz by urządzenia te nie były środkiem przymusu bezpośredniego będącego regularnie na wyposażeniu służby w więzieniach i innych miejscach pozbawienia wolności, w tym na komisariatach policji; nadto udzielić informacji na temat 23 podmiotów uprawnionych zgodnie z przepisami krajowymi do</w:t>
      </w:r>
      <w:r w:rsidR="00022215">
        <w:rPr>
          <w:b/>
        </w:rPr>
        <w:t> </w:t>
      </w:r>
      <w:r>
        <w:rPr>
          <w:b/>
        </w:rPr>
        <w:t>używania urządzeń służących do obezwładniania za pomocą energii elektrycznej oraz na temat charakterystyki „pocisków niepenetracyjnych”, sposobów ich używana i ich wpływu na organizm ludzki;</w:t>
      </w:r>
    </w:p>
    <w:p w14:paraId="03EB71DB" w14:textId="7AED78A2" w:rsidR="00672007" w:rsidRPr="00204527" w:rsidRDefault="000A43C5" w:rsidP="00672007">
      <w:pPr>
        <w:pStyle w:val="SingleTxtG"/>
        <w:rPr>
          <w:b/>
          <w:bCs/>
        </w:rPr>
      </w:pPr>
      <w:r>
        <w:rPr>
          <w:b/>
        </w:rPr>
        <w:lastRenderedPageBreak/>
        <w:tab/>
      </w:r>
      <w:r>
        <w:t>(f)</w:t>
      </w:r>
      <w:r>
        <w:rPr>
          <w:b/>
        </w:rPr>
        <w:tab/>
        <w:t>systematycznie szkolić wszystkich funkcjonariuszy organów ścigania w</w:t>
      </w:r>
      <w:r w:rsidR="00022215">
        <w:rPr>
          <w:b/>
        </w:rPr>
        <w:t> </w:t>
      </w:r>
      <w:r>
        <w:rPr>
          <w:b/>
        </w:rPr>
        <w:t>zakresie użycia siły, w tym w kontekście zarządzania tłumem, oraz w zakresie Podstawowych Zasad ONZ dotyczących użycia siły i broni palnej przez funkcjonariuszy organów ścigania, Rozporządzenia Rady Ministrów z dnia 17</w:t>
      </w:r>
      <w:r w:rsidR="00022215">
        <w:rPr>
          <w:b/>
        </w:rPr>
        <w:t> </w:t>
      </w:r>
      <w:r>
        <w:rPr>
          <w:b/>
        </w:rPr>
        <w:t>września 1990 r. w sprawie określenia przypadków oraz warunków i sposobów użycia przez policjantów środków przymusu bezpośredniego oraz ustawy z dnia 24</w:t>
      </w:r>
      <w:r w:rsidR="00022215">
        <w:rPr>
          <w:b/>
        </w:rPr>
        <w:t> </w:t>
      </w:r>
      <w:r>
        <w:rPr>
          <w:b/>
        </w:rPr>
        <w:t>maja 2013 r. o środkach przymusu bezpośredniego i broni palnej.</w:t>
      </w:r>
    </w:p>
    <w:p w14:paraId="7A7B8717" w14:textId="77777777" w:rsidR="00672007" w:rsidRPr="00204527" w:rsidRDefault="000A43C5" w:rsidP="00683AF4">
      <w:pPr>
        <w:pStyle w:val="H23G"/>
      </w:pPr>
      <w:r>
        <w:tab/>
      </w:r>
      <w:r>
        <w:tab/>
        <w:t>Program przekazywania i inne praktyki międzynarodowe</w:t>
      </w:r>
    </w:p>
    <w:p w14:paraId="6FFA87D2" w14:textId="668C780C" w:rsidR="00672007" w:rsidRPr="00204527" w:rsidRDefault="00672007" w:rsidP="00672007">
      <w:pPr>
        <w:pStyle w:val="SingleTxtG"/>
      </w:pPr>
      <w:r>
        <w:t>21.</w:t>
      </w:r>
      <w:r>
        <w:tab/>
        <w:t>Komitet jest zaniepokojony tym, że ponad dziesięć lat od zakończenia programów przekazywania i tajnego przetrzymywania Centralnej Agencji Wywiadowczej Stanów Zjednoczonych Ameryki prowadzonych w okresie pomiędzy 2001 a 2008 rokiem, które rzekomo obejmowały stosowanie tortur i niewłaściwe traktowanie osób podejrzanych o</w:t>
      </w:r>
      <w:r w:rsidR="00022215">
        <w:t> </w:t>
      </w:r>
      <w:r>
        <w:t>udział w przestępstwach związanych z terroryzmem, Państwo-Strona nie wyjaśniło rzekomego współudziału w tym programie i nadużycia władzy przez urzędników państwowych, którzy w różnych miastach w latach 2001-2005 umożliwili utworzenie miejsc przetrzymywania w Polsce. Jest również zaniepokojony tym, że Prokuratura Okręgowa w Krakowie nie była w stanie wydać decyzji w sprawie o sygn. PR</w:t>
      </w:r>
      <w:r w:rsidR="00022215">
        <w:t> </w:t>
      </w:r>
      <w:r>
        <w:t>II</w:t>
      </w:r>
      <w:r w:rsidR="00022215">
        <w:t> </w:t>
      </w:r>
      <w:r>
        <w:t>Ds.16.2016. Komitet wyraża również ubolewanie z powodu nieudzielenia żądanych informacji na temat gwarancji dyplomatycznych lub ich odpowiedników w odniesieniu do</w:t>
      </w:r>
      <w:r w:rsidR="00022215">
        <w:t> </w:t>
      </w:r>
      <w:r>
        <w:t>przypadków wydalania (</w:t>
      </w:r>
      <w:r>
        <w:rPr>
          <w:i/>
          <w:iCs/>
        </w:rPr>
        <w:t>refoulement</w:t>
      </w:r>
      <w:r>
        <w:t>), ekstradycji lub odsyłania, które mogły mieć miejsce w okresie sprawozdawczym (art . 2, 3, 12 i 13).</w:t>
      </w:r>
    </w:p>
    <w:p w14:paraId="793976E6" w14:textId="543C946C" w:rsidR="00672007" w:rsidRPr="00204527" w:rsidRDefault="00672007" w:rsidP="00672007">
      <w:pPr>
        <w:pStyle w:val="SingleTxtG"/>
        <w:rPr>
          <w:b/>
          <w:bCs/>
        </w:rPr>
      </w:pPr>
      <w:r>
        <w:t>22.</w:t>
      </w:r>
      <w:r>
        <w:tab/>
      </w:r>
      <w:r>
        <w:rPr>
          <w:b/>
        </w:rPr>
        <w:t>Komitet ponawia swoje zalecenie dla Państwa-Strony, by zakończyło postępowanie w sprawie doniesień o rzekomym zaangażowaniu w programy Centralnej Agencji Wywiadowczej dotyczące przekazywania i tajnego przetrzymywania osób w okresie pomiędzy 2001 a 2008 rokiem i zapewniło, by osoby zaangażowane w rzekome przestępstwa tortur i niewłaściwego traktowania były pociągnięte do odpowiedzialności. Komitet wzywa Państwo-Stronę do przyspieszenia, w miarę możliwości, postępowania prowadzonego przez Prokuraturę Okręgową w</w:t>
      </w:r>
      <w:r w:rsidR="00022215">
        <w:rPr>
          <w:b/>
        </w:rPr>
        <w:t> </w:t>
      </w:r>
      <w:r>
        <w:rPr>
          <w:b/>
        </w:rPr>
        <w:t xml:space="preserve">Krakowie w sprawie o sygn. PR II Ds. 16.2016. Ponadto Państwo-Strona powinno udzielić aktualnych informacji na temat swoich działań w związku z wydaniem wyroków przez Europejski Trybunał Praw Człowieka w sprawach </w:t>
      </w:r>
      <w:r>
        <w:rPr>
          <w:b/>
          <w:i/>
        </w:rPr>
        <w:t xml:space="preserve">Al Nashiri </w:t>
      </w:r>
      <w:r>
        <w:rPr>
          <w:b/>
        </w:rPr>
        <w:t>i</w:t>
      </w:r>
      <w:r w:rsidR="00022215">
        <w:rPr>
          <w:b/>
          <w:i/>
        </w:rPr>
        <w:t> </w:t>
      </w:r>
      <w:r>
        <w:rPr>
          <w:b/>
          <w:i/>
        </w:rPr>
        <w:t>Husayn (Abu Zubaydah)</w:t>
      </w:r>
      <w:r>
        <w:rPr>
          <w:b/>
        </w:rPr>
        <w:t>, które stały się ostateczne w dniu 16 lutego 2016 r., w tym w</w:t>
      </w:r>
      <w:r w:rsidR="00022215">
        <w:rPr>
          <w:b/>
        </w:rPr>
        <w:t> </w:t>
      </w:r>
      <w:r>
        <w:rPr>
          <w:b/>
        </w:rPr>
        <w:t>kontekście ratyfikacji przez Państwo-Stronę Rzymskiego Statutu Międzynarodowego Trybunału Karnego. Wreszcie Państwo-Strona powinno udzielić informacji na temat wszelkich żądanych lub udzielonych gwarancji dyplomatycznych w okresie sprawozdawczym.</w:t>
      </w:r>
    </w:p>
    <w:p w14:paraId="2C936040" w14:textId="77777777" w:rsidR="00672007" w:rsidRPr="00204527" w:rsidRDefault="000A43C5" w:rsidP="00683AF4">
      <w:pPr>
        <w:pStyle w:val="H23G"/>
      </w:pPr>
      <w:r>
        <w:tab/>
      </w:r>
      <w:r>
        <w:tab/>
        <w:t>Rzecznik Praw Obywatelskich i krajowy mechanizm prewencji</w:t>
      </w:r>
    </w:p>
    <w:p w14:paraId="2CE0331F" w14:textId="77777777" w:rsidR="00672007" w:rsidRPr="00204527" w:rsidRDefault="00672007" w:rsidP="00672007">
      <w:pPr>
        <w:pStyle w:val="SingleTxtG"/>
      </w:pPr>
      <w:r>
        <w:t>23.</w:t>
      </w:r>
      <w:r>
        <w:tab/>
        <w:t>Komitet jest zaniepokojony:</w:t>
      </w:r>
    </w:p>
    <w:p w14:paraId="3015E4C2" w14:textId="77777777" w:rsidR="00672007" w:rsidRPr="00204527" w:rsidRDefault="000A43C5" w:rsidP="00672007">
      <w:pPr>
        <w:pStyle w:val="SingleTxtG"/>
      </w:pPr>
      <w:r>
        <w:tab/>
        <w:t>(a)</w:t>
      </w:r>
      <w:r>
        <w:tab/>
        <w:t>doniesieniami, że Biuro Rzecznika Praw Obywatelskich, w ramach którego funkcjonuje krajowy mechanizm prewencji, nie otrzymało wystarczających środków finansowych do pełnego i skutecznego sprawowania swojego mandatu oraz do odwiedzania wszystkich miejsc pozbawienia wolności;</w:t>
      </w:r>
    </w:p>
    <w:p w14:paraId="52F5BEAB" w14:textId="78C8ABA4" w:rsidR="00672007" w:rsidRPr="00204527" w:rsidRDefault="000A43C5" w:rsidP="00672007">
      <w:pPr>
        <w:pStyle w:val="SingleTxtG"/>
      </w:pPr>
      <w:r>
        <w:tab/>
        <w:t>(b)</w:t>
      </w:r>
      <w:r>
        <w:tab/>
        <w:t>doniesieniami o niewystarczających zasobach ludzkich, instytucjonalnych i</w:t>
      </w:r>
      <w:r w:rsidR="00022215">
        <w:t> </w:t>
      </w:r>
      <w:r>
        <w:t>finansowych w krajowym mechanizmie prewencji oraz bardzo niskiej widzialności mechanizmu oraz świadomości na jego temat wśród ogółu społeczeństwa i organów ścigania, co utrudniło podjęcie działań następczych po wizytach w miejscach zatrzymania i</w:t>
      </w:r>
      <w:r w:rsidR="00022215">
        <w:t> </w:t>
      </w:r>
      <w:r>
        <w:t>utrudniło zatrudnienie dodatkowego wyspecjalizowanego personelu;</w:t>
      </w:r>
    </w:p>
    <w:p w14:paraId="38A077F2" w14:textId="77777777" w:rsidR="00672007" w:rsidRPr="00204527" w:rsidRDefault="000A43C5" w:rsidP="00672007">
      <w:pPr>
        <w:pStyle w:val="SingleTxtG"/>
      </w:pPr>
      <w:r>
        <w:tab/>
        <w:t>(c)</w:t>
      </w:r>
      <w:r>
        <w:tab/>
        <w:t>personalnymi atakami na obecnego Rzecznika Praw Obywatelskich Adama Bodnara oraz krytyką kierowaną pod jego adresem, w szczególności po jego wypowiedziach dotyczących wydarzeń, do których doszło w czerwcu i lipcu 2019 r.;</w:t>
      </w:r>
    </w:p>
    <w:p w14:paraId="7F263FE0" w14:textId="1B9BBDFA" w:rsidR="00672007" w:rsidRPr="00204527" w:rsidRDefault="000A43C5" w:rsidP="00672007">
      <w:pPr>
        <w:pStyle w:val="SingleTxtG"/>
      </w:pPr>
      <w:r>
        <w:tab/>
        <w:t>(d)</w:t>
      </w:r>
      <w:r>
        <w:tab/>
        <w:t>wiarygodnym doniesieniem, że Rzecznik Praw Obywatelskich, który został powołany przez Parlament, został wezwany do rezygnacji z urzędu przez jednego z</w:t>
      </w:r>
      <w:r w:rsidR="00022215">
        <w:t> </w:t>
      </w:r>
      <w:r>
        <w:t xml:space="preserve">wiceministrów sprawiedliwości dzień po rozpatrzeniu siódmego sprawozdania okresowego złożonego przez Rzeczpospolitą Polską, w odniesieniu do którego Biuro </w:t>
      </w:r>
      <w:r>
        <w:lastRenderedPageBreak/>
        <w:t>Rzecznika złożyło sprawozdanie alternatywne, zamieszczone na stronie internetowej Komitetu; wezwanie to potencjalnie stanowi odwet na Rzeczniku za złożenie sprawozdania do Komitetu, a to stanowiłoby ingerencję władzy wykonawczej w funkcje instytucji ustanowionej przez ustawodawcę (art. 2).</w:t>
      </w:r>
    </w:p>
    <w:p w14:paraId="796D60B8" w14:textId="77777777" w:rsidR="00672007" w:rsidRPr="00204527" w:rsidRDefault="00672007" w:rsidP="00672007">
      <w:pPr>
        <w:pStyle w:val="SingleTxtG"/>
        <w:rPr>
          <w:b/>
          <w:bCs/>
        </w:rPr>
      </w:pPr>
      <w:r>
        <w:t>24.</w:t>
      </w:r>
      <w:r>
        <w:tab/>
      </w:r>
      <w:r>
        <w:rPr>
          <w:b/>
        </w:rPr>
        <w:t>Państwo-Strona powinno:</w:t>
      </w:r>
    </w:p>
    <w:p w14:paraId="742465DB" w14:textId="1AA853A9" w:rsidR="00672007" w:rsidRPr="00204527" w:rsidRDefault="000A43C5" w:rsidP="00672007">
      <w:pPr>
        <w:pStyle w:val="SingleTxtG"/>
        <w:rPr>
          <w:b/>
          <w:bCs/>
        </w:rPr>
      </w:pPr>
      <w:r>
        <w:rPr>
          <w:b/>
        </w:rPr>
        <w:tab/>
      </w:r>
      <w:r>
        <w:t>(a)</w:t>
      </w:r>
      <w:r>
        <w:rPr>
          <w:b/>
        </w:rPr>
        <w:tab/>
        <w:t>przydzielić środki finansowe, o które zwraca się Biuro Rzecznika Praw Obywatelskich, w celu umożliwienia sprawowania mandatu oraz znacząco zwiększyć środki przekazywane na krajowy mechanizm prewencji w celu umożliwienia skutecznego jego funkcjonowania, zatrudnić niezbędny wyspecjalizowany personel i</w:t>
      </w:r>
      <w:r w:rsidR="00022215">
        <w:rPr>
          <w:b/>
        </w:rPr>
        <w:t> </w:t>
      </w:r>
      <w:r>
        <w:rPr>
          <w:b/>
        </w:rPr>
        <w:t>umożliwić mu wykonywanie swoich zadań w pełni zgodnie z Protokołem fakultatywnym do Konwencji, w tym w celu zapewnienia działań następczych w</w:t>
      </w:r>
      <w:r w:rsidR="00022215">
        <w:rPr>
          <w:b/>
        </w:rPr>
        <w:t> </w:t>
      </w:r>
      <w:r>
        <w:rPr>
          <w:b/>
        </w:rPr>
        <w:t>związku z wizytami personelu w miejscach pozbawienia wolności. W związku z tym Komitet zwraca uwagę Państwa-Strony na Wytyczne Podkomitetu ds. zapobiegania torturom oraz innemu okrutnemu, nieludzkiemu lub poniżającemu traktowaniu albo karaniu dotyczące krajowych mechanizmów prewencji (CAT/OP/12/5), zgodnie z</w:t>
      </w:r>
      <w:r w:rsidR="00022215">
        <w:rPr>
          <w:b/>
        </w:rPr>
        <w:t> </w:t>
      </w:r>
      <w:r>
        <w:rPr>
          <w:b/>
        </w:rPr>
        <w:t>którymi Państwa-Strony powinny zapewnić, by krajowe mechanizmy prewencji dysponowały środkami niezbędnymi do skutecznego działania, zapewnić im pełną autonomię finansową i operacyjną przy wykonywaniu ich funkcji oraz zapewnić bezstronność i niezależność ich członków;</w:t>
      </w:r>
    </w:p>
    <w:p w14:paraId="33647BDE" w14:textId="3E412AF3" w:rsidR="00672007" w:rsidRPr="00204527" w:rsidRDefault="000A43C5" w:rsidP="00672007">
      <w:pPr>
        <w:pStyle w:val="SingleTxtG"/>
        <w:rPr>
          <w:b/>
          <w:bCs/>
        </w:rPr>
      </w:pPr>
      <w:r>
        <w:rPr>
          <w:b/>
        </w:rPr>
        <w:tab/>
      </w:r>
      <w:r>
        <w:t>(b)</w:t>
      </w:r>
      <w:r>
        <w:rPr>
          <w:b/>
        </w:rPr>
        <w:tab/>
        <w:t>przeprowadzić kampanię informacyjną w celu zwiększenia wiedzy wśród ogółu społeczeństwa, organów ścigania i instytucji medycznych na temat mandatu i</w:t>
      </w:r>
      <w:r w:rsidR="00022215">
        <w:rPr>
          <w:b/>
        </w:rPr>
        <w:t> </w:t>
      </w:r>
      <w:r>
        <w:rPr>
          <w:b/>
        </w:rPr>
        <w:t>pracy krajowego mechanizmu prewencji;</w:t>
      </w:r>
    </w:p>
    <w:p w14:paraId="30F0D07C" w14:textId="77777777" w:rsidR="00672007" w:rsidRPr="00204527" w:rsidRDefault="000A43C5" w:rsidP="00672007">
      <w:pPr>
        <w:pStyle w:val="SingleTxtG"/>
        <w:rPr>
          <w:b/>
          <w:bCs/>
        </w:rPr>
      </w:pPr>
      <w:r>
        <w:rPr>
          <w:b/>
        </w:rPr>
        <w:tab/>
      </w:r>
      <w:r>
        <w:t>(c)</w:t>
      </w:r>
      <w:r>
        <w:rPr>
          <w:b/>
        </w:rPr>
        <w:tab/>
        <w:t>zapewnić niezależność, bezpieczeństwo i zdolność do działania Rzecznika Praw Obywatelskich, tak by mógł on w pełni sprawować swój konstytucyjny mandat zgodnie z międzynarodowymi standardami.</w:t>
      </w:r>
    </w:p>
    <w:p w14:paraId="217B00E9" w14:textId="77777777" w:rsidR="00672007" w:rsidRPr="00204527" w:rsidRDefault="000A43C5" w:rsidP="00683AF4">
      <w:pPr>
        <w:pStyle w:val="H23G"/>
      </w:pPr>
      <w:r>
        <w:tab/>
      </w:r>
      <w:r>
        <w:tab/>
        <w:t xml:space="preserve">Zasada </w:t>
      </w:r>
      <w:r>
        <w:rPr>
          <w:i/>
          <w:iCs/>
        </w:rPr>
        <w:t>non-refoulement</w:t>
      </w:r>
      <w:r>
        <w:t xml:space="preserve"> i zmiany w ustawie o udzielaniu cudzoziemcom ochrony</w:t>
      </w:r>
    </w:p>
    <w:p w14:paraId="06DEB8A6" w14:textId="77777777" w:rsidR="00672007" w:rsidRPr="00204527" w:rsidRDefault="00672007" w:rsidP="00672007">
      <w:pPr>
        <w:pStyle w:val="SingleTxtG"/>
      </w:pPr>
      <w:r>
        <w:t>25.</w:t>
      </w:r>
      <w:r>
        <w:tab/>
        <w:t>Komitet jest zaniepokojony:</w:t>
      </w:r>
    </w:p>
    <w:p w14:paraId="295E6F27" w14:textId="2D35E1B1" w:rsidR="00672007" w:rsidRPr="00204527" w:rsidRDefault="000A43C5" w:rsidP="00672007">
      <w:pPr>
        <w:pStyle w:val="SingleTxtG"/>
      </w:pPr>
      <w:r>
        <w:tab/>
        <w:t>(a)</w:t>
      </w:r>
      <w:r>
        <w:tab/>
        <w:t>tym, że osoby potrzebujące ochrony międzynarodowej nie zawsze są</w:t>
      </w:r>
      <w:r w:rsidR="00022215">
        <w:t> </w:t>
      </w:r>
      <w:r>
        <w:t>wpuszczane na terytorium Rzeczypospolitej Polskiej, w szczególności na przejściu granicznym z Republiką Białorusi w Terespolu i przejściu granicznym z Ukrainą w</w:t>
      </w:r>
      <w:r w:rsidR="00022215">
        <w:t> </w:t>
      </w:r>
      <w:r>
        <w:t>Medyce, nawet w przypadku osób wymagających szczególnej troski;</w:t>
      </w:r>
    </w:p>
    <w:p w14:paraId="26DB0383" w14:textId="3BAF6E2C" w:rsidR="00672007" w:rsidRPr="00204527" w:rsidRDefault="000A43C5" w:rsidP="00672007">
      <w:pPr>
        <w:pStyle w:val="SingleTxtG"/>
      </w:pPr>
      <w:r>
        <w:tab/>
        <w:t>(b)</w:t>
      </w:r>
      <w:r>
        <w:tab/>
        <w:t>tym, że projekt nowelizacji ustawy o udzielaniu cudzoziemcom ochrony, który został przyjęty w lutym 2019 r., może ograniczyć dalszy dostęp do terytorium Państwa-Strony wraz z wprowadzeniem procedury przyspieszonej w postępowaniu na</w:t>
      </w:r>
      <w:r w:rsidR="00022215">
        <w:t> </w:t>
      </w:r>
      <w:r>
        <w:t>granicy, w ramach której to procedury decyzja jest wydawana w terminie 20 dni, co</w:t>
      </w:r>
      <w:r w:rsidR="00022215">
        <w:t> </w:t>
      </w:r>
      <w:r>
        <w:t>skutkowałoby odrzucaniem wniosków o azyl i brakiem skutku zawieszającego odwołań do sądu w kontekście postępowania na granicy;</w:t>
      </w:r>
    </w:p>
    <w:p w14:paraId="3B2271FC" w14:textId="465202B2" w:rsidR="00672007" w:rsidRPr="00204527" w:rsidRDefault="000A43C5" w:rsidP="00672007">
      <w:pPr>
        <w:pStyle w:val="SingleTxtG"/>
      </w:pPr>
      <w:r>
        <w:tab/>
        <w:t>(c)</w:t>
      </w:r>
      <w:r>
        <w:tab/>
        <w:t>tym, że rodziny z dziećmi i małoletni bez opieki, którzy ukończyli 15 lat, są</w:t>
      </w:r>
      <w:r w:rsidR="00022215">
        <w:t> </w:t>
      </w:r>
      <w:r>
        <w:t>umieszczani w strzeżonych ośrodkach dla cudzoziemców, gdzie warunki wymagają poprawy;</w:t>
      </w:r>
    </w:p>
    <w:p w14:paraId="337BAFA2" w14:textId="77777777" w:rsidR="00672007" w:rsidRPr="00204527" w:rsidRDefault="000A43C5" w:rsidP="00672007">
      <w:pPr>
        <w:pStyle w:val="SingleTxtG"/>
      </w:pPr>
      <w:r>
        <w:tab/>
        <w:t>(d)</w:t>
      </w:r>
      <w:r>
        <w:tab/>
        <w:t>niewystarczającą zdolnością do identyfikowania osób ubiegających się o azyl, uchodźców i innych osób potrzebujących ochrony międzynarodowej, które padły ofiarą tortur, oraz brakiem odpowiedniej ochrony i opieki dla osób, które padły ofiarą przemocy seksualnej i przemocy uwarunkowanej płcią (art. 2, 3, 11-13 i 16).</w:t>
      </w:r>
    </w:p>
    <w:p w14:paraId="2B0DA096" w14:textId="77777777" w:rsidR="00672007" w:rsidRPr="00204527" w:rsidRDefault="00672007" w:rsidP="00672007">
      <w:pPr>
        <w:pStyle w:val="SingleTxtG"/>
        <w:rPr>
          <w:b/>
          <w:bCs/>
        </w:rPr>
      </w:pPr>
      <w:r>
        <w:t>26.</w:t>
      </w:r>
      <w:r>
        <w:tab/>
      </w:r>
      <w:r>
        <w:rPr>
          <w:b/>
        </w:rPr>
        <w:t>Państwo-Strona powinno:</w:t>
      </w:r>
    </w:p>
    <w:p w14:paraId="44D65FF3" w14:textId="77777777" w:rsidR="00672007" w:rsidRPr="00204527" w:rsidRDefault="000A43C5" w:rsidP="00672007">
      <w:pPr>
        <w:pStyle w:val="SingleTxtG"/>
        <w:rPr>
          <w:b/>
          <w:bCs/>
        </w:rPr>
      </w:pPr>
      <w:r>
        <w:rPr>
          <w:b/>
        </w:rPr>
        <w:tab/>
      </w:r>
      <w:r>
        <w:t>(a)</w:t>
      </w:r>
      <w:r>
        <w:rPr>
          <w:b/>
        </w:rPr>
        <w:tab/>
        <w:t>zapisać w swoim ustawodawstwie zasadę, że zatrzymanie osób ubiegających się o azyl, a w szczególności dzieci i osób wymagających szczególnej troski, powinno być stosowane jako środek ostateczny, na możliwie najkrótszy okres, w placówkach odpowiednich do statusu tych osób;</w:t>
      </w:r>
    </w:p>
    <w:p w14:paraId="6F2BD5BA" w14:textId="77777777" w:rsidR="00672007" w:rsidRPr="00204527" w:rsidRDefault="000A43C5" w:rsidP="00672007">
      <w:pPr>
        <w:pStyle w:val="SingleTxtG"/>
        <w:rPr>
          <w:b/>
          <w:bCs/>
        </w:rPr>
      </w:pPr>
      <w:r>
        <w:rPr>
          <w:b/>
        </w:rPr>
        <w:tab/>
      </w:r>
      <w:r>
        <w:t>(b)</w:t>
      </w:r>
      <w:r>
        <w:rPr>
          <w:b/>
        </w:rPr>
        <w:tab/>
        <w:t xml:space="preserve">zapewnić, by w pełni wywiązywało się ze swoich zobowiązań wynikających z art. 3 Konwencji, by sprawy osób podlegających jego jurysdykcji były odpowiednio rozpatrywane przez właściwe organy, by takie osoby miały gwarancję </w:t>
      </w:r>
      <w:r>
        <w:rPr>
          <w:b/>
        </w:rPr>
        <w:lastRenderedPageBreak/>
        <w:t>sprawiedliwej i bezstronnej kontroli dokonywanej w ramach niezależnego mechanizmu w sprawie wydalenia, powrotu lub ekstradycji ze skutkiem zawieszającym, oraz by takie osoby miały dostęp do pomocy prawnej;</w:t>
      </w:r>
    </w:p>
    <w:p w14:paraId="7FB32259" w14:textId="77777777" w:rsidR="00672007" w:rsidRPr="00204527" w:rsidRDefault="000A43C5" w:rsidP="00672007">
      <w:pPr>
        <w:pStyle w:val="SingleTxtG"/>
        <w:rPr>
          <w:b/>
          <w:bCs/>
        </w:rPr>
      </w:pPr>
      <w:r>
        <w:rPr>
          <w:b/>
        </w:rPr>
        <w:tab/>
      </w:r>
      <w:r>
        <w:t>(c)</w:t>
      </w:r>
      <w:r>
        <w:rPr>
          <w:b/>
        </w:rPr>
        <w:tab/>
        <w:t>powstrzymać się od umieszczania osób potrzebujących ochrony międzynarodowej, w szczególności dzieci, w strzeżonych ośrodkach dla cudzoziemców;</w:t>
      </w:r>
    </w:p>
    <w:p w14:paraId="1639B230" w14:textId="16E13F2B" w:rsidR="00672007" w:rsidRPr="00204527" w:rsidRDefault="000A43C5" w:rsidP="00672007">
      <w:pPr>
        <w:pStyle w:val="SingleTxtG"/>
        <w:rPr>
          <w:b/>
          <w:bCs/>
        </w:rPr>
      </w:pPr>
      <w:r>
        <w:rPr>
          <w:b/>
        </w:rPr>
        <w:tab/>
      </w:r>
      <w:r>
        <w:t>(d)</w:t>
      </w:r>
      <w:r>
        <w:rPr>
          <w:b/>
        </w:rPr>
        <w:tab/>
        <w:t>zapewnić szybką i odpowiednią identyfikację osób wymagających szczególnej troski, w tym ofiar tortur i niewłaściwego traktowania, a także przemocy seksualnej i przemocy uwarunkowanej płcią, oraz zapewnić im odpowiedni dostęp do</w:t>
      </w:r>
      <w:r w:rsidR="00022215">
        <w:rPr>
          <w:b/>
        </w:rPr>
        <w:t> </w:t>
      </w:r>
      <w:r>
        <w:rPr>
          <w:b/>
        </w:rPr>
        <w:t>opieki zdrowotnej i usług psychologicznych;</w:t>
      </w:r>
    </w:p>
    <w:p w14:paraId="3E7586AC" w14:textId="77777777" w:rsidR="00672007" w:rsidRPr="00204527" w:rsidRDefault="000A43C5" w:rsidP="00672007">
      <w:pPr>
        <w:pStyle w:val="SingleTxtG"/>
        <w:rPr>
          <w:b/>
          <w:bCs/>
        </w:rPr>
      </w:pPr>
      <w:r>
        <w:rPr>
          <w:b/>
        </w:rPr>
        <w:tab/>
      </w:r>
      <w:r>
        <w:t>(e)</w:t>
      </w:r>
      <w:r>
        <w:rPr>
          <w:b/>
        </w:rPr>
        <w:tab/>
        <w:t>powstrzymać się od wypychania (</w:t>
      </w:r>
      <w:r>
        <w:rPr>
          <w:b/>
          <w:i/>
          <w:iCs/>
        </w:rPr>
        <w:t>pushback</w:t>
      </w:r>
      <w:r>
        <w:rPr>
          <w:b/>
        </w:rPr>
        <w:t>) i wydalania osób (</w:t>
      </w:r>
      <w:r>
        <w:rPr>
          <w:b/>
          <w:i/>
          <w:iCs/>
        </w:rPr>
        <w:t>refoulement</w:t>
      </w:r>
      <w:r>
        <w:rPr>
          <w:b/>
        </w:rPr>
        <w:t>) oraz stworzyć dostępne systemy wjazdowe na przejściach granicznych, wrażliwe na kwestie ochrony;</w:t>
      </w:r>
    </w:p>
    <w:p w14:paraId="3DBC46E8" w14:textId="77777777" w:rsidR="00672007" w:rsidRPr="00204527" w:rsidRDefault="000A43C5" w:rsidP="00672007">
      <w:pPr>
        <w:pStyle w:val="SingleTxtG"/>
        <w:rPr>
          <w:b/>
          <w:bCs/>
        </w:rPr>
      </w:pPr>
      <w:r>
        <w:rPr>
          <w:b/>
        </w:rPr>
        <w:tab/>
      </w:r>
      <w:r>
        <w:t>(f)</w:t>
      </w:r>
      <w:r>
        <w:rPr>
          <w:b/>
        </w:rPr>
        <w:tab/>
        <w:t>rozważyć ratyfikację Konwencji o statusie bezpaństwowców i Konwencji o ograniczaniu bezpaństwowości.</w:t>
      </w:r>
    </w:p>
    <w:p w14:paraId="7AF904A0" w14:textId="77777777" w:rsidR="00672007" w:rsidRPr="00204527" w:rsidRDefault="000A43C5" w:rsidP="00683AF4">
      <w:pPr>
        <w:pStyle w:val="H23G"/>
      </w:pPr>
      <w:r>
        <w:tab/>
      </w:r>
      <w:r>
        <w:tab/>
        <w:t>Szkolenie</w:t>
      </w:r>
    </w:p>
    <w:p w14:paraId="3E335FDE" w14:textId="5CCF4E19" w:rsidR="00672007" w:rsidRPr="00204527" w:rsidRDefault="00672007" w:rsidP="00672007">
      <w:pPr>
        <w:pStyle w:val="SingleTxtG"/>
      </w:pPr>
      <w:r>
        <w:t>27.</w:t>
      </w:r>
      <w:r>
        <w:tab/>
        <w:t>Komitet jest zaniepokojony tym, że specjalne szkolenia dotyczące postanowień Konwencji, a w szczególności bezwzględnego zakazu tortur, nie wchodzą w zakres szkolenia funkcjonariuszy organów ścigania, oficerów wojskowych, personelu więziennego, straży granicznej, sędziów, prokuratorów, lekarzy medycyny sądowej i personelu medycznego. Jest również zaniepokojony tym, że Podręcznik skutecznego badania i</w:t>
      </w:r>
      <w:r w:rsidR="00022215">
        <w:t> </w:t>
      </w:r>
      <w:r>
        <w:t>dokumentowania tortur oraz innego okrutnego, nieludzkiego lub poniżającego traktowania albo karania (Protokół stambulski) nie wchodzi w zakres obowiązkowego szkolenia dla personelu medycznego i innych funkcjonariuszy publicznych zaangażowanych w</w:t>
      </w:r>
      <w:r w:rsidR="00022215">
        <w:t> </w:t>
      </w:r>
      <w:r>
        <w:t>zatrzymywanie, przesłuchiwanie i traktowanie osób poddanych jakiejkolwiek formie zatrzymania, aresztowania lub pozbawienia wolności (art. 10).</w:t>
      </w:r>
    </w:p>
    <w:p w14:paraId="53F1974C" w14:textId="77777777" w:rsidR="00672007" w:rsidRPr="00204527" w:rsidRDefault="00672007" w:rsidP="00672007">
      <w:pPr>
        <w:pStyle w:val="SingleTxtG"/>
        <w:rPr>
          <w:b/>
          <w:bCs/>
        </w:rPr>
      </w:pPr>
      <w:r>
        <w:t>28.</w:t>
      </w:r>
      <w:r>
        <w:tab/>
      </w:r>
      <w:r>
        <w:rPr>
          <w:b/>
        </w:rPr>
        <w:t>Państwo-Strona powinno:</w:t>
      </w:r>
    </w:p>
    <w:p w14:paraId="76461BAB" w14:textId="77777777" w:rsidR="00672007" w:rsidRPr="00204527" w:rsidRDefault="000A43C5" w:rsidP="00672007">
      <w:pPr>
        <w:pStyle w:val="SingleTxtG"/>
        <w:rPr>
          <w:b/>
          <w:bCs/>
        </w:rPr>
      </w:pPr>
      <w:r>
        <w:rPr>
          <w:b/>
        </w:rPr>
        <w:tab/>
      </w:r>
      <w:r>
        <w:t>(a)</w:t>
      </w:r>
      <w:r>
        <w:rPr>
          <w:b/>
        </w:rPr>
        <w:tab/>
        <w:t>zapewnić, by funkcjonariusze organów ścigania, oficerzy wojskowi, personel więzienny, straż graniczna, sędziowie, prokuratorzy, lekarze medycyny sądowej i personel medyczny zostali przeszkoleni w zakresie postanowień Konwencji, a w szczególności w zakresie bezwzględnego zakazu tortur;</w:t>
      </w:r>
    </w:p>
    <w:p w14:paraId="7AA05FE3" w14:textId="77777777" w:rsidR="00672007" w:rsidRPr="00204527" w:rsidRDefault="000A43C5" w:rsidP="00672007">
      <w:pPr>
        <w:pStyle w:val="SingleTxtG"/>
        <w:rPr>
          <w:b/>
          <w:bCs/>
        </w:rPr>
      </w:pPr>
      <w:r>
        <w:rPr>
          <w:b/>
        </w:rPr>
        <w:tab/>
      </w:r>
      <w:r>
        <w:t>(b)</w:t>
      </w:r>
      <w:r>
        <w:rPr>
          <w:b/>
        </w:rPr>
        <w:tab/>
        <w:t>zapewnić, by personel medyczny i inni funkcjonariusze publiczni zaangażowani w zatrzymywanie, przesłuchiwanie i traktowanie osób poddanych jakiejkolwiek formie zatrzymania, aresztowania lub pozbawienia wolności przechodzili obowiązkowe szkolenia w zakresie Protokołu stambulskiego;</w:t>
      </w:r>
    </w:p>
    <w:p w14:paraId="758B6F8A" w14:textId="77777777" w:rsidR="00672007" w:rsidRPr="00204527" w:rsidRDefault="000A43C5" w:rsidP="00672007">
      <w:pPr>
        <w:pStyle w:val="SingleTxtG"/>
        <w:rPr>
          <w:b/>
          <w:bCs/>
        </w:rPr>
      </w:pPr>
      <w:r>
        <w:rPr>
          <w:b/>
        </w:rPr>
        <w:tab/>
      </w:r>
      <w:r>
        <w:t>(c)</w:t>
      </w:r>
      <w:r>
        <w:rPr>
          <w:b/>
        </w:rPr>
        <w:tab/>
        <w:t>opracować i wdrożyć metodologię oceny skuteczności i wpływu programów edukacyjnych i szkoleniowych związanych z Konwencją i Protokołem stambulskim;</w:t>
      </w:r>
    </w:p>
    <w:p w14:paraId="0142E684" w14:textId="77777777" w:rsidR="00672007" w:rsidRPr="00204527" w:rsidRDefault="000A43C5" w:rsidP="00672007">
      <w:pPr>
        <w:pStyle w:val="SingleTxtG"/>
        <w:rPr>
          <w:b/>
          <w:bCs/>
        </w:rPr>
      </w:pPr>
      <w:r>
        <w:tab/>
        <w:t>(d)</w:t>
      </w:r>
      <w:r>
        <w:rPr>
          <w:b/>
        </w:rPr>
        <w:tab/>
        <w:t>zapewnić, by wszyscy funkcjonariusze organów ścigania, sędziowie sądów powszechnych i wojskowych oraz prokuratorzy otrzymali obowiązkowe szkolenie, w którym podkreśla się związek między technikami przesłuchania bez stosowania przymusu, zakazem tortur i niewłaściwego traktowania oraz obowiązkiem w ramach systemu sądownictwa do unieważniania wyjaśnień lub zeznań złożonych podczas tortur.</w:t>
      </w:r>
    </w:p>
    <w:p w14:paraId="7E920049" w14:textId="77777777" w:rsidR="00672007" w:rsidRPr="00204527" w:rsidRDefault="000A43C5" w:rsidP="00683AF4">
      <w:pPr>
        <w:pStyle w:val="H23G"/>
      </w:pPr>
      <w:r>
        <w:tab/>
      </w:r>
      <w:r>
        <w:tab/>
        <w:t>Warunki przetrzymywania w policyjnych izbach zatrzymań i zakładach karnych</w:t>
      </w:r>
    </w:p>
    <w:p w14:paraId="4221E269" w14:textId="77777777" w:rsidR="00672007" w:rsidRPr="00204527" w:rsidRDefault="00672007" w:rsidP="00672007">
      <w:pPr>
        <w:pStyle w:val="SingleTxtG"/>
      </w:pPr>
      <w:r>
        <w:t>29.</w:t>
      </w:r>
      <w:r>
        <w:tab/>
        <w:t>Komitet jest zaniepokojony:</w:t>
      </w:r>
    </w:p>
    <w:p w14:paraId="28F7BF1F" w14:textId="2F430415" w:rsidR="00672007" w:rsidRPr="00204527" w:rsidRDefault="000A43C5" w:rsidP="00672007">
      <w:pPr>
        <w:pStyle w:val="SingleTxtG"/>
      </w:pPr>
      <w:r>
        <w:tab/>
        <w:t>(a)</w:t>
      </w:r>
      <w:r>
        <w:tab/>
        <w:t>doniesieniami o nieodpowiednich warunkach materialnych, panujących w</w:t>
      </w:r>
      <w:r w:rsidR="00022215">
        <w:t> </w:t>
      </w:r>
      <w:r>
        <w:t>policyjnych izbach zatrzymań, w tym w odniesieniu do sanitariatów, terenów dla ćwiczeń fizycznych i jakości żywności, a w szczególności doniesieniami, że</w:t>
      </w:r>
      <w:r w:rsidR="00022215">
        <w:t> </w:t>
      </w:r>
      <w:r>
        <w:t>funkcjonariusze zatrudnieni w komendzie miejskiej policji w Białymstoku podnosili, że</w:t>
      </w:r>
      <w:r w:rsidR="00022215">
        <w:t> </w:t>
      </w:r>
      <w:r>
        <w:t xml:space="preserve">panujące tam warunki życia zatrzymanych, w tym nieformalny zakaz prania pościeli, </w:t>
      </w:r>
      <w:r>
        <w:lastRenderedPageBreak/>
        <w:t>koców, poduszek i materacy używanych przez zatrzymanych, zagrażają życiu i zdrowiu zarówno zatrzymanych, jak i funkcjonariuszy policji;</w:t>
      </w:r>
    </w:p>
    <w:p w14:paraId="436BCE18" w14:textId="55A189D4" w:rsidR="00672007" w:rsidRPr="00204527" w:rsidRDefault="000A43C5" w:rsidP="00672007">
      <w:pPr>
        <w:pStyle w:val="SingleTxtG"/>
      </w:pPr>
      <w:r>
        <w:tab/>
        <w:t>(b)</w:t>
      </w:r>
      <w:r>
        <w:tab/>
        <w:t>tym, że wszystkie cele w policyjnych izbach zatrzymań znajdują się w</w:t>
      </w:r>
      <w:r w:rsidR="00022215">
        <w:t> </w:t>
      </w:r>
      <w:r>
        <w:t>piwnicach czy suterenach budynków, co skutkuje nieodpowiednią wentylacją i</w:t>
      </w:r>
      <w:r w:rsidR="00022215">
        <w:t> </w:t>
      </w:r>
      <w:r>
        <w:t>niewystarczającym dostępem do światła;</w:t>
      </w:r>
    </w:p>
    <w:p w14:paraId="19CE53A6" w14:textId="4EEA7911" w:rsidR="00672007" w:rsidRPr="00204527" w:rsidRDefault="000A43C5" w:rsidP="00672007">
      <w:pPr>
        <w:pStyle w:val="SingleTxtG"/>
      </w:pPr>
      <w:r>
        <w:tab/>
        <w:t>(c)</w:t>
      </w:r>
      <w:r>
        <w:tab/>
        <w:t>wzrostem populacji więziennej w okresie sprawozdawczym, do wskaźnika obłożenia wynoszącego około 92%, oraz tym, że niektórzy więźniowie są umieszczani w</w:t>
      </w:r>
      <w:r w:rsidR="00022215">
        <w:t> </w:t>
      </w:r>
      <w:r>
        <w:t>obiektach o zbyt ciasnych celach, które nie spełniają krajowej normy prawnej, stanowiącej, że na jednego osadzonego powinno przypadać 3 m</w:t>
      </w:r>
      <w:r>
        <w:rPr>
          <w:vertAlign w:val="superscript"/>
        </w:rPr>
        <w:t>2</w:t>
      </w:r>
      <w:r>
        <w:t xml:space="preserve"> powierzchni mieszkalnej;</w:t>
      </w:r>
    </w:p>
    <w:p w14:paraId="1B6BD47C" w14:textId="115718B5" w:rsidR="00672007" w:rsidRPr="00204527" w:rsidRDefault="000A43C5" w:rsidP="00672007">
      <w:pPr>
        <w:pStyle w:val="SingleTxtG"/>
      </w:pPr>
      <w:r>
        <w:tab/>
        <w:t>(d)</w:t>
      </w:r>
      <w:r>
        <w:tab/>
        <w:t>tym, że na ścianach i sufitach cel więźniów osadzonych w zabytkowych budynkach i starszych zakładach penitencjarnych występuje pleśń, co naraża ich na</w:t>
      </w:r>
      <w:r w:rsidR="00022215">
        <w:t> </w:t>
      </w:r>
      <w:r>
        <w:t>zarodniki pleśni, że aneksy sanitarne nie zostały usunięte ze wszystkich cel, że w nie wszystkich sanitariatach znajdują się kabiny prysznicowe i toalety zapewniające więźniom odpowiednią prywatność oraz że tymczasowo aresztowani i skazani w zakładach karnych typu zamkniętego pozostają w swoich celach przez 23 godziny na dobę;</w:t>
      </w:r>
    </w:p>
    <w:p w14:paraId="12C34FF9" w14:textId="3AE94EE4" w:rsidR="00672007" w:rsidRPr="00204527" w:rsidRDefault="000A43C5" w:rsidP="00672007">
      <w:pPr>
        <w:pStyle w:val="SingleTxtG"/>
      </w:pPr>
      <w:r>
        <w:tab/>
        <w:t>(e)</w:t>
      </w:r>
      <w:r>
        <w:tab/>
        <w:t>tym, że opieka zdrowotna w więzieniach jest świadczona przez personel medyczny zatrudniony przez Służbę Więzienną, co może ograniczać jego niezależność kliniczną i wpływać na oparte na zaufaniu relacje między lekarzem a pacjentem, zwłaszcza że prawo wymaga od lekarzy zaświadczenia, czy więzień jest zdolny do odbywania kary dyscyplinarnej w celi izolacyjnej, co jest sprzeczne ze Wzorcowymi regułami minimalnymi Organizacji Narodów Zjednoczonych dotyczącymi postępowania z więźniami (Regułami Mandeli), tym, że istnieje znaczny niedobór personelu medycznego, w tym psychiatrów, a</w:t>
      </w:r>
      <w:r w:rsidR="00022215">
        <w:t> </w:t>
      </w:r>
      <w:r>
        <w:t>kierowanie więźniów do zewnętrznych specjalistów przebiega powoli, oraz że</w:t>
      </w:r>
      <w:r w:rsidR="00022215">
        <w:t> </w:t>
      </w:r>
      <w:r>
        <w:t>rozpoznania dokonywane przez więzienny personel medyczny są często nieprawidłowe i</w:t>
      </w:r>
      <w:r w:rsidR="00022215">
        <w:t> </w:t>
      </w:r>
      <w:r>
        <w:t>powierzchowne, co doprowadziło do śmierci osoby w warunkach pozbawienia wolności;</w:t>
      </w:r>
    </w:p>
    <w:p w14:paraId="69DFBC66" w14:textId="77777777" w:rsidR="00672007" w:rsidRPr="00204527" w:rsidRDefault="000A43C5" w:rsidP="00672007">
      <w:pPr>
        <w:pStyle w:val="SingleTxtG"/>
      </w:pPr>
      <w:r>
        <w:tab/>
        <w:t>(f)</w:t>
      </w:r>
      <w:r>
        <w:tab/>
        <w:t>tym, że więźniowie są klasyfikowani nie pod względem poziomu zagrożenia, jakie stanowią dla innych więźniów, ale wymiaru kary pozbawienia wolności, co może prowadzić do przemocy między więźniami.</w:t>
      </w:r>
    </w:p>
    <w:p w14:paraId="474B970E" w14:textId="77777777" w:rsidR="00672007" w:rsidRPr="00204527" w:rsidRDefault="00672007" w:rsidP="00672007">
      <w:pPr>
        <w:pStyle w:val="SingleTxtG"/>
        <w:rPr>
          <w:b/>
          <w:bCs/>
        </w:rPr>
      </w:pPr>
      <w:r>
        <w:t>30.</w:t>
      </w:r>
      <w:r>
        <w:tab/>
      </w:r>
      <w:r>
        <w:rPr>
          <w:b/>
        </w:rPr>
        <w:t>Państwo-Strona powinno:</w:t>
      </w:r>
    </w:p>
    <w:p w14:paraId="39EED38C" w14:textId="23D9EEDC" w:rsidR="00672007" w:rsidRPr="00204527" w:rsidRDefault="000A43C5" w:rsidP="00672007">
      <w:pPr>
        <w:pStyle w:val="SingleTxtG"/>
        <w:rPr>
          <w:b/>
          <w:bCs/>
        </w:rPr>
      </w:pPr>
      <w:r>
        <w:rPr>
          <w:b/>
        </w:rPr>
        <w:tab/>
      </w:r>
      <w:r>
        <w:t>(a)</w:t>
      </w:r>
      <w:r>
        <w:rPr>
          <w:b/>
        </w:rPr>
        <w:tab/>
        <w:t>zapewnić odpowiednie warunki materialne we wszystkich policyjnych izbach zatrzymań, w tym wystarczającą wentylację i oświetlenie, czystą pościel i</w:t>
      </w:r>
      <w:r w:rsidR="00022215">
        <w:rPr>
          <w:b/>
        </w:rPr>
        <w:t> </w:t>
      </w:r>
      <w:r>
        <w:rPr>
          <w:b/>
        </w:rPr>
        <w:t>odpowiednie warunki sanitarne oraz, w miarę możliwości, zapewnić, by policyjne izby zatrzymań znajdowały się nad powierzchnią gruntu;</w:t>
      </w:r>
    </w:p>
    <w:p w14:paraId="1A366513" w14:textId="7AAD3E8B" w:rsidR="00672007" w:rsidRPr="00204527" w:rsidRDefault="000A43C5" w:rsidP="00672007">
      <w:pPr>
        <w:pStyle w:val="SingleTxtG"/>
        <w:rPr>
          <w:b/>
          <w:bCs/>
        </w:rPr>
      </w:pPr>
      <w:r>
        <w:rPr>
          <w:b/>
        </w:rPr>
        <w:tab/>
      </w:r>
      <w:r>
        <w:t>(b)</w:t>
      </w:r>
      <w:r>
        <w:rPr>
          <w:b/>
        </w:rPr>
        <w:tab/>
        <w:t xml:space="preserve">ściśle wdrażać program modernizacji Służby Więziennej w latach </w:t>
      </w:r>
      <w:r w:rsidR="00022215">
        <w:rPr>
          <w:b/>
        </w:rPr>
        <w:br/>
      </w:r>
      <w:r>
        <w:rPr>
          <w:b/>
        </w:rPr>
        <w:t>2017-2020, przekazywać Komitetowi aktualne informacje na temat wyników prac grupy zadaniowej ds. opracowania rozwiązań w celu reformy służby penitencjarnej oraz rozważyć częstsze stosowanie środków wolnościowych i alternatywnych wobec pozbawienia wolności zgodnie z Zasadami tokijskimi;</w:t>
      </w:r>
    </w:p>
    <w:p w14:paraId="33D03AC2" w14:textId="7384FB80" w:rsidR="00672007" w:rsidRPr="00204527" w:rsidRDefault="000A43C5" w:rsidP="00672007">
      <w:pPr>
        <w:pStyle w:val="SingleTxtG"/>
        <w:rPr>
          <w:b/>
          <w:bCs/>
        </w:rPr>
      </w:pPr>
      <w:r>
        <w:rPr>
          <w:b/>
        </w:rPr>
        <w:tab/>
      </w:r>
      <w:r>
        <w:t>(c)</w:t>
      </w:r>
      <w:r>
        <w:rPr>
          <w:b/>
        </w:rPr>
        <w:tab/>
        <w:t>zapobiegać przeludnieniu więzień, w celu dostosowania warunków pozbawienia wolności do międzynarodowych standardów zapisanych w Regułach Mandeli i Regułach Narodów Zjednoczonych dotyczących postępowania z kobietami pozbawionymi wolności i środków nieizolacyjnych dla przestępców płci żeńskiej (Regułach z Bangkoku) oraz zapewnić więźniom przestrzeń życiową zgodnie z</w:t>
      </w:r>
      <w:r w:rsidR="00022215">
        <w:rPr>
          <w:b/>
        </w:rPr>
        <w:t> </w:t>
      </w:r>
      <w:r>
        <w:rPr>
          <w:b/>
        </w:rPr>
        <w:t>normami krajowymi;</w:t>
      </w:r>
    </w:p>
    <w:p w14:paraId="566AE86F" w14:textId="608A498D" w:rsidR="00672007" w:rsidRPr="00204527" w:rsidRDefault="000A43C5" w:rsidP="00672007">
      <w:pPr>
        <w:pStyle w:val="SingleTxtG"/>
        <w:rPr>
          <w:b/>
          <w:bCs/>
        </w:rPr>
      </w:pPr>
      <w:r>
        <w:rPr>
          <w:b/>
        </w:rPr>
        <w:tab/>
      </w:r>
      <w:r>
        <w:t>(d)</w:t>
      </w:r>
      <w:r>
        <w:rPr>
          <w:b/>
        </w:rPr>
        <w:tab/>
        <w:t>budować nowe zakłady penitencjarne oraz remontować i modernizować zakłady zabytkowe i starsze, biorąc pod uwagę sanitariaty, oświetlenie, wentylację i</w:t>
      </w:r>
      <w:r w:rsidR="00022215">
        <w:rPr>
          <w:b/>
        </w:rPr>
        <w:t> </w:t>
      </w:r>
      <w:r>
        <w:rPr>
          <w:b/>
        </w:rPr>
        <w:t>ogrzewanie, wyprowadzić wszystkich więźniów z cel z pleśnią; zapewnić sensowną aktywność fizyczną i wystarczającą liczbę ćwiczeń dla wszystkich osób pozbawionych wolności;</w:t>
      </w:r>
    </w:p>
    <w:p w14:paraId="5E63E0DC" w14:textId="5D91D270" w:rsidR="00672007" w:rsidRPr="00204527" w:rsidRDefault="000A43C5" w:rsidP="00672007">
      <w:pPr>
        <w:pStyle w:val="SingleTxtG"/>
        <w:rPr>
          <w:b/>
          <w:bCs/>
        </w:rPr>
      </w:pPr>
      <w:r>
        <w:rPr>
          <w:b/>
        </w:rPr>
        <w:tab/>
      </w:r>
      <w:r>
        <w:t>(e)</w:t>
      </w:r>
      <w:r>
        <w:rPr>
          <w:b/>
        </w:rPr>
        <w:tab/>
        <w:t>zapewnić niezależność kliniczną personelu medycznego w więzieniach i</w:t>
      </w:r>
      <w:r w:rsidR="00022215">
        <w:rPr>
          <w:b/>
        </w:rPr>
        <w:t> </w:t>
      </w:r>
      <w:r>
        <w:rPr>
          <w:b/>
        </w:rPr>
        <w:t xml:space="preserve">przekazać odpowiedzialność za ten personel Ministerstwu Zdrowia, zatrudnić dodatkowych wykwalifikowanych pracowników medycznych i psychiatrycznych oraz psychologów, umożliwić kierowanie więźniów wymagających specjalistycznej opieki medycznej do zewnętrznych placówek medycznych bez opóźnień z powodów </w:t>
      </w:r>
      <w:r>
        <w:rPr>
          <w:b/>
        </w:rPr>
        <w:lastRenderedPageBreak/>
        <w:t>administracyjnych lub z powodu braku personelu więziennego, który mógłby ich doprowadzić do tych placówek;</w:t>
      </w:r>
    </w:p>
    <w:p w14:paraId="38B63F66" w14:textId="2D1073D2" w:rsidR="00672007" w:rsidRPr="00204527" w:rsidRDefault="000A43C5" w:rsidP="00672007">
      <w:pPr>
        <w:pStyle w:val="SingleTxtG"/>
        <w:rPr>
          <w:b/>
          <w:bCs/>
        </w:rPr>
      </w:pPr>
      <w:r>
        <w:rPr>
          <w:b/>
        </w:rPr>
        <w:tab/>
      </w:r>
      <w:r>
        <w:t>(f)</w:t>
      </w:r>
      <w:r>
        <w:rPr>
          <w:b/>
        </w:rPr>
        <w:tab/>
        <w:t>wprowadzić narzędzie oceny ryzyka w całym systemie więziennictwa, zapewnić szkolenia dla personelu penitencjarnego w zakresie zarządzania więźniami i</w:t>
      </w:r>
      <w:r w:rsidR="00022215">
        <w:rPr>
          <w:b/>
        </w:rPr>
        <w:t> </w:t>
      </w:r>
      <w:r>
        <w:rPr>
          <w:b/>
        </w:rPr>
        <w:t>zapobiegania przemocy, samookaleczeniom i samobójstwom oraz zapewnić, by wszystkie przypadki przemocy i śmierci w warunkach pozbawienia wolności były badane niezwłocznie, dokładnie i bezstronnie przez niezależne zespoły kryminalistyczne.</w:t>
      </w:r>
    </w:p>
    <w:p w14:paraId="42AAFFF9" w14:textId="77777777" w:rsidR="00672007" w:rsidRPr="00204527" w:rsidRDefault="000A43C5" w:rsidP="00683AF4">
      <w:pPr>
        <w:pStyle w:val="H23G"/>
      </w:pPr>
      <w:r>
        <w:tab/>
      </w:r>
      <w:r>
        <w:tab/>
        <w:t>Postępowanie w sprawie aktów tortur i niezależny mechanizm składania skarg</w:t>
      </w:r>
    </w:p>
    <w:p w14:paraId="352ADE15" w14:textId="77777777" w:rsidR="00672007" w:rsidRPr="00204527" w:rsidRDefault="00672007" w:rsidP="00672007">
      <w:pPr>
        <w:pStyle w:val="SingleTxtG"/>
      </w:pPr>
      <w:r>
        <w:t>31.</w:t>
      </w:r>
      <w:r>
        <w:tab/>
        <w:t>Komitet jest zaniepokojony:</w:t>
      </w:r>
    </w:p>
    <w:p w14:paraId="48969150" w14:textId="6276752B" w:rsidR="00672007" w:rsidRPr="00204527" w:rsidRDefault="000A43C5" w:rsidP="00672007">
      <w:pPr>
        <w:pStyle w:val="SingleTxtG"/>
      </w:pPr>
      <w:r>
        <w:tab/>
        <w:t>(a)</w:t>
      </w:r>
      <w:r>
        <w:tab/>
        <w:t>niską liczbą rozstrzygniętych postępowań dotyczących rzekomych aktów tortur osób pozbawionych wolności, w szczególności przez funkcjonariuszy organów ścigania, innych niż te wynikające ze skarg wniesionych do Europejskiego Trybunału Praw Człowieka, oraz rozbieżnością między liczbą skarg składanych przez ofiary tortur i</w:t>
      </w:r>
      <w:r w:rsidR="00022215">
        <w:t> </w:t>
      </w:r>
      <w:r>
        <w:t xml:space="preserve">niewłaściwego traktowania a liczbą wydanych wyroków, mimo że Prokurator Generalny wydał Wytyczne w sprawie prowadzenia przez prokuratorów postępowań o przestępstwa związane z pozbawieniem życia oraz z nieludzkim bądź poniżającym traktowaniem lub karaniem, których sprawcami są funkcjonariusze Policji lub inni funkcjonariusze publiczni; </w:t>
      </w:r>
    </w:p>
    <w:p w14:paraId="5351810E" w14:textId="77777777" w:rsidR="00672007" w:rsidRPr="00204527" w:rsidRDefault="000A43C5" w:rsidP="00672007">
      <w:pPr>
        <w:pStyle w:val="SingleTxtG"/>
      </w:pPr>
      <w:r>
        <w:tab/>
        <w:t>(b)</w:t>
      </w:r>
      <w:r>
        <w:tab/>
        <w:t>tym, że połączenie funkcji Ministra Sprawiedliwości i Prokuratora Generalnego może mieć negatywny wpływ na postępowania w sprawie naruszeń Konwencji;</w:t>
      </w:r>
    </w:p>
    <w:p w14:paraId="78D0CB80" w14:textId="77777777" w:rsidR="00672007" w:rsidRPr="00204527" w:rsidRDefault="000A43C5" w:rsidP="00672007">
      <w:pPr>
        <w:pStyle w:val="SingleTxtG"/>
      </w:pPr>
      <w:r>
        <w:tab/>
        <w:t>(c)</w:t>
      </w:r>
      <w:r>
        <w:tab/>
        <w:t>tym, że spośród 39 000 skarg złożonych przez więźniów w 2016 r., głównie dotyczących ich traktowania przez funkcjonariuszy Służby Więziennej, warunków bytowych i opieki zdrowotnej, tylko 377 zostało uznanych za uzasadnione;</w:t>
      </w:r>
    </w:p>
    <w:p w14:paraId="7D1BF065" w14:textId="5D29D697" w:rsidR="00672007" w:rsidRPr="00204527" w:rsidRDefault="000A43C5" w:rsidP="00672007">
      <w:pPr>
        <w:pStyle w:val="SingleTxtG"/>
      </w:pPr>
      <w:r>
        <w:tab/>
        <w:t>(d)</w:t>
      </w:r>
      <w:r>
        <w:tab/>
        <w:t>tym, że ograniczenia budżetowe i kadrowe ograniczają zdolność krajowego mechanizmu prewencji do monitorowania wszystkich miejsc pozbawienia wolności oraz do</w:t>
      </w:r>
      <w:r w:rsidR="00022215">
        <w:t> </w:t>
      </w:r>
      <w:r>
        <w:t>przyjmowania i rozpatrywania skarg.</w:t>
      </w:r>
    </w:p>
    <w:p w14:paraId="33E25F7C" w14:textId="77777777" w:rsidR="00672007" w:rsidRPr="00204527" w:rsidRDefault="00672007" w:rsidP="00672007">
      <w:pPr>
        <w:pStyle w:val="SingleTxtG"/>
        <w:rPr>
          <w:b/>
          <w:bCs/>
        </w:rPr>
      </w:pPr>
      <w:r>
        <w:t>32.</w:t>
      </w:r>
      <w:r>
        <w:tab/>
      </w:r>
      <w:r>
        <w:rPr>
          <w:b/>
        </w:rPr>
        <w:t>Państwo-Strona powinno:</w:t>
      </w:r>
    </w:p>
    <w:p w14:paraId="0E75D737" w14:textId="6E42D33B" w:rsidR="00672007" w:rsidRPr="00204527" w:rsidRDefault="00683AF4" w:rsidP="00672007">
      <w:pPr>
        <w:pStyle w:val="SingleTxtG"/>
        <w:rPr>
          <w:b/>
          <w:bCs/>
        </w:rPr>
      </w:pPr>
      <w:r>
        <w:tab/>
        <w:t>(a)</w:t>
      </w:r>
      <w:r>
        <w:rPr>
          <w:b/>
        </w:rPr>
        <w:tab/>
        <w:t>zapewnić, by wszystkie doniesienia o torturach lub złym traktowaniu były badane i ustanowiony został niezależnie funkcjonujący mechanizm śledczy, w</w:t>
      </w:r>
      <w:r w:rsidR="00022215">
        <w:rPr>
          <w:b/>
        </w:rPr>
        <w:t> </w:t>
      </w:r>
      <w:r>
        <w:rPr>
          <w:b/>
        </w:rPr>
        <w:t>ramach którego można będzie prowadzić niezależne i skuteczne postępowanie karne i ścigać funkcjonariuszy publicznych będących sprawcami rzekomych aktów tortur i niewłaściwego traktowania;</w:t>
      </w:r>
    </w:p>
    <w:p w14:paraId="59CE112D" w14:textId="01D8EC06" w:rsidR="00672007" w:rsidRPr="00204527" w:rsidRDefault="00683AF4" w:rsidP="00672007">
      <w:pPr>
        <w:pStyle w:val="SingleTxtG"/>
        <w:rPr>
          <w:b/>
          <w:bCs/>
        </w:rPr>
      </w:pPr>
      <w:r>
        <w:tab/>
        <w:t>(b)</w:t>
      </w:r>
      <w:r>
        <w:rPr>
          <w:b/>
        </w:rPr>
        <w:tab/>
        <w:t>zapewnić, by skarżący byli chronieni przed złym traktowaniem, zastraszaniem lub odwetem w wyniku złożenia skargi, by byli należycie informowani o</w:t>
      </w:r>
      <w:r w:rsidR="00022215">
        <w:rPr>
          <w:b/>
        </w:rPr>
        <w:t> </w:t>
      </w:r>
      <w:r>
        <w:rPr>
          <w:b/>
        </w:rPr>
        <w:t>działaniach podjętych w związku z ich skargą oraz by ofiary otrzymały odszkodowanie i zadośćuczynienie;</w:t>
      </w:r>
    </w:p>
    <w:p w14:paraId="5175CE07" w14:textId="3F2147D4" w:rsidR="00672007" w:rsidRPr="00204527" w:rsidRDefault="00683AF4" w:rsidP="00672007">
      <w:pPr>
        <w:pStyle w:val="SingleTxtG"/>
        <w:rPr>
          <w:b/>
          <w:bCs/>
        </w:rPr>
      </w:pPr>
      <w:r>
        <w:tab/>
        <w:t>(c)</w:t>
      </w:r>
      <w:r>
        <w:rPr>
          <w:b/>
        </w:rPr>
        <w:tab/>
        <w:t>ustalić przyczyny rozbieżności między liczbą złożonych skarg na</w:t>
      </w:r>
      <w:r w:rsidR="00022215">
        <w:rPr>
          <w:b/>
        </w:rPr>
        <w:t> </w:t>
      </w:r>
      <w:r>
        <w:rPr>
          <w:b/>
        </w:rPr>
        <w:t>warunki bytowe i opiekę zdrowotnej w więzieniach a liczbą skarg uznanych za</w:t>
      </w:r>
      <w:r w:rsidR="00022215">
        <w:rPr>
          <w:b/>
        </w:rPr>
        <w:t> </w:t>
      </w:r>
      <w:r>
        <w:rPr>
          <w:b/>
        </w:rPr>
        <w:t>uzasadnione;</w:t>
      </w:r>
    </w:p>
    <w:p w14:paraId="2F6DC4DA" w14:textId="34EFCD68" w:rsidR="00672007" w:rsidRPr="00204527" w:rsidRDefault="00683AF4" w:rsidP="00672007">
      <w:pPr>
        <w:pStyle w:val="SingleTxtG"/>
        <w:rPr>
          <w:b/>
          <w:bCs/>
        </w:rPr>
      </w:pPr>
      <w:r>
        <w:tab/>
        <w:t>(d)</w:t>
      </w:r>
      <w:r>
        <w:rPr>
          <w:b/>
        </w:rPr>
        <w:tab/>
        <w:t>prowadzić scentralizowany rejestr skarg dotyczących tortur i</w:t>
      </w:r>
      <w:r w:rsidR="00022215">
        <w:rPr>
          <w:b/>
        </w:rPr>
        <w:t> </w:t>
      </w:r>
      <w:r>
        <w:rPr>
          <w:b/>
        </w:rPr>
        <w:t xml:space="preserve">niewłaściwego traktowania, który zawiera informacje na temat odpowiednich śledztw, procesów i nałożonych sankcji karnych lub dyscyplinarnych; </w:t>
      </w:r>
    </w:p>
    <w:p w14:paraId="21259EA9" w14:textId="367D9C82" w:rsidR="00672007" w:rsidRPr="00204527" w:rsidRDefault="00683AF4" w:rsidP="00672007">
      <w:pPr>
        <w:pStyle w:val="SingleTxtG"/>
        <w:rPr>
          <w:b/>
          <w:bCs/>
        </w:rPr>
      </w:pPr>
      <w:r>
        <w:tab/>
        <w:t>(e)</w:t>
      </w:r>
      <w:r>
        <w:rPr>
          <w:b/>
        </w:rPr>
        <w:tab/>
        <w:t>zapewnić dodatkowe środki finansowe krajowemu mechanizmowi prewencji, tak by umożliwić lepsze jego funkcjonowanie i by w jego ramach można było przeprowadzić większą liczbę wizyt we wszystkich miejscach pozbawienia wolności, w tym w zakładach psychiatrycznych i domach opieki społecznej bez uprzedzenia, zapewnić członkom krajowego mechanizmu prewencji możliwości spotykania się na osobności z zatrzymanymi, poruszyć z władzami kwestię warunków przetrzymywania i zachowania w miejscach pozbawienia wolności, które to warunki i</w:t>
      </w:r>
      <w:r w:rsidR="00022215">
        <w:rPr>
          <w:b/>
        </w:rPr>
        <w:t> </w:t>
      </w:r>
      <w:r>
        <w:rPr>
          <w:b/>
        </w:rPr>
        <w:t>zachowania stanowią tortury i niewłaściwe traktowanie, oraz zapewnić, by zalecenia i sprawozdania mechanizmu dla władz były podawane do wiadomości publicznej;</w:t>
      </w:r>
    </w:p>
    <w:p w14:paraId="3B448D77" w14:textId="2DE692AB" w:rsidR="00672007" w:rsidRPr="00204527" w:rsidRDefault="00683AF4" w:rsidP="00D0779F">
      <w:pPr>
        <w:pStyle w:val="SingleTxtG"/>
        <w:rPr>
          <w:b/>
          <w:bCs/>
        </w:rPr>
      </w:pPr>
      <w:r>
        <w:lastRenderedPageBreak/>
        <w:tab/>
        <w:t>(f)</w:t>
      </w:r>
      <w:r>
        <w:rPr>
          <w:b/>
        </w:rPr>
        <w:tab/>
        <w:t>udzielić niezależnym organizacjom, w tym krajowym i</w:t>
      </w:r>
      <w:r w:rsidR="00022215">
        <w:rPr>
          <w:b/>
        </w:rPr>
        <w:t> </w:t>
      </w:r>
      <w:r>
        <w:rPr>
          <w:b/>
        </w:rPr>
        <w:t>międzynarodowym organizacjom społeczeństwa obywatelskiego, dostępu do</w:t>
      </w:r>
      <w:r w:rsidR="00022215">
        <w:rPr>
          <w:b/>
        </w:rPr>
        <w:t> </w:t>
      </w:r>
      <w:r>
        <w:rPr>
          <w:b/>
        </w:rPr>
        <w:t>wszystkich obiektów, w których przebywają osoby pozbawione wolności, w tym zakładów psychiatrycznych i ośrodków zatrzymania migrantów, w celu ich monitorowania;</w:t>
      </w:r>
    </w:p>
    <w:p w14:paraId="4FF3E06D" w14:textId="77777777" w:rsidR="00672007" w:rsidRPr="00204527" w:rsidRDefault="00683AF4" w:rsidP="00672007">
      <w:pPr>
        <w:pStyle w:val="SingleTxtG"/>
        <w:rPr>
          <w:b/>
          <w:bCs/>
        </w:rPr>
      </w:pPr>
      <w:r>
        <w:tab/>
        <w:t>(g)</w:t>
      </w:r>
      <w:r>
        <w:rPr>
          <w:b/>
        </w:rPr>
        <w:tab/>
        <w:t>opracować dane statystyczne dotyczące liczby skarg, postępowań, oskarżeń, wyroków skazujących i kar w przypadkach aktów tortur i niewłaściwego traktowania.</w:t>
      </w:r>
    </w:p>
    <w:p w14:paraId="59F59967" w14:textId="77777777" w:rsidR="00672007" w:rsidRPr="00204527" w:rsidRDefault="000A43C5" w:rsidP="00683AF4">
      <w:pPr>
        <w:pStyle w:val="H23G"/>
      </w:pPr>
      <w:r>
        <w:tab/>
      </w:r>
      <w:r>
        <w:tab/>
        <w:t>Przemoc uwarunkowana płcią, przemoc domowa i inne formy przemocy oraz dostęp do zgodnych z prawem zabiegów przerywania ciąży</w:t>
      </w:r>
    </w:p>
    <w:p w14:paraId="3E0ADC29" w14:textId="77777777" w:rsidR="00672007" w:rsidRPr="00204527" w:rsidRDefault="00672007" w:rsidP="00672007">
      <w:pPr>
        <w:pStyle w:val="SingleTxtG"/>
      </w:pPr>
      <w:r>
        <w:t>33.</w:t>
      </w:r>
      <w:r>
        <w:tab/>
        <w:t>Komitet jest zaniepokojony:</w:t>
      </w:r>
    </w:p>
    <w:p w14:paraId="41ACDF45" w14:textId="77777777" w:rsidR="00672007" w:rsidRPr="00204527" w:rsidRDefault="000A43C5" w:rsidP="00672007">
      <w:pPr>
        <w:pStyle w:val="SingleTxtG"/>
      </w:pPr>
      <w:r>
        <w:tab/>
        <w:t>(a)</w:t>
      </w:r>
      <w:r>
        <w:tab/>
        <w:t>tym, że przemoc domowa, w tym zgwałcenie w związku małżeńskim, nie jest odrębnym przestępstwem w kodeksie karnym;</w:t>
      </w:r>
    </w:p>
    <w:p w14:paraId="1FFE33C2" w14:textId="5B81F940" w:rsidR="00672007" w:rsidRPr="00204527" w:rsidRDefault="000A43C5" w:rsidP="00672007">
      <w:pPr>
        <w:pStyle w:val="SingleTxtG"/>
      </w:pPr>
      <w:r>
        <w:tab/>
        <w:t>(b)</w:t>
      </w:r>
      <w:r>
        <w:tab/>
        <w:t>tym, że jedynie stosunkowo niewielka liczba przypadków przemocy domowej kończy się skazaniem sprawców, że ściganie jest przewidziane tylko w</w:t>
      </w:r>
      <w:r w:rsidR="00022215">
        <w:t> </w:t>
      </w:r>
      <w:r>
        <w:t>przypadku powtarzających się czynów i że prowadzenie postępowania zależy od zgody ofiary;</w:t>
      </w:r>
    </w:p>
    <w:p w14:paraId="76145D35" w14:textId="77777777" w:rsidR="00672007" w:rsidRPr="00204527" w:rsidRDefault="000A43C5" w:rsidP="00672007">
      <w:pPr>
        <w:pStyle w:val="SingleTxtG"/>
      </w:pPr>
      <w:r>
        <w:tab/>
        <w:t>(c)</w:t>
      </w:r>
      <w:r>
        <w:tab/>
        <w:t>niewystarczającym wsparciem dla ofiar przemocy domowej oraz działaniami lub zaniechaniami agencji państwowych lub innych podmiotów, które angażują odpowiedzialność Państwa-Strony na mocy Konwencji, w tym niewystarczającym zapewnieniem specjalistycznych schronień i ośrodków wsparcia w kraju i brakiem pomocy w znalezieniu zakwaterowania z dala od sprawcy;</w:t>
      </w:r>
    </w:p>
    <w:p w14:paraId="0648C241" w14:textId="32C99212" w:rsidR="00672007" w:rsidRPr="00204527" w:rsidRDefault="000A43C5" w:rsidP="00672007">
      <w:pPr>
        <w:pStyle w:val="SingleTxtG"/>
      </w:pPr>
      <w:r>
        <w:tab/>
        <w:t>(d)</w:t>
      </w:r>
      <w:r>
        <w:tab/>
        <w:t>tym, że chociaż istnieją trzy przesłanki legalnej aborcji w Polsce do 12. tygodnia ciąży, nie uregulowano skutecznie sytuacji, w których lekarz odmawia wykonania aborcji ze względu na klauzulę sumienia, brakuje wytycznych dotyczących dostępu do</w:t>
      </w:r>
      <w:r w:rsidR="00022215">
        <w:t> </w:t>
      </w:r>
      <w:r>
        <w:t>legalnych zabiegów przerywania ciąży i informacji o tym, że nie ma obowiązku uzyskania dodatkowych orzeczeń albo opinii lekarskich od specjalisty, przeprowadzenia wspólnej konsultacji czy uzyskania zgody ordynatora oddziału w przypadkach, gdy odmowa wykonania zabiegu spowoduje cierpienie fizyczne i psychiczne tak poważne w</w:t>
      </w:r>
      <w:r w:rsidR="00022215">
        <w:t> </w:t>
      </w:r>
      <w:r>
        <w:t>jego bólu i intensywności, że będzie stanowić tortury, a także tym, że Komisja Lekarska ma zbyt długi termin na wydanie decyzji (30 dni), co można również przypisać działaniom lub zaniechaniom agencji państwowych lub innych podmiotów, które angażują odpowiedzialność Państwa-Strony na mocy Konwencji.</w:t>
      </w:r>
    </w:p>
    <w:p w14:paraId="3050DECD" w14:textId="77777777" w:rsidR="00672007" w:rsidRPr="00204527" w:rsidRDefault="00672007" w:rsidP="00672007">
      <w:pPr>
        <w:pStyle w:val="SingleTxtG"/>
        <w:rPr>
          <w:b/>
          <w:bCs/>
        </w:rPr>
      </w:pPr>
      <w:r>
        <w:t>34.</w:t>
      </w:r>
      <w:r>
        <w:tab/>
      </w:r>
      <w:r>
        <w:rPr>
          <w:b/>
        </w:rPr>
        <w:t>Państwo-Strona powinno:</w:t>
      </w:r>
    </w:p>
    <w:p w14:paraId="2980383D" w14:textId="3BF53F09" w:rsidR="00672007" w:rsidRPr="00204527" w:rsidRDefault="000A43C5" w:rsidP="00672007">
      <w:pPr>
        <w:pStyle w:val="SingleTxtG"/>
        <w:rPr>
          <w:b/>
          <w:bCs/>
        </w:rPr>
      </w:pPr>
      <w:r>
        <w:tab/>
        <w:t>(a)</w:t>
      </w:r>
      <w:r>
        <w:tab/>
      </w:r>
      <w:r>
        <w:rPr>
          <w:b/>
        </w:rPr>
        <w:t>zmienić swoje ustawodawstwo w celu włączenia przestępstw związanych z przemocą domową, w tym zgwałceń w związkach małżeńskich, do kategorii przestępstw szczególnych w kodeksie karnym pociągających za sobą ściganie z urzędu oraz zapewnić, by wszystkie przypadki przemocy wobec kobiet i dziewcząt, uwarunkowanej płcią, w szczególności te obejmujące działania lub zaniechania władz państwowych lub innych podmiotów, które angażują międzynarodową odpowiedzialność Państwa-Strony na mocy Konwencji, były dokładnie badane, by</w:t>
      </w:r>
      <w:r w:rsidR="00022215">
        <w:rPr>
          <w:b/>
        </w:rPr>
        <w:t> </w:t>
      </w:r>
      <w:r>
        <w:rPr>
          <w:b/>
        </w:rPr>
        <w:t>rzekomi sprawcy byli ścigani, a jeśli zostaną skazani, by byli odpowiednio karani, a</w:t>
      </w:r>
      <w:r w:rsidR="00022215">
        <w:rPr>
          <w:b/>
        </w:rPr>
        <w:t> </w:t>
      </w:r>
      <w:r>
        <w:rPr>
          <w:b/>
        </w:rPr>
        <w:t>ofiary otrzymały zadośćuczynienie, w tym odpowiednie odszkodowanie;</w:t>
      </w:r>
    </w:p>
    <w:p w14:paraId="36FA46DD" w14:textId="56C1122F" w:rsidR="00672007" w:rsidRPr="00204527" w:rsidRDefault="000A43C5" w:rsidP="00672007">
      <w:pPr>
        <w:pStyle w:val="SingleTxtG"/>
        <w:rPr>
          <w:b/>
          <w:bCs/>
        </w:rPr>
      </w:pPr>
      <w:r>
        <w:tab/>
        <w:t>(b)</w:t>
      </w:r>
      <w:r>
        <w:tab/>
      </w:r>
      <w:r>
        <w:rPr>
          <w:b/>
        </w:rPr>
        <w:t>zapewnić pełne wdrożenie Rządowego Programu Przeciwdziałania Przemocy Domowej, w tym poprzez gromadzenie danych na temat skali takiej przemocy, oraz Krajowego Programu Działań na rzecz Równego Traktowania, a</w:t>
      </w:r>
      <w:r w:rsidR="00022215">
        <w:rPr>
          <w:b/>
        </w:rPr>
        <w:t> </w:t>
      </w:r>
      <w:r>
        <w:rPr>
          <w:b/>
        </w:rPr>
        <w:t>także powstrzymać się od gróźb wycofania się z Konwencji Rady Europy o</w:t>
      </w:r>
      <w:r w:rsidR="00022215">
        <w:rPr>
          <w:b/>
        </w:rPr>
        <w:t> </w:t>
      </w:r>
      <w:r>
        <w:rPr>
          <w:b/>
        </w:rPr>
        <w:t xml:space="preserve">zapobieganiu i zwalczaniu przemocy wobec kobiet i przemocy domowej; </w:t>
      </w:r>
    </w:p>
    <w:p w14:paraId="3A7D69CC" w14:textId="77777777" w:rsidR="00672007" w:rsidRPr="00204527" w:rsidRDefault="000A43C5" w:rsidP="00672007">
      <w:pPr>
        <w:pStyle w:val="SingleTxtG"/>
        <w:rPr>
          <w:b/>
          <w:bCs/>
        </w:rPr>
      </w:pPr>
      <w:r>
        <w:tab/>
        <w:t>(c)</w:t>
      </w:r>
      <w:r>
        <w:tab/>
      </w:r>
      <w:r>
        <w:rPr>
          <w:b/>
        </w:rPr>
        <w:t>zachęcić ofiary do zgłaszania przypadków przemocy władzom oraz zapewnić, by wszystkie zarzuty dotyczące przemocy wobec kobiet, w tym przemocy domowej i seksualnej, były ewidencjonowane przez policję i badane niezwłocznie, efektywnie i bezstronnie;</w:t>
      </w:r>
    </w:p>
    <w:p w14:paraId="785084F5" w14:textId="7AF4DABF" w:rsidR="00672007" w:rsidRPr="00204527" w:rsidRDefault="000A43C5" w:rsidP="00672007">
      <w:pPr>
        <w:pStyle w:val="SingleTxtG"/>
        <w:rPr>
          <w:b/>
          <w:bCs/>
        </w:rPr>
      </w:pPr>
      <w:r>
        <w:lastRenderedPageBreak/>
        <w:tab/>
        <w:t>(d)</w:t>
      </w:r>
      <w:r>
        <w:tab/>
      </w:r>
      <w:r>
        <w:rPr>
          <w:b/>
        </w:rPr>
        <w:t>zapewnić wszystkim ofiarom przemocy uwarunkowanej płcią i przemocy domowej ochronę, w tym zakazy zbliżania się, oraz dostęp do usług medycznych, społecznych i prawnych, w tym poradnictwa, zadośćuczynienia i rehabilitacji, do</w:t>
      </w:r>
      <w:r w:rsidR="00022215">
        <w:rPr>
          <w:b/>
        </w:rPr>
        <w:t> </w:t>
      </w:r>
      <w:r>
        <w:rPr>
          <w:b/>
        </w:rPr>
        <w:t>bezpiecznych i odpowiednio finansowanych schronisk państwowych w całym kraju oraz do pomocy w znalezieniu innego zakwaterowania;</w:t>
      </w:r>
    </w:p>
    <w:p w14:paraId="4409A0A4" w14:textId="1A5E3301" w:rsidR="00672007" w:rsidRPr="00204527" w:rsidRDefault="000A43C5" w:rsidP="00672007">
      <w:pPr>
        <w:pStyle w:val="SingleTxtG"/>
        <w:rPr>
          <w:b/>
          <w:bCs/>
        </w:rPr>
      </w:pPr>
      <w:r>
        <w:tab/>
        <w:t>(e)</w:t>
      </w:r>
      <w:r>
        <w:tab/>
      </w:r>
      <w:r>
        <w:rPr>
          <w:b/>
        </w:rPr>
        <w:t>rozważyć dekryminalizację aborcji i wydać wytyczne dotyczące sposobu przeprowadzania legalnych zabiegów przerywania ciąży, pamiętając o możliwych poważnych fizycznych i psychicznych konsekwencjach odmowy, w tym odmowy przez lekarzy z uwagi na klauzulę sumienia i bez spełnienia nieokreślonych w prawie wymogów, a także zapewnić, by komisje lekarskie wydawały decyzje w ciągu 10 dni, by kobietom zapewniana była opieka zdrowotna po aborcji, niezależnie od tego, czy zabieg był przeprowadzony zgodnie czy niezgodnie z prawem, oraz by ani pacjentki ani ich lekarze nie podlegali sankcjom karnym ani innym groźbom za staranie się o</w:t>
      </w:r>
      <w:r w:rsidR="00022215">
        <w:rPr>
          <w:b/>
        </w:rPr>
        <w:t> </w:t>
      </w:r>
      <w:r>
        <w:rPr>
          <w:b/>
        </w:rPr>
        <w:t>uzyskanie takiej opieki lub za jej świadczenie.</w:t>
      </w:r>
    </w:p>
    <w:p w14:paraId="40649450" w14:textId="77777777" w:rsidR="00672007" w:rsidRPr="00204527" w:rsidRDefault="000A43C5" w:rsidP="00683AF4">
      <w:pPr>
        <w:pStyle w:val="H23G"/>
      </w:pPr>
      <w:r>
        <w:tab/>
      </w:r>
      <w:r>
        <w:tab/>
        <w:t>Sytuacja osób wymagających szczególnej troski i przestępstwa z nienawiści</w:t>
      </w:r>
    </w:p>
    <w:p w14:paraId="6D9A87A4" w14:textId="77777777" w:rsidR="00672007" w:rsidRPr="00204527" w:rsidRDefault="00672007" w:rsidP="00672007">
      <w:pPr>
        <w:pStyle w:val="SingleTxtG"/>
      </w:pPr>
      <w:r>
        <w:t>35.</w:t>
      </w:r>
      <w:r>
        <w:tab/>
        <w:t>Komitet jest zaniepokojony:</w:t>
      </w:r>
    </w:p>
    <w:p w14:paraId="5C52A2D3" w14:textId="77777777" w:rsidR="00672007" w:rsidRPr="00204527" w:rsidRDefault="000A43C5" w:rsidP="00672007">
      <w:pPr>
        <w:pStyle w:val="SingleTxtG"/>
      </w:pPr>
      <w:r>
        <w:tab/>
        <w:t>(a)</w:t>
      </w:r>
      <w:r>
        <w:tab/>
        <w:t>tym, że osoby z niepełnosprawnością intelektualną i psychospołeczną były umieszczane w szpitalach psychiatrycznych i innych publicznych placówkach opiekuńczych i były tam przetrzymywane przez długie okresy, w tym nawet do 42 i 49 lat, lub przez ponad 10 lat za stosunkowo niewielkie występki, za które kara pozbawienia wolności byłaby znacznie krótsza, oraz że takie osoby są często arbitralnie ubezwłasnowolniane i często były umieszczane i leczone w rzeczonych instytucjach bez ich zgody, przy braku odpowiednich gwarancji;</w:t>
      </w:r>
    </w:p>
    <w:p w14:paraId="693D696B" w14:textId="77777777" w:rsidR="00672007" w:rsidRPr="00204527" w:rsidRDefault="000A43C5" w:rsidP="00672007">
      <w:pPr>
        <w:pStyle w:val="SingleTxtG"/>
      </w:pPr>
      <w:r>
        <w:tab/>
        <w:t>(b)</w:t>
      </w:r>
      <w:r>
        <w:tab/>
        <w:t>tym, że kobiety i dziewczęta z niepełnosprawnością intelektualną były poddawane przymusowym i wymuszonym zabiegom sterylizacji, wykonywanym bez ich dobrowolnej i świadomej zgody, zarówno przez instytucje, jak i na wniosek osób najbliższych;</w:t>
      </w:r>
    </w:p>
    <w:p w14:paraId="740215DE" w14:textId="77777777" w:rsidR="00672007" w:rsidRPr="00204527" w:rsidRDefault="000A43C5" w:rsidP="00672007">
      <w:pPr>
        <w:pStyle w:val="SingleTxtG"/>
      </w:pPr>
      <w:r>
        <w:tab/>
        <w:t>(c)</w:t>
      </w:r>
      <w:r>
        <w:tab/>
        <w:t>tym, że osoby z niepełnosprawnością psychospołeczną, które odbyły karę pozbawienia wolności, mogą zostać umieszczone w Krajowym Ośrodku Zapobiegania Zachowaniom Dyssocjalnym na wniosek dyrektora danego zakładu karnego, a tym samym mogą być w dalszym ciągu pozbawione wolności w sposób, który może stanowić podwójne ukaranie za ten sam czyn i który może być kontynuowany bezterminowo;</w:t>
      </w:r>
    </w:p>
    <w:p w14:paraId="0F0DEA5A" w14:textId="33788534" w:rsidR="00672007" w:rsidRPr="00204527" w:rsidRDefault="000A43C5" w:rsidP="00672007">
      <w:pPr>
        <w:pStyle w:val="SingleTxtG"/>
      </w:pPr>
      <w:r>
        <w:tab/>
        <w:t>(d)</w:t>
      </w:r>
      <w:r>
        <w:tab/>
        <w:t>incydentami, w których dochodziło do fizycznej napaści i mowy nienawiści wobec migrantów z Afryki, Azji i krajów arabskich oraz wobec Romów i Ukraińców, uznając jednocześnie oświadczenie Państwa-Strony, że wszystkie przestępstwa z</w:t>
      </w:r>
      <w:r w:rsidR="00022215">
        <w:t> </w:t>
      </w:r>
      <w:r>
        <w:t>nienawiści są przedmiotem „szczególnego zainteresowania” Prokuratury Generalnej i</w:t>
      </w:r>
      <w:r w:rsidR="00022215">
        <w:t> </w:t>
      </w:r>
      <w:r>
        <w:t>Policji, oraz tym, że przypadki przestępstw z nienawiści są w znacznym stopniu niedostatecznie zgłaszane z powodu braku zaufania do Policji zgodnie z niedawno opublikowanym sprawozdaniem z badania na temat charakteru i skali niezgłoszonych przestępstw z nienawiści, opracowanym przez Biuro Instytucji Demokratycznych i Praw Człowieka Organizacji Bezpieczeństwa i Współpracy w Europie oraz Biuro Rzecznika Praw Obywatelskich, oraz tym, że nadal zgłaszane są przypadki przemocy wobec lesbijek, gejów, osób biseksualnych, transpłciowych i interpłciowych, ale nie są one odpowiednio badane i ścigane;</w:t>
      </w:r>
    </w:p>
    <w:p w14:paraId="23E4262F" w14:textId="32DE69E5" w:rsidR="00672007" w:rsidRPr="00204527" w:rsidRDefault="000A43C5" w:rsidP="00672007">
      <w:pPr>
        <w:pStyle w:val="SingleTxtG"/>
      </w:pPr>
      <w:r>
        <w:tab/>
        <w:t>(e)</w:t>
      </w:r>
      <w:r>
        <w:tab/>
        <w:t>istniejącymi wadami w zasadach dotyczących mechanicznych środków obezwładniania osób i ich odosabniania, które to zasady nie mają zastosowania do</w:t>
      </w:r>
      <w:r w:rsidR="00022215">
        <w:t> </w:t>
      </w:r>
      <w:r>
        <w:t>chemicznych środków obezwładniających, oraz tym, że zasady te nie pozwalają na</w:t>
      </w:r>
      <w:r w:rsidR="00022215">
        <w:t> </w:t>
      </w:r>
      <w:r>
        <w:t>ciągły, bezpośredni i osobisty nadzór nad unieruchomionym pacjentem przez znajdującego się w pobliżu członka personelu medycznego.</w:t>
      </w:r>
    </w:p>
    <w:p w14:paraId="0299A85A" w14:textId="77777777" w:rsidR="00672007" w:rsidRPr="00204527" w:rsidRDefault="00672007" w:rsidP="00672007">
      <w:pPr>
        <w:pStyle w:val="SingleTxtG"/>
        <w:rPr>
          <w:b/>
          <w:bCs/>
        </w:rPr>
      </w:pPr>
      <w:r>
        <w:t>36.</w:t>
      </w:r>
      <w:r>
        <w:tab/>
      </w:r>
      <w:r>
        <w:rPr>
          <w:b/>
        </w:rPr>
        <w:t>Państwo-Strona powinno:</w:t>
      </w:r>
    </w:p>
    <w:p w14:paraId="5BDC3EEA" w14:textId="289703CD" w:rsidR="00672007" w:rsidRPr="00204527" w:rsidRDefault="000A43C5" w:rsidP="00672007">
      <w:pPr>
        <w:pStyle w:val="SingleTxtG"/>
        <w:rPr>
          <w:b/>
          <w:bCs/>
        </w:rPr>
      </w:pPr>
      <w:r>
        <w:rPr>
          <w:b/>
        </w:rPr>
        <w:tab/>
      </w:r>
      <w:r>
        <w:t>(a)</w:t>
      </w:r>
      <w:r>
        <w:rPr>
          <w:b/>
        </w:rPr>
        <w:tab/>
        <w:t>zapewnić, by osoby z niepełnosprawnością intelektualną i</w:t>
      </w:r>
      <w:r w:rsidR="00022215">
        <w:rPr>
          <w:b/>
        </w:rPr>
        <w:t> </w:t>
      </w:r>
      <w:r>
        <w:rPr>
          <w:b/>
        </w:rPr>
        <w:t xml:space="preserve">psychospołeczną nie były ubezwłasnowolniane, chyba że jest do tego podstawa prawna i odbywa się to w wyniku starannie przeprowadzonej i niezależnej oceny stanu psychicznego, przy dostępie do wspieranego podejmowania decyzji i przy </w:t>
      </w:r>
      <w:r>
        <w:rPr>
          <w:b/>
        </w:rPr>
        <w:lastRenderedPageBreak/>
        <w:t>możliwości kontroli sądowej, oraz by takie osoby nie były umieszczane i leczone w</w:t>
      </w:r>
      <w:r w:rsidR="00022215">
        <w:rPr>
          <w:b/>
        </w:rPr>
        <w:t> </w:t>
      </w:r>
      <w:r>
        <w:rPr>
          <w:b/>
        </w:rPr>
        <w:t>szpitalach psychiatrycznych bez ich zgody, chyba że jest to środek ostateczny, jest do tego podstawa prawna i odbywa się to w wyniku starannie przeprowadzonej oceny sądowo-psychiatrycznej, przy dostępie do wspieranego podejmowania decyzji i</w:t>
      </w:r>
      <w:r w:rsidR="00022215">
        <w:rPr>
          <w:b/>
        </w:rPr>
        <w:t> </w:t>
      </w:r>
      <w:r>
        <w:rPr>
          <w:b/>
        </w:rPr>
        <w:t>możliwości kontroli sądowej;</w:t>
      </w:r>
    </w:p>
    <w:p w14:paraId="2B667605" w14:textId="4C7B4091" w:rsidR="00672007" w:rsidRPr="00204527" w:rsidRDefault="000A43C5" w:rsidP="00672007">
      <w:pPr>
        <w:pStyle w:val="SingleTxtG"/>
        <w:rPr>
          <w:b/>
          <w:bCs/>
        </w:rPr>
      </w:pPr>
      <w:r>
        <w:rPr>
          <w:b/>
        </w:rPr>
        <w:tab/>
      </w:r>
      <w:r>
        <w:t>(b)</w:t>
      </w:r>
      <w:r>
        <w:rPr>
          <w:b/>
        </w:rPr>
        <w:tab/>
        <w:t>niezwłocznie, efektywnie i bezstronnie badać wszystkie zarzuty dotyczące przymusowej sterylizacji, ścigać rzekomych sprawców i, jeśli zostaną uznani</w:t>
      </w:r>
      <w:r>
        <w:t xml:space="preserve"> </w:t>
      </w:r>
      <w:r>
        <w:rPr>
          <w:b/>
        </w:rPr>
        <w:t>za winnych, karać ich. Personel medyczny, który dokonał sterylizacji bez dobrowolnej, pełnej i świadomie udzielonej zgody, powinien zostać pociągnięty do</w:t>
      </w:r>
      <w:r w:rsidR="00022215">
        <w:rPr>
          <w:b/>
        </w:rPr>
        <w:t> </w:t>
      </w:r>
      <w:r>
        <w:rPr>
          <w:b/>
        </w:rPr>
        <w:t>odpowiedzialności karnej, ścigany i ukarany. Personel medyczny powinien również zostać przeszkolony w zakresie odpowiednich sposobów uzyskiwania dobrowolnie i</w:t>
      </w:r>
      <w:r w:rsidR="00022215">
        <w:rPr>
          <w:b/>
        </w:rPr>
        <w:t> </w:t>
      </w:r>
      <w:r>
        <w:rPr>
          <w:b/>
        </w:rPr>
        <w:t>świadomie udzielonej zgody od kobiet przed poddaniem się przez nie sterylizacji. Państwo-Strona powinno ustanowić skuteczny mechanizm odszkodowawczy, dzięki któremu ofiary przymusowej sterylizacji będą miały dostęp do godziwego i</w:t>
      </w:r>
      <w:r w:rsidR="00022215">
        <w:rPr>
          <w:b/>
        </w:rPr>
        <w:t> </w:t>
      </w:r>
      <w:r>
        <w:rPr>
          <w:b/>
        </w:rPr>
        <w:t>adekwatnego zadośćuczynienia, a także powinno rozważyć wydłużenie terminu składania roszczeń odszkodowawczych;</w:t>
      </w:r>
    </w:p>
    <w:p w14:paraId="14CA7496" w14:textId="65348C09" w:rsidR="00672007" w:rsidRPr="00204527" w:rsidRDefault="000A43C5" w:rsidP="00672007">
      <w:pPr>
        <w:pStyle w:val="SingleTxtG"/>
        <w:rPr>
          <w:b/>
          <w:bCs/>
        </w:rPr>
      </w:pPr>
      <w:r>
        <w:rPr>
          <w:b/>
        </w:rPr>
        <w:tab/>
      </w:r>
      <w:r>
        <w:t>(c)</w:t>
      </w:r>
      <w:r>
        <w:rPr>
          <w:b/>
        </w:rPr>
        <w:tab/>
        <w:t>zapewnić, by każdy przypadek umieszczenia osoby w Krajowym Ośrodku Zapobiegania Zachowaniom Dyssocjalnym podlegał ścisłej kontroli sądu i</w:t>
      </w:r>
      <w:r w:rsidR="00022215">
        <w:rPr>
          <w:b/>
        </w:rPr>
        <w:t> </w:t>
      </w:r>
      <w:r>
        <w:rPr>
          <w:b/>
        </w:rPr>
        <w:t>komisji lekarskiej oraz by osoby umieszczone w Ośrodku miały dostęp do pomocy prawnej i prawo do odwołania;</w:t>
      </w:r>
    </w:p>
    <w:p w14:paraId="35E75F02" w14:textId="77777777" w:rsidR="00672007" w:rsidRPr="00204527" w:rsidRDefault="000A43C5" w:rsidP="00672007">
      <w:pPr>
        <w:pStyle w:val="SingleTxtG"/>
        <w:rPr>
          <w:b/>
          <w:bCs/>
        </w:rPr>
      </w:pPr>
      <w:r>
        <w:rPr>
          <w:b/>
        </w:rPr>
        <w:tab/>
      </w:r>
      <w:r>
        <w:t>(d)</w:t>
      </w:r>
      <w:r>
        <w:rPr>
          <w:b/>
        </w:rPr>
        <w:tab/>
        <w:t>zapewnić regularne monitorowanie wszystkich ośrodków pobytowych oraz pełne wdrożenie zaleceń organów monitorujących, w tym krajowego mechanizmu prewencji;</w:t>
      </w:r>
    </w:p>
    <w:p w14:paraId="08349244" w14:textId="42971DC1" w:rsidR="00672007" w:rsidRPr="00204527" w:rsidRDefault="000A43C5" w:rsidP="00672007">
      <w:pPr>
        <w:pStyle w:val="SingleTxtG"/>
        <w:rPr>
          <w:b/>
          <w:bCs/>
        </w:rPr>
      </w:pPr>
      <w:r>
        <w:rPr>
          <w:b/>
        </w:rPr>
        <w:tab/>
      </w:r>
      <w:r>
        <w:t>(e)</w:t>
      </w:r>
      <w:r>
        <w:rPr>
          <w:b/>
        </w:rPr>
        <w:tab/>
        <w:t>zapewnić zgłaszanie wszystkich przypadków przestępstw z nienawiści oraz pilne zajęcie się przyczynami rażącego zaniżania liczby takich przypadków poprzez odpowiednie środki, w tym szkolenie policji i działania na rzecz budowania zaufania wśród funkcjonariuszy policji. Komitet ponawia swoje zalecenie dla Państwa-Strony, by podjęło wszelkie niezbędne środki w celu zwalczania dyskryminacji i przemocy wobec osób z Afryki, Azji i krajów arabskich, lesbijek, gejów, osób biseksualnych i transpłciowych oraz osób należących do społeczności romskiej, a także podjęło skuteczne środki w celu zapobiegania wszelkim przejawom przestępstw z nienawiści oraz zapewniło bezzwłoczne i efektywne postępowanie w</w:t>
      </w:r>
      <w:r w:rsidR="00022215">
        <w:rPr>
          <w:b/>
        </w:rPr>
        <w:t> </w:t>
      </w:r>
      <w:r>
        <w:rPr>
          <w:b/>
        </w:rPr>
        <w:t>sprawie wszystkich takich incydentów, uwzględniające odpowiednie ściganie;</w:t>
      </w:r>
    </w:p>
    <w:p w14:paraId="63DBF991" w14:textId="29852E7C" w:rsidR="00672007" w:rsidRPr="00204527" w:rsidRDefault="000A43C5" w:rsidP="00672007">
      <w:pPr>
        <w:pStyle w:val="SingleTxtG"/>
        <w:rPr>
          <w:b/>
          <w:bCs/>
        </w:rPr>
      </w:pPr>
      <w:r>
        <w:rPr>
          <w:b/>
        </w:rPr>
        <w:tab/>
      </w:r>
      <w:r>
        <w:t>(f)</w:t>
      </w:r>
      <w:r>
        <w:rPr>
          <w:b/>
        </w:rPr>
        <w:tab/>
        <w:t>znowelizować zasady dotyczące mechanicznych środków obezwładniania osób i ich odosabniania oraz nadzoru nad stosowaniem chemicznych środków obezwładniających, a także zapewnić ciągłe i bezpośrednie monitorowanie pacjentów unieruchomionych, a także odpowiednie szkolenia dla personelu medycznego w</w:t>
      </w:r>
      <w:r w:rsidR="00022215">
        <w:rPr>
          <w:b/>
        </w:rPr>
        <w:t> </w:t>
      </w:r>
      <w:r>
        <w:rPr>
          <w:b/>
        </w:rPr>
        <w:t>zakresie stosowania środków przymusu bezpośredniego w instytucjach psychiatrycznych.</w:t>
      </w:r>
    </w:p>
    <w:p w14:paraId="090218BB" w14:textId="77777777" w:rsidR="00672007" w:rsidRPr="00204527" w:rsidRDefault="000A43C5" w:rsidP="00683AF4">
      <w:pPr>
        <w:pStyle w:val="H23G"/>
      </w:pPr>
      <w:r>
        <w:tab/>
      </w:r>
      <w:r>
        <w:tab/>
        <w:t>Handel ludźmi</w:t>
      </w:r>
    </w:p>
    <w:p w14:paraId="307B6460" w14:textId="07ED19CA" w:rsidR="00672007" w:rsidRPr="00204527" w:rsidRDefault="00672007" w:rsidP="00672007">
      <w:pPr>
        <w:pStyle w:val="SingleTxtG"/>
      </w:pPr>
      <w:r>
        <w:t>37.</w:t>
      </w:r>
      <w:r>
        <w:tab/>
        <w:t>Przyjmując z zadowoleniem ogłoszenie zarządzenia Policji w sprawie wykonywania przez Policję niektórych zadań w zakresie wykrywania handlu ludźmi w 2016 r., Komitet jest zaniepokojony tym, że Państwu-Stronie brakuje centralnego mechanizmu identyfikacji ofiar handlu ludźmi, zwłaszcza ofiar pracy przymusowej w sektorze stoczniowym, rolniczym i budowlanym. Chociaż czasami wszczynane są postępowania, jak w niedawno toczącej się sprawie 107 obywateli Koreańskiej Republiki Ludowo-Demokratycznej, okazują się one nieskuteczne i stronnicze, szczególnie w zakresie usług tłumaczeniowych i</w:t>
      </w:r>
      <w:r w:rsidR="00022215">
        <w:t> </w:t>
      </w:r>
      <w:r>
        <w:t>formalnej procedury dla osób objętych postępowaniem. Ponadto Komitet wyraża ubolewanie z powodu braku jasnej definicji pracy przymusowej w kodeksie karnym oraz z</w:t>
      </w:r>
      <w:r w:rsidR="00022215">
        <w:t> </w:t>
      </w:r>
      <w:r>
        <w:t>powodu niewystarczających szkoleń dla funkcjonariuszy organów ścigania w zakresie identyfikacji ofiar pracy przymusowej (art. 2, 10, 12-14 i 16).</w:t>
      </w:r>
    </w:p>
    <w:p w14:paraId="08C67153" w14:textId="77777777" w:rsidR="00672007" w:rsidRPr="00204527" w:rsidRDefault="00672007" w:rsidP="00672007">
      <w:pPr>
        <w:pStyle w:val="SingleTxtG"/>
        <w:rPr>
          <w:b/>
          <w:bCs/>
        </w:rPr>
      </w:pPr>
      <w:r>
        <w:t>38.</w:t>
      </w:r>
      <w:r>
        <w:tab/>
      </w:r>
      <w:r>
        <w:rPr>
          <w:b/>
        </w:rPr>
        <w:t>Państwo-Strona powinno:</w:t>
      </w:r>
    </w:p>
    <w:p w14:paraId="3FF62457" w14:textId="459C5514" w:rsidR="00672007" w:rsidRPr="00204527" w:rsidRDefault="000A43C5" w:rsidP="00672007">
      <w:pPr>
        <w:pStyle w:val="SingleTxtG"/>
        <w:rPr>
          <w:b/>
          <w:bCs/>
        </w:rPr>
      </w:pPr>
      <w:r>
        <w:rPr>
          <w:b/>
        </w:rPr>
        <w:tab/>
      </w:r>
      <w:r>
        <w:t>(a)</w:t>
      </w:r>
      <w:r>
        <w:rPr>
          <w:b/>
        </w:rPr>
        <w:tab/>
        <w:t xml:space="preserve">egzekwować krajowe przepisy i zasady w zakresie zwalczania handlu ludźmi, podejmować skuteczne środki w celu zapobiegania handlowi ludźmi </w:t>
      </w:r>
      <w:r>
        <w:rPr>
          <w:b/>
        </w:rPr>
        <w:lastRenderedPageBreak/>
        <w:t>i</w:t>
      </w:r>
      <w:r w:rsidR="00022215">
        <w:rPr>
          <w:b/>
        </w:rPr>
        <w:t> </w:t>
      </w:r>
      <w:r>
        <w:rPr>
          <w:b/>
        </w:rPr>
        <w:t>zwiększyć ochronę ofiar handlu ludźmi, w tym ofiar pracy przymusowej w sektorze stoczniowym, rolniczym i budowlanym;</w:t>
      </w:r>
    </w:p>
    <w:p w14:paraId="60DCF75E" w14:textId="77777777" w:rsidR="00672007" w:rsidRPr="00204527" w:rsidRDefault="000A43C5" w:rsidP="00672007">
      <w:pPr>
        <w:pStyle w:val="SingleTxtG"/>
        <w:rPr>
          <w:b/>
          <w:bCs/>
        </w:rPr>
      </w:pPr>
      <w:r>
        <w:rPr>
          <w:b/>
        </w:rPr>
        <w:tab/>
      </w:r>
      <w:r>
        <w:t>(b)</w:t>
      </w:r>
      <w:r>
        <w:rPr>
          <w:b/>
        </w:rPr>
        <w:tab/>
        <w:t xml:space="preserve">niezwłocznie, efektywnie i bezstronnie prowadzić postępowania, ścigać sprawców przestępstw handlu ludźmi oraz powiązanych praktyk i ich karać oraz zapewnić niezbędne gwarancje procesowe, takie jak udział niezależnych tłumaczy ustnych w postępowaniach; </w:t>
      </w:r>
    </w:p>
    <w:p w14:paraId="180AC238" w14:textId="4883F434" w:rsidR="00672007" w:rsidRPr="00204527" w:rsidRDefault="000A43C5" w:rsidP="00672007">
      <w:pPr>
        <w:pStyle w:val="SingleTxtG"/>
        <w:rPr>
          <w:b/>
          <w:bCs/>
        </w:rPr>
      </w:pPr>
      <w:r>
        <w:rPr>
          <w:b/>
        </w:rPr>
        <w:tab/>
      </w:r>
      <w:r>
        <w:t>(c)</w:t>
      </w:r>
      <w:r>
        <w:rPr>
          <w:b/>
        </w:rPr>
        <w:tab/>
        <w:t>zapewnić ofiarom handlu zadośćuczynienie, w tym pomoc prawną, medyczną i psychologiczną oraz rehabilitację, odpowiednie schroniska i pomoc w</w:t>
      </w:r>
      <w:r w:rsidR="00022215">
        <w:rPr>
          <w:b/>
        </w:rPr>
        <w:t> </w:t>
      </w:r>
      <w:r>
        <w:rPr>
          <w:b/>
        </w:rPr>
        <w:t>zgłaszaniu przypadków handlu na policję;</w:t>
      </w:r>
    </w:p>
    <w:p w14:paraId="6FC9957D" w14:textId="77777777" w:rsidR="00672007" w:rsidRPr="00204527" w:rsidRDefault="000A43C5" w:rsidP="00672007">
      <w:pPr>
        <w:pStyle w:val="SingleTxtG"/>
        <w:rPr>
          <w:b/>
          <w:bCs/>
        </w:rPr>
      </w:pPr>
      <w:r>
        <w:rPr>
          <w:b/>
        </w:rPr>
        <w:tab/>
      </w:r>
      <w:r>
        <w:t>(d)</w:t>
      </w:r>
      <w:r>
        <w:rPr>
          <w:b/>
        </w:rPr>
        <w:tab/>
        <w:t xml:space="preserve">zapewnić obowiązkowe i bieżące szkolenia w zakresie przeciwdziałania handlowi ludźmi dla wszystkich pracowników wymiaru sprawiedliwości i organów ścigania; </w:t>
      </w:r>
    </w:p>
    <w:p w14:paraId="2378D0A0" w14:textId="77777777" w:rsidR="00672007" w:rsidRPr="00204527" w:rsidRDefault="000A43C5" w:rsidP="00672007">
      <w:pPr>
        <w:pStyle w:val="SingleTxtG"/>
        <w:rPr>
          <w:b/>
          <w:bCs/>
        </w:rPr>
      </w:pPr>
      <w:r>
        <w:tab/>
        <w:t>(e)</w:t>
      </w:r>
      <w:r>
        <w:rPr>
          <w:b/>
        </w:rPr>
        <w:tab/>
        <w:t>systematycznie monitorować i oceniać wpływ środków przeciwko handlowi ludźmi oraz opracowywać dane dotyczące postępowania, ścigania i karania handlarzy ludźmi.</w:t>
      </w:r>
    </w:p>
    <w:p w14:paraId="6CE85979" w14:textId="77777777" w:rsidR="00672007" w:rsidRPr="00204527" w:rsidRDefault="000A43C5" w:rsidP="00683AF4">
      <w:pPr>
        <w:pStyle w:val="H23G"/>
      </w:pPr>
      <w:r>
        <w:tab/>
      </w:r>
      <w:r>
        <w:tab/>
        <w:t>Procedura dotycząca działań następczych</w:t>
      </w:r>
    </w:p>
    <w:p w14:paraId="28BD5E82" w14:textId="66E794D0" w:rsidR="00672007" w:rsidRPr="00204527" w:rsidRDefault="00672007" w:rsidP="00672007">
      <w:pPr>
        <w:pStyle w:val="SingleTxtG"/>
        <w:rPr>
          <w:b/>
          <w:bCs/>
        </w:rPr>
      </w:pPr>
      <w:r>
        <w:t>39.</w:t>
      </w:r>
      <w:r>
        <w:tab/>
      </w:r>
      <w:r>
        <w:rPr>
          <w:b/>
        </w:rPr>
        <w:t>Komitet zwraca się do Państwa-Strony o przekazanie do dnia 9 sierpnia 2020 r. informacji na temat działań podjętych w następstwie zaleceń Komitetu dotyczących zapewnienia niezależności, bezpieczeństwa i możliwości działania Rzecznika Praw Obywatelskich, zapobiegania i ścigania brutalności policji oraz zapewniania niezależności klinicznej personelu medycznego, a także na temat poprawy opieki medycznej świadczonej więźniom (zob. pkt 24 lit. (a) i (c), 20 lit. (a) i 30 lit. (e) powyżej). W tym kontekście Państwo-Strona jest zachęcane do informowania Komitetu o swoich planach dotyczących wdrożenia, w nadchodzącym okresie sprawozdawczym, niektórych lub wszystkich pozostałych zaleceń zawartych w</w:t>
      </w:r>
      <w:r w:rsidR="00022215">
        <w:rPr>
          <w:b/>
        </w:rPr>
        <w:t> </w:t>
      </w:r>
      <w:r>
        <w:rPr>
          <w:b/>
        </w:rPr>
        <w:t>uwagach końcowych.</w:t>
      </w:r>
    </w:p>
    <w:p w14:paraId="03DF7C45" w14:textId="77777777" w:rsidR="00672007" w:rsidRPr="00204527" w:rsidRDefault="000A43C5" w:rsidP="00683AF4">
      <w:pPr>
        <w:pStyle w:val="H23G"/>
      </w:pPr>
      <w:r>
        <w:tab/>
      </w:r>
      <w:r>
        <w:tab/>
        <w:t>Inne kwestie</w:t>
      </w:r>
    </w:p>
    <w:p w14:paraId="2FAF0AC8" w14:textId="77777777" w:rsidR="00672007" w:rsidRPr="00204527" w:rsidRDefault="00672007" w:rsidP="00672007">
      <w:pPr>
        <w:pStyle w:val="SingleTxtG"/>
        <w:rPr>
          <w:b/>
          <w:bCs/>
        </w:rPr>
      </w:pPr>
      <w:r>
        <w:t>40.</w:t>
      </w:r>
      <w:r>
        <w:tab/>
      </w:r>
      <w:r>
        <w:rPr>
          <w:b/>
        </w:rPr>
        <w:t>Komitet zachęca Państwo-Stronę do ratyfikowania podstawowych traktatów Narodów Zjednoczonych, dotyczących praw człowieka, których to traktatów nie jest jeszcze stroną.</w:t>
      </w:r>
    </w:p>
    <w:p w14:paraId="693D5878" w14:textId="382BC178" w:rsidR="00672007" w:rsidRPr="00204527" w:rsidRDefault="00672007" w:rsidP="00672007">
      <w:pPr>
        <w:pStyle w:val="SingleTxtG"/>
        <w:rPr>
          <w:b/>
          <w:bCs/>
        </w:rPr>
      </w:pPr>
      <w:r>
        <w:t>41.</w:t>
      </w:r>
      <w:r>
        <w:rPr>
          <w:b/>
        </w:rPr>
        <w:tab/>
        <w:t>Komitet zwraca się do Państwa-Strony o szerokie rozpowszechnienie sprawozdania przedłożonego Komitetowi oraz niniejszych uwag końcowych, w</w:t>
      </w:r>
      <w:r w:rsidR="00022215">
        <w:rPr>
          <w:b/>
        </w:rPr>
        <w:t> </w:t>
      </w:r>
      <w:r>
        <w:rPr>
          <w:b/>
        </w:rPr>
        <w:t>odpowiednich językach, za pośrednictwem oficjalnych stron internetowych, mediów i organizacji pozarządowych oraz o informowanie Komitetu o swoich działaniach w</w:t>
      </w:r>
      <w:r w:rsidR="00022215">
        <w:rPr>
          <w:b/>
        </w:rPr>
        <w:t> </w:t>
      </w:r>
      <w:r>
        <w:rPr>
          <w:b/>
        </w:rPr>
        <w:t>zakresie rozpowszechniania.</w:t>
      </w:r>
    </w:p>
    <w:p w14:paraId="7177EE2C" w14:textId="5236EDA1" w:rsidR="00672007" w:rsidRPr="00204527" w:rsidRDefault="00672007" w:rsidP="00672007">
      <w:pPr>
        <w:pStyle w:val="SingleTxtG"/>
        <w:rPr>
          <w:b/>
          <w:bCs/>
        </w:rPr>
      </w:pPr>
      <w:r>
        <w:t>42.</w:t>
      </w:r>
      <w:r>
        <w:rPr>
          <w:b/>
        </w:rPr>
        <w:tab/>
        <w:t>Komitet zwraca się do Państwa-Strony o przedstawienie następnego, ósmego sprawozdania okresowego do dnia 9 sierpnia 2023 r. Biorąc pod uwagę fakt, że</w:t>
      </w:r>
      <w:r w:rsidR="00022215">
        <w:rPr>
          <w:b/>
        </w:rPr>
        <w:t> </w:t>
      </w:r>
      <w:r>
        <w:rPr>
          <w:b/>
        </w:rPr>
        <w:t>podczas kontroli na potrzeby sporządzenia niniejszych zaleceń Państwo-Strona stwierdziło, że przyjęło uproszczoną procedurę składania sprawozdań, Komitet w</w:t>
      </w:r>
      <w:r w:rsidR="00022215">
        <w:rPr>
          <w:b/>
        </w:rPr>
        <w:t> </w:t>
      </w:r>
      <w:r>
        <w:rPr>
          <w:b/>
        </w:rPr>
        <w:t>odpowiednim czasie przed przedłożeniem sprawozdania przekaże Państwu-Stronie listę zagadnień.</w:t>
      </w:r>
    </w:p>
    <w:p w14:paraId="20F9147C" w14:textId="77777777" w:rsidR="00672007" w:rsidRPr="00204527" w:rsidRDefault="00C778D6" w:rsidP="006960CA">
      <w:pPr>
        <w:pStyle w:val="SingleTxtG"/>
        <w:spacing w:before="240" w:after="0"/>
        <w:jc w:val="center"/>
      </w:pPr>
      <w:r>
        <w:rPr>
          <w:u w:val="single"/>
        </w:rPr>
        <w:tab/>
      </w:r>
      <w:r>
        <w:rPr>
          <w:u w:val="single"/>
        </w:rPr>
        <w:tab/>
      </w:r>
      <w:r>
        <w:rPr>
          <w:u w:val="single"/>
        </w:rPr>
        <w:tab/>
      </w:r>
    </w:p>
    <w:sectPr w:rsidR="00672007" w:rsidRPr="00204527" w:rsidSect="006E1B45">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96C8" w14:textId="77777777" w:rsidR="005F1167" w:rsidRPr="008779DC" w:rsidRDefault="005F1167" w:rsidP="008779DC">
      <w:pPr>
        <w:pStyle w:val="Stopka"/>
      </w:pPr>
    </w:p>
  </w:endnote>
  <w:endnote w:type="continuationSeparator" w:id="0">
    <w:p w14:paraId="7CF9EB07" w14:textId="77777777" w:rsidR="005F1167" w:rsidRPr="008779DC" w:rsidRDefault="005F1167" w:rsidP="008779DC">
      <w:pPr>
        <w:pStyle w:val="Stopk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561" w14:textId="77777777" w:rsidR="00F7621C" w:rsidRDefault="00F7621C" w:rsidP="000D37DE">
    <w:pPr>
      <w:pStyle w:val="Stopka"/>
      <w:tabs>
        <w:tab w:val="right" w:pos="9638"/>
      </w:tabs>
    </w:pPr>
    <w:r w:rsidRPr="00F7621C">
      <w:rPr>
        <w:b/>
        <w:sz w:val="18"/>
      </w:rPr>
      <w:fldChar w:fldCharType="begin"/>
    </w:r>
    <w:r w:rsidRPr="00F7621C">
      <w:rPr>
        <w:b/>
        <w:sz w:val="18"/>
      </w:rPr>
      <w:instrText xml:space="preserve"> PAGE  \* MERGEFORMAT </w:instrText>
    </w:r>
    <w:r w:rsidRPr="00F7621C">
      <w:rPr>
        <w:b/>
        <w:sz w:val="18"/>
      </w:rPr>
      <w:fldChar w:fldCharType="separate"/>
    </w:r>
    <w:r w:rsidR="00ED0B70">
      <w:rPr>
        <w:b/>
        <w:sz w:val="18"/>
      </w:rPr>
      <w:t>14</w:t>
    </w:r>
    <w:r w:rsidRPr="00F7621C">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5407" w14:textId="77777777" w:rsidR="00F7621C" w:rsidRDefault="00F7621C" w:rsidP="00F7621C">
    <w:pPr>
      <w:pStyle w:val="Stopka"/>
      <w:tabs>
        <w:tab w:val="right" w:pos="9638"/>
      </w:tabs>
    </w:pPr>
    <w:r>
      <w:tab/>
    </w:r>
    <w:r w:rsidRPr="00F7621C">
      <w:rPr>
        <w:b/>
        <w:sz w:val="18"/>
      </w:rPr>
      <w:fldChar w:fldCharType="begin"/>
    </w:r>
    <w:r w:rsidRPr="00F7621C">
      <w:rPr>
        <w:b/>
        <w:sz w:val="18"/>
      </w:rPr>
      <w:instrText xml:space="preserve"> PAGE  \* MERGEFORMAT </w:instrText>
    </w:r>
    <w:r w:rsidRPr="00F7621C">
      <w:rPr>
        <w:b/>
        <w:sz w:val="18"/>
      </w:rPr>
      <w:fldChar w:fldCharType="separate"/>
    </w:r>
    <w:r w:rsidR="00ED0B70">
      <w:rPr>
        <w:b/>
        <w:sz w:val="18"/>
      </w:rPr>
      <w:t>15</w:t>
    </w:r>
    <w:r w:rsidRPr="00F7621C">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916A" w14:textId="77777777" w:rsidR="00ED0B70" w:rsidRDefault="00ED0B70" w:rsidP="00ED0B70">
    <w:pPr>
      <w:pStyle w:val="Stopka"/>
    </w:pPr>
    <w:r>
      <w:rPr>
        <w:noProof/>
      </w:rPr>
      <w:drawing>
        <wp:anchor distT="0" distB="0" distL="114300" distR="114300" simplePos="0" relativeHeight="251659264" behindDoc="1" locked="1" layoutInCell="1" allowOverlap="1" wp14:anchorId="0989B89D" wp14:editId="037C06FA">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54F42AE" w14:textId="77777777" w:rsidR="00ED0B70" w:rsidRDefault="00ED0B70" w:rsidP="00ED0B70">
    <w:pPr>
      <w:pStyle w:val="Stopka"/>
      <w:ind w:right="1134"/>
      <w:rPr>
        <w:sz w:val="20"/>
      </w:rPr>
    </w:pPr>
    <w:r>
      <w:rPr>
        <w:sz w:val="20"/>
      </w:rPr>
      <w:t>GE.19-14751(E)</w:t>
    </w:r>
  </w:p>
  <w:p w14:paraId="7CBE0FBC" w14:textId="77777777" w:rsidR="00ED0B70" w:rsidRPr="00ED0B70" w:rsidRDefault="00ED0B70" w:rsidP="00ED0B70">
    <w:pPr>
      <w:pStyle w:val="Stopka"/>
      <w:ind w:right="1134"/>
      <w:rPr>
        <w:rFonts w:ascii="C39T30Lfz" w:hAnsi="C39T30Lfz" w:hint="eastAsia"/>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noProof/>
      </w:rPr>
      <w:drawing>
        <wp:anchor distT="0" distB="0" distL="114300" distR="114300" simplePos="0" relativeHeight="251660288" behindDoc="0" locked="0" layoutInCell="1" allowOverlap="1" wp14:anchorId="4824512D" wp14:editId="344B1991">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CAT/C/POL/CO/7&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AT/C/POL/CO/7&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2F00" w14:textId="77777777" w:rsidR="005F1167" w:rsidRPr="008779DC" w:rsidRDefault="005F1167" w:rsidP="008779DC">
      <w:pPr>
        <w:tabs>
          <w:tab w:val="right" w:pos="2155"/>
        </w:tabs>
        <w:spacing w:after="80" w:line="240" w:lineRule="auto"/>
        <w:ind w:left="680"/>
      </w:pPr>
      <w:r>
        <w:rPr>
          <w:u w:val="single"/>
        </w:rPr>
        <w:tab/>
      </w:r>
    </w:p>
  </w:footnote>
  <w:footnote w:type="continuationSeparator" w:id="0">
    <w:p w14:paraId="298EC3B6" w14:textId="77777777" w:rsidR="005F1167" w:rsidRPr="008779DC" w:rsidRDefault="005F1167" w:rsidP="008779DC">
      <w:pPr>
        <w:tabs>
          <w:tab w:val="right" w:pos="2155"/>
        </w:tabs>
        <w:spacing w:after="80" w:line="240" w:lineRule="auto"/>
        <w:ind w:left="680"/>
      </w:pPr>
      <w:r>
        <w:rPr>
          <w:u w:val="single"/>
        </w:rPr>
        <w:tab/>
      </w:r>
    </w:p>
  </w:footnote>
  <w:footnote w:id="1">
    <w:p w14:paraId="4020B0EF" w14:textId="77777777" w:rsidR="00F7621C" w:rsidRPr="003D0BF1" w:rsidRDefault="00F7621C" w:rsidP="00F7621C">
      <w:pPr>
        <w:pStyle w:val="Tekstprzypisudolnego"/>
      </w:pPr>
      <w:r>
        <w:rPr>
          <w:rStyle w:val="Odwoanieprzypisudolnego"/>
          <w:vertAlign w:val="baseline"/>
        </w:rPr>
        <w:tab/>
      </w:r>
      <w:r>
        <w:rPr>
          <w:rStyle w:val="Odwoanieprzypisudolnego"/>
          <w:sz w:val="20"/>
          <w:vertAlign w:val="baseline"/>
        </w:rPr>
        <w:t>*</w:t>
      </w:r>
      <w:r>
        <w:rPr>
          <w:rStyle w:val="Odwoanieprzypisudolnego"/>
          <w:sz w:val="20"/>
          <w:vertAlign w:val="baseline"/>
        </w:rPr>
        <w:tab/>
      </w:r>
      <w:r>
        <w:t>Przyjęte przez Komitet na 67. sesji (22 lipca – 4 sierpnia 2019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C3C0" w14:textId="77777777" w:rsidR="00F7621C" w:rsidRDefault="00F7621C" w:rsidP="00F7621C">
    <w:pPr>
      <w:pStyle w:val="Nagwek"/>
    </w:pPr>
    <w:r>
      <w:t>CAT/C/POL/CO/7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E5CB" w14:textId="77777777" w:rsidR="00F7621C" w:rsidRDefault="00F7621C" w:rsidP="00F7621C">
    <w:pPr>
      <w:pStyle w:val="Nagwek"/>
      <w:jc w:val="right"/>
    </w:pPr>
    <w:r>
      <w:t>CAT/C/POL/CO/7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735087">
    <w:abstractNumId w:val="3"/>
  </w:num>
  <w:num w:numId="2" w16cid:durableId="1838111393">
    <w:abstractNumId w:val="2"/>
  </w:num>
  <w:num w:numId="3" w16cid:durableId="391348003">
    <w:abstractNumId w:val="0"/>
  </w:num>
  <w:num w:numId="4" w16cid:durableId="367527985">
    <w:abstractNumId w:val="4"/>
  </w:num>
  <w:num w:numId="5" w16cid:durableId="1397778874">
    <w:abstractNumId w:val="5"/>
  </w:num>
  <w:num w:numId="6" w16cid:durableId="1408114049">
    <w:abstractNumId w:val="6"/>
  </w:num>
  <w:num w:numId="7" w16cid:durableId="158506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LW_DocType" w:val="CAT"/>
  </w:docVars>
  <w:rsids>
    <w:rsidRoot w:val="005B779D"/>
    <w:rsid w:val="000123D3"/>
    <w:rsid w:val="00022215"/>
    <w:rsid w:val="00046E92"/>
    <w:rsid w:val="00062024"/>
    <w:rsid w:val="000A43C5"/>
    <w:rsid w:val="000D37DE"/>
    <w:rsid w:val="00113E7B"/>
    <w:rsid w:val="00116ABF"/>
    <w:rsid w:val="00196D88"/>
    <w:rsid w:val="00204527"/>
    <w:rsid w:val="00247E2C"/>
    <w:rsid w:val="00254A4D"/>
    <w:rsid w:val="0028113D"/>
    <w:rsid w:val="00291134"/>
    <w:rsid w:val="002D6C53"/>
    <w:rsid w:val="002E5288"/>
    <w:rsid w:val="002F5595"/>
    <w:rsid w:val="00334F6A"/>
    <w:rsid w:val="00342AC8"/>
    <w:rsid w:val="00343F35"/>
    <w:rsid w:val="003529B9"/>
    <w:rsid w:val="00381AD6"/>
    <w:rsid w:val="003B4550"/>
    <w:rsid w:val="00461253"/>
    <w:rsid w:val="00471E3C"/>
    <w:rsid w:val="004A6B08"/>
    <w:rsid w:val="004D5F09"/>
    <w:rsid w:val="005042C2"/>
    <w:rsid w:val="005B779D"/>
    <w:rsid w:val="005D0F86"/>
    <w:rsid w:val="005F1167"/>
    <w:rsid w:val="00610A16"/>
    <w:rsid w:val="006365DF"/>
    <w:rsid w:val="00671529"/>
    <w:rsid w:val="00672007"/>
    <w:rsid w:val="00683AF4"/>
    <w:rsid w:val="006960CA"/>
    <w:rsid w:val="006E1B45"/>
    <w:rsid w:val="007268F9"/>
    <w:rsid w:val="007309C0"/>
    <w:rsid w:val="007C52B0"/>
    <w:rsid w:val="008779DC"/>
    <w:rsid w:val="008978FF"/>
    <w:rsid w:val="008B5F85"/>
    <w:rsid w:val="0093545A"/>
    <w:rsid w:val="009411B4"/>
    <w:rsid w:val="00955218"/>
    <w:rsid w:val="00962B2C"/>
    <w:rsid w:val="009D0139"/>
    <w:rsid w:val="009F5CDC"/>
    <w:rsid w:val="00A43F01"/>
    <w:rsid w:val="00A775CF"/>
    <w:rsid w:val="00A934F7"/>
    <w:rsid w:val="00B06045"/>
    <w:rsid w:val="00B275C5"/>
    <w:rsid w:val="00B3745B"/>
    <w:rsid w:val="00B553CA"/>
    <w:rsid w:val="00B93221"/>
    <w:rsid w:val="00C27CE2"/>
    <w:rsid w:val="00C35A27"/>
    <w:rsid w:val="00C77619"/>
    <w:rsid w:val="00C778D6"/>
    <w:rsid w:val="00C9269A"/>
    <w:rsid w:val="00CF4239"/>
    <w:rsid w:val="00D0779F"/>
    <w:rsid w:val="00E02C2B"/>
    <w:rsid w:val="00E4772A"/>
    <w:rsid w:val="00E67FFB"/>
    <w:rsid w:val="00E96BA2"/>
    <w:rsid w:val="00ED0B70"/>
    <w:rsid w:val="00ED6C48"/>
    <w:rsid w:val="00EF3559"/>
    <w:rsid w:val="00F022BB"/>
    <w:rsid w:val="00F04055"/>
    <w:rsid w:val="00F04DB0"/>
    <w:rsid w:val="00F52D40"/>
    <w:rsid w:val="00F65F5D"/>
    <w:rsid w:val="00F7621C"/>
    <w:rsid w:val="00F86A3A"/>
    <w:rsid w:val="00FA6B47"/>
    <w:rsid w:val="00FC1527"/>
    <w:rsid w:val="00FD31B3"/>
    <w:rsid w:val="00FF30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E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pl-P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3F01"/>
    <w:pPr>
      <w:suppressAutoHyphens/>
      <w:spacing w:after="0" w:line="240" w:lineRule="atLeast"/>
    </w:pPr>
    <w:rPr>
      <w:rFonts w:ascii="Times New Roman" w:eastAsia="Times New Roman" w:hAnsi="Times New Roman" w:cs="Times New Roman"/>
      <w:sz w:val="20"/>
      <w:szCs w:val="20"/>
      <w:lang w:eastAsia="en-US"/>
    </w:rPr>
  </w:style>
  <w:style w:type="paragraph" w:styleId="Nagwek1">
    <w:name w:val="heading 1"/>
    <w:aliases w:val="Table_G"/>
    <w:basedOn w:val="SingleTxtG"/>
    <w:next w:val="SingleTxtG"/>
    <w:link w:val="Nagwek1Znak"/>
    <w:semiHidden/>
    <w:rsid w:val="007268F9"/>
    <w:pPr>
      <w:spacing w:after="0" w:line="240" w:lineRule="auto"/>
      <w:ind w:right="0"/>
      <w:jc w:val="left"/>
      <w:outlineLvl w:val="0"/>
    </w:pPr>
  </w:style>
  <w:style w:type="paragraph" w:styleId="Nagwek2">
    <w:name w:val="heading 2"/>
    <w:basedOn w:val="Normalny"/>
    <w:next w:val="Normalny"/>
    <w:link w:val="Nagwek2Znak"/>
    <w:semiHidden/>
    <w:rsid w:val="007268F9"/>
    <w:pPr>
      <w:spacing w:line="240" w:lineRule="auto"/>
      <w:outlineLvl w:val="1"/>
    </w:pPr>
    <w:rPr>
      <w:rFonts w:eastAsia="SimSun"/>
      <w:lang w:eastAsia="zh-CN"/>
    </w:rPr>
  </w:style>
  <w:style w:type="paragraph" w:styleId="Nagwek3">
    <w:name w:val="heading 3"/>
    <w:basedOn w:val="Normalny"/>
    <w:next w:val="Normalny"/>
    <w:link w:val="Nagwek3Znak"/>
    <w:semiHidden/>
    <w:rsid w:val="007268F9"/>
    <w:pPr>
      <w:spacing w:line="240" w:lineRule="auto"/>
      <w:outlineLvl w:val="2"/>
    </w:pPr>
    <w:rPr>
      <w:rFonts w:eastAsia="SimSun"/>
      <w:lang w:eastAsia="zh-CN"/>
    </w:rPr>
  </w:style>
  <w:style w:type="paragraph" w:styleId="Nagwek4">
    <w:name w:val="heading 4"/>
    <w:basedOn w:val="Normalny"/>
    <w:next w:val="Normalny"/>
    <w:link w:val="Nagwek4Znak"/>
    <w:semiHidden/>
    <w:rsid w:val="007268F9"/>
    <w:pPr>
      <w:spacing w:line="240" w:lineRule="auto"/>
      <w:outlineLvl w:val="3"/>
    </w:pPr>
    <w:rPr>
      <w:rFonts w:eastAsia="SimSun"/>
      <w:lang w:eastAsia="zh-CN"/>
    </w:rPr>
  </w:style>
  <w:style w:type="paragraph" w:styleId="Nagwek5">
    <w:name w:val="heading 5"/>
    <w:basedOn w:val="Normalny"/>
    <w:next w:val="Normalny"/>
    <w:link w:val="Nagwek5Znak"/>
    <w:semiHidden/>
    <w:rsid w:val="007268F9"/>
    <w:pPr>
      <w:spacing w:line="240" w:lineRule="auto"/>
      <w:outlineLvl w:val="4"/>
    </w:pPr>
    <w:rPr>
      <w:rFonts w:eastAsia="SimSun"/>
      <w:lang w:eastAsia="zh-CN"/>
    </w:rPr>
  </w:style>
  <w:style w:type="paragraph" w:styleId="Nagwek6">
    <w:name w:val="heading 6"/>
    <w:basedOn w:val="Normalny"/>
    <w:next w:val="Normalny"/>
    <w:link w:val="Nagwek6Znak"/>
    <w:semiHidden/>
    <w:rsid w:val="007268F9"/>
    <w:pPr>
      <w:spacing w:line="240" w:lineRule="auto"/>
      <w:outlineLvl w:val="5"/>
    </w:pPr>
    <w:rPr>
      <w:rFonts w:eastAsia="SimSun"/>
      <w:lang w:eastAsia="zh-CN"/>
    </w:rPr>
  </w:style>
  <w:style w:type="paragraph" w:styleId="Nagwek7">
    <w:name w:val="heading 7"/>
    <w:basedOn w:val="Normalny"/>
    <w:next w:val="Normalny"/>
    <w:link w:val="Nagwek7Znak"/>
    <w:semiHidden/>
    <w:rsid w:val="007268F9"/>
    <w:pPr>
      <w:spacing w:line="240" w:lineRule="auto"/>
      <w:outlineLvl w:val="6"/>
    </w:pPr>
    <w:rPr>
      <w:rFonts w:eastAsia="SimSun"/>
      <w:lang w:eastAsia="zh-CN"/>
    </w:rPr>
  </w:style>
  <w:style w:type="paragraph" w:styleId="Nagwek8">
    <w:name w:val="heading 8"/>
    <w:basedOn w:val="Normalny"/>
    <w:next w:val="Normalny"/>
    <w:link w:val="Nagwek8Znak"/>
    <w:semiHidden/>
    <w:rsid w:val="007268F9"/>
    <w:pPr>
      <w:spacing w:line="240" w:lineRule="auto"/>
      <w:outlineLvl w:val="7"/>
    </w:pPr>
    <w:rPr>
      <w:rFonts w:eastAsia="SimSun"/>
      <w:lang w:eastAsia="zh-CN"/>
    </w:rPr>
  </w:style>
  <w:style w:type="paragraph" w:styleId="Nagwek9">
    <w:name w:val="heading 9"/>
    <w:basedOn w:val="Normalny"/>
    <w:next w:val="Normalny"/>
    <w:link w:val="Nagwek9Znak"/>
    <w:semiHidden/>
    <w:rsid w:val="007268F9"/>
    <w:pPr>
      <w:spacing w:line="240" w:lineRule="auto"/>
      <w:outlineLvl w:val="8"/>
    </w:pPr>
    <w:rPr>
      <w:rFonts w:eastAsia="SimSu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6_G"/>
    <w:basedOn w:val="Normalny"/>
    <w:link w:val="NagwekZnak"/>
    <w:rsid w:val="007268F9"/>
    <w:pPr>
      <w:pBdr>
        <w:bottom w:val="single" w:sz="4" w:space="4" w:color="auto"/>
      </w:pBdr>
      <w:spacing w:line="240" w:lineRule="auto"/>
    </w:pPr>
    <w:rPr>
      <w:rFonts w:eastAsia="SimSun"/>
      <w:b/>
      <w:sz w:val="18"/>
      <w:lang w:eastAsia="zh-CN"/>
    </w:rPr>
  </w:style>
  <w:style w:type="character" w:customStyle="1" w:styleId="NagwekZnak">
    <w:name w:val="Nagłówek Znak"/>
    <w:aliases w:val="6_G Znak"/>
    <w:basedOn w:val="Domylnaczcionkaakapitu"/>
    <w:link w:val="Nagwek"/>
    <w:semiHidden/>
    <w:rsid w:val="003B4550"/>
    <w:rPr>
      <w:rFonts w:ascii="Times New Roman" w:hAnsi="Times New Roman" w:cs="Times New Roman"/>
      <w:b/>
      <w:sz w:val="18"/>
      <w:szCs w:val="20"/>
    </w:rPr>
  </w:style>
  <w:style w:type="paragraph" w:styleId="Stopka">
    <w:name w:val="footer"/>
    <w:aliases w:val="3_G"/>
    <w:basedOn w:val="Normalny"/>
    <w:link w:val="StopkaZnak"/>
    <w:rsid w:val="007268F9"/>
    <w:pPr>
      <w:spacing w:line="240" w:lineRule="auto"/>
    </w:pPr>
    <w:rPr>
      <w:rFonts w:eastAsia="SimSun"/>
      <w:sz w:val="16"/>
      <w:lang w:eastAsia="zh-CN"/>
    </w:rPr>
  </w:style>
  <w:style w:type="character" w:customStyle="1" w:styleId="StopkaZnak">
    <w:name w:val="Stopka Znak"/>
    <w:aliases w:val="3_G Znak"/>
    <w:basedOn w:val="Domylnaczcionkaakapitu"/>
    <w:link w:val="Stopka"/>
    <w:rsid w:val="00247E2C"/>
    <w:rPr>
      <w:rFonts w:ascii="Times New Roman" w:eastAsia="SimSun" w:hAnsi="Times New Roman" w:cs="Times New Roman"/>
      <w:sz w:val="16"/>
      <w:szCs w:val="20"/>
    </w:rPr>
  </w:style>
  <w:style w:type="paragraph" w:customStyle="1" w:styleId="HMG">
    <w:name w:val="_ H __M_G"/>
    <w:basedOn w:val="Normalny"/>
    <w:next w:val="Normalny"/>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ny"/>
    <w:next w:val="Normalny"/>
    <w:qFormat/>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ny"/>
    <w:next w:val="Normalny"/>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ny"/>
    <w:next w:val="Normalny"/>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ny"/>
    <w:next w:val="Normalny"/>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ny"/>
    <w:next w:val="Normalny"/>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ny"/>
    <w:link w:val="SingleTxtGChar"/>
    <w:rsid w:val="007268F9"/>
    <w:pPr>
      <w:spacing w:after="120"/>
      <w:ind w:left="1134" w:right="1134"/>
      <w:jc w:val="both"/>
    </w:pPr>
    <w:rPr>
      <w:rFonts w:eastAsia="SimSun"/>
      <w:lang w:eastAsia="zh-CN"/>
    </w:rPr>
  </w:style>
  <w:style w:type="paragraph" w:customStyle="1" w:styleId="SLG">
    <w:name w:val="__S_L_G"/>
    <w:basedOn w:val="Normalny"/>
    <w:next w:val="Normalny"/>
    <w:rsid w:val="007268F9"/>
    <w:pPr>
      <w:keepNext/>
      <w:keepLines/>
      <w:spacing w:before="240" w:after="240" w:line="580" w:lineRule="exact"/>
      <w:ind w:left="1134" w:right="1134"/>
    </w:pPr>
    <w:rPr>
      <w:b/>
      <w:sz w:val="56"/>
    </w:rPr>
  </w:style>
  <w:style w:type="paragraph" w:customStyle="1" w:styleId="SMG">
    <w:name w:val="__S_M_G"/>
    <w:basedOn w:val="Normalny"/>
    <w:next w:val="Normalny"/>
    <w:rsid w:val="007268F9"/>
    <w:pPr>
      <w:keepNext/>
      <w:keepLines/>
      <w:spacing w:before="240" w:after="240" w:line="420" w:lineRule="exact"/>
      <w:ind w:left="1134" w:right="1134"/>
    </w:pPr>
    <w:rPr>
      <w:b/>
      <w:sz w:val="40"/>
    </w:rPr>
  </w:style>
  <w:style w:type="paragraph" w:customStyle="1" w:styleId="SSG">
    <w:name w:val="__S_S_G"/>
    <w:basedOn w:val="Normalny"/>
    <w:next w:val="Normalny"/>
    <w:rsid w:val="007268F9"/>
    <w:pPr>
      <w:keepNext/>
      <w:keepLines/>
      <w:spacing w:before="240" w:after="240" w:line="300" w:lineRule="exact"/>
      <w:ind w:left="1134" w:right="1134"/>
    </w:pPr>
    <w:rPr>
      <w:b/>
      <w:sz w:val="28"/>
    </w:rPr>
  </w:style>
  <w:style w:type="paragraph" w:customStyle="1" w:styleId="XLargeG">
    <w:name w:val="__XLarge_G"/>
    <w:basedOn w:val="Normalny"/>
    <w:next w:val="Normalny"/>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ny"/>
    <w:rsid w:val="007268F9"/>
    <w:pPr>
      <w:numPr>
        <w:numId w:val="1"/>
      </w:numPr>
      <w:spacing w:after="120"/>
      <w:ind w:right="1134"/>
      <w:jc w:val="both"/>
    </w:pPr>
  </w:style>
  <w:style w:type="paragraph" w:customStyle="1" w:styleId="Bullet2G">
    <w:name w:val="_Bullet 2_G"/>
    <w:basedOn w:val="Normalny"/>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Bezlisty"/>
    <w:semiHidden/>
    <w:rsid w:val="007268F9"/>
    <w:pPr>
      <w:numPr>
        <w:numId w:val="5"/>
      </w:numPr>
    </w:pPr>
  </w:style>
  <w:style w:type="numbering" w:styleId="1ai">
    <w:name w:val="Outline List 1"/>
    <w:basedOn w:val="Bezlisty"/>
    <w:semiHidden/>
    <w:rsid w:val="007268F9"/>
    <w:pPr>
      <w:numPr>
        <w:numId w:val="6"/>
      </w:numPr>
    </w:pPr>
  </w:style>
  <w:style w:type="character" w:styleId="Odwoanieprzypisukocowego">
    <w:name w:val="endnote reference"/>
    <w:aliases w:val="1_G"/>
    <w:rsid w:val="007268F9"/>
    <w:rPr>
      <w:rFonts w:ascii="Times New Roman" w:hAnsi="Times New Roman"/>
      <w:sz w:val="18"/>
      <w:vertAlign w:val="superscript"/>
    </w:rPr>
  </w:style>
  <w:style w:type="paragraph" w:styleId="Tekstprzypisudolnego">
    <w:name w:val="footnote text"/>
    <w:aliases w:val="5_G,Footnote Text Char Char1,Footnote Text Char1 Char Char1,Footnote Text Char Char1 Char Char,Footnote Text Char1 Char Char1 Char Char,ft Char Char Char Char Char,Geneva 9 Char Char Char Char Char,Footnote Text Char Char,Char"/>
    <w:basedOn w:val="Normalny"/>
    <w:link w:val="TekstprzypisudolnegoZnak"/>
    <w:qFormat/>
    <w:rsid w:val="007268F9"/>
    <w:pPr>
      <w:tabs>
        <w:tab w:val="right" w:pos="1021"/>
      </w:tabs>
      <w:spacing w:line="220" w:lineRule="exact"/>
      <w:ind w:left="1134" w:right="1134" w:hanging="1134"/>
    </w:pPr>
    <w:rPr>
      <w:rFonts w:eastAsia="SimSun"/>
      <w:sz w:val="18"/>
      <w:lang w:eastAsia="zh-CN"/>
    </w:rPr>
  </w:style>
  <w:style w:type="character" w:customStyle="1" w:styleId="TekstprzypisudolnegoZnak">
    <w:name w:val="Tekst przypisu dolnego Znak"/>
    <w:aliases w:val="5_G Znak,Footnote Text Char Char1 Znak,Footnote Text Char1 Char Char1 Znak,Footnote Text Char Char1 Char Char Znak,Footnote Text Char1 Char Char1 Char Char Znak,ft Char Char Char Char Char Znak,Footnote Text Char Char Znak"/>
    <w:basedOn w:val="Domylnaczcionkaakapitu"/>
    <w:link w:val="Tekstprzypisudolnego"/>
    <w:rsid w:val="007268F9"/>
    <w:rPr>
      <w:rFonts w:ascii="Times New Roman" w:eastAsia="SimSun" w:hAnsi="Times New Roman" w:cs="Times New Roman"/>
      <w:sz w:val="18"/>
      <w:szCs w:val="20"/>
    </w:rPr>
  </w:style>
  <w:style w:type="paragraph" w:styleId="Tekstprzypisukocowego">
    <w:name w:val="endnote text"/>
    <w:aliases w:val="2_G"/>
    <w:basedOn w:val="Tekstprzypisudolnego"/>
    <w:link w:val="TekstprzypisukocowegoZnak"/>
    <w:rsid w:val="007268F9"/>
  </w:style>
  <w:style w:type="character" w:customStyle="1" w:styleId="TekstprzypisukocowegoZnak">
    <w:name w:val="Tekst przypisu końcowego Znak"/>
    <w:aliases w:val="2_G Znak"/>
    <w:basedOn w:val="Domylnaczcionkaakapitu"/>
    <w:link w:val="Tekstprzypisukocowego"/>
    <w:rsid w:val="007268F9"/>
    <w:rPr>
      <w:rFonts w:ascii="Times New Roman" w:eastAsia="SimSun" w:hAnsi="Times New Roman" w:cs="Times New Roman"/>
      <w:sz w:val="18"/>
      <w:szCs w:val="20"/>
    </w:rPr>
  </w:style>
  <w:style w:type="character" w:styleId="Odwoanieprzypisudolnego">
    <w:name w:val="footnote reference"/>
    <w:aliases w:val="4_G"/>
    <w:qFormat/>
    <w:rsid w:val="007268F9"/>
    <w:rPr>
      <w:rFonts w:ascii="Times New Roman" w:hAnsi="Times New Roman"/>
      <w:sz w:val="18"/>
      <w:vertAlign w:val="superscript"/>
    </w:rPr>
  </w:style>
  <w:style w:type="character" w:customStyle="1" w:styleId="Nagwek1Znak">
    <w:name w:val="Nagłówek 1 Znak"/>
    <w:aliases w:val="Table_G Znak"/>
    <w:basedOn w:val="Domylnaczcionkaakapitu"/>
    <w:link w:val="Nagwek1"/>
    <w:semiHidden/>
    <w:rsid w:val="003B4550"/>
    <w:rPr>
      <w:rFonts w:ascii="Times New Roman" w:hAnsi="Times New Roman" w:cs="Times New Roman"/>
      <w:sz w:val="20"/>
      <w:szCs w:val="20"/>
    </w:rPr>
  </w:style>
  <w:style w:type="character" w:customStyle="1" w:styleId="Nagwek2Znak">
    <w:name w:val="Nagłówek 2 Znak"/>
    <w:basedOn w:val="Domylnaczcionkaakapitu"/>
    <w:link w:val="Nagwek2"/>
    <w:semiHidden/>
    <w:rsid w:val="003B4550"/>
    <w:rPr>
      <w:rFonts w:ascii="Times New Roman" w:hAnsi="Times New Roman" w:cs="Times New Roman"/>
      <w:sz w:val="20"/>
      <w:szCs w:val="20"/>
    </w:rPr>
  </w:style>
  <w:style w:type="character" w:customStyle="1" w:styleId="Nagwek3Znak">
    <w:name w:val="Nagłówek 3 Znak"/>
    <w:basedOn w:val="Domylnaczcionkaakapitu"/>
    <w:link w:val="Nagwek3"/>
    <w:semiHidden/>
    <w:rsid w:val="003B4550"/>
    <w:rPr>
      <w:rFonts w:ascii="Times New Roman" w:hAnsi="Times New Roman" w:cs="Times New Roman"/>
      <w:sz w:val="20"/>
      <w:szCs w:val="20"/>
    </w:rPr>
  </w:style>
  <w:style w:type="character" w:customStyle="1" w:styleId="Nagwek4Znak">
    <w:name w:val="Nagłówek 4 Znak"/>
    <w:basedOn w:val="Domylnaczcionkaakapitu"/>
    <w:link w:val="Nagwek4"/>
    <w:semiHidden/>
    <w:rsid w:val="003B4550"/>
    <w:rPr>
      <w:rFonts w:ascii="Times New Roman" w:hAnsi="Times New Roman" w:cs="Times New Roman"/>
      <w:sz w:val="20"/>
      <w:szCs w:val="20"/>
    </w:rPr>
  </w:style>
  <w:style w:type="character" w:customStyle="1" w:styleId="Nagwek5Znak">
    <w:name w:val="Nagłówek 5 Znak"/>
    <w:basedOn w:val="Domylnaczcionkaakapitu"/>
    <w:link w:val="Nagwek5"/>
    <w:semiHidden/>
    <w:rsid w:val="003B4550"/>
    <w:rPr>
      <w:rFonts w:ascii="Times New Roman" w:hAnsi="Times New Roman" w:cs="Times New Roman"/>
      <w:sz w:val="20"/>
      <w:szCs w:val="20"/>
    </w:rPr>
  </w:style>
  <w:style w:type="character" w:customStyle="1" w:styleId="Nagwek6Znak">
    <w:name w:val="Nagłówek 6 Znak"/>
    <w:basedOn w:val="Domylnaczcionkaakapitu"/>
    <w:link w:val="Nagwek6"/>
    <w:semiHidden/>
    <w:rsid w:val="003B4550"/>
    <w:rPr>
      <w:rFonts w:ascii="Times New Roman" w:hAnsi="Times New Roman" w:cs="Times New Roman"/>
      <w:sz w:val="20"/>
      <w:szCs w:val="20"/>
    </w:rPr>
  </w:style>
  <w:style w:type="character" w:customStyle="1" w:styleId="Nagwek7Znak">
    <w:name w:val="Nagłówek 7 Znak"/>
    <w:basedOn w:val="Domylnaczcionkaakapitu"/>
    <w:link w:val="Nagwek7"/>
    <w:semiHidden/>
    <w:rsid w:val="003B4550"/>
    <w:rPr>
      <w:rFonts w:ascii="Times New Roman" w:hAnsi="Times New Roman" w:cs="Times New Roman"/>
      <w:sz w:val="20"/>
      <w:szCs w:val="20"/>
    </w:rPr>
  </w:style>
  <w:style w:type="character" w:customStyle="1" w:styleId="Nagwek8Znak">
    <w:name w:val="Nagłówek 8 Znak"/>
    <w:basedOn w:val="Domylnaczcionkaakapitu"/>
    <w:link w:val="Nagwek8"/>
    <w:semiHidden/>
    <w:rsid w:val="003B4550"/>
    <w:rPr>
      <w:rFonts w:ascii="Times New Roman" w:hAnsi="Times New Roman" w:cs="Times New Roman"/>
      <w:sz w:val="20"/>
      <w:szCs w:val="20"/>
    </w:rPr>
  </w:style>
  <w:style w:type="character" w:customStyle="1" w:styleId="Nagwek9Znak">
    <w:name w:val="Nagłówek 9 Znak"/>
    <w:basedOn w:val="Domylnaczcionkaakapitu"/>
    <w:link w:val="Nagwek9"/>
    <w:semiHidden/>
    <w:rsid w:val="003B4550"/>
    <w:rPr>
      <w:rFonts w:ascii="Times New Roman" w:hAnsi="Times New Roman" w:cs="Times New Roman"/>
      <w:sz w:val="20"/>
      <w:szCs w:val="20"/>
    </w:rPr>
  </w:style>
  <w:style w:type="character" w:styleId="Numerstrony">
    <w:name w:val="page number"/>
    <w:aliases w:val="7_G"/>
    <w:semiHidden/>
    <w:rsid w:val="007268F9"/>
    <w:rPr>
      <w:rFonts w:ascii="Times New Roman" w:hAnsi="Times New Roman"/>
      <w:b/>
      <w:sz w:val="18"/>
    </w:rPr>
  </w:style>
  <w:style w:type="character" w:styleId="Tytuksiki">
    <w:name w:val="Book Title"/>
    <w:basedOn w:val="Domylnaczcionkaakapitu"/>
    <w:uiPriority w:val="33"/>
    <w:semiHidden/>
    <w:rsid w:val="007268F9"/>
    <w:rPr>
      <w:b/>
      <w:bCs/>
      <w:smallCaps/>
      <w:spacing w:val="5"/>
    </w:rPr>
  </w:style>
  <w:style w:type="table" w:styleId="Tabela-Siatka">
    <w:name w:val="Table Grid"/>
    <w:basedOn w:val="Standardowy"/>
    <w:rsid w:val="00A43F01"/>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3F0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3F01"/>
    <w:rPr>
      <w:rFonts w:ascii="Tahoma" w:eastAsia="Times New Roman" w:hAnsi="Tahoma" w:cs="Tahoma"/>
      <w:sz w:val="16"/>
      <w:szCs w:val="16"/>
      <w:lang w:eastAsia="en-US"/>
    </w:rPr>
  </w:style>
  <w:style w:type="character" w:customStyle="1" w:styleId="SingleTxtGChar">
    <w:name w:val="_ Single Txt_G Char"/>
    <w:basedOn w:val="Domylnaczcionkaakapitu"/>
    <w:link w:val="SingleTxtG"/>
    <w:locked/>
    <w:rsid w:val="00E67FF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8">
      <w:bodyDiv w:val="1"/>
      <w:marLeft w:val="0"/>
      <w:marRight w:val="0"/>
      <w:marTop w:val="0"/>
      <w:marBottom w:val="0"/>
      <w:divBdr>
        <w:top w:val="none" w:sz="0" w:space="0" w:color="auto"/>
        <w:left w:val="none" w:sz="0" w:space="0" w:color="auto"/>
        <w:bottom w:val="none" w:sz="0" w:space="0" w:color="auto"/>
        <w:right w:val="none" w:sz="0" w:space="0" w:color="auto"/>
      </w:divBdr>
    </w:div>
    <w:div w:id="272370941">
      <w:bodyDiv w:val="1"/>
      <w:marLeft w:val="0"/>
      <w:marRight w:val="0"/>
      <w:marTop w:val="0"/>
      <w:marBottom w:val="0"/>
      <w:divBdr>
        <w:top w:val="none" w:sz="0" w:space="0" w:color="auto"/>
        <w:left w:val="none" w:sz="0" w:space="0" w:color="auto"/>
        <w:bottom w:val="none" w:sz="0" w:space="0" w:color="auto"/>
        <w:right w:val="none" w:sz="0" w:space="0" w:color="auto"/>
      </w:divBdr>
    </w:div>
    <w:div w:id="645858506">
      <w:bodyDiv w:val="1"/>
      <w:marLeft w:val="0"/>
      <w:marRight w:val="0"/>
      <w:marTop w:val="0"/>
      <w:marBottom w:val="0"/>
      <w:divBdr>
        <w:top w:val="none" w:sz="0" w:space="0" w:color="auto"/>
        <w:left w:val="none" w:sz="0" w:space="0" w:color="auto"/>
        <w:bottom w:val="none" w:sz="0" w:space="0" w:color="auto"/>
        <w:right w:val="none" w:sz="0" w:space="0" w:color="auto"/>
      </w:divBdr>
    </w:div>
    <w:div w:id="734397055">
      <w:bodyDiv w:val="1"/>
      <w:marLeft w:val="0"/>
      <w:marRight w:val="0"/>
      <w:marTop w:val="0"/>
      <w:marBottom w:val="0"/>
      <w:divBdr>
        <w:top w:val="none" w:sz="0" w:space="0" w:color="auto"/>
        <w:left w:val="none" w:sz="0" w:space="0" w:color="auto"/>
        <w:bottom w:val="none" w:sz="0" w:space="0" w:color="auto"/>
        <w:right w:val="none" w:sz="0" w:space="0" w:color="auto"/>
      </w:divBdr>
    </w:div>
    <w:div w:id="775294586">
      <w:bodyDiv w:val="1"/>
      <w:marLeft w:val="0"/>
      <w:marRight w:val="0"/>
      <w:marTop w:val="0"/>
      <w:marBottom w:val="0"/>
      <w:divBdr>
        <w:top w:val="none" w:sz="0" w:space="0" w:color="auto"/>
        <w:left w:val="none" w:sz="0" w:space="0" w:color="auto"/>
        <w:bottom w:val="none" w:sz="0" w:space="0" w:color="auto"/>
        <w:right w:val="none" w:sz="0" w:space="0" w:color="auto"/>
      </w:divBdr>
    </w:div>
    <w:div w:id="815028024">
      <w:bodyDiv w:val="1"/>
      <w:marLeft w:val="0"/>
      <w:marRight w:val="0"/>
      <w:marTop w:val="0"/>
      <w:marBottom w:val="0"/>
      <w:divBdr>
        <w:top w:val="none" w:sz="0" w:space="0" w:color="auto"/>
        <w:left w:val="none" w:sz="0" w:space="0" w:color="auto"/>
        <w:bottom w:val="none" w:sz="0" w:space="0" w:color="auto"/>
        <w:right w:val="none" w:sz="0" w:space="0" w:color="auto"/>
      </w:divBdr>
    </w:div>
    <w:div w:id="1097410881">
      <w:bodyDiv w:val="1"/>
      <w:marLeft w:val="0"/>
      <w:marRight w:val="0"/>
      <w:marTop w:val="0"/>
      <w:marBottom w:val="0"/>
      <w:divBdr>
        <w:top w:val="none" w:sz="0" w:space="0" w:color="auto"/>
        <w:left w:val="none" w:sz="0" w:space="0" w:color="auto"/>
        <w:bottom w:val="none" w:sz="0" w:space="0" w:color="auto"/>
        <w:right w:val="none" w:sz="0" w:space="0" w:color="auto"/>
      </w:divBdr>
    </w:div>
    <w:div w:id="1114131857">
      <w:bodyDiv w:val="1"/>
      <w:marLeft w:val="0"/>
      <w:marRight w:val="0"/>
      <w:marTop w:val="0"/>
      <w:marBottom w:val="0"/>
      <w:divBdr>
        <w:top w:val="none" w:sz="0" w:space="0" w:color="auto"/>
        <w:left w:val="none" w:sz="0" w:space="0" w:color="auto"/>
        <w:bottom w:val="none" w:sz="0" w:space="0" w:color="auto"/>
        <w:right w:val="none" w:sz="0" w:space="0" w:color="auto"/>
      </w:divBdr>
    </w:div>
    <w:div w:id="1117600528">
      <w:bodyDiv w:val="1"/>
      <w:marLeft w:val="0"/>
      <w:marRight w:val="0"/>
      <w:marTop w:val="0"/>
      <w:marBottom w:val="0"/>
      <w:divBdr>
        <w:top w:val="none" w:sz="0" w:space="0" w:color="auto"/>
        <w:left w:val="none" w:sz="0" w:space="0" w:color="auto"/>
        <w:bottom w:val="none" w:sz="0" w:space="0" w:color="auto"/>
        <w:right w:val="none" w:sz="0" w:space="0" w:color="auto"/>
      </w:divBdr>
    </w:div>
    <w:div w:id="1131631469">
      <w:bodyDiv w:val="1"/>
      <w:marLeft w:val="0"/>
      <w:marRight w:val="0"/>
      <w:marTop w:val="0"/>
      <w:marBottom w:val="0"/>
      <w:divBdr>
        <w:top w:val="none" w:sz="0" w:space="0" w:color="auto"/>
        <w:left w:val="none" w:sz="0" w:space="0" w:color="auto"/>
        <w:bottom w:val="none" w:sz="0" w:space="0" w:color="auto"/>
        <w:right w:val="none" w:sz="0" w:space="0" w:color="auto"/>
      </w:divBdr>
    </w:div>
    <w:div w:id="1658075397">
      <w:bodyDiv w:val="1"/>
      <w:marLeft w:val="0"/>
      <w:marRight w:val="0"/>
      <w:marTop w:val="0"/>
      <w:marBottom w:val="0"/>
      <w:divBdr>
        <w:top w:val="none" w:sz="0" w:space="0" w:color="auto"/>
        <w:left w:val="none" w:sz="0" w:space="0" w:color="auto"/>
        <w:bottom w:val="none" w:sz="0" w:space="0" w:color="auto"/>
        <w:right w:val="none" w:sz="0" w:space="0" w:color="auto"/>
      </w:divBdr>
    </w:div>
    <w:div w:id="1842767740">
      <w:bodyDiv w:val="1"/>
      <w:marLeft w:val="0"/>
      <w:marRight w:val="0"/>
      <w:marTop w:val="0"/>
      <w:marBottom w:val="0"/>
      <w:divBdr>
        <w:top w:val="none" w:sz="0" w:space="0" w:color="auto"/>
        <w:left w:val="none" w:sz="0" w:space="0" w:color="auto"/>
        <w:bottom w:val="none" w:sz="0" w:space="0" w:color="auto"/>
        <w:right w:val="none" w:sz="0" w:space="0" w:color="auto"/>
      </w:divBdr>
    </w:div>
    <w:div w:id="2079132325">
      <w:bodyDiv w:val="1"/>
      <w:marLeft w:val="0"/>
      <w:marRight w:val="0"/>
      <w:marTop w:val="0"/>
      <w:marBottom w:val="0"/>
      <w:divBdr>
        <w:top w:val="none" w:sz="0" w:space="0" w:color="auto"/>
        <w:left w:val="none" w:sz="0" w:space="0" w:color="auto"/>
        <w:bottom w:val="none" w:sz="0" w:space="0" w:color="auto"/>
        <w:right w:val="none" w:sz="0" w:space="0" w:color="auto"/>
      </w:divBdr>
    </w:div>
    <w:div w:id="213093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5FD21-A205-4D5C-AFAD-0A98B9D3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7271</Words>
  <Characters>48644</Characters>
  <Application>Microsoft Office Word</Application>
  <DocSecurity>0</DocSecurity>
  <Lines>824</Lines>
  <Paragraphs>233</Paragraphs>
  <ScaleCrop>false</ScaleCrop>
  <Company/>
  <LinksUpToDate>false</LinksUpToDate>
  <CharactersWithSpaces>55682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2026-01-21T14:31:00Z</dcterms:created>
  <dcterms:modified xsi:type="dcterms:W3CDTF">2026-01-21T14:31:00Z</dcterms:modified>
</cp:coreProperties>
</file>