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6443" w14:textId="77777777" w:rsidR="00E04620" w:rsidRDefault="00F83A8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504EF1" wp14:editId="11F1454D">
                <wp:simplePos x="0" y="0"/>
                <wp:positionH relativeFrom="page">
                  <wp:posOffset>1114425</wp:posOffset>
                </wp:positionH>
                <wp:positionV relativeFrom="paragraph">
                  <wp:posOffset>1578610</wp:posOffset>
                </wp:positionV>
                <wp:extent cx="1027430" cy="4114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F9700" w14:textId="77777777" w:rsidR="00E04620" w:rsidRDefault="00F83A8A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 xml:space="preserve">RPW/29475/2026 P Data .-2026-04-07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HKiS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504EF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7.75pt;margin-top:124.3pt;width:80.9pt;height:32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ePbQEAANoCAAAOAAAAZHJzL2Uyb0RvYy54bWysUlFLwzAQfhf8DyHvru0cKmXtQMZEEBWm&#10;PyBNkzXQ5EIS1+7fe4ndJvomvly/3CXfffddl6tR92QvnFdgKlrMckqE4dAqs6vo+9vm6o4SH5hp&#10;WQ9GVPQgPF3VlxfLwZZiDh30rXAESYwvB1vRLgRbZpnnndDMz8AKg0UJTrOAR7fLWscGZNd9Ns/z&#10;m2wA11oHXHiP2fVXkdaJX0rBw4uUXgTSVxS1hRRdik2MWb1k5c4x2yk+yWB/UKGZMtj0RLVmgZEP&#10;p35RacUdeJBhxkFnIKXiIs2A0xT5j2m2HbMizYLmeHuyyf8fLX/eb+2rI2G8hxEXGA0ZrC89JuM8&#10;o3Q6flEpwTpaeDjZJsZAeHyUz28X11jiWFsUxeIu+ZqdX1vnw4MATSKoqMO1JLfY/skH7IhXj1di&#10;MwMb1fcxf5YSURibcdLXQHtA2f2jQTPiYo/AHUEzgSMNGpgaTcuOG/p+Ts3Ov2T9CQAA//8DAFBL&#10;AwQUAAYACAAAACEAPnijjOEAAAALAQAADwAAAGRycy9kb3ducmV2LnhtbEyPwU7DMAyG70i8Q2Qk&#10;bizdunWjNJ0mBCckRFcOHNPWa6M1Tmmyrbw95jRu/uVPvz9n28n24oyjN44UzGcRCKTaNYZaBZ/l&#10;68MGhA+aGt07QgU/6GGb395kOm3chQo870MruIR8qhV0IQyplL7u0Go/cwMS7w5utDpwHFvZjPrC&#10;5baXiyhKpNWG+EKnB3zusD7uT1bB7ouKF/P9Xn0Uh8KU5WNEb8lRqfu7afcEIuAUrjD86bM65OxU&#10;uRM1XvSc16sVowoWy00Cgok4XscgKh7m8RJknsn/P+S/AAAA//8DAFBLAQItABQABgAIAAAAIQC2&#10;gziS/gAAAOEBAAATAAAAAAAAAAAAAAAAAAAAAABbQ29udGVudF9UeXBlc10ueG1sUEsBAi0AFAAG&#10;AAgAAAAhADj9If/WAAAAlAEAAAsAAAAAAAAAAAAAAAAALwEAAF9yZWxzLy5yZWxzUEsBAi0AFAAG&#10;AAgAAAAhAET3N49tAQAA2gIAAA4AAAAAAAAAAAAAAAAALgIAAGRycy9lMm9Eb2MueG1sUEsBAi0A&#10;FAAGAAgAAAAhAD54o4zhAAAACwEAAA8AAAAAAAAAAAAAAAAAxwMAAGRycy9kb3ducmV2LnhtbFBL&#10;BQYAAAAABAAEAPMAAADVBAAAAAA=&#10;" filled="f" stroked="f">
                <v:textbox inset="0,0,0,0">
                  <w:txbxContent>
                    <w:p w14:paraId="7A8F9700" w14:textId="77777777" w:rsidR="00E04620" w:rsidRDefault="00F83A8A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 xml:space="preserve">RPW/29475/2026 P Data .-2026-04-07 </w:t>
                      </w:r>
                      <w:proofErr w:type="spellStart"/>
                      <w:r>
                        <w:rPr>
                          <w:rStyle w:val="Bodytext3"/>
                        </w:rPr>
                        <w:t>HKiS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FFC54F7" wp14:editId="3E547833">
                <wp:simplePos x="0" y="0"/>
                <wp:positionH relativeFrom="page">
                  <wp:posOffset>965200</wp:posOffset>
                </wp:positionH>
                <wp:positionV relativeFrom="paragraph">
                  <wp:posOffset>3770630</wp:posOffset>
                </wp:positionV>
                <wp:extent cx="600710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E0CD65" w14:textId="77777777" w:rsidR="00E04620" w:rsidRDefault="00F83A8A">
                            <w:pPr>
                              <w:pStyle w:val="Tekstpodstawowy"/>
                              <w:spacing w:after="0"/>
                            </w:pPr>
                            <w:r>
                              <w:rPr>
                                <w:rStyle w:val="TekstpodstawowyZnak"/>
                              </w:rPr>
                              <w:t>Fu</w:t>
                            </w:r>
                            <w:r>
                              <w:rPr>
                                <w:rStyle w:val="TekstpodstawowyZnak"/>
                              </w:rPr>
                              <w:t>n</w:t>
                            </w:r>
                            <w:r>
                              <w:rPr>
                                <w:rStyle w:val="TekstpodstawowyZnak"/>
                              </w:rPr>
                              <w:t>d</w:t>
                            </w:r>
                            <w:r>
                              <w:rPr>
                                <w:rStyle w:val="TekstpodstawowyZnak"/>
                              </w:rPr>
                              <w:t>a</w:t>
                            </w:r>
                            <w:r>
                              <w:rPr>
                                <w:rStyle w:val="TekstpodstawowyZnak"/>
                              </w:rPr>
                              <w:t>cja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FC54F7" id="Shape 3" o:spid="_x0000_s1027" type="#_x0000_t202" style="position:absolute;margin-left:76pt;margin-top:296.9pt;width:47.3pt;height:14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wdgEAAOwCAAAOAAAAZHJzL2Uyb0RvYy54bWysUttKxDAQfRf8h5B3t+2Cu1q2XZBlRRAV&#10;1A9I02QbSDIhidvu3zvpXtE38WU6mUnPnDkni+VgNNkKHxTYihaTnBJhObTKbir6+bG+uaMkRGZb&#10;psGKiu5EoMv6+mrRu1JMoQPdCk8QxIaydxXtYnRllgXeCcPCBJyw2JTgDYt49Jus9axHdKOzaZ7P&#10;sh586zxwEQJWV/smrUd8KQWPr1IGEYmuKHKLY/RjbFLM6gUrN565TvEDDfYHFoYpi0NPUCsWGfny&#10;6heUUdxDABknHEwGUiouxh1wmyL/sc17x5wYd0FxgjvJFP4Plr9s392bJ3F4gAENTIL0LpQBi2mf&#10;QXqTvsiUYB8l3J1kE0MkHIuzPJ8X2OHYKub38/w2oWTnn50P8VGAISmpqEdXRrHY9jnE/dXjlTTL&#10;wlppnepnJimLQzMQ1V6wbKDdIfke/auoxQdGiX6yKE+y+pj4Y9IckiMySjrSPNifPLs8j/PPj7T+&#10;BgAA//8DAFBLAwQUAAYACAAAACEA3pCRQN8AAAALAQAADwAAAGRycy9kb3ducmV2LnhtbEyPwU7D&#10;MBBE70j8g7VI3Kgd00YlxKkQgiOVWrhwc+Jtkja2I9tpw993OcFxtKPZ98rNbAd2xhB77xRkCwEM&#10;XeNN71oFX5/vD2tgMWln9OAdKvjBCJvq9qbUhfEXt8PzPrWMRlwstIIupbHgPDYdWh0XfkRHt4MP&#10;VieKoeUm6AuN24FLIXJude/oQ6dHfO2wOe0nq+DwsT0d36adOLZijd9ZwLnOtkrd380vz8ASzumv&#10;DL/4hA4VMdV+ciaygfJKkktSsHp6JAdqyGWeA6sV5FJmwKuS/3eorgAAAP//AwBQSwECLQAUAAYA&#10;CAAAACEAtoM4kv4AAADhAQAAEwAAAAAAAAAAAAAAAAAAAAAAW0NvbnRlbnRfVHlwZXNdLnhtbFBL&#10;AQItABQABgAIAAAAIQA4/SH/1gAAAJQBAAALAAAAAAAAAAAAAAAAAC8BAABfcmVscy8ucmVsc1BL&#10;AQItABQABgAIAAAAIQDGjEAwdgEAAOwCAAAOAAAAAAAAAAAAAAAAAC4CAABkcnMvZTJvRG9jLnht&#10;bFBLAQItABQABgAIAAAAIQDekJFA3wAAAAsBAAAPAAAAAAAAAAAAAAAAANADAABkcnMvZG93bnJl&#10;di54bWxQSwUGAAAAAAQABADzAAAA3AQAAAAA&#10;" filled="f" stroked="f">
                <v:textbox inset="0,0,0,0">
                  <w:txbxContent>
                    <w:p w14:paraId="42E0CD65" w14:textId="77777777" w:rsidR="00E04620" w:rsidRDefault="00F83A8A">
                      <w:pPr>
                        <w:pStyle w:val="Tekstpodstawowy"/>
                        <w:spacing w:after="0"/>
                      </w:pPr>
                      <w:r>
                        <w:rPr>
                          <w:rStyle w:val="TekstpodstawowyZnak"/>
                        </w:rPr>
                        <w:t>Fu</w:t>
                      </w:r>
                      <w:r>
                        <w:rPr>
                          <w:rStyle w:val="TekstpodstawowyZnak"/>
                        </w:rPr>
                        <w:t>n</w:t>
                      </w:r>
                      <w:r>
                        <w:rPr>
                          <w:rStyle w:val="TekstpodstawowyZnak"/>
                        </w:rPr>
                        <w:t>d</w:t>
                      </w:r>
                      <w:r>
                        <w:rPr>
                          <w:rStyle w:val="TekstpodstawowyZnak"/>
                        </w:rPr>
                        <w:t>a</w:t>
                      </w:r>
                      <w:r>
                        <w:rPr>
                          <w:rStyle w:val="TekstpodstawowyZnak"/>
                        </w:rPr>
                        <w:t>cja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1B349DE" w14:textId="77777777" w:rsidR="00E04620" w:rsidRDefault="00F83A8A">
      <w:pPr>
        <w:pStyle w:val="Bodytext2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99408BB" wp14:editId="4F1FBD5B">
            <wp:simplePos x="0" y="0"/>
            <wp:positionH relativeFrom="margin">
              <wp:posOffset>4373880</wp:posOffset>
            </wp:positionH>
            <wp:positionV relativeFrom="margin">
              <wp:posOffset>-109855</wp:posOffset>
            </wp:positionV>
            <wp:extent cx="1804670" cy="11766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467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2"/>
        </w:rPr>
        <w:t xml:space="preserve">MINISTERSTWO KLIMATU 1ŚROI </w:t>
      </w:r>
      <w:proofErr w:type="spellStart"/>
      <w:r>
        <w:rPr>
          <w:rStyle w:val="Bodytext2"/>
        </w:rPr>
        <w:t>iOWISKA</w:t>
      </w:r>
      <w:proofErr w:type="spellEnd"/>
      <w:r>
        <w:rPr>
          <w:rStyle w:val="Bodytext2"/>
        </w:rPr>
        <w:t xml:space="preserve"> </w:t>
      </w:r>
      <w:r>
        <w:rPr>
          <w:rStyle w:val="Bodytext2"/>
          <w:smallCaps/>
          <w:sz w:val="22"/>
          <w:szCs w:val="22"/>
          <w:u w:val="single"/>
        </w:rPr>
        <w:t xml:space="preserve">kancelaria </w:t>
      </w:r>
      <w:proofErr w:type="spellStart"/>
      <w:r>
        <w:rPr>
          <w:rStyle w:val="Bodytext2"/>
          <w:smallCaps/>
          <w:sz w:val="22"/>
          <w:szCs w:val="22"/>
          <w:u w:val="single"/>
        </w:rPr>
        <w:t>ogóli</w:t>
      </w:r>
      <w:proofErr w:type="spellEnd"/>
      <w:r>
        <w:rPr>
          <w:rStyle w:val="Bodytext2"/>
          <w:smallCaps/>
          <w:sz w:val="22"/>
          <w:szCs w:val="22"/>
        </w:rPr>
        <w:t xml:space="preserve"> </w:t>
      </w:r>
      <w:proofErr w:type="spellStart"/>
      <w:r>
        <w:rPr>
          <w:rStyle w:val="Bodytext2"/>
          <w:smallCaps/>
          <w:sz w:val="22"/>
          <w:szCs w:val="22"/>
        </w:rPr>
        <w:t>iios.w</w:t>
      </w:r>
      <w:proofErr w:type="spellEnd"/>
      <w:r>
        <w:rPr>
          <w:rStyle w:val="Bodytext2"/>
          <w:smallCaps/>
          <w:sz w:val="22"/>
          <w:szCs w:val="22"/>
        </w:rPr>
        <w:t xml:space="preserve"> </w:t>
      </w:r>
      <w:r>
        <w:rPr>
          <w:rStyle w:val="Bodytext2"/>
          <w:smallCaps/>
          <w:sz w:val="22"/>
          <w:szCs w:val="22"/>
          <w:lang w:val="en-US" w:eastAsia="en-US"/>
        </w:rPr>
        <w:t>aw.pl</w:t>
      </w:r>
    </w:p>
    <w:p w14:paraId="56256FF0" w14:textId="77777777" w:rsidR="00E04620" w:rsidRDefault="00F83A8A">
      <w:pPr>
        <w:pStyle w:val="Tekstpodstawowy"/>
        <w:spacing w:after="620"/>
        <w:ind w:right="540"/>
        <w:jc w:val="right"/>
      </w:pPr>
      <w:r>
        <w:rPr>
          <w:rStyle w:val="TekstpodstawowyZnak"/>
        </w:rPr>
        <w:t>Warszawa, dnia 8 kwietnia 2026 r.</w:t>
      </w:r>
    </w:p>
    <w:p w14:paraId="75441D0F" w14:textId="48E8AEDC" w:rsidR="00E04620" w:rsidRDefault="00F83A8A" w:rsidP="00104E1F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M</w:t>
      </w:r>
      <w:r w:rsidR="00104E1F">
        <w:rPr>
          <w:rStyle w:val="Heading1"/>
          <w:b/>
          <w:bCs/>
        </w:rPr>
        <w:t>i</w:t>
      </w:r>
      <w:r>
        <w:rPr>
          <w:rStyle w:val="Heading1"/>
          <w:b/>
          <w:bCs/>
        </w:rPr>
        <w:t xml:space="preserve">nisterstwo Klimatu i Środowiska </w:t>
      </w:r>
      <w:r>
        <w:rPr>
          <w:rStyle w:val="Heading1"/>
          <w:b/>
          <w:bCs/>
        </w:rPr>
        <w:t>ul. Wawelska 52/54 00-922 Warszawa</w:t>
      </w:r>
      <w:bookmarkEnd w:id="0"/>
    </w:p>
    <w:p w14:paraId="511BB53F" w14:textId="77777777" w:rsidR="00E04620" w:rsidRDefault="00F83A8A">
      <w:pPr>
        <w:pStyle w:val="Heading20"/>
        <w:keepNext/>
        <w:keepLines/>
        <w:spacing w:after="620"/>
      </w:pPr>
      <w:bookmarkStart w:id="1" w:name="bookmark2"/>
      <w:r>
        <w:rPr>
          <w:rStyle w:val="Heading2"/>
          <w:b/>
          <w:bCs/>
        </w:rPr>
        <w:t>Dotyczy: rewizji stosowania zasady bliskości (art. 20 ustawy o odpadach) w odniesieniu do odpadów medycznych</w:t>
      </w:r>
      <w:bookmarkEnd w:id="1"/>
    </w:p>
    <w:p w14:paraId="2F0501D6" w14:textId="77777777" w:rsidR="00E04620" w:rsidRDefault="00F83A8A">
      <w:pPr>
        <w:pStyle w:val="Tekstpodstawowy"/>
        <w:spacing w:after="320"/>
        <w:ind w:left="6200"/>
      </w:pPr>
      <w:r>
        <w:rPr>
          <w:rStyle w:val="TekstpodstawowyZnak"/>
          <w:i/>
          <w:iCs/>
        </w:rPr>
        <w:t xml:space="preserve">Szanowna Pani </w:t>
      </w:r>
      <w:proofErr w:type="spellStart"/>
      <w:r>
        <w:rPr>
          <w:rStyle w:val="TekstpodstawowyZnak"/>
          <w:i/>
          <w:iCs/>
        </w:rPr>
        <w:t>Ministro</w:t>
      </w:r>
      <w:proofErr w:type="spellEnd"/>
    </w:p>
    <w:p w14:paraId="6E244150" w14:textId="77777777" w:rsidR="00E04620" w:rsidRDefault="00F83A8A">
      <w:pPr>
        <w:pStyle w:val="Tekstpodstawowy"/>
        <w:spacing w:after="0"/>
        <w:ind w:right="660"/>
        <w:jc w:val="right"/>
      </w:pPr>
      <w:r>
        <w:rPr>
          <w:rStyle w:val="TekstpodstawowyZnak"/>
        </w:rPr>
        <w:t>z</w:t>
      </w:r>
      <w:r>
        <w:rPr>
          <w:rStyle w:val="TekstpodstawowyZnak"/>
        </w:rPr>
        <w:t>w</w:t>
      </w:r>
      <w:r>
        <w:rPr>
          <w:rStyle w:val="TekstpodstawowyZnak"/>
        </w:rPr>
        <w:t>raca się do</w:t>
      </w:r>
    </w:p>
    <w:p w14:paraId="7FEA7A57" w14:textId="77777777" w:rsidR="00E04620" w:rsidRDefault="00F83A8A">
      <w:pPr>
        <w:pStyle w:val="Tekstpodstawowy"/>
      </w:pPr>
      <w:r>
        <w:rPr>
          <w:rStyle w:val="TekstpodstawowyZnak"/>
        </w:rPr>
        <w:t>Państwa w sprawie, która - choć pozornie wynika z przepisu technicznego - ma bardzo konkretne i odczuwalne skutki dla:</w:t>
      </w:r>
    </w:p>
    <w:p w14:paraId="61646B8A" w14:textId="77777777" w:rsidR="00E04620" w:rsidRDefault="00F83A8A">
      <w:pPr>
        <w:pStyle w:val="Tekstpodstawowy"/>
        <w:numPr>
          <w:ilvl w:val="0"/>
          <w:numId w:val="1"/>
        </w:numPr>
        <w:tabs>
          <w:tab w:val="left" w:pos="719"/>
        </w:tabs>
        <w:ind w:firstLine="360"/>
      </w:pPr>
      <w:r>
        <w:rPr>
          <w:rStyle w:val="TekstpodstawowyZnak"/>
        </w:rPr>
        <w:t>budżetów szpitali,</w:t>
      </w:r>
    </w:p>
    <w:p w14:paraId="647E8AC9" w14:textId="77777777" w:rsidR="00E04620" w:rsidRDefault="00F83A8A">
      <w:pPr>
        <w:pStyle w:val="Tekstpodstawowy"/>
        <w:numPr>
          <w:ilvl w:val="0"/>
          <w:numId w:val="1"/>
        </w:numPr>
        <w:tabs>
          <w:tab w:val="left" w:pos="719"/>
        </w:tabs>
        <w:ind w:firstLine="360"/>
      </w:pPr>
      <w:r>
        <w:rPr>
          <w:rStyle w:val="TekstpodstawowyZnak"/>
        </w:rPr>
        <w:t>efektywności systemu ochrony zdrowia,</w:t>
      </w:r>
    </w:p>
    <w:p w14:paraId="659F324F" w14:textId="77777777" w:rsidR="00E04620" w:rsidRDefault="00F83A8A">
      <w:pPr>
        <w:pStyle w:val="Tekstpodstawowy"/>
        <w:numPr>
          <w:ilvl w:val="0"/>
          <w:numId w:val="1"/>
        </w:numPr>
        <w:tabs>
          <w:tab w:val="left" w:pos="719"/>
        </w:tabs>
        <w:ind w:firstLine="360"/>
      </w:pPr>
      <w:r>
        <w:rPr>
          <w:rStyle w:val="TekstpodstawowyZnak"/>
        </w:rPr>
        <w:t>racjonalności wydatkowania środków publicznych.</w:t>
      </w:r>
    </w:p>
    <w:p w14:paraId="2759F31E" w14:textId="77777777" w:rsidR="00E04620" w:rsidRDefault="00F83A8A">
      <w:pPr>
        <w:pStyle w:val="Tekstpodstawowy"/>
        <w:spacing w:after="320"/>
      </w:pPr>
      <w:r>
        <w:rPr>
          <w:rStyle w:val="TekstpodstawowyZnak"/>
        </w:rPr>
        <w:t>Obowiązujący sposób stosowania zasady bliskości prowadzi dziś do rezultatów, które trudno uznać za zgodne zarówno z celami regulacji środowiskowych, jak i z podstawowymi zasadami konkurencji.</w:t>
      </w:r>
    </w:p>
    <w:p w14:paraId="40D08763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49"/>
        </w:tabs>
      </w:pPr>
      <w:bookmarkStart w:id="2" w:name="bookmark4"/>
      <w:r>
        <w:rPr>
          <w:rStyle w:val="Heading2"/>
          <w:b/>
          <w:bCs/>
        </w:rPr>
        <w:t>Problem leży między przepisem a praktyką.</w:t>
      </w:r>
      <w:bookmarkEnd w:id="2"/>
    </w:p>
    <w:p w14:paraId="1AE6B15E" w14:textId="77777777" w:rsidR="00E04620" w:rsidRDefault="00F83A8A">
      <w:pPr>
        <w:pStyle w:val="Tekstpodstawowy"/>
      </w:pPr>
      <w:r>
        <w:rPr>
          <w:rStyle w:val="TekstpodstawowyZnak"/>
        </w:rPr>
        <w:t>Zasada bliskości, wyrażona w art. 20 ustawy o odpadach, ma w założeniu ograniczać transport odpadów i wspierać racjonalne gospodarowanie nimi. Jednak jej obecna interpretacja prowadzi do sytuacji, w której:</w:t>
      </w:r>
    </w:p>
    <w:p w14:paraId="1F2F12CE" w14:textId="77777777" w:rsidR="00E04620" w:rsidRDefault="00F83A8A">
      <w:pPr>
        <w:pStyle w:val="Tekstpodstawowy"/>
        <w:numPr>
          <w:ilvl w:val="0"/>
          <w:numId w:val="3"/>
        </w:numPr>
        <w:tabs>
          <w:tab w:val="left" w:pos="719"/>
        </w:tabs>
        <w:ind w:firstLine="360"/>
      </w:pPr>
      <w:r>
        <w:rPr>
          <w:rStyle w:val="TekstpodstawowyZnak"/>
        </w:rPr>
        <w:t xml:space="preserve">rynek został </w:t>
      </w:r>
      <w:r>
        <w:rPr>
          <w:rStyle w:val="TekstpodstawowyZnak"/>
          <w:b/>
          <w:bCs/>
        </w:rPr>
        <w:t>podzielony administracyjnie,</w:t>
      </w:r>
    </w:p>
    <w:p w14:paraId="6BF13064" w14:textId="77777777" w:rsidR="00E04620" w:rsidRDefault="00F83A8A">
      <w:pPr>
        <w:pStyle w:val="Tekstpodstawowy"/>
        <w:numPr>
          <w:ilvl w:val="0"/>
          <w:numId w:val="3"/>
        </w:numPr>
        <w:tabs>
          <w:tab w:val="left" w:pos="719"/>
        </w:tabs>
        <w:ind w:firstLine="360"/>
      </w:pPr>
      <w:r>
        <w:rPr>
          <w:rStyle w:val="TekstpodstawowyZnak"/>
        </w:rPr>
        <w:t xml:space="preserve">konkurencja została </w:t>
      </w:r>
      <w:r>
        <w:rPr>
          <w:rStyle w:val="TekstpodstawowyZnak"/>
          <w:b/>
          <w:bCs/>
        </w:rPr>
        <w:t>istotnie ograniczona,</w:t>
      </w:r>
    </w:p>
    <w:p w14:paraId="1EDA5814" w14:textId="77777777" w:rsidR="00E04620" w:rsidRDefault="00F83A8A">
      <w:pPr>
        <w:pStyle w:val="Tekstpodstawowy"/>
        <w:numPr>
          <w:ilvl w:val="0"/>
          <w:numId w:val="3"/>
        </w:numPr>
        <w:tabs>
          <w:tab w:val="left" w:pos="719"/>
        </w:tabs>
        <w:ind w:firstLine="360"/>
      </w:pPr>
      <w:r>
        <w:rPr>
          <w:rStyle w:val="TekstpodstawowyZnak"/>
        </w:rPr>
        <w:t xml:space="preserve">ceny usług przestały być wynikiem </w:t>
      </w:r>
      <w:r>
        <w:rPr>
          <w:rStyle w:val="TekstpodstawowyZnak"/>
          <w:b/>
          <w:bCs/>
        </w:rPr>
        <w:t>konkurencji i rywalizacji.</w:t>
      </w:r>
    </w:p>
    <w:p w14:paraId="3971B289" w14:textId="77777777" w:rsidR="00E04620" w:rsidRDefault="00F83A8A">
      <w:pPr>
        <w:pStyle w:val="Tekstpodstawowy"/>
        <w:spacing w:after="320"/>
      </w:pPr>
      <w:r>
        <w:rPr>
          <w:rStyle w:val="TekstpodstawowyZnak"/>
        </w:rPr>
        <w:t>W efekcie powstaje system, w którym wykonawcy nie konkurują efektywnością, lecz funkcjonują w przypisanych im obszarach administracyjnych.</w:t>
      </w:r>
    </w:p>
    <w:p w14:paraId="59DAFF3E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58"/>
        </w:tabs>
      </w:pPr>
      <w:bookmarkStart w:id="3" w:name="bookmark6"/>
      <w:r>
        <w:rPr>
          <w:rStyle w:val="Heading2"/>
          <w:b/>
          <w:bCs/>
        </w:rPr>
        <w:t>Różnice, których nie da się uzasadnić kosztami</w:t>
      </w:r>
      <w:bookmarkEnd w:id="3"/>
    </w:p>
    <w:p w14:paraId="417EE6AF" w14:textId="77777777" w:rsidR="00E04620" w:rsidRDefault="00F83A8A">
      <w:pPr>
        <w:pStyle w:val="Tekstpodstawowy"/>
      </w:pPr>
      <w:r>
        <w:rPr>
          <w:rStyle w:val="TekstpodstawowyZnak"/>
        </w:rPr>
        <w:t>Analiza rzeczywistych postępowań przetargowych prowadzi do jednoznacznych wniosków:</w:t>
      </w:r>
    </w:p>
    <w:p w14:paraId="3C649666" w14:textId="77777777" w:rsidR="00E04620" w:rsidRDefault="00F83A8A">
      <w:pPr>
        <w:pStyle w:val="Tekstpodstawowy"/>
      </w:pPr>
      <w:r>
        <w:rPr>
          <w:rStyle w:val="TekstpodstawowyZnak"/>
          <w:b/>
          <w:bCs/>
        </w:rPr>
        <w:t>W województwach z ograniczoną konkurencją (np. mazowieckie):</w:t>
      </w:r>
    </w:p>
    <w:p w14:paraId="79EAA430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9"/>
        </w:tabs>
        <w:ind w:firstLine="360"/>
      </w:pPr>
      <w:r>
        <w:rPr>
          <w:rStyle w:val="TekstpodstawowyZnak"/>
        </w:rPr>
        <w:t xml:space="preserve">w większości postępowań występuje </w:t>
      </w:r>
      <w:r>
        <w:rPr>
          <w:rStyle w:val="TekstpodstawowyZnak"/>
          <w:b/>
          <w:bCs/>
        </w:rPr>
        <w:t>jedna oferta,</w:t>
      </w:r>
    </w:p>
    <w:p w14:paraId="39A9BD2C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9"/>
        </w:tabs>
        <w:ind w:firstLine="360"/>
      </w:pPr>
      <w:r>
        <w:rPr>
          <w:rStyle w:val="TekstpodstawowyZnak"/>
        </w:rPr>
        <w:t xml:space="preserve">ceny utrzymują się na poziomie </w:t>
      </w:r>
      <w:r>
        <w:rPr>
          <w:rStyle w:val="TekstpodstawowyZnak"/>
          <w:b/>
          <w:bCs/>
        </w:rPr>
        <w:t>11,99-12,99 zł/kg,</w:t>
      </w:r>
    </w:p>
    <w:p w14:paraId="3FCB2504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9"/>
        </w:tabs>
        <w:ind w:firstLine="360"/>
      </w:pPr>
      <w:r>
        <w:rPr>
          <w:rStyle w:val="TekstpodstawowyZnak"/>
        </w:rPr>
        <w:t>brak realnej presji konkurencyjnej.</w:t>
      </w:r>
    </w:p>
    <w:p w14:paraId="6F57D0BC" w14:textId="77777777" w:rsidR="00E04620" w:rsidRDefault="00F83A8A">
      <w:pPr>
        <w:pStyle w:val="Tekstpodstawowy"/>
      </w:pPr>
      <w:r>
        <w:rPr>
          <w:rStyle w:val="TekstpodstawowyZnak"/>
          <w:b/>
          <w:bCs/>
        </w:rPr>
        <w:t>W województwa z konkurencją (np. lubelskie):</w:t>
      </w:r>
    </w:p>
    <w:p w14:paraId="16EFA4AD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9"/>
        </w:tabs>
        <w:ind w:firstLine="360"/>
        <w:sectPr w:rsidR="00E04620">
          <w:pgSz w:w="11900" w:h="16840"/>
          <w:pgMar w:top="488" w:right="833" w:bottom="488" w:left="785" w:header="60" w:footer="60" w:gutter="0"/>
          <w:pgNumType w:start="1"/>
          <w:cols w:space="720"/>
          <w:noEndnote/>
          <w:docGrid w:linePitch="360"/>
        </w:sectPr>
      </w:pPr>
      <w:r>
        <w:rPr>
          <w:rStyle w:val="TekstpodstawowyZnak"/>
          <w:b/>
          <w:bCs/>
        </w:rPr>
        <w:t>występuje kilka ofert w przetargach (minimum 3-4),</w:t>
      </w:r>
    </w:p>
    <w:p w14:paraId="028D3560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lastRenderedPageBreak/>
        <w:t xml:space="preserve">ceny na utrzymują się na poziomie </w:t>
      </w:r>
      <w:r>
        <w:rPr>
          <w:rStyle w:val="TekstpodstawowyZnak"/>
          <w:b/>
          <w:bCs/>
        </w:rPr>
        <w:t>2,80-3,95 zł/kg,</w:t>
      </w:r>
    </w:p>
    <w:p w14:paraId="7E456403" w14:textId="77777777" w:rsidR="00E04620" w:rsidRDefault="00F83A8A">
      <w:pPr>
        <w:pStyle w:val="Tekstpodstawowy"/>
        <w:numPr>
          <w:ilvl w:val="0"/>
          <w:numId w:val="4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wykonawcy realnie konkurują między sobą.</w:t>
      </w:r>
    </w:p>
    <w:p w14:paraId="471AB383" w14:textId="77777777" w:rsidR="00E04620" w:rsidRDefault="00F83A8A">
      <w:pPr>
        <w:pStyle w:val="Tekstpodstawowy"/>
        <w:spacing w:after="0" w:line="283" w:lineRule="auto"/>
      </w:pPr>
      <w:r>
        <w:rPr>
          <w:rStyle w:val="TekstpodstawowyZnak"/>
        </w:rPr>
        <w:t>Dane pochodzą z konkretnych postępowań przetargowych .</w:t>
      </w:r>
    </w:p>
    <w:p w14:paraId="66659310" w14:textId="77777777" w:rsidR="00E04620" w:rsidRDefault="00F83A8A">
      <w:pPr>
        <w:pStyle w:val="Tekstpodstawowy"/>
        <w:spacing w:after="300"/>
      </w:pPr>
      <w:r>
        <w:rPr>
          <w:rStyle w:val="TekstpodstawowyZnak"/>
          <w:b/>
          <w:bCs/>
        </w:rPr>
        <w:t>Różnice cen sięgają więc 300-400%! I nie wynikają one z technologii ani kosztów. Są narzucone przez system!</w:t>
      </w:r>
    </w:p>
    <w:p w14:paraId="61C7AAEC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54"/>
        </w:tabs>
        <w:spacing w:after="0" w:line="283" w:lineRule="auto"/>
      </w:pPr>
      <w:bookmarkStart w:id="4" w:name="bookmark8"/>
      <w:r>
        <w:rPr>
          <w:rStyle w:val="Heading2"/>
          <w:b/>
          <w:bCs/>
        </w:rPr>
        <w:t>Zasada bliskości tworzy monopol.</w:t>
      </w:r>
      <w:bookmarkEnd w:id="4"/>
    </w:p>
    <w:p w14:paraId="43F4FEF8" w14:textId="77777777" w:rsidR="00E04620" w:rsidRDefault="00F83A8A">
      <w:pPr>
        <w:pStyle w:val="Tekstpodstawowy"/>
        <w:spacing w:after="0" w:line="283" w:lineRule="auto"/>
      </w:pPr>
      <w:r>
        <w:rPr>
          <w:rStyle w:val="TekstpodstawowyZnak"/>
        </w:rPr>
        <w:t>W praktyce obserwujemy powtarzalny schemat:</w:t>
      </w:r>
    </w:p>
    <w:p w14:paraId="28E644C4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Na określonym obszarze działa ograniczona liczba instalacji (często jedna),</w:t>
      </w:r>
    </w:p>
    <w:p w14:paraId="24E8D06C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dostęp do rynku dla innych podmiotów jest utrudniony lub wręcz niemożliwy,</w:t>
      </w:r>
    </w:p>
    <w:p w14:paraId="12908213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przetargi kończą się na jednej ofercie,</w:t>
      </w:r>
    </w:p>
    <w:p w14:paraId="4CDAC747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ceny stabilizują się na wysokim poziomie.</w:t>
      </w:r>
    </w:p>
    <w:p w14:paraId="001BC75D" w14:textId="77777777" w:rsidR="00E04620" w:rsidRDefault="00F83A8A">
      <w:pPr>
        <w:pStyle w:val="Tekstpodstawowy"/>
        <w:spacing w:after="0" w:line="283" w:lineRule="auto"/>
      </w:pPr>
      <w:r>
        <w:rPr>
          <w:rStyle w:val="TekstpodstawowyZnak"/>
        </w:rPr>
        <w:t>W takich warunkach:</w:t>
      </w:r>
    </w:p>
    <w:p w14:paraId="44BBE2B9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przetarg nie spełnia funkcji konkurencyjnej,</w:t>
      </w:r>
    </w:p>
    <w:p w14:paraId="76F5A5ED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0" w:line="283" w:lineRule="auto"/>
        <w:ind w:firstLine="360"/>
        <w:jc w:val="both"/>
      </w:pPr>
      <w:r>
        <w:rPr>
          <w:rStyle w:val="TekstpodstawowyZnak"/>
        </w:rPr>
        <w:t>cena nie jest weryfikowana przez rynek,</w:t>
      </w:r>
    </w:p>
    <w:p w14:paraId="48EB71B4" w14:textId="77777777" w:rsidR="00E04620" w:rsidRDefault="00F83A8A">
      <w:pPr>
        <w:pStyle w:val="Tekstpodstawowy"/>
        <w:numPr>
          <w:ilvl w:val="0"/>
          <w:numId w:val="5"/>
        </w:numPr>
        <w:tabs>
          <w:tab w:val="left" w:pos="718"/>
        </w:tabs>
        <w:spacing w:after="300" w:line="283" w:lineRule="auto"/>
        <w:ind w:firstLine="360"/>
      </w:pPr>
      <w:r>
        <w:rPr>
          <w:rStyle w:val="TekstpodstawowyZnak"/>
        </w:rPr>
        <w:t>system generuje nadmierne i zupełnie zbędne koszty.</w:t>
      </w:r>
    </w:p>
    <w:p w14:paraId="0B75E2EE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63"/>
        </w:tabs>
        <w:spacing w:after="0" w:line="283" w:lineRule="auto"/>
      </w:pPr>
      <w:bookmarkStart w:id="5" w:name="bookmark10"/>
      <w:r>
        <w:rPr>
          <w:rStyle w:val="Heading2"/>
          <w:b/>
          <w:bCs/>
        </w:rPr>
        <w:t>Paradoks systemowy - „bliżej” nie znaczy „racjonalniej” i „taniej”</w:t>
      </w:r>
      <w:bookmarkEnd w:id="5"/>
    </w:p>
    <w:p w14:paraId="448F8473" w14:textId="77777777" w:rsidR="00E04620" w:rsidRDefault="00F83A8A">
      <w:pPr>
        <w:pStyle w:val="Tekstpodstawowy"/>
        <w:spacing w:after="0" w:line="283" w:lineRule="auto"/>
      </w:pPr>
      <w:r>
        <w:rPr>
          <w:rStyle w:val="TekstpodstawowyZnak"/>
        </w:rPr>
        <w:t>Obecne podejście prowadzi do sytuacji, w której:</w:t>
      </w:r>
    </w:p>
    <w:p w14:paraId="50D90E43" w14:textId="77777777" w:rsidR="00E04620" w:rsidRDefault="00F83A8A">
      <w:pPr>
        <w:pStyle w:val="Tekstpodstawowy"/>
        <w:numPr>
          <w:ilvl w:val="0"/>
          <w:numId w:val="6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 xml:space="preserve">instalacja położona </w:t>
      </w:r>
      <w:r>
        <w:rPr>
          <w:rStyle w:val="TekstpodstawowyZnak"/>
          <w:b/>
          <w:bCs/>
        </w:rPr>
        <w:t xml:space="preserve">bliżej w sensie odległości transportu </w:t>
      </w:r>
      <w:r>
        <w:rPr>
          <w:rStyle w:val="TekstpodstawowyZnak"/>
        </w:rPr>
        <w:t>może być wykluczona,</w:t>
      </w:r>
    </w:p>
    <w:p w14:paraId="3204FC0E" w14:textId="77777777" w:rsidR="00E04620" w:rsidRDefault="00F83A8A">
      <w:pPr>
        <w:pStyle w:val="Tekstpodstawowy"/>
        <w:numPr>
          <w:ilvl w:val="0"/>
          <w:numId w:val="6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>decydujące znaczenie ma tutaj administracyjna granica województwa,</w:t>
      </w:r>
    </w:p>
    <w:p w14:paraId="04466527" w14:textId="77777777" w:rsidR="00E04620" w:rsidRDefault="00F83A8A">
      <w:pPr>
        <w:pStyle w:val="Tekstpodstawowy"/>
        <w:numPr>
          <w:ilvl w:val="0"/>
          <w:numId w:val="6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>ignorowane są:</w:t>
      </w:r>
    </w:p>
    <w:p w14:paraId="1BA34843" w14:textId="77777777" w:rsidR="00E04620" w:rsidRDefault="00F83A8A">
      <w:pPr>
        <w:pStyle w:val="Tekstpodstawowy"/>
        <w:spacing w:after="0" w:line="283" w:lineRule="auto"/>
        <w:ind w:left="1080"/>
      </w:pPr>
      <w:r>
        <w:rPr>
          <w:rStyle w:val="TekstpodstawowyZnak"/>
        </w:rPr>
        <w:t>o czas transportu, o infrastruktura drogowa, o rzeczywiste oddziaływanie środowiskowe.</w:t>
      </w:r>
    </w:p>
    <w:p w14:paraId="6217E391" w14:textId="77777777" w:rsidR="00E04620" w:rsidRDefault="00F83A8A">
      <w:pPr>
        <w:pStyle w:val="Tekstpodstawowy"/>
        <w:spacing w:after="300" w:line="283" w:lineRule="auto"/>
      </w:pPr>
      <w:r>
        <w:rPr>
          <w:rStyle w:val="TekstpodstawowyZnak"/>
        </w:rPr>
        <w:t>W efekcie system przestaje realizować własne cele.</w:t>
      </w:r>
    </w:p>
    <w:p w14:paraId="4982187A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54"/>
        </w:tabs>
        <w:spacing w:after="0" w:line="283" w:lineRule="auto"/>
      </w:pPr>
      <w:bookmarkStart w:id="6" w:name="bookmark12"/>
      <w:r>
        <w:rPr>
          <w:rStyle w:val="Heading2"/>
          <w:b/>
          <w:bCs/>
        </w:rPr>
        <w:t>Co mówi prawo - i czego nie mówi</w:t>
      </w:r>
      <w:bookmarkEnd w:id="6"/>
    </w:p>
    <w:p w14:paraId="1EF1E241" w14:textId="77777777" w:rsidR="00E04620" w:rsidRDefault="00F83A8A">
      <w:pPr>
        <w:pStyle w:val="Tekstpodstawowy"/>
        <w:spacing w:after="0"/>
      </w:pPr>
      <w:r>
        <w:rPr>
          <w:rStyle w:val="TekstpodstawowyZnak"/>
        </w:rPr>
        <w:t>Zasada bliskości wynika z art. 16 dyrektywy 2008/98/WE.</w:t>
      </w:r>
    </w:p>
    <w:p w14:paraId="40819A99" w14:textId="77777777" w:rsidR="00E04620" w:rsidRDefault="00F83A8A">
      <w:pPr>
        <w:pStyle w:val="Tekstpodstawowy"/>
        <w:spacing w:after="0"/>
      </w:pPr>
      <w:r>
        <w:rPr>
          <w:rStyle w:val="TekstpodstawowyZnak"/>
        </w:rPr>
        <w:t>Jednak:</w:t>
      </w:r>
    </w:p>
    <w:p w14:paraId="4714C842" w14:textId="77777777" w:rsidR="00E04620" w:rsidRDefault="00F83A8A">
      <w:pPr>
        <w:pStyle w:val="Tekstpodstawowy"/>
        <w:numPr>
          <w:ilvl w:val="0"/>
          <w:numId w:val="7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 xml:space="preserve">dyrektywa mówi o </w:t>
      </w:r>
      <w:r>
        <w:rPr>
          <w:rStyle w:val="TekstpodstawowyZnak"/>
          <w:b/>
          <w:bCs/>
        </w:rPr>
        <w:t xml:space="preserve">najbliższej </w:t>
      </w:r>
      <w:r>
        <w:rPr>
          <w:rStyle w:val="TekstpodstawowyZnak"/>
          <w:b/>
          <w:bCs/>
          <w:u w:val="single"/>
        </w:rPr>
        <w:t>odpowiedniej</w:t>
      </w:r>
      <w:r>
        <w:rPr>
          <w:rStyle w:val="TekstpodstawowyZnak"/>
          <w:b/>
          <w:bCs/>
        </w:rPr>
        <w:t xml:space="preserve"> instalacji,</w:t>
      </w:r>
    </w:p>
    <w:p w14:paraId="03535C4E" w14:textId="77777777" w:rsidR="00E04620" w:rsidRDefault="00F83A8A">
      <w:pPr>
        <w:pStyle w:val="Tekstpodstawowy"/>
        <w:numPr>
          <w:ilvl w:val="0"/>
          <w:numId w:val="7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>w żadnym razie nie wymaga organizowania systemu w granicach województw.</w:t>
      </w:r>
    </w:p>
    <w:p w14:paraId="3008C506" w14:textId="77777777" w:rsidR="00E04620" w:rsidRDefault="00F83A8A">
      <w:pPr>
        <w:pStyle w:val="Tekstpodstawowy"/>
        <w:spacing w:after="0" w:line="283" w:lineRule="auto"/>
        <w:jc w:val="both"/>
      </w:pPr>
      <w:r>
        <w:rPr>
          <w:rStyle w:val="TekstpodstawowyZnak"/>
        </w:rPr>
        <w:t>Co więcej:</w:t>
      </w:r>
    </w:p>
    <w:p w14:paraId="5B7B42DC" w14:textId="77777777" w:rsidR="00E04620" w:rsidRDefault="00F83A8A">
      <w:pPr>
        <w:pStyle w:val="Tekstpodstawowy"/>
        <w:numPr>
          <w:ilvl w:val="0"/>
          <w:numId w:val="7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>prawo unijne wymaga proporcjonalności i niedyskryminowania podmiotów,</w:t>
      </w:r>
    </w:p>
    <w:p w14:paraId="22C0CDF0" w14:textId="77777777" w:rsidR="00E04620" w:rsidRDefault="00F83A8A">
      <w:pPr>
        <w:pStyle w:val="Tekstpodstawowy"/>
        <w:numPr>
          <w:ilvl w:val="0"/>
          <w:numId w:val="7"/>
        </w:numPr>
        <w:tabs>
          <w:tab w:val="left" w:pos="718"/>
        </w:tabs>
        <w:spacing w:after="0" w:line="283" w:lineRule="auto"/>
        <w:ind w:firstLine="360"/>
      </w:pPr>
      <w:r>
        <w:rPr>
          <w:rStyle w:val="TekstpodstawowyZnak"/>
        </w:rPr>
        <w:t>nie dopuszcza rozwiązań prowadzących do sztucznego ograniczania rynku.</w:t>
      </w:r>
    </w:p>
    <w:p w14:paraId="59A925C3" w14:textId="77777777" w:rsidR="00E04620" w:rsidRDefault="00F83A8A">
      <w:pPr>
        <w:pStyle w:val="Tekstpodstawowy"/>
        <w:spacing w:after="0" w:line="283" w:lineRule="auto"/>
      </w:pPr>
      <w:r>
        <w:rPr>
          <w:rStyle w:val="TekstpodstawowyZnak"/>
        </w:rPr>
        <w:t>Również na gruncie krajowym:</w:t>
      </w:r>
    </w:p>
    <w:p w14:paraId="491A7ECF" w14:textId="77777777" w:rsidR="00E04620" w:rsidRDefault="00F83A8A">
      <w:pPr>
        <w:pStyle w:val="Tekstpodstawowy"/>
        <w:numPr>
          <w:ilvl w:val="0"/>
          <w:numId w:val="7"/>
        </w:numPr>
        <w:tabs>
          <w:tab w:val="left" w:pos="718"/>
        </w:tabs>
        <w:spacing w:after="0"/>
        <w:ind w:firstLine="360"/>
      </w:pPr>
      <w:r>
        <w:rPr>
          <w:rStyle w:val="TekstpodstawowyZnak"/>
        </w:rPr>
        <w:t>orzecznictwo KIO (m.in. KIO 690/22, KIO 1966/22) jasno wskazuje, że</w:t>
      </w:r>
    </w:p>
    <w:p w14:paraId="187FA44B" w14:textId="77777777" w:rsidR="00E04620" w:rsidRDefault="00F83A8A">
      <w:pPr>
        <w:pStyle w:val="Tekstpodstawowy"/>
        <w:spacing w:after="0"/>
        <w:ind w:left="720"/>
      </w:pPr>
      <w:r>
        <w:rPr>
          <w:rStyle w:val="TekstpodstawowyZnak"/>
        </w:rPr>
        <w:t xml:space="preserve">zasada bliskości </w:t>
      </w:r>
      <w:r>
        <w:rPr>
          <w:rStyle w:val="TekstpodstawowyZnak"/>
          <w:b/>
          <w:bCs/>
        </w:rPr>
        <w:t xml:space="preserve">nie ma charakteru bezwzględnego </w:t>
      </w:r>
      <w:r>
        <w:rPr>
          <w:rStyle w:val="TekstpodstawowyZnak"/>
        </w:rPr>
        <w:t>i musi być równoważona zasadą konkurencji.</w:t>
      </w:r>
    </w:p>
    <w:p w14:paraId="73CE8398" w14:textId="77777777" w:rsidR="00E04620" w:rsidRDefault="00F83A8A">
      <w:pPr>
        <w:pStyle w:val="Tekstpodstawowy"/>
        <w:spacing w:after="160" w:line="283" w:lineRule="auto"/>
      </w:pPr>
      <w:r>
        <w:rPr>
          <w:rStyle w:val="TekstpodstawowyZnak"/>
        </w:rPr>
        <w:t>Obecna praktyka idzie znacznie dalej, niż określa to zarówno prawo unijne, jak i krajowe.</w:t>
      </w:r>
    </w:p>
    <w:p w14:paraId="549B60D1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58"/>
        </w:tabs>
      </w:pPr>
      <w:bookmarkStart w:id="7" w:name="bookmark14"/>
      <w:r>
        <w:rPr>
          <w:rStyle w:val="Heading2"/>
          <w:b/>
          <w:bCs/>
        </w:rPr>
        <w:t>Ile to kosztuje - realne skutki dla systemu</w:t>
      </w:r>
      <w:bookmarkEnd w:id="7"/>
    </w:p>
    <w:p w14:paraId="67DE22D7" w14:textId="77777777" w:rsidR="00E04620" w:rsidRDefault="00F83A8A">
      <w:pPr>
        <w:pStyle w:val="Tekstpodstawowy"/>
      </w:pPr>
      <w:r>
        <w:rPr>
          <w:rStyle w:val="TekstpodstawowyZnak"/>
        </w:rPr>
        <w:t>Różnice cenowe przekładają się bezpośrednio na koszty systemowe.</w:t>
      </w:r>
    </w:p>
    <w:p w14:paraId="4FEB880B" w14:textId="77777777" w:rsidR="00E04620" w:rsidRDefault="00F83A8A">
      <w:pPr>
        <w:pStyle w:val="Tekstpodstawowy"/>
      </w:pPr>
      <w:r>
        <w:rPr>
          <w:rStyle w:val="TekstpodstawowyZnak"/>
        </w:rPr>
        <w:t>Przy założeniu:</w:t>
      </w:r>
    </w:p>
    <w:p w14:paraId="19CEE417" w14:textId="77777777" w:rsidR="00E04620" w:rsidRDefault="00F83A8A">
      <w:pPr>
        <w:pStyle w:val="Tekstpodstawowy"/>
        <w:numPr>
          <w:ilvl w:val="0"/>
          <w:numId w:val="8"/>
        </w:numPr>
        <w:tabs>
          <w:tab w:val="left" w:pos="721"/>
        </w:tabs>
        <w:ind w:firstLine="360"/>
      </w:pPr>
      <w:r>
        <w:rPr>
          <w:rStyle w:val="TekstpodstawowyZnak"/>
        </w:rPr>
        <w:lastRenderedPageBreak/>
        <w:t xml:space="preserve">skali rynku rzędu </w:t>
      </w:r>
      <w:r>
        <w:rPr>
          <w:rStyle w:val="TekstpodstawowyZnak"/>
          <w:b/>
          <w:bCs/>
        </w:rPr>
        <w:t>120-150 tys. ton rocznie,</w:t>
      </w:r>
    </w:p>
    <w:p w14:paraId="311114E2" w14:textId="77777777" w:rsidR="00E04620" w:rsidRDefault="00F83A8A">
      <w:pPr>
        <w:pStyle w:val="Tekstpodstawowy"/>
        <w:numPr>
          <w:ilvl w:val="0"/>
          <w:numId w:val="8"/>
        </w:numPr>
        <w:tabs>
          <w:tab w:val="left" w:pos="721"/>
        </w:tabs>
        <w:ind w:firstLine="360"/>
      </w:pPr>
      <w:r>
        <w:rPr>
          <w:rStyle w:val="TekstpodstawowyZnak"/>
        </w:rPr>
        <w:t xml:space="preserve">różnicy cen ok. </w:t>
      </w:r>
      <w:r>
        <w:rPr>
          <w:rStyle w:val="TekstpodstawowyZnak"/>
          <w:b/>
          <w:bCs/>
        </w:rPr>
        <w:t>8-9 zł/kg,</w:t>
      </w:r>
    </w:p>
    <w:p w14:paraId="775AE35C" w14:textId="77777777" w:rsidR="00E04620" w:rsidRDefault="00F83A8A">
      <w:pPr>
        <w:pStyle w:val="Tekstpodstawowy"/>
      </w:pPr>
      <w:r>
        <w:rPr>
          <w:rStyle w:val="TekstpodstawowyZnak"/>
        </w:rPr>
        <w:t>otrzymujemy:</w:t>
      </w:r>
    </w:p>
    <w:p w14:paraId="74D148A3" w14:textId="77777777" w:rsidR="00E04620" w:rsidRDefault="00F83A8A">
      <w:pPr>
        <w:pStyle w:val="Tekstpodstawowy"/>
      </w:pPr>
      <w:r>
        <w:rPr>
          <w:rStyle w:val="TekstpodstawowyZnak"/>
        </w:rPr>
        <w:t xml:space="preserve">nawet </w:t>
      </w:r>
      <w:r>
        <w:rPr>
          <w:rStyle w:val="TekstpodstawowyZnak"/>
          <w:b/>
          <w:bCs/>
        </w:rPr>
        <w:t xml:space="preserve">~1 miliard złotych rocznie </w:t>
      </w:r>
      <w:r>
        <w:rPr>
          <w:rStyle w:val="TekstpodstawowyZnak"/>
        </w:rPr>
        <w:t>dodatkowych kosztów w skali kraju.</w:t>
      </w:r>
    </w:p>
    <w:p w14:paraId="1BDC9E1D" w14:textId="77777777" w:rsidR="00E04620" w:rsidRDefault="00F83A8A">
      <w:pPr>
        <w:pStyle w:val="Tekstpodstawowy"/>
      </w:pPr>
      <w:r>
        <w:rPr>
          <w:rStyle w:val="TekstpodstawowyZnak"/>
        </w:rPr>
        <w:t>To środki, które:</w:t>
      </w:r>
    </w:p>
    <w:p w14:paraId="79AA6C9D" w14:textId="77777777" w:rsidR="00E04620" w:rsidRDefault="00F83A8A">
      <w:pPr>
        <w:pStyle w:val="Tekstpodstawowy"/>
        <w:numPr>
          <w:ilvl w:val="0"/>
          <w:numId w:val="8"/>
        </w:numPr>
        <w:tabs>
          <w:tab w:val="left" w:pos="721"/>
        </w:tabs>
        <w:ind w:firstLine="360"/>
      </w:pPr>
      <w:r>
        <w:rPr>
          <w:rStyle w:val="TekstpodstawowyZnak"/>
        </w:rPr>
        <w:t>obciążają budżety szpitali,</w:t>
      </w:r>
    </w:p>
    <w:p w14:paraId="1A15B813" w14:textId="77777777" w:rsidR="00E04620" w:rsidRDefault="00F83A8A">
      <w:pPr>
        <w:pStyle w:val="Tekstpodstawowy"/>
        <w:numPr>
          <w:ilvl w:val="0"/>
          <w:numId w:val="8"/>
        </w:numPr>
        <w:tabs>
          <w:tab w:val="left" w:pos="721"/>
        </w:tabs>
        <w:ind w:firstLine="360"/>
      </w:pPr>
      <w:r>
        <w:rPr>
          <w:rStyle w:val="TekstpodstawowyZnak"/>
        </w:rPr>
        <w:t>zwiększają presję na finansowanie świadczeń,</w:t>
      </w:r>
    </w:p>
    <w:p w14:paraId="4E438040" w14:textId="77777777" w:rsidR="00E04620" w:rsidRDefault="00F83A8A">
      <w:pPr>
        <w:pStyle w:val="Tekstpodstawowy"/>
        <w:numPr>
          <w:ilvl w:val="0"/>
          <w:numId w:val="8"/>
        </w:numPr>
        <w:tabs>
          <w:tab w:val="left" w:pos="721"/>
        </w:tabs>
        <w:spacing w:after="320"/>
        <w:ind w:firstLine="360"/>
      </w:pPr>
      <w:r>
        <w:rPr>
          <w:rStyle w:val="TekstpodstawowyZnak"/>
        </w:rPr>
        <w:t>są finalnie pokrywane ze środków publicznych.</w:t>
      </w:r>
    </w:p>
    <w:p w14:paraId="0E9BFECE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63"/>
        </w:tabs>
      </w:pPr>
      <w:bookmarkStart w:id="8" w:name="bookmark16"/>
      <w:r>
        <w:rPr>
          <w:rStyle w:val="Heading2"/>
          <w:b/>
          <w:bCs/>
        </w:rPr>
        <w:t>Implikacje dla NFZ i systemu ochrony zdrowia</w:t>
      </w:r>
      <w:bookmarkEnd w:id="8"/>
    </w:p>
    <w:p w14:paraId="118AD95D" w14:textId="77777777" w:rsidR="00E04620" w:rsidRDefault="00F83A8A">
      <w:pPr>
        <w:pStyle w:val="Tekstpodstawowy"/>
      </w:pPr>
      <w:r>
        <w:rPr>
          <w:rStyle w:val="TekstpodstawowyZnak"/>
        </w:rPr>
        <w:t>Konsekwencje są bezpośrednie i systemowe:</w:t>
      </w:r>
    </w:p>
    <w:p w14:paraId="16C184ED" w14:textId="77777777" w:rsidR="00E04620" w:rsidRDefault="00F83A8A">
      <w:pPr>
        <w:pStyle w:val="Tekstpodstawowy"/>
        <w:numPr>
          <w:ilvl w:val="0"/>
          <w:numId w:val="9"/>
        </w:numPr>
        <w:tabs>
          <w:tab w:val="left" w:pos="721"/>
        </w:tabs>
        <w:ind w:firstLine="360"/>
      </w:pPr>
      <w:r>
        <w:rPr>
          <w:rStyle w:val="TekstpodstawowyZnak"/>
        </w:rPr>
        <w:t>mniej środków na leczenie pacjentów,</w:t>
      </w:r>
    </w:p>
    <w:p w14:paraId="19153E29" w14:textId="77777777" w:rsidR="00E04620" w:rsidRDefault="00F83A8A">
      <w:pPr>
        <w:pStyle w:val="Tekstpodstawowy"/>
        <w:numPr>
          <w:ilvl w:val="0"/>
          <w:numId w:val="9"/>
        </w:numPr>
        <w:tabs>
          <w:tab w:val="left" w:pos="721"/>
        </w:tabs>
        <w:ind w:firstLine="360"/>
      </w:pPr>
      <w:r>
        <w:rPr>
          <w:rStyle w:val="TekstpodstawowyZnak"/>
        </w:rPr>
        <w:t>większa presja na kontrakty z NFZ,</w:t>
      </w:r>
    </w:p>
    <w:p w14:paraId="5EFE5800" w14:textId="77777777" w:rsidR="00E04620" w:rsidRDefault="00F83A8A">
      <w:pPr>
        <w:pStyle w:val="Tekstpodstawowy"/>
        <w:numPr>
          <w:ilvl w:val="0"/>
          <w:numId w:val="9"/>
        </w:numPr>
        <w:tabs>
          <w:tab w:val="left" w:pos="721"/>
        </w:tabs>
        <w:ind w:firstLine="360"/>
      </w:pPr>
      <w:r>
        <w:rPr>
          <w:rStyle w:val="TekstpodstawowyZnak"/>
        </w:rPr>
        <w:t>ograniczenie możliwości inwestycyjnych placówek,</w:t>
      </w:r>
    </w:p>
    <w:p w14:paraId="5E82DF2D" w14:textId="77777777" w:rsidR="00E04620" w:rsidRDefault="00F83A8A">
      <w:pPr>
        <w:pStyle w:val="Tekstpodstawowy"/>
        <w:numPr>
          <w:ilvl w:val="0"/>
          <w:numId w:val="9"/>
        </w:numPr>
        <w:tabs>
          <w:tab w:val="left" w:pos="721"/>
        </w:tabs>
        <w:ind w:firstLine="360"/>
      </w:pPr>
      <w:r>
        <w:rPr>
          <w:rStyle w:val="TekstpodstawowyZnak"/>
        </w:rPr>
        <w:t>ryzyko nieefektywnego wydatkowania środków publicznych.</w:t>
      </w:r>
    </w:p>
    <w:p w14:paraId="5DB89FC1" w14:textId="77777777" w:rsidR="00E04620" w:rsidRDefault="00F83A8A">
      <w:pPr>
        <w:pStyle w:val="Tekstpodstawowy"/>
      </w:pPr>
      <w:r>
        <w:rPr>
          <w:rStyle w:val="TekstpodstawowyZnak"/>
        </w:rPr>
        <w:t>W praktyce oznacza to, że:</w:t>
      </w:r>
    </w:p>
    <w:p w14:paraId="0ED5AA39" w14:textId="77777777" w:rsidR="00E04620" w:rsidRDefault="00F83A8A">
      <w:pPr>
        <w:pStyle w:val="Tekstpodstawowy"/>
        <w:spacing w:after="320"/>
      </w:pPr>
      <w:r>
        <w:rPr>
          <w:rStyle w:val="TekstpodstawowyZnak"/>
          <w:b/>
          <w:bCs/>
        </w:rPr>
        <w:t>regulacja środowiskowa generuje koszt, który ponosi system zdrowia.</w:t>
      </w:r>
    </w:p>
    <w:p w14:paraId="35F010E5" w14:textId="77777777" w:rsidR="00E04620" w:rsidRDefault="00F83A8A">
      <w:pPr>
        <w:pStyle w:val="Tekstpodstawowy"/>
        <w:numPr>
          <w:ilvl w:val="0"/>
          <w:numId w:val="2"/>
        </w:numPr>
        <w:tabs>
          <w:tab w:val="left" w:pos="358"/>
        </w:tabs>
      </w:pPr>
      <w:r>
        <w:rPr>
          <w:rStyle w:val="TekstpodstawowyZnak"/>
          <w:b/>
          <w:bCs/>
        </w:rPr>
        <w:t>To także kwestia zasad</w:t>
      </w:r>
    </w:p>
    <w:p w14:paraId="55C4DFE8" w14:textId="77777777" w:rsidR="00E04620" w:rsidRDefault="00F83A8A">
      <w:pPr>
        <w:pStyle w:val="Tekstpodstawowy"/>
      </w:pPr>
      <w:r>
        <w:rPr>
          <w:rStyle w:val="TekstpodstawowyZnak"/>
        </w:rPr>
        <w:t>Obecny model rodzi fundamentalne pytania:</w:t>
      </w:r>
    </w:p>
    <w:p w14:paraId="7CCEA264" w14:textId="77777777" w:rsidR="00E04620" w:rsidRDefault="00F83A8A">
      <w:pPr>
        <w:pStyle w:val="Tekstpodstawowy"/>
        <w:numPr>
          <w:ilvl w:val="0"/>
          <w:numId w:val="10"/>
        </w:numPr>
        <w:tabs>
          <w:tab w:val="left" w:pos="721"/>
        </w:tabs>
        <w:ind w:firstLine="360"/>
      </w:pPr>
      <w:r>
        <w:rPr>
          <w:rStyle w:val="TekstpodstawowyZnak"/>
        </w:rPr>
        <w:t>czy można mówić o konkurencji, gdy oferta jest jedna?</w:t>
      </w:r>
    </w:p>
    <w:p w14:paraId="1E38D1BD" w14:textId="77777777" w:rsidR="00E04620" w:rsidRDefault="00F83A8A">
      <w:pPr>
        <w:pStyle w:val="Tekstpodstawowy"/>
        <w:numPr>
          <w:ilvl w:val="0"/>
          <w:numId w:val="10"/>
        </w:numPr>
        <w:tabs>
          <w:tab w:val="left" w:pos="721"/>
        </w:tabs>
        <w:ind w:firstLine="360"/>
      </w:pPr>
      <w:r>
        <w:rPr>
          <w:rStyle w:val="TekstpodstawowyZnak"/>
        </w:rPr>
        <w:t>czy przetarg spełnia swoją funkcję, jeśli jego wynik jest przewidywalny?</w:t>
      </w:r>
    </w:p>
    <w:p w14:paraId="04D2F96F" w14:textId="77777777" w:rsidR="00E04620" w:rsidRDefault="00F83A8A">
      <w:pPr>
        <w:pStyle w:val="Tekstpodstawowy"/>
        <w:numPr>
          <w:ilvl w:val="0"/>
          <w:numId w:val="10"/>
        </w:numPr>
        <w:tabs>
          <w:tab w:val="left" w:pos="721"/>
        </w:tabs>
        <w:spacing w:after="320"/>
        <w:ind w:firstLine="360"/>
      </w:pPr>
      <w:r>
        <w:rPr>
          <w:rStyle w:val="TekstpodstawowyZnak"/>
        </w:rPr>
        <w:t>czy system jest racjonalny, jeśli ignoruje oczywiste różnice kosztowe?</w:t>
      </w:r>
    </w:p>
    <w:p w14:paraId="2CB7CC86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363"/>
        </w:tabs>
      </w:pPr>
      <w:bookmarkStart w:id="9" w:name="bookmark18"/>
      <w:r>
        <w:rPr>
          <w:rStyle w:val="Heading2"/>
          <w:b/>
          <w:bCs/>
        </w:rPr>
        <w:t>Proponowane kierunki zmian</w:t>
      </w:r>
      <w:bookmarkEnd w:id="9"/>
    </w:p>
    <w:p w14:paraId="222E092C" w14:textId="77777777" w:rsidR="00E04620" w:rsidRDefault="00F83A8A">
      <w:pPr>
        <w:pStyle w:val="Tekstpodstawowy"/>
      </w:pPr>
      <w:r>
        <w:rPr>
          <w:rStyle w:val="TekstpodstawowyZnak"/>
          <w:u w:val="single"/>
        </w:rPr>
        <w:t>Nie chodzi o odejście od zasady bliskości, lecz o jej racjonalne stosowanie.</w:t>
      </w:r>
    </w:p>
    <w:p w14:paraId="5B22A451" w14:textId="77777777" w:rsidR="00E04620" w:rsidRDefault="00F83A8A">
      <w:pPr>
        <w:pStyle w:val="Tekstpodstawowy"/>
      </w:pPr>
      <w:r>
        <w:rPr>
          <w:rStyle w:val="TekstpodstawowyZnak"/>
          <w:b/>
          <w:bCs/>
        </w:rPr>
        <w:t>Wariant rekomendowany:</w:t>
      </w:r>
    </w:p>
    <w:p w14:paraId="5B068E44" w14:textId="77777777" w:rsidR="00E04620" w:rsidRDefault="00F83A8A">
      <w:pPr>
        <w:pStyle w:val="Tekstpodstawowy"/>
      </w:pPr>
      <w:r>
        <w:rPr>
          <w:rStyle w:val="TekstpodstawowyZnak"/>
        </w:rPr>
        <w:t xml:space="preserve">odejście od sztywnego powiązania z granicami województw i przyjęcie kryterium </w:t>
      </w:r>
      <w:proofErr w:type="spellStart"/>
      <w:r>
        <w:rPr>
          <w:rStyle w:val="TekstpodstawowyZnak"/>
        </w:rPr>
        <w:t>mixu</w:t>
      </w:r>
      <w:proofErr w:type="spellEnd"/>
      <w:r>
        <w:rPr>
          <w:rStyle w:val="TekstpodstawowyZnak"/>
        </w:rPr>
        <w:t>:</w:t>
      </w:r>
    </w:p>
    <w:p w14:paraId="258CB48D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0"/>
        </w:tabs>
        <w:ind w:left="720" w:hanging="360"/>
      </w:pPr>
      <w:r>
        <w:rPr>
          <w:rStyle w:val="TekstpodstawowyZnak"/>
        </w:rPr>
        <w:t xml:space="preserve">rzeczywistej odległości oznaczonej w kilometrach w oderwaniu od kryterium </w:t>
      </w:r>
      <w:proofErr w:type="spellStart"/>
      <w:r>
        <w:rPr>
          <w:rStyle w:val="TekstpodstawowyZnak"/>
        </w:rPr>
        <w:t>administracyjno</w:t>
      </w:r>
      <w:proofErr w:type="spellEnd"/>
      <w:r>
        <w:rPr>
          <w:rStyle w:val="TekstpodstawowyZnak"/>
        </w:rPr>
        <w:t xml:space="preserve"> - terytorialnego pozwalającą na objęcie zasięgiem instalacji termicznego przekształcani^ odpadów np. do 500 km od instalacji,</w:t>
      </w:r>
    </w:p>
    <w:p w14:paraId="21F743A4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1"/>
        </w:tabs>
        <w:ind w:firstLine="360"/>
      </w:pPr>
      <w:r>
        <w:rPr>
          <w:rStyle w:val="TekstpodstawowyZnak"/>
        </w:rPr>
        <w:t>efektywności,</w:t>
      </w:r>
    </w:p>
    <w:p w14:paraId="25EAA9D2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1"/>
        </w:tabs>
        <w:ind w:firstLine="360"/>
        <w:jc w:val="both"/>
      </w:pPr>
      <w:r>
        <w:rPr>
          <w:rStyle w:val="TekstpodstawowyZnak"/>
        </w:rPr>
        <w:t>ceny.</w:t>
      </w:r>
    </w:p>
    <w:p w14:paraId="36819C74" w14:textId="77777777" w:rsidR="00E04620" w:rsidRDefault="00F83A8A">
      <w:pPr>
        <w:pStyle w:val="Tekstpodstawowy"/>
      </w:pPr>
      <w:r>
        <w:rPr>
          <w:rStyle w:val="TekstpodstawowyZnak"/>
          <w:b/>
          <w:bCs/>
        </w:rPr>
        <w:t>Racjonalny wariant alternatywny:</w:t>
      </w:r>
    </w:p>
    <w:p w14:paraId="255BECB4" w14:textId="77777777" w:rsidR="00E04620" w:rsidRDefault="00F83A8A">
      <w:pPr>
        <w:pStyle w:val="Tekstpodstawowy"/>
      </w:pPr>
      <w:r>
        <w:rPr>
          <w:rStyle w:val="TekstpodstawowyZnak"/>
        </w:rPr>
        <w:t xml:space="preserve">podział Polski na </w:t>
      </w:r>
      <w:r>
        <w:rPr>
          <w:rStyle w:val="TekstpodstawowyZnak"/>
          <w:b/>
          <w:bCs/>
        </w:rPr>
        <w:t xml:space="preserve">4 regiony gospodarowania odpadami medycznymi, </w:t>
      </w:r>
      <w:r>
        <w:rPr>
          <w:rStyle w:val="TekstpodstawowyZnak"/>
        </w:rPr>
        <w:t>co zapewne:</w:t>
      </w:r>
    </w:p>
    <w:p w14:paraId="529471B5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1"/>
        </w:tabs>
        <w:ind w:firstLine="360"/>
      </w:pPr>
      <w:r>
        <w:rPr>
          <w:rStyle w:val="TekstpodstawowyZnak"/>
        </w:rPr>
        <w:t>zwiększy konkurencję,</w:t>
      </w:r>
    </w:p>
    <w:p w14:paraId="23DB0F10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1"/>
        </w:tabs>
        <w:ind w:firstLine="360"/>
      </w:pPr>
      <w:r>
        <w:rPr>
          <w:rStyle w:val="TekstpodstawowyZnak"/>
        </w:rPr>
        <w:t>ograniczy monopolizację,</w:t>
      </w:r>
    </w:p>
    <w:p w14:paraId="25DD9847" w14:textId="77777777" w:rsidR="00E04620" w:rsidRDefault="00F83A8A">
      <w:pPr>
        <w:pStyle w:val="Tekstpodstawowy"/>
        <w:numPr>
          <w:ilvl w:val="0"/>
          <w:numId w:val="11"/>
        </w:numPr>
        <w:tabs>
          <w:tab w:val="left" w:pos="721"/>
        </w:tabs>
        <w:ind w:firstLine="360"/>
        <w:sectPr w:rsidR="00E04620">
          <w:pgSz w:w="11900" w:h="16840"/>
          <w:pgMar w:top="2127" w:right="836" w:bottom="2488" w:left="783" w:header="1699" w:footer="2060" w:gutter="0"/>
          <w:cols w:space="720"/>
          <w:noEndnote/>
          <w:docGrid w:linePitch="360"/>
        </w:sectPr>
      </w:pPr>
      <w:r>
        <w:rPr>
          <w:rStyle w:val="TekstpodstawowyZnak"/>
        </w:rPr>
        <w:t>zachowa bezpieczeństwo systemu.</w:t>
      </w:r>
    </w:p>
    <w:p w14:paraId="4127AFDD" w14:textId="77777777" w:rsidR="00E04620" w:rsidRDefault="00F83A8A">
      <w:pPr>
        <w:pStyle w:val="Heading20"/>
        <w:keepNext/>
        <w:keepLines/>
        <w:numPr>
          <w:ilvl w:val="0"/>
          <w:numId w:val="2"/>
        </w:numPr>
        <w:tabs>
          <w:tab w:val="left" w:pos="478"/>
        </w:tabs>
        <w:spacing w:after="0"/>
        <w:jc w:val="both"/>
      </w:pPr>
      <w:bookmarkStart w:id="10" w:name="bookmark20"/>
      <w:r>
        <w:rPr>
          <w:rStyle w:val="Heading2"/>
          <w:b/>
          <w:bCs/>
        </w:rPr>
        <w:lastRenderedPageBreak/>
        <w:t>Podsumowanie</w:t>
      </w:r>
      <w:bookmarkEnd w:id="10"/>
    </w:p>
    <w:p w14:paraId="2A92837C" w14:textId="77777777" w:rsidR="00E04620" w:rsidRDefault="00F83A8A">
      <w:pPr>
        <w:pStyle w:val="Tekstpodstawowy"/>
        <w:spacing w:after="0"/>
        <w:jc w:val="both"/>
      </w:pPr>
      <w:r>
        <w:rPr>
          <w:rStyle w:val="TekstpodstawowyZnak"/>
        </w:rPr>
        <w:t>Obecny sposób stosowania zasady bliskości:</w:t>
      </w:r>
    </w:p>
    <w:p w14:paraId="51CAE97D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nie realizuje w pełni celów środowiskowych,</w:t>
      </w:r>
    </w:p>
    <w:p w14:paraId="706C3826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generuje istotne koszty,</w:t>
      </w:r>
    </w:p>
    <w:p w14:paraId="02B2FE8C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ogranicza konkurencję,</w:t>
      </w:r>
    </w:p>
    <w:p w14:paraId="27DBF456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obciąża system ochrony zdrowia.</w:t>
      </w:r>
    </w:p>
    <w:p w14:paraId="3C3958EB" w14:textId="77777777" w:rsidR="00E04620" w:rsidRDefault="00F83A8A">
      <w:pPr>
        <w:pStyle w:val="Tekstpodstawowy"/>
        <w:spacing w:after="0"/>
        <w:jc w:val="both"/>
      </w:pPr>
      <w:r>
        <w:rPr>
          <w:rStyle w:val="TekstpodstawowyZnak"/>
        </w:rPr>
        <w:t>To sytuacja, w której zmiana regulacyjna może przynieść jednocześnie:</w:t>
      </w:r>
    </w:p>
    <w:p w14:paraId="7F14F966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oszczędności,</w:t>
      </w:r>
    </w:p>
    <w:p w14:paraId="62B0A993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0"/>
        <w:ind w:firstLine="380"/>
        <w:jc w:val="both"/>
      </w:pPr>
      <w:r>
        <w:rPr>
          <w:rStyle w:val="TekstpodstawowyZnak"/>
        </w:rPr>
        <w:t>większą efektywność,</w:t>
      </w:r>
    </w:p>
    <w:p w14:paraId="2E665F6B" w14:textId="77777777" w:rsidR="00E04620" w:rsidRDefault="00F83A8A">
      <w:pPr>
        <w:pStyle w:val="Tekstpodstawowy"/>
        <w:numPr>
          <w:ilvl w:val="0"/>
          <w:numId w:val="12"/>
        </w:numPr>
        <w:tabs>
          <w:tab w:val="left" w:pos="740"/>
        </w:tabs>
        <w:spacing w:after="4180"/>
        <w:ind w:firstLine="380"/>
        <w:jc w:val="both"/>
      </w:pPr>
      <w:r>
        <w:rPr>
          <w:rStyle w:val="TekstpodstawowyZnak"/>
          <w:color w:val="363636"/>
        </w:rPr>
        <w:t xml:space="preserve">i </w:t>
      </w:r>
      <w:r>
        <w:rPr>
          <w:rStyle w:val="TekstpodstawowyZnak"/>
        </w:rPr>
        <w:t>lepszą zgodność z prawem.</w:t>
      </w:r>
    </w:p>
    <w:p w14:paraId="28675EBE" w14:textId="77777777" w:rsidR="00E04620" w:rsidRDefault="00F83A8A">
      <w:pPr>
        <w:pStyle w:val="Heading20"/>
        <w:keepNext/>
        <w:keepLines/>
        <w:spacing w:after="0"/>
        <w:jc w:val="both"/>
      </w:pPr>
      <w:bookmarkStart w:id="11" w:name="bookmark22"/>
      <w:r>
        <w:rPr>
          <w:rStyle w:val="Heading2"/>
          <w:b/>
          <w:bCs/>
        </w:rPr>
        <w:t>Załącznik:</w:t>
      </w:r>
      <w:bookmarkEnd w:id="11"/>
    </w:p>
    <w:p w14:paraId="20AA74D2" w14:textId="77777777" w:rsidR="00E04620" w:rsidRDefault="00F83A8A">
      <w:pPr>
        <w:pStyle w:val="Tekstpodstawowy"/>
        <w:spacing w:after="0"/>
        <w:jc w:val="both"/>
      </w:pPr>
      <w:r>
        <w:rPr>
          <w:rStyle w:val="TekstpodstawowyZnak"/>
        </w:rPr>
        <w:t>Analiza postępowań przetargowych (2024-2025)</w:t>
      </w:r>
    </w:p>
    <w:sectPr w:rsidR="00E04620">
      <w:pgSz w:w="11900" w:h="16840"/>
      <w:pgMar w:top="2465" w:right="848" w:bottom="2465" w:left="771" w:header="2037" w:footer="20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71ED" w14:textId="77777777" w:rsidR="00F83A8A" w:rsidRDefault="00F83A8A">
      <w:r>
        <w:separator/>
      </w:r>
    </w:p>
  </w:endnote>
  <w:endnote w:type="continuationSeparator" w:id="0">
    <w:p w14:paraId="19FC3709" w14:textId="77777777" w:rsidR="00F83A8A" w:rsidRDefault="00F8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A636" w14:textId="77777777" w:rsidR="00F83A8A" w:rsidRDefault="00F83A8A"/>
  </w:footnote>
  <w:footnote w:type="continuationSeparator" w:id="0">
    <w:p w14:paraId="78F28AD3" w14:textId="77777777" w:rsidR="00F83A8A" w:rsidRDefault="00F83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144"/>
    <w:multiLevelType w:val="multilevel"/>
    <w:tmpl w:val="75EAFD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42494"/>
    <w:multiLevelType w:val="multilevel"/>
    <w:tmpl w:val="0728C8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C0700"/>
    <w:multiLevelType w:val="multilevel"/>
    <w:tmpl w:val="5378A1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A0C18"/>
    <w:multiLevelType w:val="multilevel"/>
    <w:tmpl w:val="4A2251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40C16"/>
    <w:multiLevelType w:val="multilevel"/>
    <w:tmpl w:val="A18A92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70F7B"/>
    <w:multiLevelType w:val="multilevel"/>
    <w:tmpl w:val="07CA0A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E0924"/>
    <w:multiLevelType w:val="multilevel"/>
    <w:tmpl w:val="D52467C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25A1C"/>
    <w:multiLevelType w:val="multilevel"/>
    <w:tmpl w:val="687A6D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E71DDE"/>
    <w:multiLevelType w:val="multilevel"/>
    <w:tmpl w:val="209EA1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33089C"/>
    <w:multiLevelType w:val="multilevel"/>
    <w:tmpl w:val="CCDA43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D60F6D"/>
    <w:multiLevelType w:val="multilevel"/>
    <w:tmpl w:val="D43CBB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B746F7"/>
    <w:multiLevelType w:val="multilevel"/>
    <w:tmpl w:val="56381E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443714">
    <w:abstractNumId w:val="3"/>
  </w:num>
  <w:num w:numId="2" w16cid:durableId="808278043">
    <w:abstractNumId w:val="6"/>
  </w:num>
  <w:num w:numId="3" w16cid:durableId="376441955">
    <w:abstractNumId w:val="2"/>
  </w:num>
  <w:num w:numId="4" w16cid:durableId="1536311220">
    <w:abstractNumId w:val="9"/>
  </w:num>
  <w:num w:numId="5" w16cid:durableId="23604609">
    <w:abstractNumId w:val="11"/>
  </w:num>
  <w:num w:numId="6" w16cid:durableId="101075427">
    <w:abstractNumId w:val="8"/>
  </w:num>
  <w:num w:numId="7" w16cid:durableId="950009926">
    <w:abstractNumId w:val="0"/>
  </w:num>
  <w:num w:numId="8" w16cid:durableId="1938977255">
    <w:abstractNumId w:val="4"/>
  </w:num>
  <w:num w:numId="9" w16cid:durableId="1029914866">
    <w:abstractNumId w:val="1"/>
  </w:num>
  <w:num w:numId="10" w16cid:durableId="904337571">
    <w:abstractNumId w:val="5"/>
  </w:num>
  <w:num w:numId="11" w16cid:durableId="875317592">
    <w:abstractNumId w:val="10"/>
  </w:num>
  <w:num w:numId="12" w16cid:durableId="1342857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0"/>
    <w:rsid w:val="00104E1F"/>
    <w:rsid w:val="004C1448"/>
    <w:rsid w:val="00E04620"/>
    <w:rsid w:val="00F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AD4D"/>
  <w15:docId w15:val="{438DB0FA-CD94-4516-8912-3B45C279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B7B7B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pPr>
      <w:spacing w:line="221" w:lineRule="auto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qFormat/>
    <w:pPr>
      <w:spacing w:after="4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ny"/>
    <w:link w:val="Bodytext2"/>
    <w:pPr>
      <w:spacing w:after="1320" w:line="206" w:lineRule="auto"/>
      <w:ind w:left="7020" w:right="540"/>
      <w:jc w:val="right"/>
    </w:pPr>
    <w:rPr>
      <w:rFonts w:ascii="Arial" w:eastAsia="Arial" w:hAnsi="Arial" w:cs="Arial"/>
      <w:color w:val="7B7B7B"/>
      <w:sz w:val="13"/>
      <w:szCs w:val="13"/>
    </w:rPr>
  </w:style>
  <w:style w:type="paragraph" w:customStyle="1" w:styleId="Heading10">
    <w:name w:val="Heading #1"/>
    <w:basedOn w:val="Normalny"/>
    <w:link w:val="Heading1"/>
    <w:pPr>
      <w:spacing w:after="880" w:line="264" w:lineRule="auto"/>
      <w:ind w:left="2060" w:firstLine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ny"/>
    <w:link w:val="Heading2"/>
    <w:pPr>
      <w:spacing w:after="4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2026-04-30T11:56:00Z</dcterms:created>
  <dcterms:modified xsi:type="dcterms:W3CDTF">2026-04-30T11:58:00Z</dcterms:modified>
</cp:coreProperties>
</file>