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5" w:rsidRPr="000E5E25" w:rsidRDefault="00DF4DA5" w:rsidP="00DF4DA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0E5E25">
        <w:rPr>
          <w:rFonts w:ascii="Times New Roman" w:hAnsi="Times New Roman"/>
          <w:color w:val="000000" w:themeColor="text1"/>
        </w:rPr>
        <w:t>Załącznik</w:t>
      </w:r>
      <w:r w:rsidR="005E5637">
        <w:rPr>
          <w:rFonts w:ascii="Times New Roman" w:hAnsi="Times New Roman"/>
          <w:color w:val="000000" w:themeColor="text1"/>
        </w:rPr>
        <w:t xml:space="preserve"> </w:t>
      </w:r>
      <w:r w:rsidRPr="000E5E25">
        <w:rPr>
          <w:rFonts w:ascii="Times New Roman" w:hAnsi="Times New Roman"/>
          <w:color w:val="000000" w:themeColor="text1"/>
        </w:rPr>
        <w:t>B.</w:t>
      </w:r>
      <w:r>
        <w:rPr>
          <w:rFonts w:ascii="Times New Roman" w:hAnsi="Times New Roman"/>
          <w:color w:val="000000" w:themeColor="text1"/>
        </w:rPr>
        <w:t>108</w:t>
      </w:r>
      <w:r w:rsidRPr="000E5E25">
        <w:rPr>
          <w:rFonts w:ascii="Times New Roman" w:hAnsi="Times New Roman"/>
          <w:color w:val="000000" w:themeColor="text1"/>
        </w:rPr>
        <w:t>.</w:t>
      </w:r>
    </w:p>
    <w:p w:rsidR="00DF4DA5" w:rsidRPr="000E5E25" w:rsidRDefault="00DF4DA5" w:rsidP="00DF4DA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LECZENIE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AGRESYWNEGO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OBJAWOWEGO,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NIEOPERACYJNEGO,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MIEJSCOWO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ZAAWANSOWANEGO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LUB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PRZERZUTOWEGO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RAKA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RDZENIASTEGO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TARCZYCY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(ICD-10</w:t>
      </w:r>
      <w:r w:rsidR="005E5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4DA5">
        <w:rPr>
          <w:rFonts w:ascii="Times New Roman" w:hAnsi="Times New Roman"/>
          <w:b/>
          <w:color w:val="000000" w:themeColor="text1"/>
          <w:sz w:val="28"/>
          <w:szCs w:val="28"/>
        </w:rPr>
        <w:t>C73)</w:t>
      </w: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10764"/>
        <w:gridCol w:w="5033"/>
        <w:gridCol w:w="6259"/>
      </w:tblGrid>
      <w:tr w:rsidR="00C360D3" w:rsidRPr="00DF4DA5" w:rsidTr="00EA6337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360D3" w:rsidRPr="00DF4DA5" w:rsidRDefault="00C360D3" w:rsidP="00DF4DA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C360D3" w:rsidRPr="00DF4DA5" w:rsidTr="00EA6337">
        <w:trPr>
          <w:trHeight w:val="567"/>
        </w:trPr>
        <w:tc>
          <w:tcPr>
            <w:tcW w:w="2440" w:type="pct"/>
            <w:shd w:val="clear" w:color="auto" w:fill="auto"/>
            <w:vAlign w:val="center"/>
          </w:tcPr>
          <w:p w:rsidR="00C360D3" w:rsidRPr="00DF4DA5" w:rsidRDefault="00C360D3" w:rsidP="00DF4DA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C360D3" w:rsidRPr="00DF4DA5" w:rsidRDefault="00C360D3" w:rsidP="00DF4DA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LEKU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80E7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C360D3" w:rsidRPr="00DF4DA5" w:rsidRDefault="00C360D3" w:rsidP="00DF4DA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C360D3" w:rsidRPr="00DF4DA5" w:rsidTr="00EA6337">
        <w:trPr>
          <w:trHeight w:val="20"/>
        </w:trPr>
        <w:tc>
          <w:tcPr>
            <w:tcW w:w="2440" w:type="pct"/>
          </w:tcPr>
          <w:p w:rsidR="00C360D3" w:rsidRPr="00DF4DA5" w:rsidRDefault="00C360D3" w:rsidP="005E5637">
            <w:pPr>
              <w:pStyle w:val="Standard"/>
              <w:numPr>
                <w:ilvl w:val="0"/>
                <w:numId w:val="17"/>
              </w:numPr>
              <w:spacing w:before="120" w:after="60"/>
              <w:jc w:val="both"/>
              <w:rPr>
                <w:rFonts w:cs="Times New Roman"/>
                <w:sz w:val="20"/>
                <w:szCs w:val="20"/>
              </w:rPr>
            </w:pPr>
            <w:r w:rsidRPr="00DF4DA5">
              <w:rPr>
                <w:rFonts w:cs="Times New Roman"/>
                <w:b/>
                <w:bCs/>
                <w:sz w:val="20"/>
                <w:szCs w:val="20"/>
              </w:rPr>
              <w:t>Leczenie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cs="Times New Roman"/>
                <w:b/>
                <w:bCs/>
                <w:sz w:val="20"/>
                <w:szCs w:val="20"/>
              </w:rPr>
              <w:t>wandetanibem</w:t>
            </w:r>
            <w:proofErr w:type="spellEnd"/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dorosłych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chorych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z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66469" w:rsidRPr="00DF4DA5">
              <w:rPr>
                <w:rFonts w:cs="Times New Roman"/>
                <w:b/>
                <w:bCs/>
                <w:sz w:val="20"/>
                <w:szCs w:val="20"/>
              </w:rPr>
              <w:t>agresywnym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objawowym,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nieoperacyjnym,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miejscowo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zaawansowanym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przerzutowym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rakiem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cs="Times New Roman"/>
                <w:b/>
                <w:bCs/>
                <w:sz w:val="20"/>
                <w:szCs w:val="20"/>
              </w:rPr>
              <w:t>rdzeniastym</w:t>
            </w:r>
            <w:proofErr w:type="spellEnd"/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tarczycy,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które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ma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na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celu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zahamowanie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rozwoju</w:t>
            </w:r>
            <w:r w:rsidR="005E563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bCs/>
                <w:sz w:val="20"/>
                <w:szCs w:val="20"/>
              </w:rPr>
              <w:t>choroby</w:t>
            </w:r>
          </w:p>
          <w:p w:rsidR="00C360D3" w:rsidRPr="00DF4DA5" w:rsidRDefault="005E5637" w:rsidP="00DF4DA5">
            <w:pPr>
              <w:pStyle w:val="Standard"/>
              <w:numPr>
                <w:ilvl w:val="1"/>
                <w:numId w:val="17"/>
              </w:numPr>
              <w:spacing w:after="6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Kryteria kwalifikacji</w:t>
            </w:r>
          </w:p>
          <w:p w:rsidR="00C360D3" w:rsidRPr="00DF4DA5" w:rsidRDefault="00C360D3" w:rsidP="00DF4DA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raka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rdzeniastego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potwierdzone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histologicznie;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stadium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miejscowo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zaawansowanej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uogólnionej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wykluczeniu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wykorzystania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resekcji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metod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ablacyjnych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radioterapii;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udokumentowana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klinicznego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wyników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badań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obrazowych;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nowotwór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postępującym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przebiegu: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udokumentowania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RECIST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1.1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Response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Evaluation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Criteria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Solid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Tumors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)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12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poprzedzających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wdrożenie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wandetanibem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zmian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możliwych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zmierzenia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klasyfikacji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RECIST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1.1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Response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Evaluation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Criteria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Solid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Tumors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5E5637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zadowalająca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wydolność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nerek</w:t>
            </w:r>
            <w:r w:rsidR="005E563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E5637" w:rsidRDefault="00C360D3" w:rsidP="005E5637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nieprzekraczające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1,5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razy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kryterium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zastosowania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Gilberta</w:t>
            </w:r>
            <w:r w:rsidR="005E5637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5E5637" w:rsidRDefault="00EA6337" w:rsidP="005E5637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stężenie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fosfatazy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alkalicznej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nieprzekraczające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2,5-krotnie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referencyjnej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przekraczające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5</w:t>
            </w:r>
            <w:r w:rsidRPr="00DF4DA5">
              <w:rPr>
                <w:rFonts w:ascii="Times New Roman" w:hAnsi="Times New Roman"/>
                <w:sz w:val="20"/>
                <w:szCs w:val="20"/>
              </w:rPr>
              <w:noBreakHyphen/>
              <w:t>krotnie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ej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referencyjnej,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jeśli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zostaną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uznane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lekarza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związane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przerzutami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wątroby</w:t>
            </w:r>
            <w:bookmarkStart w:id="0" w:name="_GoBack"/>
            <w:bookmarkEnd w:id="0"/>
            <w:r w:rsidR="005E563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360D3" w:rsidRPr="00DF4DA5" w:rsidRDefault="00C360D3" w:rsidP="005E5637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klirens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30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ml/min;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prawidłowe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potasu,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magnezu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wapnia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krwi;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potasu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powinno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&gt;4mmol/l;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odstęp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&lt;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480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ms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zapisie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EKG;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stan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sprawności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0-2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klasyfikacji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Zubroda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–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ECOG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-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WHO;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wiek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18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lat;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ujemny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wynik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testu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ciążowego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bezpośrednio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włączeniem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kobiet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wieku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zgoda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efektywnej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antykoncepcji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:rsidR="00C360D3" w:rsidRDefault="005E5637" w:rsidP="005E5637">
            <w:pPr>
              <w:tabs>
                <w:tab w:val="left" w:pos="596"/>
              </w:tabs>
              <w:suppressAutoHyphens/>
              <w:autoSpaceDN w:val="0"/>
              <w:spacing w:after="6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C360D3" w:rsidRPr="005E5637">
              <w:rPr>
                <w:rFonts w:ascii="Times New Roman" w:hAnsi="Times New Roman"/>
                <w:sz w:val="20"/>
                <w:szCs w:val="20"/>
              </w:rPr>
              <w:t>ryteria</w:t>
            </w:r>
            <w:r w:rsidRP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5E5637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P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5E5637">
              <w:rPr>
                <w:rFonts w:ascii="Times New Roman" w:hAnsi="Times New Roman"/>
                <w:sz w:val="20"/>
                <w:szCs w:val="20"/>
              </w:rPr>
              <w:t>muszą</w:t>
            </w:r>
            <w:r w:rsidRP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5E5637">
              <w:rPr>
                <w:rFonts w:ascii="Times New Roman" w:hAnsi="Times New Roman"/>
                <w:sz w:val="20"/>
                <w:szCs w:val="20"/>
              </w:rPr>
              <w:t>być</w:t>
            </w:r>
            <w:r w:rsidRP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5E5637">
              <w:rPr>
                <w:rFonts w:ascii="Times New Roman" w:hAnsi="Times New Roman"/>
                <w:sz w:val="20"/>
                <w:szCs w:val="20"/>
              </w:rPr>
              <w:t>spełnione</w:t>
            </w:r>
            <w:r w:rsidRP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5E5637">
              <w:rPr>
                <w:rFonts w:ascii="Times New Roman" w:hAnsi="Times New Roman"/>
                <w:sz w:val="20"/>
                <w:szCs w:val="20"/>
              </w:rPr>
              <w:t>łącznie.</w:t>
            </w:r>
          </w:p>
          <w:p w:rsidR="00A03ACC" w:rsidRDefault="00A03ACC" w:rsidP="00A03ACC">
            <w:pPr>
              <w:suppressAutoHyphens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69C">
              <w:rPr>
                <w:rFonts w:ascii="Times New Roman" w:hAnsi="Times New Roman"/>
                <w:sz w:val="20"/>
                <w:szCs w:val="20"/>
              </w:rPr>
              <w:t>Ponadto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programu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lekowego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kwalifikowani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są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również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pacjenci,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którzy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byli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leczeni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wandetanibem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ramach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innego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sposobu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finansowania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terapii,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pod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warunkiem,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że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chwili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rozpoczęcia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spełniali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kryteria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kwalifikacji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programu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69C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:rsidR="005E5637" w:rsidRPr="005E5637" w:rsidRDefault="005E5637" w:rsidP="005E5637">
            <w:pPr>
              <w:tabs>
                <w:tab w:val="left" w:pos="596"/>
              </w:tabs>
              <w:suppressAutoHyphens/>
              <w:autoSpaceDN w:val="0"/>
              <w:spacing w:after="6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C360D3" w:rsidRPr="005E5637" w:rsidRDefault="00C360D3" w:rsidP="005E5637">
            <w:pPr>
              <w:pStyle w:val="Standard"/>
              <w:numPr>
                <w:ilvl w:val="1"/>
                <w:numId w:val="17"/>
              </w:numPr>
              <w:spacing w:after="6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E5637">
              <w:rPr>
                <w:rFonts w:cs="Times New Roman"/>
                <w:b/>
                <w:sz w:val="20"/>
                <w:szCs w:val="20"/>
              </w:rPr>
              <w:t>Określenie</w:t>
            </w:r>
            <w:r w:rsidR="005E5637" w:rsidRP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E5637">
              <w:rPr>
                <w:rFonts w:cs="Times New Roman"/>
                <w:b/>
                <w:sz w:val="20"/>
                <w:szCs w:val="20"/>
              </w:rPr>
              <w:t>czasu</w:t>
            </w:r>
            <w:r w:rsidR="005E5637" w:rsidRP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E5637">
              <w:rPr>
                <w:rFonts w:cs="Times New Roman"/>
                <w:b/>
                <w:sz w:val="20"/>
                <w:szCs w:val="20"/>
              </w:rPr>
              <w:t>leczenia</w:t>
            </w:r>
            <w:r w:rsidR="005E5637" w:rsidRP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5637">
              <w:rPr>
                <w:rFonts w:cs="Times New Roman"/>
                <w:b/>
                <w:sz w:val="20"/>
                <w:szCs w:val="20"/>
              </w:rPr>
              <w:t>wandetanibem</w:t>
            </w:r>
            <w:proofErr w:type="spellEnd"/>
          </w:p>
          <w:p w:rsidR="005E5637" w:rsidRPr="00A03ACC" w:rsidRDefault="00C360D3" w:rsidP="00A03ACC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03ACC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trwa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do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do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774E" w:rsidRPr="00A03ACC">
              <w:rPr>
                <w:rFonts w:ascii="Times New Roman" w:hAnsi="Times New Roman"/>
                <w:sz w:val="20"/>
                <w:szCs w:val="20"/>
              </w:rPr>
              <w:t>czasu,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gdy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ryzyko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przewyższa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korzyści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jego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ACC">
              <w:rPr>
                <w:rFonts w:ascii="Times New Roman" w:hAnsi="Times New Roman"/>
                <w:sz w:val="20"/>
                <w:szCs w:val="20"/>
              </w:rPr>
              <w:t>kontynuacji</w:t>
            </w:r>
            <w:r w:rsidR="005E5637" w:rsidRPr="00A03A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03ACC" w:rsidRDefault="00A03ACC" w:rsidP="00A03ACC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sz w:val="20"/>
                <w:szCs w:val="20"/>
              </w:rPr>
            </w:pPr>
            <w:r w:rsidRPr="00A03ACC">
              <w:rPr>
                <w:rFonts w:ascii="Times New Roman" w:hAnsi="Times New Roman"/>
                <w:sz w:val="20"/>
                <w:szCs w:val="20"/>
              </w:rPr>
              <w:t>W przypadku zdarzenia 3. stopnia według wspólnej terminologii kryteriów dla działań niepożądanych (CTCAE) lub większej toksyczności lub wydłużenia odstępu QT (</w:t>
            </w:r>
            <w:proofErr w:type="spellStart"/>
            <w:r w:rsidRPr="00A03ACC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Pr="00A03ACC">
              <w:rPr>
                <w:rFonts w:ascii="Times New Roman" w:hAnsi="Times New Roman"/>
                <w:sz w:val="20"/>
                <w:szCs w:val="20"/>
              </w:rPr>
              <w:t xml:space="preserve"> w zapisie EKG) &gt;500 ms, należy przynajmniej tymczasowo przerwać stosowanie </w:t>
            </w:r>
            <w:proofErr w:type="spellStart"/>
            <w:r w:rsidRPr="00A03ACC">
              <w:rPr>
                <w:rFonts w:ascii="Times New Roman" w:hAnsi="Times New Roman"/>
                <w:sz w:val="20"/>
                <w:szCs w:val="20"/>
              </w:rPr>
              <w:t>wandetanibu</w:t>
            </w:r>
            <w:proofErr w:type="spellEnd"/>
            <w:r w:rsidRPr="00A03ACC">
              <w:rPr>
                <w:rFonts w:ascii="Times New Roman" w:hAnsi="Times New Roman"/>
                <w:sz w:val="20"/>
                <w:szCs w:val="20"/>
              </w:rPr>
              <w:t xml:space="preserve">, a kiedy objawy toksyczności ustąpią lub ulegną poprawie do stopnia 1. w skali CTCAE, wznowić jego stosowanie w zmniejszonej dawce. </w:t>
            </w:r>
          </w:p>
          <w:p w:rsidR="0074377F" w:rsidRPr="00DF4DA5" w:rsidRDefault="0074377F" w:rsidP="00DF4DA5">
            <w:pPr>
              <w:pStyle w:val="Standard"/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C360D3" w:rsidRPr="00DF4DA5" w:rsidRDefault="00C360D3" w:rsidP="005E5637">
            <w:pPr>
              <w:pStyle w:val="Standard"/>
              <w:numPr>
                <w:ilvl w:val="1"/>
                <w:numId w:val="17"/>
              </w:numPr>
              <w:spacing w:after="6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F4DA5">
              <w:rPr>
                <w:rFonts w:cs="Times New Roman"/>
                <w:b/>
                <w:sz w:val="20"/>
                <w:szCs w:val="20"/>
              </w:rPr>
              <w:t>Kryteria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4377F" w:rsidRPr="00DF4DA5">
              <w:rPr>
                <w:rFonts w:cs="Times New Roman"/>
                <w:b/>
                <w:sz w:val="20"/>
                <w:szCs w:val="20"/>
              </w:rPr>
              <w:t>stanowiące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4377F" w:rsidRPr="00DF4DA5">
              <w:rPr>
                <w:rFonts w:cs="Times New Roman"/>
                <w:b/>
                <w:sz w:val="20"/>
                <w:szCs w:val="20"/>
              </w:rPr>
              <w:t>przeciwwskazania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4377F" w:rsidRPr="00DF4DA5">
              <w:rPr>
                <w:rFonts w:cs="Times New Roman"/>
                <w:b/>
                <w:sz w:val="20"/>
                <w:szCs w:val="20"/>
              </w:rPr>
              <w:t>do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4377F" w:rsidRPr="00DF4DA5">
              <w:rPr>
                <w:rFonts w:cs="Times New Roman"/>
                <w:b/>
                <w:sz w:val="20"/>
                <w:szCs w:val="20"/>
              </w:rPr>
              <w:t>udziału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4377F" w:rsidRPr="00DF4DA5">
              <w:rPr>
                <w:rFonts w:cs="Times New Roman"/>
                <w:b/>
                <w:sz w:val="20"/>
                <w:szCs w:val="20"/>
              </w:rPr>
              <w:t>w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4377F" w:rsidRPr="00DF4DA5">
              <w:rPr>
                <w:rFonts w:cs="Times New Roman"/>
                <w:b/>
                <w:sz w:val="20"/>
                <w:szCs w:val="20"/>
              </w:rPr>
              <w:t>programie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71094D" w:rsidRPr="00DF4DA5" w:rsidRDefault="00C360D3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wrodzony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wydłużonego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odstępu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czas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odstępu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480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ms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94D" w:rsidRPr="00DF4DA5">
              <w:rPr>
                <w:rFonts w:ascii="Times New Roman" w:hAnsi="Times New Roman"/>
                <w:sz w:val="20"/>
                <w:szCs w:val="20"/>
              </w:rPr>
              <w:t>podczas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94D" w:rsidRPr="00DF4DA5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94D" w:rsidRPr="00DF4DA5">
              <w:rPr>
                <w:rFonts w:ascii="Times New Roman" w:hAnsi="Times New Roman"/>
                <w:sz w:val="20"/>
                <w:szCs w:val="20"/>
              </w:rPr>
              <w:t>do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94D" w:rsidRPr="00DF4DA5">
              <w:rPr>
                <w:rFonts w:ascii="Times New Roman" w:hAnsi="Times New Roman"/>
                <w:sz w:val="20"/>
                <w:szCs w:val="20"/>
              </w:rPr>
              <w:t>programu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jednoczesne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leczniczych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mogących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wpływ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wydłużenie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odstępu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indukować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występowanie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775" w:rsidRPr="00DF4DA5">
              <w:rPr>
                <w:rFonts w:ascii="Times New Roman" w:hAnsi="Times New Roman"/>
                <w:sz w:val="20"/>
                <w:szCs w:val="20"/>
              </w:rPr>
              <w:t>częstoskurczu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torsades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pointes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(związki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arsenu,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cyzapryd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erytromycyna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podawana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dożylnie,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toremifen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mizolastyna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moksyfloksacyna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przeciwarytmiczne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klas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oraz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III);</w:t>
            </w:r>
          </w:p>
          <w:p w:rsidR="00C360D3" w:rsidRPr="00DF4DA5" w:rsidRDefault="0071094D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częstoskurcz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360D3" w:rsidRPr="00DF4DA5">
              <w:rPr>
                <w:rFonts w:ascii="Times New Roman" w:hAnsi="Times New Roman"/>
                <w:sz w:val="20"/>
                <w:szCs w:val="20"/>
              </w:rPr>
              <w:t>torsades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de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360D3" w:rsidRPr="00DF4DA5">
              <w:rPr>
                <w:rFonts w:ascii="Times New Roman" w:hAnsi="Times New Roman"/>
                <w:sz w:val="20"/>
                <w:szCs w:val="20"/>
              </w:rPr>
              <w:t>point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wywiadzie,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jeśli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wszystkie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czynniki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ryzyka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zostały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0D3" w:rsidRPr="00DF4DA5">
              <w:rPr>
                <w:rFonts w:ascii="Times New Roman" w:hAnsi="Times New Roman"/>
                <w:sz w:val="20"/>
                <w:szCs w:val="20"/>
              </w:rPr>
              <w:t>skorygowane;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nerek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klirens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30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ml/min);</w:t>
            </w:r>
          </w:p>
          <w:p w:rsidR="005E5637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wątroby:</w:t>
            </w:r>
          </w:p>
          <w:p w:rsidR="00345B45" w:rsidRDefault="00C360D3" w:rsidP="005E5637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przekraczające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1,5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razy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granicę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(to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kryterium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zastosowania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Gilberta)</w:t>
            </w:r>
            <w:r w:rsidR="00345B4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5E5637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stęże</w:t>
            </w:r>
            <w:r w:rsidR="00345B45">
              <w:rPr>
                <w:rFonts w:ascii="Times New Roman" w:hAnsi="Times New Roman"/>
                <w:sz w:val="20"/>
                <w:szCs w:val="20"/>
              </w:rPr>
              <w:t>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45B45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="00345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45B45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oraz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fosfatazy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alkalicznej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5B45">
              <w:rPr>
                <w:rFonts w:ascii="Times New Roman" w:hAnsi="Times New Roman"/>
                <w:sz w:val="20"/>
                <w:szCs w:val="20"/>
              </w:rPr>
              <w:t>przekraczające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2,5</w:t>
            </w:r>
            <w:r w:rsidRPr="00DF4DA5">
              <w:rPr>
                <w:rFonts w:ascii="Times New Roman" w:hAnsi="Times New Roman"/>
                <w:sz w:val="20"/>
                <w:szCs w:val="20"/>
              </w:rPr>
              <w:noBreakHyphen/>
              <w:t>krotnie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granicę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referencyjnej,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5B45">
              <w:rPr>
                <w:rFonts w:ascii="Times New Roman" w:hAnsi="Times New Roman"/>
                <w:sz w:val="20"/>
                <w:szCs w:val="20"/>
              </w:rPr>
              <w:t>przekraczające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5</w:t>
            </w:r>
            <w:r w:rsidRPr="00DF4DA5">
              <w:rPr>
                <w:rFonts w:ascii="Times New Roman" w:hAnsi="Times New Roman"/>
                <w:sz w:val="20"/>
                <w:szCs w:val="20"/>
              </w:rPr>
              <w:noBreakHyphen/>
              <w:t>krotnie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granicę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referencyjnej,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jeśli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zostaną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uznane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związane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przerzutami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wątroby;</w:t>
            </w:r>
          </w:p>
          <w:p w:rsidR="00C360D3" w:rsidRPr="00DF4DA5" w:rsidRDefault="00C360D3" w:rsidP="005E5637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zabieg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operacyjny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28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dni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:rsidR="00C360D3" w:rsidRPr="00DF4DA5" w:rsidRDefault="00C360D3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radioterapia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28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dni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:rsidR="00C360D3" w:rsidRPr="00DF4DA5" w:rsidRDefault="00C360D3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(według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prowadzącego)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towarzyszące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tym: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zawał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serca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6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niestabilna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wieńcowa,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poważne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rytmu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serca,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objawowa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serca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≥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NYHA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ciśnienie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tętnicze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≥160/100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Hg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mimo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farmakoterapii,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udar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mózgu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TIA)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6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incydent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zakrzepowo-zatorowy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3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krwawienie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dróg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oddechowych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przewodu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pokarmowego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3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przetoka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6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przed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perforacja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przewodu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pokarmowego,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niewygojonych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ran,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owrzodzeń,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złamań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kostnych,</w:t>
            </w:r>
          </w:p>
          <w:p w:rsidR="00C360D3" w:rsidRPr="00DF4DA5" w:rsidRDefault="00C360D3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inne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kliniczne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schorzenia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(aktywna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infekcja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wymagająca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systemowego;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zakażenie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wirusem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HIV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AIDS),</w:t>
            </w:r>
          </w:p>
          <w:p w:rsidR="00C360D3" w:rsidRPr="00DF4DA5" w:rsidRDefault="00C360D3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ciąża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:rsidR="00C360D3" w:rsidRDefault="00C360D3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brak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zgody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efektywnej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antykoncepcji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leczenia.</w:t>
            </w:r>
          </w:p>
          <w:p w:rsidR="00345B45" w:rsidRPr="00DF4DA5" w:rsidRDefault="00345B45" w:rsidP="00345B45">
            <w:pPr>
              <w:pStyle w:val="Akapitzlist"/>
              <w:tabs>
                <w:tab w:val="left" w:pos="596"/>
              </w:tabs>
              <w:suppressAutoHyphens/>
              <w:autoSpaceDN w:val="0"/>
              <w:spacing w:after="60" w:line="240" w:lineRule="auto"/>
              <w:ind w:left="39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71094D" w:rsidRPr="00DF4DA5" w:rsidRDefault="0071094D" w:rsidP="00345B45">
            <w:pPr>
              <w:pStyle w:val="Standard"/>
              <w:numPr>
                <w:ilvl w:val="1"/>
                <w:numId w:val="17"/>
              </w:numPr>
              <w:spacing w:after="6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F4DA5">
              <w:rPr>
                <w:rFonts w:cs="Times New Roman"/>
                <w:b/>
                <w:sz w:val="20"/>
                <w:szCs w:val="20"/>
              </w:rPr>
              <w:t>Kryteria</w:t>
            </w:r>
            <w:r w:rsidR="005E563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F4DA5">
              <w:rPr>
                <w:rFonts w:cs="Times New Roman"/>
                <w:b/>
                <w:sz w:val="20"/>
                <w:szCs w:val="20"/>
              </w:rPr>
              <w:t>wyłączenia</w:t>
            </w:r>
          </w:p>
          <w:p w:rsidR="0071094D" w:rsidRPr="00DF4DA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istotnych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wandetanib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94D" w:rsidRPr="00DF4DA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jednoczesnego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leczniczych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mogących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mieć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wpływ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wydłużenie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odstępu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indukować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występowanie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torsades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pointes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(związki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arsenu,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cyzapryd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erytromycyna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podawana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dożylnie,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toremifen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mizolastyna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moksyfloksacyna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przeciwarytmiczne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klas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oraz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III);</w:t>
            </w:r>
          </w:p>
          <w:p w:rsidR="0071094D" w:rsidRPr="00DF4DA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nerek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klirens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30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ml/min);</w:t>
            </w:r>
          </w:p>
          <w:p w:rsidR="00345B4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5B4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przekraczające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1,5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razy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granicę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(to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kryterium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zastosowania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Gilberta)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stęże</w:t>
            </w:r>
            <w:r w:rsidR="00345B45">
              <w:rPr>
                <w:rFonts w:ascii="Times New Roman" w:hAnsi="Times New Roman"/>
                <w:sz w:val="20"/>
                <w:szCs w:val="20"/>
              </w:rPr>
              <w:t>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45B45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="00345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45B45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oraz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fosfatazy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alkalicznej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przekraczając</w:t>
            </w:r>
            <w:r w:rsidR="00345B45">
              <w:rPr>
                <w:rFonts w:ascii="Times New Roman" w:hAnsi="Times New Roman"/>
                <w:sz w:val="20"/>
                <w:szCs w:val="20"/>
              </w:rPr>
              <w:t>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2,5</w:t>
            </w:r>
            <w:r w:rsidRPr="00DF4DA5">
              <w:rPr>
                <w:rFonts w:ascii="Times New Roman" w:hAnsi="Times New Roman"/>
                <w:sz w:val="20"/>
                <w:szCs w:val="20"/>
              </w:rPr>
              <w:noBreakHyphen/>
              <w:t>krotnie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granicę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referencyjnej,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przekraczając</w:t>
            </w:r>
            <w:r w:rsidR="00345B45">
              <w:rPr>
                <w:rFonts w:ascii="Times New Roman" w:hAnsi="Times New Roman"/>
                <w:sz w:val="20"/>
                <w:szCs w:val="20"/>
              </w:rPr>
              <w:t>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5</w:t>
            </w:r>
            <w:r w:rsidRPr="00DF4DA5">
              <w:rPr>
                <w:rFonts w:ascii="Times New Roman" w:hAnsi="Times New Roman"/>
                <w:sz w:val="20"/>
                <w:szCs w:val="20"/>
              </w:rPr>
              <w:noBreakHyphen/>
              <w:t>krotnie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górną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granicę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normy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referencyjnej,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jeśli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zostaną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uznane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związane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przerzutami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wątroby;</w:t>
            </w:r>
          </w:p>
          <w:p w:rsidR="0071094D" w:rsidRPr="00DF4DA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zabiegu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operacyjnego;</w:t>
            </w:r>
          </w:p>
          <w:p w:rsidR="0071094D" w:rsidRPr="00DF4DA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zabiegu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radioterapii;</w:t>
            </w:r>
          </w:p>
          <w:p w:rsidR="0071094D" w:rsidRPr="00DF4DA5" w:rsidRDefault="0071094D" w:rsidP="00345B45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ciężkich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niekontrolowanych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(według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prowadzącego)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towarzyszących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tym: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zawał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serca,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niestabilna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wieńcowa,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poważne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rytmu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serca,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objawowa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serca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≥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NYHA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2,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ciśnienie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tętnicze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≥160/100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Hg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mimo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farmakoterapii,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udar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mózgu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TIA),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incydent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zakrzepowo-zatorowy,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krwawienie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dróg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oddechowych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przewodu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pokarmowego,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przetoka,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perforacja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przewodu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pokarmowego,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niewygojonych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ran,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owrzodzeń,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złamań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kostnych,</w:t>
            </w:r>
          </w:p>
          <w:p w:rsidR="0071094D" w:rsidRPr="00DF4DA5" w:rsidRDefault="0071094D" w:rsidP="00345B45">
            <w:pPr>
              <w:pStyle w:val="Akapitzlist"/>
              <w:numPr>
                <w:ilvl w:val="3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inne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kliniczne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schorzenia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(aktywna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infekcja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wymagająca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systemowego;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zakażenie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wirusem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HIV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AIDS),</w:t>
            </w:r>
          </w:p>
          <w:p w:rsidR="0071094D" w:rsidRPr="00DF4DA5" w:rsidRDefault="0071094D" w:rsidP="00C16422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ciąża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:rsidR="0071094D" w:rsidRDefault="0071094D" w:rsidP="00C16422">
            <w:pPr>
              <w:pStyle w:val="Akapitzlist"/>
              <w:numPr>
                <w:ilvl w:val="2"/>
                <w:numId w:val="1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brak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zgody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antykoncepcji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trwania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leczenia.</w:t>
            </w:r>
          </w:p>
          <w:p w:rsidR="00C16422" w:rsidRPr="00DF4DA5" w:rsidRDefault="00C16422" w:rsidP="00A03ACC">
            <w:pPr>
              <w:suppressAutoHyphens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</w:tcPr>
          <w:p w:rsidR="00C360D3" w:rsidRPr="00DF4DA5" w:rsidRDefault="00C360D3" w:rsidP="00C164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Dawkowanie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wandetanibu</w:t>
            </w:r>
            <w:proofErr w:type="spellEnd"/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16422" w:rsidRDefault="00A03ACC" w:rsidP="00C16422">
            <w:pPr>
              <w:pStyle w:val="Default"/>
              <w:spacing w:after="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Maksymalnie do</w:t>
            </w:r>
            <w:r w:rsidR="005E5637">
              <w:rPr>
                <w:color w:val="auto"/>
                <w:sz w:val="20"/>
                <w:szCs w:val="20"/>
              </w:rPr>
              <w:t xml:space="preserve"> </w:t>
            </w:r>
            <w:r w:rsidR="00C360D3" w:rsidRPr="00DF4DA5">
              <w:rPr>
                <w:color w:val="auto"/>
                <w:sz w:val="20"/>
                <w:szCs w:val="20"/>
              </w:rPr>
              <w:t>300</w:t>
            </w:r>
            <w:r w:rsidR="005E5637">
              <w:rPr>
                <w:color w:val="auto"/>
                <w:sz w:val="20"/>
                <w:szCs w:val="20"/>
              </w:rPr>
              <w:t xml:space="preserve"> </w:t>
            </w:r>
            <w:r w:rsidR="00C360D3" w:rsidRPr="00DF4DA5">
              <w:rPr>
                <w:color w:val="auto"/>
                <w:sz w:val="20"/>
                <w:szCs w:val="20"/>
              </w:rPr>
              <w:t>mg</w:t>
            </w:r>
            <w:r w:rsidR="005E5637">
              <w:rPr>
                <w:color w:val="auto"/>
                <w:sz w:val="20"/>
                <w:szCs w:val="20"/>
              </w:rPr>
              <w:t xml:space="preserve"> </w:t>
            </w:r>
            <w:r w:rsidR="00C360D3" w:rsidRPr="00DF4DA5">
              <w:rPr>
                <w:color w:val="auto"/>
                <w:sz w:val="20"/>
                <w:szCs w:val="20"/>
              </w:rPr>
              <w:t>na</w:t>
            </w:r>
            <w:r w:rsidR="005E5637">
              <w:rPr>
                <w:color w:val="auto"/>
                <w:sz w:val="20"/>
                <w:szCs w:val="20"/>
              </w:rPr>
              <w:t xml:space="preserve"> </w:t>
            </w:r>
            <w:r w:rsidR="00C16422">
              <w:rPr>
                <w:color w:val="auto"/>
                <w:sz w:val="20"/>
                <w:szCs w:val="20"/>
              </w:rPr>
              <w:t>dobę</w:t>
            </w:r>
            <w:r w:rsidR="00EA6337">
              <w:rPr>
                <w:color w:val="auto"/>
                <w:sz w:val="20"/>
                <w:szCs w:val="20"/>
              </w:rPr>
              <w:t xml:space="preserve"> </w:t>
            </w:r>
            <w:r w:rsidR="00EA6337" w:rsidRPr="00EA6337">
              <w:rPr>
                <w:color w:val="auto"/>
                <w:sz w:val="20"/>
                <w:szCs w:val="20"/>
              </w:rPr>
              <w:t xml:space="preserve">zgodnie z </w:t>
            </w:r>
            <w:proofErr w:type="spellStart"/>
            <w:r w:rsidR="00EA6337" w:rsidRPr="00EA6337">
              <w:rPr>
                <w:color w:val="auto"/>
                <w:sz w:val="20"/>
                <w:szCs w:val="20"/>
              </w:rPr>
              <w:t>ChPL</w:t>
            </w:r>
            <w:proofErr w:type="spellEnd"/>
            <w:r w:rsidR="00EA6337" w:rsidRPr="00EA6337">
              <w:rPr>
                <w:color w:val="auto"/>
                <w:sz w:val="20"/>
                <w:szCs w:val="20"/>
              </w:rPr>
              <w:t xml:space="preserve"> aktualnym na dzień wydania decyzji o objęciu refundacją</w:t>
            </w:r>
            <w:r w:rsidR="00C360D3" w:rsidRPr="00DF4DA5">
              <w:rPr>
                <w:color w:val="auto"/>
                <w:sz w:val="20"/>
                <w:szCs w:val="20"/>
              </w:rPr>
              <w:t>.</w:t>
            </w:r>
          </w:p>
          <w:p w:rsidR="00C360D3" w:rsidRPr="00DF4DA5" w:rsidRDefault="00C360D3" w:rsidP="00DF4DA5">
            <w:pPr>
              <w:spacing w:before="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60D3" w:rsidRPr="00DF4DA5" w:rsidRDefault="00C360D3" w:rsidP="00DF4DA5">
            <w:pPr>
              <w:spacing w:before="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:rsidR="00C360D3" w:rsidRPr="00DF4DA5" w:rsidRDefault="00C360D3" w:rsidP="00A03AC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:rsidR="00C360D3" w:rsidRPr="00DF4DA5" w:rsidRDefault="00C360D3" w:rsidP="00A03ACC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2635B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2635B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potasu;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wapnia;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magnezu;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kalcytoniny;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TSH;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moczu;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wzroku,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lampy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szczelinowej;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EKG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odstępu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TK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NMR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szyi,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klatki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jamy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celu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wyjściowego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zaawansowania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choroby;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pomiar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ciśnienia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tętniczego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wskaźnika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INR</w:t>
            </w:r>
            <w:r w:rsidR="00F26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leczonych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antagonistami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witaminy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Default="00C360D3" w:rsidP="00F2635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test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ciążowy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kobiet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wieku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rozrodczym.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635B" w:rsidRPr="00DF4DA5" w:rsidRDefault="00F2635B" w:rsidP="00F2635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3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60D3" w:rsidRPr="00DF4DA5" w:rsidRDefault="00C360D3" w:rsidP="00DF4DA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0D3" w:rsidRPr="00DF4DA5" w:rsidRDefault="00C360D3" w:rsidP="00DF4DA5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po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pierwszym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tygodniu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od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rozpoczęcia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leczenia: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3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EKG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odstępu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zapisie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EKG;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3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potasu;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3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wapnia;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Default="00C360D3" w:rsidP="00F2635B">
            <w:pPr>
              <w:pStyle w:val="Akapitzlist"/>
              <w:numPr>
                <w:ilvl w:val="2"/>
                <w:numId w:val="33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magnezu.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635B" w:rsidRPr="00DF4DA5" w:rsidRDefault="00F2635B" w:rsidP="00F2635B">
            <w:pPr>
              <w:pStyle w:val="Akapitzlist"/>
              <w:tabs>
                <w:tab w:val="left" w:pos="596"/>
              </w:tabs>
              <w:suppressAutoHyphens/>
              <w:autoSpaceDN w:val="0"/>
              <w:spacing w:after="60" w:line="240" w:lineRule="auto"/>
              <w:ind w:left="39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C360D3" w:rsidRPr="00DF4DA5" w:rsidRDefault="00C360D3" w:rsidP="00F2635B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po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3,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tygodniach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od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rozpoczęcia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leczenia: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2635B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2635B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="00F2635B">
              <w:rPr>
                <w:rFonts w:ascii="Times New Roman" w:hAnsi="Times New Roman"/>
                <w:sz w:val="20"/>
                <w:szCs w:val="20"/>
              </w:rPr>
              <w:t>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bilirubiny;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potasu,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wapnia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magnezu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krwi;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kalcytoniny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(najwcześniej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12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leczenia);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TSH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(najwcześniej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12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rozpoczęciu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leczenia);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EKG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oceną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5">
              <w:rPr>
                <w:rFonts w:ascii="Times New Roman" w:hAnsi="Times New Roman"/>
                <w:sz w:val="20"/>
                <w:szCs w:val="20"/>
              </w:rPr>
              <w:t>QTc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Default="00C360D3" w:rsidP="00F2635B">
            <w:pPr>
              <w:pStyle w:val="Akapitzlist"/>
              <w:numPr>
                <w:ilvl w:val="2"/>
                <w:numId w:val="34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pomiar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ciśnienia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tętniczego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(lub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częściej,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jeśli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wskazane).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635B" w:rsidRPr="00DF4DA5" w:rsidRDefault="00F2635B" w:rsidP="00F2635B">
            <w:pPr>
              <w:pStyle w:val="Akapitzlist"/>
              <w:tabs>
                <w:tab w:val="left" w:pos="596"/>
              </w:tabs>
              <w:suppressAutoHyphens/>
              <w:autoSpaceDN w:val="0"/>
              <w:spacing w:after="60" w:line="240" w:lineRule="auto"/>
              <w:ind w:left="39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C360D3" w:rsidRPr="00DF4DA5" w:rsidRDefault="00C360D3" w:rsidP="00F2635B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co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miesiące: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rozmazem;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2635B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2635B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DF4D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bilirubiny;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potasu,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wapnia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magnezu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kalcytoniny;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TSH;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moczu;</w:t>
            </w:r>
          </w:p>
          <w:p w:rsidR="00C360D3" w:rsidRDefault="00C360D3" w:rsidP="00F2635B">
            <w:pPr>
              <w:pStyle w:val="Akapitzlist"/>
              <w:numPr>
                <w:ilvl w:val="2"/>
                <w:numId w:val="35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TK/NMR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celu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przeprowadzenia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oceny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na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leczenie.</w:t>
            </w:r>
          </w:p>
          <w:p w:rsidR="00F2635B" w:rsidRPr="00DF4DA5" w:rsidRDefault="00F2635B" w:rsidP="00F2635B">
            <w:pPr>
              <w:pStyle w:val="Akapitzlist"/>
              <w:tabs>
                <w:tab w:val="left" w:pos="596"/>
              </w:tabs>
              <w:suppressAutoHyphens/>
              <w:autoSpaceDN w:val="0"/>
              <w:spacing w:after="60" w:line="240" w:lineRule="auto"/>
              <w:ind w:left="39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C360D3" w:rsidRPr="00F2635B" w:rsidRDefault="00C360D3" w:rsidP="00F2635B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5E5637"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5E5637"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>co</w:t>
            </w:r>
            <w:r w:rsidR="005E5637"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5E5637"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2635B">
              <w:rPr>
                <w:rFonts w:ascii="Times New Roman" w:hAnsi="Times New Roman"/>
                <w:b/>
                <w:bCs/>
                <w:sz w:val="20"/>
                <w:szCs w:val="20"/>
              </w:rPr>
              <w:t>miesięcy:</w:t>
            </w:r>
          </w:p>
          <w:p w:rsidR="00C360D3" w:rsidRPr="00DF4DA5" w:rsidRDefault="00C360D3" w:rsidP="00F2635B">
            <w:pPr>
              <w:pStyle w:val="Akapitzlist"/>
              <w:numPr>
                <w:ilvl w:val="2"/>
                <w:numId w:val="36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4DA5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wzroku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z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lampy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sz w:val="20"/>
                <w:szCs w:val="20"/>
              </w:rPr>
              <w:t>szczelinowej.</w:t>
            </w:r>
            <w:r w:rsidR="005E5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0D3" w:rsidRPr="00DF4DA5" w:rsidRDefault="005E5637" w:rsidP="00DF4DA5">
            <w:pPr>
              <w:pStyle w:val="Default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360D3" w:rsidRPr="00DF4DA5" w:rsidRDefault="00C360D3" w:rsidP="00F2635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F4DA5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  <w:r w:rsidR="005E56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80E75" w:rsidRPr="00980E75" w:rsidRDefault="00980E75" w:rsidP="00980E75">
            <w:pPr>
              <w:pStyle w:val="Akapitzlist"/>
              <w:numPr>
                <w:ilvl w:val="2"/>
                <w:numId w:val="3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80E75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Zdrowia.</w:t>
            </w:r>
          </w:p>
          <w:p w:rsidR="00980E75" w:rsidRPr="00980E75" w:rsidRDefault="00980E75" w:rsidP="00980E75">
            <w:pPr>
              <w:pStyle w:val="Akapitzlist"/>
              <w:numPr>
                <w:ilvl w:val="2"/>
                <w:numId w:val="3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80E75">
              <w:rPr>
                <w:rFonts w:ascii="Times New Roman" w:hAnsi="Times New Roman"/>
                <w:sz w:val="20"/>
                <w:szCs w:val="20"/>
              </w:rPr>
              <w:t>Uzupełnienie danych zawartych w elektronicznym systemie monitorowania programów lekowych dostępnym za pomocą aplikacji internetowej udostępnionej przez OW NFZ, z częstotliwością zgodną z opisem programu oraz na zakończenie leczenia.</w:t>
            </w:r>
          </w:p>
          <w:p w:rsidR="00980E75" w:rsidRPr="00DF4DA5" w:rsidRDefault="00980E75" w:rsidP="00980E75">
            <w:pPr>
              <w:pStyle w:val="Akapitzlist"/>
              <w:numPr>
                <w:ilvl w:val="2"/>
                <w:numId w:val="37"/>
              </w:numPr>
              <w:tabs>
                <w:tab w:val="left" w:pos="596"/>
              </w:tabs>
              <w:suppressAutoHyphens/>
              <w:autoSpaceDN w:val="0"/>
              <w:spacing w:after="6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80E75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980E75" w:rsidRPr="00DF4DA5" w:rsidRDefault="00980E75" w:rsidP="00980E75">
            <w:pPr>
              <w:autoSpaceDE w:val="0"/>
              <w:autoSpaceDN w:val="0"/>
              <w:adjustRightInd w:val="0"/>
              <w:spacing w:before="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60D3" w:rsidRDefault="00C360D3"/>
    <w:sectPr w:rsidR="00C360D3" w:rsidSect="00D839D9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F55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7711A25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8F41915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A917B20"/>
    <w:multiLevelType w:val="multilevel"/>
    <w:tmpl w:val="BD24A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FF1200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681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681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851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021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0" w:hanging="1440"/>
      </w:pPr>
      <w:rPr>
        <w:rFonts w:hint="default"/>
      </w:rPr>
    </w:lvl>
  </w:abstractNum>
  <w:abstractNum w:abstractNumId="5" w15:restartNumberingAfterBreak="0">
    <w:nsid w:val="1C837737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E473548"/>
    <w:multiLevelType w:val="multilevel"/>
    <w:tmpl w:val="8968F0F6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F61165E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47A1BA0"/>
    <w:multiLevelType w:val="hybridMultilevel"/>
    <w:tmpl w:val="E74864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D828C7"/>
    <w:multiLevelType w:val="multilevel"/>
    <w:tmpl w:val="1D4AFE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623379D"/>
    <w:multiLevelType w:val="multilevel"/>
    <w:tmpl w:val="FC141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A23FDE"/>
    <w:multiLevelType w:val="multilevel"/>
    <w:tmpl w:val="92BE2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831B1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1984A3A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36C30711"/>
    <w:multiLevelType w:val="multilevel"/>
    <w:tmpl w:val="2EB405F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E21CC5"/>
    <w:multiLevelType w:val="multilevel"/>
    <w:tmpl w:val="FC141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420E3B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D287AC2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F474746"/>
    <w:multiLevelType w:val="multilevel"/>
    <w:tmpl w:val="D916E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41646802"/>
    <w:multiLevelType w:val="multilevel"/>
    <w:tmpl w:val="92BE2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C80F69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5186510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482153AE"/>
    <w:multiLevelType w:val="multilevel"/>
    <w:tmpl w:val="FC141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8540C68"/>
    <w:multiLevelType w:val="multilevel"/>
    <w:tmpl w:val="92BE2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D42FA9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E501524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4F332D79"/>
    <w:multiLevelType w:val="multilevel"/>
    <w:tmpl w:val="FC141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F8E3AD0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52E263AC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54BB4AFD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5E2C7A12"/>
    <w:multiLevelType w:val="multilevel"/>
    <w:tmpl w:val="FC141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34C2463"/>
    <w:multiLevelType w:val="hybridMultilevel"/>
    <w:tmpl w:val="0D061FB0"/>
    <w:lvl w:ilvl="0" w:tplc="C6FC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FB6A69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731545E9"/>
    <w:multiLevelType w:val="multilevel"/>
    <w:tmpl w:val="FC141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7D24C6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755174B9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8"/>
  </w:num>
  <w:num w:numId="6">
    <w:abstractNumId w:val="35"/>
  </w:num>
  <w:num w:numId="7">
    <w:abstractNumId w:val="14"/>
  </w:num>
  <w:num w:numId="8">
    <w:abstractNumId w:val="3"/>
  </w:num>
  <w:num w:numId="9">
    <w:abstractNumId w:val="30"/>
  </w:num>
  <w:num w:numId="10">
    <w:abstractNumId w:val="8"/>
  </w:num>
  <w:num w:numId="11">
    <w:abstractNumId w:val="33"/>
  </w:num>
  <w:num w:numId="12">
    <w:abstractNumId w:val="26"/>
  </w:num>
  <w:num w:numId="13">
    <w:abstractNumId w:val="15"/>
  </w:num>
  <w:num w:numId="14">
    <w:abstractNumId w:val="10"/>
  </w:num>
  <w:num w:numId="15">
    <w:abstractNumId w:val="22"/>
  </w:num>
  <w:num w:numId="16">
    <w:abstractNumId w:val="31"/>
  </w:num>
  <w:num w:numId="17">
    <w:abstractNumId w:val="24"/>
  </w:num>
  <w:num w:numId="18">
    <w:abstractNumId w:val="16"/>
  </w:num>
  <w:num w:numId="19">
    <w:abstractNumId w:val="7"/>
  </w:num>
  <w:num w:numId="20">
    <w:abstractNumId w:val="25"/>
  </w:num>
  <w:num w:numId="21">
    <w:abstractNumId w:val="13"/>
  </w:num>
  <w:num w:numId="22">
    <w:abstractNumId w:val="5"/>
  </w:num>
  <w:num w:numId="23">
    <w:abstractNumId w:val="21"/>
  </w:num>
  <w:num w:numId="24">
    <w:abstractNumId w:val="29"/>
  </w:num>
  <w:num w:numId="25">
    <w:abstractNumId w:val="4"/>
  </w:num>
  <w:num w:numId="26">
    <w:abstractNumId w:val="27"/>
  </w:num>
  <w:num w:numId="27">
    <w:abstractNumId w:val="2"/>
  </w:num>
  <w:num w:numId="28">
    <w:abstractNumId w:val="34"/>
  </w:num>
  <w:num w:numId="29">
    <w:abstractNumId w:val="1"/>
  </w:num>
  <w:num w:numId="30">
    <w:abstractNumId w:val="28"/>
  </w:num>
  <w:num w:numId="31">
    <w:abstractNumId w:val="11"/>
  </w:num>
  <w:num w:numId="32">
    <w:abstractNumId w:val="19"/>
  </w:num>
  <w:num w:numId="33">
    <w:abstractNumId w:val="32"/>
  </w:num>
  <w:num w:numId="34">
    <w:abstractNumId w:val="0"/>
  </w:num>
  <w:num w:numId="35">
    <w:abstractNumId w:val="17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D3"/>
    <w:rsid w:val="00037FE4"/>
    <w:rsid w:val="00345B45"/>
    <w:rsid w:val="003979F9"/>
    <w:rsid w:val="00476407"/>
    <w:rsid w:val="005A3DD1"/>
    <w:rsid w:val="005C3502"/>
    <w:rsid w:val="005E5637"/>
    <w:rsid w:val="00673DB9"/>
    <w:rsid w:val="00694905"/>
    <w:rsid w:val="0071094D"/>
    <w:rsid w:val="0074377F"/>
    <w:rsid w:val="00945325"/>
    <w:rsid w:val="009604AE"/>
    <w:rsid w:val="00980E75"/>
    <w:rsid w:val="00A03ACC"/>
    <w:rsid w:val="00A31B24"/>
    <w:rsid w:val="00A66469"/>
    <w:rsid w:val="00B66CEB"/>
    <w:rsid w:val="00B75775"/>
    <w:rsid w:val="00C0402B"/>
    <w:rsid w:val="00C16422"/>
    <w:rsid w:val="00C360D3"/>
    <w:rsid w:val="00C3774E"/>
    <w:rsid w:val="00D839D9"/>
    <w:rsid w:val="00DC72B4"/>
    <w:rsid w:val="00DF4DA5"/>
    <w:rsid w:val="00E30A99"/>
    <w:rsid w:val="00EA6337"/>
    <w:rsid w:val="00EE481E"/>
    <w:rsid w:val="00F2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98EE"/>
  <w15:chartTrackingRefBased/>
  <w15:docId w15:val="{ADEB0674-C46B-4295-A488-B42E98F0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0D3"/>
    <w:pPr>
      <w:spacing w:before="120" w:after="120" w:line="36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HTA-spistabel">
    <w:name w:val="PHTA - spis tabel"/>
    <w:basedOn w:val="Spisilustracji"/>
    <w:link w:val="PHTA-spistabelZnak"/>
    <w:qFormat/>
    <w:rsid w:val="00A31B24"/>
    <w:pPr>
      <w:tabs>
        <w:tab w:val="right" w:leader="dot" w:pos="9061"/>
      </w:tabs>
      <w:spacing w:before="40" w:after="40" w:line="240" w:lineRule="auto"/>
      <w:ind w:left="1134" w:right="566" w:hanging="1134"/>
    </w:pPr>
  </w:style>
  <w:style w:type="character" w:customStyle="1" w:styleId="PHTA-spistabelZnak">
    <w:name w:val="PHTA - spis tabel Znak"/>
    <w:basedOn w:val="Domylnaczcionkaakapitu"/>
    <w:link w:val="PHTA-spistabel"/>
    <w:rsid w:val="00A31B24"/>
    <w:rPr>
      <w:rFonts w:ascii="Calibri" w:hAnsi="Calibri"/>
      <w:szCs w:val="24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A31B24"/>
    <w:pPr>
      <w:spacing w:after="0"/>
    </w:pPr>
  </w:style>
  <w:style w:type="paragraph" w:customStyle="1" w:styleId="Default">
    <w:name w:val="Default"/>
    <w:rsid w:val="00C36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Styl moj,Akapit z listą11,List Paragraph1"/>
    <w:basedOn w:val="Normalny"/>
    <w:link w:val="AkapitzlistZnak"/>
    <w:qFormat/>
    <w:rsid w:val="00C360D3"/>
    <w:pPr>
      <w:spacing w:before="0"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kapitzlistZnak">
    <w:name w:val="Akapit z listą Znak"/>
    <w:aliases w:val="Styl moj Znak,Akapit z listą11 Znak,List Paragraph1 Znak"/>
    <w:link w:val="Akapitzlist"/>
    <w:locked/>
    <w:rsid w:val="00C360D3"/>
    <w:rPr>
      <w:rFonts w:ascii="Calibri" w:eastAsia="Calibri" w:hAnsi="Calibri" w:cs="Times New Roman"/>
    </w:rPr>
  </w:style>
  <w:style w:type="table" w:customStyle="1" w:styleId="Tabela-Siatka3">
    <w:name w:val="Tabela - Siatka3"/>
    <w:basedOn w:val="Standardowy"/>
    <w:next w:val="Tabela-Siatka"/>
    <w:uiPriority w:val="39"/>
    <w:rsid w:val="00C360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C360D3"/>
    <w:pPr>
      <w:numPr>
        <w:numId w:val="3"/>
      </w:numPr>
    </w:pPr>
  </w:style>
  <w:style w:type="paragraph" w:customStyle="1" w:styleId="Standard">
    <w:name w:val="Standard"/>
    <w:rsid w:val="00C360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3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7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7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C8E0-A72A-4E60-9815-E09E1BCC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Gąsiorowski</dc:creator>
  <cp:keywords/>
  <dc:description/>
  <cp:lastModifiedBy>Królak-Buzakowska Joanna</cp:lastModifiedBy>
  <cp:revision>3</cp:revision>
  <dcterms:created xsi:type="dcterms:W3CDTF">2020-01-13T13:11:00Z</dcterms:created>
  <dcterms:modified xsi:type="dcterms:W3CDTF">2020-02-13T11:10:00Z</dcterms:modified>
</cp:coreProperties>
</file>