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3B4F" w14:textId="011461AC" w:rsidR="004653DB" w:rsidRPr="002A7278" w:rsidRDefault="004653DB" w:rsidP="006F25A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A7278">
        <w:rPr>
          <w:rFonts w:ascii="Times New Roman" w:eastAsia="Times New Roman" w:hAnsi="Times New Roman"/>
          <w:lang w:eastAsia="pl-PL"/>
        </w:rPr>
        <w:t>Załącznik</w:t>
      </w:r>
      <w:r w:rsidR="00063839">
        <w:rPr>
          <w:rFonts w:ascii="Times New Roman" w:eastAsia="Times New Roman" w:hAnsi="Times New Roman"/>
          <w:lang w:eastAsia="pl-PL"/>
        </w:rPr>
        <w:t xml:space="preserve"> </w:t>
      </w:r>
      <w:r w:rsidRPr="002A7278">
        <w:rPr>
          <w:rFonts w:ascii="Times New Roman" w:eastAsia="Times New Roman" w:hAnsi="Times New Roman"/>
          <w:lang w:eastAsia="pl-PL"/>
        </w:rPr>
        <w:t>B.11</w:t>
      </w:r>
      <w:r>
        <w:rPr>
          <w:rFonts w:ascii="Times New Roman" w:eastAsia="Times New Roman" w:hAnsi="Times New Roman"/>
          <w:lang w:eastAsia="pl-PL"/>
        </w:rPr>
        <w:t>9</w:t>
      </w:r>
      <w:r w:rsidRPr="002A7278">
        <w:rPr>
          <w:rFonts w:ascii="Times New Roman" w:eastAsia="Times New Roman" w:hAnsi="Times New Roman"/>
          <w:lang w:eastAsia="pl-PL"/>
        </w:rPr>
        <w:t>.</w:t>
      </w:r>
    </w:p>
    <w:p w14:paraId="32170FE1" w14:textId="77777777" w:rsidR="004653DB" w:rsidRPr="002A7278" w:rsidRDefault="004653DB" w:rsidP="006F25A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9C8FDD6" w14:textId="39CA0A6A" w:rsidR="004653DB" w:rsidRPr="002A7278" w:rsidRDefault="004653DB" w:rsidP="00953FCF">
      <w:pPr>
        <w:spacing w:after="24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A4A18">
        <w:rPr>
          <w:rFonts w:ascii="Times New Roman" w:hAnsi="Times New Roman"/>
          <w:b/>
          <w:sz w:val="28"/>
          <w:szCs w:val="28"/>
        </w:rPr>
        <w:t>LECZENIE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PACJENTÓW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Z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POSTĘPUJĄCYM,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MIEJSCOWO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ZAAWANSOWANYM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LUB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Z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PRZERZUTAMI,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ZRÓŻNICOWANYM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(BRODAWKOWATYM/PĘCHERZYKOWYM/OKSYFILNYM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-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Z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KOMÓREK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HÜRTHLE’A)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RAKIEM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TARCZYCY,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OPORNYM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NA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LECZENIE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JODEM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RADIOAKTYWNYM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(ICD-10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C</w:t>
      </w:r>
      <w:r w:rsidR="00063839">
        <w:rPr>
          <w:rFonts w:ascii="Times New Roman" w:hAnsi="Times New Roman"/>
          <w:b/>
          <w:sz w:val="28"/>
          <w:szCs w:val="28"/>
        </w:rPr>
        <w:t xml:space="preserve"> </w:t>
      </w:r>
      <w:r w:rsidRPr="009A4A18">
        <w:rPr>
          <w:rFonts w:ascii="Times New Roman" w:hAnsi="Times New Roman"/>
          <w:b/>
          <w:sz w:val="28"/>
          <w:szCs w:val="28"/>
        </w:rPr>
        <w:t>73)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A72B7" w:rsidRPr="004F5F51" w14:paraId="65F911EF" w14:textId="77777777" w:rsidTr="002A7278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F9C" w14:textId="0D638D89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ŚWIADCZENIA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9A72B7" w:rsidRPr="004F5F51" w14:paraId="54BC93DB" w14:textId="77777777" w:rsidTr="00063839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BDB" w14:textId="77777777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C7F7" w14:textId="5510BC7F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DAWKOWANIA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LEKÓW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C8A" w14:textId="668D6972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0638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9A72B7" w:rsidRPr="004F5F51" w14:paraId="2BA1B80D" w14:textId="77777777" w:rsidTr="00063839">
        <w:trPr>
          <w:trHeight w:val="2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E38F" w14:textId="2C190F77" w:rsidR="004653DB" w:rsidRPr="00953FCF" w:rsidRDefault="004653DB" w:rsidP="00953F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05BABFD7" w14:textId="4B297390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histologiczne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rozpoznanie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zróżnicowanego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tarczycy,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brodawkowatego,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pęcherzykowego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komórek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0B6">
              <w:rPr>
                <w:rFonts w:ascii="Times New Roman" w:hAnsi="Times New Roman" w:cs="Times New Roman"/>
                <w:sz w:val="20"/>
                <w:szCs w:val="20"/>
              </w:rPr>
              <w:t>Hürthle’a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5E5B3E" w14:textId="6476FB28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miejscowego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zaawansowania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narządach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odległych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obrazowych;</w:t>
            </w:r>
          </w:p>
          <w:p w14:paraId="06DF45F3" w14:textId="4F49A5B4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nieskuteczność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radioaktywnym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jodem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rozumiana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wychwytującej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jodu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pomimo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wychwytu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jodu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wyczerpanie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łącznej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kumulatywnej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jodu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wynoszącej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8B2862" w14:textId="4B715F7F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programu;</w:t>
            </w:r>
          </w:p>
          <w:p w14:paraId="7B991EC6" w14:textId="543111CC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obecności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nowotworowych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RECIST;</w:t>
            </w:r>
          </w:p>
          <w:p w14:paraId="3C3E96B4" w14:textId="418F4DE9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ogólnej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stopniach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ECOG;</w:t>
            </w:r>
          </w:p>
          <w:p w14:paraId="48284C22" w14:textId="6BB4566C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wiek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4CFD9EE6" w14:textId="53C74076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adekwatna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wydolność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narządowa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określona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zapisami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(dalej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8C5C2A2" w14:textId="07700D6C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kobiet;</w:t>
            </w:r>
          </w:p>
          <w:p w14:paraId="15C89BF8" w14:textId="411646F8" w:rsidR="004653DB" w:rsidRDefault="004653DB" w:rsidP="00953FCF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sorafenibu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którymi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alergia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pomocniczą.</w:t>
            </w:r>
          </w:p>
          <w:p w14:paraId="26E9CBC5" w14:textId="77777777" w:rsidR="00953FCF" w:rsidRPr="00953FCF" w:rsidRDefault="00953FCF" w:rsidP="00953FCF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6B6FD" w14:textId="3F302221" w:rsidR="004653DB" w:rsidRPr="00953FCF" w:rsidRDefault="004653DB" w:rsidP="00953FCF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FCF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muszą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być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łącznie.</w:t>
            </w:r>
          </w:p>
          <w:p w14:paraId="7FE6DC80" w14:textId="77777777" w:rsidR="004653DB" w:rsidRPr="00953FCF" w:rsidRDefault="004653DB" w:rsidP="00953FCF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  <w:p w14:paraId="56A61D79" w14:textId="19626FD9" w:rsidR="004653DB" w:rsidRPr="00953FCF" w:rsidRDefault="004653DB" w:rsidP="00953FCF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FCF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są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byli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hAnsi="Times New Roman"/>
                <w:sz w:val="20"/>
                <w:szCs w:val="20"/>
              </w:rPr>
              <w:t>sorafenibem</w:t>
            </w:r>
            <w:proofErr w:type="spellEnd"/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ramach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innego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(za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wyjątkiem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badań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klinicznych),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pod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że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chwili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3DC59847" w14:textId="77777777" w:rsidR="004653DB" w:rsidRPr="00953FCF" w:rsidRDefault="004653DB" w:rsidP="00953FCF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  <w:p w14:paraId="606FB628" w14:textId="21C3BF3F" w:rsidR="004653DB" w:rsidRPr="00953FCF" w:rsidRDefault="004653DB" w:rsidP="00953FCF">
            <w:pPr>
              <w:pStyle w:val="Akapitzlist"/>
              <w:numPr>
                <w:ilvl w:val="0"/>
                <w:numId w:val="9"/>
              </w:num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38ABF89E" w14:textId="090B242B" w:rsidR="004653DB" w:rsidRPr="00953FCF" w:rsidRDefault="004653DB" w:rsidP="00953FCF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Leczenie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trwa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czasu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podjęcia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przez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lekarza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prowadzącego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decyzji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wyłączeniu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świadczeniobiorcy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programu,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zgodnie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kryteriami</w:t>
            </w:r>
            <w:r w:rsidR="000638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wyłączenia.</w:t>
            </w:r>
          </w:p>
          <w:p w14:paraId="386DA84E" w14:textId="77777777" w:rsidR="004653DB" w:rsidRPr="00953FCF" w:rsidRDefault="004653DB" w:rsidP="00953FCF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61DE892F" w14:textId="7AC51902" w:rsidR="004653DB" w:rsidRPr="00953FCF" w:rsidRDefault="004653DB" w:rsidP="00953F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0638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sz w:val="20"/>
                <w:szCs w:val="20"/>
              </w:rPr>
              <w:t>uniemożliwiające</w:t>
            </w:r>
            <w:r w:rsidR="000638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sz w:val="20"/>
                <w:szCs w:val="20"/>
              </w:rPr>
              <w:t>włączenie</w:t>
            </w:r>
            <w:r w:rsidR="000638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3141A98A" w14:textId="6E7B9753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współistnienie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aktywnego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nowotworu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złośliwego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podstawnokomórkowego</w:t>
            </w:r>
            <w:proofErr w:type="spellEnd"/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skóry,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szyjki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macicy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situ,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zachorowanie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jakikolwiek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nowotwór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złośliwy,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ile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miało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charakteru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radykalnego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miało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charakter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radykalny,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ale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uzyskano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remisji;</w:t>
            </w:r>
          </w:p>
          <w:p w14:paraId="3F11E854" w14:textId="05BA69C9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istotnych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schorzeń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współistniejących:</w:t>
            </w:r>
          </w:p>
          <w:p w14:paraId="2D0AA626" w14:textId="4C736105" w:rsidR="004653DB" w:rsidRPr="00953FCF" w:rsidRDefault="004653DB" w:rsidP="00953FCF">
            <w:pPr>
              <w:pStyle w:val="Akapitzlist"/>
              <w:numPr>
                <w:ilvl w:val="4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niekontrolowana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infekcja,</w:t>
            </w:r>
          </w:p>
          <w:p w14:paraId="0C94CC29" w14:textId="6B5EED81" w:rsidR="004653DB" w:rsidRPr="00953FCF" w:rsidRDefault="004653DB" w:rsidP="00953FCF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niewydolność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NYHA;</w:t>
            </w:r>
          </w:p>
          <w:p w14:paraId="4368F7E4" w14:textId="6B7B984F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jakichkolwiek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stanów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schorzeń,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które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opinii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lekarza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mogą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stanowić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przeciwwskazanie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zastosowania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sorafenibu</w:t>
            </w:r>
            <w:proofErr w:type="spellEnd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CFACC1B" w14:textId="77777777" w:rsidR="004653DB" w:rsidRPr="00953FCF" w:rsidRDefault="004653DB" w:rsidP="00953FCF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  <w:p w14:paraId="2C74FF54" w14:textId="679A8134" w:rsidR="004653DB" w:rsidRPr="00953FCF" w:rsidRDefault="004653DB" w:rsidP="00953F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F73F2FD" w14:textId="410AB1D4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udokumentowana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leczenia;</w:t>
            </w:r>
          </w:p>
          <w:p w14:paraId="3E3D939A" w14:textId="75528EAE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nadwrażliwości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sorafenib</w:t>
            </w:r>
            <w:proofErr w:type="spellEnd"/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5B543D8E" w14:textId="1BA44A40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ECOG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4;</w:t>
            </w:r>
          </w:p>
          <w:p w14:paraId="49CA5CC8" w14:textId="4802BB0C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nawracająca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pomimo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redukcji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i/lub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przerwy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leczeniu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nieakceptowalna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toksyczność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stopnia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WHO;</w:t>
            </w:r>
          </w:p>
          <w:p w14:paraId="73564995" w14:textId="78ABA6F6" w:rsidR="004653DB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zastoinowej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niewydolności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serca,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niekontrolowanego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nadciśnienia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tętniczego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niestabilnych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zaburzeń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rytmu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wymagających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leczenia;</w:t>
            </w:r>
          </w:p>
          <w:p w14:paraId="18481174" w14:textId="5F8276EB" w:rsidR="009A72B7" w:rsidRPr="00953FCF" w:rsidRDefault="004653DB" w:rsidP="00953FCF">
            <w:pPr>
              <w:pStyle w:val="Akapitzlist"/>
              <w:numPr>
                <w:ilvl w:val="3"/>
                <w:numId w:val="9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jakiekolwiek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poważne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schorzenie,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które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opinii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lekarza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prowadzącego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uniemożliwia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kontynuację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sorafenibem</w:t>
            </w:r>
            <w:proofErr w:type="spellEnd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83BD501" w14:textId="3FC589E6" w:rsidR="002A7278" w:rsidRPr="00953FCF" w:rsidRDefault="002A7278" w:rsidP="00953FCF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D269" w14:textId="77777777" w:rsidR="004653DB" w:rsidRPr="00953FCF" w:rsidRDefault="004653DB" w:rsidP="00953FCF">
            <w:pPr>
              <w:pStyle w:val="Akapitzlist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before="12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953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Sorafenib</w:t>
            </w:r>
            <w:proofErr w:type="spellEnd"/>
          </w:p>
          <w:p w14:paraId="5000DE69" w14:textId="18BECD1A" w:rsidR="004653DB" w:rsidRPr="00953FCF" w:rsidRDefault="004653DB" w:rsidP="00953FCF">
            <w:pPr>
              <w:pStyle w:val="Akapitzlist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Sorafenib</w:t>
            </w:r>
            <w:proofErr w:type="spellEnd"/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dobowej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tabletki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zawierające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mg)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przerw.</w:t>
            </w:r>
          </w:p>
          <w:p w14:paraId="4C613AEF" w14:textId="2F7ABD10" w:rsidR="004653DB" w:rsidRPr="00953FCF" w:rsidRDefault="004653DB" w:rsidP="00953FCF">
            <w:pPr>
              <w:pStyle w:val="Akapitzlist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istotnych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związanych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leczeniem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przerwać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aż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nasilenia.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91EC607" w14:textId="0F5D13DF" w:rsidR="004653DB" w:rsidRPr="00953FCF" w:rsidRDefault="004653DB" w:rsidP="00953FCF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kolejności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wdrożenia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profilaktyki/terapii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powikłań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(np.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efektywne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nadciśnienia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tętniczego,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dłoniowo-podeszwowego)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nieskuteczności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takiego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powinno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rozważać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dobowej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sorafenibu</w:t>
            </w:r>
            <w:proofErr w:type="spellEnd"/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tabletki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tabletka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godzin),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tabletka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godzin),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będzie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sorafenib</w:t>
            </w:r>
            <w:proofErr w:type="spellEnd"/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dobę.</w:t>
            </w:r>
          </w:p>
          <w:p w14:paraId="3C9FE744" w14:textId="1BD1E590" w:rsidR="004653DB" w:rsidRPr="00953FCF" w:rsidRDefault="004653DB" w:rsidP="00953FCF">
            <w:pPr>
              <w:pStyle w:val="Akapitzlist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Jeżeli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leczeniem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zmniejszą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swojego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nasilenia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przerwania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zakończyć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leczenie.</w:t>
            </w:r>
          </w:p>
          <w:p w14:paraId="7AE5AEDD" w14:textId="58864CC3" w:rsidR="009A72B7" w:rsidRPr="00953FCF" w:rsidRDefault="004653DB" w:rsidP="00953FCF">
            <w:pPr>
              <w:pStyle w:val="Akapitzlist"/>
              <w:numPr>
                <w:ilvl w:val="1"/>
                <w:numId w:val="12"/>
              </w:numPr>
              <w:spacing w:after="60"/>
              <w:ind w:right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nasilenia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innych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hematologiczne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stopniu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CTC,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zwiększenie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0638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sorafenibu</w:t>
            </w:r>
            <w:proofErr w:type="spellEnd"/>
            <w:r w:rsidRPr="00953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E056" w14:textId="47484D86" w:rsidR="004653DB" w:rsidRPr="00953FCF" w:rsidRDefault="004653DB" w:rsidP="0006383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Badania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063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113FF1ED" w14:textId="7CDF5066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histologiczne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zróżnicowanego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tarczycy,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brodawkowatego,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pęcherzykowego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komórek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00B6">
              <w:rPr>
                <w:rFonts w:ascii="Times New Roman" w:hAnsi="Times New Roman" w:cs="Times New Roman"/>
                <w:sz w:val="20"/>
                <w:szCs w:val="20"/>
              </w:rPr>
              <w:t>Hürthle’a</w:t>
            </w:r>
            <w:proofErr w:type="spellEnd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D30CACA" w14:textId="50264C45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33E0A257" w14:textId="0452249D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hemoglobiny;</w:t>
            </w:r>
          </w:p>
          <w:p w14:paraId="4BC0C037" w14:textId="3E95B6A4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3C9AEB4D" w14:textId="2F97B9F9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1E41C357" w14:textId="10E6C6B5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5BEF9654" w14:textId="160618C9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AspAT</w:t>
            </w:r>
            <w:proofErr w:type="spellEnd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AlAT</w:t>
            </w:r>
            <w:proofErr w:type="spellEnd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1166F76D" w14:textId="41E44A3E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ciążowy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kobiet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wieku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rozrodczym;</w:t>
            </w:r>
          </w:p>
          <w:p w14:paraId="362EBB15" w14:textId="39C81F2A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scyntygrafia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kości;</w:t>
            </w:r>
          </w:p>
          <w:p w14:paraId="39CBEE18" w14:textId="186B5BC5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tomografia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komputerowa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miednicy;</w:t>
            </w:r>
          </w:p>
          <w:p w14:paraId="5F79E3E9" w14:textId="4E946E3B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Rtg</w:t>
            </w:r>
            <w:proofErr w:type="spellEnd"/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tomografia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komputerowa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klatki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piersiowej;</w:t>
            </w:r>
          </w:p>
          <w:p w14:paraId="62294FA3" w14:textId="77777777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elektrokardiogram;</w:t>
            </w:r>
          </w:p>
          <w:p w14:paraId="65E112EE" w14:textId="55235369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pomiar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ciśnienia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tętniczego;</w:t>
            </w:r>
          </w:p>
          <w:p w14:paraId="06A011D3" w14:textId="1BF880C9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45D88B91" w14:textId="77777777" w:rsidR="004653DB" w:rsidRPr="00953FCF" w:rsidRDefault="004653DB" w:rsidP="00063839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6F1132" w14:textId="702C3D49" w:rsidR="004653DB" w:rsidRPr="00953FCF" w:rsidRDefault="004653DB" w:rsidP="00063839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Monitorowanie</w:t>
            </w:r>
            <w:r w:rsidR="00063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bezpieczeństwa</w:t>
            </w:r>
            <w:r w:rsidR="00063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r w:rsidR="00063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063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2F364A3" w14:textId="7B713A45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4E6880E7" w14:textId="326836EC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1A2606E6" w14:textId="11DD46B3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bilirubiny,</w:t>
            </w:r>
          </w:p>
          <w:p w14:paraId="3FE35C07" w14:textId="68815A1C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</w:p>
          <w:p w14:paraId="104E5469" w14:textId="06C68788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transaminaz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2808E7C9" w14:textId="4186713A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wapnia,</w:t>
            </w:r>
          </w:p>
          <w:p w14:paraId="78B0C0DD" w14:textId="24D155F8" w:rsidR="004653DB" w:rsidRPr="00953FCF" w:rsidRDefault="004653DB" w:rsidP="00063839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TSH</w:t>
            </w:r>
          </w:p>
          <w:p w14:paraId="2FE3DCFD" w14:textId="7A152586" w:rsidR="004653DB" w:rsidRPr="00953FCF" w:rsidRDefault="004653DB" w:rsidP="00063839">
            <w:pPr>
              <w:pStyle w:val="Akapitzlist"/>
              <w:numPr>
                <w:ilvl w:val="5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53A1B5BE" w14:textId="47DEA867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elektrokardiogram;</w:t>
            </w:r>
          </w:p>
          <w:p w14:paraId="7DC62013" w14:textId="65B7A296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odpowiedniego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obszaru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ciała;</w:t>
            </w:r>
          </w:p>
          <w:p w14:paraId="34C961E1" w14:textId="384CB3FC" w:rsidR="004653DB" w:rsidRPr="00953FCF" w:rsidRDefault="004653DB" w:rsidP="0006383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razie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063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hAnsi="Times New Roman" w:cs="Times New Roman"/>
                <w:sz w:val="20"/>
                <w:szCs w:val="20"/>
              </w:rPr>
              <w:t>klinicznych.</w:t>
            </w:r>
          </w:p>
          <w:p w14:paraId="2CBCBAA6" w14:textId="77777777" w:rsidR="004653DB" w:rsidRPr="00953FCF" w:rsidRDefault="004653DB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5137D6" w14:textId="42D48858" w:rsidR="004653DB" w:rsidRPr="00063839" w:rsidRDefault="004653DB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83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laboratoryjne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oraz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ocenę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stanu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klinicznego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się:</w:t>
            </w:r>
          </w:p>
          <w:p w14:paraId="49D7FC29" w14:textId="393C75E3" w:rsidR="004653DB" w:rsidRPr="00953FCF" w:rsidRDefault="004653DB" w:rsidP="00063839">
            <w:pPr>
              <w:pStyle w:val="Akapitzlist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pierwsze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dwa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miesiące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terapii-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tygodnie;</w:t>
            </w:r>
          </w:p>
          <w:p w14:paraId="7DF18E8D" w14:textId="03379AB1" w:rsidR="004653DB" w:rsidRPr="00953FCF" w:rsidRDefault="004653DB" w:rsidP="00063839">
            <w:pPr>
              <w:pStyle w:val="Akapitzlist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terapii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miesiąc;</w:t>
            </w:r>
          </w:p>
          <w:p w14:paraId="36F6B960" w14:textId="039738F6" w:rsidR="004653DB" w:rsidRPr="00953FCF" w:rsidRDefault="004653DB" w:rsidP="00063839">
            <w:pPr>
              <w:pStyle w:val="Akapitzlist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miesiąca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terapii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miesiące;</w:t>
            </w:r>
          </w:p>
          <w:p w14:paraId="5172AB7C" w14:textId="15F4042E" w:rsidR="004653DB" w:rsidRPr="00063839" w:rsidRDefault="004653DB" w:rsidP="00063839">
            <w:pPr>
              <w:pStyle w:val="Akapitzlist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miesiącu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terapii-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63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3FCF">
              <w:rPr>
                <w:rFonts w:ascii="Times New Roman" w:eastAsia="Calibri" w:hAnsi="Times New Roman" w:cs="Times New Roman"/>
                <w:sz w:val="20"/>
                <w:szCs w:val="20"/>
              </w:rPr>
              <w:t>miesiące.</w:t>
            </w:r>
          </w:p>
          <w:p w14:paraId="2658FBDC" w14:textId="77777777" w:rsidR="00063839" w:rsidRDefault="00063839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2987E4" w14:textId="3BD2F049" w:rsidR="004653DB" w:rsidRPr="00063839" w:rsidRDefault="004653DB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839">
              <w:rPr>
                <w:rFonts w:ascii="Times New Roman" w:hAnsi="Times New Roman"/>
                <w:sz w:val="20"/>
                <w:szCs w:val="20"/>
              </w:rPr>
              <w:t>Pierwsze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wykonuje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się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po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12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tyg.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kolejne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co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6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miesięcy,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ile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nie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występują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dodatkowe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kliniczne.</w:t>
            </w:r>
          </w:p>
          <w:p w14:paraId="289173DA" w14:textId="73664C05" w:rsidR="004653DB" w:rsidRPr="00063839" w:rsidRDefault="004653DB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839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wykonać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z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z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powodu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niż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progresja</w:t>
            </w:r>
            <w:r w:rsidR="00063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839">
              <w:rPr>
                <w:rFonts w:ascii="Times New Roman" w:hAnsi="Times New Roman"/>
                <w:sz w:val="20"/>
                <w:szCs w:val="20"/>
              </w:rPr>
              <w:t>choroby.</w:t>
            </w:r>
          </w:p>
          <w:p w14:paraId="6F1648CF" w14:textId="77777777" w:rsidR="004653DB" w:rsidRPr="00953FCF" w:rsidRDefault="004653DB" w:rsidP="000638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F42C81" w14:textId="4C22BE5B" w:rsidR="004653DB" w:rsidRPr="00953FCF" w:rsidRDefault="004653DB" w:rsidP="00063839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Monitorowanie</w:t>
            </w:r>
            <w:r w:rsidR="00063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programu</w:t>
            </w:r>
          </w:p>
          <w:p w14:paraId="665C1BB7" w14:textId="150AB8EE" w:rsidR="004653DB" w:rsidRPr="00953FCF" w:rsidRDefault="004653DB" w:rsidP="00063839">
            <w:pPr>
              <w:pStyle w:val="Akapitzlist"/>
              <w:widowControl w:val="0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dokumentacji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medycznej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pacjenta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danych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dotyczących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monitorowania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każdorazowe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przedstawianie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żądanie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kontrolerów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Narodowego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Funduszu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Zdrowia;</w:t>
            </w:r>
          </w:p>
          <w:p w14:paraId="76A026ED" w14:textId="1C997C75" w:rsidR="004653DB" w:rsidRPr="00953FCF" w:rsidRDefault="004653DB" w:rsidP="00063839">
            <w:pPr>
              <w:pStyle w:val="Akapitzlist"/>
              <w:widowControl w:val="0"/>
              <w:numPr>
                <w:ilvl w:val="3"/>
                <w:numId w:val="14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uzupełnianie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danych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zawartych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rejestrze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(SMPT)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dostępnym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pomocą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aplikacji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internetowej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udostępnionej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NFZ,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częstotliwością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zgodną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opisem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programu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leczenia;</w:t>
            </w:r>
          </w:p>
          <w:p w14:paraId="1FAF8583" w14:textId="320737B8" w:rsidR="00334F87" w:rsidRPr="00953FCF" w:rsidRDefault="004653DB" w:rsidP="00063839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przekazywanie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informacji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sprawozdawczo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-rozliczeniowych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NFZ: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informacje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NFZ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papierowej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elektronicznej,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zgodnie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wymaganiami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opublikowanymi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Narodowy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3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Zdrowia</w:t>
            </w:r>
            <w:r w:rsidR="0006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761E8CCE" w14:textId="77777777" w:rsidR="00407C5C" w:rsidRPr="004F5F51" w:rsidRDefault="00407C5C" w:rsidP="001D68BE">
      <w:pPr>
        <w:rPr>
          <w:rFonts w:ascii="Times New Roman" w:hAnsi="Times New Roman"/>
        </w:rPr>
      </w:pPr>
    </w:p>
    <w:sectPr w:rsidR="00407C5C" w:rsidRPr="004F5F51" w:rsidSect="002A7278">
      <w:footerReference w:type="even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7B4D" w14:textId="77777777" w:rsidR="00DE506B" w:rsidRDefault="00DE506B">
      <w:pPr>
        <w:spacing w:after="0" w:line="240" w:lineRule="auto"/>
      </w:pPr>
      <w:r>
        <w:separator/>
      </w:r>
    </w:p>
  </w:endnote>
  <w:endnote w:type="continuationSeparator" w:id="0">
    <w:p w14:paraId="01852DFB" w14:textId="77777777" w:rsidR="00DE506B" w:rsidRDefault="00DE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935F" w14:textId="77777777" w:rsidR="00C634B5" w:rsidRDefault="00C634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859196" w14:textId="77777777" w:rsidR="00C634B5" w:rsidRDefault="00C634B5">
    <w:pPr>
      <w:pStyle w:val="Stopka"/>
    </w:pPr>
  </w:p>
  <w:p w14:paraId="7A2ED485" w14:textId="77777777" w:rsidR="00C634B5" w:rsidRDefault="00C634B5"/>
  <w:p w14:paraId="719BF8E3" w14:textId="77777777" w:rsidR="00C634B5" w:rsidRDefault="00C63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0933" w14:textId="77777777" w:rsidR="00DE506B" w:rsidRDefault="00DE506B">
      <w:pPr>
        <w:spacing w:after="0" w:line="240" w:lineRule="auto"/>
      </w:pPr>
      <w:r>
        <w:separator/>
      </w:r>
    </w:p>
  </w:footnote>
  <w:footnote w:type="continuationSeparator" w:id="0">
    <w:p w14:paraId="31F19078" w14:textId="77777777" w:rsidR="00DE506B" w:rsidRDefault="00DE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12FB"/>
    <w:multiLevelType w:val="multilevel"/>
    <w:tmpl w:val="C4742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57373F"/>
    <w:multiLevelType w:val="hybridMultilevel"/>
    <w:tmpl w:val="64D00F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55543"/>
    <w:multiLevelType w:val="hybridMultilevel"/>
    <w:tmpl w:val="1AEC20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A1E4C"/>
    <w:multiLevelType w:val="hybridMultilevel"/>
    <w:tmpl w:val="EEC0E9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F688C"/>
    <w:multiLevelType w:val="hybridMultilevel"/>
    <w:tmpl w:val="243A1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5573"/>
    <w:multiLevelType w:val="hybridMultilevel"/>
    <w:tmpl w:val="7B1E8BA4"/>
    <w:lvl w:ilvl="0" w:tplc="B04036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90101"/>
    <w:multiLevelType w:val="hybridMultilevel"/>
    <w:tmpl w:val="660C34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F2532"/>
    <w:multiLevelType w:val="hybridMultilevel"/>
    <w:tmpl w:val="BB5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895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71BA"/>
    <w:multiLevelType w:val="multilevel"/>
    <w:tmpl w:val="0642735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D737797"/>
    <w:multiLevelType w:val="multilevel"/>
    <w:tmpl w:val="D95C4A4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541C7047"/>
    <w:multiLevelType w:val="multilevel"/>
    <w:tmpl w:val="0642735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593B7EB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60666B7C"/>
    <w:multiLevelType w:val="hybridMultilevel"/>
    <w:tmpl w:val="DD7A523C"/>
    <w:lvl w:ilvl="0" w:tplc="1A06D10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D2A53"/>
    <w:multiLevelType w:val="multilevel"/>
    <w:tmpl w:val="0642735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4"/>
    <w:rsid w:val="0005263A"/>
    <w:rsid w:val="00053B88"/>
    <w:rsid w:val="00063839"/>
    <w:rsid w:val="00080B29"/>
    <w:rsid w:val="0009276F"/>
    <w:rsid w:val="000A3767"/>
    <w:rsid w:val="000D45C4"/>
    <w:rsid w:val="000E4E3E"/>
    <w:rsid w:val="000F0C80"/>
    <w:rsid w:val="001040B3"/>
    <w:rsid w:val="00135B01"/>
    <w:rsid w:val="001D68BE"/>
    <w:rsid w:val="001F699E"/>
    <w:rsid w:val="00244274"/>
    <w:rsid w:val="00260E0D"/>
    <w:rsid w:val="002A7278"/>
    <w:rsid w:val="002A72D9"/>
    <w:rsid w:val="00314FDD"/>
    <w:rsid w:val="00321FEA"/>
    <w:rsid w:val="003239A8"/>
    <w:rsid w:val="0033113C"/>
    <w:rsid w:val="00334F87"/>
    <w:rsid w:val="00335595"/>
    <w:rsid w:val="00370DC8"/>
    <w:rsid w:val="00374705"/>
    <w:rsid w:val="003873E3"/>
    <w:rsid w:val="003A2D70"/>
    <w:rsid w:val="003B55CD"/>
    <w:rsid w:val="003C0944"/>
    <w:rsid w:val="003C5131"/>
    <w:rsid w:val="003D30A6"/>
    <w:rsid w:val="003D68F2"/>
    <w:rsid w:val="003E4CDC"/>
    <w:rsid w:val="00407C5C"/>
    <w:rsid w:val="004312B1"/>
    <w:rsid w:val="004653DB"/>
    <w:rsid w:val="004724EF"/>
    <w:rsid w:val="00485796"/>
    <w:rsid w:val="00491E98"/>
    <w:rsid w:val="004979B6"/>
    <w:rsid w:val="004F5F51"/>
    <w:rsid w:val="00505BE9"/>
    <w:rsid w:val="00513ECE"/>
    <w:rsid w:val="0051418A"/>
    <w:rsid w:val="005218F4"/>
    <w:rsid w:val="00552D5D"/>
    <w:rsid w:val="00556968"/>
    <w:rsid w:val="00564FE8"/>
    <w:rsid w:val="005C0A64"/>
    <w:rsid w:val="005E0E3F"/>
    <w:rsid w:val="00601669"/>
    <w:rsid w:val="00631CAD"/>
    <w:rsid w:val="006361F6"/>
    <w:rsid w:val="0065316E"/>
    <w:rsid w:val="00660167"/>
    <w:rsid w:val="00684EE1"/>
    <w:rsid w:val="00697036"/>
    <w:rsid w:val="006B2F2E"/>
    <w:rsid w:val="006B5045"/>
    <w:rsid w:val="006C7169"/>
    <w:rsid w:val="0076228C"/>
    <w:rsid w:val="00792236"/>
    <w:rsid w:val="007C2E70"/>
    <w:rsid w:val="007D0BB1"/>
    <w:rsid w:val="007D523B"/>
    <w:rsid w:val="007F1C61"/>
    <w:rsid w:val="00815023"/>
    <w:rsid w:val="0084586F"/>
    <w:rsid w:val="00852909"/>
    <w:rsid w:val="00853A7E"/>
    <w:rsid w:val="008A67A0"/>
    <w:rsid w:val="008A67AA"/>
    <w:rsid w:val="008B0097"/>
    <w:rsid w:val="008C17AA"/>
    <w:rsid w:val="008F438A"/>
    <w:rsid w:val="009050C0"/>
    <w:rsid w:val="00953FCF"/>
    <w:rsid w:val="009A13D2"/>
    <w:rsid w:val="009A72B7"/>
    <w:rsid w:val="009C20E5"/>
    <w:rsid w:val="009C382F"/>
    <w:rsid w:val="009D0798"/>
    <w:rsid w:val="00A1609E"/>
    <w:rsid w:val="00A27AA1"/>
    <w:rsid w:val="00A30C75"/>
    <w:rsid w:val="00A332E4"/>
    <w:rsid w:val="00A81C3F"/>
    <w:rsid w:val="00AB106D"/>
    <w:rsid w:val="00AB3B8F"/>
    <w:rsid w:val="00AD5B84"/>
    <w:rsid w:val="00B31512"/>
    <w:rsid w:val="00B3523B"/>
    <w:rsid w:val="00B61B57"/>
    <w:rsid w:val="00B64EC3"/>
    <w:rsid w:val="00BB26A4"/>
    <w:rsid w:val="00BC1339"/>
    <w:rsid w:val="00BE7C3A"/>
    <w:rsid w:val="00C1110A"/>
    <w:rsid w:val="00C634B5"/>
    <w:rsid w:val="00CE14CC"/>
    <w:rsid w:val="00D05260"/>
    <w:rsid w:val="00D11F99"/>
    <w:rsid w:val="00D54E59"/>
    <w:rsid w:val="00D8173B"/>
    <w:rsid w:val="00DA2BAD"/>
    <w:rsid w:val="00DC277D"/>
    <w:rsid w:val="00DE506B"/>
    <w:rsid w:val="00DF2147"/>
    <w:rsid w:val="00E24ED4"/>
    <w:rsid w:val="00E47647"/>
    <w:rsid w:val="00E55AD1"/>
    <w:rsid w:val="00E74BE9"/>
    <w:rsid w:val="00E7761E"/>
    <w:rsid w:val="00E900B6"/>
    <w:rsid w:val="00EA600B"/>
    <w:rsid w:val="00EB1B5D"/>
    <w:rsid w:val="00EE5BAF"/>
    <w:rsid w:val="00F31E72"/>
    <w:rsid w:val="00F366C8"/>
    <w:rsid w:val="00F45164"/>
    <w:rsid w:val="00F4794A"/>
    <w:rsid w:val="00FA1A58"/>
    <w:rsid w:val="00FA742A"/>
    <w:rsid w:val="00FE651D"/>
    <w:rsid w:val="00FF1907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06BC89"/>
  <w15:chartTrackingRefBased/>
  <w15:docId w15:val="{D437C997-A707-41A9-9680-3884887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aliases w:val="Styl moj,Akapit z listą11,List Paragraph"/>
    <w:basedOn w:val="Normalny"/>
    <w:link w:val="AkapitzlistZnak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5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45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5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5C4"/>
    <w:rPr>
      <w:b/>
      <w:bCs/>
      <w:lang w:eastAsia="en-US"/>
    </w:rPr>
  </w:style>
  <w:style w:type="character" w:customStyle="1" w:styleId="Nagwek1">
    <w:name w:val="Nagłówek #1_"/>
    <w:basedOn w:val="Domylnaczcionkaakapitu"/>
    <w:link w:val="Nagwek10"/>
    <w:rsid w:val="00491E9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Teksttreci">
    <w:name w:val="Tekst treści_"/>
    <w:basedOn w:val="Domylnaczcionkaakapitu"/>
    <w:rsid w:val="0049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49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491E98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2">
    <w:name w:val="Nagłówek #2_"/>
    <w:basedOn w:val="Domylnaczcionkaakapitu"/>
    <w:link w:val="Nagwek20"/>
    <w:rsid w:val="00491E9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91E98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1E98"/>
    <w:pPr>
      <w:widowControl w:val="0"/>
      <w:shd w:val="clear" w:color="auto" w:fill="FFFFFF"/>
      <w:spacing w:after="0" w:line="264" w:lineRule="exact"/>
      <w:outlineLvl w:val="1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Teksttreci20">
    <w:name w:val="Tekst treści (2)"/>
    <w:basedOn w:val="Normalny"/>
    <w:link w:val="Teksttreci2"/>
    <w:rsid w:val="00491E98"/>
    <w:pPr>
      <w:widowControl w:val="0"/>
      <w:shd w:val="clear" w:color="auto" w:fill="FFFFFF"/>
      <w:spacing w:after="60" w:line="259" w:lineRule="exact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character" w:customStyle="1" w:styleId="TeksttreciPogrubienie">
    <w:name w:val="Tekst treści + Pogrubienie"/>
    <w:basedOn w:val="Teksttreci"/>
    <w:rsid w:val="00491E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AkapitzlistZnak">
    <w:name w:val="Akapit z listą Znak"/>
    <w:aliases w:val="Styl moj Znak,Akapit z listą11 Znak,List Paragraph Znak"/>
    <w:basedOn w:val="Domylnaczcionkaakapitu"/>
    <w:link w:val="Akapitzlist"/>
    <w:uiPriority w:val="34"/>
    <w:locked/>
    <w:rsid w:val="00E55AD1"/>
    <w:rPr>
      <w:rFonts w:eastAsia="SimSun" w:cs="Calibri"/>
      <w:kern w:val="1"/>
      <w:sz w:val="22"/>
      <w:szCs w:val="22"/>
      <w:lang w:eastAsia="ar-SA"/>
    </w:rPr>
  </w:style>
  <w:style w:type="paragraph" w:customStyle="1" w:styleId="Text">
    <w:name w:val="Text"/>
    <w:basedOn w:val="Normalny"/>
    <w:link w:val="TextChar"/>
    <w:rsid w:val="00E55AD1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TextChar">
    <w:name w:val="Text Char"/>
    <w:link w:val="Text"/>
    <w:rsid w:val="00E55AD1"/>
    <w:rPr>
      <w:rFonts w:ascii="Times New Roman" w:eastAsia="MS Mincho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0263-149C-44A2-A7E5-AFBAC4C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Rybińska Barbara</dc:creator>
  <cp:keywords/>
  <cp:lastModifiedBy>Królak-Buzakowska Joanna</cp:lastModifiedBy>
  <cp:revision>4</cp:revision>
  <cp:lastPrinted>2017-05-19T09:23:00Z</cp:lastPrinted>
  <dcterms:created xsi:type="dcterms:W3CDTF">2021-06-10T17:38:00Z</dcterms:created>
  <dcterms:modified xsi:type="dcterms:W3CDTF">2021-06-14T09:33:00Z</dcterms:modified>
</cp:coreProperties>
</file>