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32B7D" w14:textId="276CDC4C" w:rsidR="00DB5DF4" w:rsidRPr="00ED054C" w:rsidRDefault="00C35EA9" w:rsidP="00DB5DF4">
      <w:pPr>
        <w:spacing w:line="240" w:lineRule="auto"/>
        <w:jc w:val="center"/>
        <w:rPr>
          <w:rFonts w:cstheme="minorHAnsi"/>
          <w:sz w:val="24"/>
          <w:szCs w:val="24"/>
        </w:rPr>
      </w:pPr>
      <w:bookmarkStart w:id="0" w:name="_GoBack"/>
      <w:bookmarkEnd w:id="0"/>
      <w:r w:rsidRPr="00ED054C">
        <w:rPr>
          <w:rFonts w:cstheme="minorHAnsi"/>
          <w:sz w:val="24"/>
          <w:szCs w:val="24"/>
        </w:rPr>
        <w:t>WZÓR</w:t>
      </w:r>
    </w:p>
    <w:p w14:paraId="0A9821AC" w14:textId="77777777" w:rsidR="004C1111" w:rsidRPr="00ED054C" w:rsidRDefault="003A6030" w:rsidP="00CE1287">
      <w:pPr>
        <w:spacing w:after="0" w:line="24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CE1287">
      <w:pPr>
        <w:spacing w:after="0" w:line="24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CE1287">
      <w:pPr>
        <w:spacing w:after="0" w:line="24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CE1287">
      <w:pPr>
        <w:spacing w:after="0" w:line="240" w:lineRule="auto"/>
        <w:jc w:val="right"/>
        <w:rPr>
          <w:rFonts w:cstheme="minorHAnsi"/>
          <w:i/>
        </w:rPr>
      </w:pPr>
    </w:p>
    <w:p w14:paraId="26CD3910" w14:textId="1696977A" w:rsidR="0038647E" w:rsidRPr="00CE1287" w:rsidRDefault="008C6AEE" w:rsidP="00CE1287">
      <w:pPr>
        <w:jc w:val="both"/>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B01A2">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B01A2">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F42D4D">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1701"/>
      </w:tblGrid>
      <w:tr w:rsidR="007B4A4C" w:rsidRPr="00CE1287" w14:paraId="2DF259EB" w14:textId="77777777" w:rsidTr="00F24331">
        <w:trPr>
          <w:trHeight w:val="398"/>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7B4A4C">
      <w:pPr>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5F893454" w14:textId="77777777" w:rsidR="002B01A2" w:rsidRPr="00CE1287" w:rsidRDefault="002B01A2" w:rsidP="002B01A2">
      <w:pPr>
        <w:spacing w:after="0"/>
        <w:ind w:left="4536"/>
        <w:jc w:val="both"/>
        <w:rPr>
          <w:rFonts w:cstheme="minorHAnsi"/>
          <w:sz w:val="20"/>
          <w:szCs w:val="20"/>
        </w:rPr>
      </w:pPr>
      <w:r w:rsidRPr="00CE1287">
        <w:rPr>
          <w:rFonts w:cstheme="minorHAnsi"/>
          <w:sz w:val="20"/>
          <w:szCs w:val="20"/>
        </w:rPr>
        <w:t xml:space="preserve">(Miejscowość, data, podpis osoby wypełniającej Kartę)  </w:t>
      </w:r>
    </w:p>
    <w:p w14:paraId="2DA96225" w14:textId="77777777" w:rsidR="002B01A2" w:rsidRPr="00CE1287" w:rsidRDefault="002B01A2" w:rsidP="002B01A2">
      <w:pPr>
        <w:jc w:val="both"/>
        <w:rPr>
          <w:rFonts w:cstheme="minorHAnsi"/>
          <w:sz w:val="24"/>
          <w:szCs w:val="24"/>
        </w:rPr>
      </w:pPr>
    </w:p>
    <w:p w14:paraId="5626E0EF" w14:textId="77777777" w:rsidR="00F42D4D" w:rsidRPr="00CE1287" w:rsidRDefault="002B01A2" w:rsidP="00F42D4D">
      <w:pPr>
        <w:spacing w:after="0" w:line="24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F42D4D">
      <w:pPr>
        <w:spacing w:after="0" w:line="24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F42D4D">
      <w:pPr>
        <w:tabs>
          <w:tab w:val="left" w:pos="284"/>
        </w:tabs>
        <w:spacing w:after="0" w:line="240" w:lineRule="auto"/>
        <w:jc w:val="both"/>
        <w:rPr>
          <w:rFonts w:cstheme="minorHAnsi"/>
          <w:sz w:val="20"/>
          <w:szCs w:val="20"/>
        </w:rPr>
      </w:pPr>
    </w:p>
    <w:p w14:paraId="2DC1D3B6" w14:textId="77777777" w:rsidR="00CE1287" w:rsidRDefault="00CE1287" w:rsidP="00CE1287">
      <w:pPr>
        <w:rPr>
          <w:rFonts w:cstheme="minorHAnsi"/>
          <w:b/>
        </w:rPr>
      </w:pPr>
    </w:p>
    <w:p w14:paraId="6477A94C" w14:textId="60FBC291" w:rsidR="00CE1287" w:rsidRPr="00CE1287" w:rsidRDefault="00CE1287" w:rsidP="00CE1287">
      <w:pPr>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CE1287">
      <w:pPr>
        <w:rPr>
          <w:rFonts w:cstheme="minorHAnsi"/>
        </w:rPr>
      </w:pPr>
    </w:p>
    <w:p w14:paraId="609B5172" w14:textId="77777777" w:rsidR="00CE1287" w:rsidRPr="00CE1287" w:rsidRDefault="00CE1287" w:rsidP="00CE1287">
      <w:pPr>
        <w:rPr>
          <w:rFonts w:cstheme="minorHAnsi"/>
          <w:u w:val="single"/>
        </w:rPr>
      </w:pPr>
      <w:r w:rsidRPr="00CE1287">
        <w:rPr>
          <w:rFonts w:cstheme="minorHAnsi"/>
          <w:u w:val="single"/>
        </w:rPr>
        <w:t xml:space="preserve">Cel: </w:t>
      </w:r>
    </w:p>
    <w:p w14:paraId="41906A6A" w14:textId="77777777" w:rsidR="00CE1287" w:rsidRPr="00CE1287" w:rsidRDefault="00CE1287" w:rsidP="00CE1287">
      <w:pPr>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CE1287">
      <w:pPr>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CE1287">
      <w:pPr>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CE1287">
      <w:pPr>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CE1287">
      <w:pPr>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CE1287">
      <w:pPr>
        <w:rPr>
          <w:rFonts w:cstheme="minorHAnsi"/>
          <w:u w:val="single"/>
        </w:rPr>
      </w:pPr>
      <w:r w:rsidRPr="00CE1287">
        <w:rPr>
          <w:rFonts w:cstheme="minorHAnsi"/>
          <w:u w:val="single"/>
        </w:rPr>
        <w:t>Przykład:</w:t>
      </w:r>
    </w:p>
    <w:p w14:paraId="75F7B7C8" w14:textId="77777777" w:rsidR="00CE1287" w:rsidRPr="00CE1287" w:rsidRDefault="00CE1287" w:rsidP="00CE1287">
      <w:pPr>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CE1287">
      <w:pPr>
        <w:rPr>
          <w:rFonts w:cstheme="minorHAnsi"/>
        </w:rPr>
      </w:pPr>
      <w:r w:rsidRPr="00CE1287">
        <w:rPr>
          <w:rFonts w:cstheme="minorHAnsi"/>
        </w:rPr>
        <w:t>Ograniczenia dotyczące podejmowania czynności związanych z wypróżnianiem się i oddawaniem moczu podlegają ocenie w ramach dziedziny „Toaleta”.</w:t>
      </w:r>
    </w:p>
    <w:p w14:paraId="65DA492A" w14:textId="77777777" w:rsidR="00CE1287" w:rsidRPr="00CE1287" w:rsidRDefault="00CE1287" w:rsidP="00CE1287">
      <w:pPr>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CE1287">
      <w:pPr>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CE1287">
      <w:pPr>
        <w:rPr>
          <w:rFonts w:cstheme="minorHAnsi"/>
        </w:rPr>
      </w:pPr>
    </w:p>
    <w:p w14:paraId="5F1ADE9F" w14:textId="77777777" w:rsidR="00CE1287" w:rsidRPr="00CE1287" w:rsidRDefault="00CE1287" w:rsidP="00CE1287">
      <w:pPr>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CE1287">
      <w:pPr>
        <w:rPr>
          <w:rFonts w:cstheme="minorHAnsi"/>
        </w:rPr>
      </w:pPr>
      <w:r w:rsidRPr="00CE1287">
        <w:rPr>
          <w:rFonts w:cstheme="minorHAnsi"/>
        </w:rPr>
        <w:t xml:space="preserve">Dbanie o siebie: </w:t>
      </w:r>
    </w:p>
    <w:p w14:paraId="0E877C96" w14:textId="77777777" w:rsidR="00CE1287" w:rsidRPr="00CE1287" w:rsidRDefault="00CE1287" w:rsidP="00CE1287">
      <w:pPr>
        <w:rPr>
          <w:rFonts w:cstheme="minorHAnsi"/>
        </w:rPr>
      </w:pPr>
      <w:r w:rsidRPr="00CE1287">
        <w:rPr>
          <w:rFonts w:cstheme="minorHAnsi"/>
        </w:rPr>
        <w:t>1. „Samoobsługa”</w:t>
      </w:r>
    </w:p>
    <w:p w14:paraId="7EC32D3A" w14:textId="77777777" w:rsidR="00CE1287" w:rsidRPr="00CE1287" w:rsidRDefault="00CE1287" w:rsidP="00CE1287">
      <w:pPr>
        <w:rPr>
          <w:rFonts w:cstheme="minorHAnsi"/>
        </w:rPr>
      </w:pPr>
      <w:r w:rsidRPr="00CE1287">
        <w:rPr>
          <w:rFonts w:cstheme="minorHAnsi"/>
        </w:rPr>
        <w:lastRenderedPageBreak/>
        <w:t xml:space="preserve">2. „Kontrola zwieraczy” </w:t>
      </w:r>
    </w:p>
    <w:p w14:paraId="20AB06C1" w14:textId="77777777" w:rsidR="00CE1287" w:rsidRPr="00CE1287" w:rsidRDefault="00CE1287" w:rsidP="00CE1287">
      <w:pPr>
        <w:pStyle w:val="Akapitzlist"/>
        <w:numPr>
          <w:ilvl w:val="0"/>
          <w:numId w:val="1"/>
        </w:numPr>
        <w:rPr>
          <w:rFonts w:cstheme="minorHAnsi"/>
        </w:rPr>
      </w:pPr>
      <w:r w:rsidRPr="00CE1287">
        <w:rPr>
          <w:rFonts w:cstheme="minorHAnsi"/>
        </w:rPr>
        <w:t>„Samoobsługa”</w:t>
      </w:r>
    </w:p>
    <w:p w14:paraId="5C2ED72E" w14:textId="77777777" w:rsidR="00CE1287" w:rsidRPr="00CE1287" w:rsidRDefault="00CE1287" w:rsidP="00CE1287">
      <w:pPr>
        <w:pStyle w:val="Akapitzlist"/>
        <w:numPr>
          <w:ilvl w:val="1"/>
          <w:numId w:val="1"/>
        </w:numPr>
        <w:rPr>
          <w:rFonts w:cstheme="minorHAnsi"/>
        </w:rPr>
      </w:pPr>
      <w:r w:rsidRPr="00CE1287">
        <w:rPr>
          <w:rFonts w:cstheme="minorHAnsi"/>
        </w:rPr>
        <w:t>„Spożywanie posiłków” - d550 Jedzenie, d560 Picie</w:t>
      </w:r>
    </w:p>
    <w:p w14:paraId="0C01DAFA" w14:textId="77777777" w:rsidR="00CE1287" w:rsidRPr="00CE1287" w:rsidRDefault="00CE1287" w:rsidP="00CE1287">
      <w:pPr>
        <w:pStyle w:val="Akapitzlist"/>
        <w:numPr>
          <w:ilvl w:val="1"/>
          <w:numId w:val="1"/>
        </w:numPr>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CE1287">
      <w:pPr>
        <w:pStyle w:val="Akapitzlist"/>
        <w:numPr>
          <w:ilvl w:val="1"/>
          <w:numId w:val="1"/>
        </w:numPr>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CE1287">
      <w:pPr>
        <w:pStyle w:val="Akapitzlist"/>
        <w:numPr>
          <w:ilvl w:val="1"/>
          <w:numId w:val="1"/>
        </w:numPr>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CE1287">
      <w:pPr>
        <w:pStyle w:val="Akapitzlist"/>
        <w:numPr>
          <w:ilvl w:val="1"/>
          <w:numId w:val="1"/>
        </w:numPr>
        <w:rPr>
          <w:rFonts w:cstheme="minorHAnsi"/>
        </w:rPr>
      </w:pPr>
      <w:r w:rsidRPr="00CE1287">
        <w:rPr>
          <w:rFonts w:cstheme="minorHAnsi"/>
        </w:rPr>
        <w:t>„Kąpiel” -  d5101 Mycie całego ciała</w:t>
      </w:r>
    </w:p>
    <w:p w14:paraId="5A6EA1D2" w14:textId="77777777" w:rsidR="00CE1287" w:rsidRPr="00CE1287" w:rsidRDefault="00CE1287" w:rsidP="00CE1287">
      <w:pPr>
        <w:pStyle w:val="Akapitzlist"/>
        <w:numPr>
          <w:ilvl w:val="1"/>
          <w:numId w:val="1"/>
        </w:numPr>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CE1287">
      <w:pPr>
        <w:pStyle w:val="Akapitzlist"/>
        <w:rPr>
          <w:rFonts w:cstheme="minorHAnsi"/>
        </w:rPr>
      </w:pPr>
    </w:p>
    <w:p w14:paraId="5D8F19F3" w14:textId="77777777" w:rsidR="00CE1287" w:rsidRPr="00CE1287" w:rsidRDefault="00CE1287" w:rsidP="00CE1287">
      <w:pPr>
        <w:pStyle w:val="Akapitzlist"/>
        <w:numPr>
          <w:ilvl w:val="0"/>
          <w:numId w:val="1"/>
        </w:numPr>
        <w:rPr>
          <w:rFonts w:cstheme="minorHAnsi"/>
        </w:rPr>
      </w:pPr>
      <w:r w:rsidRPr="00CE1287">
        <w:rPr>
          <w:rFonts w:cstheme="minorHAnsi"/>
        </w:rPr>
        <w:t>„Kontrola zwieraczy”</w:t>
      </w:r>
    </w:p>
    <w:p w14:paraId="55E35E83" w14:textId="77777777" w:rsidR="00CE1287" w:rsidRPr="00CE1287" w:rsidRDefault="00CE1287" w:rsidP="00CE1287">
      <w:pPr>
        <w:pStyle w:val="Akapitzlist"/>
        <w:numPr>
          <w:ilvl w:val="1"/>
          <w:numId w:val="1"/>
        </w:numPr>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CE1287">
      <w:pPr>
        <w:pStyle w:val="Akapitzlist"/>
        <w:numPr>
          <w:ilvl w:val="1"/>
          <w:numId w:val="1"/>
        </w:numPr>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CE1287">
      <w:pPr>
        <w:pStyle w:val="Akapitzlist"/>
        <w:rPr>
          <w:rFonts w:cstheme="minorHAnsi"/>
        </w:rPr>
      </w:pPr>
    </w:p>
    <w:p w14:paraId="6A6DF7C8" w14:textId="77777777" w:rsidR="00CE1287" w:rsidRPr="00CE1287" w:rsidRDefault="00CE1287" w:rsidP="00CE1287">
      <w:pPr>
        <w:rPr>
          <w:rFonts w:cstheme="minorHAnsi"/>
        </w:rPr>
      </w:pPr>
      <w:r w:rsidRPr="00CE1287">
        <w:rPr>
          <w:rFonts w:cstheme="minorHAnsi"/>
        </w:rPr>
        <w:t xml:space="preserve">Poruszanie się: </w:t>
      </w:r>
    </w:p>
    <w:p w14:paraId="17C7B4C3" w14:textId="77777777" w:rsidR="00CE1287" w:rsidRPr="00CE1287" w:rsidRDefault="00CE1287" w:rsidP="00CE1287">
      <w:pPr>
        <w:rPr>
          <w:rFonts w:cstheme="minorHAnsi"/>
        </w:rPr>
      </w:pPr>
      <w:r w:rsidRPr="00CE1287">
        <w:rPr>
          <w:rFonts w:cstheme="minorHAnsi"/>
        </w:rPr>
        <w:t xml:space="preserve">3.„Mobilność” </w:t>
      </w:r>
    </w:p>
    <w:p w14:paraId="636E4F0A" w14:textId="77777777" w:rsidR="00CE1287" w:rsidRPr="00CE1287" w:rsidRDefault="00CE1287" w:rsidP="00CE1287">
      <w:pPr>
        <w:rPr>
          <w:rFonts w:cstheme="minorHAnsi"/>
        </w:rPr>
      </w:pPr>
      <w:r w:rsidRPr="00CE1287">
        <w:rPr>
          <w:rFonts w:cstheme="minorHAnsi"/>
        </w:rPr>
        <w:t xml:space="preserve">4.„Lokomocja” </w:t>
      </w:r>
    </w:p>
    <w:p w14:paraId="19DB274C" w14:textId="77777777" w:rsidR="00CE1287" w:rsidRPr="00CE1287" w:rsidRDefault="00CE1287" w:rsidP="00CE1287">
      <w:pPr>
        <w:pStyle w:val="Akapitzlist"/>
        <w:numPr>
          <w:ilvl w:val="0"/>
          <w:numId w:val="1"/>
        </w:numPr>
        <w:spacing w:after="0"/>
        <w:rPr>
          <w:rFonts w:cstheme="minorHAnsi"/>
        </w:rPr>
      </w:pPr>
      <w:r w:rsidRPr="00CE1287">
        <w:rPr>
          <w:rFonts w:cstheme="minorHAnsi"/>
        </w:rPr>
        <w:t>„Mobilność”</w:t>
      </w:r>
    </w:p>
    <w:p w14:paraId="077F6156" w14:textId="77777777" w:rsidR="00CE1287" w:rsidRPr="00CE1287" w:rsidRDefault="00CE1287" w:rsidP="00CE1287">
      <w:pPr>
        <w:spacing w:after="0"/>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CE1287">
      <w:pPr>
        <w:spacing w:after="0"/>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CE1287">
      <w:pPr>
        <w:spacing w:after="0"/>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CE1287">
      <w:pPr>
        <w:spacing w:after="0"/>
        <w:ind w:left="360"/>
        <w:rPr>
          <w:rFonts w:cstheme="minorHAnsi"/>
        </w:rPr>
      </w:pPr>
    </w:p>
    <w:p w14:paraId="1C8EED88" w14:textId="77777777" w:rsidR="00CE1287" w:rsidRPr="00CE1287" w:rsidRDefault="00CE1287" w:rsidP="00CE1287">
      <w:pPr>
        <w:pStyle w:val="Akapitzlist"/>
        <w:numPr>
          <w:ilvl w:val="0"/>
          <w:numId w:val="1"/>
        </w:numPr>
        <w:spacing w:after="0"/>
        <w:rPr>
          <w:rFonts w:cstheme="minorHAnsi"/>
        </w:rPr>
      </w:pPr>
      <w:r w:rsidRPr="00CE1287">
        <w:rPr>
          <w:rFonts w:cstheme="minorHAnsi"/>
        </w:rPr>
        <w:t>„Lokomocja”</w:t>
      </w:r>
    </w:p>
    <w:p w14:paraId="323B475C" w14:textId="77777777" w:rsidR="00CE1287" w:rsidRPr="00CE1287" w:rsidRDefault="00CE1287" w:rsidP="00CE1287">
      <w:pPr>
        <w:pStyle w:val="Akapitzlist"/>
        <w:numPr>
          <w:ilvl w:val="1"/>
          <w:numId w:val="1"/>
        </w:numPr>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CE1287">
      <w:pPr>
        <w:pStyle w:val="Akapitzlist"/>
        <w:numPr>
          <w:ilvl w:val="1"/>
          <w:numId w:val="1"/>
        </w:numPr>
        <w:spacing w:after="0"/>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CE1287">
      <w:pPr>
        <w:rPr>
          <w:rFonts w:cstheme="minorHAnsi"/>
        </w:rPr>
      </w:pPr>
    </w:p>
    <w:p w14:paraId="57CE35F4" w14:textId="77777777" w:rsidR="00CE1287" w:rsidRPr="00CE1287" w:rsidRDefault="00CE1287" w:rsidP="00CE1287">
      <w:pPr>
        <w:rPr>
          <w:rFonts w:cstheme="minorHAnsi"/>
        </w:rPr>
      </w:pPr>
      <w:r w:rsidRPr="00CE1287">
        <w:rPr>
          <w:rFonts w:cstheme="minorHAnsi"/>
        </w:rPr>
        <w:t>Funkcjonowanie społeczne:</w:t>
      </w:r>
    </w:p>
    <w:p w14:paraId="1CF8BBAB" w14:textId="77777777" w:rsidR="00CE1287" w:rsidRPr="00CE1287" w:rsidRDefault="00CE1287" w:rsidP="00CE1287">
      <w:pPr>
        <w:rPr>
          <w:rFonts w:cstheme="minorHAnsi"/>
        </w:rPr>
      </w:pPr>
      <w:r w:rsidRPr="00CE1287">
        <w:rPr>
          <w:rFonts w:cstheme="minorHAnsi"/>
        </w:rPr>
        <w:t>5.„Komunikacja”</w:t>
      </w:r>
    </w:p>
    <w:p w14:paraId="0D44436D" w14:textId="77777777" w:rsidR="00CE1287" w:rsidRPr="00CE1287" w:rsidRDefault="00CE1287" w:rsidP="00CE1287">
      <w:pPr>
        <w:rPr>
          <w:rFonts w:cstheme="minorHAnsi"/>
        </w:rPr>
      </w:pPr>
      <w:r w:rsidRPr="00CE1287">
        <w:rPr>
          <w:rFonts w:cstheme="minorHAnsi"/>
        </w:rPr>
        <w:t>6.„Świadomość społeczna”</w:t>
      </w:r>
    </w:p>
    <w:p w14:paraId="0EDB57D6" w14:textId="77777777" w:rsidR="00CE1287" w:rsidRPr="00CE1287" w:rsidRDefault="00CE1287" w:rsidP="00CE1287">
      <w:pPr>
        <w:pStyle w:val="Akapitzlist"/>
        <w:numPr>
          <w:ilvl w:val="0"/>
          <w:numId w:val="2"/>
        </w:numPr>
        <w:rPr>
          <w:rFonts w:cstheme="minorHAnsi"/>
        </w:rPr>
      </w:pPr>
      <w:r w:rsidRPr="00CE1287">
        <w:rPr>
          <w:rFonts w:cstheme="minorHAnsi"/>
        </w:rPr>
        <w:t>„Komunikacja”</w:t>
      </w:r>
    </w:p>
    <w:p w14:paraId="0FC558CE" w14:textId="77777777" w:rsidR="00CE1287" w:rsidRPr="00CE1287" w:rsidRDefault="00CE1287" w:rsidP="00CE1287">
      <w:pPr>
        <w:pStyle w:val="Akapitzlist"/>
        <w:numPr>
          <w:ilvl w:val="1"/>
          <w:numId w:val="2"/>
        </w:numPr>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CE1287">
      <w:pPr>
        <w:pStyle w:val="Akapitzlist"/>
        <w:numPr>
          <w:ilvl w:val="1"/>
          <w:numId w:val="2"/>
        </w:numPr>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CE1287">
      <w:pPr>
        <w:pStyle w:val="Akapitzlist"/>
        <w:rPr>
          <w:rFonts w:cstheme="minorHAnsi"/>
        </w:rPr>
      </w:pPr>
    </w:p>
    <w:p w14:paraId="7FD8D89E" w14:textId="77777777" w:rsidR="00CE1287" w:rsidRPr="00CE1287" w:rsidRDefault="00CE1287" w:rsidP="00CE1287">
      <w:pPr>
        <w:pStyle w:val="Akapitzlist"/>
        <w:numPr>
          <w:ilvl w:val="0"/>
          <w:numId w:val="2"/>
        </w:numPr>
        <w:rPr>
          <w:rFonts w:cstheme="minorHAnsi"/>
        </w:rPr>
      </w:pPr>
      <w:r w:rsidRPr="00CE1287">
        <w:rPr>
          <w:rFonts w:cstheme="minorHAnsi"/>
        </w:rPr>
        <w:t>„Świadomość społeczna”</w:t>
      </w:r>
    </w:p>
    <w:p w14:paraId="3CFB1AE3" w14:textId="77777777" w:rsidR="00CE1287" w:rsidRPr="00CE1287" w:rsidRDefault="00CE1287" w:rsidP="00CE1287">
      <w:pPr>
        <w:pStyle w:val="Akapitzlist"/>
        <w:numPr>
          <w:ilvl w:val="1"/>
          <w:numId w:val="2"/>
        </w:numPr>
        <w:rPr>
          <w:rFonts w:cstheme="minorHAnsi"/>
        </w:rPr>
      </w:pPr>
      <w:r w:rsidRPr="00CE1287">
        <w:rPr>
          <w:rFonts w:cstheme="minorHAnsi"/>
        </w:rPr>
        <w:t xml:space="preserve"> „Kontakty międzyludzkie”</w:t>
      </w:r>
    </w:p>
    <w:p w14:paraId="0843491D" w14:textId="77777777" w:rsidR="00CE1287" w:rsidRPr="00CE1287" w:rsidRDefault="00CE1287" w:rsidP="00CE1287">
      <w:pPr>
        <w:pStyle w:val="Akapitzlist"/>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CE1287">
      <w:pPr>
        <w:pStyle w:val="Akapitzlist"/>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CE1287">
      <w:pPr>
        <w:pStyle w:val="Akapitzlist"/>
        <w:numPr>
          <w:ilvl w:val="1"/>
          <w:numId w:val="2"/>
        </w:numPr>
        <w:rPr>
          <w:rFonts w:cstheme="minorHAnsi"/>
        </w:rPr>
      </w:pPr>
      <w:r w:rsidRPr="00CE1287">
        <w:rPr>
          <w:rFonts w:cstheme="minorHAnsi"/>
        </w:rPr>
        <w:t xml:space="preserve">„Rozwiązywanie problemów” </w:t>
      </w:r>
    </w:p>
    <w:p w14:paraId="31E6A9A9" w14:textId="77777777" w:rsidR="00CE1287" w:rsidRPr="00CE1287" w:rsidRDefault="00CE1287" w:rsidP="00CE1287">
      <w:pPr>
        <w:pStyle w:val="Akapitzlist"/>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CE1287">
      <w:pPr>
        <w:pStyle w:val="Akapitzlist"/>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CE1287">
      <w:pPr>
        <w:pStyle w:val="Akapitzlist"/>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CE1287">
      <w:pPr>
        <w:pStyle w:val="Akapitzlist"/>
        <w:numPr>
          <w:ilvl w:val="1"/>
          <w:numId w:val="2"/>
        </w:numPr>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CE1287">
      <w:pPr>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CE1287">
      <w:pPr>
        <w:rPr>
          <w:rFonts w:cstheme="minorHAnsi"/>
        </w:rPr>
      </w:pPr>
    </w:p>
    <w:p w14:paraId="4EB0CD87" w14:textId="77777777" w:rsidR="00CE1287" w:rsidRPr="00CE1287" w:rsidRDefault="00CE1287" w:rsidP="00CE1287">
      <w:pPr>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CE1287">
      <w:pPr>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CE1287">
      <w:pPr>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CE1287">
      <w:pPr>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CE1287">
      <w:pPr>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CE1287">
      <w:pPr>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CE1287">
      <w:pPr>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CE1287">
      <w:pPr>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CE1287">
      <w:pPr>
        <w:rPr>
          <w:rFonts w:cstheme="minorHAnsi"/>
        </w:rPr>
      </w:pPr>
    </w:p>
    <w:p w14:paraId="5130AD23" w14:textId="77777777" w:rsidR="00CE1287" w:rsidRPr="00CE1287" w:rsidRDefault="00CE1287" w:rsidP="00CE1287">
      <w:pPr>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CE1287">
      <w:pPr>
        <w:rPr>
          <w:rFonts w:cstheme="minorHAnsi"/>
        </w:rPr>
      </w:pPr>
      <w:r w:rsidRPr="00CE1287">
        <w:rPr>
          <w:rFonts w:cstheme="minorHAnsi"/>
        </w:rPr>
        <w:t>Samoobsługa – 6 czynności, punktacja od 6 pkt. do 42 pkt.</w:t>
      </w:r>
    </w:p>
    <w:p w14:paraId="6404716F" w14:textId="77777777" w:rsidR="00CE1287" w:rsidRPr="00CE1287" w:rsidRDefault="00CE1287" w:rsidP="00CE1287">
      <w:pPr>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CE1287">
      <w:pPr>
        <w:rPr>
          <w:rFonts w:cstheme="minorHAnsi"/>
        </w:rPr>
      </w:pPr>
      <w:r w:rsidRPr="00CE1287">
        <w:rPr>
          <w:rFonts w:cstheme="minorHAnsi"/>
        </w:rPr>
        <w:t>Mobilność – 3 czynności, punktacja od 3 pkt. do 21 pkt.</w:t>
      </w:r>
    </w:p>
    <w:p w14:paraId="77175404" w14:textId="77777777" w:rsidR="00CE1287" w:rsidRPr="00CE1287" w:rsidRDefault="00CE1287" w:rsidP="00CE1287">
      <w:pPr>
        <w:rPr>
          <w:rFonts w:cstheme="minorHAnsi"/>
        </w:rPr>
      </w:pPr>
      <w:r w:rsidRPr="00CE1287">
        <w:rPr>
          <w:rFonts w:cstheme="minorHAnsi"/>
        </w:rPr>
        <w:t>Lokomocja – 2 czynności, punktacja od 2 pkt. do 14 pkt.</w:t>
      </w:r>
    </w:p>
    <w:p w14:paraId="54FF1809" w14:textId="77777777" w:rsidR="00CE1287" w:rsidRPr="00CE1287" w:rsidRDefault="00CE1287" w:rsidP="00CE1287">
      <w:pPr>
        <w:rPr>
          <w:rFonts w:cstheme="minorHAnsi"/>
        </w:rPr>
      </w:pPr>
      <w:r w:rsidRPr="00CE1287">
        <w:rPr>
          <w:rFonts w:cstheme="minorHAnsi"/>
        </w:rPr>
        <w:t>Komunikacja - 2 czynności, punktacja od 2 pkt. do 14 pkt.</w:t>
      </w:r>
    </w:p>
    <w:p w14:paraId="5949F167" w14:textId="77777777" w:rsidR="00CE1287" w:rsidRPr="00CE1287" w:rsidRDefault="00CE1287" w:rsidP="00CE1287">
      <w:pPr>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CE1287">
      <w:pPr>
        <w:rPr>
          <w:rFonts w:cstheme="minorHAnsi"/>
        </w:rPr>
      </w:pPr>
    </w:p>
    <w:p w14:paraId="287090AD" w14:textId="77777777" w:rsidR="00CE1287" w:rsidRPr="00CE1287" w:rsidRDefault="00CE1287" w:rsidP="00CE1287">
      <w:pPr>
        <w:rPr>
          <w:rFonts w:cstheme="minorHAnsi"/>
          <w:u w:val="single"/>
        </w:rPr>
      </w:pPr>
      <w:r w:rsidRPr="00CE1287">
        <w:rPr>
          <w:rFonts w:cstheme="minorHAnsi"/>
          <w:u w:val="single"/>
        </w:rPr>
        <w:t>Kryteria oceny uprawniającej do korzystania z usług w pierwszej kolejności</w:t>
      </w:r>
    </w:p>
    <w:p w14:paraId="016B042F" w14:textId="77777777" w:rsidR="00CE1287" w:rsidRPr="00CE1287" w:rsidRDefault="00CE1287" w:rsidP="00CE1287">
      <w:pPr>
        <w:pStyle w:val="Akapitzlist"/>
        <w:numPr>
          <w:ilvl w:val="0"/>
          <w:numId w:val="3"/>
        </w:numPr>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CE1287">
      <w:pPr>
        <w:pStyle w:val="Akapitzlist"/>
        <w:numPr>
          <w:ilvl w:val="0"/>
          <w:numId w:val="3"/>
        </w:numPr>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CE1287">
      <w:pPr>
        <w:pStyle w:val="Akapitzlist"/>
        <w:numPr>
          <w:ilvl w:val="0"/>
          <w:numId w:val="3"/>
        </w:numPr>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CE1287">
      <w:pPr>
        <w:pStyle w:val="Akapitzlist"/>
        <w:numPr>
          <w:ilvl w:val="0"/>
          <w:numId w:val="3"/>
        </w:numPr>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CE1287">
      <w:pPr>
        <w:pStyle w:val="Akapitzlist"/>
        <w:numPr>
          <w:ilvl w:val="0"/>
          <w:numId w:val="3"/>
        </w:numPr>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CE1287">
      <w:pPr>
        <w:pStyle w:val="Akapitzlist"/>
        <w:numPr>
          <w:ilvl w:val="0"/>
          <w:numId w:val="3"/>
        </w:numPr>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CE1287">
      <w:pPr>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CE1287">
      <w:pPr>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CE1287">
      <w:pPr>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CE1287">
      <w:pPr>
        <w:rPr>
          <w:rFonts w:cstheme="minorHAnsi"/>
        </w:rPr>
      </w:pPr>
    </w:p>
    <w:p w14:paraId="739BE8DC" w14:textId="77777777" w:rsidR="00CE1287" w:rsidRPr="00CE1287" w:rsidRDefault="00CE1287" w:rsidP="00CE1287">
      <w:pPr>
        <w:rPr>
          <w:rFonts w:cstheme="minorHAnsi"/>
          <w:u w:val="single"/>
        </w:rPr>
      </w:pPr>
      <w:r w:rsidRPr="00CE1287">
        <w:rPr>
          <w:rFonts w:cstheme="minorHAnsi"/>
          <w:u w:val="single"/>
        </w:rPr>
        <w:t xml:space="preserve">Przykład II </w:t>
      </w:r>
    </w:p>
    <w:p w14:paraId="3F413675" w14:textId="77777777" w:rsidR="00CE1287" w:rsidRPr="00CE1287" w:rsidRDefault="00CE1287" w:rsidP="00CE1287">
      <w:pPr>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CE1287">
      <w:pPr>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CE1287">
      <w:pPr>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CE1287">
      <w:pPr>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CE1287">
      <w:pPr>
        <w:rPr>
          <w:rFonts w:cstheme="minorHAnsi"/>
          <w:u w:val="single"/>
        </w:rPr>
      </w:pPr>
      <w:r w:rsidRPr="00CE1287">
        <w:rPr>
          <w:rFonts w:cstheme="minorHAnsi"/>
          <w:u w:val="single"/>
        </w:rPr>
        <w:t xml:space="preserve">Przykład III </w:t>
      </w:r>
    </w:p>
    <w:p w14:paraId="1F55CA70" w14:textId="77777777" w:rsidR="00CE1287" w:rsidRPr="00CE1287" w:rsidRDefault="00CE1287" w:rsidP="00CE1287">
      <w:pPr>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CE1287">
      <w:pPr>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CE1287">
      <w:pPr>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CE1287">
      <w:pPr>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CE1287">
      <w:pPr>
        <w:rPr>
          <w:rFonts w:cstheme="minorHAnsi"/>
        </w:rPr>
      </w:pPr>
    </w:p>
    <w:p w14:paraId="15503FF7" w14:textId="77777777" w:rsidR="00CE1287" w:rsidRPr="00CE1287" w:rsidRDefault="00CE1287" w:rsidP="00CE1287">
      <w:pPr>
        <w:rPr>
          <w:rFonts w:cstheme="minorHAnsi"/>
        </w:rPr>
      </w:pPr>
    </w:p>
    <w:p w14:paraId="381CC582" w14:textId="77777777" w:rsidR="00CE1287" w:rsidRPr="00CE1287" w:rsidRDefault="00CE1287" w:rsidP="00CE1287">
      <w:pPr>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CE1287">
      <w:pPr>
        <w:pStyle w:val="Akapitzlist"/>
        <w:numPr>
          <w:ilvl w:val="0"/>
          <w:numId w:val="4"/>
        </w:numPr>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CE1287">
      <w:pPr>
        <w:pStyle w:val="Akapitzlist"/>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CE1287">
      <w:pPr>
        <w:pStyle w:val="Akapitzlist"/>
        <w:numPr>
          <w:ilvl w:val="0"/>
          <w:numId w:val="4"/>
        </w:numPr>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CE1287">
      <w:pPr>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4C"/>
    <w:rsid w:val="000B003B"/>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DD53A7"/>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13878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Olborska</dc:creator>
  <cp:lastModifiedBy>Małgorzata Fopke</cp:lastModifiedBy>
  <cp:revision>2</cp:revision>
  <dcterms:created xsi:type="dcterms:W3CDTF">2021-10-12T08:47:00Z</dcterms:created>
  <dcterms:modified xsi:type="dcterms:W3CDTF">2021-10-12T08:47:00Z</dcterms:modified>
</cp:coreProperties>
</file>