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3E94F" w14:textId="77777777" w:rsidR="005E6710" w:rsidRPr="009A2110" w:rsidRDefault="005E6710" w:rsidP="005E6710">
      <w:pPr>
        <w:pStyle w:val="NIEARTTEKSTtekstnieartykuowanynppodstprawnarozplubpreambua"/>
        <w:spacing w:before="0" w:after="600" w:line="240" w:lineRule="auto"/>
        <w:ind w:firstLine="0"/>
        <w:jc w:val="center"/>
        <w:rPr>
          <w:b/>
        </w:rPr>
      </w:pPr>
      <w:r>
        <w:rPr>
          <w:b/>
        </w:rPr>
        <w:t>UZASADNIENIE</w:t>
      </w:r>
    </w:p>
    <w:p w14:paraId="376A4115" w14:textId="1B6686AC" w:rsidR="00222258" w:rsidRPr="00222258" w:rsidRDefault="005E6710" w:rsidP="008763B5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7891">
        <w:rPr>
          <w:rFonts w:ascii="Times New Roman" w:hAnsi="Times New Roman"/>
          <w:sz w:val="24"/>
          <w:szCs w:val="24"/>
        </w:rPr>
        <w:t>Projekt uchwały Rady Ministrów w sprawie przyjęcia programu wspierania rozwoju społecze</w:t>
      </w:r>
      <w:r w:rsidR="008763B5">
        <w:rPr>
          <w:rFonts w:ascii="Times New Roman" w:hAnsi="Times New Roman"/>
          <w:sz w:val="24"/>
          <w:szCs w:val="24"/>
        </w:rPr>
        <w:t xml:space="preserve">ństwa obywatelskiego pod nazwą </w:t>
      </w:r>
      <w:r w:rsidR="008763B5" w:rsidRPr="008763B5">
        <w:rPr>
          <w:rFonts w:ascii="Times New Roman" w:hAnsi="Times New Roman"/>
          <w:sz w:val="24"/>
          <w:szCs w:val="24"/>
        </w:rPr>
        <w:t xml:space="preserve">„Program Fundusz Inicjatyw Obywatelskich NOWEFIO na lata 2021-2030” </w:t>
      </w:r>
      <w:r w:rsidR="002431AF">
        <w:rPr>
          <w:rFonts w:ascii="Times New Roman" w:hAnsi="Times New Roman"/>
          <w:sz w:val="24"/>
          <w:szCs w:val="24"/>
        </w:rPr>
        <w:t xml:space="preserve">wykonuje </w:t>
      </w:r>
      <w:r w:rsidRPr="00397891">
        <w:rPr>
          <w:rFonts w:ascii="Times New Roman" w:hAnsi="Times New Roman"/>
          <w:sz w:val="24"/>
          <w:szCs w:val="24"/>
        </w:rPr>
        <w:t>upoważnienie</w:t>
      </w:r>
      <w:r w:rsidR="002717DD">
        <w:rPr>
          <w:rFonts w:ascii="Times New Roman" w:hAnsi="Times New Roman"/>
          <w:sz w:val="24"/>
          <w:szCs w:val="24"/>
        </w:rPr>
        <w:t xml:space="preserve"> ustawowe</w:t>
      </w:r>
      <w:r w:rsidRPr="00397891">
        <w:rPr>
          <w:rFonts w:ascii="Times New Roman" w:hAnsi="Times New Roman"/>
          <w:sz w:val="24"/>
          <w:szCs w:val="24"/>
        </w:rPr>
        <w:t xml:space="preserve"> z art. 23 ust. 2 ustawy z</w:t>
      </w:r>
      <w:r w:rsidR="002717DD">
        <w:rPr>
          <w:rFonts w:ascii="Times New Roman" w:hAnsi="Times New Roman"/>
          <w:sz w:val="24"/>
          <w:szCs w:val="24"/>
        </w:rPr>
        <w:t> </w:t>
      </w:r>
      <w:r w:rsidRPr="00397891"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891">
        <w:rPr>
          <w:rFonts w:ascii="Times New Roman" w:hAnsi="Times New Roman"/>
          <w:sz w:val="24"/>
          <w:szCs w:val="24"/>
        </w:rPr>
        <w:t>15</w:t>
      </w:r>
      <w:r w:rsidR="00951904">
        <w:rPr>
          <w:rFonts w:ascii="Times New Roman" w:hAnsi="Times New Roman"/>
          <w:sz w:val="24"/>
          <w:szCs w:val="24"/>
        </w:rPr>
        <w:t> </w:t>
      </w:r>
      <w:r w:rsidRPr="00397891">
        <w:rPr>
          <w:rFonts w:ascii="Times New Roman" w:hAnsi="Times New Roman"/>
          <w:sz w:val="24"/>
          <w:szCs w:val="24"/>
        </w:rPr>
        <w:t xml:space="preserve">września 2017 r. o Narodowym Instytucie Wolności – Centrum Rozwoju Społeczeństwa Obywatelskiego (Dz. U. </w:t>
      </w:r>
      <w:r w:rsidR="00951904">
        <w:rPr>
          <w:rFonts w:ascii="Times New Roman" w:hAnsi="Times New Roman"/>
          <w:sz w:val="24"/>
          <w:szCs w:val="24"/>
        </w:rPr>
        <w:t xml:space="preserve">z 2018 r. </w:t>
      </w:r>
      <w:r>
        <w:rPr>
          <w:rFonts w:ascii="Times New Roman" w:hAnsi="Times New Roman"/>
          <w:sz w:val="24"/>
          <w:szCs w:val="24"/>
        </w:rPr>
        <w:t xml:space="preserve">poz. </w:t>
      </w:r>
      <w:r w:rsidR="00951904">
        <w:rPr>
          <w:rFonts w:ascii="Times New Roman" w:hAnsi="Times New Roman"/>
          <w:sz w:val="24"/>
          <w:szCs w:val="24"/>
        </w:rPr>
        <w:t>1813</w:t>
      </w:r>
      <w:r>
        <w:rPr>
          <w:rFonts w:ascii="Times New Roman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="002717DD">
        <w:rPr>
          <w:rFonts w:ascii="Times New Roman" w:hAnsi="Times New Roman"/>
          <w:sz w:val="24"/>
          <w:szCs w:val="24"/>
        </w:rPr>
        <w:t>; dalej jako: ustawa o NIW-CRSO</w:t>
      </w:r>
      <w:r w:rsidRPr="00397891">
        <w:rPr>
          <w:rFonts w:ascii="Times New Roman" w:hAnsi="Times New Roman"/>
          <w:sz w:val="24"/>
          <w:szCs w:val="24"/>
        </w:rPr>
        <w:t>).</w:t>
      </w:r>
    </w:p>
    <w:p w14:paraId="024FA41D" w14:textId="77777777" w:rsidR="008763B5" w:rsidRDefault="008763B5" w:rsidP="008763B5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Diagnoza kondycji społeczeństwa obywatelskiego w Polsce oraz sytuacji w sektorze organizacji pozarządowych, a także ocena szacunkowa (ewaluacja </w:t>
      </w:r>
      <w:r w:rsidRPr="00B542D4">
        <w:rPr>
          <w:rFonts w:ascii="Times New Roman" w:eastAsia="Calibri" w:hAnsi="Times New Roman"/>
          <w:i/>
          <w:color w:val="000000"/>
          <w:spacing w:val="-2"/>
          <w:sz w:val="24"/>
          <w:szCs w:val="24"/>
          <w:lang w:eastAsia="en-US"/>
        </w:rPr>
        <w:t>ex-</w:t>
      </w:r>
      <w:proofErr w:type="spellStart"/>
      <w:r w:rsidRPr="00B542D4">
        <w:rPr>
          <w:rFonts w:ascii="Times New Roman" w:eastAsia="Calibri" w:hAnsi="Times New Roman"/>
          <w:i/>
          <w:color w:val="000000"/>
          <w:spacing w:val="-2"/>
          <w:sz w:val="24"/>
          <w:szCs w:val="24"/>
          <w:lang w:eastAsia="en-US"/>
        </w:rPr>
        <w:t>ante</w:t>
      </w:r>
      <w:proofErr w:type="spellEnd"/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) Programu potwierdzają konieczność programowego i finansowego wyodrębnienia działań na rzecz rozwoju inicjatyw obywatelskich w postaci programu wspierającego aktywizację i rozwój społeczeństwa obywatelskiego w sferze zadań publicznych określającej obszary działalności pożytku publicznego.</w:t>
      </w:r>
    </w:p>
    <w:p w14:paraId="317CFCC3" w14:textId="689D0B55" w:rsidR="00E07DED" w:rsidRPr="00E07DED" w:rsidRDefault="00E07DED" w:rsidP="00E07DED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E07DE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„Program Fundusz Inicjatyw Obywatelskich NOWEFIO na lata 2021–2030”</w:t>
      </w: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E07DE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stanowi kontynuację oferty programowej skierowanej do sektora organizacji pozarządowych, po pozytywnych doświadczeniach wynikających z realizacji Rządowego Programu – Fundusz Inicjatyw Obywatelskich w latach 2005–2007, </w:t>
      </w:r>
      <w:r w:rsidRPr="00E07DED">
        <w:rPr>
          <w:rFonts w:ascii="Times New Roman" w:eastAsia="Calibri" w:hAnsi="Times New Roman"/>
          <w:i/>
          <w:color w:val="000000"/>
          <w:spacing w:val="-2"/>
          <w:sz w:val="24"/>
          <w:szCs w:val="24"/>
          <w:lang w:eastAsia="en-US"/>
        </w:rPr>
        <w:t>Programu Fundusz Inicjatyw Obywatelskich 2008</w:t>
      </w:r>
      <w:r w:rsidRPr="00E07DE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realizowanego z rezerwy celowej budżetu państwa, </w:t>
      </w:r>
      <w:r w:rsidRPr="00E07DED">
        <w:rPr>
          <w:rFonts w:ascii="Times New Roman" w:eastAsia="Calibri" w:hAnsi="Times New Roman"/>
          <w:i/>
          <w:color w:val="000000"/>
          <w:spacing w:val="-2"/>
          <w:sz w:val="24"/>
          <w:szCs w:val="24"/>
          <w:lang w:eastAsia="en-US"/>
        </w:rPr>
        <w:t>Programu Operacyjnego Fundusz Inicjatyw Obywatelskich na lata 2009–2013</w:t>
      </w:r>
      <w:r w:rsidRPr="00E07DE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oraz </w:t>
      </w:r>
      <w:r w:rsidRPr="00E07DED">
        <w:rPr>
          <w:rFonts w:ascii="Times New Roman" w:eastAsia="Calibri" w:hAnsi="Times New Roman"/>
          <w:i/>
          <w:color w:val="000000"/>
          <w:spacing w:val="-2"/>
          <w:sz w:val="24"/>
          <w:szCs w:val="24"/>
          <w:lang w:eastAsia="en-US"/>
        </w:rPr>
        <w:t>Programu Fundusz Inicjatyw Obywatelskich na lata 2014-2020</w:t>
      </w:r>
      <w:r w:rsidRPr="00E07DE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.</w:t>
      </w:r>
    </w:p>
    <w:p w14:paraId="72712FF1" w14:textId="77777777" w:rsidR="008763B5" w:rsidRPr="008763B5" w:rsidRDefault="008763B5" w:rsidP="008763B5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Głównym celem Programu jest zwiększenie zaangażowania obywateli i organizacji pozarządowych w życie publiczne.</w:t>
      </w:r>
    </w:p>
    <w:p w14:paraId="7B4915A0" w14:textId="77777777" w:rsidR="008763B5" w:rsidRPr="008763B5" w:rsidRDefault="008763B5" w:rsidP="008763B5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Cele szczegółowe to :</w:t>
      </w:r>
    </w:p>
    <w:p w14:paraId="3DCF9CAD" w14:textId="47492EA1" w:rsidR="008763B5" w:rsidRPr="008763B5" w:rsidRDefault="008763B5" w:rsidP="008763B5">
      <w:pPr>
        <w:widowControl/>
        <w:numPr>
          <w:ilvl w:val="0"/>
          <w:numId w:val="6"/>
        </w:numPr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poprawa samoorganizacji społecznej m.in. przez wsparcie dedykowane dla działań samopomocowych, inicjatyw lokalnych, nieformalnych oraz młodych organizacji pozarządowych, które nie mają do</w:t>
      </w:r>
      <w:r w:rsidR="00DF2D90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świadczenia oraz umiejętności w 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zakresie ubiegania się o środki publiczne,  </w:t>
      </w:r>
    </w:p>
    <w:p w14:paraId="60BA74EF" w14:textId="77777777" w:rsidR="008763B5" w:rsidRPr="008763B5" w:rsidRDefault="008763B5" w:rsidP="008763B5">
      <w:pPr>
        <w:widowControl/>
        <w:numPr>
          <w:ilvl w:val="0"/>
          <w:numId w:val="6"/>
        </w:numPr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wzrost znaczenia sektora obywatelskiego w życiu publicznym osiągany w wyniku tworzenia odpowiednich warunków instytucjonalnych, w tym wspieranie istniejących i tworzenie nowych jednostek pomocniczych samorządu terytorialnego i instytucji dialogu obywatelskiego, w tym rad działalności pożytku publicznego, rad młodzieżowych i senioralnych przy jednostkach samorządu terytorialnego, rad sołeckich, osiedlowych, konsultacyjnych, komisji dialogu społecznego,</w:t>
      </w:r>
    </w:p>
    <w:p w14:paraId="6C24D7BA" w14:textId="5D8EAE87" w:rsidR="008763B5" w:rsidRPr="008763B5" w:rsidRDefault="008763B5" w:rsidP="008763B5">
      <w:pPr>
        <w:widowControl/>
        <w:numPr>
          <w:ilvl w:val="0"/>
          <w:numId w:val="6"/>
        </w:numPr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wzmocnienie instytucjonalne sektora obywatelskiego w Polsce w drodze systematycznego podnoszenia kompetencji osób działających w jego organizacjach i poprawę efektywności funkcjonowania ich struktur.</w:t>
      </w:r>
    </w:p>
    <w:p w14:paraId="5C74F1C8" w14:textId="06AAE6D7" w:rsidR="008763B5" w:rsidRDefault="008763B5" w:rsidP="008763B5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lastRenderedPageBreak/>
        <w:t>Program został zaplanowany w perspektywie lat 20</w:t>
      </w: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21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-2030</w:t>
      </w: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. 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Realizacja Programu NOWEFIO finansowana będzie z krajowych środków publicznych pochodzących z dotacji celowej z budżetu państwa i wyniesie </w:t>
      </w:r>
      <w:r w:rsidR="00D23B5E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80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mln zł rocznie. </w:t>
      </w:r>
    </w:p>
    <w:p w14:paraId="5F5DF3C4" w14:textId="77777777" w:rsidR="009A4AAB" w:rsidRDefault="009A4AAB" w:rsidP="008763B5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 w:bidi="pl-PL"/>
        </w:rPr>
      </w:pPr>
      <w:r w:rsidRPr="009A4AAB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Program NOWEFIO jest programem rozwoju w rozumieniu art. 15 ust. 4 pkt 2 ustawy z dnia 6 grudnia 2006 r. o zasadach prowadzenia polityki rozwoju (Dz. U. z 2019 r. poz. 1295, z </w:t>
      </w:r>
      <w:proofErr w:type="spellStart"/>
      <w:r w:rsidRPr="009A4AAB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późn</w:t>
      </w:r>
      <w:proofErr w:type="spellEnd"/>
      <w:r w:rsidRPr="009A4AAB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. zm.) służąc wzmacnianiu i rozwojowi kapitału społecznego przez inicjowanie i wspieranie zachowań prospołecznych we wspólnotach lokalnych oraz budowanie i umacnianie struktur społeczeństwa obywatelskiego.</w:t>
      </w:r>
    </w:p>
    <w:p w14:paraId="6413A306" w14:textId="7F1D1573" w:rsidR="008763B5" w:rsidRPr="008763B5" w:rsidRDefault="008763B5" w:rsidP="008763B5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Do trybu finansowania projektów ze środków Programu NOWEFIO odpowiednie zastosowanie będą miały przepisy </w:t>
      </w:r>
      <w:r w:rsidR="002717DD"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ustawy z dnia 24 kwietnia 2003 r. o działalności pożytku publicznego i o wolontariacie (Dz. U. z 2020 r. poz. 1057, dalej: </w:t>
      </w:r>
      <w:proofErr w:type="spellStart"/>
      <w:r w:rsidR="002717DD"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UoDPPiW</w:t>
      </w:r>
      <w:proofErr w:type="spellEnd"/>
      <w:r w:rsidR="002717DD"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)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oraz ustawy o NIW-CRSO regulujące wybór oferty.</w:t>
      </w:r>
    </w:p>
    <w:p w14:paraId="60621045" w14:textId="23965A25" w:rsidR="005E6710" w:rsidRDefault="008763B5" w:rsidP="008763B5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Podmiotami uprawnionymi do składania ofert o dofinansowanie realizacji zadania w ramach Programu NOWEFIO będą organizacje pozarządowe, o których mowa w art. 3 ust. 2 </w:t>
      </w:r>
      <w:proofErr w:type="spellStart"/>
      <w:r w:rsidR="002717DD"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UoDPPiW</w:t>
      </w:r>
      <w:proofErr w:type="spellEnd"/>
      <w:r w:rsidR="002717DD" w:rsidRPr="008763B5" w:rsidDel="002717D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oraz podmioty wymienione w art. 3 ust. 3 </w:t>
      </w:r>
      <w:proofErr w:type="spellStart"/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UoDPPiW</w:t>
      </w:r>
      <w:proofErr w:type="spellEnd"/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, a</w:t>
      </w:r>
      <w:r w:rsidR="002717D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 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także organizacje pozarządowe działające na podstawie innych przepisów, jak np. koła gospodyń wiejskich oraz ochotnicze straże pożarne. Na zasadzie </w:t>
      </w:r>
      <w:proofErr w:type="spellStart"/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regrantingu</w:t>
      </w:r>
      <w:proofErr w:type="spellEnd"/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będą mogły być wspierane, za pośrednictwem innych organizacji pozarządowych, grupy nieformalne. Podmioty uprawnione do aplikowania nie będą musiały posiadać statusu organizacji pożytku publicznego.</w:t>
      </w:r>
    </w:p>
    <w:p w14:paraId="5680FC02" w14:textId="5A0CFE1A" w:rsidR="00C80EC9" w:rsidRPr="008763B5" w:rsidRDefault="00C80EC9" w:rsidP="00C80EC9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C80EC9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 w:bidi="pl-PL"/>
        </w:rPr>
        <w:t>Planowane w ramach Programu dotacje nie mogą być udzielane na działania związane z</w:t>
      </w:r>
      <w:r w:rsidR="002717D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 w:bidi="pl-PL"/>
        </w:rPr>
        <w:t> </w:t>
      </w:r>
      <w:r w:rsidRPr="00C80EC9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 w:bidi="pl-PL"/>
        </w:rPr>
        <w:t>prowadzeniem działalności gospodarczej.</w:t>
      </w:r>
      <w:r w:rsidRPr="008763B5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</w:t>
      </w:r>
    </w:p>
    <w:p w14:paraId="2D1700E8" w14:textId="77777777" w:rsidR="005E6710" w:rsidRPr="00397891" w:rsidRDefault="005E6710" w:rsidP="00696834">
      <w:pPr>
        <w:pStyle w:val="NormalnyWeb"/>
        <w:spacing w:before="120" w:beforeAutospacing="0" w:after="0" w:afterAutospacing="0" w:line="276" w:lineRule="auto"/>
        <w:jc w:val="both"/>
      </w:pPr>
      <w:r w:rsidRPr="00397891">
        <w:t>Proponuje się, aby uchwała weszła w życie z dniem podjęcia.</w:t>
      </w:r>
      <w:r w:rsidR="00AB517A">
        <w:t xml:space="preserve"> Proponowany termin wejścia w życie projektowanej uchwały jest uzasadniony koniecznością </w:t>
      </w:r>
      <w:r w:rsidR="008763B5">
        <w:t>terminowego</w:t>
      </w:r>
      <w:r w:rsidR="00AB517A">
        <w:t xml:space="preserve"> rozpoczęcia realizacji wskaza</w:t>
      </w:r>
      <w:r w:rsidR="008763B5">
        <w:t>nego Programu, w tym przygotowania</w:t>
      </w:r>
      <w:r w:rsidR="00AB517A">
        <w:t xml:space="preserve"> niezbędnych procedur konkursowych.</w:t>
      </w:r>
    </w:p>
    <w:p w14:paraId="668A95F3" w14:textId="77777777" w:rsidR="005E6710" w:rsidRPr="00397891" w:rsidRDefault="005E6710" w:rsidP="00696834">
      <w:pPr>
        <w:pStyle w:val="ARTartustawynprozporzdzenia"/>
        <w:spacing w:after="0" w:line="276" w:lineRule="auto"/>
        <w:ind w:firstLine="0"/>
        <w:rPr>
          <w:rFonts w:ascii="Times New Roman" w:hAnsi="Times New Roman" w:cs="Times New Roman"/>
          <w:szCs w:val="24"/>
        </w:rPr>
      </w:pPr>
      <w:r w:rsidRPr="00397891">
        <w:rPr>
          <w:rFonts w:ascii="Times New Roman" w:hAnsi="Times New Roman" w:cs="Times New Roman"/>
          <w:szCs w:val="24"/>
        </w:rPr>
        <w:t xml:space="preserve">Projekt uchwały nie jest objęty prawem Unii Europejskiej. </w:t>
      </w:r>
    </w:p>
    <w:p w14:paraId="6DA78B07" w14:textId="77777777" w:rsidR="005E6710" w:rsidRPr="00397891" w:rsidRDefault="005E6710" w:rsidP="00696834">
      <w:pPr>
        <w:pStyle w:val="ARTartustawynprozporzdzenia"/>
        <w:spacing w:after="0" w:line="276" w:lineRule="auto"/>
        <w:ind w:firstLine="0"/>
        <w:rPr>
          <w:rFonts w:ascii="Times New Roman" w:hAnsi="Times New Roman" w:cs="Times New Roman"/>
          <w:szCs w:val="24"/>
        </w:rPr>
      </w:pPr>
      <w:r w:rsidRPr="00397891">
        <w:rPr>
          <w:rFonts w:ascii="Times New Roman" w:hAnsi="Times New Roman" w:cs="Times New Roman"/>
          <w:szCs w:val="24"/>
        </w:rPr>
        <w:t xml:space="preserve">Projekt uchwały nie zawiera przepisów technicznych, w związku z tym nie podlega notyfikacji zgodnie z przepisami dotyczącymi funkcjonowania krajowego systemu notyfikacji norm </w:t>
      </w:r>
      <w:r w:rsidRPr="00397891">
        <w:rPr>
          <w:rFonts w:ascii="Times New Roman" w:hAnsi="Times New Roman" w:cs="Times New Roman"/>
          <w:szCs w:val="24"/>
        </w:rPr>
        <w:br/>
        <w:t xml:space="preserve">i aktów prawnych. </w:t>
      </w:r>
    </w:p>
    <w:p w14:paraId="4F8D8021" w14:textId="77777777" w:rsidR="005E6710" w:rsidRDefault="005E6710" w:rsidP="00696834">
      <w:pPr>
        <w:pStyle w:val="NIEARTTEKSTtekstnieartykuowanynppodstprawnarozplubpreambua"/>
        <w:spacing w:after="0" w:line="276" w:lineRule="auto"/>
        <w:ind w:firstLine="0"/>
        <w:rPr>
          <w:rFonts w:ascii="Times New Roman" w:hAnsi="Times New Roman" w:cs="Times New Roman"/>
          <w:szCs w:val="24"/>
        </w:rPr>
      </w:pPr>
      <w:r w:rsidRPr="00397891">
        <w:rPr>
          <w:rFonts w:ascii="Times New Roman" w:hAnsi="Times New Roman" w:cs="Times New Roman"/>
          <w:szCs w:val="24"/>
        </w:rPr>
        <w:t>Projekt uchwały nie wymaga przedłożenia instytucjom i organom Unii Europejskiej, w tym Europejskiemu Bankowi Centralnemu, w celu uzyskania opinii, dokonania powiadomienia, konsultacji albo uzgodnienia.</w:t>
      </w:r>
    </w:p>
    <w:p w14:paraId="0279641C" w14:textId="1EACECCF" w:rsidR="003E14DD" w:rsidRPr="004C3817" w:rsidRDefault="003E14DD" w:rsidP="004C3817">
      <w:pPr>
        <w:pStyle w:val="NIEARTTEKSTtekstnieartykuowanynppodstprawnarozplubpreambua"/>
        <w:spacing w:after="0" w:line="276" w:lineRule="auto"/>
        <w:ind w:firstLine="0"/>
        <w:rPr>
          <w:rFonts w:ascii="Times New Roman" w:hAnsi="Times New Roman" w:cs="Times New Roman"/>
          <w:szCs w:val="24"/>
        </w:rPr>
      </w:pPr>
      <w:r w:rsidRPr="004C3817">
        <w:rPr>
          <w:rFonts w:ascii="Times New Roman" w:hAnsi="Times New Roman"/>
          <w:szCs w:val="24"/>
        </w:rPr>
        <w:t>Wejście w życie projektowane</w:t>
      </w:r>
      <w:r w:rsidR="00DF2D90">
        <w:rPr>
          <w:rFonts w:ascii="Times New Roman" w:hAnsi="Times New Roman"/>
          <w:szCs w:val="24"/>
        </w:rPr>
        <w:t>j</w:t>
      </w:r>
      <w:r w:rsidRPr="004C3817">
        <w:rPr>
          <w:rFonts w:ascii="Times New Roman" w:hAnsi="Times New Roman"/>
          <w:szCs w:val="24"/>
        </w:rPr>
        <w:t xml:space="preserve"> </w:t>
      </w:r>
      <w:r w:rsidR="00DF2D90">
        <w:rPr>
          <w:rFonts w:ascii="Times New Roman" w:hAnsi="Times New Roman"/>
          <w:szCs w:val="24"/>
        </w:rPr>
        <w:t>uchwały</w:t>
      </w:r>
      <w:r w:rsidRPr="004C3817">
        <w:rPr>
          <w:rFonts w:ascii="Times New Roman" w:hAnsi="Times New Roman"/>
          <w:szCs w:val="24"/>
        </w:rPr>
        <w:t xml:space="preserve"> nie będzie miało wpływu na działalność </w:t>
      </w:r>
      <w:proofErr w:type="spellStart"/>
      <w:r w:rsidRPr="004C3817">
        <w:rPr>
          <w:rFonts w:ascii="Times New Roman" w:hAnsi="Times New Roman"/>
          <w:szCs w:val="24"/>
        </w:rPr>
        <w:t>mikroprzedsiębiorców</w:t>
      </w:r>
      <w:proofErr w:type="spellEnd"/>
      <w:r w:rsidRPr="004C3817">
        <w:rPr>
          <w:rFonts w:ascii="Times New Roman" w:hAnsi="Times New Roman"/>
          <w:szCs w:val="24"/>
        </w:rPr>
        <w:t>, małych oraz średnich przedsiębiorców.</w:t>
      </w:r>
    </w:p>
    <w:p w14:paraId="1C569EE8" w14:textId="59F2B501" w:rsidR="005E6710" w:rsidRPr="00314ED4" w:rsidRDefault="008D1808" w:rsidP="00B542D4">
      <w:pPr>
        <w:pStyle w:val="artartustawynprozporzdzenia0"/>
        <w:spacing w:before="120" w:beforeAutospacing="0" w:after="0" w:afterAutospacing="0" w:line="276" w:lineRule="auto"/>
        <w:jc w:val="both"/>
        <w:rPr>
          <w:spacing w:val="-2"/>
        </w:rPr>
      </w:pPr>
      <w:r>
        <w:t xml:space="preserve">Projekt </w:t>
      </w:r>
      <w:r w:rsidR="00773B3C">
        <w:t>uchwały został wpisany do wykazu</w:t>
      </w:r>
      <w:r>
        <w:t xml:space="preserve"> prac legislacyjnych i programowych Rady Ministrów pod pozycją </w:t>
      </w:r>
      <w:r>
        <w:t>ID89</w:t>
      </w:r>
      <w:r>
        <w:t xml:space="preserve">. </w:t>
      </w:r>
      <w:r w:rsidR="005E6710" w:rsidRPr="00397891">
        <w:t xml:space="preserve">Projekt uchwały został udostępniony w Biuletynie Informacji Publicznej na stronie podmiotowej Kancelarii Prezesa Rady Ministrów, zgodnie z ustawą </w:t>
      </w:r>
      <w:r w:rsidR="00773B3C">
        <w:br/>
      </w:r>
      <w:bookmarkStart w:id="0" w:name="_GoBack"/>
      <w:bookmarkEnd w:id="0"/>
      <w:r w:rsidR="005E6710" w:rsidRPr="00397891">
        <w:t xml:space="preserve">z dnia 7 </w:t>
      </w:r>
      <w:r w:rsidR="002431AF">
        <w:t>lipca 2005 r. o </w:t>
      </w:r>
      <w:r w:rsidR="005E6710" w:rsidRPr="00397891">
        <w:t xml:space="preserve">działalności lobbingowej w procesie stanowienia prawa (Dz. U. z 2017 r. poz. 248). </w:t>
      </w:r>
    </w:p>
    <w:sectPr w:rsidR="005E6710" w:rsidRPr="00314ED4" w:rsidSect="00AA38C8">
      <w:footerReference w:type="default" r:id="rId7"/>
      <w:footerReference w:type="first" r:id="rId8"/>
      <w:footnotePr>
        <w:numRestart w:val="eachSect"/>
      </w:footnotePr>
      <w:pgSz w:w="11906" w:h="16838"/>
      <w:pgMar w:top="1418" w:right="1435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307B6" w14:textId="77777777" w:rsidR="00AA38C8" w:rsidRDefault="00AA38C8">
      <w:pPr>
        <w:spacing w:after="0"/>
      </w:pPr>
      <w:r>
        <w:separator/>
      </w:r>
    </w:p>
  </w:endnote>
  <w:endnote w:type="continuationSeparator" w:id="0">
    <w:p w14:paraId="5E13B348" w14:textId="77777777" w:rsidR="00AA38C8" w:rsidRDefault="00AA38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430908"/>
      <w:docPartObj>
        <w:docPartGallery w:val="Page Numbers (Bottom of Page)"/>
        <w:docPartUnique/>
      </w:docPartObj>
    </w:sdtPr>
    <w:sdtEndPr/>
    <w:sdtContent>
      <w:p w14:paraId="6EBB9AB7" w14:textId="7002B2AA" w:rsidR="00AA38C8" w:rsidRDefault="005E6710" w:rsidP="00AA38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B3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D1546" w14:textId="77777777" w:rsidR="00AA38C8" w:rsidRDefault="00AA38C8" w:rsidP="00AA38C8">
    <w:pPr>
      <w:pStyle w:val="Stopka"/>
    </w:pPr>
  </w:p>
  <w:p w14:paraId="69E5F98A" w14:textId="77777777" w:rsidR="00AA38C8" w:rsidRDefault="00AA38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B9749" w14:textId="77777777" w:rsidR="00AA38C8" w:rsidRDefault="00AA38C8">
      <w:pPr>
        <w:spacing w:after="0"/>
      </w:pPr>
      <w:r>
        <w:separator/>
      </w:r>
    </w:p>
  </w:footnote>
  <w:footnote w:type="continuationSeparator" w:id="0">
    <w:p w14:paraId="04CC7AB7" w14:textId="77777777" w:rsidR="00AA38C8" w:rsidRDefault="00AA38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75C1"/>
    <w:multiLevelType w:val="hybridMultilevel"/>
    <w:tmpl w:val="5714FA3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3540049"/>
    <w:multiLevelType w:val="hybridMultilevel"/>
    <w:tmpl w:val="59021BEA"/>
    <w:lvl w:ilvl="0" w:tplc="952AF99A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8D7B34"/>
    <w:multiLevelType w:val="hybridMultilevel"/>
    <w:tmpl w:val="8884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2393"/>
    <w:multiLevelType w:val="hybridMultilevel"/>
    <w:tmpl w:val="2DA8E714"/>
    <w:lvl w:ilvl="0" w:tplc="952AF99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A197A"/>
    <w:multiLevelType w:val="hybridMultilevel"/>
    <w:tmpl w:val="47FE28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0D104E"/>
    <w:multiLevelType w:val="hybridMultilevel"/>
    <w:tmpl w:val="8808150E"/>
    <w:lvl w:ilvl="0" w:tplc="952AF99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10"/>
    <w:rsid w:val="00095719"/>
    <w:rsid w:val="000E3E70"/>
    <w:rsid w:val="00114DF5"/>
    <w:rsid w:val="001D2C86"/>
    <w:rsid w:val="00222258"/>
    <w:rsid w:val="002431AF"/>
    <w:rsid w:val="002717DD"/>
    <w:rsid w:val="003E14DD"/>
    <w:rsid w:val="004C3817"/>
    <w:rsid w:val="004D3D7F"/>
    <w:rsid w:val="005E6710"/>
    <w:rsid w:val="00682E39"/>
    <w:rsid w:val="00696834"/>
    <w:rsid w:val="00773B3C"/>
    <w:rsid w:val="007D4268"/>
    <w:rsid w:val="00816E59"/>
    <w:rsid w:val="008763B5"/>
    <w:rsid w:val="008D1808"/>
    <w:rsid w:val="00951904"/>
    <w:rsid w:val="009A4AAB"/>
    <w:rsid w:val="009B32DA"/>
    <w:rsid w:val="009E3DA2"/>
    <w:rsid w:val="00A53790"/>
    <w:rsid w:val="00AA38C8"/>
    <w:rsid w:val="00AB517A"/>
    <w:rsid w:val="00B542D4"/>
    <w:rsid w:val="00C80EC9"/>
    <w:rsid w:val="00CF5F9F"/>
    <w:rsid w:val="00D23B5E"/>
    <w:rsid w:val="00DC0C88"/>
    <w:rsid w:val="00DE5A28"/>
    <w:rsid w:val="00DF2D90"/>
    <w:rsid w:val="00E07DED"/>
    <w:rsid w:val="00E324DB"/>
    <w:rsid w:val="00ED4C80"/>
    <w:rsid w:val="00F21736"/>
    <w:rsid w:val="00F819CE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0F4E"/>
  <w15:chartTrackingRefBased/>
  <w15:docId w15:val="{42033314-2DFD-4108-AD69-FF415AC2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710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E671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6710"/>
    <w:rPr>
      <w:rFonts w:ascii="Times" w:eastAsia="Times New Roman" w:hAnsi="Times" w:cs="Times New Roman"/>
      <w:kern w:val="1"/>
      <w:sz w:val="20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E671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E6710"/>
    <w:rPr>
      <w:bCs/>
    </w:rPr>
  </w:style>
  <w:style w:type="paragraph" w:customStyle="1" w:styleId="artartustawynprozporzdzenia0">
    <w:name w:val="artartustawynprozporzdzenia"/>
    <w:basedOn w:val="Normalny"/>
    <w:rsid w:val="005E67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5E6710"/>
  </w:style>
  <w:style w:type="paragraph" w:styleId="Akapitzlist">
    <w:name w:val="List Paragraph"/>
    <w:basedOn w:val="Normalny"/>
    <w:link w:val="AkapitzlistZnak"/>
    <w:uiPriority w:val="99"/>
    <w:qFormat/>
    <w:rsid w:val="005E6710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E6710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editable-pre-wrapped">
    <w:name w:val="editable-pre-wrapped"/>
    <w:basedOn w:val="Domylnaczcionkaakapitu"/>
    <w:rsid w:val="005E6710"/>
  </w:style>
  <w:style w:type="paragraph" w:styleId="NormalnyWeb">
    <w:name w:val="Normal (Web)"/>
    <w:basedOn w:val="Normalny"/>
    <w:uiPriority w:val="99"/>
    <w:unhideWhenUsed/>
    <w:rsid w:val="005E67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D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DF5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uiPriority w:val="20"/>
    <w:qFormat/>
    <w:rsid w:val="003E14DD"/>
    <w:rPr>
      <w:i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3B5"/>
    <w:pPr>
      <w:widowControl/>
      <w:autoSpaceDE/>
      <w:autoSpaceDN/>
      <w:adjustRightInd/>
      <w:spacing w:after="0"/>
    </w:pPr>
    <w:rPr>
      <w:rFonts w:ascii="Times New Roman" w:hAnsi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3B5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C0C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EC9"/>
    <w:pPr>
      <w:widowControl w:val="0"/>
      <w:autoSpaceDE w:val="0"/>
      <w:autoSpaceDN w:val="0"/>
      <w:adjustRightInd w:val="0"/>
      <w:spacing w:after="160"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EC9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3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Paweł</dc:creator>
  <cp:keywords/>
  <dc:description/>
  <cp:lastModifiedBy>Stawarz Magdalena</cp:lastModifiedBy>
  <cp:revision>4</cp:revision>
  <cp:lastPrinted>2020-02-24T11:06:00Z</cp:lastPrinted>
  <dcterms:created xsi:type="dcterms:W3CDTF">2020-08-19T10:39:00Z</dcterms:created>
  <dcterms:modified xsi:type="dcterms:W3CDTF">2020-08-19T14:00:00Z</dcterms:modified>
</cp:coreProperties>
</file>