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C4940" w14:textId="5FEA9659" w:rsidR="008C1ED4" w:rsidRDefault="00E5709A" w:rsidP="008C1ED4">
      <w:pPr>
        <w:spacing w:after="0" w:line="240" w:lineRule="auto"/>
        <w:rPr>
          <w:rFonts w:ascii="Lato" w:hAnsi="Lato"/>
          <w:sz w:val="20"/>
        </w:rPr>
      </w:pPr>
      <w:r>
        <w:rPr>
          <w:rFonts w:ascii="Lato" w:hAnsi="Lato"/>
          <w:sz w:val="20"/>
        </w:rPr>
        <w:t>Departament Projektów i Strategii</w:t>
      </w:r>
    </w:p>
    <w:p w14:paraId="30130513" w14:textId="77777777" w:rsidR="008C1ED4" w:rsidRDefault="008C1ED4" w:rsidP="008C1ED4">
      <w:pPr>
        <w:spacing w:after="0" w:line="240" w:lineRule="auto"/>
        <w:rPr>
          <w:rFonts w:ascii="Lato" w:hAnsi="Lato"/>
          <w:sz w:val="20"/>
        </w:rPr>
      </w:pPr>
    </w:p>
    <w:p w14:paraId="33F00B5C" w14:textId="77777777" w:rsidR="00B5197E" w:rsidRDefault="00B5197E" w:rsidP="00B5197E">
      <w:pPr>
        <w:spacing w:after="0" w:line="240" w:lineRule="auto"/>
        <w:rPr>
          <w:rFonts w:ascii="Lato" w:hAnsi="Lato"/>
          <w:sz w:val="20"/>
        </w:rPr>
      </w:pPr>
    </w:p>
    <w:p w14:paraId="61087147" w14:textId="1BEE9AD2" w:rsidR="0066686A" w:rsidRDefault="00EB0F9E" w:rsidP="0066686A">
      <w:pPr>
        <w:shd w:val="clear" w:color="auto" w:fill="DEEAF6"/>
        <w:spacing w:line="254" w:lineRule="auto"/>
        <w:jc w:val="center"/>
        <w:rPr>
          <w:b/>
          <w:sz w:val="28"/>
          <w:szCs w:val="28"/>
        </w:rPr>
      </w:pPr>
      <w:r w:rsidRPr="00EB0F9E">
        <w:rPr>
          <w:b/>
          <w:sz w:val="28"/>
          <w:szCs w:val="28"/>
        </w:rPr>
        <w:t>Podsumowanie wyników konsultacji</w:t>
      </w:r>
    </w:p>
    <w:p w14:paraId="7002A0FF" w14:textId="3E41E27F" w:rsidR="0069447E" w:rsidRPr="00C96812" w:rsidRDefault="0066686A" w:rsidP="00C96812">
      <w:pPr>
        <w:shd w:val="clear" w:color="auto" w:fill="DEEAF6"/>
        <w:spacing w:line="254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Omnibus cyfrowy i Omnibus AI</w:t>
      </w:r>
    </w:p>
    <w:p w14:paraId="0FE792D5" w14:textId="7BF5C9D1" w:rsidR="00EB0F9E" w:rsidRDefault="00EB0F9E" w:rsidP="00EB0F9E">
      <w:pPr>
        <w:spacing w:after="0" w:line="240" w:lineRule="auto"/>
        <w:jc w:val="both"/>
        <w:rPr>
          <w:rFonts w:ascii="Lato" w:hAnsi="Lato"/>
          <w:sz w:val="20"/>
        </w:rPr>
      </w:pPr>
      <w:r w:rsidRPr="00EB0F9E">
        <w:rPr>
          <w:rFonts w:ascii="Lato" w:hAnsi="Lato"/>
          <w:sz w:val="20"/>
        </w:rPr>
        <w:t xml:space="preserve">Komisja Europejska opublikowała dwa pakiety uproszczające prawo unijne, tzw. omnibusy cyfrowe. Pierwszy z nich dotyczy </w:t>
      </w:r>
      <w:r w:rsidR="001003BC">
        <w:rPr>
          <w:rFonts w:ascii="Lato" w:hAnsi="Lato"/>
          <w:sz w:val="20"/>
        </w:rPr>
        <w:t xml:space="preserve">tzw. </w:t>
      </w:r>
      <w:hyperlink r:id="rId11" w:history="1">
        <w:r w:rsidR="001003BC" w:rsidRPr="001003BC">
          <w:rPr>
            <w:rStyle w:val="Hipercze"/>
            <w:rFonts w:ascii="Lato" w:hAnsi="Lato"/>
            <w:sz w:val="20"/>
          </w:rPr>
          <w:t>Omnibus</w:t>
        </w:r>
        <w:r w:rsidR="001003BC">
          <w:rPr>
            <w:rStyle w:val="Hipercze"/>
            <w:rFonts w:ascii="Lato" w:hAnsi="Lato"/>
            <w:sz w:val="20"/>
          </w:rPr>
          <w:t>a</w:t>
        </w:r>
        <w:r w:rsidR="001003BC" w:rsidRPr="001003BC">
          <w:rPr>
            <w:rStyle w:val="Hipercze"/>
            <w:rFonts w:ascii="Lato" w:hAnsi="Lato"/>
            <w:sz w:val="20"/>
          </w:rPr>
          <w:t xml:space="preserve"> AI</w:t>
        </w:r>
      </w:hyperlink>
      <w:r w:rsidR="001003BC">
        <w:rPr>
          <w:rFonts w:ascii="Lato" w:hAnsi="Lato"/>
          <w:sz w:val="20"/>
        </w:rPr>
        <w:t xml:space="preserve">, </w:t>
      </w:r>
      <w:r w:rsidRPr="00EB0F9E">
        <w:rPr>
          <w:rFonts w:ascii="Lato" w:hAnsi="Lato"/>
          <w:sz w:val="20"/>
        </w:rPr>
        <w:t xml:space="preserve">a drugi </w:t>
      </w:r>
      <w:r w:rsidR="001003BC">
        <w:rPr>
          <w:rFonts w:ascii="Lato" w:hAnsi="Lato"/>
          <w:sz w:val="20"/>
        </w:rPr>
        <w:t xml:space="preserve">tzw. </w:t>
      </w:r>
      <w:hyperlink r:id="rId12" w:history="1">
        <w:r w:rsidR="001003BC" w:rsidRPr="001003BC">
          <w:rPr>
            <w:rStyle w:val="Hipercze"/>
            <w:rFonts w:ascii="Lato" w:hAnsi="Lato"/>
            <w:sz w:val="20"/>
          </w:rPr>
          <w:t>O</w:t>
        </w:r>
        <w:r w:rsidRPr="001003BC">
          <w:rPr>
            <w:rStyle w:val="Hipercze"/>
            <w:rFonts w:ascii="Lato" w:hAnsi="Lato"/>
            <w:sz w:val="20"/>
          </w:rPr>
          <w:t>mnibus</w:t>
        </w:r>
        <w:r w:rsidR="001003BC" w:rsidRPr="001003BC">
          <w:rPr>
            <w:rStyle w:val="Hipercze"/>
            <w:rFonts w:ascii="Lato" w:hAnsi="Lato"/>
            <w:sz w:val="20"/>
          </w:rPr>
          <w:t>a</w:t>
        </w:r>
        <w:r w:rsidRPr="001003BC">
          <w:rPr>
            <w:rStyle w:val="Hipercze"/>
            <w:rFonts w:ascii="Lato" w:hAnsi="Lato"/>
            <w:sz w:val="20"/>
          </w:rPr>
          <w:t xml:space="preserve"> cyfrow</w:t>
        </w:r>
        <w:r w:rsidR="001003BC" w:rsidRPr="001003BC">
          <w:rPr>
            <w:rStyle w:val="Hipercze"/>
            <w:rFonts w:ascii="Lato" w:hAnsi="Lato"/>
            <w:sz w:val="20"/>
          </w:rPr>
          <w:t>ego</w:t>
        </w:r>
      </w:hyperlink>
      <w:r>
        <w:rPr>
          <w:rFonts w:ascii="Lato" w:hAnsi="Lato"/>
          <w:sz w:val="20"/>
        </w:rPr>
        <w:t xml:space="preserve"> o charakterze horyzontalnym, który </w:t>
      </w:r>
      <w:r w:rsidRPr="00EB0F9E">
        <w:rPr>
          <w:rFonts w:ascii="Lato" w:hAnsi="Lato"/>
          <w:sz w:val="20"/>
        </w:rPr>
        <w:t>obejmuje m.in. kwestie dostępu do danych oraz ich przetwarzania. Propozycje Komisji zawierają elementy zawarte w raporcie Polskiej Prezydencji o uproszczeniach i obejmują m.in. utworzenie europejskiej piaskownicy regulacyjnej, rozszerzenie preferencji i zwolnień z obowiązków dla małych i średnich przedsiębiorstw, a także likwidację wyskakujących okienek związanych z tzw. ciasteczkami.</w:t>
      </w:r>
    </w:p>
    <w:p w14:paraId="099267CF" w14:textId="77777777" w:rsidR="00EB0F9E" w:rsidRDefault="00EB0F9E" w:rsidP="00EB0F9E">
      <w:pPr>
        <w:spacing w:after="0" w:line="240" w:lineRule="auto"/>
        <w:jc w:val="both"/>
        <w:rPr>
          <w:rFonts w:ascii="Lato" w:hAnsi="Lato"/>
          <w:sz w:val="20"/>
        </w:rPr>
      </w:pPr>
    </w:p>
    <w:p w14:paraId="7A6A3720" w14:textId="60F3E6FD" w:rsidR="00EB0F9E" w:rsidRDefault="0066686A" w:rsidP="0066686A">
      <w:pPr>
        <w:spacing w:after="0" w:line="240" w:lineRule="auto"/>
        <w:jc w:val="both"/>
        <w:rPr>
          <w:rFonts w:ascii="Lato" w:hAnsi="Lato"/>
          <w:sz w:val="20"/>
        </w:rPr>
      </w:pPr>
      <w:r>
        <w:rPr>
          <w:rFonts w:ascii="Lato" w:hAnsi="Lato"/>
          <w:sz w:val="20"/>
        </w:rPr>
        <w:t xml:space="preserve">Ministerstwo Cyfryzacji, przygotowując stanowisko Rządu RP do ww. legislacji, ogłosiło konsultacje publiczne. </w:t>
      </w:r>
      <w:r w:rsidRPr="0066686A">
        <w:rPr>
          <w:rFonts w:ascii="Lato" w:hAnsi="Lato"/>
          <w:sz w:val="20"/>
        </w:rPr>
        <w:t xml:space="preserve">Komunikat w sprawie prowadzonych konsultacji został zamieszczony na stronie internetowej Ministerstwa Cyfryzacji w zakładce aktualności. Zainteresowani mogli przesyłać swoje stanowiska drogą mailową na skrzynkę: </w:t>
      </w:r>
      <w:hyperlink r:id="rId13" w:history="1">
        <w:r w:rsidRPr="00B53997">
          <w:rPr>
            <w:rStyle w:val="Hipercze"/>
            <w:rFonts w:ascii="Lato" w:hAnsi="Lato"/>
            <w:sz w:val="20"/>
          </w:rPr>
          <w:t>sekretariat.dpis@cyfra.gov.pl</w:t>
        </w:r>
      </w:hyperlink>
      <w:r>
        <w:rPr>
          <w:rFonts w:ascii="Lato" w:hAnsi="Lato"/>
          <w:sz w:val="20"/>
        </w:rPr>
        <w:t xml:space="preserve"> </w:t>
      </w:r>
    </w:p>
    <w:p w14:paraId="1DA7CE4D" w14:textId="77777777" w:rsidR="00F54952" w:rsidRDefault="00F54952" w:rsidP="0066686A">
      <w:pPr>
        <w:spacing w:after="0" w:line="240" w:lineRule="auto"/>
        <w:jc w:val="both"/>
        <w:rPr>
          <w:rFonts w:ascii="Lato" w:hAnsi="Lato"/>
          <w:sz w:val="20"/>
        </w:rPr>
      </w:pPr>
    </w:p>
    <w:p w14:paraId="6C1E39EF" w14:textId="40FD5BDF" w:rsidR="00F54952" w:rsidRDefault="00F54952" w:rsidP="0066686A">
      <w:pPr>
        <w:spacing w:after="0" w:line="240" w:lineRule="auto"/>
        <w:jc w:val="both"/>
        <w:rPr>
          <w:rFonts w:ascii="Lato" w:hAnsi="Lato"/>
          <w:sz w:val="20"/>
        </w:rPr>
      </w:pPr>
      <w:r w:rsidRPr="00F54952">
        <w:rPr>
          <w:rFonts w:ascii="Lato" w:hAnsi="Lato"/>
          <w:sz w:val="20"/>
        </w:rPr>
        <w:t>Propozycje KE przedstawiono także do opinii reprezentatywnych organizacji związkowych: NSZZ „Solidarność”, Ogólnopolskiego Porozumienia Związków Zawodowych i Forum Związków Zawodowych. Organizacje te nie zgłosiły uwag do przedmiotowego dokumentu.</w:t>
      </w:r>
    </w:p>
    <w:p w14:paraId="181535F2" w14:textId="77777777" w:rsidR="0066686A" w:rsidRDefault="0066686A" w:rsidP="00DC68D9">
      <w:pPr>
        <w:spacing w:after="0" w:line="240" w:lineRule="auto"/>
        <w:rPr>
          <w:rFonts w:ascii="Lato" w:hAnsi="Lato"/>
          <w:sz w:val="20"/>
        </w:rPr>
      </w:pPr>
    </w:p>
    <w:p w14:paraId="73905B79" w14:textId="3D263DA7" w:rsidR="00EB0F9E" w:rsidRDefault="0066686A" w:rsidP="592EDDF9">
      <w:pPr>
        <w:spacing w:after="0" w:line="240" w:lineRule="auto"/>
        <w:jc w:val="both"/>
        <w:rPr>
          <w:rFonts w:ascii="Lato" w:hAnsi="Lato"/>
          <w:sz w:val="20"/>
          <w:szCs w:val="20"/>
        </w:rPr>
      </w:pPr>
      <w:r w:rsidRPr="5672D3A9">
        <w:rPr>
          <w:rFonts w:ascii="Lato" w:hAnsi="Lato"/>
          <w:sz w:val="20"/>
          <w:szCs w:val="20"/>
        </w:rPr>
        <w:t>Wkłady w ramach konsultacji zgłosiło 1</w:t>
      </w:r>
      <w:r w:rsidR="3697A9DA" w:rsidRPr="5672D3A9">
        <w:rPr>
          <w:rFonts w:ascii="Lato" w:hAnsi="Lato"/>
          <w:sz w:val="20"/>
          <w:szCs w:val="20"/>
        </w:rPr>
        <w:t>3</w:t>
      </w:r>
      <w:r w:rsidRPr="5672D3A9">
        <w:rPr>
          <w:rFonts w:ascii="Lato" w:hAnsi="Lato"/>
          <w:sz w:val="20"/>
          <w:szCs w:val="20"/>
        </w:rPr>
        <w:t xml:space="preserve"> podmiotów. </w:t>
      </w:r>
      <w:r w:rsidR="00E606EC" w:rsidRPr="5672D3A9">
        <w:rPr>
          <w:rFonts w:ascii="Lato" w:hAnsi="Lato"/>
          <w:sz w:val="20"/>
          <w:szCs w:val="20"/>
        </w:rPr>
        <w:t>Stanowiska były pr</w:t>
      </w:r>
      <w:r w:rsidR="000775F0" w:rsidRPr="5672D3A9">
        <w:rPr>
          <w:rFonts w:ascii="Lato" w:hAnsi="Lato"/>
          <w:sz w:val="20"/>
          <w:szCs w:val="20"/>
        </w:rPr>
        <w:t>z</w:t>
      </w:r>
      <w:r w:rsidR="00E606EC" w:rsidRPr="5672D3A9">
        <w:rPr>
          <w:rFonts w:ascii="Lato" w:hAnsi="Lato"/>
          <w:sz w:val="20"/>
          <w:szCs w:val="20"/>
        </w:rPr>
        <w:t xml:space="preserve">esyłane zarówno w języku polskim, jak i angielskim. </w:t>
      </w:r>
      <w:r w:rsidR="00EB0F9E" w:rsidRPr="5672D3A9">
        <w:rPr>
          <w:rFonts w:ascii="Lato" w:hAnsi="Lato"/>
          <w:sz w:val="20"/>
          <w:szCs w:val="20"/>
        </w:rPr>
        <w:t xml:space="preserve">Poniższe zestawienie odzwierciedla kluczowe postulaty i </w:t>
      </w:r>
      <w:r w:rsidRPr="5672D3A9">
        <w:rPr>
          <w:rFonts w:ascii="Lato" w:hAnsi="Lato"/>
          <w:sz w:val="20"/>
          <w:szCs w:val="20"/>
        </w:rPr>
        <w:t>opinie</w:t>
      </w:r>
      <w:r w:rsidR="00EB0F9E" w:rsidRPr="5672D3A9">
        <w:rPr>
          <w:rFonts w:ascii="Lato" w:hAnsi="Lato"/>
          <w:sz w:val="20"/>
          <w:szCs w:val="20"/>
        </w:rPr>
        <w:t xml:space="preserve"> </w:t>
      </w:r>
      <w:r w:rsidR="001003BC" w:rsidRPr="5672D3A9">
        <w:rPr>
          <w:rFonts w:ascii="Lato" w:hAnsi="Lato"/>
          <w:sz w:val="20"/>
          <w:szCs w:val="20"/>
        </w:rPr>
        <w:t>wyrażone</w:t>
      </w:r>
      <w:r w:rsidR="00EB0F9E" w:rsidRPr="5672D3A9">
        <w:rPr>
          <w:rFonts w:ascii="Lato" w:hAnsi="Lato"/>
          <w:sz w:val="20"/>
          <w:szCs w:val="20"/>
        </w:rPr>
        <w:t xml:space="preserve"> przez organizacje biznesowe, izby gospodarcze oraz podmioty pozarządowe</w:t>
      </w:r>
      <w:r w:rsidR="001003BC" w:rsidRPr="5672D3A9">
        <w:rPr>
          <w:rFonts w:ascii="Lato" w:hAnsi="Lato"/>
          <w:sz w:val="20"/>
          <w:szCs w:val="20"/>
        </w:rPr>
        <w:t xml:space="preserve">, które wzięły udział w konsultacjach tj. Krajowa Izba Gospodarcza, AI Chamber, Panoptykon, firma Meta, Amerykańska Izba Handlowa w Polsce, Polska Izba Informatyki i Telekomunikacji, ZAIKS, </w:t>
      </w:r>
      <w:r w:rsidR="00515FAE">
        <w:rPr>
          <w:rFonts w:ascii="Lato" w:hAnsi="Lato"/>
          <w:sz w:val="20"/>
          <w:szCs w:val="20"/>
        </w:rPr>
        <w:t>Izba Gospodarki Elektronicznej (</w:t>
      </w:r>
      <w:r w:rsidR="001003BC" w:rsidRPr="5672D3A9">
        <w:rPr>
          <w:rFonts w:ascii="Lato" w:hAnsi="Lato"/>
          <w:sz w:val="20"/>
          <w:szCs w:val="20"/>
        </w:rPr>
        <w:t>e-izba</w:t>
      </w:r>
      <w:r w:rsidR="00515FAE">
        <w:rPr>
          <w:rFonts w:ascii="Lato" w:hAnsi="Lato"/>
          <w:sz w:val="20"/>
          <w:szCs w:val="20"/>
        </w:rPr>
        <w:t>)</w:t>
      </w:r>
      <w:r w:rsidR="001003BC" w:rsidRPr="5672D3A9">
        <w:rPr>
          <w:rFonts w:ascii="Lato" w:hAnsi="Lato"/>
          <w:sz w:val="20"/>
          <w:szCs w:val="20"/>
        </w:rPr>
        <w:t xml:space="preserve">, Ogólnopolska Izba Gospodarcza Wyrobów Medycznych POLMED, Krajowa Izba Gospodarcza Elektroniki i Telekomunikacji, Lewiatan, </w:t>
      </w:r>
      <w:r w:rsidR="000775F0" w:rsidRPr="5672D3A9">
        <w:rPr>
          <w:rFonts w:ascii="Lato" w:hAnsi="Lato"/>
          <w:sz w:val="20"/>
          <w:szCs w:val="20"/>
        </w:rPr>
        <w:t>j</w:t>
      </w:r>
      <w:r w:rsidR="001003BC" w:rsidRPr="5672D3A9">
        <w:rPr>
          <w:rFonts w:ascii="Lato" w:hAnsi="Lato"/>
          <w:sz w:val="20"/>
          <w:szCs w:val="20"/>
        </w:rPr>
        <w:t>edna z firm należących do Związku IAB Polska</w:t>
      </w:r>
      <w:r w:rsidR="004C8D02" w:rsidRPr="5672D3A9">
        <w:rPr>
          <w:rFonts w:ascii="Lato" w:hAnsi="Lato"/>
          <w:sz w:val="20"/>
          <w:szCs w:val="20"/>
        </w:rPr>
        <w:t>, Związek Przedsiębiorców i Pracodawców</w:t>
      </w:r>
      <w:r w:rsidR="001003BC" w:rsidRPr="5672D3A9">
        <w:rPr>
          <w:rFonts w:ascii="Lato" w:hAnsi="Lato"/>
          <w:sz w:val="20"/>
          <w:szCs w:val="20"/>
        </w:rPr>
        <w:t>.</w:t>
      </w:r>
      <w:r w:rsidR="00E606EC" w:rsidRPr="5672D3A9">
        <w:rPr>
          <w:rFonts w:ascii="Lato" w:hAnsi="Lato"/>
          <w:sz w:val="20"/>
          <w:szCs w:val="20"/>
        </w:rPr>
        <w:t xml:space="preserve"> </w:t>
      </w:r>
    </w:p>
    <w:p w14:paraId="43C2906D" w14:textId="77777777" w:rsidR="00EB0F9E" w:rsidRDefault="00EB0F9E" w:rsidP="00EB0F9E">
      <w:pPr>
        <w:spacing w:after="0" w:line="240" w:lineRule="auto"/>
        <w:rPr>
          <w:rFonts w:ascii="Lato" w:hAnsi="Lato"/>
          <w:sz w:val="20"/>
        </w:rPr>
      </w:pPr>
    </w:p>
    <w:p w14:paraId="3A6E93C6" w14:textId="742F2FDD" w:rsidR="001003BC" w:rsidRDefault="001003BC" w:rsidP="00EB0F9E">
      <w:pPr>
        <w:spacing w:after="0" w:line="240" w:lineRule="auto"/>
        <w:rPr>
          <w:rFonts w:ascii="Lato" w:hAnsi="Lato"/>
          <w:sz w:val="20"/>
        </w:rPr>
      </w:pPr>
      <w:r w:rsidRPr="001003BC">
        <w:rPr>
          <w:rFonts w:ascii="Lato" w:hAnsi="Lato"/>
          <w:sz w:val="20"/>
        </w:rPr>
        <w:t>Stanowiska podzielone zostały w o</w:t>
      </w:r>
      <w:r>
        <w:rPr>
          <w:rFonts w:ascii="Lato" w:hAnsi="Lato"/>
          <w:sz w:val="20"/>
        </w:rPr>
        <w:t>dniesieniu do dwóch projektów legislacyjnych Komisji Europejskiej.</w:t>
      </w:r>
    </w:p>
    <w:p w14:paraId="2151C0E8" w14:textId="77777777" w:rsidR="005F68F5" w:rsidRDefault="005F68F5" w:rsidP="00EB0F9E">
      <w:pPr>
        <w:spacing w:after="0" w:line="240" w:lineRule="auto"/>
        <w:rPr>
          <w:rFonts w:ascii="Lato" w:hAnsi="Lato"/>
          <w:sz w:val="20"/>
        </w:rPr>
      </w:pPr>
    </w:p>
    <w:p w14:paraId="4DE5F6D8" w14:textId="191B1310" w:rsidR="005F68F5" w:rsidRPr="001003BC" w:rsidRDefault="005F68F5" w:rsidP="00EB0F9E">
      <w:pPr>
        <w:spacing w:after="0" w:line="240" w:lineRule="auto"/>
        <w:rPr>
          <w:rFonts w:ascii="Lato" w:hAnsi="Lato"/>
          <w:sz w:val="20"/>
        </w:rPr>
      </w:pPr>
      <w:r w:rsidRPr="005F68F5">
        <w:rPr>
          <w:rFonts w:ascii="Lato" w:hAnsi="Lato"/>
          <w:sz w:val="20"/>
        </w:rPr>
        <w:t>Po zakończeniu konsultacji pisemnych 7 stycznia 2026 r. W Ministerstwie Cyfryzacji odbyło się spotkanie podsumowujące. W trakcie spotkania organizacje powtórzyły lub uszczegółowiły przesłane wcześniej przez siebie wkłady, które były już kierowane do Ministerstwa Cyfryzacji w formie pisemnej.</w:t>
      </w:r>
    </w:p>
    <w:p w14:paraId="799C1445" w14:textId="77777777" w:rsidR="001003BC" w:rsidRPr="00EB0F9E" w:rsidRDefault="001003BC" w:rsidP="00EB0F9E">
      <w:pPr>
        <w:spacing w:after="0" w:line="240" w:lineRule="auto"/>
        <w:rPr>
          <w:rFonts w:ascii="Lato" w:hAnsi="Lato"/>
          <w:sz w:val="20"/>
        </w:rPr>
      </w:pPr>
    </w:p>
    <w:p w14:paraId="0412392E" w14:textId="0189411B" w:rsidR="00EB0F9E" w:rsidRPr="00F54952" w:rsidRDefault="00EB0F9E" w:rsidP="001003BC">
      <w:pPr>
        <w:shd w:val="clear" w:color="auto" w:fill="DEEAF6" w:themeFill="accent1" w:themeFillTint="33"/>
        <w:spacing w:after="0" w:line="240" w:lineRule="auto"/>
        <w:rPr>
          <w:rFonts w:ascii="Lato" w:hAnsi="Lato"/>
          <w:b/>
          <w:bCs/>
          <w:sz w:val="20"/>
        </w:rPr>
      </w:pPr>
      <w:r w:rsidRPr="00F54952">
        <w:rPr>
          <w:rFonts w:ascii="Lato" w:hAnsi="Lato"/>
          <w:b/>
          <w:bCs/>
          <w:sz w:val="20"/>
        </w:rPr>
        <w:t>Omnibus AI</w:t>
      </w:r>
    </w:p>
    <w:p w14:paraId="0F57F75C" w14:textId="77777777" w:rsidR="001003BC" w:rsidRPr="00F54952" w:rsidRDefault="001003BC" w:rsidP="001003BC">
      <w:pPr>
        <w:pStyle w:val="Akapitzlist"/>
        <w:spacing w:after="0" w:line="240" w:lineRule="auto"/>
        <w:rPr>
          <w:rFonts w:ascii="Lato" w:hAnsi="Lato"/>
          <w:b/>
          <w:bCs/>
          <w:sz w:val="20"/>
        </w:rPr>
      </w:pPr>
    </w:p>
    <w:p w14:paraId="4A2855E1" w14:textId="2C4FED8F" w:rsidR="00EB0F9E" w:rsidRDefault="00EB0F9E" w:rsidP="001003BC">
      <w:pPr>
        <w:spacing w:after="0" w:line="240" w:lineRule="auto"/>
        <w:jc w:val="both"/>
        <w:rPr>
          <w:rFonts w:ascii="Lato" w:hAnsi="Lato"/>
          <w:sz w:val="20"/>
        </w:rPr>
      </w:pPr>
      <w:r w:rsidRPr="00EB0F9E">
        <w:rPr>
          <w:rFonts w:ascii="Lato" w:hAnsi="Lato"/>
          <w:sz w:val="20"/>
        </w:rPr>
        <w:t>Podmioty uczestniczące w konsultacjach</w:t>
      </w:r>
      <w:r w:rsidR="00045B91">
        <w:rPr>
          <w:rFonts w:ascii="Lato" w:hAnsi="Lato"/>
          <w:sz w:val="20"/>
        </w:rPr>
        <w:t>,</w:t>
      </w:r>
      <w:r w:rsidR="001003BC">
        <w:rPr>
          <w:rFonts w:ascii="Lato" w:hAnsi="Lato"/>
          <w:sz w:val="20"/>
        </w:rPr>
        <w:t xml:space="preserve"> co do zasady</w:t>
      </w:r>
      <w:r w:rsidR="00045B91">
        <w:rPr>
          <w:rFonts w:ascii="Lato" w:hAnsi="Lato"/>
          <w:sz w:val="20"/>
        </w:rPr>
        <w:t>,</w:t>
      </w:r>
      <w:r w:rsidRPr="00EB0F9E">
        <w:rPr>
          <w:rFonts w:ascii="Lato" w:hAnsi="Lato"/>
          <w:sz w:val="20"/>
        </w:rPr>
        <w:t xml:space="preserve"> oceniają Omnibus AI jako </w:t>
      </w:r>
      <w:r w:rsidRPr="00EB0F9E">
        <w:rPr>
          <w:rFonts w:ascii="Lato" w:hAnsi="Lato"/>
          <w:b/>
          <w:bCs/>
          <w:sz w:val="20"/>
        </w:rPr>
        <w:t>niewystarczający do rozwiązania systemowych problemów</w:t>
      </w:r>
      <w:r w:rsidRPr="00EB0F9E">
        <w:rPr>
          <w:rFonts w:ascii="Lato" w:hAnsi="Lato"/>
          <w:sz w:val="20"/>
        </w:rPr>
        <w:t xml:space="preserve"> z AI Act.</w:t>
      </w:r>
    </w:p>
    <w:p w14:paraId="11184E9C" w14:textId="77777777" w:rsidR="001003BC" w:rsidRPr="00EB0F9E" w:rsidRDefault="001003BC" w:rsidP="00EB0F9E">
      <w:pPr>
        <w:spacing w:after="0" w:line="240" w:lineRule="auto"/>
        <w:rPr>
          <w:rFonts w:ascii="Lato" w:hAnsi="Lato"/>
          <w:sz w:val="20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4717"/>
        <w:gridCol w:w="1470"/>
      </w:tblGrid>
      <w:tr w:rsidR="001003BC" w:rsidRPr="00EB0F9E" w14:paraId="212B39B1" w14:textId="77777777" w:rsidTr="00EB0F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736D1C" w14:textId="77777777" w:rsidR="00EB0F9E" w:rsidRPr="00EB0F9E" w:rsidRDefault="00EB0F9E" w:rsidP="00EB0F9E">
            <w:pPr>
              <w:spacing w:after="0" w:line="240" w:lineRule="auto"/>
              <w:rPr>
                <w:rFonts w:ascii="Lato" w:hAnsi="Lato"/>
                <w:b/>
                <w:bCs/>
                <w:sz w:val="20"/>
              </w:rPr>
            </w:pPr>
            <w:r w:rsidRPr="00EB0F9E">
              <w:rPr>
                <w:rFonts w:ascii="Lato" w:hAnsi="Lato"/>
                <w:b/>
                <w:bCs/>
                <w:sz w:val="20"/>
              </w:rPr>
              <w:t>Temat</w:t>
            </w:r>
          </w:p>
        </w:tc>
        <w:tc>
          <w:tcPr>
            <w:tcW w:w="0" w:type="auto"/>
            <w:vAlign w:val="center"/>
            <w:hideMark/>
          </w:tcPr>
          <w:p w14:paraId="4F2D92E1" w14:textId="6C28830C" w:rsidR="00EB0F9E" w:rsidRPr="00EB0F9E" w:rsidRDefault="00EB0F9E" w:rsidP="00EB0F9E">
            <w:pPr>
              <w:spacing w:after="0" w:line="240" w:lineRule="auto"/>
              <w:rPr>
                <w:rFonts w:ascii="Lato" w:hAnsi="Lato"/>
                <w:b/>
                <w:bCs/>
                <w:sz w:val="20"/>
              </w:rPr>
            </w:pPr>
            <w:r w:rsidRPr="00EB0F9E">
              <w:rPr>
                <w:rFonts w:ascii="Lato" w:hAnsi="Lato"/>
                <w:b/>
                <w:bCs/>
                <w:sz w:val="20"/>
              </w:rPr>
              <w:t xml:space="preserve">Postulaty i </w:t>
            </w:r>
            <w:r w:rsidR="003A41A7">
              <w:rPr>
                <w:rFonts w:ascii="Lato" w:hAnsi="Lato"/>
                <w:b/>
                <w:bCs/>
                <w:sz w:val="20"/>
              </w:rPr>
              <w:t>z</w:t>
            </w:r>
            <w:r w:rsidRPr="00EB0F9E">
              <w:rPr>
                <w:rFonts w:ascii="Lato" w:hAnsi="Lato"/>
                <w:b/>
                <w:bCs/>
                <w:sz w:val="20"/>
              </w:rPr>
              <w:t>astrzeżenia</w:t>
            </w:r>
          </w:p>
        </w:tc>
        <w:tc>
          <w:tcPr>
            <w:tcW w:w="0" w:type="auto"/>
            <w:vAlign w:val="center"/>
            <w:hideMark/>
          </w:tcPr>
          <w:p w14:paraId="22689510" w14:textId="337E5AFE" w:rsidR="00EB0F9E" w:rsidRPr="00EB0F9E" w:rsidRDefault="00EB0F9E" w:rsidP="00EB0F9E">
            <w:pPr>
              <w:spacing w:after="0" w:line="240" w:lineRule="auto"/>
              <w:rPr>
                <w:rFonts w:ascii="Lato" w:hAnsi="Lato"/>
                <w:b/>
                <w:bCs/>
                <w:sz w:val="20"/>
              </w:rPr>
            </w:pPr>
            <w:r w:rsidRPr="00EB0F9E">
              <w:rPr>
                <w:rFonts w:ascii="Lato" w:hAnsi="Lato"/>
                <w:b/>
                <w:bCs/>
                <w:sz w:val="20"/>
              </w:rPr>
              <w:t xml:space="preserve">Podmioty </w:t>
            </w:r>
            <w:r w:rsidR="003A41A7">
              <w:rPr>
                <w:rFonts w:ascii="Lato" w:hAnsi="Lato"/>
                <w:b/>
                <w:bCs/>
                <w:sz w:val="20"/>
              </w:rPr>
              <w:t>z</w:t>
            </w:r>
            <w:r w:rsidRPr="00EB0F9E">
              <w:rPr>
                <w:rFonts w:ascii="Lato" w:hAnsi="Lato"/>
                <w:b/>
                <w:bCs/>
                <w:sz w:val="20"/>
              </w:rPr>
              <w:t>głaszające</w:t>
            </w:r>
          </w:p>
        </w:tc>
      </w:tr>
      <w:tr w:rsidR="001003BC" w:rsidRPr="00EB0F9E" w14:paraId="424BF029" w14:textId="77777777" w:rsidTr="00EB0F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50FB98" w14:textId="77777777" w:rsidR="00EB0F9E" w:rsidRPr="00EB0F9E" w:rsidRDefault="00EB0F9E" w:rsidP="00EB0F9E">
            <w:pPr>
              <w:spacing w:after="0" w:line="240" w:lineRule="auto"/>
              <w:rPr>
                <w:rFonts w:ascii="Lato" w:hAnsi="Lato"/>
                <w:sz w:val="20"/>
              </w:rPr>
            </w:pPr>
            <w:r w:rsidRPr="00EB0F9E">
              <w:rPr>
                <w:rFonts w:ascii="Lato" w:hAnsi="Lato"/>
                <w:b/>
                <w:bCs/>
                <w:sz w:val="20"/>
              </w:rPr>
              <w:lastRenderedPageBreak/>
              <w:t>Krytyka Wdrożenia i „Stop the Clock”</w:t>
            </w:r>
          </w:p>
        </w:tc>
        <w:tc>
          <w:tcPr>
            <w:tcW w:w="0" w:type="auto"/>
            <w:vAlign w:val="center"/>
            <w:hideMark/>
          </w:tcPr>
          <w:p w14:paraId="5F8FA6CE" w14:textId="77777777" w:rsidR="007012C8" w:rsidRDefault="00EB0F9E" w:rsidP="00EB0F9E">
            <w:pPr>
              <w:spacing w:after="0" w:line="240" w:lineRule="auto"/>
              <w:rPr>
                <w:rFonts w:ascii="Lato" w:hAnsi="Lato"/>
                <w:sz w:val="20"/>
              </w:rPr>
            </w:pPr>
            <w:r w:rsidRPr="00EB0F9E">
              <w:rPr>
                <w:rFonts w:ascii="Lato" w:hAnsi="Lato"/>
                <w:b/>
                <w:bCs/>
                <w:sz w:val="20"/>
              </w:rPr>
              <w:t>Zaproponowane zmiany to</w:t>
            </w:r>
            <w:r w:rsidRPr="00EB0F9E">
              <w:rPr>
                <w:rFonts w:ascii="Lato" w:hAnsi="Lato"/>
                <w:sz w:val="20"/>
              </w:rPr>
              <w:t xml:space="preserve"> </w:t>
            </w:r>
            <w:r w:rsidRPr="00EB0F9E">
              <w:rPr>
                <w:rFonts w:ascii="Lato" w:hAnsi="Lato"/>
                <w:b/>
                <w:bCs/>
                <w:sz w:val="20"/>
              </w:rPr>
              <w:t>drobne korekty, które</w:t>
            </w:r>
            <w:r w:rsidRPr="00EB0F9E">
              <w:rPr>
                <w:rFonts w:ascii="Lato" w:hAnsi="Lato"/>
                <w:sz w:val="20"/>
              </w:rPr>
              <w:t xml:space="preserve"> </w:t>
            </w:r>
            <w:r w:rsidRPr="00EB0F9E">
              <w:rPr>
                <w:rFonts w:ascii="Lato" w:hAnsi="Lato"/>
                <w:b/>
                <w:bCs/>
                <w:sz w:val="20"/>
              </w:rPr>
              <w:t>nie dają Europie przewagi konkurencyjnej</w:t>
            </w:r>
            <w:r w:rsidRPr="00EB0F9E">
              <w:rPr>
                <w:rFonts w:ascii="Lato" w:hAnsi="Lato"/>
                <w:sz w:val="20"/>
              </w:rPr>
              <w:t xml:space="preserve">. </w:t>
            </w:r>
          </w:p>
          <w:p w14:paraId="6A87004A" w14:textId="77777777" w:rsidR="007012C8" w:rsidRDefault="007012C8" w:rsidP="00EB0F9E">
            <w:pPr>
              <w:spacing w:after="0" w:line="240" w:lineRule="auto"/>
              <w:rPr>
                <w:rFonts w:ascii="Lato" w:hAnsi="Lato"/>
                <w:sz w:val="20"/>
              </w:rPr>
            </w:pPr>
          </w:p>
          <w:p w14:paraId="47D0A3DA" w14:textId="24FF204D" w:rsidR="00EB0F9E" w:rsidRPr="00EB0F9E" w:rsidRDefault="00EB0F9E" w:rsidP="00EB0F9E">
            <w:pPr>
              <w:spacing w:after="0" w:line="240" w:lineRule="auto"/>
              <w:rPr>
                <w:rFonts w:ascii="Lato" w:hAnsi="Lato"/>
                <w:sz w:val="20"/>
              </w:rPr>
            </w:pPr>
            <w:r w:rsidRPr="00EB0F9E">
              <w:rPr>
                <w:rFonts w:ascii="Lato" w:hAnsi="Lato"/>
                <w:sz w:val="20"/>
              </w:rPr>
              <w:t xml:space="preserve">Postuluje się </w:t>
            </w:r>
            <w:r w:rsidRPr="00EB0F9E">
              <w:rPr>
                <w:rFonts w:ascii="Lato" w:hAnsi="Lato"/>
                <w:b/>
                <w:bCs/>
                <w:sz w:val="20"/>
              </w:rPr>
              <w:t>„zatrzymanie zegara” (Stop the clock)</w:t>
            </w:r>
            <w:r w:rsidRPr="00EB0F9E">
              <w:rPr>
                <w:rFonts w:ascii="Lato" w:hAnsi="Lato"/>
                <w:sz w:val="20"/>
              </w:rPr>
              <w:t xml:space="preserve"> i wprowadzenie bezwarunkowego, </w:t>
            </w:r>
            <w:r w:rsidRPr="00EB0F9E">
              <w:rPr>
                <w:rFonts w:ascii="Lato" w:hAnsi="Lato"/>
                <w:b/>
                <w:bCs/>
                <w:sz w:val="20"/>
              </w:rPr>
              <w:t>dwuletniego odroczenia</w:t>
            </w:r>
            <w:r w:rsidRPr="00EB0F9E">
              <w:rPr>
                <w:rFonts w:ascii="Lato" w:hAnsi="Lato"/>
                <w:sz w:val="20"/>
              </w:rPr>
              <w:t xml:space="preserve"> wejścia w życie przepisów AI Act, które jeszcze nie obowiązują. Argumentem jest to, że obecny akt jest nadmiernie restrykcyjny i traktuje AI przede wszystkim jako zagrożenie.</w:t>
            </w:r>
          </w:p>
        </w:tc>
        <w:tc>
          <w:tcPr>
            <w:tcW w:w="0" w:type="auto"/>
            <w:vAlign w:val="center"/>
            <w:hideMark/>
          </w:tcPr>
          <w:p w14:paraId="2A2AAD6D" w14:textId="77777777" w:rsidR="00EB0F9E" w:rsidRPr="00EB0F9E" w:rsidRDefault="00EB0F9E" w:rsidP="00EB0F9E">
            <w:pPr>
              <w:spacing w:after="0" w:line="240" w:lineRule="auto"/>
              <w:rPr>
                <w:rFonts w:ascii="Lato" w:hAnsi="Lato"/>
                <w:sz w:val="20"/>
              </w:rPr>
            </w:pPr>
            <w:r w:rsidRPr="00EB0F9E">
              <w:rPr>
                <w:rFonts w:ascii="Lato" w:hAnsi="Lato"/>
                <w:sz w:val="20"/>
              </w:rPr>
              <w:t>AI Chamber, KIG, Meta, AmCham</w:t>
            </w:r>
          </w:p>
        </w:tc>
      </w:tr>
      <w:tr w:rsidR="001003BC" w:rsidRPr="00EB0F9E" w14:paraId="3A3E8E87" w14:textId="77777777" w:rsidTr="00EB0F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492C42" w14:textId="163547F9" w:rsidR="00EB0F9E" w:rsidRPr="00EB0F9E" w:rsidRDefault="00EB0F9E" w:rsidP="00EB0F9E">
            <w:pPr>
              <w:spacing w:after="0" w:line="240" w:lineRule="auto"/>
              <w:rPr>
                <w:rFonts w:ascii="Lato" w:hAnsi="Lato"/>
                <w:sz w:val="20"/>
              </w:rPr>
            </w:pPr>
            <w:r w:rsidRPr="00EB0F9E">
              <w:rPr>
                <w:rFonts w:ascii="Lato" w:hAnsi="Lato"/>
                <w:b/>
                <w:bCs/>
                <w:sz w:val="20"/>
              </w:rPr>
              <w:t xml:space="preserve">Harmonogram i </w:t>
            </w:r>
            <w:r w:rsidR="001003BC">
              <w:rPr>
                <w:rFonts w:ascii="Lato" w:hAnsi="Lato"/>
                <w:b/>
                <w:bCs/>
                <w:sz w:val="20"/>
              </w:rPr>
              <w:t>o</w:t>
            </w:r>
            <w:r w:rsidRPr="00EB0F9E">
              <w:rPr>
                <w:rFonts w:ascii="Lato" w:hAnsi="Lato"/>
                <w:b/>
                <w:bCs/>
                <w:sz w:val="20"/>
              </w:rPr>
              <w:t xml:space="preserve">kresy </w:t>
            </w:r>
            <w:r w:rsidR="001003BC">
              <w:rPr>
                <w:rFonts w:ascii="Lato" w:hAnsi="Lato"/>
                <w:b/>
                <w:bCs/>
                <w:sz w:val="20"/>
              </w:rPr>
              <w:t>p</w:t>
            </w:r>
            <w:r w:rsidRPr="00EB0F9E">
              <w:rPr>
                <w:rFonts w:ascii="Lato" w:hAnsi="Lato"/>
                <w:b/>
                <w:bCs/>
                <w:sz w:val="20"/>
              </w:rPr>
              <w:t>rzejściowe (Art. 113)</w:t>
            </w:r>
          </w:p>
        </w:tc>
        <w:tc>
          <w:tcPr>
            <w:tcW w:w="0" w:type="auto"/>
            <w:vAlign w:val="center"/>
            <w:hideMark/>
          </w:tcPr>
          <w:p w14:paraId="3EFC9EAF" w14:textId="77777777" w:rsidR="00EB0F9E" w:rsidRDefault="00EB0F9E" w:rsidP="00EB0F9E">
            <w:pPr>
              <w:spacing w:after="0" w:line="240" w:lineRule="auto"/>
              <w:rPr>
                <w:rFonts w:ascii="Lato" w:hAnsi="Lato"/>
                <w:sz w:val="20"/>
              </w:rPr>
            </w:pPr>
            <w:r w:rsidRPr="00EB0F9E">
              <w:rPr>
                <w:rFonts w:ascii="Lato" w:hAnsi="Lato"/>
                <w:sz w:val="20"/>
              </w:rPr>
              <w:t xml:space="preserve">Wprowadzenie uzależnionych od decyzji Komisji Europejskiej i </w:t>
            </w:r>
            <w:r w:rsidRPr="00EB0F9E">
              <w:rPr>
                <w:rFonts w:ascii="Lato" w:hAnsi="Lato"/>
                <w:b/>
                <w:bCs/>
                <w:sz w:val="20"/>
              </w:rPr>
              <w:t>zróżnicowanych okresów przejściowych</w:t>
            </w:r>
            <w:r w:rsidRPr="00EB0F9E">
              <w:rPr>
                <w:rFonts w:ascii="Lato" w:hAnsi="Lato"/>
                <w:sz w:val="20"/>
              </w:rPr>
              <w:t xml:space="preserve"> (np. 6 lub 12 miesięcy) dla systemów wysokiego ryzyka wprowadza </w:t>
            </w:r>
            <w:r w:rsidRPr="00EB0F9E">
              <w:rPr>
                <w:rFonts w:ascii="Lato" w:hAnsi="Lato"/>
                <w:b/>
                <w:bCs/>
                <w:sz w:val="20"/>
              </w:rPr>
              <w:t>niepewność prawną</w:t>
            </w:r>
            <w:r w:rsidRPr="00EB0F9E">
              <w:rPr>
                <w:rFonts w:ascii="Lato" w:hAnsi="Lato"/>
                <w:sz w:val="20"/>
              </w:rPr>
              <w:t xml:space="preserve">. Rekomenduje się </w:t>
            </w:r>
            <w:r w:rsidRPr="00EB0F9E">
              <w:rPr>
                <w:rFonts w:ascii="Lato" w:hAnsi="Lato"/>
                <w:b/>
                <w:bCs/>
                <w:sz w:val="20"/>
              </w:rPr>
              <w:t>jeden, wspólny i z góry określony termin</w:t>
            </w:r>
            <w:r w:rsidRPr="00EB0F9E">
              <w:rPr>
                <w:rFonts w:ascii="Lato" w:hAnsi="Lato"/>
                <w:sz w:val="20"/>
              </w:rPr>
              <w:t xml:space="preserve"> rozpoczęcia stosowania dla wszystkich systemów wysokiego ryzyka (Załącznik I i III), aby ułatwić planowanie.</w:t>
            </w:r>
          </w:p>
          <w:p w14:paraId="5EACFB1B" w14:textId="77777777" w:rsidR="00A549E8" w:rsidRDefault="00A549E8" w:rsidP="00EB0F9E">
            <w:pPr>
              <w:spacing w:after="0" w:line="240" w:lineRule="auto"/>
              <w:rPr>
                <w:rFonts w:ascii="Lato" w:hAnsi="Lato"/>
                <w:sz w:val="20"/>
              </w:rPr>
            </w:pPr>
          </w:p>
          <w:p w14:paraId="1C8344A8" w14:textId="57FBB4EC" w:rsidR="00A549E8" w:rsidRDefault="00A549E8" w:rsidP="00EB0F9E">
            <w:pPr>
              <w:spacing w:after="0" w:line="240" w:lineRule="auto"/>
              <w:rPr>
                <w:rFonts w:ascii="Lato" w:hAnsi="Lato"/>
                <w:sz w:val="20"/>
              </w:rPr>
            </w:pPr>
            <w:r>
              <w:rPr>
                <w:rFonts w:ascii="Lato" w:hAnsi="Lato"/>
                <w:sz w:val="20"/>
              </w:rPr>
              <w:t>KIGEIT</w:t>
            </w:r>
            <w:r w:rsidR="00072BD5">
              <w:rPr>
                <w:rFonts w:ascii="Lato" w:hAnsi="Lato"/>
                <w:sz w:val="20"/>
              </w:rPr>
              <w:t>:</w:t>
            </w:r>
          </w:p>
          <w:p w14:paraId="0E0C154C" w14:textId="3B5DD0CB" w:rsidR="00A549E8" w:rsidRPr="00A549E8" w:rsidRDefault="00A549E8" w:rsidP="00A549E8">
            <w:pPr>
              <w:spacing w:after="0" w:line="240" w:lineRule="auto"/>
              <w:rPr>
                <w:rFonts w:ascii="Lato" w:hAnsi="Lato"/>
                <w:sz w:val="20"/>
              </w:rPr>
            </w:pPr>
            <w:r w:rsidRPr="00A549E8">
              <w:rPr>
                <w:rFonts w:ascii="Lato" w:hAnsi="Lato"/>
                <w:sz w:val="20"/>
              </w:rPr>
              <w:t xml:space="preserve">AIA: terminy dla AI wys. </w:t>
            </w:r>
            <w:r w:rsidR="00595405">
              <w:rPr>
                <w:rFonts w:ascii="Lato" w:hAnsi="Lato"/>
                <w:sz w:val="20"/>
              </w:rPr>
              <w:t>r</w:t>
            </w:r>
            <w:r w:rsidRPr="00A549E8">
              <w:rPr>
                <w:rFonts w:ascii="Lato" w:hAnsi="Lato"/>
                <w:sz w:val="20"/>
              </w:rPr>
              <w:t>yzyka- niezbędne dłuższe;</w:t>
            </w:r>
          </w:p>
          <w:p w14:paraId="4A256F0D" w14:textId="77777777" w:rsidR="00A549E8" w:rsidRDefault="00A549E8" w:rsidP="0079371D">
            <w:pPr>
              <w:spacing w:after="0" w:line="240" w:lineRule="auto"/>
              <w:rPr>
                <w:rFonts w:ascii="Lato" w:hAnsi="Lato"/>
                <w:sz w:val="20"/>
              </w:rPr>
            </w:pPr>
          </w:p>
          <w:p w14:paraId="152A2B6C" w14:textId="77777777" w:rsidR="005E6E23" w:rsidRDefault="005E6E23" w:rsidP="0079371D">
            <w:pPr>
              <w:spacing w:after="0" w:line="240" w:lineRule="auto"/>
              <w:rPr>
                <w:rFonts w:ascii="Lato" w:hAnsi="Lato"/>
                <w:sz w:val="20"/>
              </w:rPr>
            </w:pPr>
            <w:r>
              <w:rPr>
                <w:rFonts w:ascii="Lato" w:hAnsi="Lato"/>
                <w:sz w:val="20"/>
              </w:rPr>
              <w:t>AIChamber:</w:t>
            </w:r>
          </w:p>
          <w:p w14:paraId="12497D96" w14:textId="23E211CF" w:rsidR="005E6E23" w:rsidRDefault="005E6E23" w:rsidP="0079371D">
            <w:pPr>
              <w:spacing w:after="0" w:line="240" w:lineRule="auto"/>
              <w:rPr>
                <w:rFonts w:ascii="Lato" w:hAnsi="Lato"/>
                <w:sz w:val="20"/>
              </w:rPr>
            </w:pPr>
            <w:r>
              <w:rPr>
                <w:rFonts w:ascii="Lato" w:hAnsi="Lato"/>
                <w:sz w:val="20"/>
              </w:rPr>
              <w:t>Popieramy wydłużenie terminów</w:t>
            </w:r>
            <w:r w:rsidR="00EF33C4">
              <w:rPr>
                <w:rFonts w:ascii="Lato" w:hAnsi="Lato"/>
                <w:sz w:val="20"/>
              </w:rPr>
              <w:t>.</w:t>
            </w:r>
          </w:p>
          <w:p w14:paraId="3DEA8D5D" w14:textId="77777777" w:rsidR="002C6B60" w:rsidRDefault="002C6B60" w:rsidP="0079371D">
            <w:pPr>
              <w:spacing w:after="0" w:line="240" w:lineRule="auto"/>
              <w:rPr>
                <w:rFonts w:ascii="Lato" w:hAnsi="Lato"/>
                <w:sz w:val="20"/>
              </w:rPr>
            </w:pPr>
          </w:p>
          <w:p w14:paraId="6708F087" w14:textId="15A7F6C8" w:rsidR="002C6B60" w:rsidRDefault="00641265" w:rsidP="0079371D">
            <w:pPr>
              <w:spacing w:after="0" w:line="240" w:lineRule="auto"/>
              <w:rPr>
                <w:rFonts w:ascii="Lato" w:hAnsi="Lato"/>
                <w:sz w:val="20"/>
              </w:rPr>
            </w:pPr>
            <w:r>
              <w:rPr>
                <w:rFonts w:ascii="Lato" w:hAnsi="Lato"/>
                <w:sz w:val="20"/>
              </w:rPr>
              <w:t>MC:</w:t>
            </w:r>
          </w:p>
          <w:p w14:paraId="5B28458E" w14:textId="05C7C00D" w:rsidR="00641265" w:rsidRDefault="002F2C83" w:rsidP="0079371D">
            <w:pPr>
              <w:spacing w:after="0" w:line="240" w:lineRule="auto"/>
              <w:rPr>
                <w:rFonts w:ascii="Lato" w:hAnsi="Lato"/>
                <w:sz w:val="20"/>
              </w:rPr>
            </w:pPr>
            <w:r>
              <w:rPr>
                <w:rFonts w:ascii="Lato" w:hAnsi="Lato"/>
                <w:sz w:val="20"/>
              </w:rPr>
              <w:t>Bez wspólnych standardów nie stworzymy EBW.</w:t>
            </w:r>
          </w:p>
          <w:p w14:paraId="00106100" w14:textId="2FDC16AE" w:rsidR="00E64FBF" w:rsidRDefault="00E64FBF" w:rsidP="0079371D">
            <w:pPr>
              <w:spacing w:after="0" w:line="240" w:lineRule="auto"/>
              <w:rPr>
                <w:rFonts w:ascii="Lato" w:hAnsi="Lato"/>
                <w:sz w:val="20"/>
              </w:rPr>
            </w:pPr>
            <w:r>
              <w:rPr>
                <w:rFonts w:ascii="Lato" w:hAnsi="Lato"/>
                <w:sz w:val="20"/>
              </w:rPr>
              <w:t>EE- przeciwko</w:t>
            </w:r>
            <w:r w:rsidR="00BE4406">
              <w:rPr>
                <w:rFonts w:ascii="Lato" w:hAnsi="Lato"/>
                <w:sz w:val="20"/>
              </w:rPr>
              <w:t>;</w:t>
            </w:r>
            <w:r>
              <w:rPr>
                <w:rFonts w:ascii="Lato" w:hAnsi="Lato"/>
                <w:sz w:val="20"/>
              </w:rPr>
              <w:t xml:space="preserve"> PL- sceptyczna</w:t>
            </w:r>
            <w:r w:rsidR="00AE5985">
              <w:rPr>
                <w:rFonts w:ascii="Lato" w:hAnsi="Lato"/>
                <w:sz w:val="20"/>
              </w:rPr>
              <w:t>;</w:t>
            </w:r>
          </w:p>
          <w:p w14:paraId="3A3F65B1" w14:textId="77777777" w:rsidR="00EF33C4" w:rsidRDefault="00EF33C4" w:rsidP="0079371D">
            <w:pPr>
              <w:spacing w:after="0" w:line="240" w:lineRule="auto"/>
              <w:rPr>
                <w:rFonts w:ascii="Lato" w:hAnsi="Lato"/>
                <w:sz w:val="20"/>
              </w:rPr>
            </w:pPr>
          </w:p>
          <w:p w14:paraId="7033D83C" w14:textId="4E9326E1" w:rsidR="005E6E23" w:rsidRPr="00EB0F9E" w:rsidRDefault="005E6E23" w:rsidP="0079371D">
            <w:pPr>
              <w:spacing w:after="0" w:line="240" w:lineRule="auto"/>
              <w:rPr>
                <w:rFonts w:ascii="Lato" w:hAnsi="Lato"/>
                <w:sz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FFB642B" w14:textId="77777777" w:rsidR="00EB0F9E" w:rsidRPr="00EB0F9E" w:rsidRDefault="00EB0F9E" w:rsidP="00EB0F9E">
            <w:pPr>
              <w:spacing w:after="0" w:line="240" w:lineRule="auto"/>
              <w:rPr>
                <w:rFonts w:ascii="Lato" w:hAnsi="Lato"/>
                <w:sz w:val="20"/>
              </w:rPr>
            </w:pPr>
            <w:r w:rsidRPr="00EB0F9E">
              <w:rPr>
                <w:rFonts w:ascii="Lato" w:hAnsi="Lato"/>
                <w:sz w:val="20"/>
              </w:rPr>
              <w:t>KIG, Meta, KIGEiT, PIIT, e-izba, AmCham</w:t>
            </w:r>
          </w:p>
        </w:tc>
      </w:tr>
      <w:tr w:rsidR="00F615D4" w:rsidRPr="00EB0F9E" w14:paraId="6DB1427F" w14:textId="77777777" w:rsidTr="00F94D5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392725" w14:textId="77777777" w:rsidR="00F615D4" w:rsidRPr="001003BC" w:rsidRDefault="00F615D4" w:rsidP="00F94D56">
            <w:pPr>
              <w:spacing w:after="0" w:line="240" w:lineRule="auto"/>
              <w:rPr>
                <w:rFonts w:ascii="Lato" w:hAnsi="Lato"/>
                <w:b/>
                <w:bCs/>
                <w:sz w:val="20"/>
              </w:rPr>
            </w:pPr>
            <w:r w:rsidRPr="00EB0F9E">
              <w:rPr>
                <w:rFonts w:ascii="Lato" w:hAnsi="Lato"/>
                <w:b/>
                <w:bCs/>
                <w:sz w:val="20"/>
              </w:rPr>
              <w:t xml:space="preserve">Modele </w:t>
            </w:r>
            <w:r w:rsidRPr="001003BC">
              <w:rPr>
                <w:rFonts w:ascii="Lato" w:hAnsi="Lato"/>
                <w:b/>
                <w:bCs/>
                <w:sz w:val="20"/>
              </w:rPr>
              <w:t xml:space="preserve">sztucznej </w:t>
            </w:r>
          </w:p>
          <w:p w14:paraId="089F6473" w14:textId="77777777" w:rsidR="00F615D4" w:rsidRPr="00EB0F9E" w:rsidRDefault="00F615D4" w:rsidP="00F94D56">
            <w:pPr>
              <w:spacing w:after="0" w:line="240" w:lineRule="auto"/>
              <w:rPr>
                <w:rFonts w:ascii="Lato" w:hAnsi="Lato"/>
                <w:sz w:val="20"/>
              </w:rPr>
            </w:pPr>
            <w:r w:rsidRPr="001003BC">
              <w:rPr>
                <w:rFonts w:ascii="Lato" w:hAnsi="Lato"/>
                <w:b/>
                <w:bCs/>
                <w:sz w:val="20"/>
              </w:rPr>
              <w:t>inteligencji ogólnego przeznaczenia</w:t>
            </w:r>
            <w:r>
              <w:rPr>
                <w:rFonts w:ascii="Lato" w:hAnsi="Lato"/>
                <w:b/>
                <w:bCs/>
                <w:sz w:val="20"/>
              </w:rPr>
              <w:t xml:space="preserve"> (GPAIM)</w:t>
            </w:r>
          </w:p>
        </w:tc>
        <w:tc>
          <w:tcPr>
            <w:tcW w:w="0" w:type="auto"/>
            <w:vAlign w:val="center"/>
            <w:hideMark/>
          </w:tcPr>
          <w:p w14:paraId="2A46C648" w14:textId="77777777" w:rsidR="00F615D4" w:rsidRDefault="00F615D4" w:rsidP="00F94D56">
            <w:pPr>
              <w:spacing w:after="0" w:line="240" w:lineRule="auto"/>
              <w:rPr>
                <w:rFonts w:ascii="Lato" w:hAnsi="Lato"/>
                <w:sz w:val="20"/>
              </w:rPr>
            </w:pPr>
            <w:r w:rsidRPr="00EB0F9E">
              <w:rPr>
                <w:rFonts w:ascii="Lato" w:hAnsi="Lato"/>
                <w:sz w:val="20"/>
              </w:rPr>
              <w:t xml:space="preserve">Konieczne jest </w:t>
            </w:r>
            <w:r w:rsidRPr="00EB0F9E">
              <w:rPr>
                <w:rFonts w:ascii="Lato" w:hAnsi="Lato"/>
                <w:b/>
                <w:bCs/>
                <w:sz w:val="20"/>
              </w:rPr>
              <w:t>wydłużenie okresu przejściowego</w:t>
            </w:r>
            <w:r w:rsidRPr="00EB0F9E">
              <w:rPr>
                <w:rFonts w:ascii="Lato" w:hAnsi="Lato"/>
                <w:sz w:val="20"/>
              </w:rPr>
              <w:t xml:space="preserve"> </w:t>
            </w:r>
            <w:r w:rsidRPr="00EB0F9E">
              <w:rPr>
                <w:rFonts w:ascii="Lato" w:hAnsi="Lato"/>
                <w:b/>
                <w:bCs/>
                <w:sz w:val="20"/>
              </w:rPr>
              <w:t>także dla przepisów dotyczących egzekwowania prawa wobec</w:t>
            </w:r>
            <w:r w:rsidRPr="00EB0F9E">
              <w:rPr>
                <w:rFonts w:ascii="Lato" w:hAnsi="Lato"/>
                <w:sz w:val="20"/>
              </w:rPr>
              <w:t xml:space="preserve"> </w:t>
            </w:r>
            <w:r w:rsidRPr="00EB0F9E">
              <w:rPr>
                <w:rFonts w:ascii="Lato" w:hAnsi="Lato"/>
                <w:b/>
                <w:bCs/>
                <w:sz w:val="20"/>
              </w:rPr>
              <w:t>modeli GPAIM</w:t>
            </w:r>
            <w:r w:rsidRPr="00EB0F9E">
              <w:rPr>
                <w:rFonts w:ascii="Lato" w:hAnsi="Lato"/>
                <w:sz w:val="20"/>
              </w:rPr>
              <w:t xml:space="preserve"> (General Purpose AI Models), ponieważ obecne przepisy zacierają granicę między fazą tworzenia modelu a jego użyciem w praktyce.</w:t>
            </w:r>
          </w:p>
          <w:p w14:paraId="760A8A40" w14:textId="77777777" w:rsidR="00B2469E" w:rsidRDefault="00B2469E" w:rsidP="00F94D56">
            <w:pPr>
              <w:spacing w:after="0" w:line="240" w:lineRule="auto"/>
              <w:rPr>
                <w:rFonts w:ascii="Lato" w:hAnsi="Lato"/>
                <w:sz w:val="20"/>
              </w:rPr>
            </w:pPr>
          </w:p>
          <w:p w14:paraId="65DD577C" w14:textId="77777777" w:rsidR="005E62CD" w:rsidRPr="00EB0F9E" w:rsidRDefault="005E62CD" w:rsidP="00F94D56">
            <w:pPr>
              <w:spacing w:after="0" w:line="240" w:lineRule="auto"/>
              <w:rPr>
                <w:rFonts w:ascii="Lato" w:hAnsi="Lato"/>
                <w:sz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7720EDE" w14:textId="77777777" w:rsidR="00F615D4" w:rsidRPr="00EB0F9E" w:rsidRDefault="00F615D4" w:rsidP="00F94D56">
            <w:pPr>
              <w:spacing w:after="0" w:line="240" w:lineRule="auto"/>
              <w:rPr>
                <w:rFonts w:ascii="Lato" w:hAnsi="Lato"/>
                <w:sz w:val="20"/>
              </w:rPr>
            </w:pPr>
            <w:r w:rsidRPr="00EB0F9E">
              <w:rPr>
                <w:rFonts w:ascii="Lato" w:hAnsi="Lato"/>
                <w:sz w:val="20"/>
              </w:rPr>
              <w:t>AmCham, KIG, Meta</w:t>
            </w:r>
          </w:p>
        </w:tc>
      </w:tr>
      <w:tr w:rsidR="001003BC" w:rsidRPr="00EB0F9E" w14:paraId="3F5ED6A4" w14:textId="77777777" w:rsidTr="00EB0F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EEA0C5" w14:textId="28395A6F" w:rsidR="00EB0F9E" w:rsidRPr="00EB0F9E" w:rsidRDefault="001003BC" w:rsidP="00EB0F9E">
            <w:pPr>
              <w:spacing w:after="0" w:line="240" w:lineRule="auto"/>
              <w:rPr>
                <w:rFonts w:ascii="Lato" w:hAnsi="Lato"/>
                <w:sz w:val="20"/>
              </w:rPr>
            </w:pPr>
            <w:r>
              <w:rPr>
                <w:rFonts w:ascii="Lato" w:hAnsi="Lato"/>
                <w:b/>
                <w:bCs/>
                <w:sz w:val="20"/>
              </w:rPr>
              <w:t>Aktywne promowanie innowacji</w:t>
            </w:r>
          </w:p>
        </w:tc>
        <w:tc>
          <w:tcPr>
            <w:tcW w:w="0" w:type="auto"/>
            <w:vAlign w:val="center"/>
            <w:hideMark/>
          </w:tcPr>
          <w:p w14:paraId="1E0BB438" w14:textId="77777777" w:rsidR="00EB0F9E" w:rsidRDefault="00EB0F9E" w:rsidP="00EB0F9E">
            <w:pPr>
              <w:spacing w:after="0" w:line="240" w:lineRule="auto"/>
              <w:rPr>
                <w:rFonts w:ascii="Lato" w:hAnsi="Lato"/>
                <w:sz w:val="20"/>
              </w:rPr>
            </w:pPr>
            <w:r w:rsidRPr="00EB0F9E">
              <w:rPr>
                <w:rFonts w:ascii="Lato" w:hAnsi="Lato"/>
                <w:sz w:val="20"/>
              </w:rPr>
              <w:t xml:space="preserve">Propozycja </w:t>
            </w:r>
            <w:r w:rsidRPr="00EB0F9E">
              <w:rPr>
                <w:rFonts w:ascii="Lato" w:hAnsi="Lato"/>
                <w:b/>
                <w:bCs/>
                <w:sz w:val="20"/>
              </w:rPr>
              <w:t>nie wprowadza jasnego mandatu</w:t>
            </w:r>
            <w:r w:rsidRPr="00EB0F9E">
              <w:rPr>
                <w:rFonts w:ascii="Lato" w:hAnsi="Lato"/>
                <w:sz w:val="20"/>
              </w:rPr>
              <w:t xml:space="preserve">, który zobowiązywałby unijnych i krajowych regulatorów do </w:t>
            </w:r>
            <w:r w:rsidRPr="00EB0F9E">
              <w:rPr>
                <w:rFonts w:ascii="Lato" w:hAnsi="Lato"/>
                <w:b/>
                <w:bCs/>
                <w:sz w:val="20"/>
              </w:rPr>
              <w:t>aktywnego promowania innowacji</w:t>
            </w:r>
            <w:r w:rsidRPr="00EB0F9E">
              <w:rPr>
                <w:rFonts w:ascii="Lato" w:hAnsi="Lato"/>
                <w:sz w:val="20"/>
              </w:rPr>
              <w:t xml:space="preserve"> i brania pod uwagę skutków gospodarczych przy egzekwowaniu prawa. Brak takiego mandatu grozi niespójnością i osłabia konkurencyjność UE.</w:t>
            </w:r>
          </w:p>
          <w:p w14:paraId="1396A71B" w14:textId="77777777" w:rsidR="0051777A" w:rsidRDefault="0051777A" w:rsidP="00EB0F9E">
            <w:pPr>
              <w:spacing w:after="0" w:line="240" w:lineRule="auto"/>
              <w:rPr>
                <w:rFonts w:ascii="Lato" w:hAnsi="Lato"/>
                <w:sz w:val="20"/>
              </w:rPr>
            </w:pPr>
          </w:p>
          <w:p w14:paraId="2096DEA2" w14:textId="007ED13D" w:rsidR="0051777A" w:rsidRDefault="0051777A" w:rsidP="00EB0F9E">
            <w:pPr>
              <w:spacing w:after="0" w:line="240" w:lineRule="auto"/>
              <w:rPr>
                <w:rFonts w:ascii="Lato" w:hAnsi="Lato"/>
                <w:sz w:val="20"/>
              </w:rPr>
            </w:pPr>
            <w:r>
              <w:rPr>
                <w:rFonts w:ascii="Lato" w:hAnsi="Lato"/>
                <w:sz w:val="20"/>
              </w:rPr>
              <w:t>KIG (META):</w:t>
            </w:r>
          </w:p>
          <w:p w14:paraId="21B56036" w14:textId="3B354D88" w:rsidR="0051777A" w:rsidRDefault="00B8017A" w:rsidP="00EB0F9E">
            <w:pPr>
              <w:spacing w:after="0" w:line="240" w:lineRule="auto"/>
              <w:rPr>
                <w:rFonts w:ascii="Lato" w:hAnsi="Lato"/>
                <w:sz w:val="20"/>
              </w:rPr>
            </w:pPr>
            <w:r>
              <w:rPr>
                <w:rFonts w:ascii="Lato" w:hAnsi="Lato"/>
                <w:sz w:val="20"/>
              </w:rPr>
              <w:t xml:space="preserve">Promowanie symetryczności przepisów i </w:t>
            </w:r>
            <w:r w:rsidR="00E05218">
              <w:rPr>
                <w:rFonts w:ascii="Lato" w:hAnsi="Lato"/>
                <w:sz w:val="20"/>
              </w:rPr>
              <w:t>neutralności technologicznej</w:t>
            </w:r>
          </w:p>
          <w:p w14:paraId="330B4F9B" w14:textId="77777777" w:rsidR="0051777A" w:rsidRDefault="0051777A" w:rsidP="00EB0F9E">
            <w:pPr>
              <w:spacing w:after="0" w:line="240" w:lineRule="auto"/>
              <w:rPr>
                <w:rFonts w:ascii="Lato" w:hAnsi="Lato"/>
                <w:sz w:val="20"/>
              </w:rPr>
            </w:pPr>
          </w:p>
          <w:p w14:paraId="399A633C" w14:textId="77777777" w:rsidR="005E62CD" w:rsidRPr="00EB0F9E" w:rsidRDefault="005E62CD" w:rsidP="00EB0F9E">
            <w:pPr>
              <w:spacing w:after="0" w:line="240" w:lineRule="auto"/>
              <w:rPr>
                <w:rFonts w:ascii="Lato" w:hAnsi="Lato"/>
                <w:sz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2DDBB14" w14:textId="77777777" w:rsidR="00EB0F9E" w:rsidRPr="00EB0F9E" w:rsidRDefault="00EB0F9E" w:rsidP="00EB0F9E">
            <w:pPr>
              <w:spacing w:after="0" w:line="240" w:lineRule="auto"/>
              <w:rPr>
                <w:rFonts w:ascii="Lato" w:hAnsi="Lato"/>
                <w:sz w:val="20"/>
              </w:rPr>
            </w:pPr>
            <w:r w:rsidRPr="00EB0F9E">
              <w:rPr>
                <w:rFonts w:ascii="Lato" w:hAnsi="Lato"/>
                <w:sz w:val="20"/>
              </w:rPr>
              <w:t>KIG, Meta, AmCham</w:t>
            </w:r>
          </w:p>
        </w:tc>
      </w:tr>
      <w:tr w:rsidR="001E4E28" w:rsidRPr="00EB0F9E" w14:paraId="3659D9FF" w14:textId="77777777" w:rsidTr="00EB0F9E">
        <w:trPr>
          <w:tblCellSpacing w:w="15" w:type="dxa"/>
        </w:trPr>
        <w:tc>
          <w:tcPr>
            <w:tcW w:w="0" w:type="auto"/>
            <w:vAlign w:val="center"/>
          </w:tcPr>
          <w:p w14:paraId="2B6BA90A" w14:textId="6E2DA4DE" w:rsidR="001E4E28" w:rsidRPr="00EB0F9E" w:rsidRDefault="001E4E28" w:rsidP="00EB0F9E">
            <w:pPr>
              <w:spacing w:after="0" w:line="240" w:lineRule="auto"/>
              <w:rPr>
                <w:rFonts w:ascii="Lato" w:hAnsi="Lato"/>
                <w:b/>
                <w:bCs/>
                <w:sz w:val="20"/>
              </w:rPr>
            </w:pPr>
            <w:r>
              <w:rPr>
                <w:rFonts w:ascii="Lato" w:hAnsi="Lato"/>
                <w:b/>
                <w:bCs/>
                <w:sz w:val="20"/>
              </w:rPr>
              <w:t>Art. 4</w:t>
            </w:r>
          </w:p>
        </w:tc>
        <w:tc>
          <w:tcPr>
            <w:tcW w:w="0" w:type="auto"/>
            <w:vAlign w:val="center"/>
          </w:tcPr>
          <w:p w14:paraId="1A85AAEA" w14:textId="77777777" w:rsidR="001E4E28" w:rsidRDefault="001E4E28" w:rsidP="00EB0F9E">
            <w:pPr>
              <w:spacing w:after="0" w:line="240" w:lineRule="auto"/>
              <w:rPr>
                <w:rFonts w:ascii="Lato" w:hAnsi="Lato"/>
                <w:sz w:val="20"/>
              </w:rPr>
            </w:pPr>
          </w:p>
          <w:p w14:paraId="625AF9F0" w14:textId="2D686F61" w:rsidR="001E4E28" w:rsidRDefault="001E4E28" w:rsidP="00EB0F9E">
            <w:pPr>
              <w:spacing w:after="0" w:line="240" w:lineRule="auto"/>
              <w:rPr>
                <w:rFonts w:ascii="Lato" w:hAnsi="Lato"/>
                <w:sz w:val="20"/>
              </w:rPr>
            </w:pPr>
            <w:r>
              <w:rPr>
                <w:rFonts w:ascii="Lato" w:hAnsi="Lato"/>
                <w:sz w:val="20"/>
              </w:rPr>
              <w:t xml:space="preserve">Fintech Poland: większa spójność przepisu </w:t>
            </w:r>
          </w:p>
          <w:p w14:paraId="69BE166A" w14:textId="77777777" w:rsidR="001E4E28" w:rsidRDefault="001E4E28" w:rsidP="00EB0F9E">
            <w:pPr>
              <w:spacing w:after="0" w:line="240" w:lineRule="auto"/>
              <w:rPr>
                <w:rFonts w:ascii="Lato" w:hAnsi="Lato"/>
                <w:sz w:val="20"/>
              </w:rPr>
            </w:pPr>
          </w:p>
          <w:p w14:paraId="59D3774B" w14:textId="77777777" w:rsidR="001E4E28" w:rsidRDefault="001E4E28" w:rsidP="00EB0F9E">
            <w:pPr>
              <w:spacing w:after="0" w:line="240" w:lineRule="auto"/>
              <w:rPr>
                <w:rFonts w:ascii="Lato" w:hAnsi="Lato"/>
                <w:sz w:val="20"/>
              </w:rPr>
            </w:pPr>
            <w:r>
              <w:rPr>
                <w:rFonts w:ascii="Lato" w:hAnsi="Lato"/>
                <w:sz w:val="20"/>
              </w:rPr>
              <w:t>MC: obecnie daje swobodę państwom członkowskim UE</w:t>
            </w:r>
          </w:p>
          <w:p w14:paraId="5C40ABE3" w14:textId="57336532" w:rsidR="00CC72B6" w:rsidRPr="00EB0F9E" w:rsidRDefault="00CC72B6" w:rsidP="00EB0F9E">
            <w:pPr>
              <w:spacing w:after="0" w:line="240" w:lineRule="auto"/>
              <w:rPr>
                <w:rFonts w:ascii="Lato" w:hAnsi="Lato"/>
                <w:sz w:val="20"/>
              </w:rPr>
            </w:pPr>
          </w:p>
        </w:tc>
        <w:tc>
          <w:tcPr>
            <w:tcW w:w="0" w:type="auto"/>
            <w:vAlign w:val="center"/>
          </w:tcPr>
          <w:p w14:paraId="380F19B4" w14:textId="77777777" w:rsidR="001E4E28" w:rsidRPr="00EB0F9E" w:rsidRDefault="001E4E28" w:rsidP="00EB0F9E">
            <w:pPr>
              <w:spacing w:after="0" w:line="240" w:lineRule="auto"/>
              <w:rPr>
                <w:rFonts w:ascii="Lato" w:hAnsi="Lato"/>
                <w:sz w:val="20"/>
              </w:rPr>
            </w:pPr>
          </w:p>
        </w:tc>
      </w:tr>
      <w:tr w:rsidR="001003BC" w:rsidRPr="00EB0F9E" w14:paraId="5FF70E79" w14:textId="77777777" w:rsidTr="00EB0F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8B7517" w14:textId="7E782C1D" w:rsidR="00EB0F9E" w:rsidRPr="00EB0F9E" w:rsidRDefault="00EB0F9E" w:rsidP="00EB0F9E">
            <w:pPr>
              <w:spacing w:after="0" w:line="240" w:lineRule="auto"/>
              <w:rPr>
                <w:rFonts w:ascii="Lato" w:hAnsi="Lato"/>
                <w:sz w:val="20"/>
              </w:rPr>
            </w:pPr>
            <w:r w:rsidRPr="00EB0F9E">
              <w:rPr>
                <w:rFonts w:ascii="Lato" w:hAnsi="Lato"/>
                <w:b/>
                <w:bCs/>
                <w:sz w:val="20"/>
              </w:rPr>
              <w:t xml:space="preserve">Przetwarzanie </w:t>
            </w:r>
            <w:r w:rsidR="001003BC">
              <w:rPr>
                <w:rFonts w:ascii="Lato" w:hAnsi="Lato"/>
                <w:b/>
                <w:bCs/>
                <w:sz w:val="20"/>
              </w:rPr>
              <w:t xml:space="preserve">danych wrażliwych </w:t>
            </w:r>
            <w:r w:rsidRPr="00EB0F9E">
              <w:rPr>
                <w:rFonts w:ascii="Lato" w:hAnsi="Lato"/>
                <w:b/>
                <w:bCs/>
                <w:sz w:val="20"/>
              </w:rPr>
              <w:t>(Art. 4a)</w:t>
            </w:r>
          </w:p>
        </w:tc>
        <w:tc>
          <w:tcPr>
            <w:tcW w:w="0" w:type="auto"/>
            <w:vAlign w:val="center"/>
            <w:hideMark/>
          </w:tcPr>
          <w:p w14:paraId="1E254CFE" w14:textId="77777777" w:rsidR="00EB0F9E" w:rsidRDefault="00EB0F9E" w:rsidP="00EB0F9E">
            <w:pPr>
              <w:spacing w:after="0" w:line="240" w:lineRule="auto"/>
              <w:rPr>
                <w:rFonts w:ascii="Lato" w:hAnsi="Lato"/>
                <w:sz w:val="20"/>
              </w:rPr>
            </w:pPr>
            <w:r w:rsidRPr="00EB0F9E">
              <w:rPr>
                <w:rFonts w:ascii="Lato" w:hAnsi="Lato"/>
                <w:sz w:val="20"/>
              </w:rPr>
              <w:t xml:space="preserve">Postulat </w:t>
            </w:r>
            <w:r w:rsidRPr="00EB0F9E">
              <w:rPr>
                <w:rFonts w:ascii="Lato" w:hAnsi="Lato"/>
                <w:b/>
                <w:bCs/>
                <w:sz w:val="20"/>
              </w:rPr>
              <w:t>rozszerzenia podstawy prawnej</w:t>
            </w:r>
            <w:r w:rsidRPr="00EB0F9E">
              <w:rPr>
                <w:rFonts w:ascii="Lato" w:hAnsi="Lato"/>
                <w:sz w:val="20"/>
              </w:rPr>
              <w:t xml:space="preserve"> umożliwiającej przetwarzanie szczególnych kategorii danych osobowych (SCD) na potrzeby </w:t>
            </w:r>
            <w:r w:rsidRPr="00EB0F9E">
              <w:rPr>
                <w:rFonts w:ascii="Lato" w:hAnsi="Lato"/>
                <w:b/>
                <w:bCs/>
                <w:sz w:val="20"/>
              </w:rPr>
              <w:t>wykrywania i korygowania stronniczości</w:t>
            </w:r>
            <w:r w:rsidRPr="00EB0F9E">
              <w:rPr>
                <w:rFonts w:ascii="Lato" w:hAnsi="Lato"/>
                <w:sz w:val="20"/>
              </w:rPr>
              <w:t xml:space="preserve"> we </w:t>
            </w:r>
            <w:r w:rsidRPr="00EB0F9E">
              <w:rPr>
                <w:rFonts w:ascii="Lato" w:hAnsi="Lato"/>
                <w:b/>
                <w:bCs/>
                <w:sz w:val="20"/>
              </w:rPr>
              <w:t>wszystkich</w:t>
            </w:r>
            <w:r w:rsidRPr="00EB0F9E">
              <w:rPr>
                <w:rFonts w:ascii="Lato" w:hAnsi="Lato"/>
                <w:sz w:val="20"/>
              </w:rPr>
              <w:t xml:space="preserve"> systemach AI (nie tylko wysokiego ryzyka) jest </w:t>
            </w:r>
            <w:r w:rsidRPr="00EB0F9E">
              <w:rPr>
                <w:rFonts w:ascii="Lato" w:hAnsi="Lato"/>
                <w:b/>
                <w:bCs/>
                <w:sz w:val="20"/>
              </w:rPr>
              <w:t>popierany jako kluczowy</w:t>
            </w:r>
            <w:r w:rsidRPr="00EB0F9E">
              <w:rPr>
                <w:rFonts w:ascii="Lato" w:hAnsi="Lato"/>
                <w:sz w:val="20"/>
              </w:rPr>
              <w:t xml:space="preserve"> dla sprawiedliwości i odpowiedzialnej innowacji.</w:t>
            </w:r>
          </w:p>
          <w:p w14:paraId="1126AD24" w14:textId="77777777" w:rsidR="005E62CD" w:rsidRDefault="005E62CD" w:rsidP="00EB0F9E">
            <w:pPr>
              <w:spacing w:after="0" w:line="240" w:lineRule="auto"/>
              <w:rPr>
                <w:rFonts w:ascii="Lato" w:hAnsi="Lato"/>
                <w:sz w:val="20"/>
              </w:rPr>
            </w:pPr>
          </w:p>
          <w:p w14:paraId="4FF6C1FC" w14:textId="77777777" w:rsidR="00287680" w:rsidRDefault="00287680" w:rsidP="00287680">
            <w:pPr>
              <w:spacing w:after="0" w:line="240" w:lineRule="auto"/>
              <w:rPr>
                <w:rFonts w:ascii="Lato" w:hAnsi="Lato"/>
                <w:sz w:val="20"/>
              </w:rPr>
            </w:pPr>
            <w:r>
              <w:rPr>
                <w:rFonts w:ascii="Lato" w:hAnsi="Lato"/>
                <w:sz w:val="20"/>
              </w:rPr>
              <w:t>KIG (META):</w:t>
            </w:r>
          </w:p>
          <w:p w14:paraId="487CCD91" w14:textId="77777777" w:rsidR="00287680" w:rsidRDefault="00287680" w:rsidP="00287680">
            <w:pPr>
              <w:spacing w:after="0" w:line="240" w:lineRule="auto"/>
              <w:rPr>
                <w:rFonts w:ascii="Lato" w:hAnsi="Lato"/>
                <w:sz w:val="20"/>
              </w:rPr>
            </w:pPr>
            <w:r>
              <w:rPr>
                <w:rFonts w:ascii="Lato" w:hAnsi="Lato"/>
                <w:sz w:val="20"/>
              </w:rPr>
              <w:t>Doprecyzowanie def. danych wrażliwych dla potrzeb AI</w:t>
            </w:r>
          </w:p>
          <w:p w14:paraId="3B94A124" w14:textId="77777777" w:rsidR="00287680" w:rsidRDefault="00287680" w:rsidP="00EB0F9E">
            <w:pPr>
              <w:spacing w:after="0" w:line="240" w:lineRule="auto"/>
              <w:rPr>
                <w:rFonts w:ascii="Lato" w:hAnsi="Lato"/>
                <w:sz w:val="20"/>
              </w:rPr>
            </w:pPr>
          </w:p>
          <w:p w14:paraId="5517CDA5" w14:textId="77777777" w:rsidR="00287680" w:rsidRPr="00EB0F9E" w:rsidRDefault="00287680" w:rsidP="00EB0F9E">
            <w:pPr>
              <w:spacing w:after="0" w:line="240" w:lineRule="auto"/>
              <w:rPr>
                <w:rFonts w:ascii="Lato" w:hAnsi="Lato"/>
                <w:sz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D390810" w14:textId="77777777" w:rsidR="00EB0F9E" w:rsidRPr="00EB0F9E" w:rsidRDefault="00EB0F9E" w:rsidP="00EB0F9E">
            <w:pPr>
              <w:spacing w:after="0" w:line="240" w:lineRule="auto"/>
              <w:rPr>
                <w:rFonts w:ascii="Lato" w:hAnsi="Lato"/>
                <w:sz w:val="20"/>
              </w:rPr>
            </w:pPr>
            <w:r w:rsidRPr="00EB0F9E">
              <w:rPr>
                <w:rFonts w:ascii="Lato" w:hAnsi="Lato"/>
                <w:sz w:val="20"/>
              </w:rPr>
              <w:t>KIG, Meta, AmCham</w:t>
            </w:r>
          </w:p>
        </w:tc>
      </w:tr>
      <w:tr w:rsidR="001003BC" w:rsidRPr="00EB0F9E" w14:paraId="2755330F" w14:textId="77777777" w:rsidTr="00EB0F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F32ECC" w14:textId="41D9F3ED" w:rsidR="00EB0F9E" w:rsidRPr="00EB0F9E" w:rsidRDefault="001003BC" w:rsidP="00EB0F9E">
            <w:pPr>
              <w:spacing w:after="0" w:line="240" w:lineRule="auto"/>
              <w:rPr>
                <w:rFonts w:ascii="Lato" w:hAnsi="Lato"/>
                <w:sz w:val="20"/>
              </w:rPr>
            </w:pPr>
            <w:r>
              <w:rPr>
                <w:rFonts w:ascii="Lato" w:hAnsi="Lato"/>
                <w:b/>
                <w:bCs/>
                <w:sz w:val="20"/>
              </w:rPr>
              <w:t>Zniesienie obowiązku r</w:t>
            </w:r>
            <w:r w:rsidR="00EB0F9E" w:rsidRPr="00EB0F9E">
              <w:rPr>
                <w:rFonts w:ascii="Lato" w:hAnsi="Lato"/>
                <w:b/>
                <w:bCs/>
                <w:sz w:val="20"/>
              </w:rPr>
              <w:t xml:space="preserve">ejestracji </w:t>
            </w:r>
            <w:r>
              <w:rPr>
                <w:rFonts w:ascii="Lato" w:hAnsi="Lato"/>
                <w:b/>
                <w:bCs/>
                <w:sz w:val="20"/>
              </w:rPr>
              <w:t xml:space="preserve">systemów AI </w:t>
            </w:r>
            <w:r w:rsidR="00EB0F9E" w:rsidRPr="00EB0F9E">
              <w:rPr>
                <w:rFonts w:ascii="Lato" w:hAnsi="Lato"/>
                <w:b/>
                <w:bCs/>
                <w:sz w:val="20"/>
              </w:rPr>
              <w:t>(Art. 49 ust. 2)</w:t>
            </w:r>
          </w:p>
        </w:tc>
        <w:tc>
          <w:tcPr>
            <w:tcW w:w="0" w:type="auto"/>
            <w:vAlign w:val="center"/>
            <w:hideMark/>
          </w:tcPr>
          <w:p w14:paraId="1248662D" w14:textId="77777777" w:rsidR="001003BC" w:rsidRDefault="00EB0F9E" w:rsidP="00EB0F9E">
            <w:pPr>
              <w:spacing w:after="0" w:line="240" w:lineRule="auto"/>
              <w:rPr>
                <w:rFonts w:ascii="Lato" w:hAnsi="Lato"/>
                <w:sz w:val="20"/>
              </w:rPr>
            </w:pPr>
            <w:r w:rsidRPr="00EB0F9E">
              <w:rPr>
                <w:rFonts w:ascii="Lato" w:hAnsi="Lato"/>
                <w:b/>
                <w:bCs/>
                <w:sz w:val="20"/>
              </w:rPr>
              <w:t>Pozytywnie oceniono zniesienie obowiązku rejestracji systemów AI</w:t>
            </w:r>
            <w:r w:rsidRPr="00EB0F9E">
              <w:rPr>
                <w:rFonts w:ascii="Lato" w:hAnsi="Lato"/>
                <w:sz w:val="20"/>
              </w:rPr>
              <w:t xml:space="preserve"> w unijnej bazie danych, które zostały uznane przez dostawcę za nie-wysokiego ryzyka (np. używane tylko do zadań proceduralnych), co redukuje obciążenia. </w:t>
            </w:r>
          </w:p>
          <w:p w14:paraId="5572EEC6" w14:textId="77777777" w:rsidR="00E606EC" w:rsidRDefault="00E606EC" w:rsidP="00EB0F9E">
            <w:pPr>
              <w:spacing w:after="0" w:line="240" w:lineRule="auto"/>
              <w:rPr>
                <w:rFonts w:ascii="Lato" w:hAnsi="Lato"/>
                <w:b/>
                <w:bCs/>
                <w:sz w:val="20"/>
              </w:rPr>
            </w:pPr>
          </w:p>
          <w:p w14:paraId="7C5BBC11" w14:textId="77777777" w:rsidR="00EB0F9E" w:rsidRDefault="00EB0F9E" w:rsidP="00EB0F9E">
            <w:pPr>
              <w:spacing w:after="0" w:line="240" w:lineRule="auto"/>
              <w:rPr>
                <w:rFonts w:ascii="Lato" w:hAnsi="Lato"/>
                <w:sz w:val="20"/>
              </w:rPr>
            </w:pPr>
            <w:r w:rsidRPr="00EB0F9E">
              <w:rPr>
                <w:rFonts w:ascii="Lato" w:hAnsi="Lato"/>
                <w:b/>
                <w:bCs/>
                <w:sz w:val="20"/>
              </w:rPr>
              <w:t>W opozycji, Panoptykon ostrzega</w:t>
            </w:r>
            <w:r w:rsidRPr="00EB0F9E">
              <w:rPr>
                <w:rFonts w:ascii="Lato" w:hAnsi="Lato"/>
                <w:sz w:val="20"/>
              </w:rPr>
              <w:t xml:space="preserve">, że usuwając ten obowiązek, Komisja </w:t>
            </w:r>
            <w:r w:rsidRPr="00EB0F9E">
              <w:rPr>
                <w:rFonts w:ascii="Lato" w:hAnsi="Lato"/>
                <w:b/>
                <w:bCs/>
                <w:sz w:val="20"/>
              </w:rPr>
              <w:t>tworzy lukę</w:t>
            </w:r>
            <w:r w:rsidRPr="00EB0F9E">
              <w:rPr>
                <w:rFonts w:ascii="Lato" w:hAnsi="Lato"/>
                <w:sz w:val="20"/>
              </w:rPr>
              <w:t xml:space="preserve">, która pozwoli dostawcom </w:t>
            </w:r>
            <w:r w:rsidRPr="00EB0F9E">
              <w:rPr>
                <w:rFonts w:ascii="Lato" w:hAnsi="Lato"/>
                <w:b/>
                <w:bCs/>
                <w:sz w:val="20"/>
              </w:rPr>
              <w:t>omijać nadzór</w:t>
            </w:r>
            <w:r w:rsidRPr="00EB0F9E">
              <w:rPr>
                <w:rFonts w:ascii="Lato" w:hAnsi="Lato"/>
                <w:sz w:val="20"/>
              </w:rPr>
              <w:t xml:space="preserve"> i zwiększa ryzyko wprowadzenia na rynek systemów naruszających prawa podstawowe bez kontroli.</w:t>
            </w:r>
          </w:p>
          <w:p w14:paraId="081E92E6" w14:textId="77777777" w:rsidR="00CC72B6" w:rsidRDefault="00CC72B6" w:rsidP="00EB0F9E">
            <w:pPr>
              <w:spacing w:after="0" w:line="240" w:lineRule="auto"/>
              <w:rPr>
                <w:rFonts w:ascii="Lato" w:hAnsi="Lato"/>
                <w:sz w:val="20"/>
              </w:rPr>
            </w:pPr>
          </w:p>
          <w:p w14:paraId="4356FEBB" w14:textId="4FDC6747" w:rsidR="001E4E28" w:rsidRPr="00EB0F9E" w:rsidRDefault="001E4E28" w:rsidP="00EB0F9E">
            <w:pPr>
              <w:spacing w:after="0" w:line="240" w:lineRule="auto"/>
              <w:rPr>
                <w:rFonts w:ascii="Lato" w:hAnsi="Lato"/>
                <w:sz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B7735BB" w14:textId="77777777" w:rsidR="00EB0F9E" w:rsidRPr="00EB0F9E" w:rsidRDefault="00EB0F9E" w:rsidP="00EB0F9E">
            <w:pPr>
              <w:spacing w:after="0" w:line="240" w:lineRule="auto"/>
              <w:rPr>
                <w:rFonts w:ascii="Lato" w:hAnsi="Lato"/>
                <w:sz w:val="20"/>
              </w:rPr>
            </w:pPr>
            <w:r w:rsidRPr="00EB0F9E">
              <w:rPr>
                <w:rFonts w:ascii="Lato" w:hAnsi="Lato"/>
                <w:sz w:val="20"/>
              </w:rPr>
              <w:t>Lewiatan, AmCham, Panoptykon</w:t>
            </w:r>
          </w:p>
        </w:tc>
      </w:tr>
      <w:tr w:rsidR="001003BC" w:rsidRPr="00EB0F9E" w14:paraId="5D5D50A8" w14:textId="77777777" w:rsidTr="00EB0F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947E20" w14:textId="53826536" w:rsidR="00EB0F9E" w:rsidRPr="00EB0F9E" w:rsidRDefault="00EB0F9E" w:rsidP="00EB0F9E">
            <w:pPr>
              <w:spacing w:after="0" w:line="240" w:lineRule="auto"/>
              <w:rPr>
                <w:rFonts w:ascii="Lato" w:hAnsi="Lato"/>
                <w:sz w:val="20"/>
              </w:rPr>
            </w:pPr>
            <w:r w:rsidRPr="00EB0F9E">
              <w:rPr>
                <w:rFonts w:ascii="Lato" w:hAnsi="Lato"/>
                <w:b/>
                <w:bCs/>
                <w:sz w:val="20"/>
              </w:rPr>
              <w:t xml:space="preserve">Nadzór i </w:t>
            </w:r>
            <w:r w:rsidR="00E606EC">
              <w:rPr>
                <w:rFonts w:ascii="Lato" w:hAnsi="Lato"/>
                <w:b/>
                <w:bCs/>
                <w:sz w:val="20"/>
              </w:rPr>
              <w:t>p</w:t>
            </w:r>
            <w:r w:rsidRPr="00EB0F9E">
              <w:rPr>
                <w:rFonts w:ascii="Lato" w:hAnsi="Lato"/>
                <w:b/>
                <w:bCs/>
                <w:sz w:val="20"/>
              </w:rPr>
              <w:t xml:space="preserve">rawa </w:t>
            </w:r>
            <w:r w:rsidR="00E606EC">
              <w:rPr>
                <w:rFonts w:ascii="Lato" w:hAnsi="Lato"/>
                <w:b/>
                <w:bCs/>
                <w:sz w:val="20"/>
              </w:rPr>
              <w:t>p</w:t>
            </w:r>
            <w:r w:rsidRPr="00EB0F9E">
              <w:rPr>
                <w:rFonts w:ascii="Lato" w:hAnsi="Lato"/>
                <w:b/>
                <w:bCs/>
                <w:sz w:val="20"/>
              </w:rPr>
              <w:t>odstawowe (Art. 75, 77)</w:t>
            </w:r>
          </w:p>
        </w:tc>
        <w:tc>
          <w:tcPr>
            <w:tcW w:w="0" w:type="auto"/>
            <w:vAlign w:val="center"/>
            <w:hideMark/>
          </w:tcPr>
          <w:p w14:paraId="7FA02B61" w14:textId="50E9AA53" w:rsidR="00E606EC" w:rsidRPr="007012C8" w:rsidRDefault="00EB0F9E" w:rsidP="00EB0F9E">
            <w:pPr>
              <w:spacing w:after="0" w:line="240" w:lineRule="auto"/>
              <w:rPr>
                <w:rFonts w:ascii="Lato" w:hAnsi="Lato"/>
                <w:b/>
                <w:bCs/>
                <w:sz w:val="20"/>
              </w:rPr>
            </w:pPr>
            <w:r w:rsidRPr="00EB0F9E">
              <w:rPr>
                <w:rFonts w:ascii="Lato" w:hAnsi="Lato"/>
                <w:b/>
                <w:bCs/>
                <w:sz w:val="20"/>
              </w:rPr>
              <w:t>Podmioty biznesowe popierają</w:t>
            </w:r>
            <w:r w:rsidRPr="00EB0F9E">
              <w:rPr>
                <w:rFonts w:ascii="Lato" w:hAnsi="Lato"/>
                <w:sz w:val="20"/>
              </w:rPr>
              <w:t xml:space="preserve"> </w:t>
            </w:r>
            <w:r w:rsidRPr="00EB0F9E">
              <w:rPr>
                <w:rFonts w:ascii="Lato" w:hAnsi="Lato"/>
                <w:b/>
                <w:bCs/>
                <w:sz w:val="20"/>
              </w:rPr>
              <w:t>centralizację nadzoru</w:t>
            </w:r>
            <w:r w:rsidRPr="00EB0F9E">
              <w:rPr>
                <w:rFonts w:ascii="Lato" w:hAnsi="Lato"/>
                <w:sz w:val="20"/>
              </w:rPr>
              <w:t xml:space="preserve"> nad systemami AI zintegrowanymi </w:t>
            </w:r>
            <w:r w:rsidR="00E606EC" w:rsidRPr="00E606EC">
              <w:rPr>
                <w:rFonts w:ascii="Lato" w:hAnsi="Lato"/>
                <w:sz w:val="20"/>
              </w:rPr>
              <w:t>z bardzo dużymi platformami internetowymi (VLOP) i bardzo dużymi wyszukiwarkami internetowymi (VL</w:t>
            </w:r>
            <w:r w:rsidR="00E606EC">
              <w:rPr>
                <w:rFonts w:ascii="Lato" w:hAnsi="Lato"/>
                <w:sz w:val="20"/>
              </w:rPr>
              <w:t>O</w:t>
            </w:r>
            <w:r w:rsidR="00E606EC" w:rsidRPr="00E606EC">
              <w:rPr>
                <w:rFonts w:ascii="Lato" w:hAnsi="Lato"/>
                <w:sz w:val="20"/>
              </w:rPr>
              <w:t>SE)</w:t>
            </w:r>
            <w:r w:rsidR="00E606EC">
              <w:rPr>
                <w:rFonts w:ascii="Lato" w:hAnsi="Lato"/>
                <w:sz w:val="20"/>
              </w:rPr>
              <w:t xml:space="preserve">, </w:t>
            </w:r>
            <w:r w:rsidRPr="00EB0F9E">
              <w:rPr>
                <w:rFonts w:ascii="Lato" w:hAnsi="Lato"/>
                <w:sz w:val="20"/>
              </w:rPr>
              <w:t xml:space="preserve">oraz modelami GPAIM </w:t>
            </w:r>
            <w:r w:rsidRPr="00EB0F9E">
              <w:rPr>
                <w:rFonts w:ascii="Lato" w:hAnsi="Lato"/>
                <w:b/>
                <w:bCs/>
                <w:sz w:val="20"/>
              </w:rPr>
              <w:t xml:space="preserve">w rękach AI Office, widząc w tym spójność regulacyjną. </w:t>
            </w:r>
          </w:p>
          <w:p w14:paraId="1376CE7E" w14:textId="77777777" w:rsidR="00E606EC" w:rsidRDefault="00E606EC" w:rsidP="00EB0F9E">
            <w:pPr>
              <w:spacing w:after="0" w:line="240" w:lineRule="auto"/>
              <w:rPr>
                <w:rFonts w:ascii="Lato" w:hAnsi="Lato"/>
                <w:sz w:val="20"/>
              </w:rPr>
            </w:pPr>
          </w:p>
          <w:p w14:paraId="604FA49B" w14:textId="77777777" w:rsidR="00EB0F9E" w:rsidRDefault="00EB0F9E" w:rsidP="00EB0F9E">
            <w:pPr>
              <w:spacing w:after="0" w:line="240" w:lineRule="auto"/>
              <w:rPr>
                <w:rFonts w:ascii="Lato" w:hAnsi="Lato"/>
                <w:sz w:val="20"/>
              </w:rPr>
            </w:pPr>
            <w:r w:rsidRPr="00EB0F9E">
              <w:rPr>
                <w:rFonts w:ascii="Lato" w:hAnsi="Lato"/>
                <w:b/>
                <w:bCs/>
                <w:sz w:val="20"/>
              </w:rPr>
              <w:t>Panoptykon krytykuje natomiast, że Komisja</w:t>
            </w:r>
            <w:r w:rsidRPr="00EB0F9E">
              <w:rPr>
                <w:rFonts w:ascii="Lato" w:hAnsi="Lato"/>
                <w:sz w:val="20"/>
              </w:rPr>
              <w:t xml:space="preserve"> </w:t>
            </w:r>
            <w:r w:rsidRPr="00EB0F9E">
              <w:rPr>
                <w:rFonts w:ascii="Lato" w:hAnsi="Lato"/>
                <w:b/>
                <w:bCs/>
                <w:sz w:val="20"/>
              </w:rPr>
              <w:t>osłabia uprawnienia krajowych organów ochrony praw podstawowych</w:t>
            </w:r>
            <w:r w:rsidRPr="00EB0F9E">
              <w:rPr>
                <w:rFonts w:ascii="Lato" w:hAnsi="Lato"/>
                <w:sz w:val="20"/>
              </w:rPr>
              <w:t xml:space="preserve"> (takich jak PUODO), zmuszając je do korzystania z </w:t>
            </w:r>
            <w:r w:rsidRPr="00EB0F9E">
              <w:rPr>
                <w:rFonts w:ascii="Lato" w:hAnsi="Lato"/>
                <w:b/>
                <w:bCs/>
                <w:sz w:val="20"/>
              </w:rPr>
              <w:t>pośrednictwa</w:t>
            </w:r>
            <w:r w:rsidRPr="00EB0F9E">
              <w:rPr>
                <w:rFonts w:ascii="Lato" w:hAnsi="Lato"/>
                <w:sz w:val="20"/>
              </w:rPr>
              <w:t xml:space="preserve"> krajowego organu nadzoru rynku w celu dostępu do dokumentacji.</w:t>
            </w:r>
          </w:p>
          <w:p w14:paraId="19FADD62" w14:textId="77777777" w:rsidR="000970BA" w:rsidRDefault="000970BA" w:rsidP="00EB0F9E">
            <w:pPr>
              <w:spacing w:after="0" w:line="240" w:lineRule="auto"/>
              <w:rPr>
                <w:rFonts w:ascii="Lato" w:hAnsi="Lato"/>
                <w:sz w:val="20"/>
              </w:rPr>
            </w:pPr>
          </w:p>
          <w:p w14:paraId="731654AF" w14:textId="77777777" w:rsidR="000970BA" w:rsidRDefault="000970BA" w:rsidP="00EB0F9E">
            <w:pPr>
              <w:spacing w:after="0" w:line="240" w:lineRule="auto"/>
              <w:rPr>
                <w:rFonts w:ascii="Lato" w:hAnsi="Lato"/>
                <w:sz w:val="20"/>
              </w:rPr>
            </w:pPr>
            <w:r>
              <w:rPr>
                <w:rFonts w:ascii="Lato" w:hAnsi="Lato"/>
                <w:sz w:val="20"/>
              </w:rPr>
              <w:t>Fintech:</w:t>
            </w:r>
          </w:p>
          <w:p w14:paraId="505242B1" w14:textId="4BD9C139" w:rsidR="000970BA" w:rsidRDefault="000970BA" w:rsidP="00EB0F9E">
            <w:pPr>
              <w:spacing w:after="0" w:line="240" w:lineRule="auto"/>
              <w:rPr>
                <w:rFonts w:ascii="Lato" w:hAnsi="Lato"/>
                <w:sz w:val="20"/>
              </w:rPr>
            </w:pPr>
            <w:r>
              <w:rPr>
                <w:rFonts w:ascii="Lato" w:hAnsi="Lato"/>
                <w:sz w:val="20"/>
              </w:rPr>
              <w:t xml:space="preserve">Konieczna </w:t>
            </w:r>
            <w:r w:rsidR="00AE7670">
              <w:rPr>
                <w:rFonts w:ascii="Lato" w:hAnsi="Lato"/>
                <w:sz w:val="20"/>
              </w:rPr>
              <w:t>jest dokonanie ponownej oceny skutków, zwł. w zakresie ochrony praw podstawowych.</w:t>
            </w:r>
          </w:p>
          <w:p w14:paraId="009B475E" w14:textId="77777777" w:rsidR="000970BA" w:rsidRDefault="000970BA" w:rsidP="00EB0F9E">
            <w:pPr>
              <w:spacing w:after="0" w:line="240" w:lineRule="auto"/>
              <w:rPr>
                <w:rFonts w:ascii="Lato" w:hAnsi="Lato"/>
                <w:sz w:val="20"/>
              </w:rPr>
            </w:pPr>
          </w:p>
          <w:p w14:paraId="7DB74386" w14:textId="00077ACB" w:rsidR="000970BA" w:rsidRPr="00EB0F9E" w:rsidRDefault="000970BA" w:rsidP="00EB0F9E">
            <w:pPr>
              <w:spacing w:after="0" w:line="240" w:lineRule="auto"/>
              <w:rPr>
                <w:rFonts w:ascii="Lato" w:hAnsi="Lato"/>
                <w:sz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AA66AD4" w14:textId="77777777" w:rsidR="00EB0F9E" w:rsidRPr="00EB0F9E" w:rsidRDefault="00EB0F9E" w:rsidP="00EB0F9E">
            <w:pPr>
              <w:spacing w:after="0" w:line="240" w:lineRule="auto"/>
              <w:rPr>
                <w:rFonts w:ascii="Lato" w:hAnsi="Lato"/>
                <w:sz w:val="20"/>
              </w:rPr>
            </w:pPr>
            <w:r w:rsidRPr="00EB0F9E">
              <w:rPr>
                <w:rFonts w:ascii="Lato" w:hAnsi="Lato"/>
                <w:sz w:val="20"/>
              </w:rPr>
              <w:t>KIG, Meta, AmCham, Panoptykon</w:t>
            </w:r>
          </w:p>
        </w:tc>
      </w:tr>
      <w:tr w:rsidR="001003BC" w:rsidRPr="00EB0F9E" w14:paraId="6A994C1D" w14:textId="77777777" w:rsidTr="00EB0F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EC30CB" w14:textId="41DEECBB" w:rsidR="00EB0F9E" w:rsidRPr="00EB0F9E" w:rsidRDefault="00EB0F9E" w:rsidP="00EB0F9E">
            <w:pPr>
              <w:spacing w:after="0" w:line="240" w:lineRule="auto"/>
              <w:rPr>
                <w:rFonts w:ascii="Lato" w:hAnsi="Lato"/>
                <w:sz w:val="20"/>
              </w:rPr>
            </w:pPr>
            <w:r w:rsidRPr="00EB0F9E">
              <w:rPr>
                <w:rFonts w:ascii="Lato" w:hAnsi="Lato"/>
                <w:b/>
                <w:bCs/>
                <w:sz w:val="20"/>
              </w:rPr>
              <w:t xml:space="preserve">Prawa </w:t>
            </w:r>
            <w:r w:rsidR="00E606EC">
              <w:rPr>
                <w:rFonts w:ascii="Lato" w:hAnsi="Lato"/>
                <w:b/>
                <w:bCs/>
                <w:sz w:val="20"/>
              </w:rPr>
              <w:t>a</w:t>
            </w:r>
            <w:r w:rsidRPr="00EB0F9E">
              <w:rPr>
                <w:rFonts w:ascii="Lato" w:hAnsi="Lato"/>
                <w:b/>
                <w:bCs/>
                <w:sz w:val="20"/>
              </w:rPr>
              <w:t>utorskie (Art. 53, 56)</w:t>
            </w:r>
          </w:p>
        </w:tc>
        <w:tc>
          <w:tcPr>
            <w:tcW w:w="0" w:type="auto"/>
            <w:vAlign w:val="center"/>
            <w:hideMark/>
          </w:tcPr>
          <w:p w14:paraId="6BAB1DB1" w14:textId="77777777" w:rsidR="00EB0F9E" w:rsidRDefault="00EB0F9E" w:rsidP="00EB0F9E">
            <w:pPr>
              <w:spacing w:after="0" w:line="240" w:lineRule="auto"/>
              <w:rPr>
                <w:rFonts w:ascii="Lato" w:hAnsi="Lato"/>
                <w:sz w:val="20"/>
              </w:rPr>
            </w:pPr>
            <w:r w:rsidRPr="00EB0F9E">
              <w:rPr>
                <w:rFonts w:ascii="Lato" w:hAnsi="Lato"/>
                <w:sz w:val="20"/>
              </w:rPr>
              <w:t xml:space="preserve">ZAIKS wyraża </w:t>
            </w:r>
            <w:r w:rsidRPr="00EB0F9E">
              <w:rPr>
                <w:rFonts w:ascii="Lato" w:hAnsi="Lato"/>
                <w:b/>
                <w:bCs/>
                <w:sz w:val="20"/>
              </w:rPr>
              <w:t>rozczarowanie</w:t>
            </w:r>
            <w:r w:rsidRPr="00EB0F9E">
              <w:rPr>
                <w:rFonts w:ascii="Lato" w:hAnsi="Lato"/>
                <w:sz w:val="20"/>
              </w:rPr>
              <w:t xml:space="preserve"> brakiem działań chroniących prawa twórców przed </w:t>
            </w:r>
            <w:r w:rsidRPr="00EB0F9E">
              <w:rPr>
                <w:rFonts w:ascii="Lato" w:hAnsi="Lato"/>
                <w:b/>
                <w:bCs/>
                <w:sz w:val="20"/>
              </w:rPr>
              <w:t>bezprawnym wykorzystywaniem ich twórczości</w:t>
            </w:r>
            <w:r w:rsidRPr="00EB0F9E">
              <w:rPr>
                <w:rFonts w:ascii="Lato" w:hAnsi="Lato"/>
                <w:sz w:val="20"/>
              </w:rPr>
              <w:t xml:space="preserve"> do trenowania </w:t>
            </w:r>
            <w:r w:rsidRPr="00EB0F9E">
              <w:rPr>
                <w:rFonts w:ascii="Lato" w:hAnsi="Lato"/>
                <w:sz w:val="20"/>
              </w:rPr>
              <w:lastRenderedPageBreak/>
              <w:t xml:space="preserve">generatywnej AI. ZAIKS postuluje wzmocnienie obowiązku zapewnienia </w:t>
            </w:r>
            <w:r w:rsidRPr="00EB0F9E">
              <w:rPr>
                <w:rFonts w:ascii="Lato" w:hAnsi="Lato"/>
                <w:b/>
                <w:bCs/>
                <w:sz w:val="20"/>
              </w:rPr>
              <w:t>legalnego dostępu</w:t>
            </w:r>
            <w:r w:rsidRPr="00EB0F9E">
              <w:rPr>
                <w:rFonts w:ascii="Lato" w:hAnsi="Lato"/>
                <w:sz w:val="20"/>
              </w:rPr>
              <w:t xml:space="preserve"> do treści chronionych prawem autorskim, rezygnację z sformułowania o „rozsądnych staraniach” w zakresie przestrzegania prawa autorskiego oraz skuteczne respektowanie prawa do zastrzegania praw (</w:t>
            </w:r>
            <w:r w:rsidR="00E606EC" w:rsidRPr="00E606EC">
              <w:rPr>
                <w:rFonts w:ascii="Lato" w:hAnsi="Lato"/>
                <w:sz w:val="20"/>
              </w:rPr>
              <w:t>Text and Data Mining</w:t>
            </w:r>
            <w:r w:rsidR="00E606EC">
              <w:rPr>
                <w:rFonts w:ascii="Lato" w:hAnsi="Lato"/>
                <w:sz w:val="20"/>
              </w:rPr>
              <w:t xml:space="preserve"> - </w:t>
            </w:r>
            <w:r w:rsidRPr="00EB0F9E">
              <w:rPr>
                <w:rFonts w:ascii="Lato" w:hAnsi="Lato"/>
                <w:sz w:val="20"/>
              </w:rPr>
              <w:t>TDM).</w:t>
            </w:r>
          </w:p>
          <w:p w14:paraId="0318CDF1" w14:textId="35B0EE2E" w:rsidR="00E745E5" w:rsidRPr="00EB0F9E" w:rsidRDefault="00E745E5" w:rsidP="00EB0F9E">
            <w:pPr>
              <w:spacing w:after="0" w:line="240" w:lineRule="auto"/>
              <w:rPr>
                <w:rFonts w:ascii="Lato" w:hAnsi="Lato"/>
                <w:sz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9A14322" w14:textId="77777777" w:rsidR="00EB0F9E" w:rsidRPr="00EB0F9E" w:rsidRDefault="00EB0F9E" w:rsidP="00EB0F9E">
            <w:pPr>
              <w:spacing w:after="0" w:line="240" w:lineRule="auto"/>
              <w:rPr>
                <w:rFonts w:ascii="Lato" w:hAnsi="Lato"/>
                <w:sz w:val="20"/>
              </w:rPr>
            </w:pPr>
            <w:r w:rsidRPr="00EB0F9E">
              <w:rPr>
                <w:rFonts w:ascii="Lato" w:hAnsi="Lato"/>
                <w:sz w:val="20"/>
              </w:rPr>
              <w:lastRenderedPageBreak/>
              <w:t>ZAIKS</w:t>
            </w:r>
          </w:p>
        </w:tc>
      </w:tr>
      <w:tr w:rsidR="001003BC" w:rsidRPr="00EB0F9E" w14:paraId="2190C458" w14:textId="77777777" w:rsidTr="00EB0F9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09E06F" w14:textId="6EF4DEEC" w:rsidR="00EB0F9E" w:rsidRPr="00EB0F9E" w:rsidRDefault="00EB0F9E" w:rsidP="00EB0F9E">
            <w:pPr>
              <w:spacing w:after="0" w:line="240" w:lineRule="auto"/>
              <w:rPr>
                <w:rFonts w:ascii="Lato" w:hAnsi="Lato"/>
                <w:sz w:val="20"/>
              </w:rPr>
            </w:pPr>
            <w:r w:rsidRPr="00EB0F9E">
              <w:rPr>
                <w:rFonts w:ascii="Lato" w:hAnsi="Lato"/>
                <w:b/>
                <w:bCs/>
                <w:sz w:val="20"/>
              </w:rPr>
              <w:t xml:space="preserve">Przejrzystość i </w:t>
            </w:r>
            <w:r w:rsidR="00E606EC">
              <w:rPr>
                <w:rFonts w:ascii="Lato" w:hAnsi="Lato"/>
                <w:b/>
                <w:bCs/>
                <w:sz w:val="20"/>
              </w:rPr>
              <w:t>o</w:t>
            </w:r>
            <w:r w:rsidRPr="00EB0F9E">
              <w:rPr>
                <w:rFonts w:ascii="Lato" w:hAnsi="Lato"/>
                <w:b/>
                <w:bCs/>
                <w:sz w:val="20"/>
              </w:rPr>
              <w:t xml:space="preserve">znaczanie </w:t>
            </w:r>
            <w:r w:rsidR="00E606EC">
              <w:rPr>
                <w:rFonts w:ascii="Lato" w:hAnsi="Lato"/>
                <w:b/>
                <w:bCs/>
                <w:sz w:val="20"/>
              </w:rPr>
              <w:t>t</w:t>
            </w:r>
            <w:r w:rsidRPr="00EB0F9E">
              <w:rPr>
                <w:rFonts w:ascii="Lato" w:hAnsi="Lato"/>
                <w:b/>
                <w:bCs/>
                <w:sz w:val="20"/>
              </w:rPr>
              <w:t>reści (Art. 50)</w:t>
            </w:r>
          </w:p>
        </w:tc>
        <w:tc>
          <w:tcPr>
            <w:tcW w:w="0" w:type="auto"/>
            <w:vAlign w:val="center"/>
            <w:hideMark/>
          </w:tcPr>
          <w:p w14:paraId="13F3CB62" w14:textId="4A10DCF4" w:rsidR="00EB0F9E" w:rsidRPr="00EB0F9E" w:rsidRDefault="00EB0F9E" w:rsidP="00EB0F9E">
            <w:pPr>
              <w:spacing w:after="0" w:line="240" w:lineRule="auto"/>
              <w:rPr>
                <w:rFonts w:ascii="Lato" w:hAnsi="Lato"/>
                <w:sz w:val="20"/>
              </w:rPr>
            </w:pPr>
            <w:r w:rsidRPr="00EB0F9E">
              <w:rPr>
                <w:rFonts w:ascii="Lato" w:hAnsi="Lato"/>
                <w:b/>
                <w:bCs/>
                <w:sz w:val="20"/>
              </w:rPr>
              <w:t xml:space="preserve">Postuluje się, aby obowiązek oznaczania treści generowanych przez AI (watermarking) </w:t>
            </w:r>
            <w:r w:rsidR="003A41A7" w:rsidRPr="003A41A7">
              <w:rPr>
                <w:rFonts w:ascii="Lato" w:hAnsi="Lato"/>
                <w:b/>
                <w:bCs/>
                <w:sz w:val="20"/>
              </w:rPr>
              <w:t>był technicznie wykonalny i proporcjonalny</w:t>
            </w:r>
            <w:r w:rsidR="003A41A7" w:rsidRPr="003A41A7">
              <w:rPr>
                <w:rFonts w:ascii="Lato" w:hAnsi="Lato"/>
                <w:sz w:val="20"/>
              </w:rPr>
              <w:t>, dzięki czemu nie obciążałby niepotrzebnie firm</w:t>
            </w:r>
            <w:r w:rsidR="003A41A7">
              <w:rPr>
                <w:rFonts w:ascii="Lato" w:hAnsi="Lato"/>
                <w:sz w:val="20"/>
              </w:rPr>
              <w:t xml:space="preserve">. Stąd postulat, aby oznaczanie </w:t>
            </w:r>
            <w:r w:rsidR="003A41A7" w:rsidRPr="003A41A7">
              <w:rPr>
                <w:rFonts w:ascii="Lato" w:hAnsi="Lato"/>
                <w:sz w:val="20"/>
              </w:rPr>
              <w:t>treści spoczywało na „</w:t>
            </w:r>
            <w:r w:rsidRPr="00EB0F9E">
              <w:rPr>
                <w:rFonts w:ascii="Lato" w:hAnsi="Lato"/>
                <w:sz w:val="20"/>
              </w:rPr>
              <w:t>dostawcach</w:t>
            </w:r>
            <w:r w:rsidR="00EF0DBF" w:rsidRPr="003A41A7">
              <w:rPr>
                <w:rFonts w:ascii="Lato" w:hAnsi="Lato"/>
                <w:sz w:val="20"/>
              </w:rPr>
              <w:t xml:space="preserve"> </w:t>
            </w:r>
            <w:r w:rsidRPr="00EB0F9E">
              <w:rPr>
                <w:rFonts w:ascii="Lato" w:hAnsi="Lato"/>
                <w:sz w:val="20"/>
              </w:rPr>
              <w:t>frameworków/platform agentowych</w:t>
            </w:r>
            <w:r w:rsidR="009D1463">
              <w:rPr>
                <w:rFonts w:ascii="Lato" w:hAnsi="Lato"/>
                <w:sz w:val="20"/>
              </w:rPr>
              <w:t>”</w:t>
            </w:r>
            <w:r w:rsidRPr="00EB0F9E">
              <w:rPr>
                <w:rFonts w:ascii="Lato" w:hAnsi="Lato"/>
                <w:sz w:val="20"/>
              </w:rPr>
              <w:t>, a nie na użytkownikach biznesowych, oraz aby był stosowany proporcjonalnie (np. bez wymogu znaku wodnego w przypadku wewnętrznych raportów).</w:t>
            </w:r>
          </w:p>
        </w:tc>
        <w:tc>
          <w:tcPr>
            <w:tcW w:w="0" w:type="auto"/>
            <w:vAlign w:val="center"/>
            <w:hideMark/>
          </w:tcPr>
          <w:p w14:paraId="0ACE25E7" w14:textId="5599903B" w:rsidR="00EB0F9E" w:rsidRPr="00EB0F9E" w:rsidRDefault="00EB0F9E" w:rsidP="00EB0F9E">
            <w:pPr>
              <w:spacing w:after="0" w:line="240" w:lineRule="auto"/>
              <w:rPr>
                <w:rFonts w:ascii="Lato" w:hAnsi="Lato"/>
                <w:sz w:val="20"/>
              </w:rPr>
            </w:pPr>
            <w:r w:rsidRPr="00EB0F9E">
              <w:rPr>
                <w:rFonts w:ascii="Lato" w:hAnsi="Lato"/>
                <w:sz w:val="20"/>
              </w:rPr>
              <w:t xml:space="preserve">e-izba, </w:t>
            </w:r>
            <w:r w:rsidR="000775F0">
              <w:rPr>
                <w:rFonts w:ascii="Lato" w:hAnsi="Lato"/>
                <w:sz w:val="20"/>
              </w:rPr>
              <w:t>j</w:t>
            </w:r>
            <w:r w:rsidR="000775F0" w:rsidRPr="000775F0">
              <w:rPr>
                <w:rFonts w:ascii="Lato" w:hAnsi="Lato"/>
                <w:sz w:val="20"/>
              </w:rPr>
              <w:t>edna z firm należących do Związku IAB Polska</w:t>
            </w:r>
          </w:p>
        </w:tc>
      </w:tr>
    </w:tbl>
    <w:p w14:paraId="3EB68D20" w14:textId="77777777" w:rsidR="00E606EC" w:rsidRPr="00EF0DBF" w:rsidRDefault="00E606EC" w:rsidP="00EB0F9E">
      <w:pPr>
        <w:spacing w:after="0" w:line="240" w:lineRule="auto"/>
        <w:rPr>
          <w:rFonts w:ascii="Lato" w:hAnsi="Lato"/>
          <w:b/>
          <w:bCs/>
          <w:sz w:val="20"/>
        </w:rPr>
      </w:pPr>
    </w:p>
    <w:p w14:paraId="447C1806" w14:textId="77777777" w:rsidR="00E606EC" w:rsidRPr="00EF0DBF" w:rsidRDefault="00E606EC" w:rsidP="00EB0F9E">
      <w:pPr>
        <w:spacing w:after="0" w:line="240" w:lineRule="auto"/>
        <w:rPr>
          <w:rFonts w:ascii="Lato" w:hAnsi="Lato"/>
          <w:b/>
          <w:bCs/>
          <w:sz w:val="20"/>
        </w:rPr>
      </w:pPr>
    </w:p>
    <w:p w14:paraId="49C92B00" w14:textId="50DF1D63" w:rsidR="00EB0F9E" w:rsidRDefault="00EB0F9E" w:rsidP="003A41A7">
      <w:pPr>
        <w:shd w:val="clear" w:color="auto" w:fill="DEEAF6" w:themeFill="accent1" w:themeFillTint="33"/>
        <w:spacing w:after="0" w:line="240" w:lineRule="auto"/>
        <w:rPr>
          <w:rFonts w:ascii="Lato" w:hAnsi="Lato"/>
          <w:b/>
          <w:bCs/>
          <w:sz w:val="20"/>
          <w:lang w:val="en-GB"/>
        </w:rPr>
      </w:pPr>
      <w:r w:rsidRPr="00EB0F9E">
        <w:rPr>
          <w:rFonts w:ascii="Lato" w:hAnsi="Lato"/>
          <w:b/>
          <w:bCs/>
          <w:sz w:val="20"/>
          <w:lang w:val="en-GB"/>
        </w:rPr>
        <w:t xml:space="preserve">Omnibus </w:t>
      </w:r>
      <w:r w:rsidR="003A41A7">
        <w:rPr>
          <w:rFonts w:ascii="Lato" w:hAnsi="Lato"/>
          <w:b/>
          <w:bCs/>
          <w:sz w:val="20"/>
          <w:lang w:val="en-GB"/>
        </w:rPr>
        <w:t>c</w:t>
      </w:r>
      <w:r w:rsidRPr="00EB0F9E">
        <w:rPr>
          <w:rFonts w:ascii="Lato" w:hAnsi="Lato"/>
          <w:b/>
          <w:bCs/>
          <w:sz w:val="20"/>
          <w:lang w:val="en-GB"/>
        </w:rPr>
        <w:t>yfrowy (RODO, Data Act, NIS2, e-Privacy)</w:t>
      </w:r>
    </w:p>
    <w:p w14:paraId="23E14830" w14:textId="77777777" w:rsidR="003A41A7" w:rsidRPr="00EB0F9E" w:rsidRDefault="003A41A7" w:rsidP="00EB0F9E">
      <w:pPr>
        <w:spacing w:after="0" w:line="240" w:lineRule="auto"/>
        <w:rPr>
          <w:rFonts w:ascii="Lato" w:hAnsi="Lato"/>
          <w:b/>
          <w:bCs/>
          <w:sz w:val="20"/>
          <w:lang w:val="en-GB"/>
        </w:rPr>
      </w:pPr>
    </w:p>
    <w:p w14:paraId="45838055" w14:textId="77777777" w:rsidR="00EB0F9E" w:rsidRDefault="00EB0F9E" w:rsidP="00EB0F9E">
      <w:pPr>
        <w:spacing w:after="0" w:line="240" w:lineRule="auto"/>
        <w:rPr>
          <w:rFonts w:ascii="Lato" w:hAnsi="Lato"/>
          <w:sz w:val="20"/>
        </w:rPr>
      </w:pPr>
      <w:r w:rsidRPr="00EB0F9E">
        <w:rPr>
          <w:rFonts w:ascii="Lato" w:hAnsi="Lato"/>
          <w:b/>
          <w:bCs/>
          <w:sz w:val="20"/>
        </w:rPr>
        <w:t>Organizacje społeczeństwa obywatelskiego (Panoptykon) argumentują, że propozycje deregulacyjne</w:t>
      </w:r>
      <w:r w:rsidRPr="00EB0F9E">
        <w:rPr>
          <w:rFonts w:ascii="Lato" w:hAnsi="Lato"/>
          <w:sz w:val="20"/>
        </w:rPr>
        <w:t xml:space="preserve"> </w:t>
      </w:r>
      <w:r w:rsidRPr="00EB0F9E">
        <w:rPr>
          <w:rFonts w:ascii="Lato" w:hAnsi="Lato"/>
          <w:b/>
          <w:bCs/>
          <w:sz w:val="20"/>
        </w:rPr>
        <w:t>nie są oparte na dowodach</w:t>
      </w:r>
      <w:r w:rsidRPr="00EB0F9E">
        <w:rPr>
          <w:rFonts w:ascii="Lato" w:hAnsi="Lato"/>
          <w:sz w:val="20"/>
        </w:rPr>
        <w:t xml:space="preserve"> i wprowadzają zmiany w podstawowych zasadach ochrony prywatności, </w:t>
      </w:r>
      <w:r w:rsidRPr="00EB0F9E">
        <w:rPr>
          <w:rFonts w:ascii="Lato" w:hAnsi="Lato"/>
          <w:b/>
          <w:bCs/>
          <w:sz w:val="20"/>
        </w:rPr>
        <w:t>osłabiając standardy</w:t>
      </w:r>
      <w:r w:rsidRPr="00EB0F9E">
        <w:rPr>
          <w:rFonts w:ascii="Lato" w:hAnsi="Lato"/>
          <w:sz w:val="20"/>
        </w:rPr>
        <w:t xml:space="preserve">. </w:t>
      </w:r>
      <w:r w:rsidRPr="00EB0F9E">
        <w:rPr>
          <w:rFonts w:ascii="Lato" w:hAnsi="Lato"/>
          <w:b/>
          <w:bCs/>
          <w:sz w:val="20"/>
        </w:rPr>
        <w:t>Środowisko biznesowe</w:t>
      </w:r>
      <w:r w:rsidRPr="00EB0F9E">
        <w:rPr>
          <w:rFonts w:ascii="Lato" w:hAnsi="Lato"/>
          <w:sz w:val="20"/>
        </w:rPr>
        <w:t xml:space="preserve"> (PIIT, AI Chamber) uważa, że zmiany są </w:t>
      </w:r>
      <w:r w:rsidRPr="00EB0F9E">
        <w:rPr>
          <w:rFonts w:ascii="Lato" w:hAnsi="Lato"/>
          <w:b/>
          <w:bCs/>
          <w:sz w:val="20"/>
        </w:rPr>
        <w:t>za mało ambitne</w:t>
      </w:r>
      <w:r w:rsidRPr="00EB0F9E">
        <w:rPr>
          <w:rFonts w:ascii="Lato" w:hAnsi="Lato"/>
          <w:sz w:val="20"/>
        </w:rPr>
        <w:t>.</w:t>
      </w:r>
    </w:p>
    <w:p w14:paraId="6C017A8A" w14:textId="77777777" w:rsidR="003A41A7" w:rsidRPr="00EB0F9E" w:rsidRDefault="003A41A7" w:rsidP="00EB0F9E">
      <w:pPr>
        <w:spacing w:after="0" w:line="240" w:lineRule="auto"/>
        <w:rPr>
          <w:rFonts w:ascii="Lato" w:hAnsi="Lato"/>
          <w:sz w:val="20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9"/>
        <w:gridCol w:w="4266"/>
        <w:gridCol w:w="1611"/>
      </w:tblGrid>
      <w:tr w:rsidR="00E745E5" w:rsidRPr="00EB0F9E" w14:paraId="0B7C9821" w14:textId="77777777" w:rsidTr="003A41A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DF14D8" w14:textId="77777777" w:rsidR="00EB0F9E" w:rsidRPr="00EB0F9E" w:rsidRDefault="00EB0F9E" w:rsidP="00EB0F9E">
            <w:pPr>
              <w:spacing w:after="0" w:line="240" w:lineRule="auto"/>
              <w:rPr>
                <w:rFonts w:ascii="Lato" w:hAnsi="Lato"/>
                <w:b/>
                <w:bCs/>
                <w:sz w:val="20"/>
              </w:rPr>
            </w:pPr>
            <w:r w:rsidRPr="00EB0F9E">
              <w:rPr>
                <w:rFonts w:ascii="Lato" w:hAnsi="Lato"/>
                <w:b/>
                <w:bCs/>
                <w:sz w:val="20"/>
              </w:rPr>
              <w:t>Temat</w:t>
            </w:r>
          </w:p>
        </w:tc>
        <w:tc>
          <w:tcPr>
            <w:tcW w:w="0" w:type="auto"/>
            <w:vAlign w:val="center"/>
            <w:hideMark/>
          </w:tcPr>
          <w:p w14:paraId="692F85BF" w14:textId="50224C99" w:rsidR="00EB0F9E" w:rsidRPr="00EB0F9E" w:rsidRDefault="00EB0F9E" w:rsidP="00EB0F9E">
            <w:pPr>
              <w:spacing w:after="0" w:line="240" w:lineRule="auto"/>
              <w:rPr>
                <w:rFonts w:ascii="Lato" w:hAnsi="Lato"/>
                <w:b/>
                <w:bCs/>
                <w:sz w:val="20"/>
              </w:rPr>
            </w:pPr>
            <w:r w:rsidRPr="00EB0F9E">
              <w:rPr>
                <w:rFonts w:ascii="Lato" w:hAnsi="Lato"/>
                <w:b/>
                <w:bCs/>
                <w:sz w:val="20"/>
              </w:rPr>
              <w:t xml:space="preserve">Postulaty i </w:t>
            </w:r>
            <w:r w:rsidR="003A41A7">
              <w:rPr>
                <w:rFonts w:ascii="Lato" w:hAnsi="Lato"/>
                <w:b/>
                <w:bCs/>
                <w:sz w:val="20"/>
              </w:rPr>
              <w:t>z</w:t>
            </w:r>
            <w:r w:rsidRPr="00EB0F9E">
              <w:rPr>
                <w:rFonts w:ascii="Lato" w:hAnsi="Lato"/>
                <w:b/>
                <w:bCs/>
                <w:sz w:val="20"/>
              </w:rPr>
              <w:t>astrzeżenia</w:t>
            </w:r>
          </w:p>
        </w:tc>
        <w:tc>
          <w:tcPr>
            <w:tcW w:w="0" w:type="auto"/>
            <w:vAlign w:val="center"/>
            <w:hideMark/>
          </w:tcPr>
          <w:p w14:paraId="5F2AE413" w14:textId="3AB2553F" w:rsidR="00EB0F9E" w:rsidRPr="00EB0F9E" w:rsidRDefault="00EB0F9E" w:rsidP="00EB0F9E">
            <w:pPr>
              <w:spacing w:after="0" w:line="240" w:lineRule="auto"/>
              <w:rPr>
                <w:rFonts w:ascii="Lato" w:hAnsi="Lato"/>
                <w:b/>
                <w:bCs/>
                <w:sz w:val="20"/>
              </w:rPr>
            </w:pPr>
            <w:r w:rsidRPr="00EB0F9E">
              <w:rPr>
                <w:rFonts w:ascii="Lato" w:hAnsi="Lato"/>
                <w:b/>
                <w:bCs/>
                <w:sz w:val="20"/>
              </w:rPr>
              <w:t xml:space="preserve">Podmioty </w:t>
            </w:r>
            <w:r w:rsidR="003A41A7">
              <w:rPr>
                <w:rFonts w:ascii="Lato" w:hAnsi="Lato"/>
                <w:b/>
                <w:bCs/>
                <w:sz w:val="20"/>
              </w:rPr>
              <w:t>z</w:t>
            </w:r>
            <w:r w:rsidRPr="00EB0F9E">
              <w:rPr>
                <w:rFonts w:ascii="Lato" w:hAnsi="Lato"/>
                <w:b/>
                <w:bCs/>
                <w:sz w:val="20"/>
              </w:rPr>
              <w:t>głaszające</w:t>
            </w:r>
          </w:p>
        </w:tc>
      </w:tr>
      <w:tr w:rsidR="00CC7E73" w:rsidRPr="00EB0F9E" w14:paraId="3DC2F55B" w14:textId="77777777" w:rsidTr="0042493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3DB163" w14:textId="4D42CB2A" w:rsidR="001E5CC7" w:rsidRPr="00EB0F9E" w:rsidRDefault="00CC7E73" w:rsidP="00424939">
            <w:pPr>
              <w:spacing w:after="0" w:line="240" w:lineRule="auto"/>
              <w:rPr>
                <w:rFonts w:ascii="Lato" w:hAnsi="Lato"/>
                <w:sz w:val="20"/>
              </w:rPr>
            </w:pPr>
            <w:r>
              <w:rPr>
                <w:rFonts w:ascii="Lato" w:hAnsi="Lato"/>
                <w:b/>
                <w:bCs/>
                <w:sz w:val="20"/>
              </w:rPr>
              <w:t>D</w:t>
            </w:r>
            <w:r w:rsidR="001E5CC7" w:rsidRPr="00EB0F9E">
              <w:rPr>
                <w:rFonts w:ascii="Lato" w:hAnsi="Lato"/>
                <w:b/>
                <w:bCs/>
                <w:sz w:val="20"/>
              </w:rPr>
              <w:t xml:space="preserve">efinicja </w:t>
            </w:r>
            <w:r w:rsidR="001E5CC7">
              <w:rPr>
                <w:rFonts w:ascii="Lato" w:hAnsi="Lato"/>
                <w:b/>
                <w:bCs/>
                <w:sz w:val="20"/>
              </w:rPr>
              <w:t>d</w:t>
            </w:r>
            <w:r w:rsidR="001E5CC7" w:rsidRPr="00EB0F9E">
              <w:rPr>
                <w:rFonts w:ascii="Lato" w:hAnsi="Lato"/>
                <w:b/>
                <w:bCs/>
                <w:sz w:val="20"/>
              </w:rPr>
              <w:t xml:space="preserve">anych </w:t>
            </w:r>
            <w:r w:rsidR="001E5CC7">
              <w:rPr>
                <w:rFonts w:ascii="Lato" w:hAnsi="Lato"/>
                <w:b/>
                <w:bCs/>
                <w:sz w:val="20"/>
              </w:rPr>
              <w:t>o</w:t>
            </w:r>
            <w:r w:rsidR="001E5CC7" w:rsidRPr="00EB0F9E">
              <w:rPr>
                <w:rFonts w:ascii="Lato" w:hAnsi="Lato"/>
                <w:b/>
                <w:bCs/>
                <w:sz w:val="20"/>
              </w:rPr>
              <w:t>sobowych (Art. 4</w:t>
            </w:r>
            <w:r>
              <w:rPr>
                <w:rFonts w:ascii="Lato" w:hAnsi="Lato"/>
                <w:b/>
                <w:bCs/>
                <w:sz w:val="20"/>
              </w:rPr>
              <w:t xml:space="preserve"> RODO</w:t>
            </w:r>
            <w:r w:rsidR="001E5CC7" w:rsidRPr="00EB0F9E">
              <w:rPr>
                <w:rFonts w:ascii="Lato" w:hAnsi="Lato"/>
                <w:b/>
                <w:bCs/>
                <w:sz w:val="20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55CAE8CC" w14:textId="77777777" w:rsidR="001E5CC7" w:rsidRDefault="001E5CC7" w:rsidP="00424939">
            <w:pPr>
              <w:spacing w:after="0" w:line="240" w:lineRule="auto"/>
              <w:rPr>
                <w:rFonts w:ascii="Lato" w:hAnsi="Lato"/>
                <w:sz w:val="20"/>
              </w:rPr>
            </w:pPr>
            <w:r w:rsidRPr="00EB0F9E">
              <w:rPr>
                <w:rFonts w:ascii="Lato" w:hAnsi="Lato"/>
                <w:b/>
                <w:bCs/>
                <w:sz w:val="20"/>
              </w:rPr>
              <w:t>Meta i AmCham popierają zmianę definicji na</w:t>
            </w:r>
            <w:r w:rsidRPr="00EB0F9E">
              <w:rPr>
                <w:rFonts w:ascii="Lato" w:hAnsi="Lato"/>
                <w:sz w:val="20"/>
              </w:rPr>
              <w:t xml:space="preserve"> </w:t>
            </w:r>
            <w:r w:rsidRPr="00EB0F9E">
              <w:rPr>
                <w:rFonts w:ascii="Lato" w:hAnsi="Lato"/>
                <w:b/>
                <w:bCs/>
                <w:sz w:val="20"/>
              </w:rPr>
              <w:t>identyfikowalność relatywną</w:t>
            </w:r>
            <w:r w:rsidRPr="00EB0F9E">
              <w:rPr>
                <w:rFonts w:ascii="Lato" w:hAnsi="Lato"/>
                <w:sz w:val="20"/>
              </w:rPr>
              <w:t xml:space="preserve"> (ocenianą na podstawie środków dostępnych administratorowi), zgodną z orzecznictwem TSUE. </w:t>
            </w:r>
          </w:p>
          <w:p w14:paraId="6451BF09" w14:textId="77777777" w:rsidR="001E5CC7" w:rsidRDefault="001E5CC7" w:rsidP="00424939">
            <w:pPr>
              <w:spacing w:after="0" w:line="240" w:lineRule="auto"/>
              <w:rPr>
                <w:rFonts w:ascii="Lato" w:hAnsi="Lato"/>
                <w:sz w:val="20"/>
              </w:rPr>
            </w:pPr>
          </w:p>
          <w:p w14:paraId="2C5B608E" w14:textId="77777777" w:rsidR="001E5CC7" w:rsidRDefault="001E5CC7" w:rsidP="00424939">
            <w:pPr>
              <w:spacing w:after="0" w:line="240" w:lineRule="auto"/>
              <w:rPr>
                <w:rFonts w:ascii="Lato" w:hAnsi="Lato"/>
                <w:sz w:val="20"/>
              </w:rPr>
            </w:pPr>
            <w:r w:rsidRPr="00EB0F9E">
              <w:rPr>
                <w:rFonts w:ascii="Lato" w:hAnsi="Lato"/>
                <w:b/>
                <w:bCs/>
                <w:sz w:val="20"/>
              </w:rPr>
              <w:t>Panoptykon krytykuje tę zmianę</w:t>
            </w:r>
            <w:r w:rsidRPr="00EB0F9E">
              <w:rPr>
                <w:rFonts w:ascii="Lato" w:hAnsi="Lato"/>
                <w:sz w:val="20"/>
              </w:rPr>
              <w:t xml:space="preserve">, twierdząc, że wprowadza ona </w:t>
            </w:r>
            <w:r w:rsidRPr="00EB0F9E">
              <w:rPr>
                <w:rFonts w:ascii="Lato" w:hAnsi="Lato"/>
                <w:b/>
                <w:bCs/>
                <w:sz w:val="20"/>
              </w:rPr>
              <w:t>uznaniowość interpretacyjną</w:t>
            </w:r>
            <w:r w:rsidRPr="00EB0F9E">
              <w:rPr>
                <w:rFonts w:ascii="Lato" w:hAnsi="Lato"/>
                <w:sz w:val="20"/>
              </w:rPr>
              <w:t>, pozwalającą administratorom arbitralnie wyłączać dane spod ochrony RODO i tworzy „rozszczelnienie fundamentów RODO”.</w:t>
            </w:r>
          </w:p>
          <w:p w14:paraId="6E9D8012" w14:textId="77777777" w:rsidR="00E05218" w:rsidRDefault="00E05218" w:rsidP="00424939">
            <w:pPr>
              <w:spacing w:after="0" w:line="240" w:lineRule="auto"/>
              <w:rPr>
                <w:rFonts w:ascii="Lato" w:hAnsi="Lato"/>
                <w:sz w:val="20"/>
              </w:rPr>
            </w:pPr>
          </w:p>
          <w:p w14:paraId="7A8448DA" w14:textId="4BFD1D03" w:rsidR="007F4FF5" w:rsidRDefault="007F4FF5" w:rsidP="00424939">
            <w:pPr>
              <w:spacing w:after="0" w:line="240" w:lineRule="auto"/>
              <w:rPr>
                <w:rFonts w:ascii="Lato" w:hAnsi="Lato"/>
                <w:sz w:val="20"/>
              </w:rPr>
            </w:pPr>
            <w:r>
              <w:rPr>
                <w:rFonts w:ascii="Lato" w:hAnsi="Lato"/>
                <w:sz w:val="20"/>
              </w:rPr>
              <w:t>Panoptykon:</w:t>
            </w:r>
          </w:p>
          <w:p w14:paraId="132440A1" w14:textId="100B4C1B" w:rsidR="007F4FF5" w:rsidRDefault="007F4FF5" w:rsidP="00424939">
            <w:pPr>
              <w:spacing w:after="0" w:line="240" w:lineRule="auto"/>
              <w:rPr>
                <w:rFonts w:ascii="Lato" w:hAnsi="Lato"/>
                <w:sz w:val="20"/>
              </w:rPr>
            </w:pPr>
            <w:r>
              <w:rPr>
                <w:rFonts w:ascii="Lato" w:hAnsi="Lato"/>
                <w:sz w:val="20"/>
              </w:rPr>
              <w:t xml:space="preserve">Zmiana def., do której </w:t>
            </w:r>
            <w:r w:rsidR="00CD3753">
              <w:rPr>
                <w:rFonts w:ascii="Lato" w:hAnsi="Lato"/>
                <w:sz w:val="20"/>
              </w:rPr>
              <w:t>ludzie się przyzwyczaili w ciągu ostatnich kilku lat</w:t>
            </w:r>
            <w:r w:rsidR="005F68F5">
              <w:rPr>
                <w:rFonts w:ascii="Lato" w:hAnsi="Lato"/>
                <w:sz w:val="20"/>
              </w:rPr>
              <w:t>.</w:t>
            </w:r>
            <w:r w:rsidR="00CD3753">
              <w:rPr>
                <w:rFonts w:ascii="Lato" w:hAnsi="Lato"/>
                <w:sz w:val="20"/>
              </w:rPr>
              <w:t xml:space="preserve"> </w:t>
            </w:r>
          </w:p>
          <w:p w14:paraId="498A9301" w14:textId="77777777" w:rsidR="00CD3753" w:rsidRDefault="00CD3753" w:rsidP="00424939">
            <w:pPr>
              <w:spacing w:after="0" w:line="240" w:lineRule="auto"/>
              <w:rPr>
                <w:rFonts w:ascii="Lato" w:hAnsi="Lato"/>
                <w:sz w:val="20"/>
              </w:rPr>
            </w:pPr>
          </w:p>
          <w:p w14:paraId="2F1AAFCF" w14:textId="45A4040B" w:rsidR="00E05218" w:rsidRPr="00EB0F9E" w:rsidRDefault="00E05218" w:rsidP="00287680">
            <w:pPr>
              <w:spacing w:after="0" w:line="240" w:lineRule="auto"/>
              <w:rPr>
                <w:rFonts w:ascii="Lato" w:hAnsi="Lato"/>
                <w:sz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DD7757D" w14:textId="77777777" w:rsidR="001E5CC7" w:rsidRPr="00EB0F9E" w:rsidRDefault="001E5CC7" w:rsidP="00424939">
            <w:pPr>
              <w:spacing w:after="0" w:line="240" w:lineRule="auto"/>
              <w:rPr>
                <w:rFonts w:ascii="Lato" w:hAnsi="Lato"/>
                <w:sz w:val="20"/>
              </w:rPr>
            </w:pPr>
            <w:r w:rsidRPr="00EB0F9E">
              <w:rPr>
                <w:rFonts w:ascii="Lato" w:hAnsi="Lato"/>
                <w:sz w:val="20"/>
              </w:rPr>
              <w:t>Meta, AmCham, Panoptykon</w:t>
            </w:r>
          </w:p>
        </w:tc>
      </w:tr>
      <w:tr w:rsidR="00CC7E73" w:rsidRPr="00EB0F9E" w14:paraId="50F127FF" w14:textId="77777777" w:rsidTr="00A47FE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EDDA3B" w14:textId="69571AA5" w:rsidR="00CC7E73" w:rsidRDefault="00CC7E73" w:rsidP="00A47FED">
            <w:pPr>
              <w:spacing w:after="0" w:line="240" w:lineRule="auto"/>
              <w:rPr>
                <w:rFonts w:ascii="Lato" w:hAnsi="Lato"/>
                <w:b/>
                <w:bCs/>
                <w:sz w:val="20"/>
              </w:rPr>
            </w:pPr>
            <w:r>
              <w:rPr>
                <w:rFonts w:ascii="Lato" w:hAnsi="Lato"/>
                <w:b/>
                <w:bCs/>
                <w:sz w:val="20"/>
              </w:rPr>
              <w:t>P</w:t>
            </w:r>
            <w:r w:rsidR="001E5CC7" w:rsidRPr="00D0585A">
              <w:rPr>
                <w:rFonts w:ascii="Lato" w:hAnsi="Lato"/>
                <w:b/>
                <w:bCs/>
                <w:sz w:val="20"/>
              </w:rPr>
              <w:t>ojedynczy pun</w:t>
            </w:r>
            <w:r w:rsidR="001E5CC7">
              <w:rPr>
                <w:rFonts w:ascii="Lato" w:hAnsi="Lato"/>
                <w:b/>
                <w:bCs/>
                <w:sz w:val="20"/>
              </w:rPr>
              <w:t>kt zgłosze</w:t>
            </w:r>
            <w:r>
              <w:rPr>
                <w:rFonts w:ascii="Lato" w:hAnsi="Lato"/>
                <w:b/>
                <w:bCs/>
                <w:sz w:val="20"/>
              </w:rPr>
              <w:t>ń incydentów</w:t>
            </w:r>
            <w:r w:rsidR="001E5CC7">
              <w:rPr>
                <w:rFonts w:ascii="Lato" w:hAnsi="Lato"/>
                <w:b/>
                <w:bCs/>
                <w:sz w:val="20"/>
              </w:rPr>
              <w:t xml:space="preserve"> (</w:t>
            </w:r>
            <w:r w:rsidR="001E5CC7" w:rsidRPr="00EB0F9E">
              <w:rPr>
                <w:rFonts w:ascii="Lato" w:hAnsi="Lato"/>
                <w:b/>
                <w:bCs/>
                <w:sz w:val="20"/>
              </w:rPr>
              <w:t xml:space="preserve">Single Entry Point </w:t>
            </w:r>
            <w:r w:rsidR="001E5CC7">
              <w:rPr>
                <w:rFonts w:ascii="Lato" w:hAnsi="Lato"/>
                <w:b/>
                <w:bCs/>
                <w:sz w:val="20"/>
              </w:rPr>
              <w:t xml:space="preserve">- </w:t>
            </w:r>
            <w:r w:rsidR="001E5CC7" w:rsidRPr="00EB0F9E">
              <w:rPr>
                <w:rFonts w:ascii="Lato" w:hAnsi="Lato"/>
                <w:b/>
                <w:bCs/>
                <w:sz w:val="20"/>
              </w:rPr>
              <w:t>SEP)</w:t>
            </w:r>
          </w:p>
          <w:p w14:paraId="61089320" w14:textId="0B351EDE" w:rsidR="001E5CC7" w:rsidRPr="00EB0F9E" w:rsidRDefault="00CC7E73" w:rsidP="00A47FED">
            <w:pPr>
              <w:spacing w:after="0" w:line="240" w:lineRule="auto"/>
              <w:rPr>
                <w:rFonts w:ascii="Lato" w:hAnsi="Lato"/>
                <w:sz w:val="20"/>
              </w:rPr>
            </w:pPr>
            <w:r>
              <w:rPr>
                <w:rFonts w:ascii="Lato" w:hAnsi="Lato"/>
                <w:b/>
                <w:bCs/>
                <w:sz w:val="20"/>
              </w:rPr>
              <w:t>(art. 15a NIS2)</w:t>
            </w:r>
          </w:p>
        </w:tc>
        <w:tc>
          <w:tcPr>
            <w:tcW w:w="0" w:type="auto"/>
            <w:vAlign w:val="center"/>
            <w:hideMark/>
          </w:tcPr>
          <w:p w14:paraId="5D151E70" w14:textId="77777777" w:rsidR="001E5CC7" w:rsidRDefault="001E5CC7" w:rsidP="00A47FED">
            <w:pPr>
              <w:spacing w:after="0" w:line="240" w:lineRule="auto"/>
              <w:rPr>
                <w:rFonts w:ascii="Lato" w:hAnsi="Lato"/>
                <w:sz w:val="20"/>
              </w:rPr>
            </w:pPr>
            <w:r w:rsidRPr="00EB0F9E">
              <w:rPr>
                <w:rFonts w:ascii="Lato" w:hAnsi="Lato"/>
                <w:sz w:val="20"/>
              </w:rPr>
              <w:t xml:space="preserve">Podmioty biznesowe (PIIT, KIGEiT, AmCham) </w:t>
            </w:r>
            <w:r w:rsidRPr="00EB0F9E">
              <w:rPr>
                <w:rFonts w:ascii="Lato" w:hAnsi="Lato"/>
                <w:b/>
                <w:bCs/>
                <w:sz w:val="20"/>
              </w:rPr>
              <w:t xml:space="preserve">popierają ideę </w:t>
            </w:r>
            <w:r>
              <w:rPr>
                <w:rFonts w:ascii="Lato" w:hAnsi="Lato"/>
                <w:b/>
                <w:bCs/>
                <w:sz w:val="20"/>
              </w:rPr>
              <w:t>pojedynczego</w:t>
            </w:r>
            <w:r w:rsidRPr="00EB0F9E">
              <w:rPr>
                <w:rFonts w:ascii="Lato" w:hAnsi="Lato"/>
                <w:b/>
                <w:bCs/>
                <w:sz w:val="20"/>
              </w:rPr>
              <w:t xml:space="preserve"> </w:t>
            </w:r>
            <w:r>
              <w:rPr>
                <w:rFonts w:ascii="Lato" w:hAnsi="Lato"/>
                <w:b/>
                <w:bCs/>
                <w:sz w:val="20"/>
              </w:rPr>
              <w:t>p</w:t>
            </w:r>
            <w:r w:rsidRPr="00EB0F9E">
              <w:rPr>
                <w:rFonts w:ascii="Lato" w:hAnsi="Lato"/>
                <w:b/>
                <w:bCs/>
                <w:sz w:val="20"/>
              </w:rPr>
              <w:t xml:space="preserve">unktu </w:t>
            </w:r>
            <w:r>
              <w:rPr>
                <w:rFonts w:ascii="Lato" w:hAnsi="Lato"/>
                <w:b/>
                <w:bCs/>
                <w:sz w:val="20"/>
              </w:rPr>
              <w:t>z</w:t>
            </w:r>
            <w:r w:rsidRPr="00EB0F9E">
              <w:rPr>
                <w:rFonts w:ascii="Lato" w:hAnsi="Lato"/>
                <w:b/>
                <w:bCs/>
                <w:sz w:val="20"/>
              </w:rPr>
              <w:t xml:space="preserve">głaszania </w:t>
            </w:r>
            <w:r>
              <w:rPr>
                <w:rFonts w:ascii="Lato" w:hAnsi="Lato"/>
                <w:b/>
                <w:bCs/>
                <w:sz w:val="20"/>
              </w:rPr>
              <w:t>i</w:t>
            </w:r>
            <w:r w:rsidRPr="00EB0F9E">
              <w:rPr>
                <w:rFonts w:ascii="Lato" w:hAnsi="Lato"/>
                <w:b/>
                <w:bCs/>
                <w:sz w:val="20"/>
              </w:rPr>
              <w:t>ncydentów (SEP)</w:t>
            </w:r>
            <w:r w:rsidRPr="00EB0F9E">
              <w:rPr>
                <w:rFonts w:ascii="Lato" w:hAnsi="Lato"/>
                <w:sz w:val="20"/>
              </w:rPr>
              <w:t xml:space="preserve"> zarządzanego przez ENISA. </w:t>
            </w:r>
            <w:r w:rsidRPr="00EB0F9E">
              <w:rPr>
                <w:rFonts w:ascii="Lato" w:hAnsi="Lato"/>
                <w:b/>
                <w:bCs/>
                <w:sz w:val="20"/>
              </w:rPr>
              <w:t>Krytyka dotyczy jednak wykonalności wdrożenia</w:t>
            </w:r>
            <w:r w:rsidRPr="00EB0F9E">
              <w:rPr>
                <w:rFonts w:ascii="Lato" w:hAnsi="Lato"/>
                <w:sz w:val="20"/>
              </w:rPr>
              <w:t xml:space="preserve">: obawiają się, że brak koordynacji z istniejącymi krajowymi systemami (np. polskim </w:t>
            </w:r>
            <w:r w:rsidRPr="00EB0F9E">
              <w:rPr>
                <w:rFonts w:ascii="Lato" w:hAnsi="Lato"/>
                <w:sz w:val="20"/>
              </w:rPr>
              <w:lastRenderedPageBreak/>
              <w:t xml:space="preserve">S46) doprowadzi do </w:t>
            </w:r>
            <w:r w:rsidRPr="00EB0F9E">
              <w:rPr>
                <w:rFonts w:ascii="Lato" w:hAnsi="Lato"/>
                <w:b/>
                <w:bCs/>
                <w:sz w:val="20"/>
              </w:rPr>
              <w:t>kosztownej i skomplikowanej migracji</w:t>
            </w:r>
            <w:r w:rsidRPr="00EB0F9E">
              <w:rPr>
                <w:rFonts w:ascii="Lato" w:hAnsi="Lato"/>
                <w:sz w:val="20"/>
              </w:rPr>
              <w:t xml:space="preserve"> w dwóch etapach. Wzywają do </w:t>
            </w:r>
            <w:r w:rsidRPr="00EB0F9E">
              <w:rPr>
                <w:rFonts w:ascii="Lato" w:hAnsi="Lato"/>
                <w:b/>
                <w:bCs/>
                <w:sz w:val="20"/>
              </w:rPr>
              <w:t>harmonizacji definicji incydentów</w:t>
            </w:r>
            <w:r w:rsidRPr="00EB0F9E">
              <w:rPr>
                <w:rFonts w:ascii="Lato" w:hAnsi="Lato"/>
                <w:sz w:val="20"/>
              </w:rPr>
              <w:t xml:space="preserve"> oraz harmonogramów raportowania w ramach NIS2, CRA i DORA.</w:t>
            </w:r>
          </w:p>
          <w:p w14:paraId="21010D5E" w14:textId="77777777" w:rsidR="00E745E5" w:rsidRPr="00EB0F9E" w:rsidRDefault="00E745E5" w:rsidP="00A47FED">
            <w:pPr>
              <w:spacing w:after="0" w:line="240" w:lineRule="auto"/>
              <w:rPr>
                <w:rFonts w:ascii="Lato" w:hAnsi="Lato"/>
                <w:sz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06A815A" w14:textId="77777777" w:rsidR="001E5CC7" w:rsidRPr="00EB0F9E" w:rsidRDefault="001E5CC7" w:rsidP="00A47FED">
            <w:pPr>
              <w:spacing w:after="0" w:line="240" w:lineRule="auto"/>
              <w:rPr>
                <w:rFonts w:ascii="Lato" w:hAnsi="Lato"/>
                <w:sz w:val="20"/>
              </w:rPr>
            </w:pPr>
            <w:r w:rsidRPr="00EB0F9E">
              <w:rPr>
                <w:rFonts w:ascii="Lato" w:hAnsi="Lato"/>
                <w:sz w:val="20"/>
              </w:rPr>
              <w:lastRenderedPageBreak/>
              <w:t>PIIT, KIGEiT, AmCham, POLMED</w:t>
            </w:r>
          </w:p>
        </w:tc>
      </w:tr>
      <w:tr w:rsidR="00CC7E73" w:rsidRPr="00EB0F9E" w14:paraId="73921100" w14:textId="77777777" w:rsidTr="0083172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CAB1BA" w14:textId="5ED09C74" w:rsidR="004022F5" w:rsidRPr="00EB0F9E" w:rsidRDefault="004022F5" w:rsidP="00831727">
            <w:pPr>
              <w:spacing w:after="0" w:line="240" w:lineRule="auto"/>
              <w:rPr>
                <w:rFonts w:ascii="Lato" w:hAnsi="Lato"/>
                <w:sz w:val="20"/>
                <w:lang w:val="en-GB"/>
              </w:rPr>
            </w:pPr>
            <w:r w:rsidRPr="00EB0F9E">
              <w:rPr>
                <w:rFonts w:ascii="Lato" w:hAnsi="Lato"/>
                <w:b/>
                <w:bCs/>
                <w:sz w:val="20"/>
                <w:lang w:val="en-GB"/>
              </w:rPr>
              <w:t xml:space="preserve">E-Privacy i </w:t>
            </w:r>
            <w:r>
              <w:rPr>
                <w:rFonts w:ascii="Lato" w:hAnsi="Lato"/>
                <w:b/>
                <w:bCs/>
                <w:sz w:val="20"/>
                <w:lang w:val="en-GB"/>
              </w:rPr>
              <w:t xml:space="preserve">pliki cookies </w:t>
            </w:r>
            <w:r w:rsidRPr="00EB0F9E">
              <w:rPr>
                <w:rFonts w:ascii="Lato" w:hAnsi="Lato"/>
                <w:b/>
                <w:bCs/>
                <w:sz w:val="20"/>
                <w:lang w:val="en-GB"/>
              </w:rPr>
              <w:t>(Art. 88b</w:t>
            </w:r>
            <w:r w:rsidR="00CC7E73">
              <w:rPr>
                <w:rFonts w:ascii="Lato" w:hAnsi="Lato"/>
                <w:b/>
                <w:bCs/>
                <w:sz w:val="20"/>
                <w:lang w:val="en-GB"/>
              </w:rPr>
              <w:t xml:space="preserve"> RODO</w:t>
            </w:r>
            <w:r w:rsidRPr="00EB0F9E">
              <w:rPr>
                <w:rFonts w:ascii="Lato" w:hAnsi="Lato"/>
                <w:b/>
                <w:bCs/>
                <w:sz w:val="20"/>
                <w:lang w:val="en-GB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7FB2F468" w14:textId="77777777" w:rsidR="004022F5" w:rsidRDefault="004022F5" w:rsidP="00831727">
            <w:pPr>
              <w:spacing w:after="0" w:line="240" w:lineRule="auto"/>
              <w:rPr>
                <w:rFonts w:ascii="Lato" w:hAnsi="Lato"/>
                <w:sz w:val="20"/>
              </w:rPr>
            </w:pPr>
            <w:r w:rsidRPr="00EB0F9E">
              <w:rPr>
                <w:rFonts w:ascii="Lato" w:hAnsi="Lato"/>
                <w:sz w:val="20"/>
              </w:rPr>
              <w:t xml:space="preserve">PIIT, KIGEiT, Meta i e-izba </w:t>
            </w:r>
            <w:r w:rsidRPr="00EB0F9E">
              <w:rPr>
                <w:rFonts w:ascii="Lato" w:hAnsi="Lato"/>
                <w:b/>
                <w:bCs/>
                <w:sz w:val="20"/>
              </w:rPr>
              <w:t>krytykują wymóg</w:t>
            </w:r>
            <w:r w:rsidRPr="00EB0F9E">
              <w:rPr>
                <w:rFonts w:ascii="Lato" w:hAnsi="Lato"/>
                <w:sz w:val="20"/>
              </w:rPr>
              <w:t xml:space="preserve"> </w:t>
            </w:r>
            <w:r w:rsidRPr="00EB0F9E">
              <w:rPr>
                <w:rFonts w:ascii="Lato" w:hAnsi="Lato"/>
                <w:b/>
                <w:bCs/>
                <w:sz w:val="20"/>
              </w:rPr>
              <w:t>automatycznych sygnałów zgody</w:t>
            </w:r>
            <w:r w:rsidRPr="00EB0F9E">
              <w:rPr>
                <w:rFonts w:ascii="Lato" w:hAnsi="Lato"/>
                <w:sz w:val="20"/>
              </w:rPr>
              <w:t xml:space="preserve"> z przeglądarek. Argumentują, że system ten jest </w:t>
            </w:r>
            <w:r w:rsidRPr="00EB0F9E">
              <w:rPr>
                <w:rFonts w:ascii="Lato" w:hAnsi="Lato"/>
                <w:b/>
                <w:bCs/>
                <w:sz w:val="20"/>
              </w:rPr>
              <w:t>technicznie niewykonalny, zbyt złożony</w:t>
            </w:r>
            <w:r w:rsidRPr="00EB0F9E">
              <w:rPr>
                <w:rFonts w:ascii="Lato" w:hAnsi="Lato"/>
                <w:sz w:val="20"/>
              </w:rPr>
              <w:t xml:space="preserve"> i prowadzi do </w:t>
            </w:r>
            <w:r w:rsidRPr="00EB0F9E">
              <w:rPr>
                <w:rFonts w:ascii="Lato" w:hAnsi="Lato"/>
                <w:b/>
                <w:bCs/>
                <w:sz w:val="20"/>
              </w:rPr>
              <w:t>koncentracji kontroli nad prywatnością</w:t>
            </w:r>
            <w:r w:rsidRPr="00EB0F9E">
              <w:rPr>
                <w:rFonts w:ascii="Lato" w:hAnsi="Lato"/>
                <w:sz w:val="20"/>
              </w:rPr>
              <w:t xml:space="preserve"> w rękach globalnych dostawców przeglądarek i systemów operacyjnych ("Big Tech"), działając na niekorzyść europejskich MŚP i wydawców. Postuluje się </w:t>
            </w:r>
            <w:r w:rsidRPr="00EB0F9E">
              <w:rPr>
                <w:rFonts w:ascii="Lato" w:hAnsi="Lato"/>
                <w:b/>
                <w:bCs/>
                <w:sz w:val="20"/>
              </w:rPr>
              <w:t>całkowite uchylenie Dyrektywy e-Privacy</w:t>
            </w:r>
            <w:r w:rsidRPr="00EB0F9E">
              <w:rPr>
                <w:rFonts w:ascii="Lato" w:hAnsi="Lato"/>
                <w:sz w:val="20"/>
              </w:rPr>
              <w:t>.</w:t>
            </w:r>
          </w:p>
          <w:p w14:paraId="1D2DAEC4" w14:textId="77777777" w:rsidR="00E976AF" w:rsidRDefault="00E976AF" w:rsidP="00831727">
            <w:pPr>
              <w:spacing w:after="0" w:line="240" w:lineRule="auto"/>
              <w:rPr>
                <w:rFonts w:ascii="Lato" w:hAnsi="Lato"/>
                <w:sz w:val="20"/>
              </w:rPr>
            </w:pPr>
          </w:p>
          <w:p w14:paraId="072DB9F1" w14:textId="6186F195" w:rsidR="00E976AF" w:rsidRDefault="0040651D" w:rsidP="00831727">
            <w:pPr>
              <w:spacing w:after="0" w:line="240" w:lineRule="auto"/>
              <w:rPr>
                <w:rFonts w:ascii="Lato" w:hAnsi="Lato"/>
                <w:sz w:val="20"/>
              </w:rPr>
            </w:pPr>
            <w:r>
              <w:rPr>
                <w:rFonts w:ascii="Lato" w:hAnsi="Lato"/>
                <w:sz w:val="20"/>
              </w:rPr>
              <w:t>KIG</w:t>
            </w:r>
            <w:r w:rsidR="00710342">
              <w:rPr>
                <w:rFonts w:ascii="Lato" w:hAnsi="Lato"/>
                <w:sz w:val="20"/>
              </w:rPr>
              <w:t>E</w:t>
            </w:r>
            <w:r w:rsidR="00B071B4">
              <w:rPr>
                <w:rFonts w:ascii="Lato" w:hAnsi="Lato"/>
                <w:sz w:val="20"/>
              </w:rPr>
              <w:t>iT</w:t>
            </w:r>
            <w:r w:rsidR="00E745E5">
              <w:rPr>
                <w:rFonts w:ascii="Lato" w:hAnsi="Lato"/>
                <w:sz w:val="20"/>
              </w:rPr>
              <w:t>:</w:t>
            </w:r>
          </w:p>
          <w:p w14:paraId="24BB7E31" w14:textId="65D48FDC" w:rsidR="0040651D" w:rsidRDefault="00E745E5" w:rsidP="00831727">
            <w:pPr>
              <w:spacing w:after="0" w:line="240" w:lineRule="auto"/>
              <w:rPr>
                <w:rFonts w:ascii="Lato" w:hAnsi="Lato"/>
                <w:sz w:val="20"/>
              </w:rPr>
            </w:pPr>
            <w:r>
              <w:rPr>
                <w:rFonts w:ascii="Lato" w:hAnsi="Lato"/>
                <w:sz w:val="20"/>
              </w:rPr>
              <w:t xml:space="preserve">- </w:t>
            </w:r>
            <w:r w:rsidR="00D30155">
              <w:rPr>
                <w:rFonts w:ascii="Lato" w:hAnsi="Lato"/>
                <w:sz w:val="20"/>
              </w:rPr>
              <w:t xml:space="preserve">ePrivacy- </w:t>
            </w:r>
            <w:r>
              <w:rPr>
                <w:rFonts w:ascii="Lato" w:hAnsi="Lato"/>
                <w:sz w:val="20"/>
              </w:rPr>
              <w:t xml:space="preserve">przepisy </w:t>
            </w:r>
            <w:r w:rsidR="00710342">
              <w:rPr>
                <w:rFonts w:ascii="Lato" w:hAnsi="Lato"/>
                <w:sz w:val="20"/>
              </w:rPr>
              <w:t>przestarzałe;</w:t>
            </w:r>
            <w:r>
              <w:rPr>
                <w:rFonts w:ascii="Lato" w:hAnsi="Lato"/>
                <w:sz w:val="20"/>
              </w:rPr>
              <w:t xml:space="preserve"> konieczne </w:t>
            </w:r>
            <w:r w:rsidR="00D30155">
              <w:rPr>
                <w:rFonts w:ascii="Lato" w:hAnsi="Lato"/>
                <w:sz w:val="20"/>
              </w:rPr>
              <w:t>u</w:t>
            </w:r>
            <w:r w:rsidR="0040651D">
              <w:rPr>
                <w:rFonts w:ascii="Lato" w:hAnsi="Lato"/>
                <w:sz w:val="20"/>
              </w:rPr>
              <w:t>nikanie fragmentaryzacji</w:t>
            </w:r>
            <w:r>
              <w:rPr>
                <w:rFonts w:ascii="Lato" w:hAnsi="Lato"/>
                <w:sz w:val="20"/>
              </w:rPr>
              <w:t xml:space="preserve"> zasad dotycz. zgód (kontekst danych osobowych i cookies)</w:t>
            </w:r>
            <w:r w:rsidR="00710342">
              <w:rPr>
                <w:rFonts w:ascii="Lato" w:hAnsi="Lato"/>
                <w:sz w:val="20"/>
              </w:rPr>
              <w:t>;</w:t>
            </w:r>
          </w:p>
          <w:p w14:paraId="3A32E95D" w14:textId="10ADDCC8" w:rsidR="00710342" w:rsidRDefault="00E745E5" w:rsidP="00831727">
            <w:pPr>
              <w:spacing w:after="0" w:line="240" w:lineRule="auto"/>
              <w:rPr>
                <w:rFonts w:ascii="Lato" w:hAnsi="Lato"/>
                <w:sz w:val="20"/>
              </w:rPr>
            </w:pPr>
            <w:r>
              <w:rPr>
                <w:rFonts w:ascii="Lato" w:hAnsi="Lato"/>
                <w:sz w:val="20"/>
              </w:rPr>
              <w:t xml:space="preserve">- </w:t>
            </w:r>
            <w:r w:rsidR="00752E8A">
              <w:rPr>
                <w:rFonts w:ascii="Lato" w:hAnsi="Lato"/>
                <w:sz w:val="20"/>
              </w:rPr>
              <w:t>przeni</w:t>
            </w:r>
            <w:r>
              <w:rPr>
                <w:rFonts w:ascii="Lato" w:hAnsi="Lato"/>
                <w:sz w:val="20"/>
              </w:rPr>
              <w:t>e</w:t>
            </w:r>
            <w:r w:rsidR="00752E8A">
              <w:rPr>
                <w:rFonts w:ascii="Lato" w:hAnsi="Lato"/>
                <w:sz w:val="20"/>
              </w:rPr>
              <w:t>sienie przepisów dotycz. cookies do RODO- pozytywna ocena</w:t>
            </w:r>
          </w:p>
          <w:p w14:paraId="5B8343B2" w14:textId="77777777" w:rsidR="00752E8A" w:rsidRDefault="00752E8A" w:rsidP="00831727">
            <w:pPr>
              <w:spacing w:after="0" w:line="240" w:lineRule="auto"/>
              <w:rPr>
                <w:rFonts w:ascii="Lato" w:hAnsi="Lato"/>
                <w:sz w:val="20"/>
              </w:rPr>
            </w:pPr>
          </w:p>
          <w:p w14:paraId="0E110750" w14:textId="1289E3F4" w:rsidR="0040651D" w:rsidRPr="00EB0F9E" w:rsidRDefault="0040651D" w:rsidP="00831727">
            <w:pPr>
              <w:spacing w:after="0" w:line="240" w:lineRule="auto"/>
              <w:rPr>
                <w:rFonts w:ascii="Lato" w:hAnsi="Lato"/>
                <w:sz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E523A44" w14:textId="77777777" w:rsidR="004022F5" w:rsidRPr="00EB0F9E" w:rsidRDefault="004022F5" w:rsidP="00831727">
            <w:pPr>
              <w:spacing w:after="0" w:line="240" w:lineRule="auto"/>
              <w:rPr>
                <w:rFonts w:ascii="Lato" w:hAnsi="Lato"/>
                <w:sz w:val="20"/>
              </w:rPr>
            </w:pPr>
            <w:r w:rsidRPr="00EB0F9E">
              <w:rPr>
                <w:rFonts w:ascii="Lato" w:hAnsi="Lato"/>
                <w:sz w:val="20"/>
              </w:rPr>
              <w:t xml:space="preserve">PIIT, KIGEiT, Meta, e-izba, </w:t>
            </w:r>
            <w:r>
              <w:rPr>
                <w:rFonts w:ascii="Lato" w:hAnsi="Lato"/>
                <w:sz w:val="20"/>
              </w:rPr>
              <w:t>j</w:t>
            </w:r>
            <w:r w:rsidRPr="000775F0">
              <w:rPr>
                <w:rFonts w:ascii="Lato" w:hAnsi="Lato"/>
                <w:sz w:val="20"/>
              </w:rPr>
              <w:t>edna z firm należących do Związku IAB Polska</w:t>
            </w:r>
          </w:p>
        </w:tc>
      </w:tr>
      <w:tr w:rsidR="00E745E5" w:rsidRPr="00EB0F9E" w14:paraId="23B7EF6D" w14:textId="77777777" w:rsidTr="003A41A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E4DAB1" w14:textId="5418D253" w:rsidR="00EB0F9E" w:rsidRPr="00EB0F9E" w:rsidRDefault="00EB0F9E" w:rsidP="00EB0F9E">
            <w:pPr>
              <w:spacing w:after="0" w:line="240" w:lineRule="auto"/>
              <w:rPr>
                <w:rFonts w:ascii="Lato" w:hAnsi="Lato"/>
                <w:sz w:val="20"/>
              </w:rPr>
            </w:pPr>
            <w:r w:rsidRPr="00EB0F9E">
              <w:rPr>
                <w:rFonts w:ascii="Lato" w:hAnsi="Lato"/>
                <w:b/>
                <w:bCs/>
                <w:sz w:val="20"/>
              </w:rPr>
              <w:t xml:space="preserve">RODO – </w:t>
            </w:r>
            <w:r w:rsidR="00AF3DFB">
              <w:rPr>
                <w:rFonts w:ascii="Lato" w:hAnsi="Lato"/>
                <w:b/>
                <w:bCs/>
                <w:sz w:val="20"/>
              </w:rPr>
              <w:t>p</w:t>
            </w:r>
            <w:r w:rsidRPr="00EB0F9E">
              <w:rPr>
                <w:rFonts w:ascii="Lato" w:hAnsi="Lato"/>
                <w:b/>
                <w:bCs/>
                <w:sz w:val="20"/>
              </w:rPr>
              <w:t xml:space="preserve">rawnie </w:t>
            </w:r>
            <w:r w:rsidR="00AF3DFB">
              <w:rPr>
                <w:rFonts w:ascii="Lato" w:hAnsi="Lato"/>
                <w:b/>
                <w:bCs/>
                <w:sz w:val="20"/>
              </w:rPr>
              <w:t>u</w:t>
            </w:r>
            <w:r w:rsidRPr="00EB0F9E">
              <w:rPr>
                <w:rFonts w:ascii="Lato" w:hAnsi="Lato"/>
                <w:b/>
                <w:bCs/>
                <w:sz w:val="20"/>
              </w:rPr>
              <w:t xml:space="preserve">zasadniony </w:t>
            </w:r>
            <w:r w:rsidR="00AF3DFB">
              <w:rPr>
                <w:rFonts w:ascii="Lato" w:hAnsi="Lato"/>
                <w:b/>
                <w:bCs/>
                <w:sz w:val="20"/>
              </w:rPr>
              <w:t>i</w:t>
            </w:r>
            <w:r w:rsidRPr="00EB0F9E">
              <w:rPr>
                <w:rFonts w:ascii="Lato" w:hAnsi="Lato"/>
                <w:b/>
                <w:bCs/>
                <w:sz w:val="20"/>
              </w:rPr>
              <w:t>nteres dla AI (Art. 88c)</w:t>
            </w:r>
          </w:p>
        </w:tc>
        <w:tc>
          <w:tcPr>
            <w:tcW w:w="0" w:type="auto"/>
            <w:vAlign w:val="center"/>
            <w:hideMark/>
          </w:tcPr>
          <w:p w14:paraId="3B83172C" w14:textId="77777777" w:rsidR="00AF3DFB" w:rsidRDefault="00EB0F9E" w:rsidP="00EB0F9E">
            <w:pPr>
              <w:spacing w:after="0" w:line="240" w:lineRule="auto"/>
              <w:rPr>
                <w:rFonts w:ascii="Lato" w:hAnsi="Lato"/>
                <w:sz w:val="20"/>
              </w:rPr>
            </w:pPr>
            <w:r w:rsidRPr="00EB0F9E">
              <w:rPr>
                <w:rFonts w:ascii="Lato" w:hAnsi="Lato"/>
                <w:b/>
                <w:bCs/>
                <w:sz w:val="20"/>
              </w:rPr>
              <w:t>Sektor AI (AI Chamber, Meta, KIG, e-izba)</w:t>
            </w:r>
            <w:r w:rsidRPr="00EB0F9E">
              <w:rPr>
                <w:rFonts w:ascii="Lato" w:hAnsi="Lato"/>
                <w:sz w:val="20"/>
              </w:rPr>
              <w:t xml:space="preserve"> </w:t>
            </w:r>
            <w:r w:rsidRPr="00EB0F9E">
              <w:rPr>
                <w:rFonts w:ascii="Lato" w:hAnsi="Lato"/>
                <w:b/>
                <w:bCs/>
                <w:sz w:val="20"/>
              </w:rPr>
              <w:t>zdecydowanie popiera</w:t>
            </w:r>
            <w:r w:rsidRPr="00EB0F9E">
              <w:rPr>
                <w:rFonts w:ascii="Lato" w:hAnsi="Lato"/>
                <w:sz w:val="20"/>
              </w:rPr>
              <w:t xml:space="preserve"> potwierdzenie, że rozwój i trenowanie systemów AI może opierać się na przesłance </w:t>
            </w:r>
            <w:r w:rsidRPr="00EB0F9E">
              <w:rPr>
                <w:rFonts w:ascii="Lato" w:hAnsi="Lato"/>
                <w:b/>
                <w:bCs/>
                <w:sz w:val="20"/>
              </w:rPr>
              <w:t>prawnie uzasadnionego interesu</w:t>
            </w:r>
            <w:r w:rsidRPr="00EB0F9E">
              <w:rPr>
                <w:rFonts w:ascii="Lato" w:hAnsi="Lato"/>
                <w:sz w:val="20"/>
              </w:rPr>
              <w:t xml:space="preserve">. Uznają to za </w:t>
            </w:r>
            <w:r w:rsidRPr="00EB0F9E">
              <w:rPr>
                <w:rFonts w:ascii="Lato" w:hAnsi="Lato"/>
                <w:b/>
                <w:bCs/>
                <w:sz w:val="20"/>
              </w:rPr>
              <w:t>najważniejszy krok</w:t>
            </w:r>
            <w:r w:rsidRPr="00EB0F9E">
              <w:rPr>
                <w:rFonts w:ascii="Lato" w:hAnsi="Lato"/>
                <w:sz w:val="20"/>
              </w:rPr>
              <w:t xml:space="preserve"> w kierunku stworzenia prawdziwie europejskiej sztucznej inteligencji i wzywają do zapewnienia jasnych i spójnych zasad w tym zakresie. </w:t>
            </w:r>
          </w:p>
          <w:p w14:paraId="7DCB1941" w14:textId="77777777" w:rsidR="00AF3DFB" w:rsidRDefault="00AF3DFB" w:rsidP="00EB0F9E">
            <w:pPr>
              <w:spacing w:after="0" w:line="240" w:lineRule="auto"/>
              <w:rPr>
                <w:rFonts w:ascii="Lato" w:hAnsi="Lato"/>
                <w:sz w:val="20"/>
              </w:rPr>
            </w:pPr>
          </w:p>
          <w:p w14:paraId="4ED1A11E" w14:textId="77777777" w:rsidR="00EB0F9E" w:rsidRDefault="00EB0F9E" w:rsidP="00EB0F9E">
            <w:pPr>
              <w:spacing w:after="0" w:line="240" w:lineRule="auto"/>
              <w:rPr>
                <w:rFonts w:ascii="Lato" w:hAnsi="Lato"/>
                <w:sz w:val="20"/>
              </w:rPr>
            </w:pPr>
            <w:r w:rsidRPr="00EB0F9E">
              <w:rPr>
                <w:rFonts w:ascii="Lato" w:hAnsi="Lato"/>
                <w:b/>
                <w:bCs/>
                <w:sz w:val="20"/>
              </w:rPr>
              <w:t>Panoptykon ostrzega, że przepis ten tworzy</w:t>
            </w:r>
            <w:r w:rsidRPr="00EB0F9E">
              <w:rPr>
                <w:rFonts w:ascii="Lato" w:hAnsi="Lato"/>
                <w:sz w:val="20"/>
              </w:rPr>
              <w:t xml:space="preserve"> </w:t>
            </w:r>
            <w:r w:rsidRPr="00EB0F9E">
              <w:rPr>
                <w:rFonts w:ascii="Lato" w:hAnsi="Lato"/>
                <w:b/>
                <w:bCs/>
                <w:sz w:val="20"/>
              </w:rPr>
              <w:t>reżim opt-out</w:t>
            </w:r>
            <w:r w:rsidRPr="00EB0F9E">
              <w:rPr>
                <w:rFonts w:ascii="Lato" w:hAnsi="Lato"/>
                <w:sz w:val="20"/>
              </w:rPr>
              <w:t>, w którym osoby, których dane dotyczą, mogą nie być świadome przetwarzania danych i nie będą w stanie skutecznie zgłosić sprzeciwu.</w:t>
            </w:r>
          </w:p>
          <w:p w14:paraId="77A694AF" w14:textId="2F1CC555" w:rsidR="00E745E5" w:rsidRPr="00EB0F9E" w:rsidRDefault="00E745E5" w:rsidP="00EB0F9E">
            <w:pPr>
              <w:spacing w:after="0" w:line="240" w:lineRule="auto"/>
              <w:rPr>
                <w:rFonts w:ascii="Lato" w:hAnsi="Lato"/>
                <w:sz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CA2FC5A" w14:textId="77777777" w:rsidR="00EB0F9E" w:rsidRPr="00EB0F9E" w:rsidRDefault="00EB0F9E" w:rsidP="00EB0F9E">
            <w:pPr>
              <w:spacing w:after="0" w:line="240" w:lineRule="auto"/>
              <w:rPr>
                <w:rFonts w:ascii="Lato" w:hAnsi="Lato"/>
                <w:sz w:val="20"/>
              </w:rPr>
            </w:pPr>
            <w:r w:rsidRPr="00EB0F9E">
              <w:rPr>
                <w:rFonts w:ascii="Lato" w:hAnsi="Lato"/>
                <w:sz w:val="20"/>
              </w:rPr>
              <w:t>AI Chamber, Meta, KIG, e-izba, Panoptykon</w:t>
            </w:r>
          </w:p>
        </w:tc>
      </w:tr>
      <w:tr w:rsidR="00E745E5" w:rsidRPr="00EB0F9E" w14:paraId="42DF39D0" w14:textId="77777777" w:rsidTr="003A41A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C83DBE" w14:textId="5DA6461D" w:rsidR="00EB0F9E" w:rsidRPr="00EB0F9E" w:rsidRDefault="00EB0F9E" w:rsidP="00EB0F9E">
            <w:pPr>
              <w:spacing w:after="0" w:line="240" w:lineRule="auto"/>
              <w:rPr>
                <w:rFonts w:ascii="Lato" w:hAnsi="Lato"/>
                <w:sz w:val="20"/>
              </w:rPr>
            </w:pPr>
            <w:r w:rsidRPr="00EB0F9E">
              <w:rPr>
                <w:rFonts w:ascii="Lato" w:hAnsi="Lato"/>
                <w:b/>
                <w:bCs/>
                <w:sz w:val="20"/>
              </w:rPr>
              <w:t xml:space="preserve">RODO – </w:t>
            </w:r>
            <w:r w:rsidR="00D0585A">
              <w:rPr>
                <w:rFonts w:ascii="Lato" w:hAnsi="Lato"/>
                <w:b/>
                <w:bCs/>
                <w:sz w:val="20"/>
              </w:rPr>
              <w:t>d</w:t>
            </w:r>
            <w:r w:rsidRPr="00EB0F9E">
              <w:rPr>
                <w:rFonts w:ascii="Lato" w:hAnsi="Lato"/>
                <w:b/>
                <w:bCs/>
                <w:sz w:val="20"/>
              </w:rPr>
              <w:t xml:space="preserve">ane </w:t>
            </w:r>
            <w:r w:rsidR="00D0585A">
              <w:rPr>
                <w:rFonts w:ascii="Lato" w:hAnsi="Lato"/>
                <w:b/>
                <w:bCs/>
                <w:sz w:val="20"/>
              </w:rPr>
              <w:t>w</w:t>
            </w:r>
            <w:r w:rsidRPr="00EB0F9E">
              <w:rPr>
                <w:rFonts w:ascii="Lato" w:hAnsi="Lato"/>
                <w:b/>
                <w:bCs/>
                <w:sz w:val="20"/>
              </w:rPr>
              <w:t>rażliwe (Art. 9)</w:t>
            </w:r>
          </w:p>
        </w:tc>
        <w:tc>
          <w:tcPr>
            <w:tcW w:w="0" w:type="auto"/>
            <w:vAlign w:val="center"/>
            <w:hideMark/>
          </w:tcPr>
          <w:p w14:paraId="30124E9D" w14:textId="77777777" w:rsidR="00EB0F9E" w:rsidRDefault="00EB0F9E" w:rsidP="00EB0F9E">
            <w:pPr>
              <w:spacing w:after="0" w:line="240" w:lineRule="auto"/>
              <w:rPr>
                <w:rFonts w:ascii="Lato" w:hAnsi="Lato"/>
                <w:sz w:val="20"/>
              </w:rPr>
            </w:pPr>
            <w:r w:rsidRPr="00EB0F9E">
              <w:rPr>
                <w:rFonts w:ascii="Lato" w:hAnsi="Lato"/>
                <w:b/>
                <w:bCs/>
                <w:sz w:val="20"/>
              </w:rPr>
              <w:t>Panoptykon wyraża obawę</w:t>
            </w:r>
            <w:r w:rsidRPr="00EB0F9E">
              <w:rPr>
                <w:rFonts w:ascii="Lato" w:hAnsi="Lato"/>
                <w:sz w:val="20"/>
              </w:rPr>
              <w:t xml:space="preserve">, że nowy wyjątek dla przetwarzania szczątkowego (residual processing) w kontekście AI </w:t>
            </w:r>
            <w:r w:rsidRPr="00EB0F9E">
              <w:rPr>
                <w:rFonts w:ascii="Lato" w:hAnsi="Lato"/>
                <w:b/>
                <w:bCs/>
                <w:sz w:val="20"/>
              </w:rPr>
              <w:t>otwiera szeroką furtkę</w:t>
            </w:r>
            <w:r w:rsidRPr="00EB0F9E">
              <w:rPr>
                <w:rFonts w:ascii="Lato" w:hAnsi="Lato"/>
                <w:sz w:val="20"/>
              </w:rPr>
              <w:t xml:space="preserve"> </w:t>
            </w:r>
            <w:r w:rsidRPr="00EB0F9E">
              <w:rPr>
                <w:rFonts w:ascii="Lato" w:hAnsi="Lato"/>
                <w:b/>
                <w:bCs/>
                <w:sz w:val="20"/>
              </w:rPr>
              <w:t>do wykorzystywania danych wrażliwych</w:t>
            </w:r>
            <w:r w:rsidRPr="00EB0F9E">
              <w:rPr>
                <w:rFonts w:ascii="Lato" w:hAnsi="Lato"/>
                <w:sz w:val="20"/>
              </w:rPr>
              <w:t xml:space="preserve"> (SCD) do trenowania i działania systemów AI. Administratorzy będą mogli wykorzystywać </w:t>
            </w:r>
            <w:r w:rsidR="00D0585A">
              <w:rPr>
                <w:rFonts w:ascii="Lato" w:hAnsi="Lato"/>
                <w:sz w:val="20"/>
              </w:rPr>
              <w:t>dane wrażliwe</w:t>
            </w:r>
            <w:r w:rsidRPr="00EB0F9E">
              <w:rPr>
                <w:rFonts w:ascii="Lato" w:hAnsi="Lato"/>
                <w:sz w:val="20"/>
              </w:rPr>
              <w:t xml:space="preserve">, jeśli ich usunięcie wymagałoby „nieproporcjonalnego wysiłku”, co </w:t>
            </w:r>
            <w:r w:rsidRPr="00EB0F9E">
              <w:rPr>
                <w:rFonts w:ascii="Lato" w:hAnsi="Lato"/>
                <w:b/>
                <w:bCs/>
                <w:sz w:val="20"/>
              </w:rPr>
              <w:t>obniża standard ochrony</w:t>
            </w:r>
            <w:r w:rsidRPr="00EB0F9E">
              <w:rPr>
                <w:rFonts w:ascii="Lato" w:hAnsi="Lato"/>
                <w:sz w:val="20"/>
              </w:rPr>
              <w:t>.</w:t>
            </w:r>
          </w:p>
          <w:p w14:paraId="1FF59232" w14:textId="11BFADE5" w:rsidR="00E745E5" w:rsidRPr="00EB0F9E" w:rsidRDefault="00E745E5" w:rsidP="00EB0F9E">
            <w:pPr>
              <w:spacing w:after="0" w:line="240" w:lineRule="auto"/>
              <w:rPr>
                <w:rFonts w:ascii="Lato" w:hAnsi="Lato"/>
                <w:sz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AF6386B" w14:textId="77777777" w:rsidR="00EB0F9E" w:rsidRPr="00EB0F9E" w:rsidRDefault="00EB0F9E" w:rsidP="00EB0F9E">
            <w:pPr>
              <w:spacing w:after="0" w:line="240" w:lineRule="auto"/>
              <w:rPr>
                <w:rFonts w:ascii="Lato" w:hAnsi="Lato"/>
                <w:sz w:val="20"/>
              </w:rPr>
            </w:pPr>
            <w:r w:rsidRPr="00EB0F9E">
              <w:rPr>
                <w:rFonts w:ascii="Lato" w:hAnsi="Lato"/>
                <w:sz w:val="20"/>
              </w:rPr>
              <w:t>Panoptykon, KIG</w:t>
            </w:r>
          </w:p>
        </w:tc>
      </w:tr>
      <w:tr w:rsidR="00E745E5" w:rsidRPr="00EB0F9E" w14:paraId="7B685EDA" w14:textId="77777777" w:rsidTr="003A41A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B9AB58" w14:textId="6232193C" w:rsidR="00EB0F9E" w:rsidRPr="00EB0F9E" w:rsidRDefault="00EB0F9E" w:rsidP="00EB0F9E">
            <w:pPr>
              <w:spacing w:after="0" w:line="240" w:lineRule="auto"/>
              <w:rPr>
                <w:rFonts w:ascii="Lato" w:hAnsi="Lato"/>
                <w:sz w:val="20"/>
              </w:rPr>
            </w:pPr>
            <w:r w:rsidRPr="00EB0F9E">
              <w:rPr>
                <w:rFonts w:ascii="Lato" w:hAnsi="Lato"/>
                <w:b/>
                <w:bCs/>
                <w:sz w:val="20"/>
              </w:rPr>
              <w:lastRenderedPageBreak/>
              <w:t xml:space="preserve">RODO – </w:t>
            </w:r>
            <w:r w:rsidR="00D0585A">
              <w:rPr>
                <w:rFonts w:ascii="Lato" w:hAnsi="Lato"/>
                <w:b/>
                <w:bCs/>
                <w:sz w:val="20"/>
              </w:rPr>
              <w:t>d</w:t>
            </w:r>
            <w:r w:rsidR="00D0585A" w:rsidRPr="00EB0F9E">
              <w:rPr>
                <w:rFonts w:ascii="Lato" w:hAnsi="Lato"/>
                <w:b/>
                <w:bCs/>
                <w:sz w:val="20"/>
              </w:rPr>
              <w:t xml:space="preserve">ecyzje </w:t>
            </w:r>
            <w:r w:rsidR="00D0585A">
              <w:rPr>
                <w:rFonts w:ascii="Lato" w:hAnsi="Lato"/>
                <w:b/>
                <w:bCs/>
                <w:sz w:val="20"/>
              </w:rPr>
              <w:t>z</w:t>
            </w:r>
            <w:r w:rsidRPr="00EB0F9E">
              <w:rPr>
                <w:rFonts w:ascii="Lato" w:hAnsi="Lato"/>
                <w:b/>
                <w:bCs/>
                <w:sz w:val="20"/>
              </w:rPr>
              <w:t>automatyzowane (Art. 22)</w:t>
            </w:r>
          </w:p>
        </w:tc>
        <w:tc>
          <w:tcPr>
            <w:tcW w:w="0" w:type="auto"/>
            <w:vAlign w:val="center"/>
            <w:hideMark/>
          </w:tcPr>
          <w:p w14:paraId="6F699C9F" w14:textId="77777777" w:rsidR="00D0585A" w:rsidRDefault="00EB0F9E" w:rsidP="00EB0F9E">
            <w:pPr>
              <w:spacing w:after="0" w:line="240" w:lineRule="auto"/>
              <w:rPr>
                <w:rFonts w:ascii="Lato" w:hAnsi="Lato"/>
                <w:sz w:val="20"/>
              </w:rPr>
            </w:pPr>
            <w:r w:rsidRPr="00EB0F9E">
              <w:rPr>
                <w:rFonts w:ascii="Lato" w:hAnsi="Lato"/>
                <w:b/>
                <w:bCs/>
                <w:sz w:val="20"/>
              </w:rPr>
              <w:t>KIG i Meta pozytywnie oceniają wyjaśnienie, że zautomatyzowane podejmowanie decyzji</w:t>
            </w:r>
            <w:r w:rsidRPr="00EB0F9E">
              <w:rPr>
                <w:rFonts w:ascii="Lato" w:hAnsi="Lato"/>
                <w:sz w:val="20"/>
              </w:rPr>
              <w:t xml:space="preserve"> (np. przy zawieraniu umów) </w:t>
            </w:r>
            <w:r w:rsidRPr="00EB0F9E">
              <w:rPr>
                <w:rFonts w:ascii="Lato" w:hAnsi="Lato"/>
                <w:b/>
                <w:bCs/>
                <w:sz w:val="20"/>
              </w:rPr>
              <w:t>jest dozwolone</w:t>
            </w:r>
            <w:r w:rsidRPr="00EB0F9E">
              <w:rPr>
                <w:rFonts w:ascii="Lato" w:hAnsi="Lato"/>
                <w:sz w:val="20"/>
              </w:rPr>
              <w:t xml:space="preserve">, nawet jeśli teoretycznie mogłoby się odbywać z udziałem człowieka. </w:t>
            </w:r>
          </w:p>
          <w:p w14:paraId="4421824E" w14:textId="77777777" w:rsidR="00D0585A" w:rsidRDefault="00D0585A" w:rsidP="00EB0F9E">
            <w:pPr>
              <w:spacing w:after="0" w:line="240" w:lineRule="auto"/>
              <w:rPr>
                <w:rFonts w:ascii="Lato" w:hAnsi="Lato"/>
                <w:sz w:val="20"/>
              </w:rPr>
            </w:pPr>
          </w:p>
          <w:p w14:paraId="05A0A3A7" w14:textId="77777777" w:rsidR="00EB0F9E" w:rsidRDefault="00EB0F9E" w:rsidP="00EB0F9E">
            <w:pPr>
              <w:spacing w:after="0" w:line="240" w:lineRule="auto"/>
              <w:rPr>
                <w:rFonts w:ascii="Lato" w:hAnsi="Lato"/>
                <w:sz w:val="20"/>
              </w:rPr>
            </w:pPr>
            <w:r w:rsidRPr="00EB0F9E">
              <w:rPr>
                <w:rFonts w:ascii="Lato" w:hAnsi="Lato"/>
                <w:b/>
                <w:bCs/>
                <w:sz w:val="20"/>
              </w:rPr>
              <w:t>Panoptykon obawia się</w:t>
            </w:r>
            <w:r w:rsidRPr="00EB0F9E">
              <w:rPr>
                <w:rFonts w:ascii="Lato" w:hAnsi="Lato"/>
                <w:sz w:val="20"/>
              </w:rPr>
              <w:t xml:space="preserve">, że ta zmiana </w:t>
            </w:r>
            <w:r w:rsidRPr="00EB0F9E">
              <w:rPr>
                <w:rFonts w:ascii="Lato" w:hAnsi="Lato"/>
                <w:b/>
                <w:bCs/>
                <w:sz w:val="20"/>
              </w:rPr>
              <w:t>usankcjonuje powszechne zawieranie umów bez udziału człowieka</w:t>
            </w:r>
            <w:r w:rsidRPr="00EB0F9E">
              <w:rPr>
                <w:rFonts w:ascii="Lato" w:hAnsi="Lato"/>
                <w:sz w:val="20"/>
              </w:rPr>
              <w:t>, co jest frustrujące dla osób, których dane dotyczą.</w:t>
            </w:r>
          </w:p>
          <w:p w14:paraId="55EF0D15" w14:textId="41AA7A45" w:rsidR="00E745E5" w:rsidRPr="00EB0F9E" w:rsidRDefault="00E745E5" w:rsidP="00EB0F9E">
            <w:pPr>
              <w:spacing w:after="0" w:line="240" w:lineRule="auto"/>
              <w:rPr>
                <w:rFonts w:ascii="Lato" w:hAnsi="Lato"/>
                <w:sz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ED5CEB9" w14:textId="77777777" w:rsidR="00EB0F9E" w:rsidRPr="00EB0F9E" w:rsidRDefault="00EB0F9E" w:rsidP="00EB0F9E">
            <w:pPr>
              <w:spacing w:after="0" w:line="240" w:lineRule="auto"/>
              <w:rPr>
                <w:rFonts w:ascii="Lato" w:hAnsi="Lato"/>
                <w:sz w:val="20"/>
              </w:rPr>
            </w:pPr>
            <w:r w:rsidRPr="00EB0F9E">
              <w:rPr>
                <w:rFonts w:ascii="Lato" w:hAnsi="Lato"/>
                <w:sz w:val="20"/>
              </w:rPr>
              <w:t>KIG, Meta, Panoptykon</w:t>
            </w:r>
          </w:p>
        </w:tc>
      </w:tr>
      <w:tr w:rsidR="00E745E5" w:rsidRPr="00EB0F9E" w14:paraId="01732EF8" w14:textId="77777777" w:rsidTr="003A41A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0BD49E" w14:textId="3A0D5EE3" w:rsidR="00EB0F9E" w:rsidRPr="00EB0F9E" w:rsidRDefault="00EB0F9E" w:rsidP="00EB0F9E">
            <w:pPr>
              <w:spacing w:after="0" w:line="240" w:lineRule="auto"/>
              <w:rPr>
                <w:rFonts w:ascii="Lato" w:hAnsi="Lato"/>
                <w:sz w:val="20"/>
              </w:rPr>
            </w:pPr>
            <w:r w:rsidRPr="00EB0F9E">
              <w:rPr>
                <w:rFonts w:ascii="Lato" w:hAnsi="Lato"/>
                <w:b/>
                <w:bCs/>
                <w:sz w:val="20"/>
              </w:rPr>
              <w:t xml:space="preserve">RODO – </w:t>
            </w:r>
            <w:r w:rsidR="000F5035">
              <w:rPr>
                <w:rFonts w:ascii="Lato" w:hAnsi="Lato"/>
                <w:b/>
                <w:bCs/>
                <w:sz w:val="20"/>
              </w:rPr>
              <w:t>z</w:t>
            </w:r>
            <w:r w:rsidRPr="00EB0F9E">
              <w:rPr>
                <w:rFonts w:ascii="Lato" w:hAnsi="Lato"/>
                <w:b/>
                <w:bCs/>
                <w:sz w:val="20"/>
              </w:rPr>
              <w:t xml:space="preserve">głaszanie </w:t>
            </w:r>
            <w:r w:rsidR="003D617A">
              <w:rPr>
                <w:rFonts w:ascii="Lato" w:hAnsi="Lato"/>
                <w:b/>
                <w:bCs/>
                <w:sz w:val="20"/>
              </w:rPr>
              <w:t>n</w:t>
            </w:r>
            <w:r w:rsidRPr="00EB0F9E">
              <w:rPr>
                <w:rFonts w:ascii="Lato" w:hAnsi="Lato"/>
                <w:b/>
                <w:bCs/>
                <w:sz w:val="20"/>
              </w:rPr>
              <w:t>aruszeń (Art. 33)</w:t>
            </w:r>
          </w:p>
        </w:tc>
        <w:tc>
          <w:tcPr>
            <w:tcW w:w="0" w:type="auto"/>
            <w:vAlign w:val="center"/>
            <w:hideMark/>
          </w:tcPr>
          <w:p w14:paraId="4B7A1187" w14:textId="77777777" w:rsidR="00D0585A" w:rsidRDefault="00EB0F9E" w:rsidP="00EB0F9E">
            <w:pPr>
              <w:spacing w:after="0" w:line="240" w:lineRule="auto"/>
              <w:rPr>
                <w:rFonts w:ascii="Lato" w:hAnsi="Lato"/>
                <w:sz w:val="20"/>
              </w:rPr>
            </w:pPr>
            <w:r w:rsidRPr="00EB0F9E">
              <w:rPr>
                <w:rFonts w:ascii="Lato" w:hAnsi="Lato"/>
                <w:b/>
                <w:bCs/>
                <w:sz w:val="20"/>
              </w:rPr>
              <w:t>KIG i ZAIKS popierają</w:t>
            </w:r>
            <w:r w:rsidRPr="00EB0F9E">
              <w:rPr>
                <w:rFonts w:ascii="Lato" w:hAnsi="Lato"/>
                <w:sz w:val="20"/>
              </w:rPr>
              <w:t xml:space="preserve"> </w:t>
            </w:r>
            <w:r w:rsidRPr="00EB0F9E">
              <w:rPr>
                <w:rFonts w:ascii="Lato" w:hAnsi="Lato"/>
                <w:b/>
                <w:bCs/>
                <w:sz w:val="20"/>
              </w:rPr>
              <w:t>wydłużenie terminu zgłaszania naruszeń z 72 do 96 godzin</w:t>
            </w:r>
            <w:r w:rsidRPr="00EB0F9E">
              <w:rPr>
                <w:rFonts w:ascii="Lato" w:hAnsi="Lato"/>
                <w:sz w:val="20"/>
              </w:rPr>
              <w:t xml:space="preserve"> i podniesienie progu dla obowiązkowego zgłoszenia (wymagane tylko przy „wysokim ryzyku”), co ma ograniczyć biurokrację.</w:t>
            </w:r>
          </w:p>
          <w:p w14:paraId="72218F28" w14:textId="77777777" w:rsidR="00D0585A" w:rsidRDefault="00D0585A" w:rsidP="00EB0F9E">
            <w:pPr>
              <w:spacing w:after="0" w:line="240" w:lineRule="auto"/>
              <w:rPr>
                <w:rFonts w:ascii="Lato" w:hAnsi="Lato"/>
                <w:sz w:val="20"/>
              </w:rPr>
            </w:pPr>
          </w:p>
          <w:p w14:paraId="76443C97" w14:textId="77777777" w:rsidR="00EB0F9E" w:rsidRDefault="00EB0F9E" w:rsidP="00EB0F9E">
            <w:pPr>
              <w:spacing w:after="0" w:line="240" w:lineRule="auto"/>
              <w:rPr>
                <w:rFonts w:ascii="Lato" w:hAnsi="Lato"/>
                <w:sz w:val="20"/>
              </w:rPr>
            </w:pPr>
            <w:r w:rsidRPr="00EB0F9E">
              <w:rPr>
                <w:rFonts w:ascii="Lato" w:hAnsi="Lato"/>
                <w:b/>
                <w:bCs/>
                <w:sz w:val="20"/>
              </w:rPr>
              <w:t>Panoptykon</w:t>
            </w:r>
            <w:r w:rsidRPr="00EB0F9E">
              <w:rPr>
                <w:rFonts w:ascii="Lato" w:hAnsi="Lato"/>
                <w:sz w:val="20"/>
              </w:rPr>
              <w:t xml:space="preserve"> argumentuje, że ta zmiana </w:t>
            </w:r>
            <w:r w:rsidRPr="00EB0F9E">
              <w:rPr>
                <w:rFonts w:ascii="Lato" w:hAnsi="Lato"/>
                <w:b/>
                <w:bCs/>
                <w:sz w:val="20"/>
              </w:rPr>
              <w:t>osłabia nadzór</w:t>
            </w:r>
            <w:r w:rsidRPr="00EB0F9E">
              <w:rPr>
                <w:rFonts w:ascii="Lato" w:hAnsi="Lato"/>
                <w:sz w:val="20"/>
              </w:rPr>
              <w:t>, ponieważ organy stracą wgląd w większość incydentów, które administratorzy uznają za niskiego ryzyka.</w:t>
            </w:r>
          </w:p>
          <w:p w14:paraId="01838A14" w14:textId="77777777" w:rsidR="00E745E5" w:rsidRDefault="00E745E5" w:rsidP="00EB0F9E">
            <w:pPr>
              <w:spacing w:after="0" w:line="240" w:lineRule="auto"/>
              <w:rPr>
                <w:rFonts w:ascii="Lato" w:hAnsi="Lato"/>
                <w:sz w:val="20"/>
              </w:rPr>
            </w:pPr>
          </w:p>
          <w:p w14:paraId="56E8A250" w14:textId="24FF530B" w:rsidR="00A549E8" w:rsidRPr="00EB0F9E" w:rsidRDefault="00A549E8" w:rsidP="00EB0F9E">
            <w:pPr>
              <w:spacing w:after="0" w:line="240" w:lineRule="auto"/>
              <w:rPr>
                <w:rFonts w:ascii="Lato" w:hAnsi="Lato"/>
                <w:sz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5A7CD13" w14:textId="77777777" w:rsidR="00EB0F9E" w:rsidRPr="00EB0F9E" w:rsidRDefault="00EB0F9E" w:rsidP="00EB0F9E">
            <w:pPr>
              <w:spacing w:after="0" w:line="240" w:lineRule="auto"/>
              <w:rPr>
                <w:rFonts w:ascii="Lato" w:hAnsi="Lato"/>
                <w:sz w:val="20"/>
              </w:rPr>
            </w:pPr>
            <w:r w:rsidRPr="00EB0F9E">
              <w:rPr>
                <w:rFonts w:ascii="Lato" w:hAnsi="Lato"/>
                <w:sz w:val="20"/>
              </w:rPr>
              <w:t>KIG, ZAIKS, Panoptykon</w:t>
            </w:r>
          </w:p>
        </w:tc>
      </w:tr>
      <w:tr w:rsidR="00E745E5" w:rsidRPr="00EB0F9E" w14:paraId="0BFBA325" w14:textId="77777777" w:rsidTr="003A41A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E850EE" w14:textId="672480E2" w:rsidR="00EB0F9E" w:rsidRPr="00EB0F9E" w:rsidRDefault="00EB0F9E" w:rsidP="00EB0F9E">
            <w:pPr>
              <w:spacing w:after="0" w:line="240" w:lineRule="auto"/>
              <w:rPr>
                <w:rFonts w:ascii="Lato" w:hAnsi="Lato"/>
                <w:sz w:val="20"/>
              </w:rPr>
            </w:pPr>
            <w:r w:rsidRPr="00EB0F9E">
              <w:rPr>
                <w:rFonts w:ascii="Lato" w:hAnsi="Lato"/>
                <w:b/>
                <w:bCs/>
                <w:sz w:val="20"/>
              </w:rPr>
              <w:t xml:space="preserve">Data Act – B2G i </w:t>
            </w:r>
            <w:r w:rsidR="00D0585A">
              <w:rPr>
                <w:rFonts w:ascii="Lato" w:hAnsi="Lato"/>
                <w:b/>
                <w:bCs/>
                <w:sz w:val="20"/>
              </w:rPr>
              <w:t>t</w:t>
            </w:r>
            <w:r w:rsidRPr="00EB0F9E">
              <w:rPr>
                <w:rFonts w:ascii="Lato" w:hAnsi="Lato"/>
                <w:b/>
                <w:bCs/>
                <w:sz w:val="20"/>
              </w:rPr>
              <w:t xml:space="preserve">ajemnica </w:t>
            </w:r>
            <w:r w:rsidR="00D0585A">
              <w:rPr>
                <w:rFonts w:ascii="Lato" w:hAnsi="Lato"/>
                <w:b/>
                <w:bCs/>
                <w:sz w:val="20"/>
              </w:rPr>
              <w:t>p</w:t>
            </w:r>
            <w:r w:rsidRPr="00EB0F9E">
              <w:rPr>
                <w:rFonts w:ascii="Lato" w:hAnsi="Lato"/>
                <w:b/>
                <w:bCs/>
                <w:sz w:val="20"/>
              </w:rPr>
              <w:t>rzedsiębiorstwa</w:t>
            </w:r>
          </w:p>
        </w:tc>
        <w:tc>
          <w:tcPr>
            <w:tcW w:w="0" w:type="auto"/>
            <w:vAlign w:val="center"/>
            <w:hideMark/>
          </w:tcPr>
          <w:p w14:paraId="40B595CC" w14:textId="77777777" w:rsidR="00D0585A" w:rsidRDefault="00EB0F9E" w:rsidP="00EB0F9E">
            <w:pPr>
              <w:spacing w:after="0" w:line="240" w:lineRule="auto"/>
              <w:rPr>
                <w:rFonts w:ascii="Lato" w:hAnsi="Lato"/>
                <w:sz w:val="20"/>
              </w:rPr>
            </w:pPr>
            <w:r w:rsidRPr="00EB0F9E">
              <w:rPr>
                <w:rFonts w:ascii="Lato" w:hAnsi="Lato"/>
                <w:sz w:val="20"/>
              </w:rPr>
              <w:t xml:space="preserve">KIGEiT i PIIT pozytywnie oceniają </w:t>
            </w:r>
            <w:r w:rsidRPr="00EB0F9E">
              <w:rPr>
                <w:rFonts w:ascii="Lato" w:hAnsi="Lato"/>
                <w:b/>
                <w:bCs/>
                <w:sz w:val="20"/>
              </w:rPr>
              <w:t>zawężenie obowiązku udostępniania danych administracji</w:t>
            </w:r>
            <w:r w:rsidRPr="00EB0F9E">
              <w:rPr>
                <w:rFonts w:ascii="Lato" w:hAnsi="Lato"/>
                <w:sz w:val="20"/>
              </w:rPr>
              <w:t xml:space="preserve"> (B2G) wyłącznie do sytuacji „stanu zagrożenia publicznego” (</w:t>
            </w:r>
            <w:r w:rsidRPr="00EB0F9E">
              <w:rPr>
                <w:rFonts w:ascii="Lato" w:hAnsi="Lato"/>
                <w:i/>
                <w:iCs/>
                <w:sz w:val="20"/>
              </w:rPr>
              <w:t>public emergency</w:t>
            </w:r>
            <w:r w:rsidRPr="00EB0F9E">
              <w:rPr>
                <w:rFonts w:ascii="Lato" w:hAnsi="Lato"/>
                <w:sz w:val="20"/>
              </w:rPr>
              <w:t xml:space="preserve">). </w:t>
            </w:r>
          </w:p>
          <w:p w14:paraId="714FDBC5" w14:textId="77777777" w:rsidR="00D0585A" w:rsidRDefault="00D0585A" w:rsidP="00EB0F9E">
            <w:pPr>
              <w:spacing w:after="0" w:line="240" w:lineRule="auto"/>
              <w:rPr>
                <w:rFonts w:ascii="Lato" w:hAnsi="Lato"/>
                <w:sz w:val="20"/>
              </w:rPr>
            </w:pPr>
          </w:p>
          <w:p w14:paraId="5EC4D4FC" w14:textId="77777777" w:rsidR="00EB0F9E" w:rsidRDefault="00EB0F9E" w:rsidP="00EB0F9E">
            <w:pPr>
              <w:spacing w:after="0" w:line="240" w:lineRule="auto"/>
              <w:rPr>
                <w:rFonts w:ascii="Lato" w:hAnsi="Lato"/>
                <w:sz w:val="20"/>
              </w:rPr>
            </w:pPr>
            <w:r w:rsidRPr="00EB0F9E">
              <w:rPr>
                <w:rFonts w:ascii="Lato" w:hAnsi="Lato"/>
                <w:sz w:val="20"/>
              </w:rPr>
              <w:t xml:space="preserve">POLMED postuluje </w:t>
            </w:r>
            <w:r w:rsidRPr="00EB0F9E">
              <w:rPr>
                <w:rFonts w:ascii="Lato" w:hAnsi="Lato"/>
                <w:b/>
                <w:bCs/>
                <w:sz w:val="20"/>
              </w:rPr>
              <w:t>zmianę warunków odmowy udostępniania danych</w:t>
            </w:r>
            <w:r w:rsidRPr="00EB0F9E">
              <w:rPr>
                <w:rFonts w:ascii="Lato" w:hAnsi="Lato"/>
                <w:sz w:val="20"/>
              </w:rPr>
              <w:t>, aby ułatwić przedsiębiorcom ochronę tajemnic handlowych i know-how.</w:t>
            </w:r>
          </w:p>
          <w:p w14:paraId="68E04D57" w14:textId="77777777" w:rsidR="00DC3904" w:rsidRDefault="00DC3904" w:rsidP="00EB0F9E">
            <w:pPr>
              <w:spacing w:after="0" w:line="240" w:lineRule="auto"/>
              <w:rPr>
                <w:rFonts w:ascii="Lato" w:hAnsi="Lato"/>
                <w:sz w:val="20"/>
              </w:rPr>
            </w:pPr>
          </w:p>
          <w:p w14:paraId="713341DF" w14:textId="163D1ED6" w:rsidR="00DC3904" w:rsidRPr="00DC3904" w:rsidRDefault="00DC3904" w:rsidP="00DC3904">
            <w:pPr>
              <w:spacing w:after="0" w:line="240" w:lineRule="auto"/>
              <w:rPr>
                <w:rFonts w:ascii="Lato" w:hAnsi="Lato"/>
                <w:sz w:val="20"/>
              </w:rPr>
            </w:pPr>
            <w:r>
              <w:rPr>
                <w:rFonts w:ascii="Lato" w:hAnsi="Lato"/>
                <w:sz w:val="20"/>
              </w:rPr>
              <w:t>KI</w:t>
            </w:r>
            <w:r w:rsidR="00992A57">
              <w:rPr>
                <w:rFonts w:ascii="Lato" w:hAnsi="Lato"/>
                <w:sz w:val="20"/>
              </w:rPr>
              <w:t>G</w:t>
            </w:r>
            <w:r>
              <w:rPr>
                <w:rFonts w:ascii="Lato" w:hAnsi="Lato"/>
                <w:sz w:val="20"/>
              </w:rPr>
              <w:t>EiT</w:t>
            </w:r>
            <w:r w:rsidR="00992A57">
              <w:rPr>
                <w:rFonts w:ascii="Lato" w:hAnsi="Lato"/>
                <w:sz w:val="20"/>
              </w:rPr>
              <w:t>:</w:t>
            </w:r>
          </w:p>
          <w:p w14:paraId="5672F645" w14:textId="128CF9A8" w:rsidR="00DC3904" w:rsidRPr="00DC3904" w:rsidRDefault="00DC3904" w:rsidP="00DC3904">
            <w:pPr>
              <w:spacing w:after="0" w:line="240" w:lineRule="auto"/>
              <w:rPr>
                <w:rFonts w:ascii="Lato" w:hAnsi="Lato"/>
                <w:sz w:val="20"/>
              </w:rPr>
            </w:pPr>
            <w:r w:rsidRPr="00DC3904">
              <w:rPr>
                <w:rFonts w:ascii="Lato" w:hAnsi="Lato"/>
                <w:sz w:val="20"/>
              </w:rPr>
              <w:t xml:space="preserve">Data Act: popieramy ograniczenie </w:t>
            </w:r>
            <w:r w:rsidR="00403E92">
              <w:rPr>
                <w:rFonts w:ascii="Lato" w:hAnsi="Lato"/>
                <w:sz w:val="20"/>
              </w:rPr>
              <w:t>do emergency</w:t>
            </w:r>
            <w:r w:rsidR="005F68F5">
              <w:rPr>
                <w:rFonts w:ascii="Lato" w:hAnsi="Lato"/>
                <w:sz w:val="20"/>
              </w:rPr>
              <w:t>.</w:t>
            </w:r>
            <w:r w:rsidRPr="00DC3904">
              <w:rPr>
                <w:rFonts w:ascii="Lato" w:hAnsi="Lato"/>
                <w:sz w:val="20"/>
              </w:rPr>
              <w:t xml:space="preserve"> </w:t>
            </w:r>
          </w:p>
          <w:p w14:paraId="30DEDF8F" w14:textId="77777777" w:rsidR="00DC3904" w:rsidRDefault="00DC3904" w:rsidP="00EB0F9E">
            <w:pPr>
              <w:spacing w:after="0" w:line="240" w:lineRule="auto"/>
              <w:rPr>
                <w:rFonts w:ascii="Lato" w:hAnsi="Lato"/>
                <w:sz w:val="20"/>
              </w:rPr>
            </w:pPr>
          </w:p>
          <w:p w14:paraId="11759102" w14:textId="11407832" w:rsidR="00DC3904" w:rsidRPr="00EB0F9E" w:rsidRDefault="00DC3904" w:rsidP="00EB0F9E">
            <w:pPr>
              <w:spacing w:after="0" w:line="240" w:lineRule="auto"/>
              <w:rPr>
                <w:rFonts w:ascii="Lato" w:hAnsi="Lato"/>
                <w:sz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648A555" w14:textId="77777777" w:rsidR="00EB0F9E" w:rsidRPr="00EB0F9E" w:rsidRDefault="00EB0F9E" w:rsidP="00EB0F9E">
            <w:pPr>
              <w:spacing w:after="0" w:line="240" w:lineRule="auto"/>
              <w:rPr>
                <w:rFonts w:ascii="Lato" w:hAnsi="Lato"/>
                <w:sz w:val="20"/>
              </w:rPr>
            </w:pPr>
            <w:r w:rsidRPr="00EB0F9E">
              <w:rPr>
                <w:rFonts w:ascii="Lato" w:hAnsi="Lato"/>
                <w:sz w:val="20"/>
              </w:rPr>
              <w:t>KIGEiT, PIIT, POLMED</w:t>
            </w:r>
          </w:p>
        </w:tc>
      </w:tr>
      <w:tr w:rsidR="00E745E5" w:rsidRPr="00EB0F9E" w14:paraId="293D0D1F" w14:textId="77777777" w:rsidTr="003A41A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AE802F" w14:textId="01330F84" w:rsidR="00EB0F9E" w:rsidRPr="00EB0F9E" w:rsidRDefault="00EB0F9E" w:rsidP="00EB0F9E">
            <w:pPr>
              <w:spacing w:after="0" w:line="240" w:lineRule="auto"/>
              <w:rPr>
                <w:rFonts w:ascii="Lato" w:hAnsi="Lato"/>
                <w:sz w:val="20"/>
              </w:rPr>
            </w:pPr>
            <w:r w:rsidRPr="00EB0F9E">
              <w:rPr>
                <w:rFonts w:ascii="Lato" w:hAnsi="Lato"/>
                <w:b/>
                <w:bCs/>
                <w:sz w:val="20"/>
              </w:rPr>
              <w:t xml:space="preserve">Data Act – </w:t>
            </w:r>
            <w:r w:rsidR="00D0585A">
              <w:rPr>
                <w:rFonts w:ascii="Lato" w:hAnsi="Lato"/>
                <w:b/>
                <w:bCs/>
                <w:sz w:val="20"/>
              </w:rPr>
              <w:t>o</w:t>
            </w:r>
            <w:r w:rsidRPr="00EB0F9E">
              <w:rPr>
                <w:rFonts w:ascii="Lato" w:hAnsi="Lato"/>
                <w:b/>
                <w:bCs/>
                <w:sz w:val="20"/>
              </w:rPr>
              <w:t xml:space="preserve">kresy </w:t>
            </w:r>
            <w:r w:rsidR="00D0585A">
              <w:rPr>
                <w:rFonts w:ascii="Lato" w:hAnsi="Lato"/>
                <w:b/>
                <w:bCs/>
                <w:sz w:val="20"/>
              </w:rPr>
              <w:t>p</w:t>
            </w:r>
            <w:r w:rsidRPr="00EB0F9E">
              <w:rPr>
                <w:rFonts w:ascii="Lato" w:hAnsi="Lato"/>
                <w:b/>
                <w:bCs/>
                <w:sz w:val="20"/>
              </w:rPr>
              <w:t>rzejściowe</w:t>
            </w:r>
          </w:p>
        </w:tc>
        <w:tc>
          <w:tcPr>
            <w:tcW w:w="0" w:type="auto"/>
            <w:vAlign w:val="center"/>
            <w:hideMark/>
          </w:tcPr>
          <w:p w14:paraId="5FD05656" w14:textId="77777777" w:rsidR="00EB0F9E" w:rsidRDefault="00EB0F9E" w:rsidP="00EB0F9E">
            <w:pPr>
              <w:spacing w:after="0" w:line="240" w:lineRule="auto"/>
              <w:rPr>
                <w:rFonts w:ascii="Lato" w:hAnsi="Lato"/>
                <w:sz w:val="20"/>
              </w:rPr>
            </w:pPr>
            <w:r w:rsidRPr="00EB0F9E">
              <w:rPr>
                <w:rFonts w:ascii="Lato" w:hAnsi="Lato"/>
                <w:sz w:val="20"/>
              </w:rPr>
              <w:t xml:space="preserve">POLMED postuluje </w:t>
            </w:r>
            <w:r w:rsidRPr="00EB0F9E">
              <w:rPr>
                <w:rFonts w:ascii="Lato" w:hAnsi="Lato"/>
                <w:b/>
                <w:bCs/>
                <w:sz w:val="20"/>
              </w:rPr>
              <w:t>maksymalne opóźnienie</w:t>
            </w:r>
            <w:r w:rsidRPr="00EB0F9E">
              <w:rPr>
                <w:rFonts w:ascii="Lato" w:hAnsi="Lato"/>
                <w:sz w:val="20"/>
              </w:rPr>
              <w:t xml:space="preserve"> obowiązku stosowania wymogów Data Act (przynajmniej do </w:t>
            </w:r>
            <w:r w:rsidRPr="00EB0F9E">
              <w:rPr>
                <w:rFonts w:ascii="Lato" w:hAnsi="Lato"/>
                <w:b/>
                <w:bCs/>
                <w:sz w:val="20"/>
              </w:rPr>
              <w:t>września 2029 r.</w:t>
            </w:r>
            <w:r w:rsidRPr="00EB0F9E">
              <w:rPr>
                <w:rFonts w:ascii="Lato" w:hAnsi="Lato"/>
                <w:sz w:val="20"/>
              </w:rPr>
              <w:t>), aby zapewnić przedsiębiorstwom realny czas na dostosowanie produktów i usług.</w:t>
            </w:r>
          </w:p>
          <w:p w14:paraId="74785853" w14:textId="77777777" w:rsidR="007D364E" w:rsidRPr="00EB0F9E" w:rsidRDefault="007D364E" w:rsidP="00EB0F9E">
            <w:pPr>
              <w:spacing w:after="0" w:line="240" w:lineRule="auto"/>
              <w:rPr>
                <w:rFonts w:ascii="Lato" w:hAnsi="Lato"/>
                <w:sz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7E14C68" w14:textId="77777777" w:rsidR="00EB0F9E" w:rsidRPr="00EB0F9E" w:rsidRDefault="00EB0F9E" w:rsidP="00EB0F9E">
            <w:pPr>
              <w:spacing w:after="0" w:line="240" w:lineRule="auto"/>
              <w:rPr>
                <w:rFonts w:ascii="Lato" w:hAnsi="Lato"/>
                <w:sz w:val="20"/>
              </w:rPr>
            </w:pPr>
            <w:r w:rsidRPr="00EB0F9E">
              <w:rPr>
                <w:rFonts w:ascii="Lato" w:hAnsi="Lato"/>
                <w:sz w:val="20"/>
              </w:rPr>
              <w:t>POLMED</w:t>
            </w:r>
          </w:p>
        </w:tc>
      </w:tr>
      <w:tr w:rsidR="007D364E" w:rsidRPr="00EB0F9E" w14:paraId="1E98AE6D" w14:textId="77777777" w:rsidTr="003A41A7">
        <w:trPr>
          <w:tblCellSpacing w:w="15" w:type="dxa"/>
        </w:trPr>
        <w:tc>
          <w:tcPr>
            <w:tcW w:w="0" w:type="auto"/>
            <w:vAlign w:val="center"/>
          </w:tcPr>
          <w:p w14:paraId="6CC0996A" w14:textId="6A8B7E34" w:rsidR="007D364E" w:rsidRPr="00EB0F9E" w:rsidRDefault="000C2A1F" w:rsidP="00EB0F9E">
            <w:pPr>
              <w:spacing w:after="0" w:line="240" w:lineRule="auto"/>
              <w:rPr>
                <w:rFonts w:ascii="Lato" w:hAnsi="Lato"/>
                <w:b/>
                <w:bCs/>
                <w:sz w:val="20"/>
              </w:rPr>
            </w:pPr>
            <w:r>
              <w:rPr>
                <w:rFonts w:ascii="Lato" w:hAnsi="Lato"/>
                <w:b/>
                <w:bCs/>
                <w:sz w:val="20"/>
              </w:rPr>
              <w:t>Data Act- organ nadzoru</w:t>
            </w:r>
          </w:p>
        </w:tc>
        <w:tc>
          <w:tcPr>
            <w:tcW w:w="0" w:type="auto"/>
            <w:vAlign w:val="center"/>
          </w:tcPr>
          <w:p w14:paraId="6F2818FF" w14:textId="037CC59D" w:rsidR="007D364E" w:rsidRDefault="007D364E" w:rsidP="00EB0F9E">
            <w:pPr>
              <w:spacing w:after="0" w:line="240" w:lineRule="auto"/>
              <w:rPr>
                <w:rFonts w:ascii="Lato" w:hAnsi="Lato"/>
                <w:sz w:val="20"/>
              </w:rPr>
            </w:pPr>
          </w:p>
          <w:p w14:paraId="7A639C78" w14:textId="4B637041" w:rsidR="007D364E" w:rsidRDefault="007D364E" w:rsidP="00EB0F9E">
            <w:pPr>
              <w:spacing w:after="0" w:line="240" w:lineRule="auto"/>
              <w:rPr>
                <w:rFonts w:ascii="Lato" w:hAnsi="Lato"/>
                <w:sz w:val="20"/>
              </w:rPr>
            </w:pPr>
            <w:r>
              <w:rPr>
                <w:rFonts w:ascii="Lato" w:hAnsi="Lato"/>
                <w:sz w:val="20"/>
              </w:rPr>
              <w:t xml:space="preserve">Włączenie DGA do </w:t>
            </w:r>
            <w:r w:rsidR="000C2A1F">
              <w:rPr>
                <w:rFonts w:ascii="Lato" w:hAnsi="Lato"/>
                <w:sz w:val="20"/>
              </w:rPr>
              <w:t>DA- jeden o</w:t>
            </w:r>
            <w:r>
              <w:rPr>
                <w:rFonts w:ascii="Lato" w:hAnsi="Lato"/>
                <w:sz w:val="20"/>
              </w:rPr>
              <w:t>rgan nadzoru</w:t>
            </w:r>
            <w:r w:rsidR="000C2A1F">
              <w:rPr>
                <w:rFonts w:ascii="Lato" w:hAnsi="Lato"/>
                <w:sz w:val="20"/>
              </w:rPr>
              <w:t xml:space="preserve"> czy kilka?</w:t>
            </w:r>
          </w:p>
          <w:p w14:paraId="33CA5C5D" w14:textId="51742123" w:rsidR="007D364E" w:rsidRPr="00EB0F9E" w:rsidRDefault="007D364E" w:rsidP="00EB0F9E">
            <w:pPr>
              <w:spacing w:after="0" w:line="240" w:lineRule="auto"/>
              <w:rPr>
                <w:rFonts w:ascii="Lato" w:hAnsi="Lato"/>
                <w:sz w:val="20"/>
              </w:rPr>
            </w:pPr>
          </w:p>
        </w:tc>
        <w:tc>
          <w:tcPr>
            <w:tcW w:w="0" w:type="auto"/>
            <w:vAlign w:val="center"/>
          </w:tcPr>
          <w:p w14:paraId="75462224" w14:textId="691039BC" w:rsidR="007D364E" w:rsidRPr="00EB0F9E" w:rsidRDefault="000E0BDF" w:rsidP="00EB0F9E">
            <w:pPr>
              <w:spacing w:after="0" w:line="240" w:lineRule="auto"/>
              <w:rPr>
                <w:rFonts w:ascii="Lato" w:hAnsi="Lato"/>
                <w:sz w:val="20"/>
              </w:rPr>
            </w:pPr>
            <w:r>
              <w:rPr>
                <w:rFonts w:ascii="Lato" w:hAnsi="Lato"/>
                <w:sz w:val="20"/>
              </w:rPr>
              <w:t>KIGEiT</w:t>
            </w:r>
          </w:p>
        </w:tc>
      </w:tr>
      <w:tr w:rsidR="00E745E5" w:rsidRPr="00EB0F9E" w14:paraId="0AC897E4" w14:textId="77777777" w:rsidTr="003A41A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2D21D9" w14:textId="4730415D" w:rsidR="00EB0F9E" w:rsidRPr="00EB0F9E" w:rsidRDefault="00EB0F9E" w:rsidP="00EB0F9E">
            <w:pPr>
              <w:spacing w:after="0" w:line="240" w:lineRule="auto"/>
              <w:rPr>
                <w:rFonts w:ascii="Lato" w:hAnsi="Lato"/>
                <w:sz w:val="20"/>
              </w:rPr>
            </w:pPr>
            <w:r w:rsidRPr="00EB0F9E">
              <w:rPr>
                <w:rFonts w:ascii="Lato" w:hAnsi="Lato"/>
                <w:b/>
                <w:bCs/>
                <w:sz w:val="20"/>
              </w:rPr>
              <w:t xml:space="preserve">Data Act – </w:t>
            </w:r>
            <w:r w:rsidR="00D0585A">
              <w:rPr>
                <w:rFonts w:ascii="Lato" w:hAnsi="Lato"/>
                <w:b/>
                <w:bCs/>
                <w:sz w:val="20"/>
              </w:rPr>
              <w:t>usługi chmurowe</w:t>
            </w:r>
          </w:p>
        </w:tc>
        <w:tc>
          <w:tcPr>
            <w:tcW w:w="0" w:type="auto"/>
            <w:vAlign w:val="center"/>
            <w:hideMark/>
          </w:tcPr>
          <w:p w14:paraId="2C785587" w14:textId="77777777" w:rsidR="00EB0F9E" w:rsidRPr="00EB0F9E" w:rsidRDefault="00EB0F9E" w:rsidP="00EB0F9E">
            <w:pPr>
              <w:spacing w:after="0" w:line="240" w:lineRule="auto"/>
              <w:rPr>
                <w:rFonts w:ascii="Lato" w:hAnsi="Lato"/>
                <w:sz w:val="20"/>
              </w:rPr>
            </w:pPr>
            <w:r w:rsidRPr="00EB0F9E">
              <w:rPr>
                <w:rFonts w:ascii="Lato" w:hAnsi="Lato"/>
                <w:sz w:val="20"/>
              </w:rPr>
              <w:t xml:space="preserve">AmCham z zadowoleniem przyjmuje zmiany w zasadach przełączania usług chmurowych, </w:t>
            </w:r>
            <w:r w:rsidRPr="00EB0F9E">
              <w:rPr>
                <w:rFonts w:ascii="Lato" w:hAnsi="Lato"/>
                <w:sz w:val="20"/>
              </w:rPr>
              <w:lastRenderedPageBreak/>
              <w:t xml:space="preserve">które uwzględniają elastyczność dla usług </w:t>
            </w:r>
            <w:r w:rsidRPr="00EB0F9E">
              <w:rPr>
                <w:rFonts w:ascii="Lato" w:hAnsi="Lato"/>
                <w:b/>
                <w:bCs/>
                <w:sz w:val="20"/>
              </w:rPr>
              <w:t>"custom-made"</w:t>
            </w:r>
            <w:r w:rsidRPr="00EB0F9E">
              <w:rPr>
                <w:rFonts w:ascii="Lato" w:hAnsi="Lato"/>
                <w:sz w:val="20"/>
              </w:rPr>
              <w:t xml:space="preserve"> (wysoce dostosowanych do klienta).</w:t>
            </w:r>
          </w:p>
        </w:tc>
        <w:tc>
          <w:tcPr>
            <w:tcW w:w="0" w:type="auto"/>
            <w:vAlign w:val="center"/>
            <w:hideMark/>
          </w:tcPr>
          <w:p w14:paraId="1F75F1C3" w14:textId="77777777" w:rsidR="00EB0F9E" w:rsidRPr="00EB0F9E" w:rsidRDefault="00EB0F9E" w:rsidP="00EB0F9E">
            <w:pPr>
              <w:spacing w:after="0" w:line="240" w:lineRule="auto"/>
              <w:rPr>
                <w:rFonts w:ascii="Lato" w:hAnsi="Lato"/>
                <w:sz w:val="20"/>
              </w:rPr>
            </w:pPr>
            <w:r w:rsidRPr="00EB0F9E">
              <w:rPr>
                <w:rFonts w:ascii="Lato" w:hAnsi="Lato"/>
                <w:sz w:val="20"/>
              </w:rPr>
              <w:lastRenderedPageBreak/>
              <w:t>AmCham</w:t>
            </w:r>
          </w:p>
        </w:tc>
      </w:tr>
    </w:tbl>
    <w:p w14:paraId="052AAC9E" w14:textId="77777777" w:rsidR="00F54952" w:rsidRPr="00F54952" w:rsidRDefault="00F54952" w:rsidP="00C96812">
      <w:pPr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423362C3" w14:textId="77777777" w:rsidR="00F54952" w:rsidRPr="00F54952" w:rsidRDefault="00F54952" w:rsidP="00C96812">
      <w:pPr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3E8E4F3D" w14:textId="77777777" w:rsidR="00F54952" w:rsidRPr="00F54952" w:rsidRDefault="00F54952" w:rsidP="00C96812">
      <w:pPr>
        <w:spacing w:after="0" w:line="240" w:lineRule="auto"/>
        <w:jc w:val="both"/>
        <w:rPr>
          <w:rFonts w:ascii="Lato" w:hAnsi="Lato"/>
          <w:sz w:val="20"/>
          <w:szCs w:val="20"/>
        </w:rPr>
      </w:pPr>
    </w:p>
    <w:sectPr w:rsidR="00F54952" w:rsidRPr="00F54952" w:rsidSect="003E1B02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F11DFC" w14:textId="77777777" w:rsidR="008A0A82" w:rsidRDefault="008A0A82" w:rsidP="009276B2">
      <w:pPr>
        <w:spacing w:after="0" w:line="240" w:lineRule="auto"/>
      </w:pPr>
      <w:r>
        <w:separator/>
      </w:r>
    </w:p>
  </w:endnote>
  <w:endnote w:type="continuationSeparator" w:id="0">
    <w:p w14:paraId="5BBA63E1" w14:textId="77777777" w:rsidR="008A0A82" w:rsidRDefault="008A0A82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AEECFFAD-87D8-4116-9504-E1FC0DC27DE0}"/>
    <w:embedBold r:id="rId2" w:fontKey="{21C7C48F-9703-49B7-B460-D1DCE126163A}"/>
    <w:embedItalic r:id="rId3" w:fontKey="{02E755CC-D7F5-4768-884C-F11FD519FB9F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4" w:fontKey="{394040A3-3383-49B3-B20A-4B9151392F47}"/>
    <w:embedBold r:id="rId5" w:fontKey="{B13FAB0C-2085-43B3-BB2E-E8908B334401}"/>
    <w:embedItalic r:id="rId6" w:fontKey="{1B89F9D5-5514-4CC9-8F62-55E029BCA269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08A70B3C-EAF1-437D-BDDA-5AE466F7CB8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07DF7" w14:textId="48D5F097" w:rsidR="0069447E" w:rsidRPr="003E1B02" w:rsidRDefault="0069447E" w:rsidP="0069447E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6"/>
      </w:rPr>
    </w:pPr>
    <w:r>
      <w:rPr>
        <w:rFonts w:ascii="Lato" w:hAnsi="Lato"/>
        <w:sz w:val="16"/>
      </w:rPr>
      <w:tab/>
    </w:r>
  </w:p>
  <w:p w14:paraId="149B2D1F" w14:textId="77777777" w:rsidR="0069447E" w:rsidRDefault="0069447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408E1" w14:textId="31DA1AE1" w:rsidR="003E1B02" w:rsidRPr="003E1B02" w:rsidRDefault="003E1B02" w:rsidP="003E1B02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6"/>
      </w:rPr>
    </w:pPr>
    <w:r w:rsidRPr="003E1B02">
      <w:rPr>
        <w:rFonts w:ascii="Lato" w:hAnsi="Lato"/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DEC7393" wp14:editId="431A79A3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line id="Łącznik prosty 31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spid="_x0000_s1026" strokecolor="black [3213]" strokeweight=".5pt" from="0,-9.5pt" to="396.85pt,-9.5pt" w14:anchorId="1C601B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">
              <v:stroke joinstyle="miter"/>
              <w10:wrap anchorx="margin"/>
            </v:line>
          </w:pict>
        </mc:Fallback>
      </mc:AlternateContent>
    </w:r>
    <w:r w:rsidR="00716D59">
      <w:rPr>
        <w:rFonts w:ascii="Lato" w:hAnsi="Lato"/>
        <w:sz w:val="16"/>
      </w:rPr>
      <w:t>t</w:t>
    </w:r>
    <w:r w:rsidRPr="003E1B02">
      <w:rPr>
        <w:rFonts w:ascii="Lato" w:hAnsi="Lato"/>
        <w:sz w:val="16"/>
      </w:rPr>
      <w:t>elefon</w:t>
    </w:r>
    <w:r w:rsidR="00E5709A">
      <w:rPr>
        <w:rFonts w:ascii="Lato" w:hAnsi="Lato"/>
        <w:sz w:val="16"/>
      </w:rPr>
      <w:t xml:space="preserve"> </w:t>
    </w:r>
    <w:r w:rsidR="00E5709A" w:rsidRPr="00E5709A">
      <w:rPr>
        <w:rFonts w:ascii="Lato" w:hAnsi="Lato"/>
        <w:sz w:val="16"/>
      </w:rPr>
      <w:t>+48 22 2455913</w:t>
    </w:r>
    <w:r w:rsidRPr="003E1B02">
      <w:rPr>
        <w:rFonts w:ascii="Lato" w:hAnsi="Lato"/>
        <w:sz w:val="16"/>
      </w:rPr>
      <w:tab/>
    </w:r>
    <w:r w:rsidR="00855115">
      <w:rPr>
        <w:rFonts w:ascii="Lato" w:hAnsi="Lato"/>
        <w:sz w:val="16"/>
      </w:rPr>
      <w:t>ul. Królewska 27</w:t>
    </w:r>
  </w:p>
  <w:p w14:paraId="54B5A316" w14:textId="12EB360D" w:rsidR="003E1B02" w:rsidRDefault="003E1B02" w:rsidP="003E1B02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6"/>
      </w:rPr>
    </w:pPr>
    <w:r w:rsidRPr="003E1B02">
      <w:rPr>
        <w:rFonts w:ascii="Lato" w:hAnsi="Lato"/>
        <w:sz w:val="16"/>
      </w:rPr>
      <w:t>a</w:t>
    </w:r>
    <w:r>
      <w:rPr>
        <w:rFonts w:ascii="Lato" w:hAnsi="Lato"/>
        <w:sz w:val="16"/>
      </w:rPr>
      <w:t>dres email</w:t>
    </w:r>
    <w:r w:rsidR="00E5709A">
      <w:rPr>
        <w:rFonts w:ascii="Lato" w:hAnsi="Lato"/>
        <w:sz w:val="16"/>
      </w:rPr>
      <w:t xml:space="preserve"> </w:t>
    </w:r>
    <w:hyperlink r:id="rId1" w:history="1">
      <w:r w:rsidR="00E5709A" w:rsidRPr="00D73C8C">
        <w:rPr>
          <w:rStyle w:val="Hipercze"/>
          <w:rFonts w:ascii="Lato" w:hAnsi="Lato"/>
          <w:sz w:val="16"/>
        </w:rPr>
        <w:t>sekretariat.dpis@cyfra.gov.pl</w:t>
      </w:r>
    </w:hyperlink>
    <w:r w:rsidR="00E5709A">
      <w:rPr>
        <w:rFonts w:ascii="Lato" w:hAnsi="Lato"/>
        <w:sz w:val="16"/>
      </w:rPr>
      <w:t xml:space="preserve"> </w:t>
    </w:r>
    <w:r>
      <w:rPr>
        <w:rFonts w:ascii="Lato" w:hAnsi="Lato"/>
        <w:sz w:val="16"/>
      </w:rPr>
      <w:tab/>
    </w:r>
    <w:r w:rsidR="00855115">
      <w:rPr>
        <w:rFonts w:ascii="Lato" w:hAnsi="Lato"/>
        <w:sz w:val="16"/>
      </w:rPr>
      <w:t>00-060 Warszawa</w:t>
    </w:r>
  </w:p>
  <w:p w14:paraId="573E6CDD" w14:textId="6BB1836F" w:rsidR="003E1B02" w:rsidRPr="003E1B02" w:rsidRDefault="003E1B02" w:rsidP="003E1B02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6"/>
      </w:rPr>
    </w:pPr>
    <w:r w:rsidRPr="003E1B02">
      <w:rPr>
        <w:rFonts w:ascii="Lato" w:hAnsi="Lato"/>
        <w:sz w:val="16"/>
      </w:rPr>
      <w:t>www</w:t>
    </w:r>
    <w:r w:rsidR="00855115">
      <w:rPr>
        <w:rFonts w:ascii="Lato" w:hAnsi="Lato"/>
        <w:sz w:val="16"/>
      </w:rPr>
      <w:t>.</w:t>
    </w:r>
    <w:r w:rsidR="00855115" w:rsidRPr="00855115">
      <w:rPr>
        <w:rFonts w:ascii="Lato" w:hAnsi="Lato"/>
        <w:sz w:val="16"/>
      </w:rPr>
      <w:t>gov.pl/web/cyfryzacja</w:t>
    </w:r>
    <w:r>
      <w:rPr>
        <w:rFonts w:ascii="Lato" w:hAnsi="Lato"/>
        <w:sz w:val="16"/>
      </w:rPr>
      <w:tab/>
    </w:r>
  </w:p>
  <w:p w14:paraId="10E34D61" w14:textId="77777777" w:rsidR="003E1B02" w:rsidRPr="003E1B02" w:rsidRDefault="003E1B02" w:rsidP="003E1B02">
    <w:pPr>
      <w:pStyle w:val="Stopka"/>
      <w:rPr>
        <w:rFonts w:ascii="Lato" w:hAnsi="Lato"/>
        <w:sz w:val="14"/>
      </w:rPr>
    </w:pPr>
  </w:p>
  <w:p w14:paraId="7B1C35B6" w14:textId="77777777" w:rsidR="003E1B02" w:rsidRPr="003E1B02" w:rsidRDefault="003E1B02">
    <w:pPr>
      <w:pStyle w:val="Stopka"/>
      <w:rPr>
        <w:rFonts w:ascii="Lato" w:hAnsi="La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A00D5E" w14:textId="77777777" w:rsidR="008A0A82" w:rsidRDefault="008A0A82" w:rsidP="009276B2">
      <w:pPr>
        <w:spacing w:after="0" w:line="240" w:lineRule="auto"/>
      </w:pPr>
      <w:r>
        <w:separator/>
      </w:r>
    </w:p>
  </w:footnote>
  <w:footnote w:type="continuationSeparator" w:id="0">
    <w:p w14:paraId="581FBC65" w14:textId="77777777" w:rsidR="008A0A82" w:rsidRDefault="008A0A82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D7524" w14:textId="77777777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D1EAF" w14:textId="05927D66" w:rsidR="003E1B02" w:rsidRDefault="0069447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5408" behindDoc="0" locked="0" layoutInCell="1" allowOverlap="1" wp14:anchorId="5FE15306" wp14:editId="3E956C4E">
          <wp:simplePos x="0" y="0"/>
          <wp:positionH relativeFrom="column">
            <wp:posOffset>-927100</wp:posOffset>
          </wp:positionH>
          <wp:positionV relativeFrom="paragraph">
            <wp:posOffset>-59690</wp:posOffset>
          </wp:positionV>
          <wp:extent cx="2381250" cy="1061720"/>
          <wp:effectExtent l="0" t="0" r="0" b="0"/>
          <wp:wrapThrough wrapText="bothSides">
            <wp:wrapPolygon edited="0">
              <wp:start x="4147" y="2325"/>
              <wp:lineTo x="2246" y="3876"/>
              <wp:lineTo x="1037" y="6589"/>
              <wp:lineTo x="1210" y="10077"/>
              <wp:lineTo x="1728" y="16278"/>
              <wp:lineTo x="3283" y="18215"/>
              <wp:lineTo x="4147" y="18990"/>
              <wp:lineTo x="20390" y="18990"/>
              <wp:lineTo x="20736" y="16278"/>
              <wp:lineTo x="16934" y="15115"/>
              <wp:lineTo x="16934" y="9689"/>
              <wp:lineTo x="20218" y="8914"/>
              <wp:lineTo x="20045" y="5038"/>
              <wp:lineTo x="4838" y="2325"/>
              <wp:lineTo x="4147" y="2325"/>
            </wp:wrapPolygon>
          </wp:wrapThrough>
          <wp:docPr id="7" name="Obraz 7" descr="Godło i nagłówek M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 descr="Godło i nagłówek MC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8125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2E3C8F"/>
    <w:multiLevelType w:val="hybridMultilevel"/>
    <w:tmpl w:val="AE00D0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56051A"/>
    <w:multiLevelType w:val="hybridMultilevel"/>
    <w:tmpl w:val="B8145180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 w16cid:durableId="820120888">
    <w:abstractNumId w:val="0"/>
  </w:num>
  <w:num w:numId="2" w16cid:durableId="14524783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45B91"/>
    <w:rsid w:val="00055F10"/>
    <w:rsid w:val="00072BD5"/>
    <w:rsid w:val="000775F0"/>
    <w:rsid w:val="000970BA"/>
    <w:rsid w:val="000C2A1F"/>
    <w:rsid w:val="000E0BDF"/>
    <w:rsid w:val="000E7C4D"/>
    <w:rsid w:val="000F5035"/>
    <w:rsid w:val="001003BC"/>
    <w:rsid w:val="001236B0"/>
    <w:rsid w:val="00172687"/>
    <w:rsid w:val="001861C5"/>
    <w:rsid w:val="001B70EB"/>
    <w:rsid w:val="001E4E28"/>
    <w:rsid w:val="001E5CC7"/>
    <w:rsid w:val="00257F72"/>
    <w:rsid w:val="002648F2"/>
    <w:rsid w:val="00287680"/>
    <w:rsid w:val="002A74B6"/>
    <w:rsid w:val="002B46C1"/>
    <w:rsid w:val="002C6B60"/>
    <w:rsid w:val="002D2986"/>
    <w:rsid w:val="002F2C83"/>
    <w:rsid w:val="00365A69"/>
    <w:rsid w:val="003A3B6C"/>
    <w:rsid w:val="003A41A7"/>
    <w:rsid w:val="003D617A"/>
    <w:rsid w:val="003E1B02"/>
    <w:rsid w:val="003E411D"/>
    <w:rsid w:val="004022F5"/>
    <w:rsid w:val="00403E92"/>
    <w:rsid w:val="0040651D"/>
    <w:rsid w:val="00477236"/>
    <w:rsid w:val="004C8D02"/>
    <w:rsid w:val="004D3D05"/>
    <w:rsid w:val="004E3DA7"/>
    <w:rsid w:val="00515FAE"/>
    <w:rsid w:val="0051777A"/>
    <w:rsid w:val="00523CE5"/>
    <w:rsid w:val="005476AD"/>
    <w:rsid w:val="00590C4E"/>
    <w:rsid w:val="00595405"/>
    <w:rsid w:val="005E62CD"/>
    <w:rsid w:val="005E6E23"/>
    <w:rsid w:val="005E7C7F"/>
    <w:rsid w:val="005F294D"/>
    <w:rsid w:val="005F68F5"/>
    <w:rsid w:val="00641265"/>
    <w:rsid w:val="00646FD8"/>
    <w:rsid w:val="00664129"/>
    <w:rsid w:val="0066686A"/>
    <w:rsid w:val="0069447E"/>
    <w:rsid w:val="007012C8"/>
    <w:rsid w:val="00710342"/>
    <w:rsid w:val="0071491F"/>
    <w:rsid w:val="00716D59"/>
    <w:rsid w:val="00752E8A"/>
    <w:rsid w:val="0079371D"/>
    <w:rsid w:val="00797577"/>
    <w:rsid w:val="007D364E"/>
    <w:rsid w:val="007F44A0"/>
    <w:rsid w:val="007F4FF5"/>
    <w:rsid w:val="0083785E"/>
    <w:rsid w:val="00855115"/>
    <w:rsid w:val="008A0A82"/>
    <w:rsid w:val="008B10E0"/>
    <w:rsid w:val="008C1ED4"/>
    <w:rsid w:val="009276B2"/>
    <w:rsid w:val="00942BDB"/>
    <w:rsid w:val="00947A6C"/>
    <w:rsid w:val="00971CF1"/>
    <w:rsid w:val="00992A57"/>
    <w:rsid w:val="009D1463"/>
    <w:rsid w:val="009E1FCC"/>
    <w:rsid w:val="00A1567F"/>
    <w:rsid w:val="00A549E8"/>
    <w:rsid w:val="00A667F8"/>
    <w:rsid w:val="00A923A2"/>
    <w:rsid w:val="00AE5985"/>
    <w:rsid w:val="00AE7670"/>
    <w:rsid w:val="00AF05FB"/>
    <w:rsid w:val="00AF3DFB"/>
    <w:rsid w:val="00B071B4"/>
    <w:rsid w:val="00B16D81"/>
    <w:rsid w:val="00B21B6F"/>
    <w:rsid w:val="00B2469E"/>
    <w:rsid w:val="00B5197E"/>
    <w:rsid w:val="00B670ED"/>
    <w:rsid w:val="00B8017A"/>
    <w:rsid w:val="00B87744"/>
    <w:rsid w:val="00B92A95"/>
    <w:rsid w:val="00BA040A"/>
    <w:rsid w:val="00BE4406"/>
    <w:rsid w:val="00C438A6"/>
    <w:rsid w:val="00C65CE8"/>
    <w:rsid w:val="00C8064A"/>
    <w:rsid w:val="00C96812"/>
    <w:rsid w:val="00CC3A16"/>
    <w:rsid w:val="00CC72B6"/>
    <w:rsid w:val="00CC7E73"/>
    <w:rsid w:val="00CD2E82"/>
    <w:rsid w:val="00CD3753"/>
    <w:rsid w:val="00CF21C3"/>
    <w:rsid w:val="00D0585A"/>
    <w:rsid w:val="00D132C0"/>
    <w:rsid w:val="00D2490C"/>
    <w:rsid w:val="00D30155"/>
    <w:rsid w:val="00D44175"/>
    <w:rsid w:val="00D73437"/>
    <w:rsid w:val="00D838E5"/>
    <w:rsid w:val="00DA58F3"/>
    <w:rsid w:val="00DC3904"/>
    <w:rsid w:val="00DC68D9"/>
    <w:rsid w:val="00E05218"/>
    <w:rsid w:val="00E3400A"/>
    <w:rsid w:val="00E5709A"/>
    <w:rsid w:val="00E606EC"/>
    <w:rsid w:val="00E64FBF"/>
    <w:rsid w:val="00E745E5"/>
    <w:rsid w:val="00E85538"/>
    <w:rsid w:val="00E976AF"/>
    <w:rsid w:val="00EB0F9E"/>
    <w:rsid w:val="00EC370E"/>
    <w:rsid w:val="00EF0DBF"/>
    <w:rsid w:val="00EF33C4"/>
    <w:rsid w:val="00F14300"/>
    <w:rsid w:val="00F25501"/>
    <w:rsid w:val="00F54952"/>
    <w:rsid w:val="00F615D4"/>
    <w:rsid w:val="00F84AFC"/>
    <w:rsid w:val="00FA6BD4"/>
    <w:rsid w:val="3697A9DA"/>
    <w:rsid w:val="454928AC"/>
    <w:rsid w:val="49DDC07A"/>
    <w:rsid w:val="5672D3A9"/>
    <w:rsid w:val="592ED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252391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ED4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E5709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B0F9E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1003BC"/>
    <w:rPr>
      <w:color w:val="954F72" w:themeColor="followedHyperlink"/>
      <w:u w:val="single"/>
    </w:rPr>
  </w:style>
  <w:style w:type="paragraph" w:styleId="Akapitzlist">
    <w:name w:val="List Paragraph"/>
    <w:basedOn w:val="Normalny"/>
    <w:uiPriority w:val="34"/>
    <w:qFormat/>
    <w:rsid w:val="001003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4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ekretariat.dpis@cyfra.gov.p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eur-lex.europa.eu/legal-content/EN/TXT/?uri=celex%3A52025PC0837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ur-lex.europa.eu/legal-content/EN/TXT/?uri=celex:52025PC0836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sekretariat.dpis@cyfra.gov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2B608DE3801E04A867AF33217F08F91" ma:contentTypeVersion="10" ma:contentTypeDescription="Utwórz nowy dokument." ma:contentTypeScope="" ma:versionID="9604913ad3ef30060435d18d973cf9b5">
  <xsd:schema xmlns:xsd="http://www.w3.org/2001/XMLSchema" xmlns:xs="http://www.w3.org/2001/XMLSchema" xmlns:p="http://schemas.microsoft.com/office/2006/metadata/properties" xmlns:ns2="93426813-0233-4231-915c-9cf451de3994" xmlns:ns3="14dbeaa4-26b8-4da0-ae90-1bd370dd5414" targetNamespace="http://schemas.microsoft.com/office/2006/metadata/properties" ma:root="true" ma:fieldsID="76e4439716b6c8771e2e4fab67bb57b5" ns2:_="" ns3:_="">
    <xsd:import namespace="93426813-0233-4231-915c-9cf451de3994"/>
    <xsd:import namespace="14dbeaa4-26b8-4da0-ae90-1bd370dd54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426813-0233-4231-915c-9cf451de39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88746b49-d001-4972-b357-55943193df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dbeaa4-26b8-4da0-ae90-1bd370dd541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b8e8006-d764-4478-ba15-6ba223da212f}" ma:internalName="TaxCatchAll" ma:showField="CatchAllData" ma:web="14dbeaa4-26b8-4da0-ae90-1bd370dd54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3426813-0233-4231-915c-9cf451de3994">
      <Terms xmlns="http://schemas.microsoft.com/office/infopath/2007/PartnerControls"/>
    </lcf76f155ced4ddcb4097134ff3c332f>
    <TaxCatchAll xmlns="14dbeaa4-26b8-4da0-ae90-1bd370dd5414" xsi:nil="true"/>
  </documentManagement>
</p:properties>
</file>

<file path=customXml/itemProps1.xml><?xml version="1.0" encoding="utf-8"?>
<ds:datastoreItem xmlns:ds="http://schemas.openxmlformats.org/officeDocument/2006/customXml" ds:itemID="{81ADB52D-ACC7-45EF-9846-DC909D976A0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AD55228-845E-4857-BF60-AB3E2A86FE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426813-0233-4231-915c-9cf451de3994"/>
    <ds:schemaRef ds:uri="14dbeaa4-26b8-4da0-ae90-1bd370dd54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C1D848C-2744-4A68-994B-0A1E6070ED3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5994123-9A8A-4302-A56C-E37C8B5EDF54}">
  <ds:schemaRefs>
    <ds:schemaRef ds:uri="http://schemas.microsoft.com/office/2006/metadata/properties"/>
    <ds:schemaRef ds:uri="http://schemas.microsoft.com/office/infopath/2007/PartnerControls"/>
    <ds:schemaRef ds:uri="93426813-0233-4231-915c-9cf451de3994"/>
    <ds:schemaRef ds:uri="14dbeaa4-26b8-4da0-ae90-1bd370dd541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1764</Words>
  <Characters>10587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MC</vt:lpstr>
    </vt:vector>
  </TitlesOfParts>
  <Company>Kancelaria Prezesa Rady Ministrow</Company>
  <LinksUpToDate>false</LinksUpToDate>
  <CharactersWithSpaces>12327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MC</dc:title>
  <dc:subject/>
  <dc:creator>Nowakowski Adam</dc:creator>
  <cp:keywords/>
  <dc:description/>
  <cp:lastModifiedBy>Sztobryn Mateusz</cp:lastModifiedBy>
  <cp:revision>3</cp:revision>
  <cp:lastPrinted>2022-09-08T13:34:00Z</cp:lastPrinted>
  <dcterms:created xsi:type="dcterms:W3CDTF">2026-03-03T13:34:00Z</dcterms:created>
  <dcterms:modified xsi:type="dcterms:W3CDTF">2026-03-05T09:14:00Z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2af5b636-31fb-411c-b392-603ff234888c</vt:lpwstr>
  </property>
  <property fmtid="{D5CDD505-2E9C-101B-9397-08002B2CF9AE}" pid="3" name="ContentTypeId">
    <vt:lpwstr>0x010100B2B608DE3801E04A867AF33217F08F91</vt:lpwstr>
  </property>
  <property fmtid="{D5CDD505-2E9C-101B-9397-08002B2CF9AE}" pid="4" name="MediaServiceImageTags">
    <vt:lpwstr/>
  </property>
</Properties>
</file>