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E43719" w:rsidRPr="00DC43CF">
        <w:rPr>
          <w:rStyle w:val="Pogrubienie"/>
        </w:rPr>
        <w:t>2</w:t>
      </w:r>
      <w:r w:rsidR="008D352C">
        <w:rPr>
          <w:rStyle w:val="Pogrubienie"/>
        </w:rPr>
        <w:t>7</w:t>
      </w:r>
      <w:r w:rsidRPr="00DC43CF">
        <w:rPr>
          <w:rStyle w:val="Pogrubienie"/>
        </w:rPr>
        <w:t>.01.2021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8D352C">
        <w:rPr>
          <w:rStyle w:val="Pogrubienie"/>
        </w:rPr>
        <w:t xml:space="preserve">588 </w:t>
      </w:r>
      <w:r w:rsidR="008D352C">
        <w:t>niepożądanych odczynów poszczepiennych</w:t>
      </w:r>
      <w:r w:rsidRPr="00DC43CF">
        <w:t xml:space="preserve">, z czego </w:t>
      </w:r>
      <w:r w:rsidR="008D352C">
        <w:rPr>
          <w:b/>
          <w:bCs/>
        </w:rPr>
        <w:t>492</w:t>
      </w:r>
      <w:bookmarkStart w:id="0" w:name="_GoBack"/>
      <w:bookmarkEnd w:id="0"/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1618"/>
        <w:gridCol w:w="2223"/>
        <w:gridCol w:w="2242"/>
        <w:gridCol w:w="1054"/>
        <w:gridCol w:w="2836"/>
      </w:tblGrid>
      <w:tr w:rsidR="00E418B9" w:rsidRPr="00DC43CF" w:rsidTr="00D92826">
        <w:trPr>
          <w:trHeight w:val="600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2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9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metaliczny posmak w ustach, 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utratą przytomności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hypnotyczno-hyporeaktywny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osłabienie, uczucie nudności, zawroty głowy, spadek ciśnienia tętniczego 90/60, bez duszności, bez gorączki -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pow.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kortoszyński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złe samopoczucie, osłabienie, zawroty głowy, drgawki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niegorączkowe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BE20B1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702A1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702A1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702A1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702A1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70610A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70610A" w:rsidRPr="00DC43CF" w:rsidTr="00D92826">
        <w:trPr>
          <w:trHeight w:val="1676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F50744" w:rsidRPr="00DC43CF" w:rsidTr="00D92826">
        <w:trPr>
          <w:trHeight w:val="705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wymioty, reakcja astmatyczna,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. Kilkugodzinny pobyt na SOR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drętwienie lewej kończyny górnej, duszność, ból szyi, drętwienie języka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allopsychicznej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gorączka, spadek ciśnienia tętniczego, tachykardia, 3 razy wzywano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zrm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pacjenta nie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hospitalizowano,zatrzymanie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krążenia, zgon /20.01.2021 godz. 20:30 /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wysypka uogólniona, niedowład lewostronny,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osłabiona siła mięśniowa /hospitalizowana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D9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D9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C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C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50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BD7A3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4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B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B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B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DA6B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, epizod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 xml:space="preserve">asilony odczyn o średnicy 10 cm. Bolesność powiększenie węzłów chłonnych. Gorączka 39 </w:t>
            </w:r>
            <w:proofErr w:type="spellStart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, dreszcze. NIEHOSPITALIZOWANA</w:t>
            </w:r>
          </w:p>
        </w:tc>
      </w:tr>
      <w:tr w:rsidR="00406A04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4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4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32744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B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, reakcja astmatyczna, epizod </w:t>
            </w: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21EB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czucie oporu w gardle, duszność, utrata przytomności,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desaturacja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skierowana na SOR Szpitala</w:t>
            </w: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eakcja alergiczna -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reakcja astmatyczna. Obrzęk wargi i górnych dróg oddechowych. Nie wymagała hospitalizacji.</w:t>
            </w: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0C11D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0C11DD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 xml:space="preserve">Nagły spadek ciśnienia, omdlenie. Epizod </w:t>
            </w:r>
            <w:proofErr w:type="spellStart"/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BB0E8E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8E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4E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A94C4E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A94C4E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 xml:space="preserve">reakcja alergiczna pokrzywka, obrzęk </w:t>
            </w:r>
            <w:proofErr w:type="spellStart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, reakcja astmatyczna,</w:t>
            </w: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40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64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9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FF0C69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9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9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9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366B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szczepienia, drgawki, temp. 35, ogólne osłabienie, ból brzucha, silny  ból głowy,  epizod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366BE2" w:rsidRPr="00DC43CF" w:rsidTr="00366B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BE2" w:rsidRPr="00DC43CF" w:rsidTr="00366B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366B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AD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AD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2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11741"/>
    <w:rsid w:val="00011BE2"/>
    <w:rsid w:val="0001217D"/>
    <w:rsid w:val="0003765D"/>
    <w:rsid w:val="00054CD6"/>
    <w:rsid w:val="00063F56"/>
    <w:rsid w:val="00083D25"/>
    <w:rsid w:val="000A48A3"/>
    <w:rsid w:val="000C11DD"/>
    <w:rsid w:val="00140F40"/>
    <w:rsid w:val="001B11C3"/>
    <w:rsid w:val="001B3B64"/>
    <w:rsid w:val="001F7D50"/>
    <w:rsid w:val="00227314"/>
    <w:rsid w:val="00273BF6"/>
    <w:rsid w:val="00274A8C"/>
    <w:rsid w:val="002B1D21"/>
    <w:rsid w:val="002B4741"/>
    <w:rsid w:val="00327441"/>
    <w:rsid w:val="00366BE2"/>
    <w:rsid w:val="0038489A"/>
    <w:rsid w:val="00390CD4"/>
    <w:rsid w:val="003A0AF0"/>
    <w:rsid w:val="003E3286"/>
    <w:rsid w:val="003E5EFA"/>
    <w:rsid w:val="003F2871"/>
    <w:rsid w:val="00406A04"/>
    <w:rsid w:val="00417CA1"/>
    <w:rsid w:val="004561D5"/>
    <w:rsid w:val="00475DC1"/>
    <w:rsid w:val="00494E70"/>
    <w:rsid w:val="004A2522"/>
    <w:rsid w:val="004C73D5"/>
    <w:rsid w:val="004E697D"/>
    <w:rsid w:val="00502A5A"/>
    <w:rsid w:val="00513ACB"/>
    <w:rsid w:val="00566BA3"/>
    <w:rsid w:val="00570535"/>
    <w:rsid w:val="005A4CFB"/>
    <w:rsid w:val="005B0071"/>
    <w:rsid w:val="005D3CA5"/>
    <w:rsid w:val="005D7A0E"/>
    <w:rsid w:val="00604561"/>
    <w:rsid w:val="00621EB5"/>
    <w:rsid w:val="00623C72"/>
    <w:rsid w:val="0063513D"/>
    <w:rsid w:val="006471C8"/>
    <w:rsid w:val="006702A1"/>
    <w:rsid w:val="006E1E50"/>
    <w:rsid w:val="006E763F"/>
    <w:rsid w:val="0070610A"/>
    <w:rsid w:val="007139B0"/>
    <w:rsid w:val="007150F5"/>
    <w:rsid w:val="0071654B"/>
    <w:rsid w:val="0073496E"/>
    <w:rsid w:val="00752F79"/>
    <w:rsid w:val="007656CA"/>
    <w:rsid w:val="0079011A"/>
    <w:rsid w:val="00791028"/>
    <w:rsid w:val="007A6CF7"/>
    <w:rsid w:val="007E1410"/>
    <w:rsid w:val="007E3374"/>
    <w:rsid w:val="007F00FB"/>
    <w:rsid w:val="00805827"/>
    <w:rsid w:val="00826F2F"/>
    <w:rsid w:val="00853025"/>
    <w:rsid w:val="0087366C"/>
    <w:rsid w:val="008A7B96"/>
    <w:rsid w:val="008B2008"/>
    <w:rsid w:val="008D2DF8"/>
    <w:rsid w:val="008D352C"/>
    <w:rsid w:val="008D421A"/>
    <w:rsid w:val="00901F11"/>
    <w:rsid w:val="00910D9A"/>
    <w:rsid w:val="0092558D"/>
    <w:rsid w:val="00934790"/>
    <w:rsid w:val="00957503"/>
    <w:rsid w:val="009753A5"/>
    <w:rsid w:val="00994095"/>
    <w:rsid w:val="00A33404"/>
    <w:rsid w:val="00A7628E"/>
    <w:rsid w:val="00A94C4E"/>
    <w:rsid w:val="00B26ADD"/>
    <w:rsid w:val="00B338D8"/>
    <w:rsid w:val="00B42C08"/>
    <w:rsid w:val="00B720AD"/>
    <w:rsid w:val="00BA0C8C"/>
    <w:rsid w:val="00BB0E8E"/>
    <w:rsid w:val="00BB5577"/>
    <w:rsid w:val="00BD7A35"/>
    <w:rsid w:val="00BE20B1"/>
    <w:rsid w:val="00C22BC7"/>
    <w:rsid w:val="00C43809"/>
    <w:rsid w:val="00C575C2"/>
    <w:rsid w:val="00C822A6"/>
    <w:rsid w:val="00CB2892"/>
    <w:rsid w:val="00CD2615"/>
    <w:rsid w:val="00CE764F"/>
    <w:rsid w:val="00D10B25"/>
    <w:rsid w:val="00D447DD"/>
    <w:rsid w:val="00D63901"/>
    <w:rsid w:val="00D759F6"/>
    <w:rsid w:val="00D92826"/>
    <w:rsid w:val="00D97A22"/>
    <w:rsid w:val="00DA370A"/>
    <w:rsid w:val="00DA6BF5"/>
    <w:rsid w:val="00DC04BD"/>
    <w:rsid w:val="00DC43CF"/>
    <w:rsid w:val="00E418B9"/>
    <w:rsid w:val="00E43719"/>
    <w:rsid w:val="00E45E98"/>
    <w:rsid w:val="00E57658"/>
    <w:rsid w:val="00E75145"/>
    <w:rsid w:val="00EA6C58"/>
    <w:rsid w:val="00F11199"/>
    <w:rsid w:val="00F331CE"/>
    <w:rsid w:val="00F50744"/>
    <w:rsid w:val="00FA36E6"/>
    <w:rsid w:val="00FE2374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9478</Words>
  <Characters>56873</Characters>
  <Application>Microsoft Office Word</Application>
  <DocSecurity>0</DocSecurity>
  <Lines>473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Grudzień Małgorzata</cp:lastModifiedBy>
  <cp:revision>43</cp:revision>
  <cp:lastPrinted>2021-01-19T11:32:00Z</cp:lastPrinted>
  <dcterms:created xsi:type="dcterms:W3CDTF">2021-01-25T17:58:00Z</dcterms:created>
  <dcterms:modified xsi:type="dcterms:W3CDTF">2021-01-28T11:50:00Z</dcterms:modified>
</cp:coreProperties>
</file>