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3C4FDD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3D3399D2" w14:textId="5550263C" w:rsidR="002F43BB" w:rsidRDefault="002F43BB" w:rsidP="002F43BB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7</w:t>
      </w:r>
      <w:r w:rsidR="0028225A">
        <w:rPr>
          <w:rFonts w:ascii="Lato" w:hAnsi="Lato"/>
          <w:b/>
          <w:bCs/>
          <w:color w:val="00B0F0"/>
          <w:sz w:val="36"/>
          <w:szCs w:val="36"/>
          <w:u w:val="single"/>
        </w:rPr>
        <w:t>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28225A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LISTOPADA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2023 r.)</w:t>
      </w:r>
    </w:p>
    <w:p w14:paraId="00EBC3D5" w14:textId="59A49704" w:rsidR="00D06043" w:rsidRDefault="002F43BB" w:rsidP="002F43BB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Prezentowane podsumowanie projektu obwieszczenia refundacyjnego nr 72 </w:t>
      </w:r>
      <w:r>
        <w:rPr>
          <w:rFonts w:ascii="Lato" w:hAnsi="Lato"/>
          <w:b/>
          <w:bCs/>
        </w:rPr>
        <w:t>nie stanowi jego ostatecznej wersji</w:t>
      </w:r>
      <w:r>
        <w:rPr>
          <w:rFonts w:ascii="Lato" w:hAnsi="Lato"/>
        </w:rPr>
        <w:t xml:space="preserve">, bowiem nadal trwają prace </w:t>
      </w:r>
      <w:r w:rsidRPr="00694E14">
        <w:rPr>
          <w:rFonts w:ascii="Lato" w:hAnsi="Lato"/>
        </w:rPr>
        <w:t xml:space="preserve">administracyjne nad finalnym wykazem refundowanych leków, środków spożywczych specjalnego przeznaczenia żywieniowego oraz wyrobów medycznych obowiązującym od 1 </w:t>
      </w:r>
      <w:r w:rsidR="004A6973" w:rsidRPr="00694E14">
        <w:rPr>
          <w:rFonts w:ascii="Lato" w:hAnsi="Lato"/>
        </w:rPr>
        <w:t>listopada</w:t>
      </w:r>
      <w:r w:rsidRPr="00694E14">
        <w:rPr>
          <w:rFonts w:ascii="Lato" w:hAnsi="Lato"/>
        </w:rPr>
        <w:t xml:space="preserve"> 2023 r. </w:t>
      </w:r>
    </w:p>
    <w:p w14:paraId="5CB198AB" w14:textId="37FF5273" w:rsidR="00D06043" w:rsidRPr="00694E14" w:rsidRDefault="00D06043" w:rsidP="00D06043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Projekt został przygotowany zgodnie z obowiązującymi od 1 listopada nowymi przepisami dotyczącymi wyznaczania podstaw limitów oraz naliczania marż hurtowych i detalicznych.</w:t>
      </w:r>
    </w:p>
    <w:p w14:paraId="5976BE2E" w14:textId="32B7C89C" w:rsidR="002F43BB" w:rsidRPr="00DF3CBA" w:rsidRDefault="002F43BB" w:rsidP="002F43BB">
      <w:pPr>
        <w:spacing w:after="120" w:line="360" w:lineRule="auto"/>
        <w:jc w:val="both"/>
        <w:rPr>
          <w:rFonts w:ascii="Lato" w:hAnsi="Lato"/>
        </w:rPr>
      </w:pPr>
      <w:r w:rsidRPr="00DF3CBA">
        <w:rPr>
          <w:rFonts w:ascii="Lato" w:hAnsi="Lato"/>
        </w:rPr>
        <w:t xml:space="preserve">Uwzględniając niniejszy projekt, od początku roku 2023, finansowaniem ze środków publicznych zostanie objętych </w:t>
      </w:r>
      <w:r w:rsidRPr="00DF3CBA">
        <w:rPr>
          <w:rFonts w:ascii="Lato" w:hAnsi="Lato"/>
          <w:b/>
          <w:bCs/>
        </w:rPr>
        <w:t>1</w:t>
      </w:r>
      <w:r w:rsidR="0028225A" w:rsidRPr="00DF3CBA">
        <w:rPr>
          <w:rFonts w:ascii="Lato" w:hAnsi="Lato"/>
          <w:b/>
          <w:bCs/>
        </w:rPr>
        <w:t>4</w:t>
      </w:r>
      <w:r w:rsidR="00DF3CBA" w:rsidRPr="00DF3CBA">
        <w:rPr>
          <w:rFonts w:ascii="Lato" w:hAnsi="Lato"/>
          <w:b/>
          <w:bCs/>
        </w:rPr>
        <w:t>5</w:t>
      </w:r>
      <w:r w:rsidRPr="00DF3CBA">
        <w:rPr>
          <w:rFonts w:ascii="Lato" w:hAnsi="Lato"/>
          <w:b/>
          <w:bCs/>
        </w:rPr>
        <w:t xml:space="preserve"> nowych </w:t>
      </w:r>
      <w:r w:rsidRPr="00DF3CBA">
        <w:rPr>
          <w:rFonts w:ascii="Lato" w:hAnsi="Lato"/>
          <w:b/>
          <w:bCs/>
        </w:rPr>
        <w:br/>
        <w:t>cząsteczko – wskazań</w:t>
      </w:r>
      <w:r w:rsidRPr="00DF3CBA">
        <w:rPr>
          <w:rFonts w:ascii="Lato" w:hAnsi="Lato"/>
        </w:rPr>
        <w:t>, w tym:</w:t>
      </w:r>
    </w:p>
    <w:p w14:paraId="3B6AC00E" w14:textId="59A2E9DC" w:rsidR="002F43BB" w:rsidRPr="00DF3CBA" w:rsidRDefault="002F43BB" w:rsidP="002F43BB">
      <w:pPr>
        <w:pStyle w:val="Akapitzlist"/>
        <w:numPr>
          <w:ilvl w:val="0"/>
          <w:numId w:val="41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DF3CBA">
        <w:rPr>
          <w:rFonts w:ascii="Lato" w:hAnsi="Lato"/>
        </w:rPr>
        <w:t>7</w:t>
      </w:r>
      <w:r w:rsidR="00DF3CBA" w:rsidRPr="00DF3CBA">
        <w:rPr>
          <w:rFonts w:ascii="Lato" w:hAnsi="Lato"/>
        </w:rPr>
        <w:t>5</w:t>
      </w:r>
      <w:r w:rsidRPr="00DF3CBA">
        <w:rPr>
          <w:rFonts w:ascii="Lato" w:hAnsi="Lato"/>
        </w:rPr>
        <w:t xml:space="preserve"> cząsteczko – wskazań onkologicznych,</w:t>
      </w:r>
    </w:p>
    <w:p w14:paraId="0956AEA8" w14:textId="41272914" w:rsidR="002F43BB" w:rsidRPr="00DF3CBA" w:rsidRDefault="0028225A" w:rsidP="002F43BB">
      <w:pPr>
        <w:pStyle w:val="Akapitzlist"/>
        <w:numPr>
          <w:ilvl w:val="0"/>
          <w:numId w:val="41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DF3CBA">
        <w:rPr>
          <w:rFonts w:ascii="Lato" w:hAnsi="Lato"/>
        </w:rPr>
        <w:t>7</w:t>
      </w:r>
      <w:r w:rsidR="002241C0" w:rsidRPr="00DF3CBA">
        <w:rPr>
          <w:rFonts w:ascii="Lato" w:hAnsi="Lato"/>
        </w:rPr>
        <w:t>0</w:t>
      </w:r>
      <w:r w:rsidRPr="00DF3CBA">
        <w:rPr>
          <w:rFonts w:ascii="Lato" w:hAnsi="Lato"/>
        </w:rPr>
        <w:t xml:space="preserve"> </w:t>
      </w:r>
      <w:r w:rsidR="002F43BB" w:rsidRPr="00DF3CBA">
        <w:rPr>
          <w:rFonts w:ascii="Lato" w:hAnsi="Lato"/>
        </w:rPr>
        <w:t>cząsteczko - wskazania nieonkologiczne,</w:t>
      </w:r>
    </w:p>
    <w:p w14:paraId="5D772724" w14:textId="6F2744D8" w:rsidR="002F43BB" w:rsidRPr="00DF3CBA" w:rsidRDefault="0028225A" w:rsidP="002F43BB">
      <w:pPr>
        <w:pStyle w:val="Akapitzlist"/>
        <w:numPr>
          <w:ilvl w:val="0"/>
          <w:numId w:val="41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DF3CBA">
        <w:rPr>
          <w:rFonts w:ascii="Lato" w:hAnsi="Lato"/>
        </w:rPr>
        <w:t>4</w:t>
      </w:r>
      <w:r w:rsidR="002241C0" w:rsidRPr="00DF3CBA">
        <w:rPr>
          <w:rFonts w:ascii="Lato" w:hAnsi="Lato"/>
        </w:rPr>
        <w:t>3</w:t>
      </w:r>
      <w:r w:rsidRPr="00DF3CBA">
        <w:rPr>
          <w:rFonts w:ascii="Lato" w:hAnsi="Lato"/>
        </w:rPr>
        <w:t xml:space="preserve"> </w:t>
      </w:r>
      <w:r w:rsidR="002F43BB" w:rsidRPr="00DF3CBA">
        <w:rPr>
          <w:rFonts w:ascii="Lato" w:hAnsi="Lato"/>
        </w:rPr>
        <w:t>cząsteczko - wskazania dedykowane chorobom rzadkim.</w:t>
      </w:r>
    </w:p>
    <w:p w14:paraId="16B85B2E" w14:textId="77777777" w:rsidR="00B447A5" w:rsidRPr="00DF3CBA" w:rsidRDefault="002F43BB" w:rsidP="002F43BB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DF3CBA">
        <w:rPr>
          <w:rFonts w:ascii="Lato" w:hAnsi="Lato" w:cs="Arial"/>
        </w:rPr>
        <w:t xml:space="preserve">Najwięcej nowych cząsteczko - wskazań onkologicznych w 2023 r. obserwujemy w </w:t>
      </w:r>
      <w:proofErr w:type="spellStart"/>
      <w:r w:rsidRPr="00DF3CBA">
        <w:rPr>
          <w:rFonts w:ascii="Lato" w:hAnsi="Lato" w:cs="Arial"/>
        </w:rPr>
        <w:t>hematoonkologii</w:t>
      </w:r>
      <w:proofErr w:type="spellEnd"/>
      <w:r w:rsidRPr="00DF3CBA">
        <w:rPr>
          <w:rFonts w:ascii="Lato" w:hAnsi="Lato" w:cs="Arial"/>
        </w:rPr>
        <w:t xml:space="preserve"> (</w:t>
      </w:r>
      <w:r w:rsidR="00B447A5" w:rsidRPr="00DF3CBA">
        <w:rPr>
          <w:rFonts w:ascii="Lato" w:hAnsi="Lato" w:cs="Arial"/>
        </w:rPr>
        <w:t>28</w:t>
      </w:r>
      <w:r w:rsidRPr="00DF3CBA">
        <w:rPr>
          <w:rFonts w:ascii="Lato" w:hAnsi="Lato" w:cs="Arial"/>
        </w:rPr>
        <w:t xml:space="preserve">), w nowotworach </w:t>
      </w:r>
      <w:r w:rsidR="00B447A5" w:rsidRPr="00DF3CBA">
        <w:rPr>
          <w:rFonts w:ascii="Lato" w:hAnsi="Lato" w:cs="Arial"/>
        </w:rPr>
        <w:t xml:space="preserve">ginekologicznych (11) oraz nowotworach </w:t>
      </w:r>
      <w:r w:rsidRPr="00DF3CBA">
        <w:rPr>
          <w:rFonts w:ascii="Lato" w:hAnsi="Lato" w:cs="Arial"/>
        </w:rPr>
        <w:t>układu oddechowego (</w:t>
      </w:r>
      <w:r w:rsidR="00B447A5" w:rsidRPr="00DF3CBA">
        <w:rPr>
          <w:rFonts w:ascii="Lato" w:hAnsi="Lato" w:cs="Arial"/>
        </w:rPr>
        <w:t>11</w:t>
      </w:r>
      <w:r w:rsidRPr="00DF3CBA">
        <w:rPr>
          <w:rFonts w:ascii="Lato" w:hAnsi="Lato" w:cs="Arial"/>
        </w:rPr>
        <w:t xml:space="preserve">). </w:t>
      </w:r>
    </w:p>
    <w:p w14:paraId="3F256E30" w14:textId="59F270EA" w:rsidR="002F43BB" w:rsidRDefault="002F43BB" w:rsidP="002F43BB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DF3CBA">
        <w:rPr>
          <w:rFonts w:ascii="Lato" w:hAnsi="Lato" w:cs="Arial"/>
        </w:rPr>
        <w:t>Najwięcej nowych cząsteczko - wskazań nieonkologicznych w 2023 r. obserwujemy w kardiologii (19), reumatologii (</w:t>
      </w:r>
      <w:r w:rsidR="00B447A5" w:rsidRPr="00DF3CBA">
        <w:rPr>
          <w:rFonts w:ascii="Lato" w:hAnsi="Lato" w:cs="Arial"/>
        </w:rPr>
        <w:t>7</w:t>
      </w:r>
      <w:r w:rsidRPr="00DF3CBA">
        <w:rPr>
          <w:rFonts w:ascii="Lato" w:hAnsi="Lato" w:cs="Arial"/>
        </w:rPr>
        <w:t>), hematologii (</w:t>
      </w:r>
      <w:r w:rsidR="00B447A5" w:rsidRPr="00DF3CBA">
        <w:rPr>
          <w:rFonts w:ascii="Lato" w:hAnsi="Lato" w:cs="Arial"/>
        </w:rPr>
        <w:t>7</w:t>
      </w:r>
      <w:r w:rsidRPr="00DF3CBA">
        <w:rPr>
          <w:rFonts w:ascii="Lato" w:hAnsi="Lato" w:cs="Arial"/>
        </w:rPr>
        <w:t xml:space="preserve">), </w:t>
      </w:r>
      <w:r w:rsidR="00B447A5" w:rsidRPr="00DF3CBA">
        <w:rPr>
          <w:rFonts w:ascii="Lato" w:hAnsi="Lato" w:cs="Arial"/>
        </w:rPr>
        <w:t>diabetologii</w:t>
      </w:r>
      <w:r w:rsidRPr="00DF3CBA">
        <w:rPr>
          <w:rFonts w:ascii="Lato" w:hAnsi="Lato" w:cs="Arial"/>
        </w:rPr>
        <w:t xml:space="preserve"> (</w:t>
      </w:r>
      <w:r w:rsidR="00B447A5" w:rsidRPr="00DF3CBA">
        <w:rPr>
          <w:rFonts w:ascii="Lato" w:hAnsi="Lato" w:cs="Arial"/>
        </w:rPr>
        <w:t>6</w:t>
      </w:r>
      <w:r w:rsidRPr="00DF3CBA">
        <w:rPr>
          <w:rFonts w:ascii="Lato" w:hAnsi="Lato" w:cs="Arial"/>
        </w:rPr>
        <w:t>) i dermatologii (</w:t>
      </w:r>
      <w:r w:rsidR="00B447A5" w:rsidRPr="00DF3CBA">
        <w:rPr>
          <w:rFonts w:ascii="Lato" w:hAnsi="Lato" w:cs="Arial"/>
        </w:rPr>
        <w:t>6</w:t>
      </w:r>
      <w:r w:rsidRPr="00DF3CBA">
        <w:rPr>
          <w:rFonts w:ascii="Lato" w:hAnsi="Lato" w:cs="Arial"/>
        </w:rPr>
        <w:t>).</w:t>
      </w:r>
    </w:p>
    <w:p w14:paraId="4F261486" w14:textId="5269927F" w:rsidR="002241C0" w:rsidRPr="00352542" w:rsidRDefault="002241C0" w:rsidP="002241C0">
      <w:pPr>
        <w:suppressAutoHyphens w:val="0"/>
        <w:spacing w:line="276" w:lineRule="auto"/>
        <w:jc w:val="both"/>
        <w:textAlignment w:val="auto"/>
        <w:rPr>
          <w:rFonts w:ascii="Lato" w:hAnsi="Lato"/>
        </w:rPr>
      </w:pPr>
    </w:p>
    <w:p w14:paraId="02EE373E" w14:textId="0027484C" w:rsidR="002241C0" w:rsidRDefault="002241C0" w:rsidP="000B65F8">
      <w:pPr>
        <w:suppressAutoHyphens w:val="0"/>
        <w:autoSpaceDE w:val="0"/>
        <w:spacing w:after="0" w:line="360" w:lineRule="auto"/>
        <w:rPr>
          <w:rFonts w:ascii="Lato" w:hAnsi="Lato"/>
          <w:sz w:val="24"/>
          <w:szCs w:val="24"/>
        </w:rPr>
      </w:pPr>
      <w:r w:rsidRPr="00CF351E">
        <w:rPr>
          <w:rFonts w:ascii="Lato" w:hAnsi="Lato"/>
          <w:sz w:val="24"/>
          <w:szCs w:val="24"/>
        </w:rPr>
        <w:br w:type="page"/>
      </w:r>
      <w:r w:rsidR="00D96647">
        <w:rPr>
          <w:noProof/>
        </w:rPr>
        <w:lastRenderedPageBreak/>
        <w:drawing>
          <wp:inline distT="0" distB="0" distL="0" distR="0" wp14:anchorId="711E91E7" wp14:editId="44E2B299">
            <wp:extent cx="4410000" cy="2808000"/>
            <wp:effectExtent l="0" t="0" r="10160" b="11430"/>
            <wp:docPr id="133835316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B65F8">
        <w:rPr>
          <w:rFonts w:ascii="Lato" w:hAnsi="Lato"/>
          <w:sz w:val="24"/>
          <w:szCs w:val="24"/>
        </w:rPr>
        <w:t xml:space="preserve"> </w:t>
      </w:r>
      <w:r w:rsidR="00D96647">
        <w:rPr>
          <w:noProof/>
        </w:rPr>
        <w:drawing>
          <wp:inline distT="0" distB="0" distL="0" distR="0" wp14:anchorId="68509A75" wp14:editId="5E6CB8D4">
            <wp:extent cx="4410000" cy="2808000"/>
            <wp:effectExtent l="0" t="0" r="10160" b="11430"/>
            <wp:docPr id="141857098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C758C3" w14:textId="259498DD" w:rsidR="002241C0" w:rsidRDefault="00D96647">
      <w:pPr>
        <w:suppressAutoHyphens w:val="0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5DDD88A" wp14:editId="44FA66A1">
            <wp:extent cx="4410000" cy="2808000"/>
            <wp:effectExtent l="0" t="0" r="10160" b="11430"/>
            <wp:docPr id="156348563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B65F8">
        <w:rPr>
          <w:noProof/>
        </w:rPr>
        <w:t xml:space="preserve"> </w:t>
      </w:r>
      <w:r w:rsidR="000B65F8">
        <w:rPr>
          <w:noProof/>
        </w:rPr>
        <w:drawing>
          <wp:inline distT="0" distB="0" distL="0" distR="0" wp14:anchorId="33073C45" wp14:editId="0BFB853F">
            <wp:extent cx="4410000" cy="2808000"/>
            <wp:effectExtent l="0" t="0" r="10160" b="11430"/>
            <wp:docPr id="75635621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241C0">
        <w:rPr>
          <w:rFonts w:ascii="Lato" w:hAnsi="Lato"/>
          <w:sz w:val="24"/>
          <w:szCs w:val="24"/>
        </w:rPr>
        <w:t xml:space="preserve"> </w:t>
      </w:r>
      <w:r w:rsidR="002241C0">
        <w:rPr>
          <w:rFonts w:ascii="Lato" w:hAnsi="Lato"/>
          <w:b/>
          <w:bCs/>
          <w:color w:val="00B0F0"/>
          <w:sz w:val="36"/>
          <w:szCs w:val="36"/>
          <w:u w:val="single"/>
        </w:rPr>
        <w:br w:type="page"/>
      </w:r>
    </w:p>
    <w:p w14:paraId="6C2BC407" w14:textId="77777777" w:rsidR="002F43BB" w:rsidRDefault="002F43BB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</w:p>
    <w:p w14:paraId="6B466A0C" w14:textId="6A2ABAF6" w:rsidR="004D093B" w:rsidRPr="003C4FDD" w:rsidRDefault="004D093B">
      <w:pPr>
        <w:suppressAutoHyphens w:val="0"/>
        <w:rPr>
          <w:rFonts w:ascii="Lato" w:hAnsi="Lato"/>
          <w:sz w:val="24"/>
          <w:szCs w:val="24"/>
        </w:rPr>
      </w:pPr>
    </w:p>
    <w:p w14:paraId="06A06678" w14:textId="7D136BFD" w:rsidR="00AD08C5" w:rsidRPr="003C4FDD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t>NOWE WSKAZANIA ORAZ ZMIANY W PROGRA</w:t>
      </w:r>
      <w:bookmarkStart w:id="0" w:name="_Hlk95686308"/>
      <w:r w:rsidRPr="003C4FDD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3C4FDD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3C4FDD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502"/>
        <w:gridCol w:w="2255"/>
        <w:gridCol w:w="1867"/>
        <w:gridCol w:w="2730"/>
        <w:gridCol w:w="4924"/>
      </w:tblGrid>
      <w:tr w:rsidR="005058F2" w:rsidRPr="003C4FDD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3C4FDD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3C4FDD" w14:paraId="60CDF2D4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284294" w:rsidRPr="003C4FDD" w14:paraId="78AD09CB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B0B8" w14:textId="4E9AF342" w:rsidR="00284294" w:rsidRPr="003C4FDD" w:rsidRDefault="00372855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3CFC" w14:textId="5525DAD3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Enhertu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8DF4" w14:textId="5F2785D6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trastuzumab</w:t>
            </w:r>
            <w:proofErr w:type="spellEnd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derukstekan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8D9A" w14:textId="559C562C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1D1F" w14:textId="5636E09E" w:rsidR="00284294" w:rsidRPr="003C4FDD" w:rsidRDefault="0092099E" w:rsidP="009209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EF5F" w14:textId="3E1CE7B1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II lub III lub IV linii chorych z powodu nieoperacyjnego lub zaawansowanego HER2-dodatniego raka piersi  po zastosowaniu co najmniej jednej linii terapii anty-HER2.</w:t>
            </w:r>
          </w:p>
        </w:tc>
      </w:tr>
      <w:tr w:rsidR="00D25F43" w:rsidRPr="003C4FDD" w14:paraId="71CF2711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7ACB" w14:textId="3A986E1A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CD4E" w14:textId="67BF4095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2A70" w14:textId="269DE641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</w:t>
            </w:r>
            <w:r w:rsidR="00D25F43"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laparyb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E354" w14:textId="42888632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E2C8" w14:textId="0A910EA0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079E" w14:textId="204EEBB9" w:rsidR="00D25F43" w:rsidRPr="003C4FDD" w:rsidRDefault="002F43BB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z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germinalnymi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mutacjami BRCA1/2, u których występuje </w:t>
            </w:r>
            <w:proofErr w:type="spellStart"/>
            <w:r w:rsidR="00D25FC6">
              <w:rPr>
                <w:rFonts w:ascii="Lato" w:hAnsi="Lato" w:cstheme="majorHAnsi"/>
                <w:color w:val="000000"/>
                <w:sz w:val="18"/>
                <w:szCs w:val="18"/>
              </w:rPr>
              <w:t>hormonozależny</w:t>
            </w:r>
            <w:proofErr w:type="spellEnd"/>
            <w:r w:rsidR="00D25F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HER2-ujemny </w:t>
            </w:r>
            <w:r w:rsidR="00D25F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lub potrójnie ujemny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wczesny rak piersi wysokiego ryzyka, leczony wcześniej chemioterapią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neoadjuwantową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adjuwantową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25F43" w:rsidRPr="003C4FDD" w14:paraId="531B9990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6B3F" w14:textId="07941868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36D7" w14:textId="2F71238C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9FC2" w14:textId="43768AA5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C486" w14:textId="01A54E2D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037F" w14:textId="3DB4C02E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0F87" w14:textId="6EF35092" w:rsidR="00D25F43" w:rsidRPr="003C4FDD" w:rsidRDefault="00084DF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 lub I</w:t>
            </w:r>
            <w:r w:rsidR="002F43BB"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linii chorych z obecnością mutacji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germinalnych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genach BRCA1/2, po uprzednim zastosowaniu hormonoterapii z lub bez inhibitorów CDK4/6 w leczeniu paliatywnym (dopuszczalne jest wcześniejsze stosowanie 1-2 linii chemioterapii paliatywnej lub chemioterapii okołooperacyjnej z udziałem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antracykliny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taksoidu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1 linii chemioterapii paliatywnej).</w:t>
            </w:r>
          </w:p>
        </w:tc>
      </w:tr>
      <w:tr w:rsidR="00D25F43" w:rsidRPr="003C4FDD" w14:paraId="71DF152B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7C66" w14:textId="55ED6CC5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4C57" w14:textId="6B62BB92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8609" w14:textId="7CFF322E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FEB4" w14:textId="44BF2DE9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2DE8" w14:textId="7551238D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1A6A" w14:textId="10B97666" w:rsidR="00D25F43" w:rsidRPr="003C4FDD" w:rsidRDefault="00CB2BB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lub II lub III linii przerzutowego lub miejscowo zaawansowanego potrójnie ujemnego raka piersi z obecnością mutacji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germinalnych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genach BRCA 1/2, gdy leczenie miejscowe jest nieskuteczne lub niemożliwe do zastosowania pacjenci musieli otrzymać wcześniej chemioterapię zawierającą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taksoid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antracyklinę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okołooperacyjnym lub paliatywnym (dopuszczalne jest wcześniejsze stosowanie nie więcej niż 2 linii chemioterapii paliatywnej lub chemioterapii okołooperacyjnej i 1 linii chemioterapii paliatywnej).</w:t>
            </w:r>
          </w:p>
        </w:tc>
      </w:tr>
      <w:tr w:rsidR="00D25F43" w:rsidRPr="003C4FDD" w14:paraId="2F304C7B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3179CC02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2650F989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Scemblix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0B81C348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asciminib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0C2D51B7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41A48191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7855" w14:textId="75F15939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asciminibem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przewlekłą białaczkę szpikową od III linii leczenia, po uprzednim leczeniu przynajmniej dwoma inhibitorami kinazy tyrozynowej, po których wystąpiła nietolerancja lub niepowodzenie leczenia.</w:t>
            </w:r>
          </w:p>
          <w:p w14:paraId="7B0CA559" w14:textId="56143ADB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D25F43" w:rsidRPr="003C4FDD" w14:paraId="41B567AC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22D9C9DF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6.</w:t>
            </w:r>
            <w:r w:rsidR="00D25F43"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7D7B3125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Jakavi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7A195E8F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ruksolitynib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3A4D998C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4E08649A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NOWOTWORY MIELOPROLIFERACYJNE 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(-) (ICD-10: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D45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 D47.1)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527F" w14:textId="46F8DD70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ruksolitynibem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czerwienicę prawdziwą z grupy wysokiego ryzyka, z opornością lub nietolerancją na leczenie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hydroksymocznikiem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E05DB27" w14:textId="615190DA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D25F43" w:rsidRPr="003C4FDD" w14:paraId="4193F70D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740B1DCC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1769C596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FCDCF60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5998572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B.141.FM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0DA12BA7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15DD95AC" w:rsidR="00D25F43" w:rsidRPr="003C4FDD" w:rsidRDefault="00973F6D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naciekającego błonę mięśniową u dorosłych z ekspresją PD-L1 na komórkach guza ≥ 1% i z wysokim ryzykiem nawrotu po radykalnej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cystekomii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cechą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R0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25F43" w:rsidRPr="003C4FDD" w14:paraId="34137848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66D55122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2082050E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Padcev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708B384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enfortumab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wedotyny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63DBA917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B.141.FM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7CF2C4E6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27C2" w14:textId="352CF109" w:rsidR="00D25F43" w:rsidRPr="003C4FDD" w:rsidRDefault="00CB2BB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</w:t>
            </w:r>
            <w:r w:rsidR="00973F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lub III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linii raka </w:t>
            </w:r>
            <w:proofErr w:type="spellStart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miejscowo zaawansowanego lub z przerzutami u dorosłych chorych, którzy otrzymali wcześniej chemioterapię opartą na pochodnych platyny i inhibitor receptora programowanej śmierci komórki 1 (PD-1) lub inhibitor ligandu programowanej śmierci komórki 1 (PD-L1) (nawrót choroby w okresie nie wcześniej niż 6 miesięcy od zakończenia leczenia I linii).</w:t>
            </w:r>
          </w:p>
          <w:p w14:paraId="75074C9F" w14:textId="4FDADB3D" w:rsidR="001275D1" w:rsidRPr="003C4FDD" w:rsidRDefault="001275D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</w:t>
            </w:r>
            <w:r w:rsidR="00157EB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- Technologia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ekowa o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ysokim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topniu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nnowacyjności</w:t>
            </w: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25F43" w:rsidRPr="003C4FDD" w14:paraId="79F6918C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478061ED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7E1685B4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Rozlytrek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114511D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entrectinib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43788FCA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B.144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03311273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GUZAMI LITYMI Z FUZJĄ GENU RECEPTOROWEJ KINAZY TYROZYNOWEJ DLA NEUROTROFIN (NTRK)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609A" w14:textId="77777777" w:rsidR="00CB2BB1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drugiego, obok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larotrektynibu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leku z grupy inhibitorów kinaz tyrozynowych receptora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tropomiozynowego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leczenia guzów litych z fuzją genu NTRK w programie.</w:t>
            </w:r>
          </w:p>
          <w:p w14:paraId="5F6D2A24" w14:textId="019664F3" w:rsidR="00D25F43" w:rsidRPr="003C4FDD" w:rsidRDefault="00CB2BB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5F43" w:rsidRPr="003C4FDD" w14:paraId="59AF2A0C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56B9851A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6EE88DBF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6A92C136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trastuzumab</w:t>
            </w:r>
            <w:proofErr w:type="spellEnd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i.v</w:t>
            </w:r>
            <w:proofErr w:type="spellEnd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1B0B12F4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C.86.c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12E2E86B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TRASTUZUMAB I.V.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192E" w14:textId="039A9F71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trastuzumabem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z zaawansowanym lub nawrotowym surowiczym rakiem endometrium z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nadekspresją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białka HER2.</w:t>
            </w:r>
          </w:p>
          <w:p w14:paraId="2749EA53" w14:textId="2D01B80E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2BB1" w:rsidRPr="003C4FDD" w14:paraId="2A9DE719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405E" w14:textId="115909A7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1B62" w14:textId="1FD411A7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5225" w14:textId="25B6002C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E269FF">
              <w:rPr>
                <w:rFonts w:ascii="Lato" w:hAnsi="Lato" w:cstheme="majorHAnsi"/>
                <w:i/>
                <w:iCs/>
                <w:sz w:val="18"/>
                <w:szCs w:val="18"/>
              </w:rPr>
              <w:t>bewcyzumab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5A97" w14:textId="52315CEB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sz w:val="18"/>
                <w:szCs w:val="18"/>
              </w:rPr>
              <w:t>C.82.a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2428" w14:textId="4AC68168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C914" w14:textId="3C5F4B0C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>bewcyzumabem</w:t>
            </w:r>
            <w:proofErr w:type="spellEnd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>gemcytabiną</w:t>
            </w:r>
            <w:proofErr w:type="spellEnd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w skojarzeniu z </w:t>
            </w:r>
            <w:proofErr w:type="spellStart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pacjentek z pierwszym nawrotem wrażliwego na związki platyny raka jajnika, jajowodu lub pierwotnego raka otrzewnej.</w:t>
            </w:r>
          </w:p>
        </w:tc>
      </w:tr>
      <w:tr w:rsidR="0004482C" w:rsidRPr="003C4FDD" w14:paraId="31DC218D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A3A3" w14:textId="7D38CE45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7A63" w14:textId="074E1FC9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D718" w14:textId="5B261917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A06B9A">
              <w:rPr>
                <w:rFonts w:ascii="Lato" w:hAnsi="Lato" w:cstheme="majorHAnsi"/>
                <w:i/>
                <w:iCs/>
                <w:sz w:val="18"/>
                <w:szCs w:val="18"/>
              </w:rPr>
              <w:t>bewcyzumab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9739" w14:textId="5F9D7499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sz w:val="18"/>
                <w:szCs w:val="18"/>
              </w:rPr>
              <w:t>C.82.a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47F1" w14:textId="368F0B57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A10D" w14:textId="28B2E8D1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bewcyzumabem</w:t>
            </w:r>
            <w:proofErr w:type="spellEnd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topotekanem</w:t>
            </w:r>
            <w:proofErr w:type="spellEnd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inj</w:t>
            </w:r>
            <w:proofErr w:type="spellEnd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lub </w:t>
            </w:r>
            <w:proofErr w:type="spellStart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pegylowaną</w:t>
            </w:r>
            <w:proofErr w:type="spellEnd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liposomalną</w:t>
            </w:r>
            <w:proofErr w:type="spellEnd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doksorubicyną</w:t>
            </w:r>
            <w:proofErr w:type="spellEnd"/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pacjentek z nawrotem opornego na związki platyny raka jajnika, jajowodu lub pierwotnego raka otrzewnej.</w:t>
            </w:r>
          </w:p>
        </w:tc>
      </w:tr>
      <w:tr w:rsidR="0004482C" w:rsidRPr="003C4FDD" w14:paraId="2EAEEA58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7D756D42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5B37377A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E24950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359CF3EF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gemcytabina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61EC23A2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sz w:val="18"/>
                <w:szCs w:val="18"/>
              </w:rPr>
              <w:t>C.28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02CE63CE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/>
                <w:bCs/>
                <w:sz w:val="18"/>
                <w:szCs w:val="18"/>
              </w:rPr>
              <w:t>GEMCITABINE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F2A7" w14:textId="77777777" w:rsidR="0004482C" w:rsidRPr="003C4FDD" w:rsidRDefault="0004482C" w:rsidP="0004482C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Rozszerzenie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załącznika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C.28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o wskazania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pozarejestracyjne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>:</w:t>
            </w:r>
          </w:p>
          <w:p w14:paraId="72457C16" w14:textId="77777777" w:rsidR="0004482C" w:rsidRDefault="0004482C" w:rsidP="0004482C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C.66 Nowotwór złośliwy moczowodu,</w:t>
            </w:r>
          </w:p>
          <w:p w14:paraId="7CDFBEFD" w14:textId="294E3ADF" w:rsidR="0004482C" w:rsidRPr="0004482C" w:rsidRDefault="0004482C" w:rsidP="00912B91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912B91">
              <w:rPr>
                <w:rFonts w:ascii="Lato" w:hAnsi="Lato" w:cstheme="majorHAnsi"/>
                <w:sz w:val="18"/>
                <w:szCs w:val="18"/>
              </w:rPr>
              <w:t>C.68 Nowotwór złośliwy innych i nieokreślonych narządów moczowych.</w:t>
            </w:r>
          </w:p>
        </w:tc>
      </w:tr>
    </w:tbl>
    <w:p w14:paraId="7F9CCF36" w14:textId="51B74B46" w:rsidR="004D093B" w:rsidRPr="003C4FDD" w:rsidRDefault="004D093B">
      <w:pPr>
        <w:rPr>
          <w:rFonts w:ascii="Lato" w:hAnsi="Lato"/>
        </w:rPr>
      </w:pPr>
    </w:p>
    <w:p w14:paraId="7FCF9A29" w14:textId="77777777" w:rsidR="004D093B" w:rsidRPr="003C4FDD" w:rsidRDefault="004D093B">
      <w:pPr>
        <w:suppressAutoHyphens w:val="0"/>
        <w:rPr>
          <w:rFonts w:ascii="Lato" w:hAnsi="Lato"/>
        </w:rPr>
      </w:pPr>
      <w:r w:rsidRPr="003C4FDD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3C4FDD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3C4FDD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D1D9A" w:rsidRPr="003C4FDD" w14:paraId="221C45C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CB5B" w14:textId="54B4CF55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2E6A" w14:textId="29FE4CC2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Dysport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F82" w14:textId="1BD36DF2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toksyna botulinowa typu 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EE25" w14:textId="192D8A9F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B298" w14:textId="032BC7F6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82315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ZE SPASTYCZNOŚCIĄ KOŃCZYN Z UŻYCIEM TOKSYNY BOTULINOWEJ TYPU A (ICD–10: I61, I63, I69, G35, G80, G82, G83, T90, T91)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E5CF" w14:textId="5863F1C7" w:rsidR="00BD1D9A" w:rsidRPr="00182315" w:rsidRDefault="00F0779F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stosowania toksyny botulinową o leczenie pacjentów</w:t>
            </w:r>
            <w:r w:rsidR="00BD1D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ze spastycznością  o etiologii innej niż udarowa, tj.:</w:t>
            </w:r>
          </w:p>
          <w:p w14:paraId="21570DF2" w14:textId="1EEFB1EF" w:rsidR="00BD1D9A" w:rsidRPr="00292414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92414">
              <w:rPr>
                <w:rFonts w:ascii="Lato" w:hAnsi="Lato" w:cstheme="majorHAnsi"/>
                <w:color w:val="000000"/>
                <w:sz w:val="18"/>
                <w:szCs w:val="18"/>
              </w:rPr>
              <w:t>po przebytym urazie OUN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23BEBBEE" w14:textId="6A815D0F" w:rsidR="00BD1D9A" w:rsidRPr="00292414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92414">
              <w:rPr>
                <w:rFonts w:ascii="Lato" w:hAnsi="Lato" w:cstheme="majorHAnsi"/>
                <w:color w:val="000000"/>
                <w:sz w:val="18"/>
                <w:szCs w:val="18"/>
              </w:rPr>
              <w:t>z rozpoznaniem stwardnienia rozsianego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66055FE8" w14:textId="77777777" w:rsidR="00BD1D9A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92414">
              <w:rPr>
                <w:rFonts w:ascii="Lato" w:hAnsi="Lato" w:cstheme="majorHAnsi"/>
                <w:color w:val="000000"/>
                <w:sz w:val="18"/>
                <w:szCs w:val="18"/>
              </w:rPr>
              <w:t>z rozpoznaniem mózgowego porażenia dziecięcego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23F2510E" w14:textId="056A9C93" w:rsidR="00BD1D9A" w:rsidRPr="00BD1D9A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D1D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rozpoznaniem paraplegii spastycznej. </w:t>
            </w:r>
          </w:p>
        </w:tc>
      </w:tr>
      <w:tr w:rsidR="00694E14" w:rsidRPr="003C4FDD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3782DBC7" w:rsidR="00694E14" w:rsidRP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0304E9EC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Adtralza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6E8EAA85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FF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tralokinumab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72309B77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4DC90B68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7344" w14:textId="77777777" w:rsid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w wieku 12 lat i powyżej z ciężką postacią atopowego zapalenia skóry.</w:t>
            </w:r>
          </w:p>
          <w:p w14:paraId="5797C9BB" w14:textId="629DD36A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stanowiąca przeciwciało monoklonalne obok obecnego już w programie lekowym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dupilumabu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</w:tc>
      </w:tr>
      <w:tr w:rsidR="00694E14" w:rsidRPr="003C4FDD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32362A59" w:rsidR="00694E14" w:rsidRP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5BC46FEF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Cibinqo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A070948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FF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abrocytynib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1AFBC063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47105667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8F59" w14:textId="77777777" w:rsid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w wieku 18 lat i powyżej z ciężką postacią atopowego zapalenia skóry.</w:t>
            </w:r>
          </w:p>
          <w:p w14:paraId="790C1040" w14:textId="2DBB32AF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z grupy leków należących do inhibitorów JAK obok obecnych w programie lekowym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barycytynibu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upadacytynibu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694E14" w:rsidRPr="003C4FDD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630375FE" w:rsidR="00694E14" w:rsidRP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019425E4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Crysvita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B7E45CA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burosumab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2648256F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B.151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38D0EA81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HIPOFOSFATEMIĘ SPRZĘŻONĄ Z CHROMOSOMEM X (XLH) (ICD-10 E.83.3)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2A85" w14:textId="77777777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w wieku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od 1 roku do 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17 lat, z rozpoznaną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hipofosfatemią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sprzężoną z chromosomem X (XLH), potwierdzoną obecnością mutacji w genie PHEX u chorego lub bezpośrednio spokrewnionego członka rodziny (z którym związane jest dziedziczenie sprzężone z chromosomem X) oraz radiologicznie potwierdzoną chorobą kości (RSS ≥2).</w:t>
            </w:r>
          </w:p>
          <w:p w14:paraId="0AFE6806" w14:textId="2A8915C5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69C5300" w14:textId="64238082" w:rsidR="004D093B" w:rsidRDefault="004D093B">
      <w:pPr>
        <w:suppressAutoHyphens w:val="0"/>
        <w:rPr>
          <w:rFonts w:ascii="Lato" w:hAnsi="Lato"/>
        </w:rPr>
      </w:pPr>
    </w:p>
    <w:p w14:paraId="10214C14" w14:textId="77777777" w:rsidR="00694E14" w:rsidRDefault="00694E14">
      <w:pPr>
        <w:suppressAutoHyphens w:val="0"/>
        <w:rPr>
          <w:rFonts w:ascii="Lato" w:hAnsi="Lato"/>
        </w:rPr>
      </w:pPr>
    </w:p>
    <w:p w14:paraId="363C2FB3" w14:textId="77777777" w:rsidR="00694E14" w:rsidRPr="003C4FDD" w:rsidRDefault="00694E14">
      <w:pPr>
        <w:suppressAutoHyphens w:val="0"/>
        <w:rPr>
          <w:rFonts w:ascii="Lato" w:hAnsi="Lato"/>
        </w:rPr>
      </w:pPr>
    </w:p>
    <w:tbl>
      <w:tblPr>
        <w:tblW w:w="6304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1644"/>
        <w:gridCol w:w="2504"/>
        <w:gridCol w:w="9202"/>
        <w:gridCol w:w="3647"/>
      </w:tblGrid>
      <w:tr w:rsidR="00A434EB" w:rsidRPr="003C4FDD" w14:paraId="0B833808" w14:textId="77777777" w:rsidTr="009104F7">
        <w:trPr>
          <w:gridAfter w:val="1"/>
          <w:wAfter w:w="1034" w:type="pct"/>
          <w:cantSplit/>
          <w:trHeight w:val="20"/>
        </w:trPr>
        <w:tc>
          <w:tcPr>
            <w:tcW w:w="39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3C4FDD" w14:paraId="2BCC5E80" w14:textId="77777777" w:rsidTr="009104F7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611BBA" w:rsidRPr="003C4FDD" w14:paraId="47C906BC" w14:textId="77777777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3BC5" w14:textId="532BF157" w:rsidR="00611BBA" w:rsidRPr="003C4FDD" w:rsidRDefault="00611BBA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C543" w14:textId="19F0F146" w:rsidR="00611BBA" w:rsidRPr="003C4FDD" w:rsidRDefault="00611BBA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B.4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8D3C" w14:textId="2C4FD8FE" w:rsidR="00611BBA" w:rsidRPr="003C4FDD" w:rsidRDefault="00611BBA" w:rsidP="00611BBA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/>
                <w:bCs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532A" w14:textId="77777777" w:rsidR="00611BBA" w:rsidRPr="003C4FDD" w:rsidRDefault="00611BBA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Kompleksowa zmiana programu lekowego wpływająca na paradygmat leczenia raka jelita grubego.</w:t>
            </w:r>
          </w:p>
          <w:p w14:paraId="791848BC" w14:textId="0E417A68" w:rsidR="00611BBA" w:rsidRPr="003C4FDD" w:rsidRDefault="00611BBA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Zastosowano techniczny podział na leczenie systemowe oraz chemioterapię. Główną zmianą jest umożliwienie stosowania terapii finansowanych w ramach pierwszej lub kolejnych liniach chemioterapii po uprzednim leczeniu immunoterapią. Ponadto, w stosunku do części terapii finansowanych w programie zniesiono lub zmieniono zdefiniowaną dotychczas linię leczenia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zgodnie z aktualną praktyką kliniczną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,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eliminując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przy tym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możliwe konflikty terapeutyczne.</w:t>
            </w:r>
          </w:p>
          <w:p w14:paraId="29C20422" w14:textId="77777777" w:rsidR="00F0779F" w:rsidRDefault="00611BBA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Co więcej, poza istotnymi zmianami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pod względem klinicznym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, zapisy programu zostały maksymalnie ujednolicone, na skutek odejścia od opisów każdej terapii z osobna. Usystematyzowaniem objęto wszystkie zapisy programu obejmujące: kryteria kwalifikacji, kryteria wyłączenia, dawkowanie, badania diagnostyczne i monitorujące.</w:t>
            </w:r>
            <w:r w:rsidR="008D3759"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  <w:p w14:paraId="7091EDDE" w14:textId="242E92CA" w:rsidR="00611BBA" w:rsidRPr="003C4FDD" w:rsidRDefault="008D3759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Wprowadzono również zapisy dotyczące monitorowania skuteczności terapii.</w:t>
            </w:r>
          </w:p>
        </w:tc>
        <w:tc>
          <w:tcPr>
            <w:tcW w:w="1034" w:type="pct"/>
            <w:vAlign w:val="center"/>
          </w:tcPr>
          <w:p w14:paraId="295F4AE5" w14:textId="77777777" w:rsidR="00611BBA" w:rsidRPr="003C4FDD" w:rsidRDefault="00611BBA" w:rsidP="009104F7">
            <w:pPr>
              <w:suppressAutoHyphens w:val="0"/>
              <w:rPr>
                <w:rFonts w:ascii="Lato" w:hAnsi="Lato"/>
              </w:rPr>
            </w:pPr>
          </w:p>
        </w:tc>
      </w:tr>
      <w:tr w:rsidR="00685293" w:rsidRPr="003C4FDD" w14:paraId="23600480" w14:textId="77777777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143D" w14:textId="514476D4" w:rsidR="00685293" w:rsidRPr="003C4FDD" w:rsidRDefault="008D3759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5FF9" w14:textId="41D396A2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9805" w14:textId="6D468E94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B9C7" w14:textId="77777777" w:rsidR="00685293" w:rsidRPr="003C4FDD" w:rsidRDefault="00685293" w:rsidP="00F0779F">
            <w:p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Wprowadzenie kompleksowych zmian w zapisach programu lekowego, w tym zmian porządkujących i dostosowujących zapisy programu lekowego do aktualnych wytycznych klinicznych, m.in.:</w:t>
            </w:r>
          </w:p>
          <w:p w14:paraId="035BE46F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ujednolicenie kryteriów wyłączenia dla wszystkich terapii dostępnych w ramach programu,</w:t>
            </w:r>
          </w:p>
          <w:p w14:paraId="77572154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uogólnienie zapisów dotyczących stosowania inhibitorów kinazy tyrozynowej w przypadku oporności lub nietolerancji,</w:t>
            </w:r>
          </w:p>
          <w:p w14:paraId="64A69DC2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terapii,</w:t>
            </w:r>
          </w:p>
          <w:p w14:paraId="089DB303" w14:textId="66FEFA42" w:rsidR="00685293" w:rsidRPr="003C4FDD" w:rsidRDefault="00685293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jednoczesnym udostępnieniem w ramach programu terapii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asciminibem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przeniesieniem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dazatynibu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katalogu chemioterapii.</w:t>
            </w:r>
          </w:p>
        </w:tc>
        <w:tc>
          <w:tcPr>
            <w:tcW w:w="1034" w:type="pct"/>
            <w:vAlign w:val="center"/>
          </w:tcPr>
          <w:p w14:paraId="24E94099" w14:textId="77777777" w:rsidR="00685293" w:rsidRPr="003C4FDD" w:rsidRDefault="00685293" w:rsidP="00685293">
            <w:pPr>
              <w:suppressAutoHyphens w:val="0"/>
              <w:rPr>
                <w:rFonts w:ascii="Lato" w:hAnsi="Lato"/>
              </w:rPr>
            </w:pPr>
          </w:p>
        </w:tc>
      </w:tr>
      <w:tr w:rsidR="00685293" w:rsidRPr="003C4FDD" w14:paraId="6F732F68" w14:textId="77777777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7D5E" w14:textId="7C991C08" w:rsidR="00685293" w:rsidRPr="003C4FDD" w:rsidRDefault="008D3759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74A3" w14:textId="4D20D172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B.65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63DC" w14:textId="7F0FD116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LECZENIE CHORYCH NA OSTRĄ BIAŁACZKĘ LIMFOBLASTYCZNĄ (ICD-10: C91.0)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2E8F" w14:textId="77777777" w:rsidR="00685293" w:rsidRPr="003C4FDD" w:rsidRDefault="00685293" w:rsidP="00F0779F">
            <w:p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Wprowadzenie kompleksowych zmian w zapisach programu lekowego, m.in.:</w:t>
            </w:r>
          </w:p>
          <w:p w14:paraId="3967D747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zmian porządkujących i dostosowujących zapisy programu lekowego do aktualnych wytycznych klinicznych,</w:t>
            </w:r>
          </w:p>
          <w:p w14:paraId="5FBA8287" w14:textId="04911F68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umożliwienie leczenia domowego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blinatumomabem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dzieci</w:t>
            </w:r>
            <w:r w:rsidR="00395A36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112E56AD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umożliwienie zastosowania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blinatumomabu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dzieci i dorosłych ze wznową, i u których nie jest planowane wykonanie przeszczepienia allogenicznych krwiotwórczych komórek macierzystych (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alloHSCT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),</w:t>
            </w:r>
          </w:p>
          <w:p w14:paraId="39BFF853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76" w:lineRule="auto"/>
              <w:contextualSpacing w:val="0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do leczenia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tisagenlecleucelem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(terapia CAR-T) także nawrotu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pozaszpikowego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ostrej białaczki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limfoblastycznej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14A65AF3" w14:textId="00AEA12C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</w:t>
            </w:r>
            <w:r w:rsidR="00395A36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090D62D" w14:textId="7A9CA142" w:rsidR="00685293" w:rsidRPr="003C4FDD" w:rsidRDefault="00395A36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Jednocześnie wprowadzono modyfikacje związane z</w:t>
            </w:r>
            <w:r w:rsidR="0068529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przeniesieniem </w:t>
            </w:r>
            <w:proofErr w:type="spellStart"/>
            <w:r w:rsidR="0068529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dazatynibu</w:t>
            </w:r>
            <w:proofErr w:type="spellEnd"/>
            <w:r w:rsidR="0068529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katalogu chemioterapii.</w:t>
            </w:r>
          </w:p>
        </w:tc>
        <w:tc>
          <w:tcPr>
            <w:tcW w:w="1034" w:type="pct"/>
            <w:vAlign w:val="center"/>
          </w:tcPr>
          <w:p w14:paraId="1F753B5D" w14:textId="77777777" w:rsidR="00685293" w:rsidRPr="003C4FDD" w:rsidRDefault="00685293" w:rsidP="00685293">
            <w:pPr>
              <w:suppressAutoHyphens w:val="0"/>
              <w:rPr>
                <w:rFonts w:ascii="Lato" w:hAnsi="Lato"/>
              </w:rPr>
            </w:pPr>
          </w:p>
        </w:tc>
      </w:tr>
      <w:tr w:rsidR="00694E14" w:rsidRPr="003C4FDD" w14:paraId="50DA02B0" w14:textId="1E94F3DA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4A83BFF4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49BFD97E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0078C6A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NOWOTWORY MIELOPROLIFERACYJNE 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(-) (ICD-10: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D45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 D47.1)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AFF4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nazwy programu lekowego z dotychczasowej LECZENIE MIELOFIBROZY PIERWOTNEJ ORAZ MIELOFIBROZY WTÓRNEJ W PRZEBIEGU CZERWIENICY PRAWDZIWEJ I NADPŁYTKOWOŚCI SAMOISTNEJ (ICD-10: D47.1) w związku z udostępnieniem w ramach programu terapii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ruksolitynibem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chorych na czerwienicę prawdziwą.</w:t>
            </w:r>
          </w:p>
          <w:p w14:paraId="2844D745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Wprowadzenie zmian porządkujących oraz dostosowujących zapisy programu lekowego do aktualnych wytycznych klinicznych, m.in.:</w:t>
            </w:r>
          </w:p>
          <w:p w14:paraId="74032B4F" w14:textId="77777777" w:rsidR="00694E14" w:rsidRPr="003C4FDD" w:rsidRDefault="00694E14" w:rsidP="00694E14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zmiany w kryteriach kwalifikacji do leczenia chorych na pierwotną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mielofibrozę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(PMF) lub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mielofibrozę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 przebiegu czerwienicy prawdziwej (Post-PV MF) lub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mielofibrozę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przebiegu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nadpłytkowości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samoistnej (Post-ET MF):</w:t>
            </w:r>
          </w:p>
          <w:p w14:paraId="38A16D36" w14:textId="77777777" w:rsidR="00694E14" w:rsidRPr="003C4FDD" w:rsidRDefault="00694E14" w:rsidP="00694E14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usunięcie warunku wcześniejszej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splenektomii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23E77FAB" w14:textId="77777777" w:rsidR="00694E14" w:rsidRPr="003C4FDD" w:rsidRDefault="00694E14" w:rsidP="00694E14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uogólnienie zapisu dla kryterium dotyczącego powiększenia śledziony,</w:t>
            </w:r>
          </w:p>
          <w:p w14:paraId="03198ECD" w14:textId="77777777" w:rsidR="00694E14" w:rsidRDefault="00694E14" w:rsidP="00694E14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obligatoryjne spełnienie przynajmniej jednego z dwóch poniższych kryteriów: kryterium powiększenia śledziony oraz kryterium w zakresie identyfikacji objawów ocenianych w skali MPN-SAF TSS (dotychczas obligatoryjne było spełnienie obu tych kryteriów),</w:t>
            </w:r>
          </w:p>
          <w:p w14:paraId="4BC7F39F" w14:textId="0688137C" w:rsidR="00694E14" w:rsidRPr="003C4FDD" w:rsidRDefault="00694E14" w:rsidP="00694E14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874D78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terapii.</w:t>
            </w:r>
          </w:p>
        </w:tc>
        <w:tc>
          <w:tcPr>
            <w:tcW w:w="1034" w:type="pct"/>
            <w:vAlign w:val="center"/>
          </w:tcPr>
          <w:p w14:paraId="535BA898" w14:textId="0EA0BB64" w:rsidR="00694E14" w:rsidRPr="003C4FDD" w:rsidRDefault="00694E14" w:rsidP="00694E14">
            <w:pPr>
              <w:suppressAutoHyphens w:val="0"/>
              <w:rPr>
                <w:rFonts w:ascii="Lato" w:hAnsi="Lato"/>
              </w:rPr>
            </w:pPr>
          </w:p>
        </w:tc>
      </w:tr>
      <w:tr w:rsidR="00694E14" w:rsidRPr="003C4FDD" w14:paraId="571B0832" w14:textId="77777777" w:rsidTr="009104F7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8A17ABF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2D603AB1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/>
                <w:b/>
                <w:bCs/>
                <w:sz w:val="18"/>
                <w:szCs w:val="18"/>
              </w:rPr>
              <w:t>B.125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5FB85D13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Cs/>
                <w:sz w:val="18"/>
                <w:szCs w:val="18"/>
                <w:lang w:eastAsia="en-US"/>
              </w:rPr>
            </w:pPr>
            <w:r w:rsidRPr="003C4FDD">
              <w:rPr>
                <w:rFonts w:ascii="Lato" w:eastAsia="Calibri" w:hAnsi="Lato" w:cstheme="majorHAnsi"/>
                <w:bCs/>
                <w:color w:val="000000"/>
                <w:sz w:val="18"/>
                <w:szCs w:val="18"/>
                <w:lang w:eastAsia="en-US"/>
              </w:rPr>
              <w:t>LECZENIE CHORYCH NA KOLCZYSTOKOMÓRKOWEGO RAKA SKÓRY (ICD-10: C44.12, C44.22, C44.32, C44.42, C44.52, C44.62, C44.72, C44.82, C44.92)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891E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</w:t>
            </w:r>
          </w:p>
          <w:p w14:paraId="4C89A20F" w14:textId="6DB41292" w:rsidR="00694E14" w:rsidRPr="00874D78" w:rsidRDefault="00694E14" w:rsidP="00694E14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Między innymi: w kryteriach kwalifikacji dodano zapis o stopniu sprawności i uproszczono punkt dotyczący wydolności narządowej, do kryteriów wyłączenia z programu dodano udokumentowaną progresję choroby oraz doprecyzowano punkt odnośnie braku współpracy pacjenta z lekarzem, do badań przy kwalifikacji dodano testy na HCV i HBV.</w:t>
            </w:r>
          </w:p>
        </w:tc>
      </w:tr>
      <w:tr w:rsidR="00694E14" w:rsidRPr="003C4FDD" w14:paraId="67293BB2" w14:textId="77777777" w:rsidTr="009104F7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75A3B9FB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3039609A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/>
                <w:b/>
                <w:bCs/>
                <w:sz w:val="18"/>
                <w:szCs w:val="18"/>
              </w:rPr>
              <w:t>B.148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243BCDA3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3C4FDD">
              <w:rPr>
                <w:rFonts w:ascii="Lato" w:hAnsi="Lato"/>
                <w:sz w:val="18"/>
                <w:szCs w:val="18"/>
              </w:rPr>
              <w:t>LECZENIE CHORYCH NA RAKA ENDOMETRIUM (ICD10: C54)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254CA9F4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 xml:space="preserve">Zmiana zapisu w pkt. 3 kryteriów kwalifikacji dot. zidentyfikowania obecności upośledzenia naprawy nieprawidłowo sparowanych nukleotydów (ang.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mismatch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repair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deficient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dMMR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) lub wysokiej niestabilności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mikrosatelitarnej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(ang.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microsatellite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instabilityhigh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, MSIH) potwierdzonej tylko z wykorzystaniem </w:t>
            </w:r>
            <w:proofErr w:type="spellStart"/>
            <w:r w:rsidRPr="003C4FDD">
              <w:rPr>
                <w:rFonts w:ascii="Lato" w:hAnsi="Lato" w:cstheme="majorHAnsi"/>
                <w:sz w:val="18"/>
                <w:szCs w:val="18"/>
              </w:rPr>
              <w:t>zwalidowanego</w:t>
            </w:r>
            <w:proofErr w:type="spellEnd"/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testu.</w:t>
            </w:r>
          </w:p>
        </w:tc>
      </w:tr>
      <w:tr w:rsidR="00694E14" w:rsidRPr="003C4FDD" w14:paraId="66D571B6" w14:textId="77777777" w:rsidTr="008D3759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414D4FF9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0920B0EA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/>
                <w:b/>
                <w:bCs/>
                <w:sz w:val="18"/>
                <w:szCs w:val="18"/>
              </w:rPr>
              <w:t>C.82.c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462FA81F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800F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Zniesi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enie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dotychczasow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ych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zapisów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ograniczając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ych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stosowanie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bewacyzumabu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wyłącznie w dwóch liniach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 w skojarzeniu z konkretnymi dubletami chemioterapii.</w:t>
            </w:r>
          </w:p>
          <w:p w14:paraId="4C9AB9C4" w14:textId="2AAA8E4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Nowe zapisy załącznika C.82.c wskazują na konieczność skojarzenia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bewacyzumabu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chemioterapią zawierającą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Ponadto,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bewacyzumab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może być zastosowany u danego pacjenta tylko w jednej, wybranej linii leczenia.</w:t>
            </w:r>
          </w:p>
        </w:tc>
      </w:tr>
      <w:tr w:rsidR="00694E14" w:rsidRPr="003C4FDD" w14:paraId="39427419" w14:textId="77777777" w:rsidTr="008D3759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1031" w14:textId="44C420EB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F090" w14:textId="77777777" w:rsidR="00694E14" w:rsidRPr="0004482C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482C">
              <w:rPr>
                <w:rFonts w:ascii="Lato" w:hAnsi="Lato"/>
                <w:b/>
                <w:bCs/>
                <w:sz w:val="18"/>
                <w:szCs w:val="18"/>
              </w:rPr>
              <w:t>C.92.a</w:t>
            </w:r>
          </w:p>
          <w:p w14:paraId="64511F4F" w14:textId="46B9BC0C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482C">
              <w:rPr>
                <w:rFonts w:ascii="Lato" w:hAnsi="Lato"/>
                <w:b/>
                <w:bCs/>
                <w:sz w:val="18"/>
                <w:szCs w:val="18"/>
              </w:rPr>
              <w:t>C.92.b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0F0A" w14:textId="5E6FFC63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DASATINIB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4E9D" w14:textId="77777777" w:rsidR="00694E14" w:rsidRPr="003C4FDD" w:rsidRDefault="00694E14" w:rsidP="00694E14">
            <w:pPr>
              <w:suppressAutoHyphens w:val="0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dazatynibu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</w:p>
          <w:p w14:paraId="15E1F01F" w14:textId="77777777" w:rsidR="00694E14" w:rsidRDefault="00694E14" w:rsidP="00694E14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B.14 – LECZENIE CHORYCH NA PRZEWLEKŁĄ BIAŁACZKĘ SZPIKOWĄ (ICD-10: C92.1) do katalogu chemioterapii C.92.a,</w:t>
            </w:r>
          </w:p>
          <w:p w14:paraId="69ECB757" w14:textId="5AC01491" w:rsidR="00694E14" w:rsidRPr="00694E14" w:rsidRDefault="00694E14" w:rsidP="00694E14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B.65 - LECZENIE CHORYCH NA OSTRĄ BIAŁACZKĘ LIMFOBLASTYCZNĄ (ICD-10: C91.0) do katalogu chemioterapii C.92.b.</w:t>
            </w:r>
          </w:p>
        </w:tc>
      </w:tr>
    </w:tbl>
    <w:p w14:paraId="08AE375A" w14:textId="43C53898" w:rsidR="0056748F" w:rsidRPr="003C4FDD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13C8E853" w14:textId="77777777" w:rsidR="0009112E" w:rsidRPr="003C4FDD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242DFDC3" w14:textId="77777777" w:rsidR="0009112E" w:rsidRPr="003C4FDD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Pr="003C4FDD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3C4FDD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1837"/>
        <w:gridCol w:w="1446"/>
        <w:gridCol w:w="4862"/>
        <w:gridCol w:w="5383"/>
      </w:tblGrid>
      <w:tr w:rsidR="00AD08C5" w:rsidRPr="003C4FDD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3C4FDD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3C4FDD" w14:paraId="7D53B9E1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3C4FDD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3C4FDD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9104F7" w:rsidRPr="003C4FDD" w14:paraId="0C276518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63575624" w:rsidR="009104F7" w:rsidRPr="003C4FDD" w:rsidRDefault="008B5033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426ADFC7" w:rsidR="009104F7" w:rsidRPr="003C4FDD" w:rsidRDefault="009104F7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Glypvilo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1917BD12" w:rsidR="009104F7" w:rsidRPr="003C4FDD" w:rsidRDefault="009104F7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wildagliptyna</w:t>
            </w:r>
            <w:proofErr w:type="spellEnd"/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3BB93314" w:rsidR="009104F7" w:rsidRPr="003C4FDD" w:rsidRDefault="009104F7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183B" w14:textId="6ECE57E9" w:rsidR="009104F7" w:rsidRPr="003C4FDD" w:rsidRDefault="00793222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="009104F7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zupełnienie diety i ćwiczeń fizycznych w celu poprawy kontroli glikemii u osób dorosłych z cukrzycą typu 2:</w:t>
            </w:r>
          </w:p>
          <w:p w14:paraId="2AEE7CFB" w14:textId="20646C38" w:rsidR="009104F7" w:rsidRPr="003C4FDD" w:rsidRDefault="009104F7" w:rsidP="003C4FDD">
            <w:p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w monoterapii u pacjentów, u których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metformina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nieodpowiednia z powodu występowania przeciwwskazań lub nietolerancji,</w:t>
            </w:r>
          </w:p>
          <w:p w14:paraId="41D464AF" w14:textId="500133F6" w:rsidR="009104F7" w:rsidRPr="003C4FDD" w:rsidRDefault="009104F7" w:rsidP="003C4FDD">
            <w:p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- w skojarzeniu z innymi produktami leczniczymi stosowanymi w leczeniu cukrzycy, w tym z insuliną, gdy produkty te nie zapewniają wystarczającej kontroli glikemii.</w:t>
            </w:r>
          </w:p>
        </w:tc>
      </w:tr>
      <w:tr w:rsidR="00E55290" w:rsidRPr="003C4FDD" w14:paraId="46BBA744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5F2C" w14:textId="25963FD2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0861" w14:textId="4D3A0DD5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Maysiglu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5292" w14:textId="47318ABB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</w:t>
            </w:r>
            <w:proofErr w:type="spellEnd"/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8302" w14:textId="52A411E2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DECB" w14:textId="77777777" w:rsidR="00E55290" w:rsidRPr="003C4FDD" w:rsidRDefault="00E55290" w:rsidP="00E55290">
            <w:pPr>
              <w:tabs>
                <w:tab w:val="left" w:pos="4021"/>
              </w:tabs>
              <w:spacing w:after="12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dorosłych z cukrzycą typu 2 w celu poprawy kontroli glikemii: </w:t>
            </w:r>
          </w:p>
          <w:p w14:paraId="1BC60DD4" w14:textId="77777777" w:rsidR="00E55290" w:rsidRPr="003C4FDD" w:rsidRDefault="00E55290" w:rsidP="00E5529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monoterapii (u pacjentów nieodpowiednio kontrolowanych wyłącznie dietą i ćwiczeniami fizycznymi, u których stosowanie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niewłaściwe z powodu przeciwwskazań lub nietolerancji);</w:t>
            </w:r>
          </w:p>
          <w:p w14:paraId="180D5011" w14:textId="77777777" w:rsidR="00E55290" w:rsidRPr="003C4FDD" w:rsidRDefault="00E55290" w:rsidP="00E5529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 dwuskładnikowej terapii doustnej w skojarzeniu z:</w:t>
            </w:r>
          </w:p>
          <w:p w14:paraId="51C54BAE" w14:textId="77777777" w:rsidR="00E55290" w:rsidRPr="003C4FDD" w:rsidRDefault="00E55290" w:rsidP="00E55290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przypadku, gdy dieta i ćwiczenia fizyczne oraz stosowanie jedynie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nie wystarczają do odpowiedniej kontroli glikemii; </w:t>
            </w:r>
          </w:p>
          <w:p w14:paraId="18F53232" w14:textId="77777777" w:rsidR="00E55290" w:rsidRPr="003C4FDD" w:rsidRDefault="00E55290" w:rsidP="00E55290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pochodną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sulfonylomocznika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przypadku, gdy dieta i ćwiczenia fizyczne oraz stosowanie jedynie maksymalnej tolerowanej dawki pochodnej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sulfonylomocznika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nie wystarczają do odpowiedniej kontroli glikemii oraz w przypadku, gdy stosowanie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niewłaściwe z powodu przeciwwskazań lub nietolerancji; </w:t>
            </w:r>
          </w:p>
          <w:p w14:paraId="119375CB" w14:textId="77777777" w:rsidR="00E55290" w:rsidRPr="003C4FDD" w:rsidRDefault="00E55290" w:rsidP="00E55290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agonistą receptora aktywowanego przez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proliferatory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peroksysomów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typu gamma (PPAR) (tj.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tiazolidynedionem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), jeśli zastosowanie agonisty receptora 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 jest wskazane i kiedy stosowanie diety i ćwiczeń fizycznych w połączeniu z agonistą receptora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PPAR</w:t>
            </w:r>
            <w:r w:rsidRPr="003C4FDD">
              <w:rPr>
                <w:rFonts w:cs="Calibri"/>
                <w:color w:val="000000"/>
                <w:sz w:val="18"/>
                <w:szCs w:val="18"/>
              </w:rPr>
              <w:t>γ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 nie zapewnia odpowiedniej kontroli glikemii;</w:t>
            </w:r>
          </w:p>
          <w:p w14:paraId="611AA71D" w14:textId="77777777" w:rsidR="00E55290" w:rsidRPr="003C4FDD" w:rsidRDefault="00E55290" w:rsidP="00E5529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 trójskładnikowej terapii doustnej w skojarzeniu z:</w:t>
            </w:r>
          </w:p>
          <w:p w14:paraId="5689F07B" w14:textId="77777777" w:rsidR="00E55290" w:rsidRPr="003C4FDD" w:rsidRDefault="00E55290" w:rsidP="00E55290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pochodną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sulfonylomocznika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przypadku, gdy dieta i ćwiczenia fizyczne oraz stosowanie tych produktów leczniczych nie wystarczają do odpowiedniej kontroli glikemii; </w:t>
            </w:r>
          </w:p>
          <w:p w14:paraId="04DB7C93" w14:textId="77777777" w:rsidR="00E55290" w:rsidRPr="003C4FDD" w:rsidRDefault="00E55290" w:rsidP="00E55290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agonistą receptora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PPAR</w:t>
            </w:r>
            <w:r w:rsidRPr="003C4FDD">
              <w:rPr>
                <w:rFonts w:cs="Calibri"/>
                <w:color w:val="000000"/>
                <w:sz w:val="18"/>
                <w:szCs w:val="18"/>
              </w:rPr>
              <w:t>γ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 kiedy zastosowanie agonisty receptora 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 jest wskazane i kiedy stosowanie diety i ćwiczeń fizycznych w połączeniu z tymi produktami leczniczymi nie wystarczają do odpowiedniej kontroli glikemii. </w:t>
            </w:r>
          </w:p>
          <w:p w14:paraId="704CA0A4" w14:textId="7346B75D" w:rsidR="00E55290" w:rsidRPr="003C4FDD" w:rsidRDefault="00E55290" w:rsidP="00E55290">
            <w:pPr>
              <w:tabs>
                <w:tab w:val="left" w:pos="4021"/>
              </w:tabs>
              <w:spacing w:after="12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Maysiglu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także wskazany do stosowania jako lek uzupełniający w stosunku do insuliny (z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bez), kiedy dieta i ćwiczenia fizyczne w połączeniu ze stałą dawką insuliny nie zapewniają odpowiedniej kontroli glikemii.</w:t>
            </w:r>
          </w:p>
        </w:tc>
      </w:tr>
      <w:tr w:rsidR="00E55290" w:rsidRPr="003C4FDD" w14:paraId="3A9F8BCC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8B75" w14:textId="101B15BD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E7EF" w14:textId="0195692D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Maymetsi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B342" w14:textId="5BF09207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chlorowodorek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D97F" w14:textId="371EF69A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5201" w14:textId="77777777" w:rsidR="00E55290" w:rsidRPr="003C4FDD" w:rsidRDefault="00E55290" w:rsidP="00E55290">
            <w:pPr>
              <w:shd w:val="clear" w:color="auto" w:fill="FFFFFF"/>
              <w:spacing w:after="120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 dorosłych pacjentów z cukrzycą typu 2:</w:t>
            </w:r>
          </w:p>
          <w:p w14:paraId="7A41C4F4" w14:textId="77777777" w:rsidR="00E55290" w:rsidRDefault="00E55290" w:rsidP="00E55290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do stosowania, oprócz diety i ćwiczeń fizycznych, w celu poprawy kontroli glikemii u pacjentów z glikemią niedostatecznie wyrównaną podczas stosowania maksymalnej tolerowanej dawki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 lub u pacjentów już leczonych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sitagliptyną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482DC79D" w14:textId="77777777" w:rsidR="00E55290" w:rsidRPr="003C4FDD" w:rsidRDefault="00E55290" w:rsidP="00E55290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- do stosowania w skojarzeniu z pochodną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sulfonylomocznika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(tj. w leczeniu potrójnie skojarzonym), oprócz diety i ćwiczeń fizycznych, u pacjentów z glikemią niedostatecznie wyrównaną podczas stosowania maksymalnej tolerowanej dawki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pochodnej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sulfonylomocznika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1F4FBF5C" w14:textId="77777777" w:rsidR="00E55290" w:rsidRPr="003C4FDD" w:rsidRDefault="00E55290" w:rsidP="00E55290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- w leczeniu potrójnie skojarzonym z agonistą receptora aktywowanego przez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proliferatory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peroksysomów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typu gamma (PPAR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sym w:font="Symbol" w:char="F067"/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(np.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tiazolidynedionem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), oprócz diety i ćwiczeń fizycznych, u pacjentów z glikemią niedostatecznie wyrównaną podczas stosowania maksymalnej tolerowanej dawki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agonisty receptora 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sym w:font="Symbol" w:char="F067"/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.,</w:t>
            </w:r>
          </w:p>
          <w:p w14:paraId="7341B3E7" w14:textId="516CE06C" w:rsidR="00E55290" w:rsidRPr="003C4FDD" w:rsidRDefault="00E55290" w:rsidP="00E55290">
            <w:pPr>
              <w:tabs>
                <w:tab w:val="left" w:pos="4021"/>
              </w:tabs>
              <w:spacing w:after="12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do stosowania, jako lek uzupełniający podanie insuliny (tj. w leczeniu potrójnie skojarzonym), pomocniczo wraz z dietą i ćwiczeniami fizycznymi, w celu poprawy kontroli glikemii u pacjentów, u których stosowanie stałej dawki insuliny i 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nie zapewnia odpowiedniej kontroli glikemii.</w:t>
            </w:r>
          </w:p>
        </w:tc>
      </w:tr>
      <w:tr w:rsidR="00E55290" w:rsidRPr="003C4FDD" w14:paraId="56C43699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50DD" w14:textId="7A1D9AD8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0A4C" w14:textId="42B3F948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Oramorph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E18C" w14:textId="0D6F06CB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8CD3" w14:textId="56FD75B6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7AA" w14:textId="77777777" w:rsidR="00533C14" w:rsidRPr="00533C14" w:rsidRDefault="00533C14" w:rsidP="00533C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postać farmaceutyczna siarczanu morfiny  w formie kropli doustnych </w:t>
            </w:r>
            <w:proofErr w:type="spellStart"/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>ułatwiajacych</w:t>
            </w:r>
            <w:proofErr w:type="spellEnd"/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podawanie leku dzieciom oraz pacjentom mających problem z przełykaniem. </w:t>
            </w:r>
          </w:p>
          <w:p w14:paraId="02677A1C" w14:textId="6180AF80" w:rsidR="00E55290" w:rsidRPr="00E55290" w:rsidRDefault="00533C14" w:rsidP="00533C14">
            <w:pPr>
              <w:shd w:val="clear" w:color="auto" w:fill="FFFFFF"/>
              <w:spacing w:after="120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</w:t>
            </w:r>
            <w:proofErr w:type="spellStart"/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>Oramorph</w:t>
            </w:r>
            <w:proofErr w:type="spellEnd"/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wskazany jest u dorosłych, młodzieży i dzieci powyżej 1. roku życia.</w:t>
            </w:r>
          </w:p>
        </w:tc>
      </w:tr>
      <w:tr w:rsidR="0004482C" w:rsidRPr="003C4FDD" w14:paraId="2B2D1788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B834" w14:textId="72FC4326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7E00" w14:textId="26485860" w:rsidR="0004482C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Oramorph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C168" w14:textId="407323EE" w:rsidR="0004482C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92EA" w14:textId="462373DF" w:rsidR="0004482C" w:rsidRPr="009674E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Neuralgia </w:t>
            </w:r>
            <w:proofErr w:type="spellStart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popółpaścowa</w:t>
            </w:r>
            <w:proofErr w:type="spellEnd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przewlekła, Wieloobjawowy miejscowy zespół bólowy typu I - odruchowa dystrofia współczulna oraz typu II – kauzalgia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0DC1" w14:textId="0105A505" w:rsidR="0004482C" w:rsidRPr="009674ED" w:rsidRDefault="0004482C" w:rsidP="00533C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postać farmaceutyczna siarczanu morfiny </w:t>
            </w:r>
            <w:r w:rsid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f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orm</w:t>
            </w:r>
            <w:r w:rsidR="00533C14">
              <w:rPr>
                <w:rFonts w:ascii="Lato" w:hAnsi="Lato" w:cstheme="majorHAnsi"/>
                <w:color w:val="000000"/>
                <w:sz w:val="18"/>
                <w:szCs w:val="18"/>
              </w:rPr>
              <w:t>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ułatwia</w:t>
            </w:r>
            <w:r w:rsidR="00533C14">
              <w:rPr>
                <w:rFonts w:ascii="Lato" w:hAnsi="Lato" w:cstheme="majorHAnsi"/>
                <w:color w:val="000000"/>
                <w:sz w:val="18"/>
                <w:szCs w:val="18"/>
              </w:rPr>
              <w:t>jacych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podawanie leku dzieciom oraz pacjentom mających problem z przełykaniem. </w:t>
            </w:r>
          </w:p>
          <w:p w14:paraId="6B11F691" w14:textId="663B8671" w:rsidR="0004482C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</w:t>
            </w:r>
            <w:proofErr w:type="spellStart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Oramorph</w:t>
            </w:r>
            <w:proofErr w:type="spellEnd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wskazany jest u dorosłych, młodzieży i dzieci powyżej 1. roku życia.</w:t>
            </w:r>
          </w:p>
        </w:tc>
      </w:tr>
      <w:tr w:rsidR="0004482C" w:rsidRPr="003C4FDD" w14:paraId="1BAE640F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1B93" w14:textId="5499B320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BF61" w14:textId="22C14756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VaxigripTetra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225" w14:textId="3FEAB7F8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czterowalentna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szczepionka przeciw grypie (rozszczepiony </w:t>
            </w: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wirion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), inaktywowana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2157" w14:textId="3636A6BF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BDC8" w14:textId="77777777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Do zapobiegania grypie wywołanej przez dwa podtypy wirusa grypy A oraz dwa typy wirusa grypy B, które są zawarte w szczepionce:</w:t>
            </w:r>
          </w:p>
          <w:p w14:paraId="63289E09" w14:textId="56AB91B8" w:rsidR="0004482C" w:rsidRPr="00793222" w:rsidRDefault="0004482C" w:rsidP="0004482C">
            <w:pPr>
              <w:pStyle w:val="Akapitzlist"/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93222">
              <w:rPr>
                <w:rFonts w:ascii="Lato" w:hAnsi="Lato" w:cstheme="majorHAnsi"/>
                <w:color w:val="000000"/>
                <w:sz w:val="18"/>
                <w:szCs w:val="18"/>
              </w:rPr>
              <w:t>czynne uodpornienie dorosłych, w tym kobiet w ciąży, oraz dzieci od ukończenia 6. miesiąca życia,</w:t>
            </w:r>
          </w:p>
          <w:p w14:paraId="2843AD31" w14:textId="615D80B0" w:rsidR="0004482C" w:rsidRPr="00793222" w:rsidRDefault="0004482C" w:rsidP="0004482C">
            <w:pPr>
              <w:pStyle w:val="Akapitzlist"/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93222">
              <w:rPr>
                <w:rFonts w:ascii="Lato" w:hAnsi="Lato" w:cstheme="majorHAnsi"/>
                <w:color w:val="000000"/>
                <w:sz w:val="18"/>
                <w:szCs w:val="18"/>
              </w:rPr>
              <w:t>bierne uodpornienie niemowląt od urodzenia do wieku poniżej sześciu miesięcy po szczepieniu kobiet w ciąży.</w:t>
            </w:r>
          </w:p>
          <w:p w14:paraId="695FCFA9" w14:textId="4757F62F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Zastosowanie szczepionki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VaxigripTetra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powinno być zgodne z oficjalnymi zaleceniami.</w:t>
            </w:r>
          </w:p>
        </w:tc>
      </w:tr>
      <w:tr w:rsidR="0004482C" w:rsidRPr="003C4FDD" w14:paraId="3278AB75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99FD" w14:textId="2779B947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61BD" w14:textId="25D4B730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7FE6" w14:textId="09CC6C2E" w:rsidR="0004482C" w:rsidRPr="003C4FDD" w:rsidRDefault="0047073D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="0004482C"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noksaparyna</w:t>
            </w:r>
            <w:proofErr w:type="spellEnd"/>
            <w:r w:rsidR="0004482C"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sodowa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9EA6" w14:textId="111C8E05" w:rsidR="0004482C" w:rsidRPr="00FA2B57" w:rsidRDefault="00FA2B57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B91">
              <w:rPr>
                <w:rFonts w:ascii="Lato" w:hAnsi="Lato" w:cstheme="majorHAnsi"/>
                <w:color w:val="000000"/>
                <w:sz w:val="18"/>
                <w:szCs w:val="18"/>
              </w:rPr>
              <w:t>Profilaktyka i leczenie żylnej choroby zakrzepowo – zatorowej u kobiet w ciąży i połogu – w przypadkach innych niż określone w ChPL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4F80" w14:textId="373FC3BD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Poszerzenie wskazania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celu zwiększenie dostępności refundacyjnej do leczenie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enoksaparyną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 kobiet w okresie połogu.</w:t>
            </w:r>
          </w:p>
        </w:tc>
      </w:tr>
      <w:tr w:rsidR="0004482C" w:rsidRPr="003C4FDD" w14:paraId="3A2194AA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E2FF" w14:textId="0F8122B2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30D9" w14:textId="6E2743D3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B101" w14:textId="018B435A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nadroparyna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wapniowa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215F" w14:textId="07F3FB35" w:rsidR="0004482C" w:rsidRPr="003C4FDD" w:rsidRDefault="00FA2B57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24950">
              <w:rPr>
                <w:rFonts w:ascii="Lato" w:hAnsi="Lato" w:cstheme="majorHAnsi"/>
                <w:color w:val="000000"/>
                <w:sz w:val="18"/>
                <w:szCs w:val="18"/>
              </w:rPr>
              <w:t>Profilaktyka i leczenie żylnej choroby zakrzepowo – zatorowej u kobiet w ciąży i połogu – w przypadkach innych niż określone w ChPL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0138" w14:textId="55F796BA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Poszerzenie wskazania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celu zwiększenie dostępności refundacyjnej do leczenie </w:t>
            </w:r>
            <w:proofErr w:type="spellStart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nadroparyną</w:t>
            </w:r>
            <w:proofErr w:type="spellEnd"/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 kobiet w okresie połogu.</w:t>
            </w:r>
          </w:p>
        </w:tc>
      </w:tr>
      <w:tr w:rsidR="00157EBF" w:rsidRPr="003C4FDD" w14:paraId="36C2EBBE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C44" w14:textId="536E04EB" w:rsidR="00157EBF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9B8F" w14:textId="6EB1E3FE" w:rsidR="00157EBF" w:rsidRPr="003C4FDD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845A" w14:textId="6CFEA02A" w:rsidR="00157EBF" w:rsidRPr="003C4FDD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aprepitant</w:t>
            </w:r>
            <w:proofErr w:type="spellEnd"/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74DE" w14:textId="2CAC668C" w:rsidR="00157EBF" w:rsidRPr="00E24950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Wczesne albo opóźnione wymioty u osób dorosłych związane z silnie 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emetogenną</w:t>
            </w:r>
            <w:proofErr w:type="spellEnd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z zastosowaniem 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cisplatyny</w:t>
            </w:r>
            <w:proofErr w:type="spellEnd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dawce &gt;70 mg/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m2</w:t>
            </w:r>
            <w:proofErr w:type="spellEnd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doksorubicyny</w:t>
            </w:r>
            <w:proofErr w:type="spellEnd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cyklofosfamidu</w:t>
            </w:r>
            <w:proofErr w:type="spellEnd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profilaktyka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525F" w14:textId="7E745481" w:rsidR="00157EBF" w:rsidRPr="003C4FDD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refundacyjnego o w</w:t>
            </w:r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czesne albo opóźnione wymioty związane z silnie 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emetogenną</w:t>
            </w:r>
            <w:proofErr w:type="spellEnd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z zastosowaniem 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doksorubicyny</w:t>
            </w:r>
            <w:proofErr w:type="spellEnd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cyklofosfamidu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 wszystkich produktów leczniczych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aprepitantem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DCB6C8F" w14:textId="77777777" w:rsidR="005B41EF" w:rsidRPr="003C4FDD" w:rsidRDefault="005B41EF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5B41EF" w:rsidRPr="0044187C" w14:paraId="789CC5EF" w14:textId="77777777" w:rsidTr="00F2760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E15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48004033"/>
            <w:r w:rsidRPr="0044187C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6</w:t>
            </w:r>
            <w:r w:rsidRPr="0044187C">
              <w:rPr>
                <w:rFonts w:ascii="Lato" w:hAnsi="Lato" w:cstheme="majorHAnsi"/>
                <w:b/>
                <w:bCs/>
                <w:color w:val="FFFFFF"/>
              </w:rPr>
              <w:t>5+</w:t>
            </w:r>
          </w:p>
        </w:tc>
      </w:tr>
      <w:tr w:rsidR="005B41EF" w:rsidRPr="0044187C" w14:paraId="16B93F47" w14:textId="77777777" w:rsidTr="00F2760C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6C85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E630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77E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E405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5B41EF" w:rsidRPr="0044187C" w14:paraId="347A1273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47C1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A377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wildagliptyna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B25E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AB73" w14:textId="037570E0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wskazań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refundacyjnych 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leku </w:t>
            </w:r>
            <w:proofErr w:type="spellStart"/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>Glypvilo</w:t>
            </w:r>
            <w:proofErr w:type="spellEnd"/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leczeniu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cukrzycy typu 2,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ukończeniu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65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41EF" w:rsidRPr="0044187C" w14:paraId="1C5F85F2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9E0B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4CA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D63A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356F" w14:textId="43B42BAB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wskazań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refundacyjnych 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leku </w:t>
            </w:r>
            <w:proofErr w:type="spellStart"/>
            <w:r w:rsidR="00116B73" w:rsidRPr="00116B73">
              <w:rPr>
                <w:rFonts w:ascii="Lato" w:hAnsi="Lato" w:cstheme="majorHAnsi"/>
                <w:color w:val="000000"/>
                <w:sz w:val="18"/>
                <w:szCs w:val="18"/>
              </w:rPr>
              <w:t>Maysiglu</w:t>
            </w:r>
            <w:proofErr w:type="spellEnd"/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leczeniu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cukrzycy typu 2,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ukończeniu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65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41EF" w:rsidRPr="0044187C" w14:paraId="3F0E4ED7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453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3B6E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metforminy</w:t>
            </w:r>
            <w:proofErr w:type="spellEnd"/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chlorowodorek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D7FC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9D09" w14:textId="4860B949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wskazań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refundacyjnych 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leku </w:t>
            </w:r>
            <w:proofErr w:type="spellStart"/>
            <w:r w:rsidR="00116B73" w:rsidRPr="00116B73">
              <w:rPr>
                <w:rFonts w:ascii="Lato" w:hAnsi="Lato" w:cstheme="majorHAnsi"/>
                <w:color w:val="000000"/>
                <w:sz w:val="18"/>
                <w:szCs w:val="18"/>
              </w:rPr>
              <w:t>Maymetsi</w:t>
            </w:r>
            <w:proofErr w:type="spellEnd"/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leczeniu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cukrzycy typu 2,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ukończeniu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65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41EF" w:rsidRPr="0044187C" w14:paraId="5C994147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6F84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D385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9AD7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F7F4" w14:textId="6991FC4A" w:rsidR="005B41EF" w:rsidRPr="005B41EF" w:rsidRDefault="00585FA9" w:rsidP="005B41E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po ukończeniu 65. roku życia.</w:t>
            </w:r>
          </w:p>
        </w:tc>
      </w:tr>
      <w:tr w:rsidR="005B41EF" w:rsidRPr="0044187C" w14:paraId="194574B0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2186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FEA0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1E2A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Neuralgia </w:t>
            </w:r>
            <w:proofErr w:type="spellStart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popółpaścowa</w:t>
            </w:r>
            <w:proofErr w:type="spellEnd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przewlekła, Wieloobjawowy miejscowy zespół bólowy typu I - odruchowa dystrofia współczulna oraz typu II – kauzalgia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E328" w14:textId="3F47581D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 w:rsidR="00585FA9"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po ukończeniu 65. roku życia.</w:t>
            </w:r>
          </w:p>
        </w:tc>
      </w:tr>
      <w:bookmarkEnd w:id="2"/>
    </w:tbl>
    <w:p w14:paraId="3B4E4833" w14:textId="77777777" w:rsidR="008B5033" w:rsidRDefault="008B5033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65A980CE" w14:textId="77777777" w:rsidR="005B41EF" w:rsidRDefault="005B41EF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5B41EF" w:rsidRPr="0044187C" w14:paraId="37D46A66" w14:textId="77777777" w:rsidTr="00F2760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7176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48004069"/>
            <w:r w:rsidRPr="0044187C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bezpłatnych leków dla dzieci</w:t>
            </w:r>
          </w:p>
        </w:tc>
      </w:tr>
      <w:tr w:rsidR="005B41EF" w:rsidRPr="0044187C" w14:paraId="5884D3B0" w14:textId="77777777" w:rsidTr="00F2760C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9D2C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A42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7B02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F70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5B41EF" w:rsidRPr="0044187C" w14:paraId="1B9B2827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ED96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8DDA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AF80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8A08" w14:textId="5C47901F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 w:rsidR="00585FA9"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 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dzieci i młodzieży.</w:t>
            </w:r>
          </w:p>
        </w:tc>
      </w:tr>
      <w:tr w:rsidR="005B41EF" w:rsidRPr="0044187C" w14:paraId="44058023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3271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DD76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CB7C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Neuralgia </w:t>
            </w:r>
            <w:proofErr w:type="spellStart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popółpaścowa</w:t>
            </w:r>
            <w:proofErr w:type="spellEnd"/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przewlekła, Wieloobjawowy miejscowy zespół bólowy typu I - odruchowa dystrofia współczulna oraz typu II – kauzalgia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4928" w14:textId="48916572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 w:rsidR="00585FA9"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dzieci i młodzieży.</w:t>
            </w:r>
          </w:p>
        </w:tc>
      </w:tr>
      <w:bookmarkEnd w:id="3"/>
    </w:tbl>
    <w:p w14:paraId="5B95BBCF" w14:textId="77777777" w:rsidR="005B41EF" w:rsidRPr="003C4FDD" w:rsidRDefault="005B41EF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6640118F" w14:textId="35F8D527" w:rsidR="008B5033" w:rsidRPr="003C4FDD" w:rsidRDefault="008B5033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t>INFORMACJE DOTYCZĄCE BRAKU REFUNDACJI LEKÓW FORXIGA, INVOKANA</w:t>
      </w:r>
      <w:r w:rsidR="00E90D87">
        <w:rPr>
          <w:rFonts w:ascii="Lato" w:hAnsi="Lato"/>
          <w:b/>
          <w:bCs/>
          <w:color w:val="00B0F0"/>
          <w:sz w:val="28"/>
          <w:szCs w:val="28"/>
        </w:rPr>
        <w:t>, FLUENZ TETRA</w:t>
      </w:r>
      <w:r w:rsidR="00B0050A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Pr="003C4FDD">
        <w:rPr>
          <w:rFonts w:ascii="Lato" w:hAnsi="Lato"/>
          <w:b/>
          <w:bCs/>
          <w:color w:val="00B0F0"/>
          <w:sz w:val="28"/>
          <w:szCs w:val="28"/>
        </w:rPr>
        <w:t>I XOFIGO OD LISTOPADA BIEŻĄCEGO ROKU</w:t>
      </w:r>
    </w:p>
    <w:p w14:paraId="3CA3DB60" w14:textId="485454A5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31 października 2023 r. upływa termin obowiązywania decyzji o objęciu refundacją i ustaleniu ceny dla dwóch z trzech refundowanych aktualnie leków z grupy doustnych leków przeciwcukrzycowych – </w:t>
      </w:r>
      <w:proofErr w:type="spellStart"/>
      <w:r w:rsidRPr="003C4FDD">
        <w:rPr>
          <w:rFonts w:ascii="Lato" w:hAnsi="Lato"/>
        </w:rPr>
        <w:t>flozyn</w:t>
      </w:r>
      <w:proofErr w:type="spellEnd"/>
      <w:r w:rsidRPr="003C4FDD">
        <w:rPr>
          <w:rFonts w:ascii="Lato" w:hAnsi="Lato"/>
        </w:rPr>
        <w:t>:</w:t>
      </w:r>
    </w:p>
    <w:p w14:paraId="7523D90C" w14:textId="38596F35" w:rsidR="007B25FE" w:rsidRPr="003C4FDD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proofErr w:type="spellStart"/>
      <w:r w:rsidRPr="003C4FDD">
        <w:rPr>
          <w:rFonts w:ascii="Lato" w:hAnsi="Lato"/>
          <w:b/>
          <w:bCs/>
        </w:rPr>
        <w:t>Forxiga</w:t>
      </w:r>
      <w:proofErr w:type="spellEnd"/>
      <w:r w:rsidRPr="003C4FDD">
        <w:rPr>
          <w:rFonts w:ascii="Lato" w:hAnsi="Lato"/>
        </w:rPr>
        <w:t xml:space="preserve">, </w:t>
      </w:r>
      <w:proofErr w:type="spellStart"/>
      <w:r w:rsidRPr="003C4FDD">
        <w:rPr>
          <w:rFonts w:ascii="Lato" w:hAnsi="Lato"/>
        </w:rPr>
        <w:t>dapagliflozinum</w:t>
      </w:r>
      <w:proofErr w:type="spellEnd"/>
      <w:r w:rsidRPr="003C4FDD">
        <w:rPr>
          <w:rFonts w:ascii="Lato" w:hAnsi="Lato"/>
        </w:rPr>
        <w:t xml:space="preserve">, 10 mg, tabl. </w:t>
      </w:r>
      <w:proofErr w:type="spellStart"/>
      <w:r w:rsidRPr="003C4FDD">
        <w:rPr>
          <w:rFonts w:ascii="Lato" w:hAnsi="Lato"/>
        </w:rPr>
        <w:t>powl</w:t>
      </w:r>
      <w:proofErr w:type="spellEnd"/>
      <w:r w:rsidRPr="003C4FDD">
        <w:rPr>
          <w:rFonts w:ascii="Lato" w:hAnsi="Lato"/>
        </w:rPr>
        <w:t>., 30 tabl., GTIN: 05909990975884, podmiot odpowiedzialny AstraZeneca AB</w:t>
      </w:r>
      <w:r w:rsidR="00BB4FF5" w:rsidRPr="003C4FDD">
        <w:rPr>
          <w:rFonts w:ascii="Lato" w:hAnsi="Lato"/>
        </w:rPr>
        <w:t>,</w:t>
      </w:r>
    </w:p>
    <w:p w14:paraId="7B4AA621" w14:textId="7D40B1B9" w:rsidR="007B25FE" w:rsidRPr="003C4FDD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proofErr w:type="spellStart"/>
      <w:r w:rsidRPr="003C4FDD">
        <w:rPr>
          <w:rFonts w:ascii="Lato" w:hAnsi="Lato"/>
          <w:b/>
          <w:bCs/>
        </w:rPr>
        <w:t>Invokana</w:t>
      </w:r>
      <w:proofErr w:type="spellEnd"/>
      <w:r w:rsidRPr="003C4FDD">
        <w:rPr>
          <w:rFonts w:ascii="Lato" w:hAnsi="Lato"/>
        </w:rPr>
        <w:t xml:space="preserve">, </w:t>
      </w:r>
      <w:proofErr w:type="spellStart"/>
      <w:r w:rsidRPr="003C4FDD">
        <w:rPr>
          <w:rFonts w:ascii="Lato" w:hAnsi="Lato"/>
        </w:rPr>
        <w:t>canagliflozinum</w:t>
      </w:r>
      <w:proofErr w:type="spellEnd"/>
      <w:r w:rsidRPr="003C4FDD">
        <w:rPr>
          <w:rFonts w:ascii="Lato" w:hAnsi="Lato"/>
        </w:rPr>
        <w:t xml:space="preserve">, 100 mg, tabl. </w:t>
      </w:r>
      <w:proofErr w:type="spellStart"/>
      <w:r w:rsidRPr="003C4FDD">
        <w:rPr>
          <w:rFonts w:ascii="Lato" w:hAnsi="Lato"/>
        </w:rPr>
        <w:t>powl</w:t>
      </w:r>
      <w:proofErr w:type="spellEnd"/>
      <w:r w:rsidRPr="003C4FDD">
        <w:rPr>
          <w:rFonts w:ascii="Lato" w:hAnsi="Lato"/>
        </w:rPr>
        <w:t>., 30 tabl., GTIN: 05909991096106, podmiot odpowiedzialny Janssen-Cilag International NV.</w:t>
      </w:r>
    </w:p>
    <w:p w14:paraId="79D43B18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  <w:b/>
          <w:bCs/>
        </w:rPr>
        <w:t>Podmiot odpowiedzialny AstraZeneca AB</w:t>
      </w:r>
      <w:r w:rsidRPr="003C4FDD">
        <w:rPr>
          <w:rFonts w:ascii="Lato" w:hAnsi="Lato"/>
        </w:rPr>
        <w:t xml:space="preserve"> nie złożył wniosków o kontynuację refundacji na kolejny okres obowiązywania ww. leku </w:t>
      </w:r>
      <w:proofErr w:type="spellStart"/>
      <w:r w:rsidRPr="003C4FDD">
        <w:rPr>
          <w:rFonts w:ascii="Lato" w:hAnsi="Lato"/>
        </w:rPr>
        <w:t>Forxiga</w:t>
      </w:r>
      <w:proofErr w:type="spellEnd"/>
      <w:r w:rsidRPr="003C4FDD">
        <w:rPr>
          <w:rFonts w:ascii="Lato" w:hAnsi="Lato"/>
        </w:rPr>
        <w:t xml:space="preserve"> we wszystkich dotychczas obowiązujących wskazaniach (cukrzyca, przewlekła niewydolność serca, przewlekła choroba nerek).</w:t>
      </w:r>
    </w:p>
    <w:p w14:paraId="5DEBF257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lastRenderedPageBreak/>
        <w:t xml:space="preserve">Złożony przez </w:t>
      </w:r>
      <w:r w:rsidRPr="003C4FDD">
        <w:rPr>
          <w:rFonts w:ascii="Lato" w:hAnsi="Lato"/>
          <w:b/>
          <w:bCs/>
        </w:rPr>
        <w:t>Janssen-Cilag International NV</w:t>
      </w:r>
      <w:r w:rsidRPr="003C4FDD">
        <w:rPr>
          <w:rFonts w:ascii="Lato" w:hAnsi="Lato"/>
        </w:rPr>
        <w:t xml:space="preserve"> wniosek o kontynuację refundacji leku </w:t>
      </w:r>
      <w:proofErr w:type="spellStart"/>
      <w:r w:rsidRPr="003C4FDD">
        <w:rPr>
          <w:rFonts w:ascii="Lato" w:hAnsi="Lato"/>
        </w:rPr>
        <w:t>Invokana</w:t>
      </w:r>
      <w:proofErr w:type="spellEnd"/>
      <w:r w:rsidRPr="003C4FDD">
        <w:rPr>
          <w:rFonts w:ascii="Lato" w:hAnsi="Lato"/>
        </w:rPr>
        <w:t xml:space="preserve"> nie spełniał natomiast warunków określonych przepisami art. 13 ust. 2 1 ustawy z 12 maja 2011 r. o refundacji leków, środków spożywczych specjalnego przeznaczenia żywieniowego oraz wyrobów medycznych (Dz. U. z 2023 r. poz. 826, z późn. zm., dalej jako ustawa o refundacji), który jednoznacznie wskazuje maksymalną cenę leku wnioskowanego do objęcia refundacją w przypadku upłynięcia jego okresu wyłączności rynkowej.</w:t>
      </w:r>
    </w:p>
    <w:p w14:paraId="3FBCDFBA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W związku z powyższym Minister Zdrowia nie ma prawnych możliwości kontynuowania refundacji tych leków od 1 listopada 2023 r.</w:t>
      </w:r>
    </w:p>
    <w:p w14:paraId="4BDFC088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Minister Zdrowia informuje, że decyzje o niedostosowaniu warunków finansowych do obowiązujących przepisów prawa i w konsekwencji brak kontynuacji refundacji przedmiotowych leków są indywidualnymi decyzjami AstraZeneca AB i Janssen-Cilag International NV wynikającymi ze strategii marketingowej tych koncernów.</w:t>
      </w:r>
    </w:p>
    <w:p w14:paraId="61E9F2B4" w14:textId="7EDBDC89" w:rsidR="007B25FE" w:rsidRPr="003C4FDD" w:rsidRDefault="00D06043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D06043">
        <w:rPr>
          <w:rFonts w:ascii="Lato" w:hAnsi="Lato"/>
        </w:rPr>
        <w:t xml:space="preserve">Podmioty odpowiedzialne zostały poinformowane przez Ministra Zdrowia, że leki te będą mogły zostać ponownie objęte refundacją, gdy zostaną złożone wnioski spełniające wymogi ustawy o refundacji. Trwające obecnie postępowania refundacyjne wobec leków </w:t>
      </w:r>
      <w:proofErr w:type="spellStart"/>
      <w:r w:rsidRPr="00D06043">
        <w:rPr>
          <w:rFonts w:ascii="Lato" w:hAnsi="Lato"/>
        </w:rPr>
        <w:t>Forxiga</w:t>
      </w:r>
      <w:proofErr w:type="spellEnd"/>
      <w:r w:rsidRPr="00D06043">
        <w:rPr>
          <w:rFonts w:ascii="Lato" w:hAnsi="Lato"/>
        </w:rPr>
        <w:t xml:space="preserve"> i </w:t>
      </w:r>
      <w:proofErr w:type="spellStart"/>
      <w:r w:rsidRPr="00D06043">
        <w:rPr>
          <w:rFonts w:ascii="Lato" w:hAnsi="Lato"/>
        </w:rPr>
        <w:t>Invokana</w:t>
      </w:r>
      <w:proofErr w:type="spellEnd"/>
      <w:r w:rsidRPr="00D06043">
        <w:rPr>
          <w:rFonts w:ascii="Lato" w:hAnsi="Lato"/>
        </w:rPr>
        <w:t>, zainicjowane na skutek przedłożenia wniosków o których mowa powyżej, są aktualnie na zaawansowanym etapie procedowania.</w:t>
      </w:r>
    </w:p>
    <w:p w14:paraId="6710C04D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Jednocześnie Minister Zdrowia pragnie podkreślić, iż nadal refundowany będzie trzeci lek z grupy </w:t>
      </w:r>
      <w:proofErr w:type="spellStart"/>
      <w:r w:rsidRPr="003C4FDD">
        <w:rPr>
          <w:rFonts w:ascii="Lato" w:hAnsi="Lato"/>
        </w:rPr>
        <w:t>flozyn</w:t>
      </w:r>
      <w:proofErr w:type="spellEnd"/>
      <w:r w:rsidRPr="003C4FDD">
        <w:rPr>
          <w:rFonts w:ascii="Lato" w:hAnsi="Lato"/>
        </w:rPr>
        <w:t xml:space="preserve">, tj. </w:t>
      </w:r>
      <w:proofErr w:type="spellStart"/>
      <w:r w:rsidRPr="003C4FDD">
        <w:rPr>
          <w:rFonts w:ascii="Lato" w:hAnsi="Lato"/>
        </w:rPr>
        <w:t>Jardiance</w:t>
      </w:r>
      <w:proofErr w:type="spellEnd"/>
      <w:r w:rsidRPr="003C4FDD">
        <w:rPr>
          <w:rFonts w:ascii="Lato" w:hAnsi="Lato"/>
        </w:rPr>
        <w:t xml:space="preserve">, tabl. </w:t>
      </w:r>
      <w:proofErr w:type="spellStart"/>
      <w:r w:rsidRPr="003C4FDD">
        <w:rPr>
          <w:rFonts w:ascii="Lato" w:hAnsi="Lato"/>
        </w:rPr>
        <w:t>powl</w:t>
      </w:r>
      <w:proofErr w:type="spellEnd"/>
      <w:r w:rsidRPr="003C4FDD">
        <w:rPr>
          <w:rFonts w:ascii="Lato" w:hAnsi="Lato"/>
        </w:rPr>
        <w:t xml:space="preserve">., 10 mg, </w:t>
      </w:r>
      <w:proofErr w:type="spellStart"/>
      <w:r w:rsidRPr="003C4FDD">
        <w:rPr>
          <w:rFonts w:ascii="Lato" w:hAnsi="Lato"/>
        </w:rPr>
        <w:t>Empagliflozinum</w:t>
      </w:r>
      <w:proofErr w:type="spellEnd"/>
      <w:r w:rsidRPr="003C4FDD">
        <w:rPr>
          <w:rFonts w:ascii="Lato" w:hAnsi="Lato"/>
        </w:rPr>
        <w:t>, 28 szt. finansowany w następujących wskazaniach:</w:t>
      </w:r>
    </w:p>
    <w:p w14:paraId="11AD0486" w14:textId="77777777" w:rsidR="00997231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Cukrzyca typu 2 u pacjentów leczonych co najmniej dwoma lekami hipoglikemizującymi, z HbA1c ≥ 7,5% oraz bardzo wysokim ryzykiem sercowo-naczyniowym rozumianym jako: 1) potwierdzona choroba sercowo-naczyniowa, lub 2) uszkodzenie innych narządów objawiające się poprzez: białkomocz lub przerost lewej komory lub retinopatię, lub 3) obecność 3 lub więcej głównych czynników ryzyka spośród wymienionych poniżej: </w:t>
      </w:r>
    </w:p>
    <w:p w14:paraId="6B554943" w14:textId="3D1DF273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wiek ≥ 55 lat dla mężczyzn, ≥60 lat dla kobiet, </w:t>
      </w:r>
    </w:p>
    <w:p w14:paraId="10E903E8" w14:textId="40EAFDD1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proofErr w:type="spellStart"/>
      <w:r w:rsidRPr="003C4FDD">
        <w:rPr>
          <w:rFonts w:ascii="Lato" w:hAnsi="Lato"/>
        </w:rPr>
        <w:t>dyslipidemia</w:t>
      </w:r>
      <w:proofErr w:type="spellEnd"/>
      <w:r w:rsidRPr="003C4FDD">
        <w:rPr>
          <w:rFonts w:ascii="Lato" w:hAnsi="Lato"/>
        </w:rPr>
        <w:t xml:space="preserve">, </w:t>
      </w:r>
    </w:p>
    <w:p w14:paraId="11AFA07D" w14:textId="1218252D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nadciśnienie tętnicze, </w:t>
      </w:r>
    </w:p>
    <w:p w14:paraId="0D653B75" w14:textId="4356F88D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palenie tytoniu, </w:t>
      </w:r>
    </w:p>
    <w:p w14:paraId="08AE2CCF" w14:textId="7A8A24D1" w:rsidR="007B25FE" w:rsidRPr="003C4FDD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lastRenderedPageBreak/>
        <w:t>otyłość</w:t>
      </w:r>
      <w:r w:rsidR="00BB4FF5" w:rsidRPr="003C4FDD">
        <w:rPr>
          <w:rFonts w:ascii="Lato" w:hAnsi="Lato"/>
        </w:rPr>
        <w:t>,</w:t>
      </w:r>
    </w:p>
    <w:p w14:paraId="1CF9A4B8" w14:textId="188E972C" w:rsidR="007B25FE" w:rsidRPr="003C4FDD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Przewlekła niewydolność serca u dorosłych pacjentów z obniżoną frakcją wyrzutową lewej komory serca (LVEF≤40%) oraz utrzymującymi się objawami choroby w klasie II-IV NYHA pomimo zastosowania terapii opartej na </w:t>
      </w:r>
      <w:proofErr w:type="spellStart"/>
      <w:r w:rsidRPr="003C4FDD">
        <w:rPr>
          <w:rFonts w:ascii="Lato" w:hAnsi="Lato"/>
        </w:rPr>
        <w:t>ACEi</w:t>
      </w:r>
      <w:proofErr w:type="spellEnd"/>
      <w:r w:rsidRPr="003C4FDD">
        <w:rPr>
          <w:rFonts w:ascii="Lato" w:hAnsi="Lato"/>
        </w:rPr>
        <w:t xml:space="preserve"> (lub ARB/</w:t>
      </w:r>
      <w:proofErr w:type="spellStart"/>
      <w:r w:rsidRPr="003C4FDD">
        <w:rPr>
          <w:rFonts w:ascii="Lato" w:hAnsi="Lato"/>
        </w:rPr>
        <w:t>ARNi</w:t>
      </w:r>
      <w:proofErr w:type="spellEnd"/>
      <w:r w:rsidRPr="003C4FDD">
        <w:rPr>
          <w:rFonts w:ascii="Lato" w:hAnsi="Lato"/>
        </w:rPr>
        <w:t xml:space="preserve">) i lekach z grupy </w:t>
      </w:r>
      <w:proofErr w:type="spellStart"/>
      <w:r w:rsidRPr="003C4FDD">
        <w:rPr>
          <w:rFonts w:ascii="Lato" w:hAnsi="Lato"/>
        </w:rPr>
        <w:t>betaadrenolityków</w:t>
      </w:r>
      <w:proofErr w:type="spellEnd"/>
      <w:r w:rsidRPr="003C4FDD">
        <w:rPr>
          <w:rFonts w:ascii="Lato" w:hAnsi="Lato"/>
        </w:rPr>
        <w:t xml:space="preserve"> oraz jeśli wskazane antagonistach receptora </w:t>
      </w:r>
      <w:proofErr w:type="spellStart"/>
      <w:r w:rsidRPr="003C4FDD">
        <w:rPr>
          <w:rFonts w:ascii="Lato" w:hAnsi="Lato"/>
        </w:rPr>
        <w:t>mineralokortykoidów</w:t>
      </w:r>
      <w:proofErr w:type="spellEnd"/>
      <w:r w:rsidRPr="003C4FDD">
        <w:rPr>
          <w:rFonts w:ascii="Lato" w:hAnsi="Lato"/>
        </w:rPr>
        <w:t>.</w:t>
      </w:r>
    </w:p>
    <w:p w14:paraId="5A10518D" w14:textId="05568AB7" w:rsidR="00284294" w:rsidRPr="00F763E5" w:rsidRDefault="00E90D87" w:rsidP="00912B91">
      <w:pPr>
        <w:spacing w:line="360" w:lineRule="auto"/>
        <w:jc w:val="both"/>
        <w:textAlignment w:val="auto"/>
        <w:rPr>
          <w:rFonts w:ascii="Lato" w:hAnsi="Lato" w:cs="Calibri Light"/>
        </w:rPr>
      </w:pPr>
      <w:r w:rsidRPr="00F763E5">
        <w:rPr>
          <w:rFonts w:ascii="Lato" w:hAnsi="Lato" w:cs="Calibri Light"/>
        </w:rPr>
        <w:t xml:space="preserve">Szczepionka </w:t>
      </w:r>
      <w:proofErr w:type="spellStart"/>
      <w:r w:rsidRPr="00912B91">
        <w:rPr>
          <w:rFonts w:ascii="Lato" w:hAnsi="Lato" w:cs="Calibri Light"/>
          <w:b/>
          <w:bCs/>
        </w:rPr>
        <w:t>Fluenz</w:t>
      </w:r>
      <w:proofErr w:type="spellEnd"/>
      <w:r w:rsidRPr="00912B91">
        <w:rPr>
          <w:rFonts w:ascii="Lato" w:hAnsi="Lato" w:cs="Calibri Light"/>
          <w:b/>
          <w:bCs/>
        </w:rPr>
        <w:t xml:space="preserve"> Tetra</w:t>
      </w:r>
      <w:r w:rsidRPr="00F763E5">
        <w:rPr>
          <w:rFonts w:ascii="Lato" w:hAnsi="Lato" w:cs="Calibri Light"/>
        </w:rPr>
        <w:t xml:space="preserve"> w postaci aerozolu donosowego, </w:t>
      </w:r>
      <w:r w:rsidR="00F763E5">
        <w:rPr>
          <w:rFonts w:ascii="Lato" w:hAnsi="Lato" w:cs="Calibri Light"/>
        </w:rPr>
        <w:t>refundowana</w:t>
      </w:r>
      <w:r w:rsidRPr="00F763E5">
        <w:rPr>
          <w:rFonts w:ascii="Lato" w:hAnsi="Lato" w:cs="Calibri Light"/>
        </w:rPr>
        <w:t xml:space="preserve"> dotychczas w zapobieganiu grypie u dzieci w wieku od ukończonego 24 miesiąca życia do ukończonego 60 miesiąca życia oraz zapobieganiu grypie u dzieci i młodzieży w wieku od ukończonego 60 miesiąca życia do ukończonego 18 roku życia, </w:t>
      </w:r>
      <w:r w:rsidR="00F763E5" w:rsidRPr="00F763E5">
        <w:rPr>
          <w:rFonts w:ascii="Lato" w:hAnsi="Lato" w:cs="Calibri Light"/>
        </w:rPr>
        <w:t xml:space="preserve">od 1 listopada 2023 r. nie będzie </w:t>
      </w:r>
      <w:r w:rsidR="00F763E5">
        <w:rPr>
          <w:rFonts w:ascii="Lato" w:hAnsi="Lato" w:cs="Calibri Light"/>
        </w:rPr>
        <w:t>finansowana ze środków publicznych</w:t>
      </w:r>
      <w:r w:rsidR="00F763E5" w:rsidRPr="00F763E5">
        <w:rPr>
          <w:rFonts w:ascii="Lato" w:hAnsi="Lato" w:cs="Calibri Light"/>
        </w:rPr>
        <w:t xml:space="preserve">. </w:t>
      </w:r>
      <w:r w:rsidR="00B0050A" w:rsidRPr="003C4FDD">
        <w:rPr>
          <w:rFonts w:ascii="Lato" w:hAnsi="Lato"/>
        </w:rPr>
        <w:t xml:space="preserve">31 października 2023 r. upływa termin obowiązywania decyzji o objęciu refundacją i ustaleniu </w:t>
      </w:r>
      <w:r w:rsidR="00B0050A">
        <w:rPr>
          <w:rFonts w:ascii="Lato" w:hAnsi="Lato"/>
        </w:rPr>
        <w:t xml:space="preserve">urzędowej </w:t>
      </w:r>
      <w:r w:rsidR="00B0050A" w:rsidRPr="003C4FDD">
        <w:rPr>
          <w:rFonts w:ascii="Lato" w:hAnsi="Lato"/>
        </w:rPr>
        <w:t>ceny</w:t>
      </w:r>
      <w:r w:rsidR="00B0050A">
        <w:rPr>
          <w:rFonts w:ascii="Lato" w:hAnsi="Lato"/>
        </w:rPr>
        <w:t xml:space="preserve"> zbytu, niemniej</w:t>
      </w:r>
      <w:r w:rsidR="00B0050A" w:rsidRPr="00F763E5">
        <w:rPr>
          <w:rFonts w:ascii="Lato" w:hAnsi="Lato" w:cs="Calibri Light"/>
          <w:b/>
          <w:bCs/>
        </w:rPr>
        <w:t xml:space="preserve"> </w:t>
      </w:r>
      <w:r w:rsidR="00B0050A">
        <w:rPr>
          <w:rFonts w:ascii="Lato" w:hAnsi="Lato" w:cs="Calibri Light"/>
          <w:b/>
          <w:bCs/>
        </w:rPr>
        <w:t>p</w:t>
      </w:r>
      <w:r w:rsidR="00F763E5" w:rsidRPr="00F763E5">
        <w:rPr>
          <w:rFonts w:ascii="Lato" w:hAnsi="Lato" w:cs="Calibri Light"/>
          <w:b/>
          <w:bCs/>
        </w:rPr>
        <w:t>odmiot odpowiedzialny AstraZeneca AB</w:t>
      </w:r>
      <w:r w:rsidR="00F763E5" w:rsidRPr="00912B91">
        <w:rPr>
          <w:rFonts w:ascii="Lato" w:hAnsi="Lato" w:cs="Calibri Light"/>
        </w:rPr>
        <w:t xml:space="preserve">, podobnie jak </w:t>
      </w:r>
      <w:r w:rsidR="00F763E5">
        <w:rPr>
          <w:rFonts w:ascii="Lato" w:hAnsi="Lato" w:cs="Calibri Light"/>
        </w:rPr>
        <w:t xml:space="preserve">w </w:t>
      </w:r>
      <w:r w:rsidR="00F763E5" w:rsidRPr="00912B91">
        <w:rPr>
          <w:rFonts w:ascii="Lato" w:hAnsi="Lato" w:cs="Calibri Light"/>
        </w:rPr>
        <w:t xml:space="preserve">wyżej wymienionym przypadku, </w:t>
      </w:r>
      <w:r w:rsidR="00F763E5" w:rsidRPr="00F763E5">
        <w:rPr>
          <w:rFonts w:ascii="Lato" w:hAnsi="Lato" w:cs="Calibri Light"/>
        </w:rPr>
        <w:t xml:space="preserve">nie złożył wniosków o kontynuację refundacji na kolejny okres obowiązywania </w:t>
      </w:r>
      <w:r w:rsidR="00B0050A">
        <w:rPr>
          <w:rFonts w:ascii="Lato" w:hAnsi="Lato" w:cs="Calibri Light"/>
        </w:rPr>
        <w:t xml:space="preserve">decyzji dla </w:t>
      </w:r>
      <w:r w:rsidR="00F763E5" w:rsidRPr="00F763E5">
        <w:rPr>
          <w:rFonts w:ascii="Lato" w:hAnsi="Lato" w:cs="Calibri Light"/>
        </w:rPr>
        <w:t xml:space="preserve">szczepionki </w:t>
      </w:r>
      <w:proofErr w:type="spellStart"/>
      <w:r w:rsidR="00F763E5" w:rsidRPr="00F763E5">
        <w:rPr>
          <w:rFonts w:ascii="Lato" w:hAnsi="Lato" w:cs="Calibri Light"/>
        </w:rPr>
        <w:t>Fluenz</w:t>
      </w:r>
      <w:proofErr w:type="spellEnd"/>
      <w:r w:rsidR="00F763E5" w:rsidRPr="00F763E5">
        <w:rPr>
          <w:rFonts w:ascii="Lato" w:hAnsi="Lato" w:cs="Calibri Light"/>
        </w:rPr>
        <w:t xml:space="preserve"> Tetra</w:t>
      </w:r>
      <w:r w:rsidR="007374BE">
        <w:rPr>
          <w:rFonts w:ascii="Lato" w:hAnsi="Lato" w:cs="Calibri Light"/>
        </w:rPr>
        <w:t>.</w:t>
      </w:r>
    </w:p>
    <w:p w14:paraId="2CD66AFE" w14:textId="6276E31F" w:rsidR="00284294" w:rsidRPr="003C4FDD" w:rsidRDefault="00237DE2" w:rsidP="00284294">
      <w:pPr>
        <w:spacing w:line="360" w:lineRule="auto"/>
        <w:jc w:val="both"/>
        <w:textAlignment w:val="auto"/>
        <w:rPr>
          <w:rFonts w:ascii="Lato" w:hAnsi="Lato" w:cs="Calibri Light"/>
        </w:rPr>
      </w:pPr>
      <w:r w:rsidRPr="003C4FDD">
        <w:rPr>
          <w:rFonts w:ascii="Lato" w:hAnsi="Lato" w:cs="Calibri Light"/>
        </w:rPr>
        <w:t>L</w:t>
      </w:r>
      <w:r w:rsidR="00284294" w:rsidRPr="003C4FDD">
        <w:rPr>
          <w:rFonts w:ascii="Lato" w:hAnsi="Lato" w:cs="Calibri Light"/>
        </w:rPr>
        <w:t xml:space="preserve">ek </w:t>
      </w:r>
      <w:proofErr w:type="spellStart"/>
      <w:r w:rsidR="00284294" w:rsidRPr="003C4FDD">
        <w:rPr>
          <w:rFonts w:ascii="Lato" w:hAnsi="Lato" w:cs="Calibri Light"/>
          <w:b/>
          <w:bCs/>
        </w:rPr>
        <w:t>Xofigo</w:t>
      </w:r>
      <w:proofErr w:type="spellEnd"/>
      <w:r w:rsidR="00284294" w:rsidRPr="003C4FDD">
        <w:rPr>
          <w:rFonts w:ascii="Lato" w:hAnsi="Lato" w:cs="Calibri Light"/>
          <w:b/>
          <w:bCs/>
        </w:rPr>
        <w:t xml:space="preserve"> </w:t>
      </w:r>
      <w:r w:rsidR="00284294" w:rsidRPr="003C4FDD">
        <w:rPr>
          <w:rFonts w:ascii="Lato" w:hAnsi="Lato" w:cs="Calibri Light"/>
        </w:rPr>
        <w:t xml:space="preserve">(radium </w:t>
      </w:r>
      <w:proofErr w:type="spellStart"/>
      <w:r w:rsidR="00284294" w:rsidRPr="003C4FDD">
        <w:rPr>
          <w:rFonts w:ascii="Lato" w:hAnsi="Lato" w:cs="Calibri Light"/>
        </w:rPr>
        <w:t>dichloridum</w:t>
      </w:r>
      <w:proofErr w:type="spellEnd"/>
      <w:r w:rsidR="00284294" w:rsidRPr="003C4FDD">
        <w:rPr>
          <w:rFonts w:ascii="Lato" w:hAnsi="Lato" w:cs="Calibri Light"/>
        </w:rPr>
        <w:t xml:space="preserve"> </w:t>
      </w:r>
      <w:proofErr w:type="spellStart"/>
      <w:r w:rsidR="00284294" w:rsidRPr="003C4FDD">
        <w:rPr>
          <w:rFonts w:ascii="Lato" w:hAnsi="Lato" w:cs="Calibri Light"/>
        </w:rPr>
        <w:t>Ra223</w:t>
      </w:r>
      <w:proofErr w:type="spellEnd"/>
      <w:r w:rsidR="00284294" w:rsidRPr="003C4FDD">
        <w:rPr>
          <w:rFonts w:ascii="Lato" w:hAnsi="Lato" w:cs="Calibri Light"/>
        </w:rPr>
        <w:t xml:space="preserve">) refundowany dotychczas w programie lekowym B.56. LECZENIE CHORYCH NA RAKA GRUCZOŁU KROKOWEGO (ICD-10: C61) </w:t>
      </w:r>
      <w:r w:rsidRPr="003C4FDD">
        <w:rPr>
          <w:rFonts w:ascii="Lato" w:hAnsi="Lato" w:cs="Calibri Light"/>
        </w:rPr>
        <w:t xml:space="preserve">również </w:t>
      </w:r>
      <w:r w:rsidR="00284294" w:rsidRPr="003C4FDD">
        <w:rPr>
          <w:rFonts w:ascii="Lato" w:hAnsi="Lato" w:cs="Calibri Light"/>
        </w:rPr>
        <w:t>nie znajdzie się na kolejnym wykazie refundacyjnym obowiązującym od 1 listopada 2023 r., ponieważ pod</w:t>
      </w:r>
      <w:bookmarkStart w:id="4" w:name="_Hlk122289578"/>
      <w:r w:rsidR="00284294" w:rsidRPr="003C4FDD">
        <w:rPr>
          <w:rFonts w:ascii="Lato" w:hAnsi="Lato" w:cs="Calibri Light"/>
        </w:rPr>
        <w:t>m</w:t>
      </w:r>
      <w:bookmarkEnd w:id="4"/>
      <w:r w:rsidR="00284294" w:rsidRPr="003C4FDD">
        <w:rPr>
          <w:rFonts w:ascii="Lato" w:hAnsi="Lato" w:cs="Calibri Light"/>
        </w:rPr>
        <w:t xml:space="preserve">iot odpowiedzialny </w:t>
      </w:r>
      <w:r w:rsidR="00284294" w:rsidRPr="003C4FDD">
        <w:rPr>
          <w:rFonts w:ascii="Lato" w:hAnsi="Lato" w:cs="Calibri Light"/>
          <w:b/>
          <w:bCs/>
        </w:rPr>
        <w:t>Bayer sp. z o.o.</w:t>
      </w:r>
      <w:r w:rsidR="00284294" w:rsidRPr="003C4FDD">
        <w:rPr>
          <w:rFonts w:ascii="Lato" w:hAnsi="Lato" w:cs="Calibri Light"/>
        </w:rPr>
        <w:t xml:space="preserve"> </w:t>
      </w:r>
      <w:r w:rsidR="00284294" w:rsidRPr="003C4FDD">
        <w:rPr>
          <w:rFonts w:ascii="Lato" w:hAnsi="Lato" w:cs="Calibri Light"/>
          <w:b/>
          <w:bCs/>
        </w:rPr>
        <w:t>nie spełnił ustawowego warunku</w:t>
      </w:r>
      <w:r w:rsidR="00284294" w:rsidRPr="003C4FDD">
        <w:rPr>
          <w:rFonts w:ascii="Lato" w:hAnsi="Lato" w:cs="Calibri Light"/>
        </w:rPr>
        <w:t xml:space="preserve"> wynikającego z art. 13 ust. 2 ustawy z dnia 12 maja 2011 r. o </w:t>
      </w:r>
      <w:r w:rsidR="00284294" w:rsidRPr="003C4FDD">
        <w:rPr>
          <w:rFonts w:ascii="Lato" w:hAnsi="Lato" w:cs="Calibri Light"/>
          <w:i/>
          <w:iCs/>
        </w:rPr>
        <w:t>refundacji leków, środków spożywczych specjalnego przeznaczenia żywieniowego oraz wyrobów medycznych</w:t>
      </w:r>
      <w:r w:rsidR="00284294" w:rsidRPr="003C4FDD">
        <w:rPr>
          <w:rFonts w:ascii="Lato" w:hAnsi="Lato" w:cs="Calibri Light"/>
        </w:rPr>
        <w:t xml:space="preserve"> odnośnie konieczności obniżenia urzędowej ceny zbytu o 25% w związku z upływem okresu wyłączności rynkowej dla tego preparatu. Podmiot deklaruje złożenie wniosku do Prezesa Narodowego Funduszu Zdrowia w celu finansowania leku </w:t>
      </w:r>
      <w:proofErr w:type="spellStart"/>
      <w:r w:rsidR="00284294" w:rsidRPr="003C4FDD">
        <w:rPr>
          <w:rFonts w:ascii="Lato" w:hAnsi="Lato" w:cs="Calibri Light"/>
        </w:rPr>
        <w:t>Xofigo</w:t>
      </w:r>
      <w:proofErr w:type="spellEnd"/>
      <w:r w:rsidR="00284294" w:rsidRPr="003C4FDD">
        <w:rPr>
          <w:rFonts w:ascii="Lato" w:hAnsi="Lato" w:cs="Calibri Light"/>
        </w:rPr>
        <w:t xml:space="preserve"> zapewniającego kontynuację leczenia dla pacjentów, którzy </w:t>
      </w:r>
      <w:r w:rsidRPr="003C4FDD">
        <w:rPr>
          <w:rFonts w:ascii="Lato" w:hAnsi="Lato" w:cs="Calibri Light"/>
        </w:rPr>
        <w:t>rozpoczęli</w:t>
      </w:r>
      <w:r w:rsidR="00284294" w:rsidRPr="003C4FDD">
        <w:rPr>
          <w:rFonts w:ascii="Lato" w:hAnsi="Lato" w:cs="Calibri Light"/>
        </w:rPr>
        <w:t xml:space="preserve"> terapię lekiem </w:t>
      </w:r>
      <w:proofErr w:type="spellStart"/>
      <w:r w:rsidR="00284294" w:rsidRPr="003C4FDD">
        <w:rPr>
          <w:rFonts w:ascii="Lato" w:hAnsi="Lato" w:cs="Calibri Light"/>
        </w:rPr>
        <w:t>Xofigo</w:t>
      </w:r>
      <w:proofErr w:type="spellEnd"/>
      <w:r w:rsidR="00284294" w:rsidRPr="003C4FDD">
        <w:rPr>
          <w:rFonts w:ascii="Lato" w:hAnsi="Lato" w:cs="Calibri Light"/>
        </w:rPr>
        <w:t xml:space="preserve"> w programie lekowym B.56. LECZENIE CHORYCH NA RAKA GRUCZOŁU KROKOWEGO (ICD-10: C61) na zasadach opisanych w art. 37b ustawy o refundacji.</w:t>
      </w:r>
    </w:p>
    <w:p w14:paraId="3245D908" w14:textId="4048A557" w:rsidR="007B25FE" w:rsidRDefault="007B25FE" w:rsidP="00912B91">
      <w:pPr>
        <w:spacing w:line="360" w:lineRule="auto"/>
        <w:jc w:val="both"/>
        <w:textAlignment w:val="auto"/>
        <w:rPr>
          <w:rFonts w:ascii="Lato" w:hAnsi="Lato" w:cs="Calibri Light"/>
        </w:rPr>
      </w:pPr>
    </w:p>
    <w:p w14:paraId="05B37334" w14:textId="09A9E1B4" w:rsidR="00F727B3" w:rsidRDefault="00F727B3" w:rsidP="00F727B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F727B3">
        <w:rPr>
          <w:rFonts w:ascii="Lato" w:hAnsi="Lato"/>
          <w:b/>
          <w:bCs/>
          <w:color w:val="00B0F0"/>
          <w:sz w:val="28"/>
          <w:szCs w:val="28"/>
        </w:rPr>
        <w:t xml:space="preserve">INFORMACJA DOTYCZĄCA BRAKU LEKÓW TOUJEO ORAZ ENSTILAR NA WYKAZIE </w:t>
      </w:r>
      <w:r>
        <w:rPr>
          <w:rFonts w:ascii="Lato" w:hAnsi="Lato"/>
          <w:b/>
          <w:bCs/>
          <w:color w:val="00B0F0"/>
          <w:sz w:val="28"/>
          <w:szCs w:val="28"/>
        </w:rPr>
        <w:t>BEZPŁATNYCH LEKÓW DLA DZIECI I MŁODZIEŻY W WIEKU DO 18. ROKU ŻYCIA</w:t>
      </w:r>
      <w:r w:rsidRPr="00F727B3">
        <w:rPr>
          <w:rFonts w:ascii="Lato" w:hAnsi="Lato"/>
          <w:b/>
          <w:bCs/>
          <w:color w:val="00B0F0"/>
          <w:sz w:val="28"/>
          <w:szCs w:val="28"/>
        </w:rPr>
        <w:t xml:space="preserve"> </w:t>
      </w:r>
    </w:p>
    <w:p w14:paraId="38A1EE61" w14:textId="3BDD50E4" w:rsidR="00F727B3" w:rsidRDefault="00D76F69" w:rsidP="00F727B3">
      <w:pPr>
        <w:spacing w:line="360" w:lineRule="auto"/>
        <w:jc w:val="both"/>
        <w:textAlignment w:val="auto"/>
        <w:rPr>
          <w:rFonts w:ascii="Lato" w:hAnsi="Lato" w:cs="Calibri Light"/>
        </w:rPr>
      </w:pPr>
      <w:r>
        <w:rPr>
          <w:rFonts w:ascii="Lato" w:hAnsi="Lato" w:cs="Calibri Light"/>
        </w:rPr>
        <w:lastRenderedPageBreak/>
        <w:t>Od 1 listopada 2023 r. na wykazie</w:t>
      </w:r>
      <w:r w:rsidRPr="00D76F69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Pr="00D76F69">
        <w:rPr>
          <w:rFonts w:ascii="Lato" w:hAnsi="Lato" w:cs="Calibri Light"/>
        </w:rPr>
        <w:t>bezpłatnych leków dla dzieci i młodzieży w wieku do 18. roku życia</w:t>
      </w:r>
      <w:r>
        <w:rPr>
          <w:rFonts w:ascii="Lato" w:hAnsi="Lato" w:cs="Calibri Light"/>
        </w:rPr>
        <w:t xml:space="preserve"> – załącznik D1 do obwieszczenia Ministra Zdrowia w sprawie refundowanych leków, </w:t>
      </w:r>
      <w:r w:rsidRPr="00D76F69">
        <w:rPr>
          <w:rFonts w:ascii="Lato" w:hAnsi="Lato" w:cs="Calibri Light"/>
        </w:rPr>
        <w:t>środków spożywczych specjalnego przeznaczenia żywieniowego oraz wyrobów medycznych</w:t>
      </w:r>
      <w:r>
        <w:rPr>
          <w:rFonts w:ascii="Lato" w:hAnsi="Lato" w:cs="Calibri Light"/>
        </w:rPr>
        <w:t xml:space="preserve">, zabraknie leków </w:t>
      </w:r>
      <w:proofErr w:type="spellStart"/>
      <w:r>
        <w:rPr>
          <w:rFonts w:ascii="Lato" w:hAnsi="Lato" w:cs="Calibri Light"/>
        </w:rPr>
        <w:t>Toujeo</w:t>
      </w:r>
      <w:proofErr w:type="spellEnd"/>
      <w:r>
        <w:rPr>
          <w:rFonts w:ascii="Lato" w:hAnsi="Lato" w:cs="Calibri Light"/>
        </w:rPr>
        <w:t xml:space="preserve"> oraz </w:t>
      </w:r>
      <w:proofErr w:type="spellStart"/>
      <w:r>
        <w:rPr>
          <w:rFonts w:ascii="Lato" w:hAnsi="Lato" w:cs="Calibri Light"/>
        </w:rPr>
        <w:t>Enstilar</w:t>
      </w:r>
      <w:proofErr w:type="spellEnd"/>
      <w:r>
        <w:rPr>
          <w:rFonts w:ascii="Lato" w:hAnsi="Lato" w:cs="Calibri Light"/>
        </w:rPr>
        <w:t xml:space="preserve">. Brak wspomnianych produktów leczniczych na </w:t>
      </w:r>
      <w:r w:rsidRPr="00D76F69">
        <w:rPr>
          <w:rFonts w:ascii="Lato" w:hAnsi="Lato" w:cs="Calibri Light"/>
          <w:i/>
          <w:iCs/>
        </w:rPr>
        <w:t>liście 18-</w:t>
      </w:r>
      <w:r>
        <w:rPr>
          <w:rFonts w:ascii="Lato" w:hAnsi="Lato" w:cs="Calibri Light"/>
        </w:rPr>
        <w:t xml:space="preserve">  wynika bezpośrednio z zakresów wskazań refundacyjnych, które w przypadku leków  </w:t>
      </w:r>
      <w:proofErr w:type="spellStart"/>
      <w:r>
        <w:rPr>
          <w:rFonts w:ascii="Lato" w:hAnsi="Lato" w:cs="Calibri Light"/>
        </w:rPr>
        <w:t>Toujeo</w:t>
      </w:r>
      <w:proofErr w:type="spellEnd"/>
      <w:r>
        <w:rPr>
          <w:rFonts w:ascii="Lato" w:hAnsi="Lato" w:cs="Calibri Light"/>
        </w:rPr>
        <w:t xml:space="preserve"> i </w:t>
      </w:r>
      <w:proofErr w:type="spellStart"/>
      <w:r>
        <w:rPr>
          <w:rFonts w:ascii="Lato" w:hAnsi="Lato" w:cs="Calibri Light"/>
        </w:rPr>
        <w:t>Enstilar</w:t>
      </w:r>
      <w:proofErr w:type="spellEnd"/>
      <w:r>
        <w:rPr>
          <w:rFonts w:ascii="Lato" w:hAnsi="Lato" w:cs="Calibri Light"/>
        </w:rPr>
        <w:t xml:space="preserve"> dotyczą wyłącznie pacjentów dorosłych:</w:t>
      </w:r>
    </w:p>
    <w:p w14:paraId="07C3F709" w14:textId="4CB8B4A2" w:rsidR="00D76F69" w:rsidRPr="00D76F69" w:rsidRDefault="00D76F69" w:rsidP="00D76F69">
      <w:pPr>
        <w:pStyle w:val="Akapitzlist"/>
        <w:numPr>
          <w:ilvl w:val="1"/>
          <w:numId w:val="33"/>
        </w:numPr>
        <w:spacing w:line="360" w:lineRule="auto"/>
        <w:jc w:val="both"/>
        <w:textAlignment w:val="auto"/>
        <w:rPr>
          <w:rFonts w:ascii="Lato" w:hAnsi="Lato" w:cs="Calibri Light"/>
        </w:rPr>
      </w:pPr>
      <w:r w:rsidRPr="00D76F69">
        <w:rPr>
          <w:rFonts w:ascii="Lato" w:hAnsi="Lato" w:cs="Calibri Light"/>
        </w:rPr>
        <w:t xml:space="preserve">Wskazanie refundacyjne leku </w:t>
      </w:r>
      <w:proofErr w:type="spellStart"/>
      <w:r w:rsidRPr="00D76F69">
        <w:rPr>
          <w:rFonts w:ascii="Lato" w:hAnsi="Lato" w:cs="Calibri Light"/>
        </w:rPr>
        <w:t>Toujeo</w:t>
      </w:r>
      <w:proofErr w:type="spellEnd"/>
      <w:r w:rsidRPr="00D76F69">
        <w:rPr>
          <w:rFonts w:ascii="Lato" w:hAnsi="Lato" w:cs="Calibri Light"/>
        </w:rPr>
        <w:t xml:space="preserve">: </w:t>
      </w:r>
      <w:r w:rsidRPr="00D76F69">
        <w:rPr>
          <w:rFonts w:ascii="Lato" w:hAnsi="Lato" w:cs="Calibri Light"/>
          <w:i/>
          <w:iCs/>
        </w:rPr>
        <w:t xml:space="preserve">Cukrzyca typu I u </w:t>
      </w:r>
      <w:r w:rsidRPr="00D76F69">
        <w:rPr>
          <w:rFonts w:ascii="Lato" w:hAnsi="Lato" w:cs="Calibri Light"/>
          <w:b/>
          <w:bCs/>
          <w:i/>
          <w:iCs/>
        </w:rPr>
        <w:t>dorosłych</w:t>
      </w:r>
      <w:r w:rsidRPr="00D76F69">
        <w:rPr>
          <w:rFonts w:ascii="Lato" w:hAnsi="Lato" w:cs="Calibri Light"/>
          <w:i/>
          <w:iCs/>
        </w:rPr>
        <w:t xml:space="preserve">; Cukrzyca typu 2 u </w:t>
      </w:r>
      <w:r w:rsidRPr="00D76F69">
        <w:rPr>
          <w:rFonts w:ascii="Lato" w:hAnsi="Lato" w:cs="Calibri Light"/>
          <w:b/>
          <w:bCs/>
          <w:i/>
          <w:iCs/>
        </w:rPr>
        <w:t>dorosłych</w:t>
      </w:r>
      <w:r w:rsidRPr="00D76F69">
        <w:rPr>
          <w:rFonts w:ascii="Lato" w:hAnsi="Lato" w:cs="Calibri Light"/>
          <w:i/>
          <w:iCs/>
        </w:rPr>
        <w:t xml:space="preserve"> pacjentów leczonych insuliną NPH od co najmniej 6 miesięcy i z HbA1c ≥8% oraz cukrzyca typu 2 u dorosłych pacjentów leczonych insuliną NPH od co najmniej 6 miesięcy i z udokumentowanymi nawracającymi epizodami ciężkiej lub nocnej hipoglikemii oraz cukrzyca u dorosłych o znanej przyczynie (zgodnie z definicją wg WHO),</w:t>
      </w:r>
    </w:p>
    <w:p w14:paraId="5F72D5CD" w14:textId="03E5D9E9" w:rsidR="00D76F69" w:rsidRPr="00D76F69" w:rsidRDefault="00D76F69" w:rsidP="00D76F69">
      <w:pPr>
        <w:pStyle w:val="Akapitzlist"/>
        <w:numPr>
          <w:ilvl w:val="1"/>
          <w:numId w:val="33"/>
        </w:numPr>
        <w:spacing w:line="360" w:lineRule="auto"/>
        <w:jc w:val="both"/>
        <w:textAlignment w:val="auto"/>
        <w:rPr>
          <w:rFonts w:ascii="Lato" w:hAnsi="Lato" w:cs="Calibri Light"/>
          <w:b/>
          <w:bCs/>
          <w:i/>
          <w:iCs/>
        </w:rPr>
      </w:pPr>
      <w:r w:rsidRPr="00D76F69">
        <w:rPr>
          <w:rFonts w:ascii="Lato" w:hAnsi="Lato" w:cs="Calibri Light"/>
        </w:rPr>
        <w:t xml:space="preserve">Wskazanie refundacyjne leku </w:t>
      </w:r>
      <w:proofErr w:type="spellStart"/>
      <w:r w:rsidRPr="00D76F69">
        <w:rPr>
          <w:rFonts w:ascii="Lato" w:hAnsi="Lato" w:cs="Calibri Light"/>
        </w:rPr>
        <w:t>Enstilar</w:t>
      </w:r>
      <w:proofErr w:type="spellEnd"/>
      <w:r w:rsidRPr="00D76F69">
        <w:rPr>
          <w:rFonts w:ascii="Lato" w:hAnsi="Lato" w:cs="Calibri Light"/>
        </w:rPr>
        <w:t xml:space="preserve">: </w:t>
      </w:r>
      <w:r w:rsidRPr="00D76F69">
        <w:rPr>
          <w:rFonts w:ascii="Lato" w:hAnsi="Lato" w:cs="Calibri Light"/>
          <w:i/>
          <w:iCs/>
        </w:rPr>
        <w:t xml:space="preserve">Leczenie miejscowe łuszczycy zwyczajnej u </w:t>
      </w:r>
      <w:r w:rsidRPr="00D76F69">
        <w:rPr>
          <w:rFonts w:ascii="Lato" w:hAnsi="Lato" w:cs="Calibri Light"/>
          <w:b/>
          <w:bCs/>
          <w:i/>
          <w:iCs/>
        </w:rPr>
        <w:t>dorosłych.</w:t>
      </w:r>
    </w:p>
    <w:p w14:paraId="543E9E27" w14:textId="68216E78" w:rsidR="00D76F69" w:rsidRDefault="00D76F69" w:rsidP="00F727B3">
      <w:pPr>
        <w:spacing w:line="360" w:lineRule="auto"/>
        <w:jc w:val="both"/>
        <w:textAlignment w:val="auto"/>
        <w:rPr>
          <w:rFonts w:ascii="Lato" w:hAnsi="Lato" w:cs="Calibri Light"/>
        </w:rPr>
      </w:pPr>
      <w:r w:rsidRPr="00D76F69">
        <w:rPr>
          <w:rFonts w:ascii="Lato" w:hAnsi="Lato" w:cs="Calibri Light"/>
        </w:rPr>
        <w:t xml:space="preserve">Przez wzgląd na brak refundacji w populacji pediatrycznej, od 1 listopada br. niniejsze produkty lecznicze nie znajdą się na wykazie bezpłatnych leków dla dzieci i młodzieży. </w:t>
      </w:r>
    </w:p>
    <w:p w14:paraId="7E23ACD6" w14:textId="77777777" w:rsidR="00AE5EF3" w:rsidRDefault="00AE5EF3" w:rsidP="00F727B3">
      <w:pPr>
        <w:spacing w:line="360" w:lineRule="auto"/>
        <w:jc w:val="both"/>
        <w:textAlignment w:val="auto"/>
        <w:rPr>
          <w:rFonts w:ascii="Lato" w:hAnsi="Lato" w:cs="Calibri Light"/>
        </w:rPr>
      </w:pPr>
    </w:p>
    <w:p w14:paraId="42AB0A76" w14:textId="77777777" w:rsidR="00AE5EF3" w:rsidRPr="003C4FDD" w:rsidRDefault="00AE5EF3" w:rsidP="00AE5EF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t>INFORMACJA DOTYCZĄCA PROGRAMU WCZESNEGO DOSTĘPU DO LECZENIA TRASTUZUMABEM DERUKSTEKAN</w:t>
      </w:r>
    </w:p>
    <w:p w14:paraId="5F39ACE7" w14:textId="36BD23F7" w:rsidR="00AE5EF3" w:rsidRPr="00D76F69" w:rsidRDefault="00AE5EF3" w:rsidP="00AE5EF3">
      <w:pPr>
        <w:spacing w:line="360" w:lineRule="auto"/>
        <w:jc w:val="both"/>
        <w:textAlignment w:val="auto"/>
        <w:rPr>
          <w:rFonts w:ascii="Lato" w:hAnsi="Lato"/>
          <w:sz w:val="28"/>
          <w:szCs w:val="28"/>
        </w:rPr>
      </w:pPr>
      <w:r w:rsidRPr="003C4FDD">
        <w:rPr>
          <w:rFonts w:ascii="Lato" w:hAnsi="Lato" w:cs="Calibri Light"/>
        </w:rPr>
        <w:t xml:space="preserve">Zgodnie z komunikatem Ministra Zdrowia, od 18 września do 31 października 2023 r. został uruchomiony pomostowy Program Wczesnego Dostępu finansowany przez firmę AstraZeneca w celu przyspieszenia terapii lekiem </w:t>
      </w:r>
      <w:proofErr w:type="spellStart"/>
      <w:r w:rsidRPr="003C4FDD">
        <w:rPr>
          <w:rFonts w:ascii="Lato" w:hAnsi="Lato" w:cs="Calibri Light"/>
        </w:rPr>
        <w:t>trastuzumab</w:t>
      </w:r>
      <w:proofErr w:type="spellEnd"/>
      <w:r w:rsidRPr="003C4FDD">
        <w:rPr>
          <w:rFonts w:ascii="Lato" w:hAnsi="Lato" w:cs="Calibri Light"/>
        </w:rPr>
        <w:t xml:space="preserve"> </w:t>
      </w:r>
      <w:proofErr w:type="spellStart"/>
      <w:r w:rsidRPr="003C4FDD">
        <w:rPr>
          <w:rFonts w:ascii="Lato" w:hAnsi="Lato" w:cs="Calibri Light"/>
        </w:rPr>
        <w:t>derukstekan</w:t>
      </w:r>
      <w:proofErr w:type="spellEnd"/>
      <w:r w:rsidRPr="003C4FDD">
        <w:rPr>
          <w:rFonts w:ascii="Lato" w:hAnsi="Lato" w:cs="Calibri Light"/>
        </w:rPr>
        <w:t xml:space="preserve"> dla pacjentów z HER2-dodatnim przerzutowym rakiem piersi. Z programu mogą skorzystać wszyscy pacjenci spełniający kryteria kwalifikacji do programu lekowego B.9.FM – w drugiej, trzeciej lub czwartej linii leczenia stosowanego z powodu nieoperacyjnego lub zaawansowanego HER2-dodatniego raka piersi.  Od 1 listopada 2023 r. wszyscy pacjenci spełniający kryteria i włączeni do Programu Wczesnego Dostępu od 18 września do 31 października,  na mocy zapisu </w:t>
      </w:r>
      <w:r w:rsidRPr="003C4FDD">
        <w:rPr>
          <w:rFonts w:ascii="Lato" w:hAnsi="Lato" w:cs="Calibri Light"/>
          <w:i/>
          <w:iCs/>
        </w:rPr>
        <w:t xml:space="preserve">„Ponadto do programu lekowego w zakresie leczenia przerzutowego, HER2-dodatniego raka piersi kwalifikowani są również pacjenci wymagający kontynuacji leczenia, którzy byli leczeni substancjami czynnymi finansowanymi w programie lekowym w ramach innego sposobu </w:t>
      </w:r>
      <w:r w:rsidRPr="003C4FDD">
        <w:rPr>
          <w:rFonts w:ascii="Lato" w:hAnsi="Lato" w:cs="Calibri Light"/>
          <w:i/>
          <w:iCs/>
        </w:rPr>
        <w:lastRenderedPageBreak/>
        <w:t>finansowania terapii, za wyjątkiem trwających badań klinicznych tych leków, pod warunkiem, że w chwili rozpoczęcia leczenia spełniali kryteria kwalifikacji do programu lekowego”</w:t>
      </w:r>
      <w:r w:rsidRPr="003C4FDD">
        <w:rPr>
          <w:rFonts w:ascii="Lato" w:hAnsi="Lato" w:cs="Calibri Light"/>
        </w:rPr>
        <w:t xml:space="preserve">, będą mogli kontynuować terapię </w:t>
      </w:r>
      <w:proofErr w:type="spellStart"/>
      <w:r w:rsidRPr="003C4FDD">
        <w:rPr>
          <w:rFonts w:ascii="Lato" w:hAnsi="Lato" w:cs="Calibri Light"/>
        </w:rPr>
        <w:t>trastuzumabem</w:t>
      </w:r>
      <w:proofErr w:type="spellEnd"/>
      <w:r w:rsidRPr="003C4FDD">
        <w:rPr>
          <w:rFonts w:ascii="Lato" w:hAnsi="Lato" w:cs="Calibri Light"/>
        </w:rPr>
        <w:t xml:space="preserve"> </w:t>
      </w:r>
      <w:proofErr w:type="spellStart"/>
      <w:r w:rsidRPr="003C4FDD">
        <w:rPr>
          <w:rFonts w:ascii="Lato" w:hAnsi="Lato" w:cs="Calibri Light"/>
        </w:rPr>
        <w:t>derukstekanem</w:t>
      </w:r>
      <w:proofErr w:type="spellEnd"/>
      <w:r w:rsidRPr="003C4FDD">
        <w:rPr>
          <w:rFonts w:ascii="Lato" w:hAnsi="Lato" w:cs="Calibri Light"/>
        </w:rPr>
        <w:t xml:space="preserve"> w ramach programu lekowego B.9.FM - LECZENIE CHORYCH NA RAKA PIERSI (ICD-10: C50).</w:t>
      </w:r>
    </w:p>
    <w:sectPr w:rsidR="00AE5EF3" w:rsidRPr="00D76F69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82B1" w14:textId="77777777" w:rsidR="00F07A1E" w:rsidRDefault="00F07A1E">
      <w:pPr>
        <w:spacing w:after="0" w:line="240" w:lineRule="auto"/>
      </w:pPr>
      <w:r>
        <w:separator/>
      </w:r>
    </w:p>
  </w:endnote>
  <w:endnote w:type="continuationSeparator" w:id="0">
    <w:p w14:paraId="38BED8DC" w14:textId="77777777" w:rsidR="00F07A1E" w:rsidRDefault="00F0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9826" w14:textId="77777777" w:rsidR="00F07A1E" w:rsidRDefault="00F07A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9FD7A3" w14:textId="77777777" w:rsidR="00F07A1E" w:rsidRDefault="00F0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405"/>
    <w:multiLevelType w:val="hybridMultilevel"/>
    <w:tmpl w:val="B308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CF6"/>
    <w:multiLevelType w:val="hybridMultilevel"/>
    <w:tmpl w:val="11287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1D5"/>
    <w:multiLevelType w:val="hybridMultilevel"/>
    <w:tmpl w:val="CED09C14"/>
    <w:lvl w:ilvl="0" w:tplc="41943DD6">
      <w:start w:val="1"/>
      <w:numFmt w:val="lowerLetter"/>
      <w:lvlText w:val="%1)"/>
      <w:lvlJc w:val="left"/>
      <w:pPr>
        <w:ind w:left="567" w:hanging="207"/>
      </w:pPr>
      <w:rPr>
        <w:rFonts w:ascii="Lato" w:eastAsiaTheme="minorHAnsi" w:hAnsi="Lato" w:cs="Arial" w:hint="default"/>
      </w:rPr>
    </w:lvl>
    <w:lvl w:ilvl="1" w:tplc="252C51DC">
      <w:numFmt w:val="bullet"/>
      <w:lvlText w:val="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5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2754095A"/>
    <w:multiLevelType w:val="hybridMultilevel"/>
    <w:tmpl w:val="E8244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7F2B"/>
    <w:multiLevelType w:val="hybridMultilevel"/>
    <w:tmpl w:val="5E20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D3FDC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37CD012E"/>
    <w:multiLevelType w:val="hybridMultilevel"/>
    <w:tmpl w:val="8FFC63CA"/>
    <w:lvl w:ilvl="0" w:tplc="C1569FCA">
      <w:start w:val="1"/>
      <w:numFmt w:val="bullet"/>
      <w:lvlText w:val="o"/>
      <w:lvlJc w:val="left"/>
      <w:pPr>
        <w:ind w:left="1068" w:hanging="217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C42D8"/>
    <w:multiLevelType w:val="hybridMultilevel"/>
    <w:tmpl w:val="154C5C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5CDC"/>
    <w:multiLevelType w:val="hybridMultilevel"/>
    <w:tmpl w:val="23BA0A4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B6498"/>
    <w:multiLevelType w:val="hybridMultilevel"/>
    <w:tmpl w:val="F1366E56"/>
    <w:lvl w:ilvl="0" w:tplc="0CEC03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348AE"/>
    <w:multiLevelType w:val="hybridMultilevel"/>
    <w:tmpl w:val="FDF40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0E35"/>
    <w:multiLevelType w:val="hybridMultilevel"/>
    <w:tmpl w:val="4F46BCC6"/>
    <w:lvl w:ilvl="0" w:tplc="EE4685BA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47E04"/>
    <w:multiLevelType w:val="hybridMultilevel"/>
    <w:tmpl w:val="5CC0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4478E"/>
    <w:multiLevelType w:val="hybridMultilevel"/>
    <w:tmpl w:val="AF20E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108AF"/>
    <w:multiLevelType w:val="hybridMultilevel"/>
    <w:tmpl w:val="C63A4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E6242"/>
    <w:multiLevelType w:val="hybridMultilevel"/>
    <w:tmpl w:val="A346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8"/>
  </w:num>
  <w:num w:numId="2" w16cid:durableId="983047750">
    <w:abstractNumId w:val="6"/>
  </w:num>
  <w:num w:numId="3" w16cid:durableId="912206815">
    <w:abstractNumId w:val="9"/>
  </w:num>
  <w:num w:numId="4" w16cid:durableId="1919241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33"/>
  </w:num>
  <w:num w:numId="6" w16cid:durableId="1164782895">
    <w:abstractNumId w:val="7"/>
  </w:num>
  <w:num w:numId="7" w16cid:durableId="1764568987">
    <w:abstractNumId w:val="13"/>
  </w:num>
  <w:num w:numId="8" w16cid:durableId="1605840971">
    <w:abstractNumId w:val="15"/>
  </w:num>
  <w:num w:numId="9" w16cid:durableId="969629549">
    <w:abstractNumId w:val="29"/>
  </w:num>
  <w:num w:numId="10" w16cid:durableId="1576276737">
    <w:abstractNumId w:val="4"/>
  </w:num>
  <w:num w:numId="11" w16cid:durableId="409036424">
    <w:abstractNumId w:val="38"/>
  </w:num>
  <w:num w:numId="12" w16cid:durableId="1526747669">
    <w:abstractNumId w:val="5"/>
  </w:num>
  <w:num w:numId="13" w16cid:durableId="1746950255">
    <w:abstractNumId w:val="17"/>
  </w:num>
  <w:num w:numId="14" w16cid:durableId="329715522">
    <w:abstractNumId w:val="20"/>
  </w:num>
  <w:num w:numId="15" w16cid:durableId="1837842867">
    <w:abstractNumId w:val="18"/>
  </w:num>
  <w:num w:numId="16" w16cid:durableId="1970238000">
    <w:abstractNumId w:val="32"/>
  </w:num>
  <w:num w:numId="17" w16cid:durableId="485172914">
    <w:abstractNumId w:val="24"/>
  </w:num>
  <w:num w:numId="18" w16cid:durableId="338780148">
    <w:abstractNumId w:val="10"/>
  </w:num>
  <w:num w:numId="19" w16cid:durableId="1977641737">
    <w:abstractNumId w:val="4"/>
  </w:num>
  <w:num w:numId="20" w16cid:durableId="1099830501">
    <w:abstractNumId w:val="3"/>
  </w:num>
  <w:num w:numId="21" w16cid:durableId="1796680411">
    <w:abstractNumId w:val="26"/>
  </w:num>
  <w:num w:numId="22" w16cid:durableId="1157845039">
    <w:abstractNumId w:val="25"/>
  </w:num>
  <w:num w:numId="23" w16cid:durableId="1318220489">
    <w:abstractNumId w:val="22"/>
  </w:num>
  <w:num w:numId="24" w16cid:durableId="791442922">
    <w:abstractNumId w:val="28"/>
  </w:num>
  <w:num w:numId="25" w16cid:durableId="1530946489">
    <w:abstractNumId w:val="0"/>
  </w:num>
  <w:num w:numId="26" w16cid:durableId="1890258346">
    <w:abstractNumId w:val="2"/>
  </w:num>
  <w:num w:numId="27" w16cid:durableId="1649245800">
    <w:abstractNumId w:val="30"/>
  </w:num>
  <w:num w:numId="28" w16cid:durableId="611791289">
    <w:abstractNumId w:val="1"/>
  </w:num>
  <w:num w:numId="29" w16cid:durableId="1781562961">
    <w:abstractNumId w:val="37"/>
  </w:num>
  <w:num w:numId="30" w16cid:durableId="270279854">
    <w:abstractNumId w:val="27"/>
  </w:num>
  <w:num w:numId="31" w16cid:durableId="1770471421">
    <w:abstractNumId w:val="12"/>
  </w:num>
  <w:num w:numId="32" w16cid:durableId="1010982881">
    <w:abstractNumId w:val="36"/>
  </w:num>
  <w:num w:numId="33" w16cid:durableId="1406343733">
    <w:abstractNumId w:val="35"/>
  </w:num>
  <w:num w:numId="34" w16cid:durableId="1826360189">
    <w:abstractNumId w:val="14"/>
  </w:num>
  <w:num w:numId="35" w16cid:durableId="594823733">
    <w:abstractNumId w:val="21"/>
  </w:num>
  <w:num w:numId="36" w16cid:durableId="179323471">
    <w:abstractNumId w:val="19"/>
  </w:num>
  <w:num w:numId="37" w16cid:durableId="1776514804">
    <w:abstractNumId w:val="16"/>
  </w:num>
  <w:num w:numId="38" w16cid:durableId="653799481">
    <w:abstractNumId w:val="31"/>
  </w:num>
  <w:num w:numId="39" w16cid:durableId="757291277">
    <w:abstractNumId w:val="34"/>
  </w:num>
  <w:num w:numId="40" w16cid:durableId="481896344">
    <w:abstractNumId w:val="11"/>
  </w:num>
  <w:num w:numId="41" w16cid:durableId="654212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38E4"/>
    <w:rsid w:val="00003F3A"/>
    <w:rsid w:val="00006AE8"/>
    <w:rsid w:val="00006BD6"/>
    <w:rsid w:val="00026DCC"/>
    <w:rsid w:val="00031E9F"/>
    <w:rsid w:val="00033ED5"/>
    <w:rsid w:val="0004009C"/>
    <w:rsid w:val="0004482C"/>
    <w:rsid w:val="0005011B"/>
    <w:rsid w:val="00052E44"/>
    <w:rsid w:val="0006066F"/>
    <w:rsid w:val="000702E4"/>
    <w:rsid w:val="00070A13"/>
    <w:rsid w:val="00070A89"/>
    <w:rsid w:val="00077F0C"/>
    <w:rsid w:val="0008118E"/>
    <w:rsid w:val="00084C5D"/>
    <w:rsid w:val="00084DF3"/>
    <w:rsid w:val="00086074"/>
    <w:rsid w:val="0009112E"/>
    <w:rsid w:val="00097B17"/>
    <w:rsid w:val="000A4576"/>
    <w:rsid w:val="000A688D"/>
    <w:rsid w:val="000A6B96"/>
    <w:rsid w:val="000B21F0"/>
    <w:rsid w:val="000B32C4"/>
    <w:rsid w:val="000B65F8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16B73"/>
    <w:rsid w:val="001204EA"/>
    <w:rsid w:val="00125F02"/>
    <w:rsid w:val="001275D1"/>
    <w:rsid w:val="00134135"/>
    <w:rsid w:val="001377DD"/>
    <w:rsid w:val="0014120D"/>
    <w:rsid w:val="00143D0B"/>
    <w:rsid w:val="00144B55"/>
    <w:rsid w:val="00155C8E"/>
    <w:rsid w:val="00157EBF"/>
    <w:rsid w:val="00161605"/>
    <w:rsid w:val="00170D7F"/>
    <w:rsid w:val="00172790"/>
    <w:rsid w:val="00173D8E"/>
    <w:rsid w:val="00175C1F"/>
    <w:rsid w:val="00180F5C"/>
    <w:rsid w:val="00186CB7"/>
    <w:rsid w:val="00190358"/>
    <w:rsid w:val="001933DE"/>
    <w:rsid w:val="00194CB4"/>
    <w:rsid w:val="00197FA2"/>
    <w:rsid w:val="001A1A5B"/>
    <w:rsid w:val="001A7E82"/>
    <w:rsid w:val="001B010E"/>
    <w:rsid w:val="001B0859"/>
    <w:rsid w:val="001B354B"/>
    <w:rsid w:val="001B440C"/>
    <w:rsid w:val="001B7475"/>
    <w:rsid w:val="001D026F"/>
    <w:rsid w:val="001D6485"/>
    <w:rsid w:val="001E2320"/>
    <w:rsid w:val="001E610A"/>
    <w:rsid w:val="001E721F"/>
    <w:rsid w:val="00205C55"/>
    <w:rsid w:val="00206C0B"/>
    <w:rsid w:val="00221A2A"/>
    <w:rsid w:val="002241C0"/>
    <w:rsid w:val="002270E2"/>
    <w:rsid w:val="00230BB7"/>
    <w:rsid w:val="00237DE2"/>
    <w:rsid w:val="0024697E"/>
    <w:rsid w:val="00255E53"/>
    <w:rsid w:val="00267DD2"/>
    <w:rsid w:val="00275115"/>
    <w:rsid w:val="00280311"/>
    <w:rsid w:val="00281BE7"/>
    <w:rsid w:val="0028225A"/>
    <w:rsid w:val="00284294"/>
    <w:rsid w:val="00286651"/>
    <w:rsid w:val="00287196"/>
    <w:rsid w:val="0029287B"/>
    <w:rsid w:val="0029403F"/>
    <w:rsid w:val="002C0340"/>
    <w:rsid w:val="002C19DE"/>
    <w:rsid w:val="002D55B8"/>
    <w:rsid w:val="002D6ED9"/>
    <w:rsid w:val="002E3000"/>
    <w:rsid w:val="002E46AC"/>
    <w:rsid w:val="002F0FB2"/>
    <w:rsid w:val="002F43BB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2855"/>
    <w:rsid w:val="00374DBE"/>
    <w:rsid w:val="0037704D"/>
    <w:rsid w:val="0037714E"/>
    <w:rsid w:val="003841AB"/>
    <w:rsid w:val="003935E8"/>
    <w:rsid w:val="00395A36"/>
    <w:rsid w:val="003975D4"/>
    <w:rsid w:val="003A0F16"/>
    <w:rsid w:val="003A5B7D"/>
    <w:rsid w:val="003A6433"/>
    <w:rsid w:val="003B46BF"/>
    <w:rsid w:val="003C4FDD"/>
    <w:rsid w:val="003C6D56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25E4A"/>
    <w:rsid w:val="004403B4"/>
    <w:rsid w:val="00446466"/>
    <w:rsid w:val="00447CE9"/>
    <w:rsid w:val="00453B55"/>
    <w:rsid w:val="0045419D"/>
    <w:rsid w:val="00457779"/>
    <w:rsid w:val="00466FE8"/>
    <w:rsid w:val="0047073D"/>
    <w:rsid w:val="004744CD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A6973"/>
    <w:rsid w:val="004B2F38"/>
    <w:rsid w:val="004C35E7"/>
    <w:rsid w:val="004D093B"/>
    <w:rsid w:val="004D2191"/>
    <w:rsid w:val="004D3DF8"/>
    <w:rsid w:val="004D7DDC"/>
    <w:rsid w:val="004E219F"/>
    <w:rsid w:val="004E4723"/>
    <w:rsid w:val="004F3FEF"/>
    <w:rsid w:val="004F78B7"/>
    <w:rsid w:val="005058F2"/>
    <w:rsid w:val="00512C38"/>
    <w:rsid w:val="00512C7C"/>
    <w:rsid w:val="005130EF"/>
    <w:rsid w:val="005143E4"/>
    <w:rsid w:val="00533C14"/>
    <w:rsid w:val="0055182D"/>
    <w:rsid w:val="0056748F"/>
    <w:rsid w:val="00574D83"/>
    <w:rsid w:val="00585FA9"/>
    <w:rsid w:val="005871C9"/>
    <w:rsid w:val="005B06B3"/>
    <w:rsid w:val="005B41EF"/>
    <w:rsid w:val="005B598A"/>
    <w:rsid w:val="005C1959"/>
    <w:rsid w:val="005C27EF"/>
    <w:rsid w:val="005C499F"/>
    <w:rsid w:val="005C608D"/>
    <w:rsid w:val="005C6551"/>
    <w:rsid w:val="005D269A"/>
    <w:rsid w:val="005D3140"/>
    <w:rsid w:val="005D5D31"/>
    <w:rsid w:val="005E0E08"/>
    <w:rsid w:val="005E4CF5"/>
    <w:rsid w:val="005E7898"/>
    <w:rsid w:val="005F70FE"/>
    <w:rsid w:val="006008CD"/>
    <w:rsid w:val="00611BBA"/>
    <w:rsid w:val="00626EE9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5293"/>
    <w:rsid w:val="00687B5F"/>
    <w:rsid w:val="00687E5A"/>
    <w:rsid w:val="006905E7"/>
    <w:rsid w:val="00694E14"/>
    <w:rsid w:val="006967BC"/>
    <w:rsid w:val="006A03EB"/>
    <w:rsid w:val="006A0DB9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F33D9"/>
    <w:rsid w:val="006F498A"/>
    <w:rsid w:val="006F5BEB"/>
    <w:rsid w:val="007135A8"/>
    <w:rsid w:val="007156F6"/>
    <w:rsid w:val="00715B91"/>
    <w:rsid w:val="0071620E"/>
    <w:rsid w:val="007321D8"/>
    <w:rsid w:val="00733AF9"/>
    <w:rsid w:val="00734732"/>
    <w:rsid w:val="007374BE"/>
    <w:rsid w:val="00740ABA"/>
    <w:rsid w:val="0074295D"/>
    <w:rsid w:val="00755E27"/>
    <w:rsid w:val="00760E62"/>
    <w:rsid w:val="0078723A"/>
    <w:rsid w:val="00793222"/>
    <w:rsid w:val="00795A57"/>
    <w:rsid w:val="007A4FB5"/>
    <w:rsid w:val="007B043E"/>
    <w:rsid w:val="007B25FE"/>
    <w:rsid w:val="007C4332"/>
    <w:rsid w:val="007C4C95"/>
    <w:rsid w:val="007D0493"/>
    <w:rsid w:val="007D1551"/>
    <w:rsid w:val="007D273D"/>
    <w:rsid w:val="007D6A3A"/>
    <w:rsid w:val="007D6B6F"/>
    <w:rsid w:val="007D74C7"/>
    <w:rsid w:val="007D74E2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61524"/>
    <w:rsid w:val="0087118E"/>
    <w:rsid w:val="00872947"/>
    <w:rsid w:val="00874D78"/>
    <w:rsid w:val="008771C8"/>
    <w:rsid w:val="00882DCA"/>
    <w:rsid w:val="0088727A"/>
    <w:rsid w:val="00896D35"/>
    <w:rsid w:val="008B00C4"/>
    <w:rsid w:val="008B43B0"/>
    <w:rsid w:val="008B5033"/>
    <w:rsid w:val="008C0493"/>
    <w:rsid w:val="008C0E92"/>
    <w:rsid w:val="008C43D9"/>
    <w:rsid w:val="008C4EA3"/>
    <w:rsid w:val="008D3759"/>
    <w:rsid w:val="008D45C3"/>
    <w:rsid w:val="008E18D7"/>
    <w:rsid w:val="008E33C7"/>
    <w:rsid w:val="008F1D35"/>
    <w:rsid w:val="009002AC"/>
    <w:rsid w:val="009066C7"/>
    <w:rsid w:val="009104F7"/>
    <w:rsid w:val="00912B91"/>
    <w:rsid w:val="0092099E"/>
    <w:rsid w:val="0092216D"/>
    <w:rsid w:val="00933339"/>
    <w:rsid w:val="00953B84"/>
    <w:rsid w:val="00954927"/>
    <w:rsid w:val="00973F6D"/>
    <w:rsid w:val="00982754"/>
    <w:rsid w:val="009943F4"/>
    <w:rsid w:val="00995FDD"/>
    <w:rsid w:val="00996389"/>
    <w:rsid w:val="00997231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248A1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76AA7"/>
    <w:rsid w:val="00A84589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E5EF3"/>
    <w:rsid w:val="00AF1EBC"/>
    <w:rsid w:val="00AF5762"/>
    <w:rsid w:val="00AF7CEB"/>
    <w:rsid w:val="00B0050A"/>
    <w:rsid w:val="00B1467F"/>
    <w:rsid w:val="00B31928"/>
    <w:rsid w:val="00B326A9"/>
    <w:rsid w:val="00B447A5"/>
    <w:rsid w:val="00B45ED3"/>
    <w:rsid w:val="00B5393C"/>
    <w:rsid w:val="00B543E9"/>
    <w:rsid w:val="00B57127"/>
    <w:rsid w:val="00B71266"/>
    <w:rsid w:val="00B76B2B"/>
    <w:rsid w:val="00B8251D"/>
    <w:rsid w:val="00B94288"/>
    <w:rsid w:val="00B9538B"/>
    <w:rsid w:val="00BA15A9"/>
    <w:rsid w:val="00BB30C0"/>
    <w:rsid w:val="00BB4FF5"/>
    <w:rsid w:val="00BC376D"/>
    <w:rsid w:val="00BD18E8"/>
    <w:rsid w:val="00BD1D9A"/>
    <w:rsid w:val="00BD20BC"/>
    <w:rsid w:val="00C15673"/>
    <w:rsid w:val="00C15E6F"/>
    <w:rsid w:val="00C210A9"/>
    <w:rsid w:val="00C22821"/>
    <w:rsid w:val="00C243BF"/>
    <w:rsid w:val="00C25F63"/>
    <w:rsid w:val="00C276AE"/>
    <w:rsid w:val="00C4237C"/>
    <w:rsid w:val="00C552AA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64C8"/>
    <w:rsid w:val="00C97315"/>
    <w:rsid w:val="00CA1AD2"/>
    <w:rsid w:val="00CA2878"/>
    <w:rsid w:val="00CA3038"/>
    <w:rsid w:val="00CA7D06"/>
    <w:rsid w:val="00CB2BB1"/>
    <w:rsid w:val="00CB2E2B"/>
    <w:rsid w:val="00CB3D33"/>
    <w:rsid w:val="00CC0463"/>
    <w:rsid w:val="00CC13E2"/>
    <w:rsid w:val="00CC7F58"/>
    <w:rsid w:val="00CD47C3"/>
    <w:rsid w:val="00CE099F"/>
    <w:rsid w:val="00CE73E2"/>
    <w:rsid w:val="00CF402D"/>
    <w:rsid w:val="00CF5E4F"/>
    <w:rsid w:val="00CF7674"/>
    <w:rsid w:val="00D06043"/>
    <w:rsid w:val="00D17D3E"/>
    <w:rsid w:val="00D25F43"/>
    <w:rsid w:val="00D25FC6"/>
    <w:rsid w:val="00D44A5D"/>
    <w:rsid w:val="00D510E8"/>
    <w:rsid w:val="00D554A2"/>
    <w:rsid w:val="00D5628B"/>
    <w:rsid w:val="00D63F4F"/>
    <w:rsid w:val="00D6426A"/>
    <w:rsid w:val="00D66456"/>
    <w:rsid w:val="00D76F69"/>
    <w:rsid w:val="00D77CD0"/>
    <w:rsid w:val="00D9306F"/>
    <w:rsid w:val="00D96647"/>
    <w:rsid w:val="00DB0B88"/>
    <w:rsid w:val="00DC3784"/>
    <w:rsid w:val="00DD18C6"/>
    <w:rsid w:val="00DD6D00"/>
    <w:rsid w:val="00DE00F0"/>
    <w:rsid w:val="00DE1894"/>
    <w:rsid w:val="00DE5079"/>
    <w:rsid w:val="00DF3CBA"/>
    <w:rsid w:val="00DF6B3A"/>
    <w:rsid w:val="00E10271"/>
    <w:rsid w:val="00E34DF7"/>
    <w:rsid w:val="00E35DF6"/>
    <w:rsid w:val="00E50D44"/>
    <w:rsid w:val="00E52765"/>
    <w:rsid w:val="00E55290"/>
    <w:rsid w:val="00E64133"/>
    <w:rsid w:val="00E66456"/>
    <w:rsid w:val="00E67C4E"/>
    <w:rsid w:val="00E738D5"/>
    <w:rsid w:val="00E8288D"/>
    <w:rsid w:val="00E8348C"/>
    <w:rsid w:val="00E900DE"/>
    <w:rsid w:val="00E90D87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D4931"/>
    <w:rsid w:val="00ED51E7"/>
    <w:rsid w:val="00EE4384"/>
    <w:rsid w:val="00EE4BD7"/>
    <w:rsid w:val="00EF3551"/>
    <w:rsid w:val="00F017D6"/>
    <w:rsid w:val="00F0779F"/>
    <w:rsid w:val="00F07A1E"/>
    <w:rsid w:val="00F12CF6"/>
    <w:rsid w:val="00F147FC"/>
    <w:rsid w:val="00F15BD4"/>
    <w:rsid w:val="00F25A2F"/>
    <w:rsid w:val="00F31A79"/>
    <w:rsid w:val="00F42214"/>
    <w:rsid w:val="00F5061B"/>
    <w:rsid w:val="00F61A7D"/>
    <w:rsid w:val="00F63AA8"/>
    <w:rsid w:val="00F67CA2"/>
    <w:rsid w:val="00F727B3"/>
    <w:rsid w:val="00F763E5"/>
    <w:rsid w:val="00F859A8"/>
    <w:rsid w:val="00F9203E"/>
    <w:rsid w:val="00F957B7"/>
    <w:rsid w:val="00FA2B5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styleId="Poprawka">
    <w:name w:val="Revision"/>
    <w:hidden/>
    <w:uiPriority w:val="99"/>
    <w:semiHidden/>
    <w:rsid w:val="002F43BB"/>
    <w:pPr>
      <w:autoSpaceDN/>
      <w:spacing w:after="0" w:line="240" w:lineRule="auto"/>
      <w:textAlignment w:val="auto"/>
    </w:pPr>
  </w:style>
  <w:style w:type="character" w:styleId="Pogrubienie">
    <w:name w:val="Strong"/>
    <w:basedOn w:val="Domylnaczcionkaakapitu"/>
    <w:uiPriority w:val="22"/>
    <w:qFormat/>
    <w:rsid w:val="00FA2B57"/>
    <w:rPr>
      <w:b/>
      <w:bCs/>
    </w:rPr>
  </w:style>
  <w:style w:type="character" w:customStyle="1" w:styleId="ui-provider">
    <w:name w:val="ui-provider"/>
    <w:basedOn w:val="Domylnaczcionkaakapitu"/>
    <w:rsid w:val="006F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3291030153488859E-2"/>
          <c:y val="0.11894515781244411"/>
          <c:w val="0.9172645506005298"/>
          <c:h val="0.729973889538953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  <c:pt idx="4">
                  <c:v>14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3-4B53-AE27-44524C5DBFA2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32</c:v>
                </c:pt>
                <c:pt idx="4">
                  <c:v>8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F3-4B53-AE27-44524C5DBF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006461172659766"/>
          <c:y val="0.92427455328629027"/>
          <c:w val="0.6998705468162213"/>
          <c:h val="6.70730564909107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6171214485286109E-2"/>
          <c:y val="0.11815866978635811"/>
          <c:w val="0.91438436626873265"/>
          <c:h val="0.728045527551932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3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C6-4209-99C0-627261C43A33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16</c:v>
                </c:pt>
                <c:pt idx="2">
                  <c:v>8</c:v>
                </c:pt>
                <c:pt idx="3">
                  <c:v>35</c:v>
                </c:pt>
                <c:pt idx="4">
                  <c:v>15</c:v>
                </c:pt>
                <c:pt idx="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C6-4209-99C0-627261C43A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147601802939189"/>
          <c:y val="0.93374385894070933"/>
          <c:w val="0.39704774244991525"/>
          <c:h val="6.6256141059290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</a:t>
            </a:r>
          </a:p>
        </c:rich>
      </c:tx>
      <c:layout>
        <c:manualLayout>
          <c:xMode val="edge"/>
          <c:yMode val="edge"/>
          <c:x val="0.20131068362217433"/>
          <c:y val="1.76978379374818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9144392068048334E-2"/>
          <c:w val="0.84009663854336591"/>
          <c:h val="0.83278715578612872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listopad)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2023'!$A$3:$A$8,'miesiące 2023'!$A$10:$A$12)</c:f>
              <c:strCache>
                <c:ptCount val="9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nerki</c:v>
                </c:pt>
                <c:pt idx="6">
                  <c:v>Nowotwory 
ginekologiczne</c:v>
                </c:pt>
                <c:pt idx="7">
                  <c:v>Nowotwory układu 
endokrynnego</c:v>
                </c:pt>
                <c:pt idx="8">
                  <c:v>Hematoonkologia</c:v>
                </c:pt>
              </c:strCache>
              <c:extLst/>
            </c:strRef>
          </c:cat>
          <c:val>
            <c:numRef>
              <c:f>('miesiące 2023'!$B$3:$B$8,'miesiące 2023'!$B$10:$B$12)</c:f>
              <c:numCache>
                <c:formatCode>General</c:formatCode>
                <c:ptCount val="9"/>
                <c:pt idx="0">
                  <c:v>5</c:v>
                </c:pt>
                <c:pt idx="1">
                  <c:v>8</c:v>
                </c:pt>
                <c:pt idx="2">
                  <c:v>1</c:v>
                </c:pt>
                <c:pt idx="3">
                  <c:v>9</c:v>
                </c:pt>
                <c:pt idx="4">
                  <c:v>11</c:v>
                </c:pt>
                <c:pt idx="5">
                  <c:v>1</c:v>
                </c:pt>
                <c:pt idx="6">
                  <c:v>11</c:v>
                </c:pt>
                <c:pt idx="7">
                  <c:v>1</c:v>
                </c:pt>
                <c:pt idx="8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64C-40FE-B457-6F513CEA7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2023 r. </a:t>
            </a:r>
          </a:p>
        </c:rich>
      </c:tx>
      <c:layout>
        <c:manualLayout>
          <c:xMode val="edge"/>
          <c:yMode val="edge"/>
          <c:x val="0.27720079861812147"/>
          <c:y val="8.98876404494382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6153060995580679"/>
          <c:y val="0.1036439883216845"/>
          <c:w val="0.70650357807838127"/>
          <c:h val="0.8114199769972573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listopad)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2023'!$A$20:$A$25,'miesiące 2023'!$A$27:$A$28,'miesiące 2023'!$A$30,'miesiące 2023'!$A$32:$A$38)</c:f>
              <c:strCache>
                <c:ptCount val="16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Kardiologia</c:v>
                </c:pt>
                <c:pt idx="7">
                  <c:v>Immunologia</c:v>
                </c:pt>
                <c:pt idx="8">
                  <c:v>Hematologia</c:v>
                </c:pt>
                <c:pt idx="9">
                  <c:v>Gastroenterologia</c:v>
                </c:pt>
                <c:pt idx="10">
                  <c:v>Endokrynologia</c:v>
                </c:pt>
                <c:pt idx="11">
                  <c:v>Diabetologia</c:v>
                </c:pt>
                <c:pt idx="12">
                  <c:v>Dermatologia</c:v>
                </c:pt>
                <c:pt idx="13">
                  <c:v>Choroby metaboliczne</c:v>
                </c:pt>
                <c:pt idx="14">
                  <c:v>Angiologia</c:v>
                </c:pt>
                <c:pt idx="15">
                  <c:v>Alergologia</c:v>
                </c:pt>
              </c:strCache>
              <c:extLst/>
            </c:strRef>
          </c:cat>
          <c:val>
            <c:numRef>
              <c:f>('miesiące 2023'!$B$20:$B$25,'miesiące 2023'!$B$27:$B$28,'miesiące 2023'!$B$30,'miesiące 2023'!$B$32:$B$38)</c:f>
              <c:numCache>
                <c:formatCode>General</c:formatCode>
                <c:ptCount val="16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20</c:v>
                </c:pt>
                <c:pt idx="7">
                  <c:v>3</c:v>
                </c:pt>
                <c:pt idx="8">
                  <c:v>7</c:v>
                </c:pt>
                <c:pt idx="9">
                  <c:v>4</c:v>
                </c:pt>
                <c:pt idx="10">
                  <c:v>1</c:v>
                </c:pt>
                <c:pt idx="11">
                  <c:v>6</c:v>
                </c:pt>
                <c:pt idx="12">
                  <c:v>6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F1F-4E12-B192-521BD7079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18</Pages>
  <Words>4100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Joanna Królak-Buzakowska</cp:lastModifiedBy>
  <cp:revision>8</cp:revision>
  <dcterms:created xsi:type="dcterms:W3CDTF">2023-10-16T08:33:00Z</dcterms:created>
  <dcterms:modified xsi:type="dcterms:W3CDTF">2023-10-16T11:54:00Z</dcterms:modified>
</cp:coreProperties>
</file>