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B311" w14:textId="77777777" w:rsidR="00722124" w:rsidRPr="003D2E34" w:rsidRDefault="00722124" w:rsidP="005052BA">
      <w:pPr>
        <w:spacing w:before="120" w:after="120" w:line="360" w:lineRule="auto"/>
        <w:contextualSpacing/>
        <w:rPr>
          <w:rFonts w:ascii="Calibri" w:eastAsiaTheme="majorEastAsia" w:hAnsi="Calibri" w:cs="Calibri"/>
          <w:b/>
          <w:bCs/>
          <w:iCs/>
          <w:sz w:val="24"/>
          <w:szCs w:val="24"/>
          <w:lang w:val="pl-PL"/>
        </w:rPr>
      </w:pPr>
    </w:p>
    <w:p w14:paraId="4F7CF7A7" w14:textId="77777777" w:rsidR="00722124" w:rsidRPr="003D2E34" w:rsidRDefault="00722124" w:rsidP="005052BA">
      <w:pPr>
        <w:spacing w:before="120" w:after="120" w:line="360" w:lineRule="auto"/>
        <w:contextualSpacing/>
        <w:rPr>
          <w:rFonts w:ascii="Calibri" w:eastAsiaTheme="majorEastAsia" w:hAnsi="Calibri" w:cs="Calibri"/>
          <w:b/>
          <w:bCs/>
          <w:iCs/>
          <w:sz w:val="24"/>
          <w:szCs w:val="24"/>
          <w:lang w:val="pl-PL"/>
        </w:rPr>
      </w:pPr>
    </w:p>
    <w:p w14:paraId="0CCF2E10" w14:textId="77777777" w:rsidR="00722124" w:rsidRPr="003D2E34" w:rsidRDefault="00722124" w:rsidP="005052BA">
      <w:pPr>
        <w:spacing w:before="120" w:after="120" w:line="360" w:lineRule="auto"/>
        <w:contextualSpacing/>
        <w:rPr>
          <w:rFonts w:ascii="Calibri" w:eastAsiaTheme="majorEastAsia" w:hAnsi="Calibri" w:cs="Calibri"/>
          <w:b/>
          <w:bCs/>
          <w:iCs/>
          <w:sz w:val="24"/>
          <w:szCs w:val="24"/>
          <w:lang w:val="pl-PL"/>
        </w:rPr>
      </w:pPr>
    </w:p>
    <w:p w14:paraId="05C25AD7" w14:textId="77777777" w:rsidR="00722124" w:rsidRPr="003D2E34" w:rsidRDefault="00722124" w:rsidP="005052BA">
      <w:pPr>
        <w:spacing w:before="120" w:after="120" w:line="360" w:lineRule="auto"/>
        <w:contextualSpacing/>
        <w:rPr>
          <w:rFonts w:ascii="Calibri" w:eastAsiaTheme="majorEastAsia" w:hAnsi="Calibri" w:cs="Calibri"/>
          <w:b/>
          <w:bCs/>
          <w:iCs/>
          <w:sz w:val="24"/>
          <w:szCs w:val="24"/>
          <w:lang w:val="pl-PL"/>
        </w:rPr>
      </w:pPr>
    </w:p>
    <w:p w14:paraId="4C4A7257" w14:textId="77777777" w:rsidR="00722124" w:rsidRPr="003D2E34" w:rsidRDefault="00722124" w:rsidP="005052BA">
      <w:pPr>
        <w:spacing w:before="120" w:after="120" w:line="360" w:lineRule="auto"/>
        <w:contextualSpacing/>
        <w:rPr>
          <w:rFonts w:ascii="Calibri" w:eastAsiaTheme="majorEastAsia" w:hAnsi="Calibri" w:cs="Calibri"/>
          <w:b/>
          <w:bCs/>
          <w:iCs/>
          <w:sz w:val="24"/>
          <w:szCs w:val="24"/>
          <w:lang w:val="pl-PL"/>
        </w:rPr>
      </w:pPr>
    </w:p>
    <w:p w14:paraId="3488830D" w14:textId="77777777" w:rsidR="00722124" w:rsidRPr="003D2E34" w:rsidRDefault="00722124" w:rsidP="005052BA">
      <w:pPr>
        <w:spacing w:before="120" w:after="120" w:line="360" w:lineRule="auto"/>
        <w:contextualSpacing/>
        <w:rPr>
          <w:rFonts w:ascii="Calibri" w:eastAsiaTheme="majorEastAsia" w:hAnsi="Calibri" w:cs="Calibri"/>
          <w:b/>
          <w:bCs/>
          <w:iCs/>
          <w:sz w:val="24"/>
          <w:szCs w:val="24"/>
          <w:lang w:val="pl-PL"/>
        </w:rPr>
      </w:pPr>
    </w:p>
    <w:p w14:paraId="636BE29E" w14:textId="77777777" w:rsidR="00722124" w:rsidRPr="003D2E34" w:rsidRDefault="00722124" w:rsidP="005052BA">
      <w:pPr>
        <w:spacing w:before="120" w:after="120" w:line="360" w:lineRule="auto"/>
        <w:contextualSpacing/>
        <w:rPr>
          <w:rFonts w:ascii="Calibri" w:eastAsiaTheme="majorEastAsia" w:hAnsi="Calibri" w:cs="Calibri"/>
          <w:b/>
          <w:bCs/>
          <w:iCs/>
          <w:sz w:val="24"/>
          <w:szCs w:val="24"/>
          <w:lang w:val="pl-PL"/>
        </w:rPr>
      </w:pPr>
    </w:p>
    <w:p w14:paraId="38636247" w14:textId="77777777" w:rsidR="00722124" w:rsidRPr="003D2E34" w:rsidRDefault="00722124" w:rsidP="005052BA">
      <w:pPr>
        <w:spacing w:before="120" w:after="120" w:line="360" w:lineRule="auto"/>
        <w:contextualSpacing/>
        <w:rPr>
          <w:rFonts w:ascii="Calibri" w:eastAsiaTheme="majorEastAsia" w:hAnsi="Calibri" w:cs="Calibri"/>
          <w:b/>
          <w:bCs/>
          <w:iCs/>
          <w:sz w:val="24"/>
          <w:szCs w:val="24"/>
          <w:lang w:val="pl-PL"/>
        </w:rPr>
      </w:pPr>
    </w:p>
    <w:p w14:paraId="33FC23BF" w14:textId="77777777" w:rsidR="00722124" w:rsidRPr="003D2E34" w:rsidRDefault="00722124" w:rsidP="005052BA">
      <w:pPr>
        <w:spacing w:before="120" w:after="120" w:line="360" w:lineRule="auto"/>
        <w:contextualSpacing/>
        <w:rPr>
          <w:rFonts w:ascii="Calibri" w:eastAsiaTheme="majorEastAsia" w:hAnsi="Calibri" w:cs="Calibri"/>
          <w:b/>
          <w:bCs/>
          <w:iCs/>
          <w:sz w:val="24"/>
          <w:szCs w:val="24"/>
          <w:lang w:val="pl-PL"/>
        </w:rPr>
      </w:pPr>
    </w:p>
    <w:p w14:paraId="0F08351C" w14:textId="69D82584" w:rsidR="004B303F" w:rsidRPr="003D2E34" w:rsidRDefault="00585473" w:rsidP="00C30E1D">
      <w:pPr>
        <w:spacing w:before="120" w:after="120" w:line="360" w:lineRule="auto"/>
        <w:contextualSpacing/>
        <w:rPr>
          <w:rFonts w:ascii="Calibri" w:eastAsiaTheme="majorEastAsia" w:hAnsi="Calibri" w:cs="Calibri"/>
          <w:b/>
          <w:bCs/>
          <w:iCs/>
          <w:sz w:val="28"/>
          <w:szCs w:val="28"/>
          <w:lang w:val="pl-PL"/>
        </w:rPr>
      </w:pPr>
      <w:r w:rsidRPr="003D2E34">
        <w:rPr>
          <w:rFonts w:ascii="Calibri" w:eastAsiaTheme="majorEastAsia" w:hAnsi="Calibri" w:cs="Calibri"/>
          <w:b/>
          <w:bCs/>
          <w:iCs/>
          <w:sz w:val="28"/>
          <w:szCs w:val="28"/>
          <w:lang w:val="pl-PL"/>
        </w:rPr>
        <w:t>Załącznik</w:t>
      </w:r>
      <w:r w:rsidR="00A9616F" w:rsidRPr="003D2E34">
        <w:rPr>
          <w:rFonts w:ascii="Calibri" w:eastAsiaTheme="majorEastAsia" w:hAnsi="Calibri" w:cs="Calibri"/>
          <w:b/>
          <w:bCs/>
          <w:iCs/>
          <w:sz w:val="28"/>
          <w:szCs w:val="28"/>
          <w:lang w:val="pl-PL"/>
        </w:rPr>
        <w:t xml:space="preserve"> </w:t>
      </w:r>
      <w:r w:rsidR="00E27666" w:rsidRPr="003D2E34">
        <w:rPr>
          <w:rFonts w:ascii="Calibri" w:eastAsiaTheme="majorEastAsia" w:hAnsi="Calibri" w:cs="Calibri"/>
          <w:b/>
          <w:bCs/>
          <w:iCs/>
          <w:sz w:val="28"/>
          <w:szCs w:val="28"/>
          <w:lang w:val="pl-PL"/>
        </w:rPr>
        <w:t xml:space="preserve">nr </w:t>
      </w:r>
      <w:r w:rsidR="00A9616F" w:rsidRPr="003D2E34">
        <w:rPr>
          <w:rFonts w:ascii="Calibri" w:eastAsiaTheme="majorEastAsia" w:hAnsi="Calibri" w:cs="Calibri"/>
          <w:b/>
          <w:bCs/>
          <w:iCs/>
          <w:sz w:val="28"/>
          <w:szCs w:val="28"/>
          <w:lang w:val="pl-PL"/>
        </w:rPr>
        <w:t>1</w:t>
      </w:r>
      <w:bookmarkStart w:id="0" w:name="_Toc428535187"/>
      <w:bookmarkStart w:id="1" w:name="_Toc431295988"/>
      <w:bookmarkStart w:id="2" w:name="_Toc78468497"/>
      <w:bookmarkStart w:id="3" w:name="_Toc406509583"/>
      <w:r w:rsidR="00E27666" w:rsidRPr="003D2E34">
        <w:rPr>
          <w:rFonts w:ascii="Calibri" w:eastAsiaTheme="majorEastAsia" w:hAnsi="Calibri" w:cs="Calibri"/>
          <w:b/>
          <w:bCs/>
          <w:iCs/>
          <w:sz w:val="28"/>
          <w:szCs w:val="28"/>
          <w:lang w:val="pl-PL"/>
        </w:rPr>
        <w:t>.</w:t>
      </w:r>
    </w:p>
    <w:p w14:paraId="171562BE" w14:textId="0BD76F67" w:rsidR="003F4FBA" w:rsidRPr="003D2E34" w:rsidRDefault="003F4FBA" w:rsidP="00C30E1D">
      <w:pPr>
        <w:spacing w:before="120" w:after="120" w:line="360" w:lineRule="auto"/>
        <w:contextualSpacing/>
        <w:rPr>
          <w:rFonts w:ascii="Calibri" w:hAnsi="Calibri" w:cs="Calibri"/>
          <w:b/>
          <w:iCs/>
          <w:sz w:val="28"/>
          <w:szCs w:val="28"/>
          <w:lang w:val="pl-PL"/>
        </w:rPr>
      </w:pPr>
      <w:r w:rsidRPr="003D2E34">
        <w:rPr>
          <w:rFonts w:ascii="Calibri" w:hAnsi="Calibri" w:cs="Calibri"/>
          <w:b/>
          <w:iCs/>
          <w:sz w:val="28"/>
          <w:szCs w:val="28"/>
          <w:lang w:val="pl-PL"/>
        </w:rPr>
        <w:t>Zamówienia udzielane w Przedsięwzięciach</w:t>
      </w:r>
      <w:bookmarkEnd w:id="0"/>
      <w:bookmarkEnd w:id="1"/>
      <w:bookmarkEnd w:id="2"/>
      <w:r w:rsidRPr="003D2E34">
        <w:rPr>
          <w:rFonts w:ascii="Calibri" w:hAnsi="Calibri" w:cs="Calibri"/>
          <w:b/>
          <w:iCs/>
          <w:sz w:val="28"/>
          <w:szCs w:val="28"/>
          <w:lang w:val="pl-PL"/>
        </w:rPr>
        <w:t xml:space="preserve"> real</w:t>
      </w:r>
      <w:r w:rsidR="00FA6EB4" w:rsidRPr="003D2E34">
        <w:rPr>
          <w:rFonts w:ascii="Calibri" w:hAnsi="Calibri" w:cs="Calibri"/>
          <w:b/>
          <w:iCs/>
          <w:sz w:val="28"/>
          <w:szCs w:val="28"/>
          <w:lang w:val="pl-PL"/>
        </w:rPr>
        <w:t>izowanych w ramach inwestycji C</w:t>
      </w:r>
      <w:r w:rsidR="005D7E72" w:rsidRPr="003D2E34">
        <w:rPr>
          <w:rFonts w:ascii="Calibri" w:hAnsi="Calibri" w:cs="Calibri"/>
          <w:b/>
          <w:iCs/>
          <w:sz w:val="28"/>
          <w:szCs w:val="28"/>
          <w:lang w:val="pl-PL"/>
        </w:rPr>
        <w:t>3</w:t>
      </w:r>
      <w:r w:rsidR="00FA6EB4" w:rsidRPr="003D2E34">
        <w:rPr>
          <w:rFonts w:ascii="Calibri" w:hAnsi="Calibri" w:cs="Calibri"/>
          <w:b/>
          <w:iCs/>
          <w:sz w:val="28"/>
          <w:szCs w:val="28"/>
          <w:lang w:val="pl-PL"/>
        </w:rPr>
        <w:t>.1.1</w:t>
      </w:r>
      <w:r w:rsidR="00897C89" w:rsidRPr="003D2E34">
        <w:rPr>
          <w:rFonts w:ascii="Calibri" w:hAnsi="Calibri" w:cs="Calibri"/>
          <w:b/>
          <w:iCs/>
          <w:sz w:val="28"/>
          <w:szCs w:val="28"/>
          <w:lang w:val="pl-PL"/>
        </w:rPr>
        <w:t>.</w:t>
      </w:r>
    </w:p>
    <w:p w14:paraId="53F3455A" w14:textId="10FE595D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08B703CE" w14:textId="4A3C6118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0965A885" w14:textId="4A11EF30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2D11CEB1" w14:textId="7E4E8431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25324D0E" w14:textId="22A66DDD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65D1734D" w14:textId="3BBC8A9C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4B1E4AD4" w14:textId="1A2C205D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29E25C97" w14:textId="0D0E2E4E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74130E45" w14:textId="27DB5AFA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253DF5C6" w14:textId="74E1938D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0CE68030" w14:textId="7030DDDF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1DBC993E" w14:textId="249ED0D8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7BBEC6CE" w14:textId="1B62D06C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38E2739C" w14:textId="65BCF25F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1CAB1DE0" w14:textId="6EC2C35A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5A012AEA" w14:textId="113E4FA8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1E82A890" w14:textId="46360790" w:rsidR="00D36D72" w:rsidRPr="003D2E34" w:rsidRDefault="00D36D72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21CCF40F" w14:textId="05C69D28" w:rsidR="00D36D72" w:rsidRPr="003D2E34" w:rsidRDefault="00D36D72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2F87C1E7" w14:textId="59C17B63" w:rsidR="00D36D72" w:rsidRPr="003D2E34" w:rsidRDefault="00D36D72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6EA76818" w14:textId="0C4CB978" w:rsidR="00D36D72" w:rsidRPr="003D2E34" w:rsidRDefault="00D36D72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sdt>
      <w:sdtPr>
        <w:rPr>
          <w:rFonts w:ascii="Calibri" w:eastAsiaTheme="minorHAnsi" w:hAnsi="Calibri" w:cs="Calibri"/>
          <w:iCs/>
          <w:color w:val="auto"/>
          <w:sz w:val="24"/>
          <w:szCs w:val="24"/>
          <w:shd w:val="clear" w:color="auto" w:fill="E6E6E6"/>
          <w:lang w:val="en-GB" w:eastAsia="en-US"/>
        </w:rPr>
        <w:id w:val="-19361201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C0A91F9" w14:textId="1794B3A4" w:rsidR="00722124" w:rsidRPr="003D2E34" w:rsidRDefault="00722124" w:rsidP="005052BA">
          <w:pPr>
            <w:pStyle w:val="Nagwekspisutreci"/>
            <w:spacing w:before="120" w:after="120" w:line="360" w:lineRule="auto"/>
            <w:contextualSpacing/>
            <w:rPr>
              <w:rFonts w:ascii="Calibri" w:hAnsi="Calibri" w:cs="Calibri"/>
              <w:b/>
              <w:iCs/>
              <w:color w:val="auto"/>
              <w:sz w:val="24"/>
              <w:szCs w:val="24"/>
            </w:rPr>
          </w:pPr>
          <w:r w:rsidRPr="003D2E34">
            <w:rPr>
              <w:rFonts w:ascii="Calibri" w:hAnsi="Calibri" w:cs="Calibri"/>
              <w:b/>
              <w:iCs/>
              <w:color w:val="auto"/>
              <w:sz w:val="24"/>
              <w:szCs w:val="24"/>
            </w:rPr>
            <w:t>Spis treści</w:t>
          </w:r>
        </w:p>
        <w:p w14:paraId="0576EC1D" w14:textId="71261DC0" w:rsidR="00160AF3" w:rsidRPr="003D2E34" w:rsidRDefault="00722124" w:rsidP="00160AF3">
          <w:pPr>
            <w:pStyle w:val="Spistreci2"/>
            <w:rPr>
              <w:rFonts w:ascii="Calibri" w:eastAsiaTheme="minorEastAsia" w:hAnsi="Calibri" w:cs="Calibri"/>
              <w:noProof/>
              <w:kern w:val="2"/>
              <w:sz w:val="24"/>
              <w:szCs w:val="24"/>
              <w:lang w:val="pl-PL" w:eastAsia="pl-PL"/>
              <w14:ligatures w14:val="standardContextual"/>
            </w:rPr>
          </w:pPr>
          <w:r w:rsidRPr="003D2E34">
            <w:rPr>
              <w:rFonts w:ascii="Calibri" w:hAnsi="Calibri" w:cs="Calibri"/>
              <w:color w:val="2B579A"/>
              <w:sz w:val="24"/>
              <w:szCs w:val="24"/>
              <w:shd w:val="clear" w:color="auto" w:fill="E6E6E6"/>
            </w:rPr>
            <w:fldChar w:fldCharType="begin"/>
          </w:r>
          <w:r w:rsidRPr="003D2E34">
            <w:rPr>
              <w:rFonts w:ascii="Calibri" w:hAnsi="Calibri" w:cs="Calibri"/>
              <w:sz w:val="24"/>
              <w:szCs w:val="24"/>
            </w:rPr>
            <w:instrText xml:space="preserve"> TOC \o "1-3" \h \z \u </w:instrText>
          </w:r>
          <w:r w:rsidRPr="003D2E34">
            <w:rPr>
              <w:rFonts w:ascii="Calibri" w:hAnsi="Calibri" w:cs="Calibri"/>
              <w:color w:val="2B579A"/>
              <w:sz w:val="24"/>
              <w:szCs w:val="24"/>
              <w:shd w:val="clear" w:color="auto" w:fill="E6E6E6"/>
            </w:rPr>
            <w:fldChar w:fldCharType="separate"/>
          </w:r>
          <w:hyperlink w:anchor="_Toc161824959" w:history="1">
            <w:r w:rsidR="00160AF3" w:rsidRPr="003D2E34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I.</w:t>
            </w:r>
            <w:r w:rsidR="00160AF3" w:rsidRPr="003D2E34">
              <w:rPr>
                <w:rFonts w:ascii="Calibri" w:eastAsiaTheme="minorEastAsia" w:hAnsi="Calibri" w:cs="Calibri"/>
                <w:noProof/>
                <w:kern w:val="2"/>
                <w:sz w:val="24"/>
                <w:szCs w:val="24"/>
                <w:lang w:val="pl-PL" w:eastAsia="pl-PL"/>
                <w14:ligatures w14:val="standardContextual"/>
              </w:rPr>
              <w:tab/>
            </w:r>
            <w:r w:rsidR="00160AF3" w:rsidRPr="003D2E34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Zamówienia udzielane w ramach Przedsięwzięć</w:t>
            </w:r>
            <w:r w:rsidR="00160AF3"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="00160AF3"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="00160AF3"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_Toc161824959 \h </w:instrText>
            </w:r>
            <w:r w:rsidR="00160AF3"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="00160AF3"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823CE1"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t>3</w:t>
            </w:r>
            <w:r w:rsidR="00160AF3"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4CCB75" w14:textId="0C3CA2EA" w:rsidR="00160AF3" w:rsidRPr="003D2E34" w:rsidRDefault="00160AF3" w:rsidP="00160AF3">
          <w:pPr>
            <w:pStyle w:val="Spistreci2"/>
            <w:rPr>
              <w:rFonts w:ascii="Calibri" w:eastAsiaTheme="minorEastAsia" w:hAnsi="Calibri" w:cs="Calibri"/>
              <w:noProof/>
              <w:kern w:val="2"/>
              <w:sz w:val="24"/>
              <w:szCs w:val="24"/>
              <w:lang w:val="pl-PL" w:eastAsia="pl-PL"/>
              <w14:ligatures w14:val="standardContextual"/>
            </w:rPr>
          </w:pPr>
          <w:hyperlink w:anchor="_Toc161824960" w:history="1">
            <w:r w:rsidRPr="003D2E34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II.</w:t>
            </w:r>
            <w:r w:rsidRPr="003D2E34">
              <w:rPr>
                <w:rFonts w:ascii="Calibri" w:eastAsiaTheme="minorEastAsia" w:hAnsi="Calibri" w:cs="Calibri"/>
                <w:noProof/>
                <w:kern w:val="2"/>
                <w:sz w:val="24"/>
                <w:szCs w:val="24"/>
                <w:lang w:val="pl-PL" w:eastAsia="pl-PL"/>
                <w14:ligatures w14:val="standardContextual"/>
              </w:rPr>
              <w:tab/>
            </w:r>
            <w:r w:rsidRPr="003D2E34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Zasada konkurencyjności</w:t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_Toc161824960 \h </w:instrText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823CE1"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t>7</w:t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2626D1" w14:textId="64E728B4" w:rsidR="00160AF3" w:rsidRPr="003D2E34" w:rsidRDefault="00160AF3" w:rsidP="00160AF3">
          <w:pPr>
            <w:pStyle w:val="Spistreci2"/>
            <w:rPr>
              <w:rFonts w:ascii="Calibri" w:eastAsiaTheme="minorEastAsia" w:hAnsi="Calibri" w:cs="Calibri"/>
              <w:noProof/>
              <w:kern w:val="2"/>
              <w:sz w:val="24"/>
              <w:szCs w:val="24"/>
              <w:lang w:val="pl-PL" w:eastAsia="pl-PL"/>
              <w14:ligatures w14:val="standardContextual"/>
            </w:rPr>
          </w:pPr>
          <w:hyperlink w:anchor="_Toc161824961" w:history="1">
            <w:r w:rsidRPr="003D2E34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III.</w:t>
            </w:r>
            <w:r w:rsidRPr="003D2E34">
              <w:rPr>
                <w:rFonts w:ascii="Calibri" w:eastAsiaTheme="minorEastAsia" w:hAnsi="Calibri" w:cs="Calibri"/>
                <w:noProof/>
                <w:kern w:val="2"/>
                <w:sz w:val="24"/>
                <w:szCs w:val="24"/>
                <w:lang w:val="pl-PL" w:eastAsia="pl-PL"/>
                <w14:ligatures w14:val="standardContextual"/>
              </w:rPr>
              <w:tab/>
            </w:r>
            <w:r w:rsidRPr="003D2E34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Zamówienia w trybie in-house</w:t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_Toc161824961 \h </w:instrText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823CE1"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t>17</w:t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ABD534" w14:textId="018E57BD" w:rsidR="00160AF3" w:rsidRPr="003D2E34" w:rsidRDefault="00160AF3" w:rsidP="00160AF3">
          <w:pPr>
            <w:pStyle w:val="Spistreci2"/>
            <w:rPr>
              <w:rFonts w:ascii="Calibri" w:eastAsiaTheme="minorEastAsia" w:hAnsi="Calibri" w:cs="Calibri"/>
              <w:noProof/>
              <w:kern w:val="2"/>
              <w:sz w:val="24"/>
              <w:szCs w:val="24"/>
              <w:lang w:val="pl-PL" w:eastAsia="pl-PL"/>
              <w14:ligatures w14:val="standardContextual"/>
            </w:rPr>
          </w:pPr>
          <w:hyperlink w:anchor="_Toc161824962" w:history="1">
            <w:r w:rsidRPr="003D2E34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IV.</w:t>
            </w:r>
            <w:r w:rsidRPr="003D2E34">
              <w:rPr>
                <w:rFonts w:ascii="Calibri" w:eastAsiaTheme="minorEastAsia" w:hAnsi="Calibri" w:cs="Calibri"/>
                <w:noProof/>
                <w:kern w:val="2"/>
                <w:sz w:val="24"/>
                <w:szCs w:val="24"/>
                <w:lang w:val="pl-PL" w:eastAsia="pl-PL"/>
                <w14:ligatures w14:val="standardContextual"/>
              </w:rPr>
              <w:tab/>
            </w:r>
            <w:r w:rsidRPr="003D2E34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Przykłady możliwych nieprawidłowości w obszarze zamówień</w:t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_Toc161824962 \h </w:instrText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823CE1"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t>18</w:t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1EE4FD" w14:textId="4E2EE1D9" w:rsidR="00160AF3" w:rsidRPr="003D2E34" w:rsidRDefault="00160AF3" w:rsidP="00160AF3">
          <w:pPr>
            <w:pStyle w:val="Spistreci2"/>
            <w:rPr>
              <w:rFonts w:ascii="Calibri" w:eastAsiaTheme="minorEastAsia" w:hAnsi="Calibri" w:cs="Calibri"/>
              <w:noProof/>
              <w:kern w:val="2"/>
              <w:sz w:val="24"/>
              <w:szCs w:val="24"/>
              <w:lang w:val="pl-PL" w:eastAsia="pl-PL"/>
              <w14:ligatures w14:val="standardContextual"/>
            </w:rPr>
          </w:pPr>
          <w:hyperlink w:anchor="_Toc161824963" w:history="1">
            <w:r w:rsidRPr="003D2E34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V.</w:t>
            </w:r>
            <w:r w:rsidRPr="003D2E34">
              <w:rPr>
                <w:rFonts w:ascii="Calibri" w:eastAsiaTheme="minorEastAsia" w:hAnsi="Calibri" w:cs="Calibri"/>
                <w:noProof/>
                <w:kern w:val="2"/>
                <w:sz w:val="24"/>
                <w:szCs w:val="24"/>
                <w:lang w:val="pl-PL" w:eastAsia="pl-PL"/>
                <w14:ligatures w14:val="standardContextual"/>
              </w:rPr>
              <w:tab/>
            </w:r>
            <w:r w:rsidRPr="003D2E34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Zestawienie regulacji w zakresie zasady konkurencyjności w odniesieniu do konieczności stosowania przez zamawiającego określonej ścieżki postępowania</w:t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_Toc161824963 \h </w:instrText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823CE1"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t>21</w:t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8ECA68" w14:textId="5C43811F" w:rsidR="00722124" w:rsidRPr="003D2E34" w:rsidRDefault="00722124" w:rsidP="005052BA">
          <w:pPr>
            <w:spacing w:before="120" w:after="120" w:line="360" w:lineRule="auto"/>
            <w:contextualSpacing/>
            <w:rPr>
              <w:rFonts w:ascii="Calibri" w:hAnsi="Calibri" w:cs="Calibri"/>
              <w:iCs/>
              <w:sz w:val="24"/>
              <w:szCs w:val="24"/>
            </w:rPr>
          </w:pPr>
          <w:r w:rsidRPr="003D2E34">
            <w:rPr>
              <w:rFonts w:ascii="Calibri" w:hAnsi="Calibri" w:cs="Calibri"/>
              <w:b/>
              <w:bCs/>
              <w:iCs/>
              <w:color w:val="2B579A"/>
              <w:sz w:val="24"/>
              <w:szCs w:val="24"/>
              <w:shd w:val="clear" w:color="auto" w:fill="E6E6E6"/>
            </w:rPr>
            <w:fldChar w:fldCharType="end"/>
          </w:r>
        </w:p>
      </w:sdtContent>
    </w:sdt>
    <w:p w14:paraId="365AB435" w14:textId="7F79EA23" w:rsidR="00A6683C" w:rsidRPr="003D2E34" w:rsidRDefault="00A6683C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  <w:r w:rsidRPr="003D2E34">
        <w:rPr>
          <w:rFonts w:ascii="Calibri" w:hAnsi="Calibri" w:cs="Calibri"/>
          <w:b/>
          <w:iCs/>
          <w:sz w:val="24"/>
          <w:szCs w:val="24"/>
          <w:lang w:val="pl-PL"/>
        </w:rPr>
        <w:br w:type="page"/>
      </w:r>
    </w:p>
    <w:p w14:paraId="677F43A3" w14:textId="681BDD25" w:rsidR="00D24E7A" w:rsidRPr="003D2E34" w:rsidRDefault="00D24E7A" w:rsidP="005052BA">
      <w:pPr>
        <w:pStyle w:val="Nagwek2"/>
        <w:numPr>
          <w:ilvl w:val="0"/>
          <w:numId w:val="23"/>
        </w:numPr>
        <w:spacing w:before="120" w:after="120" w:line="360" w:lineRule="auto"/>
        <w:contextualSpacing/>
        <w:rPr>
          <w:rFonts w:ascii="Calibri" w:hAnsi="Calibri" w:cs="Calibri"/>
          <w:color w:val="auto"/>
        </w:rPr>
      </w:pPr>
      <w:bookmarkStart w:id="4" w:name="_Toc161824959"/>
      <w:bookmarkEnd w:id="3"/>
      <w:r w:rsidRPr="003D2E34">
        <w:rPr>
          <w:rFonts w:ascii="Calibri" w:hAnsi="Calibri" w:cs="Calibri"/>
          <w:color w:val="auto"/>
        </w:rPr>
        <w:lastRenderedPageBreak/>
        <w:t xml:space="preserve">Zamówienia udzielane w ramach </w:t>
      </w:r>
      <w:r w:rsidR="00D41CD7" w:rsidRPr="003D2E34">
        <w:rPr>
          <w:rFonts w:ascii="Calibri" w:hAnsi="Calibri" w:cs="Calibri"/>
          <w:color w:val="auto"/>
        </w:rPr>
        <w:t>Przedsięwzięć</w:t>
      </w:r>
      <w:bookmarkEnd w:id="4"/>
    </w:p>
    <w:p w14:paraId="19D8C8AB" w14:textId="308033FB" w:rsidR="005C1397" w:rsidRPr="003D2E34" w:rsidRDefault="60FF2F5B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Ostateczny odbiorca wsparcia (dalej jako: “OOW”)</w:t>
      </w:r>
      <w:r w:rsidR="0008548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/ </w:t>
      </w:r>
      <w:r w:rsidR="00897C8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08548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Partner / </w:t>
      </w:r>
      <w:r w:rsidR="00897C8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08548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Podmiot upoważniony do ponoszenia wydatków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69170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jest zobowiązany do</w:t>
      </w:r>
      <w:r w:rsidR="005C13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:</w:t>
      </w:r>
    </w:p>
    <w:p w14:paraId="0C899948" w14:textId="1263E437" w:rsidR="005C1397" w:rsidRPr="003D2E34" w:rsidRDefault="005C1397" w:rsidP="00460B0C">
      <w:pPr>
        <w:pStyle w:val="Akapitzlist"/>
        <w:numPr>
          <w:ilvl w:val="1"/>
          <w:numId w:val="1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CE5A4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</w:t>
      </w:r>
      <w:r w:rsidR="0069170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tosowania</w:t>
      </w:r>
      <w:r w:rsidR="00CE5A4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60AECB30" w:rsidRPr="003D2E34">
        <w:rPr>
          <w:rFonts w:ascii="Calibri" w:hAnsi="Calibri" w:cs="Calibri"/>
          <w:iCs/>
          <w:sz w:val="24"/>
          <w:szCs w:val="24"/>
        </w:rPr>
        <w:t>Ustawy z dnia 11 września 2019 r. - Prawo zamówień publicznych (</w:t>
      </w:r>
      <w:bookmarkStart w:id="5" w:name="_Hlk135807607"/>
      <w:r w:rsidR="60AECB30" w:rsidRPr="003D2E34">
        <w:rPr>
          <w:rFonts w:ascii="Calibri" w:hAnsi="Calibri" w:cs="Calibri"/>
          <w:iCs/>
          <w:sz w:val="24"/>
          <w:szCs w:val="24"/>
        </w:rPr>
        <w:t xml:space="preserve">Dz. U. z 2022 r. poz. 1710 z </w:t>
      </w:r>
      <w:proofErr w:type="spellStart"/>
      <w:r w:rsidR="60AECB30" w:rsidRPr="003D2E34">
        <w:rPr>
          <w:rFonts w:ascii="Calibri" w:hAnsi="Calibri" w:cs="Calibri"/>
          <w:iCs/>
          <w:sz w:val="24"/>
          <w:szCs w:val="24"/>
        </w:rPr>
        <w:t>późn</w:t>
      </w:r>
      <w:proofErr w:type="spellEnd"/>
      <w:r w:rsidR="60AECB30" w:rsidRPr="003D2E34">
        <w:rPr>
          <w:rFonts w:ascii="Calibri" w:hAnsi="Calibri" w:cs="Calibri"/>
          <w:iCs/>
          <w:sz w:val="24"/>
          <w:szCs w:val="24"/>
        </w:rPr>
        <w:t>. zm.)</w:t>
      </w:r>
      <w:r w:rsidR="56952A3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bookmarkEnd w:id="5"/>
      <w:r w:rsidR="00897C8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(</w:t>
      </w:r>
      <w:r w:rsidR="56952A3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dalej</w:t>
      </w:r>
      <w:r w:rsidR="00897C8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jako</w:t>
      </w:r>
      <w:r w:rsidR="56952A3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: “</w:t>
      </w:r>
      <w:r w:rsidR="00B00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="124C615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”</w:t>
      </w:r>
      <w:r w:rsidR="00897C8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)</w:t>
      </w:r>
      <w:r w:rsidR="002D2D7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lub właściwych przepisów prawa powszechnie obowiązującego,</w:t>
      </w:r>
    </w:p>
    <w:p w14:paraId="616A9C4E" w14:textId="569487F0" w:rsidR="00691701" w:rsidRPr="003D2E34" w:rsidRDefault="00691701" w:rsidP="00460B0C">
      <w:pPr>
        <w:pStyle w:val="Akapitzlist"/>
        <w:numPr>
          <w:ilvl w:val="1"/>
          <w:numId w:val="1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lub dla podmiotów nie zobowiązanych do stosowania</w:t>
      </w:r>
      <w:r w:rsidR="00CE5A4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B6794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="005C13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 do stosowania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zasad, określonych w</w:t>
      </w:r>
      <w:r w:rsidR="00CE5A4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niniejszym załączniku</w:t>
      </w:r>
      <w:r w:rsidR="005C13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</w:p>
    <w:p w14:paraId="1F31A721" w14:textId="4D7409D0" w:rsidR="00C24E4D" w:rsidRPr="003D2E34" w:rsidRDefault="00C24E4D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OOW / i Partner / i Podmiot upoważniony do ponoszenia wydatków zobowiązani do stosowania PZP jak i podmioty </w:t>
      </w:r>
      <w:r w:rsidR="00D62C75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niemające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takiego obowiązku dla wydatków o wartości </w:t>
      </w:r>
      <w:r w:rsidRPr="003D2E34">
        <w:rPr>
          <w:rFonts w:ascii="Calibri" w:eastAsia="MS Mincho" w:hAnsi="Calibri" w:cs="Calibri"/>
          <w:b/>
          <w:bCs/>
          <w:iCs/>
          <w:sz w:val="24"/>
          <w:szCs w:val="24"/>
          <w:lang w:eastAsia="ja-JP"/>
        </w:rPr>
        <w:t xml:space="preserve">do </w:t>
      </w:r>
      <w:r w:rsidR="00C30E1D" w:rsidRPr="003D2E34">
        <w:rPr>
          <w:rFonts w:ascii="Calibri" w:eastAsia="MS Mincho" w:hAnsi="Calibri" w:cs="Calibri"/>
          <w:b/>
          <w:bCs/>
          <w:iCs/>
          <w:sz w:val="24"/>
          <w:szCs w:val="24"/>
          <w:lang w:eastAsia="ja-JP"/>
        </w:rPr>
        <w:t xml:space="preserve">80 </w:t>
      </w:r>
      <w:r w:rsidRPr="003D2E34">
        <w:rPr>
          <w:rFonts w:ascii="Calibri" w:eastAsia="MS Mincho" w:hAnsi="Calibri" w:cs="Calibri"/>
          <w:b/>
          <w:bCs/>
          <w:iCs/>
          <w:sz w:val="24"/>
          <w:szCs w:val="24"/>
          <w:lang w:eastAsia="ja-JP"/>
        </w:rPr>
        <w:t>tys. PLN netto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uprawnieni są do stosowania własnych wewnętrznych uregulowań określających zasady dokonywania zakupu towarów, usług oraz robót budowlanych. </w:t>
      </w:r>
    </w:p>
    <w:p w14:paraId="5F1BCA2B" w14:textId="4F0D01A9" w:rsidR="000069FF" w:rsidRPr="003D2E34" w:rsidRDefault="43A6BCCC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OOW</w:t>
      </w:r>
      <w:r w:rsidR="0008548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/</w:t>
      </w:r>
      <w:r w:rsidR="002D2D7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</w:t>
      </w:r>
      <w:r w:rsidR="0008548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Partner / </w:t>
      </w:r>
      <w:r w:rsidR="002D2D7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08548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Podmiot upoważniony do ponoszenia wydatków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3D70842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jest</w:t>
      </w:r>
      <w:r w:rsidR="6C081CD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200D895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zobowiązan</w:t>
      </w:r>
      <w:r w:rsidR="3D70842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y</w:t>
      </w:r>
      <w:r w:rsidR="200D895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do </w:t>
      </w:r>
      <w:r w:rsidR="058F629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przeprowadzenia postępowania</w:t>
      </w:r>
      <w:r w:rsidR="5D8A4A3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58F629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 udzielenie zamówienia o wartości szacunkowej </w:t>
      </w:r>
      <w:r w:rsidR="058F629A" w:rsidRPr="003D2E34">
        <w:rPr>
          <w:rFonts w:ascii="Calibri" w:eastAsia="MS Mincho" w:hAnsi="Calibri" w:cs="Calibri"/>
          <w:b/>
          <w:bCs/>
          <w:iCs/>
          <w:sz w:val="24"/>
          <w:szCs w:val="24"/>
          <w:lang w:eastAsia="ja-JP"/>
        </w:rPr>
        <w:t xml:space="preserve">przekraczającej </w:t>
      </w:r>
      <w:r w:rsidR="00C30E1D" w:rsidRPr="003D2E34">
        <w:rPr>
          <w:rFonts w:ascii="Calibri" w:eastAsia="MS Mincho" w:hAnsi="Calibri" w:cs="Calibri"/>
          <w:b/>
          <w:bCs/>
          <w:iCs/>
          <w:sz w:val="24"/>
          <w:szCs w:val="24"/>
          <w:lang w:eastAsia="ja-JP"/>
        </w:rPr>
        <w:t xml:space="preserve">80 </w:t>
      </w:r>
      <w:r w:rsidR="058F629A" w:rsidRPr="003D2E34">
        <w:rPr>
          <w:rFonts w:ascii="Calibri" w:eastAsia="MS Mincho" w:hAnsi="Calibri" w:cs="Calibri"/>
          <w:b/>
          <w:bCs/>
          <w:iCs/>
          <w:sz w:val="24"/>
          <w:szCs w:val="24"/>
          <w:lang w:eastAsia="ja-JP"/>
        </w:rPr>
        <w:t>tys. PLN netto</w:t>
      </w:r>
      <w:r w:rsidR="058F629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="5D8A4A3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58F629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tj. bez podatku od towarów i usług (VAT) w sposób zapewniający przejrzystość oraz</w:t>
      </w:r>
      <w:r w:rsidR="5D8A4A3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58F629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zachowanie uczciwej konkurencji i równego traktowania wykonawców. Spełnienie</w:t>
      </w:r>
      <w:r w:rsidR="5D8A4A3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58F629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powyższych wymogów następuje w drodze zastosowania </w:t>
      </w:r>
      <w:bookmarkStart w:id="6" w:name="_Hlk131401910"/>
      <w:r w:rsidR="002D2D7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="573C144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bookmarkEnd w:id="6"/>
      <w:r w:rsidR="058F629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albo zasady</w:t>
      </w:r>
      <w:r w:rsidR="5D8A4A3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58F629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konkurencyjności określonej w sekcji </w:t>
      </w:r>
      <w:r w:rsidR="001C538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II.</w:t>
      </w:r>
      <w:r w:rsidR="001B3D3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1C538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„</w:t>
      </w:r>
      <w:r w:rsidR="001B3D3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Zasada konkurencyjności</w:t>
      </w:r>
      <w:r w:rsidR="001C538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”</w:t>
      </w:r>
      <w:r w:rsidR="03B715D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niniejszego Załącznika</w:t>
      </w:r>
      <w:r w:rsidR="1299545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. </w:t>
      </w:r>
    </w:p>
    <w:p w14:paraId="6D97D19D" w14:textId="4E658E4A" w:rsidR="000069FF" w:rsidRPr="003D2E34" w:rsidRDefault="706D660D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Koszty </w:t>
      </w:r>
      <w:r w:rsidR="058F629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w ramach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Przedsięwzięcia</w:t>
      </w:r>
      <w:r w:rsidR="058F629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muszą być</w:t>
      </w:r>
      <w:r w:rsidR="6EAA4E5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58F629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ponoszone w sposób przejrzysty, racjonalny i efektywny. </w:t>
      </w:r>
    </w:p>
    <w:p w14:paraId="1ABA1F5A" w14:textId="70132DF9" w:rsidR="000069FF" w:rsidRPr="003D2E34" w:rsidRDefault="058F629A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przypadku, gdy</w:t>
      </w:r>
      <w:r w:rsidR="6E50AD7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08548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OOW / </w:t>
      </w:r>
      <w:r w:rsidR="00C24E4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08548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Partner / </w:t>
      </w:r>
      <w:r w:rsidR="00C24E4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08548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Podmiot upoważniony do ponoszenia wydatków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jest organem administracji publicznej, może on</w:t>
      </w:r>
      <w:r w:rsidR="683BBCB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powierzać na podstawie art. 5 ust. 2 pkt 1 ustawy z dnia 24 kwietnia 2003 r.</w:t>
      </w:r>
      <w:r w:rsidR="683BBCB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 działalności pożytku publicznego i o wolontariacie </w:t>
      </w:r>
      <w:r w:rsidR="6D07586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(tj. Dz. U. z 2023 r. poz. 571)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realizację zadań publicznych</w:t>
      </w:r>
      <w:r w:rsidR="683BBCB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trybie określonym w tej ustawie. Do powierzenia realizacji zadań publicznych</w:t>
      </w:r>
      <w:r w:rsidR="4086F4A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ww. trybie, procedur</w:t>
      </w:r>
      <w:r w:rsidR="5CCE0A4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y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określo</w:t>
      </w:r>
      <w:r w:rsidR="5CCE0A4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nej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w sekcj</w:t>
      </w:r>
      <w:r w:rsidR="5CCE0A4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</w:t>
      </w:r>
      <w:r w:rsidR="50C0A7C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9E454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II. „Zasada konkurencyjności”</w:t>
      </w:r>
      <w:r w:rsidR="00D0305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9E454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niniejszego Załącznika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nie stosuje się.</w:t>
      </w:r>
    </w:p>
    <w:p w14:paraId="63007E30" w14:textId="03A97AFB" w:rsidR="000069FF" w:rsidRPr="003D2E34" w:rsidRDefault="058F629A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W przypadku, gdy na podstawie obowiązujących przepisów prawa innych niż </w:t>
      </w:r>
      <w:r w:rsidR="00B6794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="728CD51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="573C144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7346396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wyłącza się stosowanie </w:t>
      </w:r>
      <w:r w:rsidR="00B6794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="7346396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, </w:t>
      </w:r>
      <w:r w:rsidR="0008548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OOW / </w:t>
      </w:r>
      <w:r w:rsidR="0075296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08548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Partner /</w:t>
      </w:r>
      <w:r w:rsidR="0075296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</w:t>
      </w:r>
      <w:r w:rsidR="0008548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Podmiot upoważniony do ponoszenia wydatków </w:t>
      </w:r>
      <w:r w:rsidR="00C30E1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będący zamawiającym w rozumieniu PZP </w:t>
      </w:r>
      <w:r w:rsidR="7346396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przeprowadza zamówienie z zastosowaniem tych przepisów. Do przeprowadzenia zamówienia w ww. trybie, </w:t>
      </w:r>
      <w:r w:rsidR="7346396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lastRenderedPageBreak/>
        <w:t>procedur</w:t>
      </w:r>
      <w:r w:rsidR="5CCE0A4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y</w:t>
      </w:r>
      <w:r w:rsidR="7346396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określo</w:t>
      </w:r>
      <w:r w:rsidR="5CCE0A4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nej</w:t>
      </w:r>
      <w:r w:rsidR="7346396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w sek</w:t>
      </w:r>
      <w:r w:rsidR="1E313A5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cj</w:t>
      </w:r>
      <w:r w:rsidR="5CCE0A4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</w:t>
      </w:r>
      <w:r w:rsidR="1E313A5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II.</w:t>
      </w:r>
      <w:r w:rsidR="1E313A5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„Zasada konkurencyjności” </w:t>
      </w:r>
      <w:r w:rsidR="153BA50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niniejszego Załącznika </w:t>
      </w:r>
      <w:r w:rsidR="7346396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nie stosuje </w:t>
      </w:r>
      <w:r w:rsidR="075747E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się</w:t>
      </w:r>
      <w:r w:rsidR="0CDFEDD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</w:p>
    <w:p w14:paraId="578B9910" w14:textId="617C147C" w:rsidR="008A324E" w:rsidRPr="003D2E34" w:rsidRDefault="058F629A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Procedur</w:t>
      </w:r>
      <w:r w:rsidR="5CCE0A4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y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określo</w:t>
      </w:r>
      <w:r w:rsidR="5CCE0A4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nej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w sekcj</w:t>
      </w:r>
      <w:r w:rsidR="5CCE0A4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II. „Zasada konkurencyjności”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nie stosuje się </w:t>
      </w:r>
      <w:r w:rsidR="49AA440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także </w:t>
      </w:r>
      <w:r w:rsidR="736B046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do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</w:t>
      </w:r>
      <w:r w:rsidR="736B046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eń określonych w art. 9-14</w:t>
      </w:r>
      <w:r w:rsidR="00225B3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B6794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="736B046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. </w:t>
      </w:r>
      <w:r w:rsidR="002504D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Zamówienia objęte </w:t>
      </w:r>
      <w:r w:rsidR="0093770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wyłączeniem,</w:t>
      </w:r>
      <w:r w:rsidR="002504D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o którym mowa w zdaniu pierwszym, zostaną przeprowadzone na podstawie wewnętrznych regulacji OOW / i Partnera / i Podmiotu upoważnionego do ponoszenia wydatków. </w:t>
      </w:r>
      <w:r w:rsidR="008A324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</w:p>
    <w:p w14:paraId="1B46A052" w14:textId="27739916" w:rsidR="00A149EC" w:rsidRPr="003D2E34" w:rsidRDefault="058F629A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Możliwe jest niestosowanie procedur</w:t>
      </w:r>
      <w:r w:rsidR="5CCE0A4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y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określon</w:t>
      </w:r>
      <w:r w:rsidR="5CCE0A4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ej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w sekcj</w:t>
      </w:r>
      <w:r w:rsidR="5CCE0A4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</w:t>
      </w:r>
      <w:r w:rsidR="30ADEF0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II</w:t>
      </w:r>
      <w:r w:rsidR="0081201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. 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„Zasada konkurencyjności” </w:t>
      </w:r>
      <w:r w:rsidR="0081201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-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przy</w:t>
      </w:r>
      <w:r w:rsidR="3F6FEA0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udzielaniu zamówień w następujących przypadkach:</w:t>
      </w:r>
      <w:r w:rsidR="008B068D" w:rsidRPr="003D2E34">
        <w:rPr>
          <w:rStyle w:val="Odwoanieprzypisudolnego"/>
          <w:rFonts w:ascii="Calibri" w:eastAsia="MS Mincho" w:hAnsi="Calibri" w:cs="Calibri"/>
          <w:iCs/>
          <w:sz w:val="24"/>
          <w:szCs w:val="24"/>
          <w:lang w:eastAsia="ja-JP"/>
        </w:rPr>
        <w:footnoteReference w:id="2"/>
      </w:r>
    </w:p>
    <w:p w14:paraId="1DA7DD72" w14:textId="736D2FC5" w:rsidR="00812017" w:rsidRPr="003D2E34" w:rsidRDefault="058F629A" w:rsidP="00460B0C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w wyniku prawidłowego zastosowania zasady konkurencyjności </w:t>
      </w:r>
      <w:r w:rsidR="34B1A9F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określonej w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sekcji 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II. „Zasada konkurencyjności”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nie wpłynęła żadna oferta</w:t>
      </w:r>
      <w:r w:rsidR="34B1A9F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lub wpłynęły tylko oferty podlegające</w:t>
      </w:r>
      <w:r w:rsidR="44571C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odrzuceniu</w:t>
      </w:r>
      <w:r w:rsidR="34B1A9F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albo wszyscy wykonawcy zostali wykluczeni z postępowania lub nie</w:t>
      </w:r>
      <w:r w:rsidR="44571C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spełnili warunków udziału w postępowaniu</w:t>
      </w:r>
      <w:r w:rsidR="238C752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 przy czym</w:t>
      </w:r>
      <w:r w:rsidR="3F6FEA0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7ADDBCE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awarcie umowy w sprawie realizacji</w:t>
      </w:r>
      <w:r w:rsidR="44571C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zamówienia z pominięciem zasady konkurencyjności jest możliwe, gdy pierwotne</w:t>
      </w:r>
      <w:r w:rsidR="187F874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warunki zamówienia nie zostały zmienione,</w:t>
      </w:r>
    </w:p>
    <w:p w14:paraId="5AF0B3F2" w14:textId="2AB5DB39" w:rsidR="00D24E7A" w:rsidRPr="003D2E34" w:rsidRDefault="00D24E7A" w:rsidP="00460B0C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zamówienie może być zrealizowane tylko przez jednego wykonawcę z jednego</w:t>
      </w:r>
      <w:r w:rsidR="002E5A1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z następujących powodów:</w:t>
      </w:r>
    </w:p>
    <w:p w14:paraId="1E2F0198" w14:textId="3159A2BC" w:rsidR="00D24E7A" w:rsidRPr="003D2E34" w:rsidRDefault="00D24E7A" w:rsidP="00460B0C">
      <w:pPr>
        <w:pStyle w:val="Akapitzlist"/>
        <w:numPr>
          <w:ilvl w:val="1"/>
          <w:numId w:val="11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brak konkurencji ze względów technicznych o obiektywnym charakterze, </w:t>
      </w:r>
      <w:r w:rsidR="009E230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tzn. istnieje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tylko jeden wykonawca, który jako jedyny może zrealizować</w:t>
      </w:r>
      <w:r w:rsidR="002E5A1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zamówienie</w:t>
      </w:r>
      <w:r w:rsidR="00A254D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 albo</w:t>
      </w:r>
    </w:p>
    <w:p w14:paraId="23CDCE21" w14:textId="35E27059" w:rsidR="001E16B2" w:rsidRPr="003D2E34" w:rsidRDefault="00D24E7A" w:rsidP="00460B0C">
      <w:pPr>
        <w:pStyle w:val="Akapitzlist"/>
        <w:numPr>
          <w:ilvl w:val="1"/>
          <w:numId w:val="11"/>
        </w:numPr>
        <w:spacing w:before="120" w:after="120" w:line="360" w:lineRule="auto"/>
        <w:ind w:left="1560"/>
        <w:rPr>
          <w:rFonts w:ascii="Calibri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przedmiot zamówienia jest objęty ochroną praw wyłącznych, w tym praw</w:t>
      </w:r>
      <w:r w:rsidR="00DC255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własności intelektualnej, tzn. istnieje tylko jeden wykonawca, który ma</w:t>
      </w:r>
      <w:r w:rsidR="00DC255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wyłączne prawo do dysponowania przedmiotem zamówienia, a prawo to</w:t>
      </w:r>
      <w:r w:rsidR="00DC255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podlega ochronie </w:t>
      </w:r>
      <w:r w:rsidR="009E230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ustawowej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, </w:t>
      </w:r>
    </w:p>
    <w:p w14:paraId="39046CD6" w14:textId="350F376B" w:rsidR="00D24E7A" w:rsidRPr="003D2E34" w:rsidRDefault="00D24E7A" w:rsidP="00875CA1">
      <w:pPr>
        <w:spacing w:before="120" w:after="120" w:line="360" w:lineRule="auto"/>
        <w:ind w:left="1004"/>
        <w:contextualSpacing/>
        <w:rPr>
          <w:rFonts w:ascii="Calibri" w:hAnsi="Calibri" w:cs="Calibri"/>
          <w:iCs/>
          <w:sz w:val="24"/>
          <w:szCs w:val="24"/>
          <w:lang w:val="pl-PL"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o ile nie istnieje rozwiązanie alternatywne lub</w:t>
      </w:r>
      <w:r w:rsidR="00543235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zastępcze</w:t>
      </w:r>
      <w:r w:rsidR="009E230B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a brak konkurencji nie jest wynikiem sztucznego zawężania</w:t>
      </w:r>
      <w:r w:rsidR="00543235" w:rsidRPr="003D2E34">
        <w:rPr>
          <w:rFonts w:ascii="Calibri" w:hAnsi="Calibri" w:cs="Calibri"/>
          <w:iCs/>
          <w:sz w:val="24"/>
          <w:szCs w:val="24"/>
          <w:lang w:val="pl-PL" w:eastAsia="ja-JP"/>
        </w:rPr>
        <w:t xml:space="preserve"> </w:t>
      </w:r>
      <w:r w:rsidRPr="003D2E34">
        <w:rPr>
          <w:rFonts w:ascii="Calibri" w:hAnsi="Calibri" w:cs="Calibri"/>
          <w:iCs/>
          <w:sz w:val="24"/>
          <w:szCs w:val="24"/>
          <w:lang w:val="pl-PL" w:eastAsia="ja-JP"/>
        </w:rPr>
        <w:t>parametrów zamówienia,</w:t>
      </w:r>
    </w:p>
    <w:p w14:paraId="33BC75A6" w14:textId="377FCBEC" w:rsidR="000069FF" w:rsidRPr="003D2E34" w:rsidRDefault="00D24E7A" w:rsidP="00875CA1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przypadku zamówień</w:t>
      </w:r>
      <w:r w:rsidR="00C1357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="009E230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do których ma zastosowanie zasada konkurencyjności</w:t>
      </w:r>
      <w:r w:rsidR="009E230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B6294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ze względu na pilną potrzebę (konieczność) udzielenia zamówienia</w:t>
      </w:r>
      <w:r w:rsidR="00DC255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niewynikającą z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lastRenderedPageBreak/>
        <w:t>przyczyn leżących po stronie zamawiającego, której wcześniej</w:t>
      </w:r>
      <w:r w:rsidR="00C364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nie można było przewidzieć, nie można zachować terminów określonych w sekcji</w:t>
      </w:r>
      <w:r w:rsidR="009E230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II. p</w:t>
      </w:r>
      <w:r w:rsidR="009E230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kt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="009E230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1</w:t>
      </w:r>
      <w:r w:rsidR="00543235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1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="00C364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</w:p>
    <w:p w14:paraId="03CBF754" w14:textId="63EDDB02" w:rsidR="000069FF" w:rsidRPr="003D2E34" w:rsidRDefault="00D24E7A" w:rsidP="00875CA1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przypadku zamówień</w:t>
      </w:r>
      <w:r w:rsidR="001A6C6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="00C364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do których ma zastosowanie zasada konkurencyjności,</w:t>
      </w:r>
      <w:r w:rsidR="00620FB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ze względu na wyjątkową sytuację niewynikającą z przyczyn leżących po stronie zamawiającego, której wcześniej nie moż</w:t>
      </w:r>
      <w:r w:rsidR="0028595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na było przewidzieć (np. klęski </w:t>
      </w:r>
      <w:r w:rsidR="00620FB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żywiołowe, katastrofy, awarie), wymagane jest natychmiastowe wykonanie</w:t>
      </w:r>
      <w:r w:rsidR="0028595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620FB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zamówienia i nie można zachować terminów określonych w sekcji 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II</w:t>
      </w:r>
      <w:r w:rsidR="003862D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 pkt</w:t>
      </w:r>
      <w:r w:rsidR="0028595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="003862D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1</w:t>
      </w:r>
      <w:r w:rsidR="00543235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1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="003862D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, </w:t>
      </w:r>
    </w:p>
    <w:p w14:paraId="753FC0A0" w14:textId="0B8E711A" w:rsidR="000069FF" w:rsidRPr="003D2E34" w:rsidRDefault="00D24E7A" w:rsidP="00875CA1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zamawiający udziela wykonawcy wybranemu zgodnie z zasadą konkurencyjności</w:t>
      </w:r>
      <w:r w:rsidR="0083678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zamówień na dodatkowe dostawy, polegających na częściowej wymianie</w:t>
      </w:r>
      <w:r w:rsidR="00C364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dostarczonych produktów lub instalacji albo zwiększeniu bieżących dostaw lub</w:t>
      </w:r>
      <w:r w:rsidR="00C364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rozbudowie istniejących instalacji, a zmiana wykonawcy prowadziłaby do nabycia</w:t>
      </w:r>
      <w:r w:rsidR="00C364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materiałów o innych właściwościach technicznych, co powodowałoby</w:t>
      </w:r>
      <w:r w:rsidR="00C364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niekompatybilność techniczną lub nieproporcjonalnie duże trudności techniczne</w:t>
      </w:r>
      <w:r w:rsidR="0083678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użytkowaniu i utrzymaniu tych produktów lub instalacji. Czas trwania umowy</w:t>
      </w:r>
      <w:r w:rsidR="00C364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sprawie zamówienia na dostawy dodatkowe nie może przekraczać 3 lat,</w:t>
      </w:r>
    </w:p>
    <w:p w14:paraId="647E3210" w14:textId="77F37439" w:rsidR="000069FF" w:rsidRPr="003D2E34" w:rsidRDefault="00D24E7A" w:rsidP="00875CA1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zamawiający udziela wykonawcy wybranemu zgodnie z zasadą</w:t>
      </w:r>
      <w:r w:rsidR="00C364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konkurencyjności</w:t>
      </w:r>
      <w:r w:rsidR="00C364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proofErr w:type="gramStart"/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</w:t>
      </w:r>
      <w:r w:rsidR="00C364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okresie</w:t>
      </w:r>
      <w:proofErr w:type="gramEnd"/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3 lat od dnia udzielenia zamówienia podstawowego,</w:t>
      </w:r>
      <w:r w:rsidR="003F3B4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przewidzianych w zapytaniu ofertowym zamówień na usługi, polegających na powtórzeniu podobnych usług</w:t>
      </w:r>
      <w:r w:rsidR="0054153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do wysokości wartości pierwotnego zamówienia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</w:p>
    <w:p w14:paraId="5637A761" w14:textId="77777777" w:rsidR="000069FF" w:rsidRPr="003D2E34" w:rsidRDefault="00D24E7A" w:rsidP="00875CA1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przedmiotem zamówienia są dostawy na szczególnie korzystnych </w:t>
      </w:r>
      <w:r w:rsidR="00A975F5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warunkach w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związku z likwidacją działalności innego podmiotu, </w:t>
      </w:r>
      <w:r w:rsidR="00A975F5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postępowaniem egzekucyjnym</w:t>
      </w:r>
      <w:r w:rsidR="000069F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albo upadłościowym,</w:t>
      </w:r>
    </w:p>
    <w:p w14:paraId="41C637C1" w14:textId="14222F8E" w:rsidR="00957265" w:rsidRPr="003D2E34" w:rsidRDefault="00D24E7A" w:rsidP="00875CA1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zamówienie na dostawy jest dokonywane na giełdzie towarowej w rozumieniu</w:t>
      </w:r>
      <w:r w:rsidR="00C364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przepisów o giełdach towarowych, w tym na giełdzie towarowej innych państw</w:t>
      </w:r>
      <w:r w:rsidR="00C364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członkowskich Europejskiego Obszaru Gospodarczego</w:t>
      </w:r>
      <w:r w:rsidR="00DE113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. </w:t>
      </w:r>
    </w:p>
    <w:p w14:paraId="3E876AF0" w14:textId="35260373" w:rsidR="00D24E7A" w:rsidRPr="003D2E34" w:rsidRDefault="00D24E7A" w:rsidP="00875CA1">
      <w:pPr>
        <w:spacing w:before="120" w:after="120" w:line="360" w:lineRule="auto"/>
        <w:contextualSpacing/>
        <w:rPr>
          <w:rFonts w:ascii="Calibri" w:eastAsia="MS Mincho" w:hAnsi="Calibri" w:cs="Calibri"/>
          <w:iCs/>
          <w:sz w:val="24"/>
          <w:szCs w:val="24"/>
          <w:lang w:val="pl-PL"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W przypadku</w:t>
      </w:r>
      <w:r w:rsidR="00C3645A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</w:t>
      </w:r>
      <w:r w:rsidR="003359BB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OOW / </w:t>
      </w:r>
      <w:r w:rsidR="00C13579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i </w:t>
      </w:r>
      <w:r w:rsidR="003359BB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Partnera / </w:t>
      </w:r>
      <w:r w:rsidR="00C13579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i </w:t>
      </w:r>
      <w:r w:rsidR="003359BB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Podmiotu upoważnionego do ponoszenia wydatków</w:t>
      </w:r>
      <w:r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, któr</w:t>
      </w:r>
      <w:r w:rsidR="006740F1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y</w:t>
      </w:r>
      <w:r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nie</w:t>
      </w:r>
      <w:r w:rsidR="006740F1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jest zamawiającym w rozumieniu </w:t>
      </w:r>
      <w:r w:rsidR="00C13579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PZP</w:t>
      </w:r>
      <w:r w:rsidR="00695BBC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zamówienia o wartości szacunkowej </w:t>
      </w:r>
      <w:r w:rsidRPr="003D2E34">
        <w:rPr>
          <w:rFonts w:ascii="Calibri" w:eastAsia="MS Mincho" w:hAnsi="Calibri" w:cs="Calibri"/>
          <w:b/>
          <w:bCs/>
          <w:iCs/>
          <w:sz w:val="24"/>
          <w:szCs w:val="24"/>
          <w:lang w:val="pl-PL" w:eastAsia="ja-JP"/>
        </w:rPr>
        <w:t xml:space="preserve">przekraczającej </w:t>
      </w:r>
      <w:r w:rsidR="00C30E1D" w:rsidRPr="003D2E34">
        <w:rPr>
          <w:rFonts w:ascii="Calibri" w:eastAsia="MS Mincho" w:hAnsi="Calibri" w:cs="Calibri"/>
          <w:b/>
          <w:bCs/>
          <w:iCs/>
          <w:sz w:val="24"/>
          <w:szCs w:val="24"/>
          <w:lang w:val="pl-PL" w:eastAsia="ja-JP"/>
        </w:rPr>
        <w:t xml:space="preserve">80 </w:t>
      </w:r>
      <w:r w:rsidRPr="003D2E34">
        <w:rPr>
          <w:rFonts w:ascii="Calibri" w:eastAsia="MS Mincho" w:hAnsi="Calibri" w:cs="Calibri"/>
          <w:b/>
          <w:bCs/>
          <w:iCs/>
          <w:sz w:val="24"/>
          <w:szCs w:val="24"/>
          <w:lang w:val="pl-PL" w:eastAsia="ja-JP"/>
        </w:rPr>
        <w:t>tys. PLN netto</w:t>
      </w:r>
      <w:r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, o których</w:t>
      </w:r>
      <w:r w:rsidR="00323634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mowa w </w:t>
      </w:r>
      <w:r w:rsidR="00F5705E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ppkt.</w:t>
      </w:r>
      <w:r w:rsidR="00C3645A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</w:t>
      </w:r>
      <w:r w:rsidR="00F5705E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1) - 4)</w:t>
      </w:r>
      <w:r w:rsidR="00323634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lub </w:t>
      </w:r>
      <w:r w:rsidR="00F5705E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7) - 8)</w:t>
      </w:r>
      <w:r w:rsidR="00DE113B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nie mogą być udzielane podmiotom powiązanym z nim</w:t>
      </w:r>
      <w:r w:rsidR="00217922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</w:t>
      </w:r>
      <w:r w:rsidR="00DE113B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osobowo</w:t>
      </w:r>
      <w:r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lub kapitałowo w s</w:t>
      </w:r>
      <w:r w:rsidR="00957265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posób określony w pkt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. </w:t>
      </w:r>
      <w:r w:rsidR="00957265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3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.</w:t>
      </w:r>
      <w:r w:rsidR="00957265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sekcji 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I.</w:t>
      </w:r>
      <w:r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bez zgody</w:t>
      </w:r>
      <w:r w:rsidR="00217922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</w:t>
      </w:r>
      <w:r w:rsidR="00554259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JW.</w:t>
      </w:r>
    </w:p>
    <w:p w14:paraId="7645F945" w14:textId="77777777" w:rsidR="00F5705E" w:rsidRPr="003D2E34" w:rsidRDefault="00541534" w:rsidP="00875CA1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lastRenderedPageBreak/>
        <w:t>W przypadku</w:t>
      </w:r>
      <w:r w:rsidR="1088EB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gdy </w:t>
      </w:r>
      <w:r w:rsidR="003359B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OOW /</w:t>
      </w:r>
      <w:r w:rsidR="00F5705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</w:t>
      </w:r>
      <w:r w:rsidR="003359B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Partner /</w:t>
      </w:r>
      <w:r w:rsidR="00F5705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</w:t>
      </w:r>
      <w:r w:rsidR="003359B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Podmiot upoważnion</w:t>
      </w:r>
      <w:r w:rsidR="009C5AC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y</w:t>
      </w:r>
      <w:r w:rsidR="003359B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do ponoszenia wydatków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jest </w:t>
      </w:r>
      <w:r w:rsidR="003607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zamawiającym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w rozumieniu przepisów </w:t>
      </w:r>
      <w:r w:rsidR="00F5705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 m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ożliwe jest niestosowanie procedur określonych w niniejsz</w:t>
      </w:r>
      <w:r w:rsidR="00A01AC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ej sekcji</w:t>
      </w:r>
      <w:r w:rsidR="0021792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w przypadkach określonych w art. 214 ust. 1 </w:t>
      </w:r>
      <w:r w:rsidR="0023044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</w:p>
    <w:p w14:paraId="08F74E05" w14:textId="33E50B1D" w:rsidR="00F5705E" w:rsidRPr="003D2E34" w:rsidRDefault="00D24E7A" w:rsidP="00875CA1">
      <w:pPr>
        <w:pStyle w:val="Akapitzlist"/>
        <w:numPr>
          <w:ilvl w:val="0"/>
          <w:numId w:val="1"/>
        </w:numPr>
        <w:spacing w:before="120" w:after="120" w:line="360" w:lineRule="auto"/>
        <w:ind w:left="426" w:hanging="426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Spełnienie przesłanek z pkt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9C5AC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8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 i</w:t>
      </w:r>
      <w:r w:rsidR="009C5AC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9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musi być pisemnie uzasadnione</w:t>
      </w:r>
      <w:r w:rsidR="0068438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="00F5705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68438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Do</w:t>
      </w:r>
      <w:r w:rsidR="0054153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uzasadnienia mus</w:t>
      </w:r>
      <w:r w:rsidR="0068438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zą </w:t>
      </w:r>
      <w:r w:rsidR="0054153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być załączone dowody </w:t>
      </w:r>
      <w:r w:rsidR="0068438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uzasadniające</w:t>
      </w:r>
      <w:r w:rsidR="00F5705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54153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twierdze</w:t>
      </w:r>
      <w:r w:rsidR="00105365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nia</w:t>
      </w:r>
      <w:r w:rsidR="0054153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3607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zamawiającego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</w:p>
    <w:p w14:paraId="15469087" w14:textId="74E829A7" w:rsidR="00D24E7A" w:rsidRPr="003D2E34" w:rsidRDefault="00D24E7A" w:rsidP="00875CA1">
      <w:pPr>
        <w:pStyle w:val="Akapitzlist"/>
        <w:numPr>
          <w:ilvl w:val="0"/>
          <w:numId w:val="1"/>
        </w:numPr>
        <w:spacing w:before="120" w:after="120" w:line="360" w:lineRule="auto"/>
        <w:ind w:left="426" w:hanging="426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Podstawą ustalenia wartości zamówienia w ramach</w:t>
      </w:r>
      <w:r w:rsidR="00CC69A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Przedsięwzięcia</w:t>
      </w:r>
      <w:r w:rsidR="0021792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jest </w:t>
      </w:r>
      <w:r w:rsidR="00A01AC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całkowite szacunkowe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wynagrodzenie wykonawcy netto, tj. bez podatku od towarów i usług</w:t>
      </w:r>
      <w:r w:rsidR="0021792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(VAT), ustalone z należytą starannością, z uwzględnieniem ewentualnych</w:t>
      </w:r>
      <w:r w:rsidR="0021792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zamówień, o których mowa w pkt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F5705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8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="00F5705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ppkt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. </w:t>
      </w:r>
      <w:r w:rsidR="00F5705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6)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. </w:t>
      </w:r>
      <w:r w:rsidR="0054153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Brak uwzględnienia zamówień dodatkowych uniemożliwia skorzystanie z zamówień dodatkowych.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Szacowanie jest dokumentowane w sposób</w:t>
      </w:r>
      <w:r w:rsidR="0021792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zapewniający właściwą ścieżkę audytu (np. w zatwierdzonym </w:t>
      </w:r>
      <w:r w:rsidR="0026320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wniosku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26320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 objęcie Przedsięwzięcia wsparciem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lub w notatce z szacowania).</w:t>
      </w:r>
      <w:r w:rsidR="00E6301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523B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Określenie szacunkowej wartości zamówienia musi </w:t>
      </w:r>
      <w:r w:rsidR="0051146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się </w:t>
      </w:r>
      <w:r w:rsidR="00D523B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odbyć z zachowaniem należytej staranności</w:t>
      </w:r>
      <w:r w:rsidR="6B50090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 </w:t>
      </w:r>
      <w:r w:rsidR="3E1D2DD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m</w:t>
      </w:r>
      <w:r w:rsidR="00D523B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usi objąć cały przedmiot zamówienia.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Zabronione jest </w:t>
      </w:r>
      <w:r w:rsidR="00D523B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zawyżanie oraz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zaniżanie wartości szacunkowej zamówienia lub jego podział</w:t>
      </w:r>
      <w:r w:rsidR="00E6301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skutkujący zaniżeniem jego wartości szacunkowej, przy czym ustalając wartość</w:t>
      </w:r>
      <w:r w:rsidR="00E6301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zamówienia</w:t>
      </w:r>
      <w:r w:rsidR="003A7B9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lub przy ewentualnym sumowaniu odrębnych zamówień</w:t>
      </w:r>
      <w:r w:rsidR="00BA481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należy wziąć pod uwagę konieczność łącznego spełnienia trzech</w:t>
      </w:r>
      <w:r w:rsidR="00E6301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przesłanek (tożsamości):</w:t>
      </w:r>
      <w:r w:rsidR="00BA4810" w:rsidRPr="003D2E34">
        <w:rPr>
          <w:rStyle w:val="Odwoanieprzypisudolnego"/>
          <w:rFonts w:ascii="Calibri" w:eastAsia="MS Mincho" w:hAnsi="Calibri" w:cs="Calibri"/>
          <w:iCs/>
          <w:sz w:val="24"/>
          <w:szCs w:val="24"/>
          <w:lang w:eastAsia="ja-JP"/>
        </w:rPr>
        <w:footnoteReference w:id="3"/>
      </w:r>
    </w:p>
    <w:p w14:paraId="315A6906" w14:textId="77777777" w:rsidR="000069FF" w:rsidRPr="003D2E34" w:rsidRDefault="00D24E7A" w:rsidP="00875CA1">
      <w:pPr>
        <w:pStyle w:val="Akapitzlist"/>
        <w:numPr>
          <w:ilvl w:val="0"/>
          <w:numId w:val="9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usługi</w:t>
      </w:r>
      <w:r w:rsidR="006B705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oraz</w:t>
      </w:r>
      <w:r w:rsidR="00E6301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dostawy są tożsame rodzajowo lub funkcjonalnie</w:t>
      </w:r>
      <w:r w:rsidR="006B705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(tożsamość przedmiotowa),</w:t>
      </w:r>
    </w:p>
    <w:p w14:paraId="014221FD" w14:textId="77777777" w:rsidR="003A36EC" w:rsidRPr="003D2E34" w:rsidRDefault="00D24E7A" w:rsidP="00875CA1">
      <w:pPr>
        <w:pStyle w:val="Akapitzlist"/>
        <w:numPr>
          <w:ilvl w:val="0"/>
          <w:numId w:val="9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możliwe jest udzielenie zamówienia w tym samym czasie (tożsamość czasowa),</w:t>
      </w:r>
      <w:r w:rsidR="00BA4810" w:rsidRPr="003D2E34">
        <w:rPr>
          <w:rStyle w:val="Odwoanieprzypisudolnego"/>
          <w:rFonts w:ascii="Calibri" w:eastAsia="MS Mincho" w:hAnsi="Calibri" w:cs="Calibri"/>
          <w:iCs/>
          <w:sz w:val="24"/>
          <w:szCs w:val="24"/>
          <w:lang w:eastAsia="ja-JP"/>
        </w:rPr>
        <w:footnoteReference w:id="4"/>
      </w:r>
    </w:p>
    <w:p w14:paraId="677D1002" w14:textId="162AC131" w:rsidR="0056799E" w:rsidRPr="003D2E34" w:rsidRDefault="00D24E7A" w:rsidP="00875CA1">
      <w:pPr>
        <w:pStyle w:val="Akapitzlist"/>
        <w:numPr>
          <w:ilvl w:val="0"/>
          <w:numId w:val="9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możliwe jest wykonanie zamówienia przez jednego wykonawcę (tożsamość</w:t>
      </w:r>
      <w:r w:rsidR="00E6301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podmiotowa).</w:t>
      </w:r>
    </w:p>
    <w:p w14:paraId="22F32F1C" w14:textId="77777777" w:rsidR="00EF35D4" w:rsidRPr="003D2E34" w:rsidRDefault="00D24E7A" w:rsidP="00875CA1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przypadku udzielania zamówienia w częściach (z określonych względów</w:t>
      </w:r>
      <w:r w:rsidR="00FC118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ekonomicznych, organizacyjnych, celowościowych), wartość zamówienia ustala się</w:t>
      </w:r>
      <w:r w:rsidR="00FC118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jako łączną wartość poszczególnych jego części</w:t>
      </w:r>
      <w:r w:rsidR="00F84F7A" w:rsidRPr="003D2E34">
        <w:rPr>
          <w:rStyle w:val="Odwoanieprzypisudolnego"/>
          <w:rFonts w:ascii="Calibri" w:eastAsia="MS Mincho" w:hAnsi="Calibri" w:cs="Calibri"/>
          <w:iCs/>
          <w:sz w:val="24"/>
          <w:szCs w:val="24"/>
          <w:lang w:eastAsia="ja-JP"/>
        </w:rPr>
        <w:footnoteReference w:id="5"/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</w:p>
    <w:p w14:paraId="665FDADE" w14:textId="5DC4C18B" w:rsidR="00EF35D4" w:rsidRPr="003D2E34" w:rsidRDefault="0065086E" w:rsidP="00875CA1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lastRenderedPageBreak/>
        <w:t xml:space="preserve">Podmioty będące </w:t>
      </w:r>
      <w:r w:rsidR="003607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zamawiającymi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w rozumieniu </w:t>
      </w:r>
      <w:r w:rsidR="00E4142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PZP </w:t>
      </w:r>
      <w:r w:rsidR="000521A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a także podmioty nie będące zamawiającymi w rozumieniu </w:t>
      </w:r>
      <w:r w:rsidR="00E4142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="000521A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,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w pierwszej kolejności dokonują szacowania wartości zamówienia zgodnie z przepisami tej ustawy. Po stwierdzeniu, że szacunkowa wartość zamówienia ustalona na podstawie </w:t>
      </w:r>
      <w:r w:rsidR="00E4142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PZP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nie przekracza wartości, od której istnieje obowiązek stosowania </w:t>
      </w:r>
      <w:r w:rsidR="00E4142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, podmioty </w:t>
      </w:r>
      <w:r w:rsidR="000521A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te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zobowiązane są stosować zasady konkurencyjności</w:t>
      </w:r>
      <w:r w:rsidR="00543235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do zamówień których wartość szacunkowa przekracza </w:t>
      </w:r>
      <w:r w:rsidR="00C30E1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80 </w:t>
      </w:r>
      <w:r w:rsidR="000521A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tys. PLN netto, tj. bez podatku od towarów i usług (VAT). </w:t>
      </w:r>
    </w:p>
    <w:p w14:paraId="246EFE22" w14:textId="62257A96" w:rsidR="000521A3" w:rsidRPr="003D2E34" w:rsidRDefault="00D24E7A" w:rsidP="00875CA1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przypadku naruszenia przez</w:t>
      </w:r>
      <w:r w:rsidR="006221C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56799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OOW /</w:t>
      </w:r>
      <w:r w:rsidR="0089039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</w:t>
      </w:r>
      <w:r w:rsidR="0056799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Partnera /</w:t>
      </w:r>
      <w:r w:rsidR="0089039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</w:t>
      </w:r>
      <w:r w:rsidR="0056799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Podmiot upoważnion</w:t>
      </w:r>
      <w:r w:rsidR="00F379E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y</w:t>
      </w:r>
      <w:r w:rsidR="0056799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do ponoszenia wydatków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warunków i procedur postępowania</w:t>
      </w:r>
      <w:r w:rsidR="008A54A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 udzielenie zamówienia</w:t>
      </w:r>
      <w:r w:rsidR="000069F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="00492BA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2548A5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JW</w:t>
      </w:r>
      <w:r w:rsidR="008A54A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uznaje całość</w:t>
      </w:r>
      <w:r w:rsidR="008A54A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lub część </w:t>
      </w:r>
      <w:r w:rsidR="005011D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kosztów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związanych z tym zamówieniem za niekwalifikowalne</w:t>
      </w:r>
      <w:r w:rsidR="003112C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w zależności od skali naruszenia. </w:t>
      </w:r>
    </w:p>
    <w:p w14:paraId="64875C6E" w14:textId="7DCEFBA8" w:rsidR="00874A7D" w:rsidRPr="003D2E34" w:rsidRDefault="00874A7D" w:rsidP="00875CA1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Do zamówień udzielanych w ramach Przedsięwzięcia zastosowanie ma z</w:t>
      </w:r>
      <w:r w:rsidR="00EB4B8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ałącznik </w:t>
      </w:r>
      <w:r w:rsidR="00FD1FF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„</w:t>
      </w:r>
      <w:r w:rsidR="0056370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Stawki procentowe korekt finansowych i pomniejszeń dla poszczególnych kategorii nieprawidłowości indywidualnych stosowane w zamówieniach</w:t>
      </w:r>
      <w:r w:rsidR="00FD1FF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”</w:t>
      </w:r>
      <w:r w:rsidR="00F822A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 stanowiących załącznik do Wytycznych dotyczących sposobu korygowania nieprawidłowych wydatków na lata 2021-2027.</w:t>
      </w:r>
    </w:p>
    <w:p w14:paraId="5571DD82" w14:textId="6CE378BA" w:rsidR="00D24E7A" w:rsidRPr="003D2E34" w:rsidRDefault="00D24E7A" w:rsidP="006E373C">
      <w:pPr>
        <w:pStyle w:val="Nagwek2"/>
        <w:numPr>
          <w:ilvl w:val="0"/>
          <w:numId w:val="23"/>
        </w:numPr>
        <w:spacing w:before="120" w:after="120" w:line="360" w:lineRule="auto"/>
        <w:contextualSpacing/>
        <w:rPr>
          <w:rFonts w:ascii="Calibri" w:hAnsi="Calibri" w:cs="Calibri"/>
          <w:color w:val="auto"/>
        </w:rPr>
      </w:pPr>
      <w:bookmarkStart w:id="7" w:name="_Toc161824960"/>
      <w:r w:rsidRPr="003D2E34">
        <w:rPr>
          <w:rFonts w:ascii="Calibri" w:hAnsi="Calibri" w:cs="Calibri"/>
          <w:color w:val="auto"/>
        </w:rPr>
        <w:t>Zasada konkurencyjności</w:t>
      </w:r>
      <w:bookmarkEnd w:id="7"/>
    </w:p>
    <w:p w14:paraId="0C4BAA82" w14:textId="2F8EE7AD" w:rsidR="00D24E7A" w:rsidRPr="003D2E34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Udzielenie zamówienia w ramach </w:t>
      </w:r>
      <w:r w:rsidR="00943D9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Przedsięwzięcia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przez </w:t>
      </w:r>
      <w:r w:rsidR="00F379E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OOW /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</w:t>
      </w:r>
      <w:r w:rsidR="00F379E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Partnera /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</w:t>
      </w:r>
      <w:r w:rsidR="00F379E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Podmiot upoważniony do ponoszenia wydatków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następuje zgodnie</w:t>
      </w:r>
      <w:r w:rsidR="001B4CA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z zasadą konkurencyjności w przypadku:</w:t>
      </w:r>
    </w:p>
    <w:p w14:paraId="32A1DC3A" w14:textId="1C596D37" w:rsidR="006437FB" w:rsidRPr="003D2E34" w:rsidRDefault="00F379E6" w:rsidP="006E373C">
      <w:pPr>
        <w:pStyle w:val="Akapitzlist"/>
        <w:numPr>
          <w:ilvl w:val="0"/>
          <w:numId w:val="4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OOW / 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Partner / 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Podmiot upoważniony do ponoszenia wydatków</w:t>
      </w:r>
      <w:r w:rsidRPr="003D2E34" w:rsidDel="0056799E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niebędąc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y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zamawiającym w rozumieniu </w:t>
      </w:r>
      <w:r w:rsidR="00D3163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PZP 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przypadku</w:t>
      </w:r>
      <w:r w:rsidR="00142BF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zamówień przekraczających wartość </w:t>
      </w:r>
      <w:r w:rsidR="00C30E1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80 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tys. PLN netto, tj. bez podatku od</w:t>
      </w:r>
      <w:r w:rsidR="006E440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towarów i usług (VAT),</w:t>
      </w:r>
    </w:p>
    <w:p w14:paraId="4620676D" w14:textId="4D6A18AC" w:rsidR="00D24E7A" w:rsidRPr="003D2E34" w:rsidRDefault="00F379E6" w:rsidP="006E373C">
      <w:pPr>
        <w:pStyle w:val="Akapitzlist"/>
        <w:numPr>
          <w:ilvl w:val="0"/>
          <w:numId w:val="4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OOW /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Partner /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Podmiot upoważniony do ponoszenia wydatków 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będącego zamawiającym w rozumieniu </w:t>
      </w:r>
      <w:r w:rsidR="00D3163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PZP 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przypadku</w:t>
      </w:r>
      <w:r w:rsidR="006E440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zamówień o wartości niższej niż kwoty określone w art. 2 ust. 1 </w:t>
      </w:r>
      <w:r w:rsidR="00D3163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 a</w:t>
      </w:r>
      <w:r w:rsidR="006E440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jednocześnie przekraczającej </w:t>
      </w:r>
      <w:r w:rsidR="00C30E1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80 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tys. PLN netto, tj. bez podatku od towarów i</w:t>
      </w:r>
      <w:r w:rsidR="006E440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usług (VAT).</w:t>
      </w:r>
    </w:p>
    <w:p w14:paraId="642C9BC9" w14:textId="51D43F3E" w:rsidR="00D24E7A" w:rsidRPr="003D2E34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celu uniknięcia konfliktu interesów:</w:t>
      </w:r>
    </w:p>
    <w:p w14:paraId="3ECD96D2" w14:textId="029FAAED" w:rsidR="001B6AB8" w:rsidRPr="003D2E34" w:rsidRDefault="00D24E7A" w:rsidP="006E373C">
      <w:pPr>
        <w:pStyle w:val="Akapitzlist"/>
        <w:numPr>
          <w:ilvl w:val="1"/>
          <w:numId w:val="5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w przypadku </w:t>
      </w:r>
      <w:r w:rsidR="004B55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OOW / 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4B55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Partnera / 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4B55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Podmiotu upoważnionego do ponoszenia wydatków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, który nie jest zamawiającym w rozumieniu </w:t>
      </w:r>
      <w:r w:rsidR="0095720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="006E440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zamówienia nie mogą być udzielane podmiotom powiązanym z nim osobowo</w:t>
      </w:r>
      <w:r w:rsidR="006E440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lub kapitałowo, z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lastRenderedPageBreak/>
        <w:t>wyłączeniem zamówień sektorowych, zamówień określonych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</w:t>
      </w:r>
      <w:r w:rsidR="00982C4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sekcji</w:t>
      </w:r>
      <w:r w:rsidR="003468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C059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="00982C4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pkt</w:t>
      </w:r>
      <w:r w:rsidR="00142BF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3163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8</w:t>
      </w:r>
      <w:r w:rsidR="00DC059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="00D3163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ppkt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. 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5</w:t>
      </w:r>
      <w:r w:rsidR="00695BB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)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lub 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6</w:t>
      </w:r>
      <w:r w:rsidR="00695BB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)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oraz wyjątkowo w przypadku, w którym umożliwienie podmiotowi powiązanemu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wzięcia udziału w postępowaniu jest uzasadnione ze względu na specyfikę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CB134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Przedsięwzięcia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lub typ</w:t>
      </w:r>
      <w:r w:rsidR="00F0181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4E30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OOW / 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4E30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Partnera /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</w:t>
      </w:r>
      <w:r w:rsidR="004E30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Podmiotu upoważnionego do ponoszenia wydatków</w:t>
      </w:r>
      <w:r w:rsidR="00142BF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a wybór wykonawcy będącego podmiotem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powiązanym będzie dokonany zgodnie z procedurą opisaną w niniejsz</w:t>
      </w:r>
      <w:r w:rsidR="001B59C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ej sekcji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</w:p>
    <w:p w14:paraId="4EC03E59" w14:textId="2D6CB7A2" w:rsidR="00D24E7A" w:rsidRPr="003D2E34" w:rsidRDefault="00D24E7A" w:rsidP="006E373C">
      <w:pPr>
        <w:pStyle w:val="Akapitzlist"/>
        <w:numPr>
          <w:ilvl w:val="2"/>
          <w:numId w:val="5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</w:t>
      </w:r>
      <w:r w:rsidR="00F0181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OI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może wyrazić zgodę na wyłączenie zakazu w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odniesieniu do danego postępowania przed jego przeprowadzeniem,</w:t>
      </w:r>
    </w:p>
    <w:p w14:paraId="33297017" w14:textId="05334ED1" w:rsidR="00D24E7A" w:rsidRPr="003D2E34" w:rsidRDefault="00D24E7A" w:rsidP="006E373C">
      <w:pPr>
        <w:pStyle w:val="Akapitzlist"/>
        <w:numPr>
          <w:ilvl w:val="1"/>
          <w:numId w:val="5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osoby wykonujące w imieniu zamawiającego czynności związane z procedurą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wyboru wykonawcy, w szczególności osoby biorące udział w procesie oceny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ofert, nie mogą być powiązane osobowo lub kapitałowo z wykonawcami, którzy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złożyli oferty. Powinny być to osoby bezstronne i obiektywne.</w:t>
      </w:r>
      <w:r w:rsidR="000521A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W tym celu składają oświadczenie </w:t>
      </w:r>
      <w:r w:rsidR="00D31632" w:rsidRPr="003D2E34">
        <w:rPr>
          <w:rFonts w:ascii="Calibri" w:hAnsi="Calibri" w:cs="Calibri"/>
          <w:iCs/>
          <w:sz w:val="24"/>
          <w:szCs w:val="24"/>
        </w:rPr>
        <w:t>w formie pisemnej lub w formie elektronicznej (w rozumieniu odpowiednio art. 78 i art. 78¹ Kodeksu cywilnego)</w:t>
      </w:r>
      <w:r w:rsidR="00E50CEF" w:rsidRPr="003D2E34">
        <w:rPr>
          <w:rFonts w:ascii="Calibri" w:hAnsi="Calibri" w:cs="Calibri"/>
          <w:iCs/>
          <w:sz w:val="24"/>
          <w:szCs w:val="24"/>
        </w:rPr>
        <w:t xml:space="preserve"> o braku istnienia albo braku wpływu powiązań osobowych lub kapitałowych z wykonawcami na bezstronność postępowania.</w:t>
      </w:r>
    </w:p>
    <w:p w14:paraId="24C6C9EF" w14:textId="30E47698" w:rsidR="00D24E7A" w:rsidRPr="003D2E34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Przez powiązania kapitałowe lub osobowe rozumie się wzajemne powiązania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między </w:t>
      </w:r>
      <w:r w:rsidR="004E30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OOW /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</w:t>
      </w:r>
      <w:r w:rsidR="004E30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Partnerem / 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4E30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Podmiotem upoważnionym do ponoszenia wydatków</w:t>
      </w:r>
      <w:r w:rsidR="004E30B8" w:rsidRPr="003D2E34" w:rsidDel="0056799E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lub osobami upoważnionymi do zaciągania zobowiązań w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imieniu </w:t>
      </w:r>
      <w:r w:rsidR="004E30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OOW /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</w:t>
      </w:r>
      <w:r w:rsidR="004E30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Partnera / 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4E30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Podmiotu upoważnionego do ponoszenia wydatków</w:t>
      </w:r>
      <w:r w:rsidR="7462C16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lub osobami wykonującymi w imieniu </w:t>
      </w:r>
      <w:r w:rsidR="004E30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OOW / 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4E30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Partnera / 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4E30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Podmiotu upoważnionego do ponoszenia wydatków</w:t>
      </w:r>
      <w:r w:rsidR="473CE9C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czynności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związane z przeprowadzeniem procedury wyboru wykonawcy a wykonawcą,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polegające w szczególności na:</w:t>
      </w:r>
    </w:p>
    <w:p w14:paraId="2FF38A25" w14:textId="77777777" w:rsidR="00AD2B32" w:rsidRPr="003D2E34" w:rsidRDefault="00D24E7A" w:rsidP="006E373C">
      <w:pPr>
        <w:pStyle w:val="Akapitzlist"/>
        <w:numPr>
          <w:ilvl w:val="1"/>
          <w:numId w:val="10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uczestniczeniu w spółce jako wspólnik spółki cywilnej lub spółki osobowej,</w:t>
      </w:r>
    </w:p>
    <w:p w14:paraId="3EC807A8" w14:textId="77777777" w:rsidR="00AD2B32" w:rsidRPr="003D2E34" w:rsidRDefault="00D24E7A" w:rsidP="006E373C">
      <w:pPr>
        <w:pStyle w:val="Akapitzlist"/>
        <w:numPr>
          <w:ilvl w:val="1"/>
          <w:numId w:val="10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posiadaniu co najmniej 10% udziałów lub akcji, o ile niższy próg nie wynika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z przepisów prawa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</w:p>
    <w:p w14:paraId="6DBEC0DD" w14:textId="77777777" w:rsidR="00AD2B32" w:rsidRPr="003D2E34" w:rsidRDefault="00D24E7A" w:rsidP="006E373C">
      <w:pPr>
        <w:pStyle w:val="Akapitzlist"/>
        <w:numPr>
          <w:ilvl w:val="1"/>
          <w:numId w:val="10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pełnieniu funkcji członka organu nadzorczego lub zarządzającego, prokurenta,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pełnomocnika,</w:t>
      </w:r>
    </w:p>
    <w:p w14:paraId="69901D83" w14:textId="1AE3E985" w:rsidR="00E50CEF" w:rsidRPr="003D2E34" w:rsidRDefault="00D24E7A" w:rsidP="006E373C">
      <w:pPr>
        <w:pStyle w:val="Akapitzlist"/>
        <w:numPr>
          <w:ilvl w:val="1"/>
          <w:numId w:val="10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pozostawaniu w związku małżeńskim, w stosunku pokrewieństwa lub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powinowactwa w linii prostej, pokrewieństwa drugiego stopnia lub powinowactwa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drugiego stopnia w linii bocznej lub w stosunku przysposobienia,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lastRenderedPageBreak/>
        <w:t>opieki lub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kurateli.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przypadku, gdy</w:t>
      </w:r>
      <w:r w:rsidR="00500E7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500C6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JW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stwierdzi udzielenie</w:t>
      </w:r>
      <w:r w:rsidR="00AD2B3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zamówienia podmiotowi powiązanemu w sposób inny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niż wskazane w </w:t>
      </w:r>
      <w:r w:rsidR="00FD34F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sekcji </w:t>
      </w:r>
      <w:r w:rsidR="00DC059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="00FD34F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pkt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="00FD34F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8. ppkt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. </w:t>
      </w:r>
      <w:r w:rsidR="00FD34F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1)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-</w:t>
      </w:r>
      <w:r w:rsidR="00FD34F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4)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 jest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zobowiązana przed wezwaniem do zwrotu środków wykazać istnienie naruszenia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zasady konkurencyjności poprzez istniejące powiązanie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</w:p>
    <w:p w14:paraId="79500BA5" w14:textId="6F80EF1A" w:rsidR="00D24E7A" w:rsidRPr="003D2E34" w:rsidRDefault="00E50CEF" w:rsidP="006E373C">
      <w:pPr>
        <w:pStyle w:val="Akapitzlist"/>
        <w:numPr>
          <w:ilvl w:val="1"/>
          <w:numId w:val="10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45F2F2AE" w14:textId="72E684EF" w:rsidR="009459F3" w:rsidRPr="003D2E34" w:rsidRDefault="009459F3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Podmiot, który nie jest zamawiającym w rozumieniu PZP, stosuje zasady określone w art. 56 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, niezależnie od wartości szacunkowej zamówienia. </w:t>
      </w:r>
    </w:p>
    <w:p w14:paraId="665BD6B3" w14:textId="05938B00" w:rsidR="00AD2B32" w:rsidRPr="003D2E34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W przypadku </w:t>
      </w:r>
      <w:r w:rsidR="004E30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OOW / </w:t>
      </w:r>
      <w:r w:rsidR="001B6A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4E30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Partnera / </w:t>
      </w:r>
      <w:r w:rsidR="001B6A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4E30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Podmiotu upoważnionego do ponoszenia wydatków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, który jest zamawiającym w rozumieniu </w:t>
      </w:r>
      <w:r w:rsidR="00E50CE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 zasadę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konkurencyjności uznaje się za spełnioną</w:t>
      </w:r>
      <w:r w:rsidR="33C3A81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="00485AE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jeżeli postępowanie o udzielenie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zamówienia przeprowadzone jest na zasadach i w trybach określonych w </w:t>
      </w:r>
      <w:r w:rsidR="00E50CE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</w:p>
    <w:p w14:paraId="15A19BFC" w14:textId="4F2D3C89" w:rsidR="00AD2B32" w:rsidRPr="003D2E34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Przedmiot zamówienia opisuje się w sposób jednoznaczny i wyczerpujący, </w:t>
      </w:r>
      <w:r w:rsidR="0078749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przy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pomoc</w:t>
      </w:r>
      <w:r w:rsidR="0078749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y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dokładnych i zrozumiałych określeń, uwzględniając wszystkie wymagania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 okoliczności mogące mieć wpływ na sporządzenie oferty. Jeżeli nie uzasadnia tego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przedmiot zamówienia, opis przedmiotu zamówienia nie może zawierać odniesień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do znaków towarowych, patentów lub pochodzenia, źródła lub szczególnego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procesu, który charakteryzuje produkty lub usługi dostarczane przez konkretnego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wykonawcę, jeżeli mogłoby to doprowadzić do uprzywilejowania lub wyeliminowania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niektórych wykonawców lub produktów. W wyjątkowych przypadkach dopuszcza się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stosowanie takich odniesień, jeżeli niemożliwe jest opisanie przedmiotu zamówienia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wystarczająco precyzyjny i zrozumiały sposób zgodnie ze zdaniem pierwszym.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Takim odniesieniom muszą towarzyszyć słowa „lub równoważne”</w:t>
      </w:r>
      <w:r w:rsidR="003758C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wraz z podaniem kryteriów równoważności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 W przypadku</w:t>
      </w:r>
      <w:r w:rsidR="00500C6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gdy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zamawiający korzysta z możliwości zastosowania takich odniesień, nie może on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odrzucić oferty jako niezgodnej z zapytaniem ofertowym, jeżeli wykonawca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udowodni w swojej ofercie, że proponowane rozwiązania w równoważnym stopniu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spełniają wymagania określone w zapytaniu ofertowym.</w:t>
      </w:r>
    </w:p>
    <w:p w14:paraId="77CE28A0" w14:textId="77777777" w:rsidR="00AD2B32" w:rsidRPr="003D2E34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 uwagi na konieczność ochrony tajemnicy przedsiębiorstwa dopuszcza się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możliwość ograniczenia zakresu opisu przedmiotu zamówienia, przy czym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wymagane jest udostępnienie uzupełnienia wyłączonego opisu przedmiotu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zamówienia potencjalnemu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lastRenderedPageBreak/>
        <w:t>wykonawcy, który zobowiązał się do zachowania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poufności w odniesieniu do przedstawionych informacji, w terminie umożliwiającym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przygotowanie i złożenie oferty.</w:t>
      </w:r>
    </w:p>
    <w:p w14:paraId="6E086194" w14:textId="68BD6D79" w:rsidR="00AD2B32" w:rsidRPr="003D2E34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Do opisu przedmiotu zamówienia stosuje się nazwy i kody określone we Wspólnym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Słowniku Zamówień</w:t>
      </w:r>
      <w:r w:rsidR="00500C6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 którym mowa w rozporządzeniu (WE) nr 2195/2002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Parlamentu Europejskiego i Rady z dnia 5 listopada 2002 r. w sprawie Wspólnego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Słownika Zamówień (CPV) (Dz. Urz. WE L 340 z 16.12.2002, str. 1, z </w:t>
      </w:r>
      <w:proofErr w:type="spellStart"/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późn</w:t>
      </w:r>
      <w:proofErr w:type="spellEnd"/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 zm.; Dz.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Urz. UE Polskie wydanie specjalne rozdz. 6, t. 5, str. 3).</w:t>
      </w:r>
      <w:r w:rsidR="00500C62" w:rsidRPr="003D2E34">
        <w:rPr>
          <w:rStyle w:val="Odwoanieprzypisudolnego"/>
          <w:rFonts w:ascii="Calibri" w:eastAsia="MS Mincho" w:hAnsi="Calibri" w:cs="Calibri"/>
          <w:iCs/>
          <w:sz w:val="24"/>
          <w:szCs w:val="24"/>
          <w:lang w:eastAsia="ja-JP"/>
        </w:rPr>
        <w:footnoteReference w:id="6"/>
      </w:r>
    </w:p>
    <w:p w14:paraId="1F73277C" w14:textId="1E2D24B0" w:rsidR="00AD2B32" w:rsidRPr="003D2E34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Warunki udziału w postępowaniu o udzielenie zamówienia oraz opis sposobu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dokonywania oceny ich spełniania, o ile zostaną zawarte w zapytaniu ofertowym,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 którym mowa w pkt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1</w:t>
      </w:r>
      <w:r w:rsidR="00B70D2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2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1B6A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ppkt. 1)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 określane są w sposób proporcjonalny do przedmiotu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zamówienia, zapewniający zachowanie uczciwej konkurencji i równego traktowania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wykonawców. Nie można formułować warunków przewyższających wymagania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wystarczające do należytego wykonania zamówienia.</w:t>
      </w:r>
    </w:p>
    <w:p w14:paraId="3F3391E3" w14:textId="1849A002" w:rsidR="00D9038B" w:rsidRPr="003D2E34" w:rsidRDefault="00D9038B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Kryteria oceny ofert składanych w ramach postępowania o udzielenie zamówienia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są formułowane w sposób zapewniający zachowanie uczciwej konkurencji oraz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równego traktowania wykonawców, przy czym:</w:t>
      </w:r>
    </w:p>
    <w:p w14:paraId="3BD8FF72" w14:textId="77777777" w:rsidR="001B6AB8" w:rsidRPr="003D2E34" w:rsidRDefault="00D9038B" w:rsidP="006E373C">
      <w:pPr>
        <w:pStyle w:val="Akapitzlist"/>
        <w:numPr>
          <w:ilvl w:val="1"/>
          <w:numId w:val="6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każde kryterium oceny ofert musi odnosić się do danego przedmiotu zamówienia,</w:t>
      </w:r>
    </w:p>
    <w:p w14:paraId="0C61AC89" w14:textId="77777777" w:rsidR="001B6AB8" w:rsidRPr="003D2E34" w:rsidRDefault="00D9038B" w:rsidP="006E373C">
      <w:pPr>
        <w:pStyle w:val="Akapitzlist"/>
        <w:numPr>
          <w:ilvl w:val="1"/>
          <w:numId w:val="6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każde kryterium (i opis jego stosowania) musi być sformułowane jednoznacznie</w:t>
      </w:r>
      <w:r w:rsidR="0022365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 precyzyjnie, tak żeby każdy wykonawca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mógł interpretować je w jednakowy sposób,</w:t>
      </w:r>
    </w:p>
    <w:p w14:paraId="4AE832FF" w14:textId="4A7CE42E" w:rsidR="001B6AB8" w:rsidRPr="003D2E34" w:rsidRDefault="00C30E1D" w:rsidP="000F2980">
      <w:pPr>
        <w:pStyle w:val="Akapitzlist"/>
        <w:numPr>
          <w:ilvl w:val="1"/>
          <w:numId w:val="6"/>
        </w:numPr>
        <w:spacing w:before="120" w:after="120" w:line="360" w:lineRule="auto"/>
        <w:ind w:left="1134" w:hanging="283"/>
        <w:rPr>
          <w:rFonts w:ascii="Calibri" w:eastAsia="MS Mincho" w:hAnsi="Calibri" w:cs="Calibri"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sz w:val="24"/>
          <w:szCs w:val="24"/>
          <w:lang w:eastAsia="ja-JP"/>
        </w:rPr>
        <w:t xml:space="preserve">uwagi </w:t>
      </w:r>
      <w:r w:rsidR="00D9038B" w:rsidRPr="003D2E34">
        <w:rPr>
          <w:rFonts w:ascii="Calibri" w:eastAsia="MS Mincho" w:hAnsi="Calibri" w:cs="Calibri"/>
          <w:sz w:val="24"/>
          <w:szCs w:val="24"/>
          <w:lang w:eastAsia="ja-JP"/>
        </w:rPr>
        <w:t>(znaczenie) poszczególnych kryteriów powinny być określone w sposób</w:t>
      </w:r>
      <w:r w:rsidR="002D0D26" w:rsidRPr="003D2E34">
        <w:rPr>
          <w:rFonts w:ascii="Calibri" w:eastAsia="MS Mincho" w:hAnsi="Calibri" w:cs="Calibri"/>
          <w:sz w:val="24"/>
          <w:szCs w:val="24"/>
          <w:lang w:eastAsia="ja-JP"/>
        </w:rPr>
        <w:t xml:space="preserve"> </w:t>
      </w:r>
      <w:r w:rsidR="00D9038B" w:rsidRPr="003D2E34">
        <w:rPr>
          <w:rFonts w:ascii="Calibri" w:eastAsia="MS Mincho" w:hAnsi="Calibri" w:cs="Calibri"/>
          <w:sz w:val="24"/>
          <w:szCs w:val="24"/>
          <w:lang w:eastAsia="ja-JP"/>
        </w:rPr>
        <w:t>umożliwiający wybór najkorzystniejszej oferty,</w:t>
      </w:r>
    </w:p>
    <w:p w14:paraId="7E581069" w14:textId="77777777" w:rsidR="001B6AB8" w:rsidRPr="003D2E34" w:rsidRDefault="00D9038B" w:rsidP="006E373C">
      <w:pPr>
        <w:pStyle w:val="Akapitzlist"/>
        <w:numPr>
          <w:ilvl w:val="1"/>
          <w:numId w:val="6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kryteria oceny ofert nie mogą dotyczyć właściwości wykonawcy</w:t>
      </w:r>
      <w:r w:rsidR="005337E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="0022365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a w szczególności jego wiarygodności ekonomicznej, technicznej lub finansowej</w:t>
      </w:r>
      <w:r w:rsidR="0022365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oraz doświadczenia. Zakaz ten nie dotyczy zamówień na usługi społeczne</w:t>
      </w:r>
      <w:r w:rsidR="0022365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 innych szczególnych usług</w:t>
      </w:r>
      <w:r w:rsidR="0022365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="005337E6" w:rsidRPr="003D2E34">
        <w:rPr>
          <w:rStyle w:val="Odwoanieprzypisudolnego"/>
          <w:rFonts w:ascii="Calibri" w:eastAsia="MS Mincho" w:hAnsi="Calibri" w:cs="Calibri"/>
          <w:iCs/>
          <w:sz w:val="24"/>
          <w:szCs w:val="24"/>
          <w:lang w:eastAsia="ja-JP"/>
        </w:rPr>
        <w:footnoteReference w:id="7"/>
      </w:r>
    </w:p>
    <w:p w14:paraId="2B69EC99" w14:textId="15627CBD" w:rsidR="00D9038B" w:rsidRPr="003D2E34" w:rsidRDefault="00D9038B" w:rsidP="006E373C">
      <w:pPr>
        <w:pStyle w:val="Akapitzlist"/>
        <w:numPr>
          <w:ilvl w:val="1"/>
          <w:numId w:val="6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lastRenderedPageBreak/>
        <w:t>cena może być jedynym kryterium oceny ofert. Poza wymaganiami dotyczącymi</w:t>
      </w:r>
      <w:r w:rsidR="0022365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o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ceny wskazane jest stosowanie jako kryterium oceny ofert innych wymagań</w:t>
      </w:r>
      <w:r w:rsidR="0022365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odnoszących się do przedmiotu zamówienia, takich jak np. jakość,</w:t>
      </w:r>
      <w:r w:rsidR="0022365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funkcjonalność, parametry techniczne, aspekty środowiskowe, społeczne,</w:t>
      </w:r>
      <w:r w:rsidR="0022365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innowacyjne, serwis, termin wykonania zamówienia, koszty eksploatacji oraz</w:t>
      </w:r>
      <w:r w:rsidR="0022365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organizacja, kwalifikacje zawodowe i doświadczenie osób wyznaczonych do</w:t>
      </w:r>
      <w:r w:rsidR="0022365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realizacji zamówienia, jeżeli mogą mieć zna</w:t>
      </w:r>
      <w:r w:rsidR="00647C4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czący wpływ na jakość wykonania </w:t>
      </w:r>
      <w:r w:rsidR="0022365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zamówienia.</w:t>
      </w:r>
    </w:p>
    <w:p w14:paraId="7C756C93" w14:textId="0F53D839" w:rsidR="00AD2B32" w:rsidRPr="003D2E34" w:rsidRDefault="00D9038B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Termin na złożenie oferty (decyduje data wpływu oferty do zamawiającego) wynosi</w:t>
      </w:r>
      <w:r w:rsidR="00647C4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co najmniej 7 dni – w przypadku dostaw i usług, co najmniej 14 dni w przypadku zamówień sektorowych o wartości niższej niż</w:t>
      </w:r>
      <w:r w:rsidR="00647C4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progi unijne w rozumieniu art. 3 </w:t>
      </w:r>
      <w:r w:rsidR="00B15CE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 W przypadku zamówień o wartości</w:t>
      </w:r>
      <w:r w:rsidR="00647C4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szacunkowej równej lub przekraczającej progi unijne w rozumieniu art. 3 </w:t>
      </w:r>
      <w:r w:rsidR="00B15CE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="00274100" w:rsidRPr="003D2E34">
        <w:rPr>
          <w:rStyle w:val="Odwoanieprzypisudolnego"/>
          <w:rFonts w:ascii="Calibri" w:eastAsia="MS Mincho" w:hAnsi="Calibri" w:cs="Calibri"/>
          <w:iCs/>
          <w:sz w:val="24"/>
          <w:szCs w:val="24"/>
          <w:lang w:eastAsia="ja-JP"/>
        </w:rPr>
        <w:footnoteReference w:id="8"/>
      </w:r>
      <w:r w:rsidR="00647C4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termin wynosi co najmniej 30 dni. Bieg terminu rozpoczyna się w dniu następującym</w:t>
      </w:r>
      <w:r w:rsidR="00647C4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 dniu upublicznienia zapytania ofertowego, a kończy się z upływem ostatniego</w:t>
      </w:r>
      <w:r w:rsidR="00647C4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dnia. Jeżeli koniec terminu przypada na sobotę lub dzień ustawowo wolny od pracy,</w:t>
      </w:r>
      <w:r w:rsidR="00035E9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termin upływa dnia następującego po dniu lub dniach wolnych od pracy.</w:t>
      </w:r>
    </w:p>
    <w:p w14:paraId="3DA01E9C" w14:textId="7F9DD138" w:rsidR="00D9038B" w:rsidRPr="003D2E34" w:rsidRDefault="00D9038B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celu spełnienia zasady konkurencyjności należy:</w:t>
      </w:r>
    </w:p>
    <w:p w14:paraId="51EB7CF6" w14:textId="0920CE3D" w:rsidR="00D9038B" w:rsidRPr="003D2E34" w:rsidRDefault="00D9038B" w:rsidP="006E373C">
      <w:pPr>
        <w:pStyle w:val="Akapitzlist"/>
        <w:numPr>
          <w:ilvl w:val="1"/>
          <w:numId w:val="7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upublicznić zapytanie ofertowe zgodnie z warunkami</w:t>
      </w:r>
      <w:r w:rsidR="005337E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="00647C4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 których mowa w pkt</w:t>
      </w:r>
      <w:r w:rsidR="001B6A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1</w:t>
      </w:r>
      <w:r w:rsidR="00B70D2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3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="00647C4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lub 1</w:t>
      </w:r>
      <w:r w:rsidR="00B70D2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4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 które zawiera co najmniej:</w:t>
      </w:r>
    </w:p>
    <w:p w14:paraId="5225C4EE" w14:textId="0588A015" w:rsidR="00D9038B" w:rsidRPr="003D2E34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opis przedmiotu zamówienia,</w:t>
      </w:r>
    </w:p>
    <w:p w14:paraId="4C7775F9" w14:textId="340211B0" w:rsidR="00D9038B" w:rsidRPr="003D2E34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warunki udziału w postępowaniu oraz opis sposobu dokonywania oceny ich</w:t>
      </w:r>
      <w:r w:rsidR="005F2B0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spełniania, przy czym stawianie warunków udziału nie jest obowiązkowe,</w:t>
      </w:r>
    </w:p>
    <w:p w14:paraId="1DF5A84D" w14:textId="2597E24E" w:rsidR="00D9038B" w:rsidRPr="003D2E34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kryteria oceny oferty,</w:t>
      </w:r>
    </w:p>
    <w:p w14:paraId="49E29BEB" w14:textId="3D3F991D" w:rsidR="00D9038B" w:rsidRPr="003D2E34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informację o wagach punktowych lub procentowych przypisanych</w:t>
      </w:r>
      <w:r w:rsidR="00042CE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do poszczególnych kryteriów oceny oferty,</w:t>
      </w:r>
    </w:p>
    <w:p w14:paraId="1431F4DC" w14:textId="4A93BFCF" w:rsidR="00D9038B" w:rsidRPr="003D2E34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opis sposobu przyznawania punktacji za spełnienie danego kryterium oceny</w:t>
      </w:r>
      <w:r w:rsidR="005F2B0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oferty,</w:t>
      </w:r>
    </w:p>
    <w:p w14:paraId="0A88CCB2" w14:textId="3DDCCC22" w:rsidR="00D9038B" w:rsidRPr="003D2E34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lastRenderedPageBreak/>
        <w:t xml:space="preserve">termin </w:t>
      </w:r>
      <w:r w:rsidR="00A0338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sposób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składania ofert,</w:t>
      </w:r>
    </w:p>
    <w:p w14:paraId="3D218116" w14:textId="633FB229" w:rsidR="00D9038B" w:rsidRPr="003D2E34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termin realizacji umowy,</w:t>
      </w:r>
    </w:p>
    <w:p w14:paraId="0C2975B0" w14:textId="09ABC68B" w:rsidR="00D9038B" w:rsidRPr="003D2E34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informację na temat zakazu powiązań osobowych lub kapitałowych</w:t>
      </w:r>
      <w:r w:rsidR="005337E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="00B46A3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 którym</w:t>
      </w:r>
      <w:r w:rsidR="00B46A3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mowa w pkt</w:t>
      </w:r>
      <w:r w:rsidR="007F6C2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2 </w:t>
      </w:r>
      <w:r w:rsidR="001B6A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ppkt. 1) i 2)</w:t>
      </w:r>
      <w:r w:rsidR="005337E6" w:rsidRPr="003D2E34">
        <w:rPr>
          <w:rStyle w:val="Odwoanieprzypisudolnego"/>
          <w:rFonts w:ascii="Calibri" w:eastAsia="MS Mincho" w:hAnsi="Calibri" w:cs="Calibri"/>
          <w:iCs/>
          <w:sz w:val="24"/>
          <w:szCs w:val="24"/>
          <w:lang w:eastAsia="ja-JP"/>
        </w:rPr>
        <w:footnoteReference w:id="9"/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o ile zakaz taki nie został wyłączony na podstawie pkt</w:t>
      </w:r>
      <w:r w:rsidR="007F6C2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2</w:t>
      </w:r>
      <w:r w:rsidR="00B46A3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1B6A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ppkt. 1)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7F6C2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lit.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7F6C2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a</w:t>
      </w:r>
      <w:r w:rsidR="001B6A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)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</w:p>
    <w:p w14:paraId="4302F1F5" w14:textId="285962A7" w:rsidR="00D9038B" w:rsidRPr="003D2E34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określenie warunków istotnych zmian umowy zawartej w wyniku</w:t>
      </w:r>
      <w:r w:rsidR="00F70C4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przeprowadzonego postępowania o udzielenie zamówienia, o ile przewiduje</w:t>
      </w:r>
      <w:r w:rsidR="00F70C4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się możliwość zmiany takiej umowy,</w:t>
      </w:r>
    </w:p>
    <w:p w14:paraId="6D4F75B8" w14:textId="625B0F56" w:rsidR="00D9038B" w:rsidRPr="003D2E34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informację o możliwości składania ofert częściowych, o ile zamawiający taką</w:t>
      </w:r>
      <w:r w:rsidR="00F70C4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możliwość przewiduje,</w:t>
      </w:r>
    </w:p>
    <w:p w14:paraId="5FAF5B38" w14:textId="4C5B7E6E" w:rsidR="00F70C46" w:rsidRPr="003D2E34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opis sposobu przedstawiania ofert wariantowych oraz minimalne warunki,</w:t>
      </w:r>
      <w:r w:rsidR="00F70C4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jakim muszą odpowiadać oferty wariantowe wraz z wybranymi kryteriami</w:t>
      </w:r>
      <w:r w:rsidR="00F70C4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oceny, jeżeli zamawiający wymaga lub dopuszcza ich składanie,</w:t>
      </w:r>
    </w:p>
    <w:p w14:paraId="015D001F" w14:textId="426CF501" w:rsidR="00D9038B" w:rsidRPr="003D2E34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informację o planowanych zamówieniach, o których mowa w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sekcji I.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pkt</w:t>
      </w:r>
      <w:r w:rsidR="007F6C2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. </w:t>
      </w:r>
      <w:r w:rsidR="0083540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8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="0083540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7F6C2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ppkt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. </w:t>
      </w:r>
      <w:r w:rsidR="007F6C2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6)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 ich zakres oraz warunki, na jakich zostaną udzielone,</w:t>
      </w:r>
      <w:r w:rsidR="00F70C4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 ile zamawiający przewiduje udzielenie tego typu zamówień,</w:t>
      </w:r>
    </w:p>
    <w:p w14:paraId="2EF0202E" w14:textId="16EAB333" w:rsidR="000D4C28" w:rsidRPr="003D2E34" w:rsidRDefault="000D4C28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wysokość wadium (jeśli dotyczy), zakazane jest ustalenie wysokości wadium o wartości większej aniżeli wskazano w art. 97 ust. 2 ustawy </w:t>
      </w:r>
      <w:r w:rsidR="0083540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="0025094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</w:p>
    <w:p w14:paraId="1B7648F5" w14:textId="20083287" w:rsidR="000D4C28" w:rsidRPr="003D2E34" w:rsidRDefault="000D4C28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wysokość zabezpieczenia należytego wykonania umowy (jeśli dotyczy), zakazane jest ustalenie wysokości zabezpieczenia o wartości większej aniżeli wskazano w art. 452 ust. 2 i 3 ustawy </w:t>
      </w:r>
      <w:r w:rsidR="0083540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="0025094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</w:p>
    <w:p w14:paraId="2C3EE8EF" w14:textId="2B383B64" w:rsidR="00B70D2F" w:rsidRPr="003D2E34" w:rsidRDefault="006E6F42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wzór umowy,</w:t>
      </w:r>
    </w:p>
    <w:p w14:paraId="21BBE47C" w14:textId="20590F11" w:rsidR="00664ED4" w:rsidRPr="003D2E34" w:rsidRDefault="00D9038B" w:rsidP="006E373C">
      <w:pPr>
        <w:pStyle w:val="Akapitzlist"/>
        <w:numPr>
          <w:ilvl w:val="1"/>
          <w:numId w:val="7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wybrać najkorzystniejszą ofertę zgodną z opisem przedmiotu zamówienia</w:t>
      </w:r>
      <w:r w:rsidR="0094445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złożoną przez wykonawcę spełniającego warunki udziału w postępowaniu,</w:t>
      </w:r>
      <w:r w:rsidR="0094445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oparciu o ustalone w zapytaniu ofertowym kryteria oceny. Wybór oferty jest</w:t>
      </w:r>
      <w:r w:rsidR="0094445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dokumentowany protokołem postępowania o udzielenie zamówienia, o którym</w:t>
      </w:r>
      <w:r w:rsidR="0094445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mowa w pkt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1</w:t>
      </w:r>
      <w:r w:rsidR="007F6C2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8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 Postępowanie może zakończyć się wyborem kilku wykonawców,</w:t>
      </w:r>
      <w:r w:rsidR="0094445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gdy zamawiający dopuszcza składanie ofert częściowych</w:t>
      </w:r>
      <w:r w:rsidR="00344E8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lub zamawiający planuje zawrzeć umowę ramową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="004B118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</w:p>
    <w:p w14:paraId="236CFE4F" w14:textId="3BE43943" w:rsidR="00E23146" w:rsidRPr="003D2E34" w:rsidRDefault="00D9038B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lastRenderedPageBreak/>
        <w:t>Upublicznienie zapytania ofertowego polega na jego umieszczeniu w bazie</w:t>
      </w:r>
      <w:r w:rsidR="0094445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konkurencyjności,</w:t>
      </w:r>
      <w:r w:rsidR="002204D4" w:rsidRPr="003D2E34">
        <w:rPr>
          <w:rStyle w:val="Odwoanieprzypisudolnego"/>
          <w:rFonts w:ascii="Calibri" w:eastAsia="MS Mincho" w:hAnsi="Calibri" w:cs="Calibri"/>
          <w:iCs/>
          <w:sz w:val="24"/>
          <w:szCs w:val="24"/>
          <w:lang w:eastAsia="ja-JP"/>
        </w:rPr>
        <w:footnoteReference w:id="10"/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a w przypadku zawieszenia działalności bazy potwierdzonego</w:t>
      </w:r>
      <w:r w:rsidR="0094445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odpowiednim komunikatem ministra właściwego do spraw rozwoju regionalnego 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-</w:t>
      </w:r>
      <w:r w:rsidR="00C6456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4563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skierowaniu zapytania ofertowego do co najmniej trzech potencjalnych</w:t>
      </w:r>
      <w:r w:rsidR="00C6456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4563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wykonawców, o ile na rynku istnieje trzech potencjalnych wykonawców danego</w:t>
      </w:r>
      <w:r w:rsidR="00C6456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4563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zamówienia oraz upublicznieniu tego zapytania co najmniej na stronie internetowej</w:t>
      </w:r>
      <w:r w:rsidR="00C6456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4B55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OOW / </w:t>
      </w:r>
      <w:r w:rsidR="00A80FB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4B55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Partnera / </w:t>
      </w:r>
      <w:r w:rsidR="00A80FB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4B55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Podmiotu upoważnionego do ponoszenia wydatków</w:t>
      </w:r>
      <w:r w:rsidR="00D4563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 o ile posiada</w:t>
      </w:r>
      <w:r w:rsidR="007D6C5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ją</w:t>
      </w:r>
      <w:r w:rsidR="00D4563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taką stronę. Upublicznienie zapytania ofertowego</w:t>
      </w:r>
      <w:r w:rsidR="00C6456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4563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oznacza wszczęcie postępowania o udzielenie zamówienia w ramach </w:t>
      </w:r>
      <w:r w:rsidR="007D6C5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Przedsięwzięcia</w:t>
      </w:r>
      <w:r w:rsidR="00D4563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="004B118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Zapytanie ofertowe musi być ogólnodostępne do czasu formalnego zamknięcia Przedsięwzięcia wraz z </w:t>
      </w:r>
      <w:proofErr w:type="gramStart"/>
      <w:r w:rsidR="004B118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finalnym</w:t>
      </w:r>
      <w:proofErr w:type="gramEnd"/>
      <w:r w:rsidR="004B118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rozliczeniem Wniosku o Płatność Końcową.</w:t>
      </w:r>
    </w:p>
    <w:p w14:paraId="63D7CCDA" w14:textId="6C99B781" w:rsidR="00E23146" w:rsidRPr="003D2E34" w:rsidRDefault="00C6456A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</w:t>
      </w:r>
      <w:r w:rsidR="008E312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przypadku, gdy </w:t>
      </w:r>
      <w:r w:rsidR="004B55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OOW /</w:t>
      </w:r>
      <w:r w:rsidR="00A80FB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</w:t>
      </w:r>
      <w:r w:rsidR="004B55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Partner /</w:t>
      </w:r>
      <w:r w:rsidR="00A80FB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</w:t>
      </w:r>
      <w:r w:rsidR="004B55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Podmiot upoważnion</w:t>
      </w:r>
      <w:r w:rsidR="007C7CD5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y</w:t>
      </w:r>
      <w:r w:rsidR="004B55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do ponoszenia wydatków </w:t>
      </w:r>
      <w:r w:rsidR="00D4563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rozpoczyna realizację </w:t>
      </w:r>
      <w:r w:rsidR="007D6C5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Przedsięwzięcia</w:t>
      </w:r>
      <w:r w:rsidR="00D4563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na własne ryzyko</w:t>
      </w:r>
      <w:r w:rsidR="00664ED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4563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przed</w:t>
      </w:r>
      <w:r w:rsidR="004806D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podpisaniem </w:t>
      </w:r>
      <w:r w:rsidR="0D54484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U</w:t>
      </w:r>
      <w:r w:rsidR="004806D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mowy</w:t>
      </w:r>
      <w:r w:rsidR="5CB1A70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/Porozumienia</w:t>
      </w:r>
      <w:r w:rsidR="004806D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o objęciem </w:t>
      </w:r>
      <w:r w:rsidR="00C1694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Przedsięwzięcia</w:t>
      </w:r>
      <w:r w:rsidR="00C910F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wsparciem</w:t>
      </w:r>
      <w:r w:rsidR="00D4563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 upublicznia zapytanie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4563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ofertowe na stronie internetowej</w:t>
      </w:r>
      <w:r w:rsidR="01B1B4B5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1B1B4B5" w:rsidRPr="003D2E34">
        <w:rPr>
          <w:rFonts w:ascii="Calibri" w:eastAsia="Calibri" w:hAnsi="Calibri" w:cs="Calibri"/>
          <w:b/>
          <w:bCs/>
          <w:iCs/>
          <w:color w:val="000000" w:themeColor="text1"/>
          <w:sz w:val="24"/>
          <w:szCs w:val="24"/>
        </w:rPr>
        <w:t xml:space="preserve">Bazy Konkurencyjności (BK2021) </w:t>
      </w:r>
      <w:hyperlink r:id="rId11">
        <w:r w:rsidR="00664ED4" w:rsidRPr="003D2E34">
          <w:rPr>
            <w:rStyle w:val="Hipercze"/>
            <w:rFonts w:ascii="Calibri" w:eastAsia="MS Mincho" w:hAnsi="Calibri" w:cs="Calibri"/>
            <w:iCs/>
            <w:sz w:val="24"/>
            <w:szCs w:val="24"/>
            <w:lang w:eastAsia="ja-JP"/>
          </w:rPr>
          <w:t>https://bazakonkurencyjnosci.funduszeeuropejskie.gov.pl/</w:t>
        </w:r>
      </w:hyperlink>
      <w:r w:rsidR="00C910F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</w:p>
    <w:p w14:paraId="011CCA7B" w14:textId="4A85F199" w:rsidR="00E23146" w:rsidRPr="003D2E34" w:rsidRDefault="00D45636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przypadku wszczęcia postępowania przed</w:t>
      </w:r>
      <w:r w:rsidR="00C910F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podpisaniem </w:t>
      </w:r>
      <w:r w:rsidR="38FB8E1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U</w:t>
      </w:r>
      <w:r w:rsidR="00C910F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mowy</w:t>
      </w:r>
      <w:r w:rsidR="76F761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/Porozumienia</w:t>
      </w:r>
      <w:r w:rsidR="00C910F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o objęciem Przedsięwzięcia wsparciem, </w:t>
      </w:r>
      <w:proofErr w:type="gramStart"/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ocena,</w:t>
      </w:r>
      <w:proofErr w:type="gramEnd"/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czy</w:t>
      </w:r>
      <w:r w:rsidR="00C910F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stopień upublicznienia zapytania ofertowego był wystarczający do uznania </w:t>
      </w:r>
      <w:r w:rsidR="007D6C5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koszt</w:t>
      </w:r>
      <w:r w:rsidR="00C910F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za kwalifikowalny</w:t>
      </w:r>
      <w:r w:rsidR="6CA6BAD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="00C910F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należy do</w:t>
      </w:r>
      <w:r w:rsidR="00DE296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JW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</w:p>
    <w:p w14:paraId="46FC6D47" w14:textId="5FD095EE" w:rsidR="00E23146" w:rsidRPr="003D2E34" w:rsidRDefault="00D45636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Zapytanie ofertowe może zostać zmienione przed upływem terminu składania ofert</w:t>
      </w:r>
      <w:r w:rsidR="00C910F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przewidzianym w zapytaniu ofertowym. W takim przypadku należy w opublikowanym</w:t>
      </w:r>
      <w:r w:rsidR="00C910F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zgodnie z pkt</w:t>
      </w:r>
      <w:r w:rsidR="00A80FB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1</w:t>
      </w:r>
      <w:r w:rsidR="004B118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3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lub 1</w:t>
      </w:r>
      <w:r w:rsidR="004B118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4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="004B118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zapytaniu ofertowym uwzględnić informację o zmianie.</w:t>
      </w:r>
      <w:r w:rsidR="00C910F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Informacja ta powinna zawierać co najmniej</w:t>
      </w:r>
      <w:r w:rsidR="004B426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datę upublicznienia zmienianego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zapytania ofertowego</w:t>
      </w:r>
      <w:r w:rsidR="004B426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oraz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opis dokonanych zmian. Zamawiający </w:t>
      </w:r>
      <w:r w:rsidR="00977B8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przedłuża termin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składania ofert o czas niezbędny do wprowadzenia zmian w ofertach, jeżeli</w:t>
      </w:r>
      <w:r w:rsidR="00211E7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jest to konieczne z uwag</w:t>
      </w:r>
      <w:r w:rsidR="00E2314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 na zakres wprowadzonych zmian.</w:t>
      </w:r>
    </w:p>
    <w:p w14:paraId="2A6B6B31" w14:textId="6014B1F6" w:rsidR="00E23146" w:rsidRPr="003D2E34" w:rsidRDefault="00D45636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Treść pytań dotyczących zapytania ofertowego wraz z wyjaśnieniami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zamawiającego publikowana jest zgodnie z pkt</w:t>
      </w:r>
      <w:r w:rsidR="00A80FB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1</w:t>
      </w:r>
      <w:r w:rsidR="004B118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3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lub 1</w:t>
      </w:r>
      <w:r w:rsidR="004B118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4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</w:p>
    <w:p w14:paraId="40E2297A" w14:textId="5D5E74A0" w:rsidR="00D45636" w:rsidRPr="003D2E34" w:rsidRDefault="00D45636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lastRenderedPageBreak/>
        <w:t xml:space="preserve">Protokół </w:t>
      </w:r>
      <w:r w:rsidR="007C7CD5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z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postępowania o udzielenie zamówienia należy sporządzić w formie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pisemnej</w:t>
      </w:r>
      <w:r w:rsidR="004B55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lub elektronicznej (wraz z kwalifikowanym podpisem elektronicznym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 Protokół zawiera co najmniej:</w:t>
      </w:r>
    </w:p>
    <w:p w14:paraId="1495C8D2" w14:textId="072CF916" w:rsidR="009C078D" w:rsidRPr="003D2E34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wykaz wszystkich ofert, które wpłynęły w odpowiedzi na zapytanie ofertowe</w:t>
      </w:r>
      <w:r w:rsidR="00D045E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wraz</w:t>
      </w:r>
      <w:r w:rsidR="004B118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ze wskazaniem daty wpłynięcia oferty do zamawiającego,</w:t>
      </w:r>
    </w:p>
    <w:p w14:paraId="09DC48F9" w14:textId="260316DB" w:rsidR="009C078D" w:rsidRPr="003D2E34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informację o spełnieniu warunku, o którym mowa w pkt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2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A80FB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ppkt. 1)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</w:p>
    <w:p w14:paraId="2CC02285" w14:textId="77777777" w:rsidR="009C078D" w:rsidRPr="003D2E34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informację o spełnieniu warunków udziału w postępowaniu przez </w:t>
      </w:r>
      <w:r w:rsidR="008B1EB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wykonawców o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ile takie warunki były stawiane,</w:t>
      </w:r>
    </w:p>
    <w:p w14:paraId="1A6B5E20" w14:textId="77777777" w:rsidR="009C078D" w:rsidRPr="003D2E34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informację o wagach punktowych lub procentowych przypisanych do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poszczególnych kryteriów oceny i sposobie przyznawania punktacji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poszczególnym wykonawcom</w:t>
      </w:r>
      <w:r w:rsidR="008B1EB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za spełnienie danego kryterium,</w:t>
      </w:r>
    </w:p>
    <w:p w14:paraId="535687F8" w14:textId="77777777" w:rsidR="009C078D" w:rsidRPr="003D2E34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wskazanie wybranej oferty wraz z uzasadnieniem wyboru,</w:t>
      </w:r>
    </w:p>
    <w:p w14:paraId="2ABE128F" w14:textId="77777777" w:rsidR="009C078D" w:rsidRPr="003D2E34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datę sporządzenia protokołu i podpis zamawiającego,</w:t>
      </w:r>
    </w:p>
    <w:p w14:paraId="7B894EF8" w14:textId="0432C50C" w:rsidR="00D45636" w:rsidRPr="003D2E34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następujące załączniki:</w:t>
      </w:r>
    </w:p>
    <w:p w14:paraId="13DDA639" w14:textId="2CB5B47B" w:rsidR="00D45636" w:rsidRPr="003D2E34" w:rsidRDefault="00D45636" w:rsidP="006E373C">
      <w:pPr>
        <w:pStyle w:val="Akapitzlist"/>
        <w:numPr>
          <w:ilvl w:val="1"/>
          <w:numId w:val="14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potwierdzenie upublicznienia zapytania ofertowego w sposób wskazany</w:t>
      </w:r>
      <w:r w:rsidR="009C078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pkt</w:t>
      </w:r>
      <w:r w:rsidR="00A80FB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1</w:t>
      </w:r>
      <w:r w:rsidR="00A43A4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3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lub 1</w:t>
      </w:r>
      <w:r w:rsidR="00A43A4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4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wraz ze zmianami w zapytaniu ofertowym</w:t>
      </w:r>
      <w:r w:rsidR="00D045E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 których mowa</w:t>
      </w:r>
      <w:r w:rsidR="009C078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pkt</w:t>
      </w:r>
      <w:r w:rsidR="00A80FB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1</w:t>
      </w:r>
      <w:r w:rsidR="00A43A4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6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 o ile zostały dokonane,</w:t>
      </w:r>
    </w:p>
    <w:p w14:paraId="393E9746" w14:textId="2B67DD0F" w:rsidR="00D45636" w:rsidRPr="003D2E34" w:rsidRDefault="00D45636" w:rsidP="006E373C">
      <w:pPr>
        <w:pStyle w:val="Akapitzlist"/>
        <w:numPr>
          <w:ilvl w:val="1"/>
          <w:numId w:val="14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złożone oferty,</w:t>
      </w:r>
    </w:p>
    <w:p w14:paraId="61282CAE" w14:textId="237DA7BB" w:rsidR="00D45636" w:rsidRPr="003D2E34" w:rsidRDefault="00D45636" w:rsidP="006E373C">
      <w:pPr>
        <w:pStyle w:val="Akapitzlist"/>
        <w:numPr>
          <w:ilvl w:val="1"/>
          <w:numId w:val="14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oświadczenia o braku powiązań z wykonawcami, którzy złożyli oferty,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podpisane przez </w:t>
      </w:r>
      <w:r w:rsidR="008B1EB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osoby uprawnione do reprezentowania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zamawiającego i osoby wykonujące w </w:t>
      </w:r>
      <w:r w:rsidR="008B1EB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imieniu zamawiającego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czynności związane z procedurą wyboru wykonawcy, w tym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biorące udział w procesie oceny ofert (tj. powiązań, o których mowa pkt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2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A80FB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ppkt. 2</w:t>
      </w:r>
      <w:r w:rsidR="008B1EB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).</w:t>
      </w:r>
    </w:p>
    <w:p w14:paraId="6694BF40" w14:textId="772565D0" w:rsidR="000D4C28" w:rsidRPr="003D2E34" w:rsidRDefault="000D4C28" w:rsidP="006E373C">
      <w:pPr>
        <w:pStyle w:val="Akapitzlist"/>
        <w:numPr>
          <w:ilvl w:val="1"/>
          <w:numId w:val="14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proofErr w:type="gramStart"/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oświadczenie</w:t>
      </w:r>
      <w:proofErr w:type="gramEnd"/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o którym mowa w art. 56 ust. 4 ustawy </w:t>
      </w:r>
      <w:r w:rsidR="007C7CD5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="0025094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. </w:t>
      </w:r>
    </w:p>
    <w:p w14:paraId="485C873F" w14:textId="2E1E4A12" w:rsidR="009C078D" w:rsidRPr="003D2E34" w:rsidRDefault="00D45636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Informację o wyniku postępowania upublicznia się w taki </w:t>
      </w:r>
      <w:r w:rsidR="00824B2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sposób</w:t>
      </w:r>
      <w:r w:rsidR="002204D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="00824B2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w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jaki zostało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upublicznione zapytanie ofertowe. Informacja o wyniku postępowania zawiera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nazwę wybranego wykonawcy, </w:t>
      </w:r>
      <w:r w:rsidR="00824B2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adres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jego siedzib</w:t>
      </w:r>
      <w:r w:rsidR="00824B2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y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oraz cenę zamówienia. Na wniosek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wykonawcy, który złożył ofertę</w:t>
      </w:r>
      <w:r w:rsidR="00A43A4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lub innego zainteresowanego podmiotu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, należy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lastRenderedPageBreak/>
        <w:t>udostępnić protokół</w:t>
      </w:r>
      <w:r w:rsidR="00D045E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6C576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postępowania o udzielenie zamówienia, z wyłączeniem części ofert stanowiących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6C576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tajemnicę przedsiębiorstwa.</w:t>
      </w:r>
      <w:r w:rsidR="003764D5" w:rsidRPr="003D2E34">
        <w:rPr>
          <w:rStyle w:val="Odwoanieprzypisudolnego"/>
          <w:rFonts w:ascii="Calibri" w:eastAsia="MS Mincho" w:hAnsi="Calibri" w:cs="Calibri"/>
          <w:iCs/>
          <w:sz w:val="24"/>
          <w:szCs w:val="24"/>
          <w:lang w:eastAsia="ja-JP"/>
        </w:rPr>
        <w:footnoteReference w:id="11"/>
      </w:r>
    </w:p>
    <w:p w14:paraId="45131AE5" w14:textId="263AAFF9" w:rsidR="009C078D" w:rsidRPr="003D2E34" w:rsidRDefault="006C576D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 przeprowadzeniu procedury uregulowanej w niniejszej sekcji następuje zawarcie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umowy z wykonawcą w formie pisemnej lub elektronicznej (wraz z kwalifikowanym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podpisem elektronicznym). W przypadku, gdy zamawiający dopuszcza składanie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ofert częściowych, postępowanie może zakończyć się zawarciem umowy na część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zamówienia. </w:t>
      </w:r>
      <w:r w:rsidR="00A43A4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W przypadku gdy przedmiotem zamówienia jest zawarcie umowy ramowej, dopuszcza się sporządzenie jednej umowy z wieloma </w:t>
      </w:r>
      <w:proofErr w:type="gramStart"/>
      <w:r w:rsidR="00A43A4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wykonawcami,</w:t>
      </w:r>
      <w:proofErr w:type="gramEnd"/>
      <w:r w:rsidR="00A43A4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lub kilku samodzielnych umów.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przypadku gdy wybrany wykonawca odstąpi od zawarcia umowy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 zamawiającym, zamawiający zawiera umowę z kolejnym wykonawcą, który w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postępowaniu o udzielenie zamówienia uzyskał kolejną najwyższą liczbę punktów.</w:t>
      </w:r>
    </w:p>
    <w:p w14:paraId="73AA198E" w14:textId="032AB7A1" w:rsidR="006C576D" w:rsidRPr="003D2E34" w:rsidRDefault="006C576D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Nie jest możliwe dokonywanie istotnych zmian</w:t>
      </w:r>
      <w:r w:rsidR="00683D29" w:rsidRPr="003D2E34">
        <w:rPr>
          <w:rStyle w:val="Odwoanieprzypisudolnego"/>
          <w:rFonts w:ascii="Calibri" w:eastAsia="MS Mincho" w:hAnsi="Calibri" w:cs="Calibri"/>
          <w:iCs/>
          <w:sz w:val="24"/>
          <w:szCs w:val="24"/>
          <w:lang w:eastAsia="ja-JP"/>
        </w:rPr>
        <w:footnoteReference w:id="12"/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postanowień zawartej umowy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stosunku do treści oferty, na podstawie której dokonano wyboru wykonawcy,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chyba że:</w:t>
      </w:r>
    </w:p>
    <w:p w14:paraId="3FCDC685" w14:textId="61C6F42D" w:rsidR="006C576D" w:rsidRPr="003D2E34" w:rsidRDefault="006C576D" w:rsidP="006E373C">
      <w:pPr>
        <w:pStyle w:val="Akapitzlist"/>
        <w:numPr>
          <w:ilvl w:val="1"/>
          <w:numId w:val="15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zmiany zostały przewidziane w zapytaniu ofertowym w postaci jednoznacznych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postanowień umownych, które określają ich zakres i charakter oraz warunki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wprowadzenia zmian,</w:t>
      </w:r>
    </w:p>
    <w:p w14:paraId="19D92F32" w14:textId="05EFAD91" w:rsidR="006C576D" w:rsidRPr="003D2E34" w:rsidRDefault="006C576D" w:rsidP="006E373C">
      <w:pPr>
        <w:pStyle w:val="Akapitzlist"/>
        <w:numPr>
          <w:ilvl w:val="1"/>
          <w:numId w:val="15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zmiany dotyczą realizacji dodatkowych dostaw</w:t>
      </w:r>
      <w:r w:rsidR="009C001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lub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usług</w:t>
      </w:r>
      <w:r w:rsidR="0078608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lub robót budowlanych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od dotychczasowego wykonawcy, nieobjętych zamówieniem podstawowym,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 ile stały się niezbędne i zostały spełnione łącznie następujące warunki:</w:t>
      </w:r>
    </w:p>
    <w:p w14:paraId="40373123" w14:textId="25236872" w:rsidR="006C576D" w:rsidRPr="003D2E34" w:rsidRDefault="006C576D" w:rsidP="006E373C">
      <w:pPr>
        <w:pStyle w:val="Akapitzlist"/>
        <w:numPr>
          <w:ilvl w:val="1"/>
          <w:numId w:val="16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zmiana wykonawcy nie może zostać dokonana z powodów ekonomicznych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lub technicznych, w szczególności dotyczących zamienności lub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interoperacyjności sprzętu, usług lub instalacji, zamówionych w ramach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zamówienia podstawowego,</w:t>
      </w:r>
    </w:p>
    <w:p w14:paraId="5AD874F9" w14:textId="73C1795F" w:rsidR="006C576D" w:rsidRPr="003D2E34" w:rsidRDefault="006C576D" w:rsidP="006E373C">
      <w:pPr>
        <w:pStyle w:val="Akapitzlist"/>
        <w:numPr>
          <w:ilvl w:val="1"/>
          <w:numId w:val="16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zmiana wykonawcy spowodowałaby istotną niedogodność lub znaczne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zwiększenie kosztów dla zamawiającego,</w:t>
      </w:r>
    </w:p>
    <w:p w14:paraId="1F496713" w14:textId="391F7862" w:rsidR="006C576D" w:rsidRPr="003D2E34" w:rsidRDefault="006C576D" w:rsidP="006E373C">
      <w:pPr>
        <w:pStyle w:val="Akapitzlist"/>
        <w:numPr>
          <w:ilvl w:val="1"/>
          <w:numId w:val="16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lastRenderedPageBreak/>
        <w:t>wartość każdej kolejnej zmiany nie przekracza 50% wartości zamówienia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określonej pierwotnie w umowie,</w:t>
      </w:r>
    </w:p>
    <w:p w14:paraId="58B1DBDC" w14:textId="0D515043" w:rsidR="006C576D" w:rsidRPr="003D2E34" w:rsidRDefault="006C576D" w:rsidP="006E373C">
      <w:pPr>
        <w:pStyle w:val="Akapitzlist"/>
        <w:numPr>
          <w:ilvl w:val="1"/>
          <w:numId w:val="15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zmiana nie prowadzi do zmiany charakteru umowy i zostały spełnione łącznie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następujące warunki:</w:t>
      </w:r>
    </w:p>
    <w:p w14:paraId="1EC16F2B" w14:textId="6BD9777D" w:rsidR="006C576D" w:rsidRPr="003D2E34" w:rsidRDefault="006C576D" w:rsidP="006E373C">
      <w:pPr>
        <w:pStyle w:val="Akapitzlist"/>
        <w:numPr>
          <w:ilvl w:val="1"/>
          <w:numId w:val="17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konieczność zmiany umowy spowodowana jest okolicznościami, których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zamawiający, działając z należytą starannością, nie mógł przewidzieć,</w:t>
      </w:r>
    </w:p>
    <w:p w14:paraId="1341301D" w14:textId="78CFA7BC" w:rsidR="006C576D" w:rsidRPr="003D2E34" w:rsidRDefault="006C576D" w:rsidP="006E373C">
      <w:pPr>
        <w:pStyle w:val="Akapitzlist"/>
        <w:numPr>
          <w:ilvl w:val="1"/>
          <w:numId w:val="17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wartość zmiany nie przekracza 50% wartości zamówienia określonej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pierwotnie w umowie,</w:t>
      </w:r>
    </w:p>
    <w:p w14:paraId="46DF799D" w14:textId="532D702D" w:rsidR="006C576D" w:rsidRPr="003D2E34" w:rsidRDefault="006C576D" w:rsidP="006E373C">
      <w:pPr>
        <w:pStyle w:val="Akapitzlist"/>
        <w:numPr>
          <w:ilvl w:val="1"/>
          <w:numId w:val="15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wykonawcę, któremu zamawiający udzielił </w:t>
      </w:r>
      <w:r w:rsidR="00D16C8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zamówienia ma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zastąpić nowy</w:t>
      </w:r>
      <w:r w:rsidR="00D16C8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wykonawca:</w:t>
      </w:r>
    </w:p>
    <w:p w14:paraId="464AE5BA" w14:textId="56174215" w:rsidR="006C576D" w:rsidRPr="003D2E34" w:rsidRDefault="006C576D" w:rsidP="006E373C">
      <w:pPr>
        <w:pStyle w:val="Akapitzlist"/>
        <w:numPr>
          <w:ilvl w:val="1"/>
          <w:numId w:val="18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na podstawie postanowień umownych, o których mowa w </w:t>
      </w:r>
      <w:r w:rsidR="0078608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ppkt. 1)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</w:p>
    <w:p w14:paraId="3C14A91D" w14:textId="2FF76FA6" w:rsidR="006C576D" w:rsidRPr="003D2E34" w:rsidRDefault="006C576D" w:rsidP="006E373C">
      <w:pPr>
        <w:pStyle w:val="Akapitzlist"/>
        <w:numPr>
          <w:ilvl w:val="1"/>
          <w:numId w:val="18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wyniku połączenia, podziału, przekształcenia, upadłości, restrukturyzacji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lub nabycia dotychczasowego wykonawcy lub jego przedsiębiorstwa</w:t>
      </w:r>
      <w:r w:rsidR="00F5360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 ile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nowy wykonawca spełnia warunki udziału w postępowaniu, nie zachodzą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wobec niego podstawy wykluczenia oraz nie pociąga to za sobą innych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istotnych zmian umowy,</w:t>
      </w:r>
      <w:r w:rsidR="003A2B7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a także nie ma na celu uniknięcia stosowania zasady konkurencyjności, lub</w:t>
      </w:r>
    </w:p>
    <w:p w14:paraId="5F225AEB" w14:textId="0B119FBA" w:rsidR="00D45636" w:rsidRPr="003D2E34" w:rsidRDefault="006C576D" w:rsidP="006E373C">
      <w:pPr>
        <w:pStyle w:val="Akapitzlist"/>
        <w:numPr>
          <w:ilvl w:val="1"/>
          <w:numId w:val="18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wyniku przejęcia przez zamawiającego zobowiązań wykonawcy względem jego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podwykonawców; w przypadku zmiany podwykonawcy, zamawiający może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zawrzeć umowę z nowym podwykonawcą bez zmiany warunków realizacji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zamówienia z uwzględnieniem dokonanych płatności z tytułu dotychczas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zrealizowanych prac,</w:t>
      </w:r>
    </w:p>
    <w:p w14:paraId="5AE942C3" w14:textId="7E8F4919" w:rsidR="00117196" w:rsidRPr="003D2E34" w:rsidRDefault="006C576D" w:rsidP="006E373C">
      <w:pPr>
        <w:pStyle w:val="Akapitzlist"/>
        <w:numPr>
          <w:ilvl w:val="1"/>
          <w:numId w:val="15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zmiana nie prowadzi do zmiany charakteru umowy a łączna wartość zmian jest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mniejsza niż progi unijne w rozumieniu art. 3 </w:t>
      </w:r>
      <w:r w:rsidR="00EF35D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="0097090F" w:rsidRPr="003D2E34">
        <w:rPr>
          <w:rStyle w:val="Odwoanieprzypisudolnego"/>
          <w:rFonts w:ascii="Calibri" w:eastAsia="MS Mincho" w:hAnsi="Calibri" w:cs="Calibri"/>
          <w:iCs/>
          <w:sz w:val="24"/>
          <w:szCs w:val="24"/>
          <w:lang w:eastAsia="ja-JP"/>
        </w:rPr>
        <w:footnoteReference w:id="13"/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 jednocześnie jest mniejsza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od 10% wartości zamówienia określonej pierwotnie w umowie w przypadku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zamówień na usługi lub dostawy</w:t>
      </w:r>
      <w:r w:rsidR="003A2B7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proofErr w:type="gramStart"/>
      <w:r w:rsidR="003A2B7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albo,</w:t>
      </w:r>
      <w:proofErr w:type="gramEnd"/>
      <w:r w:rsidR="003A2B7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w przypadku zamówień na roboty budowlane jest mniejsza od 15% wartości zamówienia określonej pierwotnie w umowie.</w:t>
      </w:r>
    </w:p>
    <w:p w14:paraId="01FA4A47" w14:textId="7BA44B7B" w:rsidR="004B5A4B" w:rsidRPr="003D2E34" w:rsidRDefault="004B5A4B" w:rsidP="005052BA">
      <w:pPr>
        <w:pStyle w:val="Nagwek2"/>
        <w:numPr>
          <w:ilvl w:val="0"/>
          <w:numId w:val="23"/>
        </w:numPr>
        <w:spacing w:before="120" w:after="120" w:line="360" w:lineRule="auto"/>
        <w:contextualSpacing/>
        <w:rPr>
          <w:rFonts w:ascii="Calibri" w:hAnsi="Calibri" w:cs="Calibri"/>
          <w:color w:val="auto"/>
        </w:rPr>
      </w:pPr>
      <w:bookmarkStart w:id="8" w:name="_Toc115082200"/>
      <w:bookmarkStart w:id="9" w:name="_Toc161824961"/>
      <w:r w:rsidRPr="003D2E34">
        <w:rPr>
          <w:rFonts w:ascii="Calibri" w:hAnsi="Calibri" w:cs="Calibri"/>
          <w:color w:val="auto"/>
        </w:rPr>
        <w:lastRenderedPageBreak/>
        <w:t>Zamówienia w trybie in-house</w:t>
      </w:r>
      <w:bookmarkEnd w:id="8"/>
      <w:bookmarkEnd w:id="9"/>
      <w:r w:rsidRPr="003D2E34">
        <w:rPr>
          <w:rFonts w:ascii="Calibri" w:hAnsi="Calibri" w:cs="Calibri"/>
          <w:color w:val="auto"/>
        </w:rPr>
        <w:t xml:space="preserve"> </w:t>
      </w:r>
    </w:p>
    <w:p w14:paraId="7A003B97" w14:textId="1651920C" w:rsidR="004B5A4B" w:rsidRPr="003D2E34" w:rsidRDefault="004B5A4B" w:rsidP="005052BA">
      <w:pPr>
        <w:spacing w:before="120" w:after="120" w:line="360" w:lineRule="auto"/>
        <w:contextualSpacing/>
        <w:rPr>
          <w:rFonts w:ascii="Calibri" w:eastAsia="Times New Roman" w:hAnsi="Calibri" w:cs="Calibri"/>
          <w:iCs/>
          <w:sz w:val="24"/>
          <w:szCs w:val="24"/>
          <w:lang w:val="pl-PL"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val="pl-PL" w:eastAsia="pl-PL"/>
        </w:rPr>
        <w:t xml:space="preserve">W przypadku zamówień w trybie in-house, oprócz zasad i warunków zawartych w niniejszym dokumencie wraz z załącznikiem oraz spełnienia przesłanek wskazanych w </w:t>
      </w:r>
      <w:r w:rsidR="00444CD8" w:rsidRPr="003D2E34">
        <w:rPr>
          <w:rFonts w:ascii="Calibri" w:eastAsia="Times New Roman" w:hAnsi="Calibri" w:cs="Calibri"/>
          <w:iCs/>
          <w:sz w:val="24"/>
          <w:szCs w:val="24"/>
          <w:lang w:val="pl-PL" w:eastAsia="pl-PL"/>
        </w:rPr>
        <w:t>PZP</w:t>
      </w:r>
      <w:r w:rsidRPr="003D2E34">
        <w:rPr>
          <w:rFonts w:ascii="Calibri" w:eastAsia="Times New Roman" w:hAnsi="Calibri" w:cs="Calibri"/>
          <w:iCs/>
          <w:sz w:val="24"/>
          <w:szCs w:val="24"/>
          <w:lang w:val="pl-PL" w:eastAsia="pl-PL"/>
        </w:rPr>
        <w:t xml:space="preserve">, w celu uznania kosztów poniesionych w związku z zamówieniem w trybie in-house za kwalifikowalne </w:t>
      </w:r>
      <w:r w:rsidR="004B5597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OOW</w:t>
      </w:r>
      <w:r w:rsidR="00F43FB6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</w:t>
      </w:r>
      <w:r w:rsidRPr="003D2E34">
        <w:rPr>
          <w:rFonts w:ascii="Calibri" w:eastAsia="Times New Roman" w:hAnsi="Calibri" w:cs="Calibri"/>
          <w:iCs/>
          <w:sz w:val="24"/>
          <w:szCs w:val="24"/>
          <w:lang w:val="pl-PL" w:eastAsia="pl-PL"/>
        </w:rPr>
        <w:t>zobowiązany jest do:</w:t>
      </w:r>
    </w:p>
    <w:p w14:paraId="178D49C6" w14:textId="6A04ECEA" w:rsidR="00786086" w:rsidRPr="003D2E34" w:rsidRDefault="00CF0E60" w:rsidP="005052BA">
      <w:pPr>
        <w:pStyle w:val="Akapitzlist"/>
        <w:numPr>
          <w:ilvl w:val="0"/>
          <w:numId w:val="19"/>
        </w:numPr>
        <w:spacing w:before="120" w:after="120" w:line="360" w:lineRule="auto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Z</w:t>
      </w:r>
      <w:r w:rsidR="004B5A4B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leceni</w:t>
      </w:r>
      <w:r w:rsidR="00F43FB6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a</w:t>
      </w:r>
      <w:r w:rsidR="004B5A4B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prac podmiotowi wewnętrznemu na podstawie podpisanej umowy z podmiotem wewnętrznym</w:t>
      </w:r>
      <w:r w:rsidR="00062CF2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.</w:t>
      </w:r>
    </w:p>
    <w:p w14:paraId="0ED6AA14" w14:textId="2C3565C0" w:rsidR="00CF0E60" w:rsidRPr="003D2E34" w:rsidRDefault="00CF0E60" w:rsidP="005052BA">
      <w:pPr>
        <w:pStyle w:val="Akapitzlist"/>
        <w:numPr>
          <w:ilvl w:val="0"/>
          <w:numId w:val="19"/>
        </w:numPr>
        <w:spacing w:before="120" w:after="120" w:line="360" w:lineRule="auto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P</w:t>
      </w:r>
      <w:r w:rsidR="004B5A4B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rzeprowadzeni</w:t>
      </w:r>
      <w:r w:rsidR="00F43FB6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a</w:t>
      </w:r>
      <w:r w:rsidR="004B5A4B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rozeznania rynku przed zleceniem prac in-house (ex </w:t>
      </w:r>
      <w:proofErr w:type="spellStart"/>
      <w:r w:rsidR="004B5A4B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ante</w:t>
      </w:r>
      <w:proofErr w:type="spellEnd"/>
      <w:r w:rsidR="004B5A4B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) poprzez:</w:t>
      </w:r>
    </w:p>
    <w:p w14:paraId="2B9BB775" w14:textId="03F1D30C" w:rsidR="00CF0E60" w:rsidRPr="003D2E34" w:rsidRDefault="004B5A4B" w:rsidP="005052BA">
      <w:pPr>
        <w:pStyle w:val="Akapitzlist"/>
        <w:numPr>
          <w:ilvl w:val="1"/>
          <w:numId w:val="8"/>
        </w:numPr>
        <w:spacing w:before="120" w:after="120" w:line="360" w:lineRule="auto"/>
        <w:ind w:left="1134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przeprowadzenie niezależnej, zewnętrznej wyceny zakresu prac projektowych, przeznaczonych do powierzenia wewnętrznemu podmiotowi w ramach konkretnych zleceń, przez wyłonionego w otwartym konkursie eksperta rynkowego </w:t>
      </w:r>
      <w:r w:rsidRPr="003D2E34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pl-PL"/>
        </w:rPr>
        <w:t xml:space="preserve">lub/i ekspertów z jednostek podległych i nadzorowanych przez </w:t>
      </w:r>
      <w:r w:rsidR="004B55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OOW</w:t>
      </w:r>
      <w:r w:rsidR="00062CF2" w:rsidRPr="003D2E34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pl-PL"/>
        </w:rPr>
        <w:t>,</w:t>
      </w:r>
    </w:p>
    <w:p w14:paraId="08548731" w14:textId="4168D773" w:rsidR="00CF0E60" w:rsidRPr="003D2E34" w:rsidRDefault="004B5A4B" w:rsidP="005052BA">
      <w:pPr>
        <w:pStyle w:val="Akapitzlist"/>
        <w:numPr>
          <w:ilvl w:val="1"/>
          <w:numId w:val="8"/>
        </w:numPr>
        <w:spacing w:before="120" w:after="120" w:line="360" w:lineRule="auto"/>
        <w:ind w:left="1134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przeprowadzenie niezależnej, zewnętrznej weryfikacji poprawności oszacowania kosztów prac przedstawionych przez podmiot wewnętrzny, w tym: metodologii szacowania i pracochłonności prac projektowych określonej przez podmiot wewnętrzny, przez wyłonionego w otwartym konkursie eksperta rynkowego </w:t>
      </w:r>
      <w:r w:rsidRPr="003D2E34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pl-PL"/>
        </w:rPr>
        <w:t xml:space="preserve">lub/i ekspertów z jednostek podległych i nadzorowanych przez </w:t>
      </w:r>
      <w:r w:rsidR="004B55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OOW</w:t>
      </w:r>
      <w:r w:rsidR="304844F8" w:rsidRPr="003D2E34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pl-PL"/>
        </w:rPr>
        <w:t>,</w:t>
      </w:r>
    </w:p>
    <w:p w14:paraId="5EEB8B41" w14:textId="340D09F8" w:rsidR="004B5A4B" w:rsidRPr="003D2E34" w:rsidRDefault="004B5A4B" w:rsidP="005052BA">
      <w:pPr>
        <w:pStyle w:val="Akapitzlist"/>
        <w:numPr>
          <w:ilvl w:val="1"/>
          <w:numId w:val="8"/>
        </w:numPr>
        <w:spacing w:before="120" w:after="120" w:line="360" w:lineRule="auto"/>
        <w:ind w:left="1134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przeprowadzenie zewnętrznej, niezależnej analizy porównawczej wyceny rynkowej</w:t>
      </w:r>
      <w:r w:rsidR="137F4332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</w:t>
      </w:r>
      <w:r w:rsidR="00062CF2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(</w:t>
      </w: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p</w:t>
      </w:r>
      <w:r w:rsidR="00062CF2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kt.</w:t>
      </w: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2</w:t>
      </w:r>
      <w:r w:rsidR="007A641E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.</w:t>
      </w:r>
      <w:r w:rsidR="00F43FB6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</w:t>
      </w:r>
      <w:r w:rsidR="00062CF2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ppkt</w:t>
      </w:r>
      <w:r w:rsidR="007A641E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.</w:t>
      </w:r>
      <w:r w:rsidR="00062CF2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1)</w:t>
      </w: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powyżej) i oszacowania kosztów podmiotu wewnętrznego (p</w:t>
      </w:r>
      <w:r w:rsidR="00062CF2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kt. 2</w:t>
      </w:r>
      <w:r w:rsidR="007A641E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.</w:t>
      </w:r>
      <w:r w:rsidR="00062CF2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ppkt. 2)</w:t>
      </w: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powyżej) przez wyłonionego w otwartym konkursie eksperta rynkowego</w:t>
      </w:r>
      <w:r w:rsidRPr="003D2E34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pl-PL"/>
        </w:rPr>
        <w:t xml:space="preserve"> lub/i ekspertów z jednostek podległych i nadzorowanych przez - </w:t>
      </w:r>
      <w:r w:rsidR="004B55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OOW</w:t>
      </w:r>
      <w:r w:rsidRPr="003D2E34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pl-PL"/>
        </w:rPr>
        <w:t xml:space="preserve">, </w:t>
      </w: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w celu potwierdzenia lub zaprzeczenia oszczędnego i efektywnego gospodarowania środkami finansowymi.</w:t>
      </w:r>
    </w:p>
    <w:p w14:paraId="112959A4" w14:textId="27C439DE" w:rsidR="00CF0E60" w:rsidRPr="003D2E34" w:rsidRDefault="004B5A4B" w:rsidP="005052BA">
      <w:pPr>
        <w:spacing w:before="120" w:after="120" w:line="360" w:lineRule="auto"/>
        <w:contextualSpacing/>
        <w:rPr>
          <w:rFonts w:ascii="Calibri" w:hAnsi="Calibri" w:cs="Calibri"/>
          <w:b/>
          <w:bCs/>
          <w:iCs/>
          <w:sz w:val="24"/>
          <w:szCs w:val="24"/>
          <w:lang w:val="pl-PL"/>
        </w:rPr>
      </w:pPr>
      <w:r w:rsidRPr="003D2E34">
        <w:rPr>
          <w:rFonts w:ascii="Calibri" w:hAnsi="Calibri" w:cs="Calibri"/>
          <w:b/>
          <w:bCs/>
          <w:iCs/>
          <w:sz w:val="24"/>
          <w:szCs w:val="24"/>
          <w:lang w:val="pl-PL"/>
        </w:rPr>
        <w:t xml:space="preserve">Eksperci muszą jednocześnie spełniać warunek posiadania niezbędnej wiedzy eksperckiej oraz złożyć deklarację o braku konfliktu interesów/deklarację o bezstronności. </w:t>
      </w:r>
    </w:p>
    <w:p w14:paraId="378F6F45" w14:textId="77777777" w:rsidR="00062CF2" w:rsidRPr="003D2E34" w:rsidRDefault="00CF0E60" w:rsidP="005052BA">
      <w:pPr>
        <w:pStyle w:val="Akapitzlist"/>
        <w:numPr>
          <w:ilvl w:val="0"/>
          <w:numId w:val="19"/>
        </w:numPr>
        <w:spacing w:before="120" w:after="120" w:line="360" w:lineRule="auto"/>
        <w:rPr>
          <w:rFonts w:ascii="Calibri" w:hAnsi="Calibri" w:cs="Calibri"/>
          <w:b/>
          <w:bCs/>
          <w:iCs/>
          <w:sz w:val="24"/>
          <w:szCs w:val="24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O</w:t>
      </w:r>
      <w:r w:rsidR="004B5A4B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dbioru prac zgodnie z przyjętym harmonogramem realizacji Przedsięwzięcia wskazanym w Umowie/Porozumieniu o objęciu Przedsięwzięcia wsparciem</w:t>
      </w:r>
      <w:r w:rsidR="00062CF2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.</w:t>
      </w:r>
    </w:p>
    <w:p w14:paraId="01B24AA3" w14:textId="77777777" w:rsidR="00062CF2" w:rsidRPr="003D2E34" w:rsidRDefault="00CF0E60" w:rsidP="005052BA">
      <w:pPr>
        <w:pStyle w:val="Akapitzlist"/>
        <w:numPr>
          <w:ilvl w:val="0"/>
          <w:numId w:val="19"/>
        </w:numPr>
        <w:spacing w:before="120" w:after="120" w:line="360" w:lineRule="auto"/>
        <w:rPr>
          <w:rFonts w:ascii="Calibri" w:hAnsi="Calibri" w:cs="Calibri"/>
          <w:b/>
          <w:bCs/>
          <w:iCs/>
          <w:sz w:val="24"/>
          <w:szCs w:val="24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C</w:t>
      </w:r>
      <w:r w:rsidR="004B5A4B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yklicznego raportowania kosztów ponoszonych w trybie in-house do JW.</w:t>
      </w:r>
    </w:p>
    <w:p w14:paraId="0E819F8A" w14:textId="375CE462" w:rsidR="00CF0E60" w:rsidRPr="003D2E34" w:rsidRDefault="004B5A4B" w:rsidP="005052BA">
      <w:pPr>
        <w:pStyle w:val="Akapitzlist"/>
        <w:numPr>
          <w:ilvl w:val="0"/>
          <w:numId w:val="19"/>
        </w:numPr>
        <w:spacing w:before="120" w:after="120" w:line="360" w:lineRule="auto"/>
        <w:rPr>
          <w:rFonts w:ascii="Calibri" w:hAnsi="Calibri" w:cs="Calibri"/>
          <w:b/>
          <w:bCs/>
          <w:iCs/>
          <w:sz w:val="24"/>
          <w:szCs w:val="24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Podmiot wewnętrzny zobowiązany jest do:</w:t>
      </w:r>
    </w:p>
    <w:p w14:paraId="2FB595F4" w14:textId="7E411592" w:rsidR="00CF0E60" w:rsidRPr="003D2E34" w:rsidRDefault="004B5A4B" w:rsidP="005052BA">
      <w:pPr>
        <w:pStyle w:val="Akapitzlist"/>
        <w:numPr>
          <w:ilvl w:val="1"/>
          <w:numId w:val="20"/>
        </w:numPr>
        <w:spacing w:before="120" w:after="120" w:line="360" w:lineRule="auto"/>
        <w:ind w:left="1134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lastRenderedPageBreak/>
        <w:t xml:space="preserve">dokonywania zakupów towarów, materiałów i usług dotyczących podpisanej umowy zgodnie z ustawą </w:t>
      </w:r>
      <w:r w:rsidR="00F43FB6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PZP</w:t>
      </w: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lub zgodnie z </w:t>
      </w:r>
      <w:r w:rsidR="00EF35D4" w:rsidRPr="003D2E34"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>Załącznikiem nr 3</w:t>
      </w:r>
      <w:r w:rsidR="00062CF2" w:rsidRPr="003D2E34"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>:</w:t>
      </w:r>
      <w:r w:rsidR="00EF35D4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</w:t>
      </w:r>
      <w:r w:rsidR="00062CF2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„</w:t>
      </w:r>
      <w:r w:rsidR="00EF35D4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Zasady kwalifikowania wydatków w Przedsięwzięciach realizowanych w ramach Inwestycji C3.1.1. Krajowego Planu Odbudowy i Zwiększania Odporności</w:t>
      </w:r>
      <w:r w:rsidR="00062CF2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”</w:t>
      </w: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;</w:t>
      </w:r>
    </w:p>
    <w:p w14:paraId="2700CA49" w14:textId="77777777" w:rsidR="00EF35D4" w:rsidRPr="003D2E34" w:rsidRDefault="004B5A4B" w:rsidP="005052BA">
      <w:pPr>
        <w:pStyle w:val="Akapitzlist"/>
        <w:numPr>
          <w:ilvl w:val="1"/>
          <w:numId w:val="20"/>
        </w:numPr>
        <w:spacing w:before="120" w:after="120" w:line="360" w:lineRule="auto"/>
        <w:ind w:left="1134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prowadzenia wyodrębnionej ewidencji czasu pracy w ramach umowy w celu zapewnienia pełnej weryfikowalności i przejrzystości;</w:t>
      </w:r>
    </w:p>
    <w:p w14:paraId="399C97CF" w14:textId="4BB62D9D" w:rsidR="004B5A4B" w:rsidRPr="003D2E34" w:rsidRDefault="004B5A4B" w:rsidP="005052BA">
      <w:pPr>
        <w:pStyle w:val="Akapitzlist"/>
        <w:numPr>
          <w:ilvl w:val="1"/>
          <w:numId w:val="20"/>
        </w:numPr>
        <w:spacing w:before="120" w:after="120" w:line="360" w:lineRule="auto"/>
        <w:ind w:left="1134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prowadzenia wyodrębnionej ewidencji księgowej kosztów związanych z realizacją danej umowy.</w:t>
      </w:r>
    </w:p>
    <w:p w14:paraId="1FA09AE1" w14:textId="75CD755C" w:rsidR="00117196" w:rsidRPr="003D2E34" w:rsidRDefault="00117196" w:rsidP="005052BA">
      <w:pPr>
        <w:pStyle w:val="Nagwek2"/>
        <w:numPr>
          <w:ilvl w:val="0"/>
          <w:numId w:val="23"/>
        </w:numPr>
        <w:spacing w:before="120" w:after="120" w:line="360" w:lineRule="auto"/>
        <w:contextualSpacing/>
        <w:rPr>
          <w:rFonts w:ascii="Calibri" w:hAnsi="Calibri" w:cs="Calibri"/>
          <w:color w:val="auto"/>
        </w:rPr>
      </w:pPr>
      <w:bookmarkStart w:id="10" w:name="_Toc161824962"/>
      <w:bookmarkStart w:id="11" w:name="_Toc78468510"/>
      <w:r w:rsidRPr="003D2E34">
        <w:rPr>
          <w:rFonts w:ascii="Calibri" w:hAnsi="Calibri" w:cs="Calibri"/>
          <w:color w:val="auto"/>
        </w:rPr>
        <w:t xml:space="preserve">Przykłady możliwych nieprawidłowości w obszarze </w:t>
      </w:r>
      <w:r w:rsidR="00D72C2E" w:rsidRPr="003D2E34">
        <w:rPr>
          <w:rFonts w:ascii="Calibri" w:hAnsi="Calibri" w:cs="Calibri"/>
          <w:color w:val="auto"/>
        </w:rPr>
        <w:t>zamówień</w:t>
      </w:r>
      <w:bookmarkEnd w:id="10"/>
    </w:p>
    <w:p w14:paraId="04697B44" w14:textId="77777777" w:rsidR="00062CF2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Nieuprawnione stosowanie trybów niekonkurencyjnych lub nieuprawnione stosowanie procedur przyspieszonych powołując się np. na termin zakończenia </w:t>
      </w:r>
      <w:r w:rsidR="004B5597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Przedsięwzięcia </w:t>
      </w: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lub koniec roku budżetowego.</w:t>
      </w:r>
    </w:p>
    <w:p w14:paraId="5BE91B5C" w14:textId="77777777" w:rsidR="00062CF2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Niekorzystne zjawisko „uzależnienia się” zamawiającego od pierwotnego wykonawcy systemu lub producenta sprzętu lub oprogramowania gotowego, uniemożliwiające nabycie niezbędnych usług lub dostaw w trybach konkurencyjnych np. brak zapewnienia sobie w pierwotnym przetargu autorskich</w:t>
      </w:r>
      <w:r w:rsidR="00BA1F4D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praw</w:t>
      </w:r>
      <w:r w:rsidR="00BA1F4D" w:rsidRPr="003D2E34">
        <w:rPr>
          <w:rFonts w:ascii="Calibri" w:hAnsi="Calibri" w:cs="Calibri"/>
          <w:iCs/>
          <w:sz w:val="24"/>
          <w:szCs w:val="24"/>
        </w:rPr>
        <w:t xml:space="preserve"> majątkowych oraz praw zależnych, w tym do kodów źródłowych i dokumentacji lub nabycie licencji na niewystarczających polach eksploatacji odpowiadających zakresowi Przedsięwzięcia</w:t>
      </w: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.</w:t>
      </w:r>
    </w:p>
    <w:p w14:paraId="53772933" w14:textId="77777777" w:rsidR="00062CF2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Nieuzasadnione udzielanie zamówień publicznych z wolnej ręki związanych z systemami informatycznymi, wynikające z niewłaściwego przygotowania postępowania i udzielania zamówienia publicznego.</w:t>
      </w:r>
    </w:p>
    <w:p w14:paraId="3F547C4E" w14:textId="77777777" w:rsidR="00062CF2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Niedopuszczenie przez zamawiającego zaoferowania produktu równoważnego lub usługi równoważnej, w przypadku opisania przedmiotu zamówienia publicznego poprzez wskazanie znaków towarowych, patentów, pochodzenia, źródła lub szczególnego procesu, który charakteryzuje produkty lub usługi dostarczane przez konkretnego wykonawcę.</w:t>
      </w:r>
    </w:p>
    <w:p w14:paraId="1D62AC13" w14:textId="77777777" w:rsidR="00062CF2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Nieuprawnione dzielenie zamówienia publicznego na części w celu zastosowania mniej restrykcyjnej zasady udzielenia zamówienia w sytuacji, gdy zamawiający wszczyna kilka postępowań, które są tożsame przedmiotowo i czasowo, a zamówienie publiczne może być wykonane przez jednego wykonawcę. Tożsamość czasową należy odnosić nie tylko do roku budżetowego, ale także do całego okresu realizacji </w:t>
      </w:r>
      <w:r w:rsidR="004B5597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Przedsięwzięcia</w:t>
      </w: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.</w:t>
      </w:r>
    </w:p>
    <w:p w14:paraId="2B522E60" w14:textId="77777777" w:rsidR="00062CF2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lastRenderedPageBreak/>
        <w:t xml:space="preserve">Nieuprawnione łączenie zamówień publicznych, które odrębnie udzielane wymagają zastosowania różnych zasad udzielenia. </w:t>
      </w:r>
    </w:p>
    <w:p w14:paraId="00D66FF4" w14:textId="77777777" w:rsidR="00062CF2" w:rsidRPr="003D2E34" w:rsidRDefault="00A43A42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Nieuprawnione łączenie zamówień publicznych, które odrębnie udzielane skutkowałoby zwiększeniem konkurencyjności ofert wykonawców i umożliwiałoby złożenie oferty przez podmioty zainteresowane konkretną częścią zamówienia, np. łącznie dostaw sprzętu wraz z usługami w postaci budowy systemów informatycznych.</w:t>
      </w:r>
    </w:p>
    <w:p w14:paraId="0ACF9E46" w14:textId="77777777" w:rsidR="00062CF2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Nieuzasadnione przedmiotem zamówienia publicznego ograniczenia dotyczące podwykonawstwa, np. wprowadzenie zasady, że określona w sposób procentowy część zamówienia publicznego nie może być zlecona podwykonawcom.</w:t>
      </w:r>
    </w:p>
    <w:p w14:paraId="76149532" w14:textId="77777777" w:rsidR="00062CF2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Wymaganie od wykonawcy posiadania potencjału technicznego już na etapie składania ofert/wniosków o dopuszczenie do udziału w postępowaniu.</w:t>
      </w:r>
    </w:p>
    <w:p w14:paraId="5866708C" w14:textId="77777777" w:rsidR="00062CF2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Żądanie, aby wykonawca posiadał doświadczenie w realizacji usług, dostaw lub robót budowlanych współfinansowanych ze środków UE lub z funduszy krajowych (w sytuacji, gdy fakt współfinansowania nie ma wpływu na potwierdzenie umiejętności wykonawcy w zakresie wykonania zamówienia publicznego)</w:t>
      </w:r>
      <w:r w:rsidR="001D09F0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.</w:t>
      </w:r>
    </w:p>
    <w:p w14:paraId="5701F839" w14:textId="77777777" w:rsidR="00062CF2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Żądanie zamawiającego, aby wykonawca posiadał doświadczenie w realizacji usług, dostaw lub robót budowlanych wykonywanych wyłącznie w Polsce.</w:t>
      </w:r>
    </w:p>
    <w:p w14:paraId="46977DA5" w14:textId="77777777" w:rsidR="00062CF2" w:rsidRPr="003D2E34" w:rsidRDefault="001D09F0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Żądanie zamawiającego, aby wykonawca posiadał doświadczenie w realizacji usług, dostaw lub robót budowlanych, przewyższających wartość szacunkową zamówienia.</w:t>
      </w:r>
    </w:p>
    <w:p w14:paraId="7CB3BB79" w14:textId="77777777" w:rsidR="00062CF2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Uwzględnianie przez zamawiającego jedynie doświadczenia zdobytego po uzyskaniu przez wykonawcę stosownych polskich uprawnień budowlanych lub posiadania doświadczenia zdobytego w Polsce.</w:t>
      </w:r>
    </w:p>
    <w:p w14:paraId="6635957D" w14:textId="76668A66" w:rsidR="00062CF2" w:rsidRPr="003D2E34" w:rsidRDefault="001D09F0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Nieuprawniony podział zamówienia na części, w sytuacji</w:t>
      </w:r>
      <w:r w:rsidR="00F7652D">
        <w:rPr>
          <w:rFonts w:ascii="Calibri" w:eastAsia="Times New Roman" w:hAnsi="Calibri" w:cs="Calibri"/>
          <w:iCs/>
          <w:sz w:val="24"/>
          <w:szCs w:val="24"/>
          <w:lang w:eastAsia="pl-PL"/>
        </w:rPr>
        <w:t>,</w:t>
      </w: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gdy w ramach kilku Przedsięwzięć realizowane są tożsame zamówienia, celem uniknięcia stosowania przepisów </w:t>
      </w:r>
      <w:r w:rsidR="007A0E63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PZP</w:t>
      </w: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lub zasad określonych w niniejszym dokumencie.</w:t>
      </w:r>
    </w:p>
    <w:p w14:paraId="40F46F15" w14:textId="77777777" w:rsidR="00225B38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Odrzucenie przez zamawiającego oferty zamiast dokonania poprawy oczywistej omyłki pisarskiej/rachunkowej/innej. </w:t>
      </w:r>
      <w:r w:rsidRPr="003D2E34">
        <w:rPr>
          <w:rFonts w:ascii="Calibri" w:eastAsia="Calibri" w:hAnsi="Calibri" w:cs="Calibri"/>
          <w:iCs/>
          <w:sz w:val="24"/>
          <w:szCs w:val="24"/>
        </w:rPr>
        <w:t xml:space="preserve">Za niedopuszczalne uznaje się natomiast uprzednie uzgodnienie z wykonawcą lub jakimkolwiek innym podmiotem/jakąkolwiek inną osobą sposobu poprawienia omyłek, które pojawiły się w ofercie, a o których mowa w przepisie art.  87 ust. 2 ustawy </w:t>
      </w:r>
      <w:r w:rsidR="007A0E63" w:rsidRPr="003D2E34">
        <w:rPr>
          <w:rFonts w:ascii="Calibri" w:eastAsia="Calibri" w:hAnsi="Calibri" w:cs="Calibri"/>
          <w:iCs/>
          <w:sz w:val="24"/>
          <w:szCs w:val="24"/>
        </w:rPr>
        <w:t>PZP</w:t>
      </w:r>
      <w:r w:rsidRPr="003D2E34">
        <w:rPr>
          <w:rFonts w:ascii="Calibri" w:eastAsia="Calibri" w:hAnsi="Calibri" w:cs="Calibri"/>
          <w:iCs/>
          <w:sz w:val="24"/>
          <w:szCs w:val="24"/>
        </w:rPr>
        <w:t>.</w:t>
      </w:r>
    </w:p>
    <w:p w14:paraId="05BE226D" w14:textId="320B4BC5" w:rsidR="00225B38" w:rsidRPr="003D2E34" w:rsidRDefault="001D09F0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Calibri" w:hAnsi="Calibri" w:cs="Calibri"/>
          <w:iCs/>
          <w:sz w:val="24"/>
          <w:szCs w:val="24"/>
        </w:rPr>
        <w:lastRenderedPageBreak/>
        <w:t>Konstruowanie kryteriów oceny ofert, które w połączeni</w:t>
      </w:r>
      <w:r w:rsidR="0025094C" w:rsidRPr="003D2E34">
        <w:rPr>
          <w:rFonts w:ascii="Calibri" w:eastAsia="Calibri" w:hAnsi="Calibri" w:cs="Calibri"/>
          <w:iCs/>
          <w:sz w:val="24"/>
          <w:szCs w:val="24"/>
        </w:rPr>
        <w:t>u z karami umownymi, mają charak</w:t>
      </w:r>
      <w:r w:rsidRPr="003D2E34">
        <w:rPr>
          <w:rFonts w:ascii="Calibri" w:eastAsia="Calibri" w:hAnsi="Calibri" w:cs="Calibri"/>
          <w:iCs/>
          <w:sz w:val="24"/>
          <w:szCs w:val="24"/>
        </w:rPr>
        <w:t>ter iluzoryczny, m.in. takich jak kryterium terminu realizacji w sytuacji</w:t>
      </w:r>
      <w:r w:rsidR="00F7652D">
        <w:rPr>
          <w:rFonts w:ascii="Calibri" w:eastAsia="Calibri" w:hAnsi="Calibri" w:cs="Calibri"/>
          <w:iCs/>
          <w:sz w:val="24"/>
          <w:szCs w:val="24"/>
        </w:rPr>
        <w:t>,</w:t>
      </w:r>
      <w:r w:rsidRPr="003D2E34">
        <w:rPr>
          <w:rFonts w:ascii="Calibri" w:eastAsia="Calibri" w:hAnsi="Calibri" w:cs="Calibri"/>
          <w:iCs/>
          <w:sz w:val="24"/>
          <w:szCs w:val="24"/>
        </w:rPr>
        <w:t xml:space="preserve"> gdy brak jest kar umownej za zwłokę/opóźnienie </w:t>
      </w:r>
      <w:r w:rsidR="0025094C" w:rsidRPr="003D2E34">
        <w:rPr>
          <w:rFonts w:ascii="Calibri" w:eastAsia="Calibri" w:hAnsi="Calibri" w:cs="Calibri"/>
          <w:iCs/>
          <w:sz w:val="24"/>
          <w:szCs w:val="24"/>
        </w:rPr>
        <w:t xml:space="preserve">ze strony </w:t>
      </w:r>
      <w:r w:rsidRPr="003D2E34">
        <w:rPr>
          <w:rFonts w:ascii="Calibri" w:eastAsia="Calibri" w:hAnsi="Calibri" w:cs="Calibri"/>
          <w:iCs/>
          <w:sz w:val="24"/>
          <w:szCs w:val="24"/>
        </w:rPr>
        <w:t>wykonawcy.</w:t>
      </w:r>
    </w:p>
    <w:p w14:paraId="78BA60CC" w14:textId="77777777" w:rsidR="00225B38" w:rsidRPr="003D2E34" w:rsidRDefault="001D09F0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Calibri" w:hAnsi="Calibri" w:cs="Calibri"/>
          <w:iCs/>
          <w:sz w:val="24"/>
          <w:szCs w:val="24"/>
        </w:rPr>
        <w:t>Odrzucenie przez zamawiającego ofert przewyższający</w:t>
      </w:r>
      <w:r w:rsidR="0025094C" w:rsidRPr="003D2E34">
        <w:rPr>
          <w:rFonts w:ascii="Calibri" w:eastAsia="Calibri" w:hAnsi="Calibri" w:cs="Calibri"/>
          <w:iCs/>
          <w:sz w:val="24"/>
          <w:szCs w:val="24"/>
        </w:rPr>
        <w:t>ch wartość środków, które zostały przeznaczone na realizację z</w:t>
      </w:r>
      <w:r w:rsidRPr="003D2E34">
        <w:rPr>
          <w:rFonts w:ascii="Calibri" w:eastAsia="Calibri" w:hAnsi="Calibri" w:cs="Calibri"/>
          <w:iCs/>
          <w:sz w:val="24"/>
          <w:szCs w:val="24"/>
        </w:rPr>
        <w:t>amówienia.</w:t>
      </w:r>
    </w:p>
    <w:p w14:paraId="24EDD672" w14:textId="77777777" w:rsidR="00225B38" w:rsidRPr="003D2E34" w:rsidRDefault="00405EC4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Calibri" w:hAnsi="Calibri" w:cs="Calibri"/>
          <w:iCs/>
          <w:sz w:val="24"/>
          <w:szCs w:val="24"/>
        </w:rPr>
        <w:t>Wybór oferty wykonawcy, która nie była najkorzystniejszą ofertą w postępowaniu, podczas gdy inne oferty uzyskały więcej punktów w ramach kryteriów oceny ofert i nie mieściły się w budżecie Zamawiającego.</w:t>
      </w:r>
    </w:p>
    <w:p w14:paraId="7377AA5E" w14:textId="77777777" w:rsidR="00225B38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Calibri" w:hAnsi="Calibri" w:cs="Calibri"/>
          <w:iCs/>
          <w:sz w:val="24"/>
          <w:szCs w:val="24"/>
        </w:rPr>
        <w:t>Przekazywanie wybranym wykonawcom określonych informacji dotyczących prowadzonego postępowania, które mogą stawiać ich w uprzywilejowanej pozycji w stosunku do innych wykonawców.</w:t>
      </w:r>
    </w:p>
    <w:p w14:paraId="411B30A7" w14:textId="77777777" w:rsidR="00225B38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Calibri" w:hAnsi="Calibri" w:cs="Calibri"/>
          <w:iCs/>
          <w:sz w:val="24"/>
          <w:szCs w:val="24"/>
        </w:rPr>
        <w:t>Wyznaczenie nowego terminu na złożenie wyjaśnień/uzupełnień po upływie pierwotnie wyznaczonego terminu. Zamawiający może rozważyć przedłużenie pierwotnie wyznaczonego terminu w trakcie jego biegu na odpowiednio umotywowany wniosek wykonawcy, mając na względzie potrzebę zachowania zasady uczciwej konkurencji i równego traktowania wykonawców.</w:t>
      </w:r>
    </w:p>
    <w:p w14:paraId="12769D8B" w14:textId="77777777" w:rsidR="00225B38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Calibri" w:hAnsi="Calibri" w:cs="Calibri"/>
          <w:iCs/>
          <w:sz w:val="24"/>
          <w:szCs w:val="24"/>
        </w:rPr>
        <w:t>Uznanie przez zamawiającego ofert, wyjaśnień lub uzupełnień, które wpłynęły do zamawiającego po upływie wyznaczonego terminu lub – w zakresie uzupełnień – także w nieodpowiedniej formie.</w:t>
      </w:r>
    </w:p>
    <w:p w14:paraId="4F2FCD2F" w14:textId="77777777" w:rsidR="00225B38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Calibri" w:hAnsi="Calibri" w:cs="Calibri"/>
          <w:iCs/>
          <w:sz w:val="24"/>
          <w:szCs w:val="24"/>
        </w:rPr>
        <w:t>Wszelkie działania mające na celu modyfikację daty lub godziny wpływu korespondencji do zamawiającego w sytuacji, gdy data lub godzina wpływu warunkuje uwzględnienie pisma wykonawcy.</w:t>
      </w:r>
    </w:p>
    <w:p w14:paraId="593B2456" w14:textId="77777777" w:rsidR="00225B38" w:rsidRPr="003D2E34" w:rsidRDefault="00577EB3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Calibri" w:hAnsi="Calibri" w:cs="Calibri"/>
          <w:iCs/>
          <w:sz w:val="24"/>
          <w:szCs w:val="24"/>
        </w:rPr>
        <w:t>Przygotowanie dokumentacji zamówienia w oparciu o konkretny produkt lub dostawcę.</w:t>
      </w:r>
    </w:p>
    <w:p w14:paraId="035670B6" w14:textId="77777777" w:rsidR="00225B38" w:rsidRPr="003D2E34" w:rsidRDefault="00577EB3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Calibri" w:hAnsi="Calibri" w:cs="Calibri"/>
          <w:iCs/>
          <w:sz w:val="24"/>
          <w:szCs w:val="24"/>
        </w:rPr>
        <w:t>Skracanie terminów składania ofert celem uniemożliwienia lub utrudnienia złożenia ofert przez innych wykonawców.</w:t>
      </w:r>
    </w:p>
    <w:p w14:paraId="02CA29E8" w14:textId="77777777" w:rsidR="00225B38" w:rsidRPr="003D2E34" w:rsidRDefault="00577EB3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Calibri" w:hAnsi="Calibri" w:cs="Calibri"/>
          <w:iCs/>
          <w:sz w:val="24"/>
          <w:szCs w:val="24"/>
        </w:rPr>
        <w:t>Ustalanie terminów realizacji zamówienia niemożliwe do realizacji dla potencjalnego wykonawcy a następnie aneksowanie umowy w oparciu o niejasne zapisy dotyczące terminów realizacji.</w:t>
      </w:r>
    </w:p>
    <w:p w14:paraId="6C6C748D" w14:textId="77777777" w:rsidR="00225B38" w:rsidRPr="003D2E34" w:rsidRDefault="001D09F0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Calibri" w:hAnsi="Calibri" w:cs="Calibri"/>
          <w:iCs/>
          <w:sz w:val="24"/>
          <w:szCs w:val="24"/>
        </w:rPr>
        <w:t>Niepublikowanie wzoru umowy.</w:t>
      </w:r>
    </w:p>
    <w:p w14:paraId="2AF095FB" w14:textId="77777777" w:rsidR="00225B38" w:rsidRPr="003D2E34" w:rsidRDefault="00577EB3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Calibri" w:hAnsi="Calibri" w:cs="Calibri"/>
          <w:iCs/>
          <w:sz w:val="24"/>
          <w:szCs w:val="24"/>
        </w:rPr>
        <w:t xml:space="preserve">Sporządzenie aneksu do umowy wydłużającego termin realizacji zamówienia, w </w:t>
      </w:r>
      <w:proofErr w:type="gramStart"/>
      <w:r w:rsidRPr="003D2E34">
        <w:rPr>
          <w:rFonts w:ascii="Calibri" w:eastAsia="Calibri" w:hAnsi="Calibri" w:cs="Calibri"/>
          <w:iCs/>
          <w:sz w:val="24"/>
          <w:szCs w:val="24"/>
        </w:rPr>
        <w:t>sytuacji</w:t>
      </w:r>
      <w:proofErr w:type="gramEnd"/>
      <w:r w:rsidRPr="003D2E34">
        <w:rPr>
          <w:rFonts w:ascii="Calibri" w:eastAsia="Calibri" w:hAnsi="Calibri" w:cs="Calibri"/>
          <w:iCs/>
          <w:sz w:val="24"/>
          <w:szCs w:val="24"/>
        </w:rPr>
        <w:t xml:space="preserve"> gdy przesłanka i warunki wydłużenia terminu nie zostały wprost określone w treści </w:t>
      </w:r>
      <w:r w:rsidRPr="003D2E34">
        <w:rPr>
          <w:rFonts w:ascii="Calibri" w:eastAsia="Calibri" w:hAnsi="Calibri" w:cs="Calibri"/>
          <w:iCs/>
          <w:sz w:val="24"/>
          <w:szCs w:val="24"/>
        </w:rPr>
        <w:lastRenderedPageBreak/>
        <w:t>wzoru umowy a termin realizacji był kryterium punktowanym w ramach kryteriów oceny ofert.</w:t>
      </w:r>
    </w:p>
    <w:p w14:paraId="10E91102" w14:textId="77777777" w:rsidR="00225B38" w:rsidRPr="003D2E34" w:rsidRDefault="00C07D05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Calibri" w:hAnsi="Calibri" w:cs="Calibri"/>
          <w:iCs/>
          <w:sz w:val="24"/>
          <w:szCs w:val="24"/>
        </w:rPr>
        <w:t>Profilowanie opisu przedmiotu zamówienia pod konkretną technologię/produkt lub producenta/dostawcę</w:t>
      </w:r>
      <w:r w:rsidR="00225B38" w:rsidRPr="003D2E34">
        <w:rPr>
          <w:rFonts w:ascii="Calibri" w:eastAsia="Calibri" w:hAnsi="Calibri" w:cs="Calibri"/>
          <w:iCs/>
          <w:sz w:val="24"/>
          <w:szCs w:val="24"/>
        </w:rPr>
        <w:t>.</w:t>
      </w:r>
    </w:p>
    <w:p w14:paraId="5DAD9195" w14:textId="4AFE4E40" w:rsidR="00671CC6" w:rsidRPr="003D2E34" w:rsidRDefault="00C07D05" w:rsidP="006446ED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Calibri" w:hAnsi="Calibri" w:cs="Calibri"/>
          <w:iCs/>
          <w:sz w:val="24"/>
          <w:szCs w:val="24"/>
        </w:rPr>
        <w:t xml:space="preserve">Nieuzasadnione stosowanie wyłączeń ustawowych. </w:t>
      </w:r>
    </w:p>
    <w:p w14:paraId="6A367185" w14:textId="4E5ABE4B" w:rsidR="000C47F8" w:rsidRPr="003D2E34" w:rsidRDefault="000C47F8" w:rsidP="005052BA">
      <w:pPr>
        <w:pStyle w:val="Nagwek2"/>
        <w:numPr>
          <w:ilvl w:val="0"/>
          <w:numId w:val="23"/>
        </w:numPr>
        <w:spacing w:before="120" w:after="120" w:line="360" w:lineRule="auto"/>
        <w:contextualSpacing/>
        <w:rPr>
          <w:rFonts w:ascii="Calibri" w:hAnsi="Calibri" w:cs="Calibri"/>
          <w:color w:val="auto"/>
        </w:rPr>
      </w:pPr>
      <w:bookmarkStart w:id="12" w:name="_Toc161824963"/>
      <w:r w:rsidRPr="003D2E34">
        <w:rPr>
          <w:rFonts w:ascii="Calibri" w:hAnsi="Calibri" w:cs="Calibri"/>
          <w:color w:val="auto"/>
        </w:rPr>
        <w:t>Zestawienie regulacji w za</w:t>
      </w:r>
      <w:r w:rsidR="009E4385" w:rsidRPr="003D2E34">
        <w:rPr>
          <w:rFonts w:ascii="Calibri" w:hAnsi="Calibri" w:cs="Calibri"/>
          <w:color w:val="auto"/>
        </w:rPr>
        <w:t xml:space="preserve">kresie zasady konkurencyjności </w:t>
      </w:r>
      <w:r w:rsidRPr="003D2E34">
        <w:rPr>
          <w:rFonts w:ascii="Calibri" w:hAnsi="Calibri" w:cs="Calibri"/>
          <w:color w:val="auto"/>
        </w:rPr>
        <w:t>w odniesieniu do konieczności stosowania przez zamawiającego określonej ścieżki postępowania</w:t>
      </w:r>
      <w:bookmarkEnd w:id="11"/>
      <w:bookmarkEnd w:id="12"/>
    </w:p>
    <w:p w14:paraId="3952CBA5" w14:textId="6CB39097" w:rsidR="000C47F8" w:rsidRPr="003D2E34" w:rsidRDefault="000C47F8" w:rsidP="005052BA">
      <w:pPr>
        <w:spacing w:before="120" w:after="120" w:line="360" w:lineRule="auto"/>
        <w:contextualSpacing/>
        <w:rPr>
          <w:rFonts w:ascii="Calibri" w:eastAsia="MS Mincho" w:hAnsi="Calibri" w:cs="Calibri"/>
          <w:iCs/>
          <w:sz w:val="24"/>
          <w:szCs w:val="24"/>
          <w:lang w:val="pl-PL"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Poniższe zestawienie zostało opracowane na podstawie informacji zawartych w niniejszym </w:t>
      </w:r>
      <w:r w:rsidR="007A641E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Z</w:t>
      </w:r>
      <w:r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ałączniku</w:t>
      </w:r>
      <w:r w:rsidR="00276958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.</w:t>
      </w:r>
    </w:p>
    <w:tbl>
      <w:tblPr>
        <w:tblStyle w:val="Tabela-Siatka"/>
        <w:tblW w:w="5256" w:type="pct"/>
        <w:tblInd w:w="-459" w:type="dxa"/>
        <w:tblLook w:val="04A0" w:firstRow="1" w:lastRow="0" w:firstColumn="1" w:lastColumn="0" w:noHBand="0" w:noVBand="1"/>
      </w:tblPr>
      <w:tblGrid>
        <w:gridCol w:w="1730"/>
        <w:gridCol w:w="2693"/>
        <w:gridCol w:w="2473"/>
        <w:gridCol w:w="2630"/>
      </w:tblGrid>
      <w:tr w:rsidR="00906924" w:rsidRPr="003D2E34" w14:paraId="0A069939" w14:textId="68C284E7" w:rsidTr="000F2980">
        <w:trPr>
          <w:trHeight w:val="235"/>
        </w:trPr>
        <w:tc>
          <w:tcPr>
            <w:tcW w:w="1730" w:type="dxa"/>
            <w:vMerge w:val="restart"/>
            <w:vAlign w:val="center"/>
          </w:tcPr>
          <w:p w14:paraId="385B3A94" w14:textId="77777777" w:rsidR="00906924" w:rsidRPr="003D2E34" w:rsidRDefault="00906924" w:rsidP="005052BA">
            <w:pPr>
              <w:spacing w:before="120" w:after="120" w:line="360" w:lineRule="auto"/>
              <w:ind w:left="203"/>
              <w:contextualSpacing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Wartość zamówienia</w:t>
            </w:r>
          </w:p>
        </w:tc>
        <w:tc>
          <w:tcPr>
            <w:tcW w:w="7796" w:type="dxa"/>
            <w:gridSpan w:val="3"/>
            <w:vAlign w:val="center"/>
          </w:tcPr>
          <w:p w14:paraId="1EE31E1A" w14:textId="77777777" w:rsidR="00906924" w:rsidRPr="003D2E34" w:rsidRDefault="00906924" w:rsidP="005052BA">
            <w:pPr>
              <w:spacing w:before="120" w:after="120" w:line="360" w:lineRule="auto"/>
              <w:contextualSpacing/>
              <w:jc w:val="center"/>
              <w:rPr>
                <w:rFonts w:ascii="Calibri" w:eastAsia="MS Mincho" w:hAnsi="Calibri" w:cs="Calibri"/>
                <w:b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b/>
                <w:bCs/>
                <w:iCs/>
                <w:sz w:val="24"/>
                <w:szCs w:val="24"/>
                <w:lang w:val="pl-PL" w:eastAsia="ja-JP"/>
              </w:rPr>
              <w:t>Regulacja w zakresie zasady uczciwej konkurencji</w:t>
            </w:r>
          </w:p>
        </w:tc>
      </w:tr>
      <w:tr w:rsidR="00906924" w:rsidRPr="003D2E34" w14:paraId="5F328D1D" w14:textId="23FDC7BD" w:rsidTr="000F2980">
        <w:trPr>
          <w:trHeight w:val="934"/>
        </w:trPr>
        <w:tc>
          <w:tcPr>
            <w:tcW w:w="1730" w:type="dxa"/>
            <w:vMerge/>
            <w:vAlign w:val="center"/>
          </w:tcPr>
          <w:p w14:paraId="3A30E803" w14:textId="77777777" w:rsidR="00906924" w:rsidRPr="003D2E34" w:rsidRDefault="00906924" w:rsidP="005052BA">
            <w:pPr>
              <w:spacing w:before="120" w:after="120" w:line="360" w:lineRule="auto"/>
              <w:ind w:left="403"/>
              <w:contextualSpacing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</w:p>
        </w:tc>
        <w:tc>
          <w:tcPr>
            <w:tcW w:w="2693" w:type="dxa"/>
            <w:vAlign w:val="center"/>
          </w:tcPr>
          <w:p w14:paraId="01419FCC" w14:textId="78C23DF4" w:rsidR="00906924" w:rsidRPr="003D2E34" w:rsidRDefault="00906924" w:rsidP="005052BA">
            <w:pPr>
              <w:spacing w:before="120" w:after="120" w:line="360" w:lineRule="auto"/>
              <w:ind w:left="89"/>
              <w:contextualSpacing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 xml:space="preserve">Zamawiający zobligowani do stosowania PZP (zgodnie z zapisami PZP) </w:t>
            </w:r>
          </w:p>
        </w:tc>
        <w:tc>
          <w:tcPr>
            <w:tcW w:w="2473" w:type="dxa"/>
            <w:vAlign w:val="center"/>
          </w:tcPr>
          <w:p w14:paraId="4D9C0D61" w14:textId="473DEC35" w:rsidR="00906924" w:rsidRPr="003D2E34" w:rsidRDefault="00906924" w:rsidP="005052BA">
            <w:pPr>
              <w:spacing w:before="120" w:after="120" w:line="360" w:lineRule="auto"/>
              <w:ind w:left="54"/>
              <w:contextualSpacing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Zamawiający zobowiązani do przestrzegania zasady konkurencyjności o której mowa w sekcji II.</w:t>
            </w:r>
          </w:p>
        </w:tc>
        <w:tc>
          <w:tcPr>
            <w:tcW w:w="2630" w:type="dxa"/>
            <w:vAlign w:val="center"/>
          </w:tcPr>
          <w:p w14:paraId="76BA2BE3" w14:textId="351AA208" w:rsidR="00906924" w:rsidRPr="003D2E34" w:rsidRDefault="00906924" w:rsidP="005052BA">
            <w:pPr>
              <w:spacing w:before="120" w:after="120" w:line="360" w:lineRule="auto"/>
              <w:ind w:left="80"/>
              <w:contextualSpacing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Zamawiający niezobowiązani do stosowania PZP lub zasady konkurencyjności, o której mowa w sekcji</w:t>
            </w:r>
            <w:r w:rsidR="00F7652D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 xml:space="preserve"> </w:t>
            </w: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II</w:t>
            </w:r>
            <w:r w:rsidR="00B3331B"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I</w:t>
            </w: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.</w:t>
            </w:r>
          </w:p>
        </w:tc>
      </w:tr>
      <w:tr w:rsidR="00906924" w:rsidRPr="003D2E34" w14:paraId="45AE1236" w14:textId="3EB61510" w:rsidTr="000F2980">
        <w:trPr>
          <w:trHeight w:val="70"/>
        </w:trPr>
        <w:tc>
          <w:tcPr>
            <w:tcW w:w="1730" w:type="dxa"/>
            <w:vAlign w:val="center"/>
          </w:tcPr>
          <w:p w14:paraId="315C6FDF" w14:textId="77777777" w:rsidR="00906924" w:rsidRPr="003D2E34" w:rsidRDefault="00906924" w:rsidP="005052BA">
            <w:pPr>
              <w:spacing w:before="120" w:after="120" w:line="360" w:lineRule="auto"/>
              <w:ind w:left="61"/>
              <w:contextualSpacing/>
              <w:jc w:val="center"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1</w:t>
            </w:r>
          </w:p>
        </w:tc>
        <w:tc>
          <w:tcPr>
            <w:tcW w:w="2693" w:type="dxa"/>
            <w:vAlign w:val="center"/>
          </w:tcPr>
          <w:p w14:paraId="423C8BCA" w14:textId="77777777" w:rsidR="00906924" w:rsidRPr="003D2E34" w:rsidRDefault="00906924" w:rsidP="005052BA">
            <w:pPr>
              <w:spacing w:before="120" w:after="120" w:line="360" w:lineRule="auto"/>
              <w:ind w:left="89"/>
              <w:contextualSpacing/>
              <w:jc w:val="center"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2</w:t>
            </w:r>
          </w:p>
        </w:tc>
        <w:tc>
          <w:tcPr>
            <w:tcW w:w="2473" w:type="dxa"/>
            <w:vAlign w:val="center"/>
          </w:tcPr>
          <w:p w14:paraId="27CB8CB1" w14:textId="77777777" w:rsidR="00906924" w:rsidRPr="003D2E34" w:rsidRDefault="00906924" w:rsidP="005052BA">
            <w:pPr>
              <w:spacing w:before="120" w:after="120" w:line="360" w:lineRule="auto"/>
              <w:ind w:left="54"/>
              <w:contextualSpacing/>
              <w:jc w:val="center"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3</w:t>
            </w:r>
          </w:p>
        </w:tc>
        <w:tc>
          <w:tcPr>
            <w:tcW w:w="2630" w:type="dxa"/>
            <w:vAlign w:val="center"/>
          </w:tcPr>
          <w:p w14:paraId="46E120A4" w14:textId="77777777" w:rsidR="00906924" w:rsidRPr="003D2E34" w:rsidRDefault="00906924" w:rsidP="005052BA">
            <w:pPr>
              <w:spacing w:before="120" w:after="120" w:line="360" w:lineRule="auto"/>
              <w:ind w:left="80"/>
              <w:contextualSpacing/>
              <w:jc w:val="center"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4</w:t>
            </w:r>
          </w:p>
        </w:tc>
      </w:tr>
      <w:tr w:rsidR="00906924" w:rsidRPr="003D2E34" w14:paraId="14A3AF14" w14:textId="06982CBF" w:rsidTr="000F2980">
        <w:tc>
          <w:tcPr>
            <w:tcW w:w="1730" w:type="dxa"/>
            <w:vAlign w:val="center"/>
          </w:tcPr>
          <w:p w14:paraId="41FD8B44" w14:textId="11078283" w:rsidR="00906924" w:rsidRPr="003D2E34" w:rsidRDefault="00906924" w:rsidP="005052BA">
            <w:pPr>
              <w:spacing w:before="120" w:after="120" w:line="360" w:lineRule="auto"/>
              <w:contextualSpacing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 xml:space="preserve">Do - </w:t>
            </w:r>
            <w:r w:rsidR="00B3331B"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 xml:space="preserve">80 </w:t>
            </w: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tys. PLN netto włącznie</w:t>
            </w:r>
          </w:p>
        </w:tc>
        <w:tc>
          <w:tcPr>
            <w:tcW w:w="2693" w:type="dxa"/>
            <w:vAlign w:val="center"/>
          </w:tcPr>
          <w:p w14:paraId="36D48DE4" w14:textId="1E20AC13" w:rsidR="00906924" w:rsidRPr="003D2E34" w:rsidRDefault="00906924" w:rsidP="005052BA">
            <w:pPr>
              <w:spacing w:before="120" w:after="120" w:line="360" w:lineRule="auto"/>
              <w:ind w:left="89"/>
              <w:contextualSpacing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Własne wewnętrzne uregulowania określające zasady dokonywania zakupu towarów, usług oraz robót budowlanych.</w:t>
            </w:r>
          </w:p>
        </w:tc>
        <w:tc>
          <w:tcPr>
            <w:tcW w:w="2473" w:type="dxa"/>
            <w:vAlign w:val="center"/>
          </w:tcPr>
          <w:p w14:paraId="135423AC" w14:textId="16B074F9" w:rsidR="00906924" w:rsidRPr="003D2E34" w:rsidRDefault="00906924" w:rsidP="005052BA">
            <w:pPr>
              <w:spacing w:before="120" w:after="120" w:line="360" w:lineRule="auto"/>
              <w:ind w:left="54"/>
              <w:contextualSpacing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Własne wewnętrzne uregulowania określające zasady dokonywania zakupu towarów, usług oraz robót budowlanych.</w:t>
            </w:r>
          </w:p>
        </w:tc>
        <w:tc>
          <w:tcPr>
            <w:tcW w:w="2630" w:type="dxa"/>
            <w:vAlign w:val="center"/>
          </w:tcPr>
          <w:p w14:paraId="1DE927AC" w14:textId="18E4EDA1" w:rsidR="00906924" w:rsidRPr="003D2E34" w:rsidRDefault="00906924" w:rsidP="005052BA">
            <w:pPr>
              <w:spacing w:before="120" w:after="120" w:line="360" w:lineRule="auto"/>
              <w:ind w:left="80"/>
              <w:contextualSpacing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Własne wewnętrzne uregulowania określające zasady dokonywania zakupu towarów, usług oraz robót budowlanych</w:t>
            </w:r>
            <w:r w:rsidR="00B3331B"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.</w:t>
            </w: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 xml:space="preserve"> Koszty w ramach Przedsięwzięcia muszą być ponoszone w sposób przejrzysty, racjonalny i efektywny.</w:t>
            </w:r>
          </w:p>
        </w:tc>
      </w:tr>
      <w:tr w:rsidR="00906924" w:rsidRPr="003D2E34" w14:paraId="69219D1D" w14:textId="3956BB07" w:rsidTr="000F2980">
        <w:trPr>
          <w:trHeight w:val="944"/>
        </w:trPr>
        <w:tc>
          <w:tcPr>
            <w:tcW w:w="1730" w:type="dxa"/>
            <w:vAlign w:val="center"/>
          </w:tcPr>
          <w:p w14:paraId="66805194" w14:textId="34C9F0CA" w:rsidR="00906924" w:rsidRPr="003D2E34" w:rsidRDefault="00906924" w:rsidP="005052BA">
            <w:pPr>
              <w:spacing w:before="120" w:after="120" w:line="360" w:lineRule="auto"/>
              <w:contextualSpacing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lastRenderedPageBreak/>
              <w:t xml:space="preserve">Powyżej </w:t>
            </w:r>
            <w:r w:rsidR="00B3331B"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 xml:space="preserve">80 </w:t>
            </w: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tys. PLN netto – do kwoty 130 tys. PLN netto</w:t>
            </w:r>
          </w:p>
        </w:tc>
        <w:tc>
          <w:tcPr>
            <w:tcW w:w="2693" w:type="dxa"/>
            <w:vAlign w:val="center"/>
          </w:tcPr>
          <w:p w14:paraId="63C68743" w14:textId="6296E964" w:rsidR="00906924" w:rsidRPr="003D2E34" w:rsidRDefault="00906924" w:rsidP="005052BA">
            <w:pPr>
              <w:spacing w:before="120" w:after="120" w:line="360" w:lineRule="auto"/>
              <w:ind w:left="89"/>
              <w:contextualSpacing/>
              <w:jc w:val="center"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Sekcja II.</w:t>
            </w:r>
          </w:p>
        </w:tc>
        <w:tc>
          <w:tcPr>
            <w:tcW w:w="2473" w:type="dxa"/>
            <w:vAlign w:val="center"/>
          </w:tcPr>
          <w:p w14:paraId="523FEFC7" w14:textId="177AF1B2" w:rsidR="00906924" w:rsidRPr="003D2E34" w:rsidRDefault="00906924" w:rsidP="005052BA">
            <w:pPr>
              <w:spacing w:before="120" w:after="120" w:line="360" w:lineRule="auto"/>
              <w:ind w:left="54"/>
              <w:contextualSpacing/>
              <w:jc w:val="center"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Sekcja II.</w:t>
            </w:r>
          </w:p>
        </w:tc>
        <w:tc>
          <w:tcPr>
            <w:tcW w:w="2630" w:type="dxa"/>
            <w:vAlign w:val="center"/>
          </w:tcPr>
          <w:p w14:paraId="79DE8858" w14:textId="0ED022FD" w:rsidR="00906924" w:rsidRPr="003D2E34" w:rsidRDefault="00906924" w:rsidP="005052BA">
            <w:pPr>
              <w:spacing w:before="120" w:after="120" w:line="360" w:lineRule="auto"/>
              <w:ind w:left="80"/>
              <w:contextualSpacing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 xml:space="preserve">Własne wewnętrzne uregulowania określające zasady dokonywania zakupu towarów, usług oraz robót budowlanych. Koszty w ramach Przedsięwzięcia muszą być ponoszone w sposób przejrzysty, racjonalny i efektywny. </w:t>
            </w:r>
          </w:p>
        </w:tc>
      </w:tr>
      <w:tr w:rsidR="00906924" w:rsidRPr="003D2E34" w14:paraId="281C4866" w14:textId="2690656E" w:rsidTr="00A1114A">
        <w:tc>
          <w:tcPr>
            <w:tcW w:w="1730" w:type="dxa"/>
            <w:vAlign w:val="center"/>
          </w:tcPr>
          <w:p w14:paraId="49955932" w14:textId="3BA41E20" w:rsidR="00906924" w:rsidRPr="003D2E34" w:rsidRDefault="00906924" w:rsidP="005052BA">
            <w:pPr>
              <w:spacing w:before="120" w:after="120" w:line="360" w:lineRule="auto"/>
              <w:contextualSpacing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Od 130 tys. PLN netto włącznie</w:t>
            </w:r>
          </w:p>
        </w:tc>
        <w:tc>
          <w:tcPr>
            <w:tcW w:w="2693" w:type="dxa"/>
            <w:vAlign w:val="center"/>
          </w:tcPr>
          <w:p w14:paraId="018BB014" w14:textId="3D9425E9" w:rsidR="00906924" w:rsidRPr="003D2E34" w:rsidRDefault="00906924" w:rsidP="005052BA">
            <w:pPr>
              <w:spacing w:before="120" w:after="120" w:line="360" w:lineRule="auto"/>
              <w:ind w:left="89"/>
              <w:contextualSpacing/>
              <w:jc w:val="center"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 xml:space="preserve">PZP </w:t>
            </w:r>
          </w:p>
        </w:tc>
        <w:tc>
          <w:tcPr>
            <w:tcW w:w="2473" w:type="dxa"/>
            <w:vAlign w:val="center"/>
          </w:tcPr>
          <w:p w14:paraId="66EEABBB" w14:textId="220B54A4" w:rsidR="00906924" w:rsidRPr="003D2E34" w:rsidRDefault="00906924" w:rsidP="005052BA">
            <w:pPr>
              <w:spacing w:before="120" w:after="120" w:line="360" w:lineRule="auto"/>
              <w:ind w:left="54"/>
              <w:contextualSpacing/>
              <w:jc w:val="center"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Sekcja II.</w:t>
            </w:r>
          </w:p>
        </w:tc>
        <w:tc>
          <w:tcPr>
            <w:tcW w:w="2630" w:type="dxa"/>
            <w:vAlign w:val="center"/>
          </w:tcPr>
          <w:p w14:paraId="6D3F152D" w14:textId="0360112A" w:rsidR="00906924" w:rsidRPr="003D2E34" w:rsidRDefault="00906924" w:rsidP="005052BA">
            <w:pPr>
              <w:spacing w:before="120" w:after="120" w:line="360" w:lineRule="auto"/>
              <w:ind w:left="80"/>
              <w:contextualSpacing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Własne wewnętrzne uregulowania określające zasady dokonywania zakupu towarów, usług oraz robót budowlanych</w:t>
            </w:r>
            <w:r w:rsidR="00EB31B4"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.</w:t>
            </w:r>
            <w:r w:rsidR="005066E5"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 xml:space="preserve"> </w:t>
            </w: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 xml:space="preserve">Koszty w ramach Przedsięwzięcia muszą być ponoszone w sposób przejrzysty, racjonalny i efektywny. </w:t>
            </w:r>
          </w:p>
        </w:tc>
      </w:tr>
    </w:tbl>
    <w:p w14:paraId="4CDF20EC" w14:textId="1E141131" w:rsidR="00D24E7A" w:rsidRPr="003D2E34" w:rsidRDefault="00D24E7A" w:rsidP="005052BA">
      <w:pPr>
        <w:spacing w:before="120" w:after="120" w:line="360" w:lineRule="auto"/>
        <w:contextualSpacing/>
        <w:rPr>
          <w:rFonts w:ascii="Calibri" w:eastAsia="MS Mincho" w:hAnsi="Calibri" w:cs="Calibri"/>
          <w:iCs/>
          <w:sz w:val="24"/>
          <w:szCs w:val="24"/>
          <w:lang w:val="pl-PL" w:eastAsia="ja-JP"/>
        </w:rPr>
      </w:pPr>
    </w:p>
    <w:sectPr w:rsidR="00D24E7A" w:rsidRPr="003D2E34" w:rsidSect="0090692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0B399" w14:textId="77777777" w:rsidR="003D04AD" w:rsidRDefault="003D04AD" w:rsidP="004A3775">
      <w:pPr>
        <w:spacing w:after="0" w:line="240" w:lineRule="auto"/>
      </w:pPr>
      <w:r>
        <w:separator/>
      </w:r>
    </w:p>
  </w:endnote>
  <w:endnote w:type="continuationSeparator" w:id="0">
    <w:p w14:paraId="14F6E055" w14:textId="77777777" w:rsidR="003D04AD" w:rsidRDefault="003D04AD" w:rsidP="004A3775">
      <w:pPr>
        <w:spacing w:after="0" w:line="240" w:lineRule="auto"/>
      </w:pPr>
      <w:r>
        <w:continuationSeparator/>
      </w:r>
    </w:p>
  </w:endnote>
  <w:endnote w:type="continuationNotice" w:id="1">
    <w:p w14:paraId="16F3D948" w14:textId="77777777" w:rsidR="003D04AD" w:rsidRDefault="003D04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2824502"/>
      <w:docPartObj>
        <w:docPartGallery w:val="Page Numbers (Bottom of Page)"/>
        <w:docPartUnique/>
      </w:docPartObj>
    </w:sdtPr>
    <w:sdtContent>
      <w:p w14:paraId="51E16BCE" w14:textId="4B3DF2FE" w:rsidR="000D4C28" w:rsidRPr="00634D03" w:rsidRDefault="000D4C28">
        <w:pPr>
          <w:pStyle w:val="Stopka"/>
          <w:jc w:val="right"/>
        </w:pPr>
        <w:r w:rsidRPr="00634D03">
          <w:fldChar w:fldCharType="begin"/>
        </w:r>
        <w:r w:rsidRPr="00634D03">
          <w:instrText>PAGE   \* MERGEFORMAT</w:instrText>
        </w:r>
        <w:r w:rsidRPr="00634D03">
          <w:fldChar w:fldCharType="separate"/>
        </w:r>
        <w:r w:rsidR="00664ED4" w:rsidRPr="00634D03">
          <w:rPr>
            <w:noProof/>
            <w:lang w:val="pl-PL"/>
          </w:rPr>
          <w:t>13</w:t>
        </w:r>
        <w:r w:rsidRPr="00634D03">
          <w:fldChar w:fldCharType="end"/>
        </w:r>
      </w:p>
    </w:sdtContent>
  </w:sdt>
  <w:p w14:paraId="5C7782AE" w14:textId="77777777" w:rsidR="000D4C28" w:rsidRDefault="000D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8481A" w14:textId="77777777" w:rsidR="003D04AD" w:rsidRDefault="003D04AD" w:rsidP="004A3775">
      <w:pPr>
        <w:spacing w:after="0" w:line="240" w:lineRule="auto"/>
      </w:pPr>
      <w:r>
        <w:separator/>
      </w:r>
    </w:p>
  </w:footnote>
  <w:footnote w:type="continuationSeparator" w:id="0">
    <w:p w14:paraId="3BB1031F" w14:textId="77777777" w:rsidR="003D04AD" w:rsidRDefault="003D04AD" w:rsidP="004A3775">
      <w:pPr>
        <w:spacing w:after="0" w:line="240" w:lineRule="auto"/>
      </w:pPr>
      <w:r>
        <w:continuationSeparator/>
      </w:r>
    </w:p>
  </w:footnote>
  <w:footnote w:type="continuationNotice" w:id="1">
    <w:p w14:paraId="52392379" w14:textId="77777777" w:rsidR="003D04AD" w:rsidRDefault="003D04AD">
      <w:pPr>
        <w:spacing w:after="0" w:line="240" w:lineRule="auto"/>
      </w:pPr>
    </w:p>
  </w:footnote>
  <w:footnote w:id="2">
    <w:p w14:paraId="472D7534" w14:textId="51F49634" w:rsidR="000D4C28" w:rsidRPr="00812017" w:rsidRDefault="000D4C28" w:rsidP="008B068D">
      <w:pPr>
        <w:pStyle w:val="Tekstprzypisudolnego"/>
        <w:jc w:val="both"/>
        <w:rPr>
          <w:rFonts w:cstheme="minorHAnsi"/>
          <w:lang w:val="pl-PL"/>
        </w:rPr>
      </w:pPr>
      <w:r w:rsidRPr="00812017">
        <w:rPr>
          <w:rStyle w:val="Odwoanieprzypisudolnego"/>
          <w:rFonts w:cstheme="minorHAnsi"/>
        </w:rPr>
        <w:footnoteRef/>
      </w:r>
      <w:r w:rsidRPr="00812017">
        <w:rPr>
          <w:rFonts w:cstheme="minorHAnsi"/>
          <w:lang w:val="pl-PL"/>
        </w:rPr>
        <w:t xml:space="preserve"> Określone w </w:t>
      </w:r>
      <w:r w:rsidRPr="005E1EA6">
        <w:rPr>
          <w:rFonts w:cstheme="minorHAnsi"/>
          <w:lang w:val="pl-PL"/>
        </w:rPr>
        <w:t xml:space="preserve">sekcji </w:t>
      </w:r>
      <w:r w:rsidR="005E1EA6" w:rsidRPr="005E1EA6">
        <w:rPr>
          <w:rFonts w:cstheme="minorHAnsi"/>
          <w:lang w:val="pl-PL"/>
        </w:rPr>
        <w:t>I.</w:t>
      </w:r>
      <w:r w:rsidR="00543235" w:rsidRPr="005E1EA6">
        <w:rPr>
          <w:rFonts w:cstheme="minorHAnsi"/>
          <w:lang w:val="pl-PL"/>
        </w:rPr>
        <w:t xml:space="preserve"> </w:t>
      </w:r>
      <w:r w:rsidRPr="005E1EA6">
        <w:rPr>
          <w:rFonts w:cstheme="minorHAnsi"/>
          <w:lang w:val="pl-PL"/>
        </w:rPr>
        <w:t>pkt</w:t>
      </w:r>
      <w:r w:rsidR="005E1EA6">
        <w:rPr>
          <w:rFonts w:cstheme="minorHAnsi"/>
          <w:lang w:val="pl-PL"/>
        </w:rPr>
        <w:t>.</w:t>
      </w:r>
      <w:r w:rsidRPr="005E1EA6">
        <w:rPr>
          <w:rFonts w:cstheme="minorHAnsi"/>
          <w:lang w:val="pl-PL"/>
        </w:rPr>
        <w:t xml:space="preserve"> </w:t>
      </w:r>
      <w:r w:rsidR="009C5ACA" w:rsidRPr="005E1EA6">
        <w:rPr>
          <w:rFonts w:cstheme="minorHAnsi"/>
          <w:lang w:val="pl-PL"/>
        </w:rPr>
        <w:t>8</w:t>
      </w:r>
      <w:r w:rsidR="005E1EA6">
        <w:rPr>
          <w:rFonts w:cstheme="minorHAnsi"/>
          <w:lang w:val="pl-PL"/>
        </w:rPr>
        <w:t>.</w:t>
      </w:r>
      <w:r w:rsidR="009C5ACA" w:rsidRPr="005E1EA6">
        <w:rPr>
          <w:rFonts w:cstheme="minorHAnsi"/>
          <w:lang w:val="pl-PL"/>
        </w:rPr>
        <w:t xml:space="preserve"> i 9</w:t>
      </w:r>
      <w:r w:rsidR="005E1EA6">
        <w:rPr>
          <w:rFonts w:cstheme="minorHAnsi"/>
          <w:lang w:val="pl-PL"/>
        </w:rPr>
        <w:t>.</w:t>
      </w:r>
      <w:r w:rsidRPr="00812017">
        <w:rPr>
          <w:rFonts w:cstheme="minorHAnsi"/>
          <w:lang w:val="pl-PL"/>
        </w:rPr>
        <w:t xml:space="preserve"> przesłanki umożliwiające niestosowanie procedur należy interpretować biorąc pod uwagę wykładnię odpowiednich przepisów </w:t>
      </w:r>
      <w:r w:rsidR="00812017">
        <w:rPr>
          <w:rFonts w:cstheme="minorHAnsi"/>
          <w:lang w:val="pl-PL"/>
        </w:rPr>
        <w:t>PZP</w:t>
      </w:r>
      <w:r w:rsidRPr="00812017">
        <w:rPr>
          <w:rFonts w:cstheme="minorHAnsi"/>
          <w:lang w:val="pl-PL"/>
        </w:rPr>
        <w:t xml:space="preserve"> umożliwiających zastosowanie trybu niekonkurencyjnego po spełnieniu określonych warunków.</w:t>
      </w:r>
    </w:p>
  </w:footnote>
  <w:footnote w:id="3">
    <w:p w14:paraId="66B7D75D" w14:textId="356F7923" w:rsidR="000D4C28" w:rsidRPr="003A36EC" w:rsidRDefault="000D4C28" w:rsidP="00C07D05">
      <w:pPr>
        <w:pStyle w:val="Tekstprzypisudolnego"/>
        <w:jc w:val="both"/>
        <w:rPr>
          <w:rFonts w:cstheme="minorHAnsi"/>
          <w:lang w:val="pl-PL"/>
        </w:rPr>
      </w:pPr>
      <w:r w:rsidRPr="003A36EC">
        <w:rPr>
          <w:rStyle w:val="Odwoanieprzypisudolnego"/>
          <w:rFonts w:cstheme="minorHAnsi"/>
        </w:rPr>
        <w:footnoteRef/>
      </w:r>
      <w:r w:rsidRPr="003A36EC">
        <w:rPr>
          <w:rFonts w:cstheme="minorHAnsi"/>
          <w:lang w:val="pl-PL"/>
        </w:rPr>
        <w:t xml:space="preserve"> Wskazane przesłanki należy interpretować zgodnie z wykładnią przepisów </w:t>
      </w:r>
      <w:r w:rsidR="00B6794F" w:rsidRPr="003A36EC">
        <w:rPr>
          <w:rFonts w:cstheme="minorHAnsi"/>
          <w:lang w:val="pl-PL"/>
        </w:rPr>
        <w:t xml:space="preserve">PZP </w:t>
      </w:r>
      <w:r w:rsidRPr="003A36EC">
        <w:rPr>
          <w:rFonts w:cstheme="minorHAnsi"/>
          <w:lang w:val="pl-PL"/>
        </w:rPr>
        <w:t>dotyczących szacowania wartości zamówienia.</w:t>
      </w:r>
    </w:p>
  </w:footnote>
  <w:footnote w:id="4">
    <w:p w14:paraId="219447E5" w14:textId="77777777" w:rsidR="000D4C28" w:rsidRPr="00A9616F" w:rsidRDefault="000D4C28" w:rsidP="00C07D05">
      <w:pPr>
        <w:pStyle w:val="Tekstprzypisudolnego"/>
        <w:jc w:val="both"/>
        <w:rPr>
          <w:rFonts w:ascii="Arial" w:hAnsi="Arial" w:cs="Arial"/>
          <w:sz w:val="18"/>
          <w:szCs w:val="18"/>
          <w:lang w:val="pl-PL"/>
        </w:rPr>
      </w:pPr>
      <w:r w:rsidRPr="003A36EC">
        <w:rPr>
          <w:rStyle w:val="Odwoanieprzypisudolnego"/>
          <w:rFonts w:cstheme="minorHAnsi"/>
        </w:rPr>
        <w:footnoteRef/>
      </w:r>
      <w:r w:rsidRPr="003A36EC">
        <w:rPr>
          <w:rFonts w:cstheme="minorHAnsi"/>
          <w:lang w:val="pl-PL"/>
        </w:rPr>
        <w:t xml:space="preserve"> Np. w przypadku Przedsięwzięć dotyczących organizacji misji gospodarczych i targów wartość zamówienia na usługi hotelowe czy dostawę biletów lotniczych szacuje się ze względu na specyfikę tych Przedsięwzięć co do zasady odrębnie dla każdego wydarzenia.</w:t>
      </w:r>
    </w:p>
  </w:footnote>
  <w:footnote w:id="5">
    <w:p w14:paraId="2D092A8A" w14:textId="1D30D15F" w:rsidR="000D4C28" w:rsidRPr="00415538" w:rsidRDefault="000D4C28" w:rsidP="00C07D05">
      <w:pPr>
        <w:pStyle w:val="Tekstprzypisudolnego"/>
        <w:jc w:val="both"/>
        <w:rPr>
          <w:rFonts w:cstheme="minorHAnsi"/>
          <w:lang w:val="pl-PL"/>
        </w:rPr>
      </w:pPr>
      <w:r w:rsidRPr="00415538">
        <w:rPr>
          <w:rStyle w:val="Odwoanieprzypisudolnego"/>
          <w:rFonts w:cstheme="minorHAnsi"/>
        </w:rPr>
        <w:footnoteRef/>
      </w:r>
      <w:r w:rsidRPr="00415538">
        <w:rPr>
          <w:rFonts w:cstheme="minorHAnsi"/>
          <w:lang w:val="pl-PL"/>
        </w:rPr>
        <w:t xml:space="preserve"> W przypadku podmiotu zobowiązanego do stosowania </w:t>
      </w:r>
      <w:r w:rsidR="00B6794F">
        <w:rPr>
          <w:rFonts w:cstheme="minorHAnsi"/>
          <w:lang w:val="pl-PL"/>
        </w:rPr>
        <w:t>PZP</w:t>
      </w:r>
      <w:r w:rsidR="00B6794F" w:rsidRPr="00415538">
        <w:rPr>
          <w:rFonts w:cstheme="minorHAnsi"/>
          <w:lang w:val="pl-PL"/>
        </w:rPr>
        <w:t xml:space="preserve"> </w:t>
      </w:r>
      <w:r w:rsidRPr="00415538">
        <w:rPr>
          <w:rFonts w:cstheme="minorHAnsi"/>
          <w:lang w:val="pl-PL"/>
        </w:rPr>
        <w:t xml:space="preserve">– nie dotyczy to zamówień o których mowa w art. 30 ust. 4 </w:t>
      </w:r>
      <w:r w:rsidR="00B6794F">
        <w:rPr>
          <w:rFonts w:cstheme="minorHAnsi"/>
          <w:lang w:val="pl-PL"/>
        </w:rPr>
        <w:t>PZP</w:t>
      </w:r>
      <w:r w:rsidRPr="00415538">
        <w:rPr>
          <w:rFonts w:cstheme="minorHAnsi"/>
          <w:lang w:val="pl-PL"/>
        </w:rPr>
        <w:t>.</w:t>
      </w:r>
    </w:p>
  </w:footnote>
  <w:footnote w:id="6">
    <w:p w14:paraId="2ECC6F39" w14:textId="756AEAC7" w:rsidR="000D4C28" w:rsidRPr="00523F95" w:rsidRDefault="000D4C28" w:rsidP="00BB0CA9">
      <w:pPr>
        <w:pStyle w:val="Tekstprzypisudolnego"/>
        <w:jc w:val="both"/>
        <w:rPr>
          <w:rFonts w:cstheme="minorHAnsi"/>
          <w:lang w:val="pl-PL"/>
        </w:rPr>
      </w:pPr>
      <w:r w:rsidRPr="00303221">
        <w:rPr>
          <w:rStyle w:val="Odwoanieprzypisudolnego"/>
          <w:rFonts w:cstheme="minorHAnsi"/>
        </w:rPr>
        <w:footnoteRef/>
      </w:r>
      <w:r w:rsidRPr="00303221">
        <w:rPr>
          <w:rFonts w:cstheme="minorHAnsi"/>
          <w:lang w:val="pl-PL"/>
        </w:rPr>
        <w:t xml:space="preserve"> Wspólny</w:t>
      </w:r>
      <w:r w:rsidR="00303221">
        <w:rPr>
          <w:rFonts w:cstheme="minorHAnsi"/>
          <w:lang w:val="pl-PL"/>
        </w:rPr>
        <w:t xml:space="preserve"> </w:t>
      </w:r>
      <w:r w:rsidRPr="00303221">
        <w:rPr>
          <w:rFonts w:cstheme="minorHAnsi"/>
          <w:lang w:val="pl-PL"/>
        </w:rPr>
        <w:t>Słownik</w:t>
      </w:r>
      <w:r w:rsidR="00303221">
        <w:rPr>
          <w:rFonts w:cstheme="minorHAnsi"/>
          <w:lang w:val="pl-PL"/>
        </w:rPr>
        <w:t xml:space="preserve"> </w:t>
      </w:r>
      <w:r w:rsidRPr="00303221">
        <w:rPr>
          <w:rFonts w:cstheme="minorHAnsi"/>
          <w:lang w:val="pl-PL"/>
        </w:rPr>
        <w:t>Zamówień</w:t>
      </w:r>
      <w:r w:rsidR="00303221">
        <w:rPr>
          <w:rFonts w:cstheme="minorHAnsi"/>
          <w:lang w:val="pl-PL"/>
        </w:rPr>
        <w:t xml:space="preserve"> </w:t>
      </w:r>
      <w:r w:rsidRPr="00303221">
        <w:rPr>
          <w:rFonts w:cstheme="minorHAnsi"/>
          <w:lang w:val="pl-PL"/>
        </w:rPr>
        <w:t>dostępny jest m. in.: pod adresem: http://kody.uzp.gov.p</w:t>
      </w:r>
      <w:r w:rsidR="00303221">
        <w:rPr>
          <w:rFonts w:cstheme="minorHAnsi"/>
          <w:lang w:val="pl-PL"/>
        </w:rPr>
        <w:t>l.</w:t>
      </w:r>
    </w:p>
  </w:footnote>
  <w:footnote w:id="7">
    <w:p w14:paraId="0B3F601F" w14:textId="221B7A9C" w:rsidR="000D4C28" w:rsidRPr="00FA6EB4" w:rsidRDefault="000D4C28" w:rsidP="00303221">
      <w:pPr>
        <w:pStyle w:val="Tekstprzypisudolnego"/>
        <w:rPr>
          <w:lang w:val="pl-PL"/>
        </w:rPr>
      </w:pPr>
      <w:r w:rsidRPr="00303221">
        <w:rPr>
          <w:rStyle w:val="Odwoanieprzypisudolnego"/>
          <w:rFonts w:cstheme="minorHAnsi"/>
        </w:rPr>
        <w:footnoteRef/>
      </w:r>
      <w:r w:rsidRPr="00303221">
        <w:rPr>
          <w:rFonts w:cstheme="minorHAnsi"/>
          <w:lang w:val="pl-PL"/>
        </w:rPr>
        <w:t xml:space="preserve"> Wykaz usług społecznych i innych szczególnych usług stanowi załącznik XIV do dyrektywy 2014/24/UE z dnia 26 lutego 2014 r. w sprawie zamówień publicznych, uchylającej dyrektywę 2004/18/WE (Dz. Urz. UE L 94 z 28.03.2014, str. 65, z </w:t>
      </w:r>
      <w:proofErr w:type="spellStart"/>
      <w:r w:rsidRPr="00303221">
        <w:rPr>
          <w:rFonts w:cstheme="minorHAnsi"/>
          <w:lang w:val="pl-PL"/>
        </w:rPr>
        <w:t>późn</w:t>
      </w:r>
      <w:proofErr w:type="spellEnd"/>
      <w:r w:rsidRPr="00303221">
        <w:rPr>
          <w:rFonts w:cstheme="minorHAnsi"/>
          <w:lang w:val="pl-PL"/>
        </w:rPr>
        <w:t xml:space="preserve">. zm.) oraz załącznik XVII dyrektywy 2014/25/UE z dnia 26 lutego 2014 r. w sprawie udzielania zamówień przez podmioty działające w sektorach gospodarki wodnej, energetyki, transportu i usług pocztowych, uchylającej dyrektywę 2004/17/WE (Dz. Urz. UE L 94 z 28.03.2014, str. 243, z </w:t>
      </w:r>
      <w:proofErr w:type="spellStart"/>
      <w:r w:rsidRPr="00303221">
        <w:rPr>
          <w:rFonts w:cstheme="minorHAnsi"/>
          <w:lang w:val="pl-PL"/>
        </w:rPr>
        <w:t>późn</w:t>
      </w:r>
      <w:proofErr w:type="spellEnd"/>
      <w:r w:rsidRPr="00303221">
        <w:rPr>
          <w:rFonts w:cstheme="minorHAnsi"/>
          <w:lang w:val="pl-PL"/>
        </w:rPr>
        <w:t>. zm.).</w:t>
      </w:r>
    </w:p>
  </w:footnote>
  <w:footnote w:id="8">
    <w:p w14:paraId="4B26B3F9" w14:textId="014B15BD" w:rsidR="000D4C28" w:rsidRPr="00D923F9" w:rsidRDefault="000D4C28" w:rsidP="00303221">
      <w:pPr>
        <w:pStyle w:val="Tekstprzypisudolnego"/>
        <w:rPr>
          <w:lang w:val="pl-PL"/>
        </w:rPr>
      </w:pPr>
      <w:r w:rsidRPr="00D923F9">
        <w:rPr>
          <w:rStyle w:val="Odwoanieprzypisudolnego"/>
        </w:rPr>
        <w:footnoteRef/>
      </w:r>
      <w:r w:rsidRPr="00D923F9">
        <w:rPr>
          <w:lang w:val="pl-PL"/>
        </w:rPr>
        <w:t xml:space="preserve"> Średni kurs PLN w stosunku do EUR stanowiący podstawę przeliczania wartości zamówień ustala się w oparciu o przepisy art. 3 </w:t>
      </w:r>
      <w:r w:rsidR="00EF35D4">
        <w:rPr>
          <w:lang w:val="pl-PL"/>
        </w:rPr>
        <w:t>PZP</w:t>
      </w:r>
      <w:r w:rsidRPr="00D923F9">
        <w:rPr>
          <w:lang w:val="pl-PL"/>
        </w:rPr>
        <w:t>.</w:t>
      </w:r>
    </w:p>
  </w:footnote>
  <w:footnote w:id="9">
    <w:p w14:paraId="0D3C6A0F" w14:textId="541010CF" w:rsidR="000D4C28" w:rsidRPr="007F6C2E" w:rsidRDefault="000D4C28" w:rsidP="005337E6">
      <w:pPr>
        <w:pStyle w:val="Tekstprzypisudolnego"/>
        <w:rPr>
          <w:rFonts w:cstheme="minorHAnsi"/>
          <w:lang w:val="pl-PL"/>
        </w:rPr>
      </w:pPr>
      <w:r w:rsidRPr="007F6C2E">
        <w:rPr>
          <w:rStyle w:val="Odwoanieprzypisudolnego"/>
          <w:rFonts w:cstheme="minorHAnsi"/>
        </w:rPr>
        <w:footnoteRef/>
      </w:r>
      <w:r w:rsidRPr="007F6C2E">
        <w:rPr>
          <w:rFonts w:cstheme="minorHAnsi"/>
          <w:lang w:val="pl-PL"/>
        </w:rPr>
        <w:t xml:space="preserve"> Nie dotyczy podmiotów będących zamawiającymi w rozumieniu </w:t>
      </w:r>
      <w:r w:rsidR="00EF35D4" w:rsidRPr="007F6C2E">
        <w:rPr>
          <w:rFonts w:cstheme="minorHAnsi"/>
          <w:lang w:val="pl-PL"/>
        </w:rPr>
        <w:t>PZP</w:t>
      </w:r>
      <w:r w:rsidRPr="007F6C2E">
        <w:rPr>
          <w:rFonts w:cstheme="minorHAnsi"/>
          <w:lang w:val="pl-PL"/>
        </w:rPr>
        <w:t>.</w:t>
      </w:r>
    </w:p>
  </w:footnote>
  <w:footnote w:id="10">
    <w:p w14:paraId="37AF51C4" w14:textId="77777777" w:rsidR="000D4C28" w:rsidRPr="00FA6EB4" w:rsidRDefault="000D4C28" w:rsidP="002204D4">
      <w:pPr>
        <w:pStyle w:val="Tekstprzypisudolnego"/>
        <w:rPr>
          <w:lang w:val="pl-PL"/>
        </w:rPr>
      </w:pPr>
      <w:r w:rsidRPr="007F6C2E">
        <w:rPr>
          <w:rStyle w:val="Odwoanieprzypisudolnego"/>
          <w:rFonts w:cstheme="minorHAnsi"/>
        </w:rPr>
        <w:footnoteRef/>
      </w:r>
      <w:r w:rsidRPr="007F6C2E">
        <w:rPr>
          <w:rFonts w:cstheme="minorHAnsi"/>
          <w:lang w:val="pl-PL"/>
        </w:rPr>
        <w:t xml:space="preserve"> Strona internetowa wskazana w komunikacie ministra właściwego do spraw rozwoju regionalnego, przeznaczona do umieszczania zapytań ofertowych (https://bazakonkurencyjnosci.funduszeeuropejskie.gov.pl/</w:t>
      </w:r>
    </w:p>
  </w:footnote>
  <w:footnote w:id="11">
    <w:p w14:paraId="4AFFACF6" w14:textId="076744FA" w:rsidR="000D4C28" w:rsidRPr="00415538" w:rsidRDefault="000D4C28" w:rsidP="003764D5">
      <w:pPr>
        <w:pStyle w:val="Tekstprzypisudolnego"/>
        <w:jc w:val="both"/>
        <w:rPr>
          <w:rFonts w:cstheme="minorHAnsi"/>
          <w:lang w:val="pl-PL"/>
        </w:rPr>
      </w:pPr>
      <w:r w:rsidRPr="00415538">
        <w:rPr>
          <w:rStyle w:val="Odwoanieprzypisudolnego"/>
          <w:rFonts w:cstheme="minorHAnsi"/>
        </w:rPr>
        <w:footnoteRef/>
      </w:r>
      <w:r w:rsidRPr="00415538">
        <w:rPr>
          <w:rFonts w:cstheme="minorHAnsi"/>
          <w:lang w:val="pl-PL"/>
        </w:rPr>
        <w:t xml:space="preserve"> Tajemnicę przedsiębiorstwa należy rozumieć zgodnie z przepisami o zwalczaniu nieuczciwej konkurencji (ustawa z dnia 16 kwietnia 1993 r. o zwalczaniu nieuczciwej konkurencji (Dz. U. z </w:t>
      </w:r>
      <w:r w:rsidR="0093770F" w:rsidRPr="00415538">
        <w:rPr>
          <w:rFonts w:cstheme="minorHAnsi"/>
          <w:lang w:val="pl-PL"/>
        </w:rPr>
        <w:t>202</w:t>
      </w:r>
      <w:r w:rsidR="0093770F">
        <w:rPr>
          <w:rFonts w:cstheme="minorHAnsi"/>
          <w:lang w:val="pl-PL"/>
        </w:rPr>
        <w:t>2</w:t>
      </w:r>
      <w:r w:rsidR="0093770F" w:rsidRPr="00415538">
        <w:rPr>
          <w:rFonts w:cstheme="minorHAnsi"/>
          <w:lang w:val="pl-PL"/>
        </w:rPr>
        <w:t xml:space="preserve"> </w:t>
      </w:r>
      <w:r w:rsidRPr="00415538">
        <w:rPr>
          <w:rFonts w:cstheme="minorHAnsi"/>
          <w:lang w:val="pl-PL"/>
        </w:rPr>
        <w:t xml:space="preserve">r. poz. </w:t>
      </w:r>
      <w:r w:rsidR="0093770F">
        <w:rPr>
          <w:rFonts w:cstheme="minorHAnsi"/>
          <w:lang w:val="pl-PL"/>
        </w:rPr>
        <w:t>1233</w:t>
      </w:r>
      <w:r w:rsidRPr="00415538">
        <w:rPr>
          <w:rFonts w:cstheme="minorHAnsi"/>
          <w:lang w:val="pl-PL"/>
        </w:rPr>
        <w:t>).</w:t>
      </w:r>
    </w:p>
  </w:footnote>
  <w:footnote w:id="12">
    <w:p w14:paraId="329B00D6" w14:textId="060584D8" w:rsidR="000D4C28" w:rsidRPr="00002616" w:rsidRDefault="000D4C28" w:rsidP="00002616">
      <w:pPr>
        <w:pStyle w:val="Tekstprzypisudolnego"/>
        <w:jc w:val="both"/>
        <w:rPr>
          <w:lang w:val="pl-PL"/>
        </w:rPr>
      </w:pPr>
      <w:r w:rsidRPr="00415538">
        <w:rPr>
          <w:rStyle w:val="Odwoanieprzypisudolnego"/>
          <w:rFonts w:cstheme="minorHAnsi"/>
        </w:rPr>
        <w:footnoteRef/>
      </w:r>
      <w:r w:rsidRPr="00415538">
        <w:rPr>
          <w:rFonts w:cstheme="minorHAnsi"/>
          <w:lang w:val="pl-PL"/>
        </w:rPr>
        <w:t xml:space="preserve"> Zmianę uznaje się za istotną jeżeli zmienia ogólny charakter umowy, w stosunku do charakteru umowy w pierwotnym brzmieniu albo nie zmienia ogólnego charakteru umowy i zachodzi co najmniej jedna z następujących okoliczności: zmiana wprowadza warunki, które, gdyby były postawione w postępowaniu o udzielenie zamówienia, to w tym postępowaniu wzięliby lub mogliby wziąć udział inni wykonawcy lub przyjęto by oferty innej treści, zmiana narusza równowagę ekonomiczną umowy na korzyść wykonawcy w sposób nieprzewidziany pierwotnie w umowie</w:t>
      </w:r>
      <w:r w:rsidR="00786086">
        <w:rPr>
          <w:rFonts w:cstheme="minorHAnsi"/>
          <w:lang w:val="pl-PL"/>
        </w:rPr>
        <w:t xml:space="preserve"> </w:t>
      </w:r>
      <w:r w:rsidRPr="00415538">
        <w:rPr>
          <w:rFonts w:cstheme="minorHAnsi"/>
          <w:lang w:val="pl-PL"/>
        </w:rPr>
        <w:t xml:space="preserve">zmiana znacznie rozszerza lub zmniejsza zakres świadczeń i zobowiązań wynikający z umowy lub polega na zastąpieniu wykonawcy, któremu zamawiający udzielił zamówienia, nowym wykonawcą, w przypadkach innych niż wymienione w </w:t>
      </w:r>
      <w:r w:rsidR="00786086">
        <w:rPr>
          <w:rFonts w:cstheme="minorHAnsi"/>
          <w:lang w:val="pl-PL"/>
        </w:rPr>
        <w:t>ppkt. 4)</w:t>
      </w:r>
      <w:r w:rsidRPr="00415538">
        <w:rPr>
          <w:rFonts w:cstheme="minorHAnsi"/>
          <w:lang w:val="pl-PL"/>
        </w:rPr>
        <w:t>.</w:t>
      </w:r>
    </w:p>
  </w:footnote>
  <w:footnote w:id="13">
    <w:p w14:paraId="60883367" w14:textId="0C0BA85E" w:rsidR="000D4C28" w:rsidRPr="00062CF2" w:rsidRDefault="000D4C28" w:rsidP="0097090F">
      <w:pPr>
        <w:pStyle w:val="Tekstprzypisudolnego"/>
        <w:rPr>
          <w:rFonts w:cstheme="minorHAnsi"/>
          <w:lang w:val="pl-PL"/>
        </w:rPr>
      </w:pPr>
      <w:r w:rsidRPr="00062CF2">
        <w:rPr>
          <w:rStyle w:val="Odwoanieprzypisudolnego"/>
          <w:rFonts w:cstheme="minorHAnsi"/>
        </w:rPr>
        <w:footnoteRef/>
      </w:r>
      <w:r w:rsidRPr="00062CF2">
        <w:rPr>
          <w:rFonts w:cstheme="minorHAnsi"/>
          <w:lang w:val="pl-PL"/>
        </w:rPr>
        <w:t xml:space="preserve"> Średni kurs PLN w stosunku do EUR stanowiący podstawę przeliczania wartości zamówień ustala się w oparciu o przepisy art. 3 </w:t>
      </w:r>
      <w:r w:rsidR="00062CF2">
        <w:rPr>
          <w:rFonts w:cstheme="minorHAnsi"/>
          <w:lang w:val="pl-PL"/>
        </w:rPr>
        <w:t>PZP</w:t>
      </w:r>
      <w:r w:rsidRPr="00062CF2">
        <w:rPr>
          <w:rFonts w:cstheme="minorHAnsi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2EA8" w14:textId="02C99C57" w:rsidR="00E94688" w:rsidRDefault="00E94688" w:rsidP="00E94688">
    <w:pPr>
      <w:pStyle w:val="Nagwek"/>
      <w:jc w:val="center"/>
    </w:pPr>
    <w:r>
      <w:rPr>
        <w:noProof/>
      </w:rPr>
      <w:drawing>
        <wp:inline distT="0" distB="0" distL="0" distR="0" wp14:anchorId="5CAFE036" wp14:editId="70C1E6AE">
          <wp:extent cx="5758180" cy="344170"/>
          <wp:effectExtent l="0" t="0" r="0" b="0"/>
          <wp:docPr id="20510117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7F7A05" w14:textId="77777777" w:rsidR="00C61F2C" w:rsidRPr="00E94688" w:rsidRDefault="00C61F2C" w:rsidP="00E9468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E95"/>
    <w:multiLevelType w:val="hybridMultilevel"/>
    <w:tmpl w:val="31142E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4B67E4"/>
    <w:multiLevelType w:val="hybridMultilevel"/>
    <w:tmpl w:val="20A264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B3860"/>
    <w:multiLevelType w:val="hybridMultilevel"/>
    <w:tmpl w:val="5E4CF9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A229B"/>
    <w:multiLevelType w:val="hybridMultilevel"/>
    <w:tmpl w:val="DBA4A104"/>
    <w:lvl w:ilvl="0" w:tplc="FFFFFFFF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5462C"/>
    <w:multiLevelType w:val="hybridMultilevel"/>
    <w:tmpl w:val="05DAC1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848E0"/>
    <w:multiLevelType w:val="hybridMultilevel"/>
    <w:tmpl w:val="0E4CFF56"/>
    <w:lvl w:ilvl="0" w:tplc="278C8A86">
      <w:start w:val="1"/>
      <w:numFmt w:val="decimal"/>
      <w:lvlText w:val="%1."/>
      <w:lvlJc w:val="left"/>
      <w:pPr>
        <w:ind w:left="1140" w:hanging="360"/>
      </w:pPr>
    </w:lvl>
    <w:lvl w:ilvl="1" w:tplc="ACA81832">
      <w:start w:val="1"/>
      <w:numFmt w:val="decimal"/>
      <w:lvlText w:val="%2."/>
      <w:lvlJc w:val="left"/>
      <w:pPr>
        <w:ind w:left="1140" w:hanging="360"/>
      </w:pPr>
    </w:lvl>
    <w:lvl w:ilvl="2" w:tplc="A33A6790">
      <w:start w:val="1"/>
      <w:numFmt w:val="decimal"/>
      <w:lvlText w:val="%3."/>
      <w:lvlJc w:val="left"/>
      <w:pPr>
        <w:ind w:left="1140" w:hanging="360"/>
      </w:pPr>
    </w:lvl>
    <w:lvl w:ilvl="3" w:tplc="58B0CCE4">
      <w:start w:val="1"/>
      <w:numFmt w:val="decimal"/>
      <w:lvlText w:val="%4."/>
      <w:lvlJc w:val="left"/>
      <w:pPr>
        <w:ind w:left="1140" w:hanging="360"/>
      </w:pPr>
    </w:lvl>
    <w:lvl w:ilvl="4" w:tplc="C632F54A">
      <w:start w:val="1"/>
      <w:numFmt w:val="decimal"/>
      <w:lvlText w:val="%5."/>
      <w:lvlJc w:val="left"/>
      <w:pPr>
        <w:ind w:left="1140" w:hanging="360"/>
      </w:pPr>
    </w:lvl>
    <w:lvl w:ilvl="5" w:tplc="D32A725C">
      <w:start w:val="1"/>
      <w:numFmt w:val="decimal"/>
      <w:lvlText w:val="%6."/>
      <w:lvlJc w:val="left"/>
      <w:pPr>
        <w:ind w:left="1140" w:hanging="360"/>
      </w:pPr>
    </w:lvl>
    <w:lvl w:ilvl="6" w:tplc="B8A89792">
      <w:start w:val="1"/>
      <w:numFmt w:val="decimal"/>
      <w:lvlText w:val="%7."/>
      <w:lvlJc w:val="left"/>
      <w:pPr>
        <w:ind w:left="1140" w:hanging="360"/>
      </w:pPr>
    </w:lvl>
    <w:lvl w:ilvl="7" w:tplc="6930C2DE">
      <w:start w:val="1"/>
      <w:numFmt w:val="decimal"/>
      <w:lvlText w:val="%8."/>
      <w:lvlJc w:val="left"/>
      <w:pPr>
        <w:ind w:left="1140" w:hanging="360"/>
      </w:pPr>
    </w:lvl>
    <w:lvl w:ilvl="8" w:tplc="453A3040">
      <w:start w:val="1"/>
      <w:numFmt w:val="decimal"/>
      <w:lvlText w:val="%9."/>
      <w:lvlJc w:val="left"/>
      <w:pPr>
        <w:ind w:left="1140" w:hanging="360"/>
      </w:pPr>
    </w:lvl>
  </w:abstractNum>
  <w:abstractNum w:abstractNumId="6" w15:restartNumberingAfterBreak="0">
    <w:nsid w:val="1E043465"/>
    <w:multiLevelType w:val="hybridMultilevel"/>
    <w:tmpl w:val="73B8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66AE0"/>
    <w:multiLevelType w:val="hybridMultilevel"/>
    <w:tmpl w:val="389280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2149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643C4"/>
    <w:multiLevelType w:val="hybridMultilevel"/>
    <w:tmpl w:val="724E72D0"/>
    <w:lvl w:ilvl="0" w:tplc="FFFFFFFF">
      <w:start w:val="1"/>
      <w:numFmt w:val="lowerRoman"/>
      <w:lvlText w:val="%1)"/>
      <w:lvlJc w:val="right"/>
      <w:pPr>
        <w:ind w:left="142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C4C3209"/>
    <w:multiLevelType w:val="hybridMultilevel"/>
    <w:tmpl w:val="84C4E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638098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5192E"/>
    <w:multiLevelType w:val="hybridMultilevel"/>
    <w:tmpl w:val="5AE0962C"/>
    <w:lvl w:ilvl="0" w:tplc="FFFFFFFF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52C1"/>
    <w:multiLevelType w:val="hybridMultilevel"/>
    <w:tmpl w:val="CA9662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8A6E24"/>
    <w:multiLevelType w:val="hybridMultilevel"/>
    <w:tmpl w:val="9702B226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EBA0695"/>
    <w:multiLevelType w:val="hybridMultilevel"/>
    <w:tmpl w:val="C93C99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373EA"/>
    <w:multiLevelType w:val="hybridMultilevel"/>
    <w:tmpl w:val="9E20A6F2"/>
    <w:lvl w:ilvl="0" w:tplc="FE36E18C">
      <w:start w:val="1"/>
      <w:numFmt w:val="decimal"/>
      <w:lvlText w:val="%1."/>
      <w:lvlJc w:val="left"/>
      <w:pPr>
        <w:ind w:left="42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57522912"/>
    <w:multiLevelType w:val="hybridMultilevel"/>
    <w:tmpl w:val="AFDAD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73FFC"/>
    <w:multiLevelType w:val="hybridMultilevel"/>
    <w:tmpl w:val="C536558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23AA5"/>
    <w:multiLevelType w:val="hybridMultilevel"/>
    <w:tmpl w:val="313E6BD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E6A32"/>
    <w:multiLevelType w:val="hybridMultilevel"/>
    <w:tmpl w:val="7DBC37EC"/>
    <w:lvl w:ilvl="0" w:tplc="FAA2D4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6754C"/>
    <w:multiLevelType w:val="hybridMultilevel"/>
    <w:tmpl w:val="E286D448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5B52E11"/>
    <w:multiLevelType w:val="hybridMultilevel"/>
    <w:tmpl w:val="194A8112"/>
    <w:lvl w:ilvl="0" w:tplc="FFFFFFFF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643C7"/>
    <w:multiLevelType w:val="hybridMultilevel"/>
    <w:tmpl w:val="8034E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97441"/>
    <w:multiLevelType w:val="hybridMultilevel"/>
    <w:tmpl w:val="23DC14C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F0069"/>
    <w:multiLevelType w:val="hybridMultilevel"/>
    <w:tmpl w:val="8E48FF32"/>
    <w:lvl w:ilvl="0" w:tplc="FFFFFFFF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4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740968">
    <w:abstractNumId w:val="16"/>
  </w:num>
  <w:num w:numId="2" w16cid:durableId="1778603124">
    <w:abstractNumId w:val="9"/>
  </w:num>
  <w:num w:numId="3" w16cid:durableId="1185166893">
    <w:abstractNumId w:val="22"/>
  </w:num>
  <w:num w:numId="4" w16cid:durableId="282616306">
    <w:abstractNumId w:val="21"/>
  </w:num>
  <w:num w:numId="5" w16cid:durableId="1580362292">
    <w:abstractNumId w:val="7"/>
  </w:num>
  <w:num w:numId="6" w16cid:durableId="1906724813">
    <w:abstractNumId w:val="2"/>
  </w:num>
  <w:num w:numId="7" w16cid:durableId="1863736986">
    <w:abstractNumId w:val="15"/>
  </w:num>
  <w:num w:numId="8" w16cid:durableId="1887335537">
    <w:abstractNumId w:val="18"/>
  </w:num>
  <w:num w:numId="9" w16cid:durableId="2137596421">
    <w:abstractNumId w:val="11"/>
  </w:num>
  <w:num w:numId="10" w16cid:durableId="1838496868">
    <w:abstractNumId w:val="1"/>
  </w:num>
  <w:num w:numId="11" w16cid:durableId="1798527616">
    <w:abstractNumId w:val="8"/>
  </w:num>
  <w:num w:numId="12" w16cid:durableId="1361471411">
    <w:abstractNumId w:val="4"/>
  </w:num>
  <w:num w:numId="13" w16cid:durableId="2084330088">
    <w:abstractNumId w:val="0"/>
  </w:num>
  <w:num w:numId="14" w16cid:durableId="244724619">
    <w:abstractNumId w:val="20"/>
  </w:num>
  <w:num w:numId="15" w16cid:durableId="897790501">
    <w:abstractNumId w:val="13"/>
  </w:num>
  <w:num w:numId="16" w16cid:durableId="967854936">
    <w:abstractNumId w:val="10"/>
  </w:num>
  <w:num w:numId="17" w16cid:durableId="1395273696">
    <w:abstractNumId w:val="3"/>
  </w:num>
  <w:num w:numId="18" w16cid:durableId="1531919628">
    <w:abstractNumId w:val="23"/>
  </w:num>
  <w:num w:numId="19" w16cid:durableId="1616133352">
    <w:abstractNumId w:val="14"/>
  </w:num>
  <w:num w:numId="20" w16cid:durableId="439689151">
    <w:abstractNumId w:val="17"/>
  </w:num>
  <w:num w:numId="21" w16cid:durableId="1370371522">
    <w:abstractNumId w:val="6"/>
  </w:num>
  <w:num w:numId="22" w16cid:durableId="17893705">
    <w:abstractNumId w:val="19"/>
  </w:num>
  <w:num w:numId="23" w16cid:durableId="1903102214">
    <w:abstractNumId w:val="12"/>
  </w:num>
  <w:num w:numId="24" w16cid:durableId="1157261856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08"/>
    <w:rsid w:val="00002616"/>
    <w:rsid w:val="000069FF"/>
    <w:rsid w:val="00011C57"/>
    <w:rsid w:val="00013694"/>
    <w:rsid w:val="00016D2C"/>
    <w:rsid w:val="000212F1"/>
    <w:rsid w:val="00024CD2"/>
    <w:rsid w:val="000250AC"/>
    <w:rsid w:val="00033023"/>
    <w:rsid w:val="00033A26"/>
    <w:rsid w:val="00033DE0"/>
    <w:rsid w:val="00034C68"/>
    <w:rsid w:val="00035E99"/>
    <w:rsid w:val="0003677B"/>
    <w:rsid w:val="00042CEF"/>
    <w:rsid w:val="00043291"/>
    <w:rsid w:val="000521A3"/>
    <w:rsid w:val="00056C35"/>
    <w:rsid w:val="00062CF2"/>
    <w:rsid w:val="0008548C"/>
    <w:rsid w:val="00087EAC"/>
    <w:rsid w:val="000A2730"/>
    <w:rsid w:val="000C2DCE"/>
    <w:rsid w:val="000C47F8"/>
    <w:rsid w:val="000D1C56"/>
    <w:rsid w:val="000D4C28"/>
    <w:rsid w:val="000E6768"/>
    <w:rsid w:val="000F2980"/>
    <w:rsid w:val="000F3ABE"/>
    <w:rsid w:val="00105148"/>
    <w:rsid w:val="00105365"/>
    <w:rsid w:val="00114002"/>
    <w:rsid w:val="00117196"/>
    <w:rsid w:val="001241D3"/>
    <w:rsid w:val="00142BF9"/>
    <w:rsid w:val="00147A62"/>
    <w:rsid w:val="001504BD"/>
    <w:rsid w:val="00160AF3"/>
    <w:rsid w:val="00167B43"/>
    <w:rsid w:val="00172ECF"/>
    <w:rsid w:val="00187603"/>
    <w:rsid w:val="00190DEE"/>
    <w:rsid w:val="00195DC1"/>
    <w:rsid w:val="00196524"/>
    <w:rsid w:val="001A1C8A"/>
    <w:rsid w:val="001A297A"/>
    <w:rsid w:val="001A6C67"/>
    <w:rsid w:val="001B3D39"/>
    <w:rsid w:val="001B4CA4"/>
    <w:rsid w:val="001B59CD"/>
    <w:rsid w:val="001B6AB8"/>
    <w:rsid w:val="001C44EE"/>
    <w:rsid w:val="001C4668"/>
    <w:rsid w:val="001C495C"/>
    <w:rsid w:val="001C5380"/>
    <w:rsid w:val="001C5C0C"/>
    <w:rsid w:val="001C6072"/>
    <w:rsid w:val="001D09F0"/>
    <w:rsid w:val="001D25AD"/>
    <w:rsid w:val="001E16B2"/>
    <w:rsid w:val="001E3110"/>
    <w:rsid w:val="001E7E0C"/>
    <w:rsid w:val="001F5239"/>
    <w:rsid w:val="00211C2F"/>
    <w:rsid w:val="00211E7C"/>
    <w:rsid w:val="00217922"/>
    <w:rsid w:val="002204D4"/>
    <w:rsid w:val="00223657"/>
    <w:rsid w:val="002246AC"/>
    <w:rsid w:val="00225B38"/>
    <w:rsid w:val="0023044E"/>
    <w:rsid w:val="00231D0B"/>
    <w:rsid w:val="0023787D"/>
    <w:rsid w:val="002379AF"/>
    <w:rsid w:val="00240912"/>
    <w:rsid w:val="0024227D"/>
    <w:rsid w:val="00244837"/>
    <w:rsid w:val="002504DC"/>
    <w:rsid w:val="0025094C"/>
    <w:rsid w:val="00253DE7"/>
    <w:rsid w:val="002548A5"/>
    <w:rsid w:val="00263204"/>
    <w:rsid w:val="002732B1"/>
    <w:rsid w:val="002737F0"/>
    <w:rsid w:val="00274100"/>
    <w:rsid w:val="0027692D"/>
    <w:rsid w:val="00276958"/>
    <w:rsid w:val="00277C5A"/>
    <w:rsid w:val="00283AFA"/>
    <w:rsid w:val="00285958"/>
    <w:rsid w:val="002A1648"/>
    <w:rsid w:val="002B2A9C"/>
    <w:rsid w:val="002B6B10"/>
    <w:rsid w:val="002C0035"/>
    <w:rsid w:val="002D0D26"/>
    <w:rsid w:val="002D2D7C"/>
    <w:rsid w:val="002D57CE"/>
    <w:rsid w:val="002E5A1C"/>
    <w:rsid w:val="002E7271"/>
    <w:rsid w:val="002F2771"/>
    <w:rsid w:val="002F43B8"/>
    <w:rsid w:val="00302F3E"/>
    <w:rsid w:val="00303221"/>
    <w:rsid w:val="00304CD3"/>
    <w:rsid w:val="003112C8"/>
    <w:rsid w:val="00323634"/>
    <w:rsid w:val="00324885"/>
    <w:rsid w:val="00325211"/>
    <w:rsid w:val="003323DB"/>
    <w:rsid w:val="00332C3E"/>
    <w:rsid w:val="003359BB"/>
    <w:rsid w:val="00337BD6"/>
    <w:rsid w:val="00344E81"/>
    <w:rsid w:val="00346826"/>
    <w:rsid w:val="00354668"/>
    <w:rsid w:val="00360797"/>
    <w:rsid w:val="00373A85"/>
    <w:rsid w:val="0037480D"/>
    <w:rsid w:val="003758C7"/>
    <w:rsid w:val="003764D5"/>
    <w:rsid w:val="00376A58"/>
    <w:rsid w:val="003845F1"/>
    <w:rsid w:val="003862D6"/>
    <w:rsid w:val="003965DA"/>
    <w:rsid w:val="003A0308"/>
    <w:rsid w:val="003A25F3"/>
    <w:rsid w:val="003A2B7D"/>
    <w:rsid w:val="003A36EC"/>
    <w:rsid w:val="003A7B91"/>
    <w:rsid w:val="003B376D"/>
    <w:rsid w:val="003C218E"/>
    <w:rsid w:val="003C6C62"/>
    <w:rsid w:val="003D04AD"/>
    <w:rsid w:val="003D278B"/>
    <w:rsid w:val="003D2E34"/>
    <w:rsid w:val="003D5768"/>
    <w:rsid w:val="003D5AA1"/>
    <w:rsid w:val="003E44D4"/>
    <w:rsid w:val="003F2250"/>
    <w:rsid w:val="003F3A8F"/>
    <w:rsid w:val="003F3B47"/>
    <w:rsid w:val="003F4738"/>
    <w:rsid w:val="003F4FBA"/>
    <w:rsid w:val="00405A5A"/>
    <w:rsid w:val="00405EC4"/>
    <w:rsid w:val="004120F0"/>
    <w:rsid w:val="0041551C"/>
    <w:rsid w:val="00415538"/>
    <w:rsid w:val="0042267C"/>
    <w:rsid w:val="004255EE"/>
    <w:rsid w:val="0043321B"/>
    <w:rsid w:val="00433C71"/>
    <w:rsid w:val="00443C08"/>
    <w:rsid w:val="00444CD8"/>
    <w:rsid w:val="004470EC"/>
    <w:rsid w:val="004477A7"/>
    <w:rsid w:val="00447FE0"/>
    <w:rsid w:val="00460B0C"/>
    <w:rsid w:val="00472125"/>
    <w:rsid w:val="004747E8"/>
    <w:rsid w:val="004806D4"/>
    <w:rsid w:val="00485AED"/>
    <w:rsid w:val="004914CF"/>
    <w:rsid w:val="004927F5"/>
    <w:rsid w:val="00492BAA"/>
    <w:rsid w:val="00493D58"/>
    <w:rsid w:val="004A3775"/>
    <w:rsid w:val="004B1184"/>
    <w:rsid w:val="004B303F"/>
    <w:rsid w:val="004B426F"/>
    <w:rsid w:val="004B4E73"/>
    <w:rsid w:val="004B5597"/>
    <w:rsid w:val="004B5A4B"/>
    <w:rsid w:val="004C15F4"/>
    <w:rsid w:val="004D2A8E"/>
    <w:rsid w:val="004D4793"/>
    <w:rsid w:val="004E0213"/>
    <w:rsid w:val="004E30B8"/>
    <w:rsid w:val="004E391D"/>
    <w:rsid w:val="004E60F0"/>
    <w:rsid w:val="004E729C"/>
    <w:rsid w:val="004F38CF"/>
    <w:rsid w:val="00500C62"/>
    <w:rsid w:val="00500E70"/>
    <w:rsid w:val="005011D3"/>
    <w:rsid w:val="005052BA"/>
    <w:rsid w:val="005066E5"/>
    <w:rsid w:val="005068D7"/>
    <w:rsid w:val="00506C48"/>
    <w:rsid w:val="00511460"/>
    <w:rsid w:val="00516DFA"/>
    <w:rsid w:val="0052322C"/>
    <w:rsid w:val="00523F95"/>
    <w:rsid w:val="00525485"/>
    <w:rsid w:val="00532E0B"/>
    <w:rsid w:val="005337E6"/>
    <w:rsid w:val="00535C83"/>
    <w:rsid w:val="005403AD"/>
    <w:rsid w:val="00541534"/>
    <w:rsid w:val="00543235"/>
    <w:rsid w:val="005500A1"/>
    <w:rsid w:val="00554259"/>
    <w:rsid w:val="00554C80"/>
    <w:rsid w:val="00554FF2"/>
    <w:rsid w:val="00555E74"/>
    <w:rsid w:val="00563704"/>
    <w:rsid w:val="00567223"/>
    <w:rsid w:val="0056799E"/>
    <w:rsid w:val="00570B0A"/>
    <w:rsid w:val="00571CC0"/>
    <w:rsid w:val="00577EB3"/>
    <w:rsid w:val="00585473"/>
    <w:rsid w:val="00591B6B"/>
    <w:rsid w:val="0059651F"/>
    <w:rsid w:val="005B42F4"/>
    <w:rsid w:val="005B727A"/>
    <w:rsid w:val="005C1397"/>
    <w:rsid w:val="005D1451"/>
    <w:rsid w:val="005D7E72"/>
    <w:rsid w:val="005E1EA6"/>
    <w:rsid w:val="005F2B0B"/>
    <w:rsid w:val="00607139"/>
    <w:rsid w:val="006110FE"/>
    <w:rsid w:val="00620FB6"/>
    <w:rsid w:val="006221C8"/>
    <w:rsid w:val="00632497"/>
    <w:rsid w:val="00632C47"/>
    <w:rsid w:val="00634D03"/>
    <w:rsid w:val="006363AB"/>
    <w:rsid w:val="006437FB"/>
    <w:rsid w:val="006446ED"/>
    <w:rsid w:val="00647C41"/>
    <w:rsid w:val="0065086E"/>
    <w:rsid w:val="00653A5E"/>
    <w:rsid w:val="00655F2C"/>
    <w:rsid w:val="00662525"/>
    <w:rsid w:val="00664AAD"/>
    <w:rsid w:val="00664ED4"/>
    <w:rsid w:val="00667448"/>
    <w:rsid w:val="00667DFF"/>
    <w:rsid w:val="00671CC6"/>
    <w:rsid w:val="006740F1"/>
    <w:rsid w:val="006756A2"/>
    <w:rsid w:val="00683D29"/>
    <w:rsid w:val="00684389"/>
    <w:rsid w:val="006848C8"/>
    <w:rsid w:val="006849B5"/>
    <w:rsid w:val="006854E3"/>
    <w:rsid w:val="00690AB6"/>
    <w:rsid w:val="00691701"/>
    <w:rsid w:val="00693B20"/>
    <w:rsid w:val="00693FCE"/>
    <w:rsid w:val="00695BBC"/>
    <w:rsid w:val="00696ED9"/>
    <w:rsid w:val="006B7054"/>
    <w:rsid w:val="006C1C85"/>
    <w:rsid w:val="006C4ADE"/>
    <w:rsid w:val="006C576D"/>
    <w:rsid w:val="006D7B08"/>
    <w:rsid w:val="006E2A7D"/>
    <w:rsid w:val="006E373C"/>
    <w:rsid w:val="006E4408"/>
    <w:rsid w:val="006E6F42"/>
    <w:rsid w:val="006F2DAF"/>
    <w:rsid w:val="006F7A5E"/>
    <w:rsid w:val="00705C9B"/>
    <w:rsid w:val="0070611C"/>
    <w:rsid w:val="00706E16"/>
    <w:rsid w:val="00722124"/>
    <w:rsid w:val="00723029"/>
    <w:rsid w:val="00724BCB"/>
    <w:rsid w:val="00731C48"/>
    <w:rsid w:val="00731CD4"/>
    <w:rsid w:val="007330E0"/>
    <w:rsid w:val="00733E5F"/>
    <w:rsid w:val="0073705F"/>
    <w:rsid w:val="00741071"/>
    <w:rsid w:val="00742AA8"/>
    <w:rsid w:val="00747566"/>
    <w:rsid w:val="0075296B"/>
    <w:rsid w:val="00752E65"/>
    <w:rsid w:val="00756744"/>
    <w:rsid w:val="00771CC3"/>
    <w:rsid w:val="00775F4E"/>
    <w:rsid w:val="00777E3C"/>
    <w:rsid w:val="00786086"/>
    <w:rsid w:val="00787499"/>
    <w:rsid w:val="007914F0"/>
    <w:rsid w:val="007A0E63"/>
    <w:rsid w:val="007A21C0"/>
    <w:rsid w:val="007A3B88"/>
    <w:rsid w:val="007A585A"/>
    <w:rsid w:val="007A641E"/>
    <w:rsid w:val="007B2893"/>
    <w:rsid w:val="007C00CE"/>
    <w:rsid w:val="007C0C37"/>
    <w:rsid w:val="007C65D2"/>
    <w:rsid w:val="007C7CD5"/>
    <w:rsid w:val="007D6109"/>
    <w:rsid w:val="007D6379"/>
    <w:rsid w:val="007D6BD8"/>
    <w:rsid w:val="007D6C52"/>
    <w:rsid w:val="007E33C4"/>
    <w:rsid w:val="007E5193"/>
    <w:rsid w:val="007E62E8"/>
    <w:rsid w:val="007F1EC2"/>
    <w:rsid w:val="007F5B74"/>
    <w:rsid w:val="007F5BE0"/>
    <w:rsid w:val="007F6C2E"/>
    <w:rsid w:val="00804B5A"/>
    <w:rsid w:val="00804FAF"/>
    <w:rsid w:val="00805608"/>
    <w:rsid w:val="008068E6"/>
    <w:rsid w:val="00812017"/>
    <w:rsid w:val="008131EF"/>
    <w:rsid w:val="00813E3F"/>
    <w:rsid w:val="00823CE1"/>
    <w:rsid w:val="00824B24"/>
    <w:rsid w:val="0083540C"/>
    <w:rsid w:val="0083678B"/>
    <w:rsid w:val="0084083C"/>
    <w:rsid w:val="00853E14"/>
    <w:rsid w:val="008561E9"/>
    <w:rsid w:val="008600E6"/>
    <w:rsid w:val="00862662"/>
    <w:rsid w:val="008700FB"/>
    <w:rsid w:val="00872862"/>
    <w:rsid w:val="00873F83"/>
    <w:rsid w:val="00874A7D"/>
    <w:rsid w:val="00875CA1"/>
    <w:rsid w:val="00876EDE"/>
    <w:rsid w:val="0088422C"/>
    <w:rsid w:val="0089039C"/>
    <w:rsid w:val="008968B0"/>
    <w:rsid w:val="00897C89"/>
    <w:rsid w:val="008A324E"/>
    <w:rsid w:val="008A54A7"/>
    <w:rsid w:val="008B068D"/>
    <w:rsid w:val="008B1EBC"/>
    <w:rsid w:val="008B214E"/>
    <w:rsid w:val="008B4558"/>
    <w:rsid w:val="008B566C"/>
    <w:rsid w:val="008D0717"/>
    <w:rsid w:val="008D44C9"/>
    <w:rsid w:val="008D46C2"/>
    <w:rsid w:val="008E1002"/>
    <w:rsid w:val="008E3124"/>
    <w:rsid w:val="008F033B"/>
    <w:rsid w:val="00906924"/>
    <w:rsid w:val="00907C68"/>
    <w:rsid w:val="00910FBB"/>
    <w:rsid w:val="00925D1B"/>
    <w:rsid w:val="0093770F"/>
    <w:rsid w:val="009415E0"/>
    <w:rsid w:val="00943D92"/>
    <w:rsid w:val="00944452"/>
    <w:rsid w:val="009459F3"/>
    <w:rsid w:val="0095036D"/>
    <w:rsid w:val="0095720C"/>
    <w:rsid w:val="00957265"/>
    <w:rsid w:val="0097090F"/>
    <w:rsid w:val="009725D7"/>
    <w:rsid w:val="0097347B"/>
    <w:rsid w:val="00977B8D"/>
    <w:rsid w:val="00982C42"/>
    <w:rsid w:val="0098318F"/>
    <w:rsid w:val="00991AAB"/>
    <w:rsid w:val="0099611A"/>
    <w:rsid w:val="009979C1"/>
    <w:rsid w:val="009A1B05"/>
    <w:rsid w:val="009A1ED1"/>
    <w:rsid w:val="009C001A"/>
    <w:rsid w:val="009C078D"/>
    <w:rsid w:val="009C4831"/>
    <w:rsid w:val="009C5ACA"/>
    <w:rsid w:val="009D2F4A"/>
    <w:rsid w:val="009D3A76"/>
    <w:rsid w:val="009D66D2"/>
    <w:rsid w:val="009E230B"/>
    <w:rsid w:val="009E4385"/>
    <w:rsid w:val="009E4548"/>
    <w:rsid w:val="009E5053"/>
    <w:rsid w:val="009F30E8"/>
    <w:rsid w:val="00A01AC4"/>
    <w:rsid w:val="00A03383"/>
    <w:rsid w:val="00A053A6"/>
    <w:rsid w:val="00A1007C"/>
    <w:rsid w:val="00A1114A"/>
    <w:rsid w:val="00A11606"/>
    <w:rsid w:val="00A1432C"/>
    <w:rsid w:val="00A149EC"/>
    <w:rsid w:val="00A254DB"/>
    <w:rsid w:val="00A35E8F"/>
    <w:rsid w:val="00A43A42"/>
    <w:rsid w:val="00A45735"/>
    <w:rsid w:val="00A51BA8"/>
    <w:rsid w:val="00A533E6"/>
    <w:rsid w:val="00A601C9"/>
    <w:rsid w:val="00A636DE"/>
    <w:rsid w:val="00A6683C"/>
    <w:rsid w:val="00A8071B"/>
    <w:rsid w:val="00A80FB7"/>
    <w:rsid w:val="00A83AF5"/>
    <w:rsid w:val="00A85BF9"/>
    <w:rsid w:val="00A91A7B"/>
    <w:rsid w:val="00A9209B"/>
    <w:rsid w:val="00A94A40"/>
    <w:rsid w:val="00A95901"/>
    <w:rsid w:val="00A9616F"/>
    <w:rsid w:val="00A975F5"/>
    <w:rsid w:val="00AA4AC3"/>
    <w:rsid w:val="00AB062D"/>
    <w:rsid w:val="00AB33AB"/>
    <w:rsid w:val="00AB36F8"/>
    <w:rsid w:val="00AC7377"/>
    <w:rsid w:val="00AC7705"/>
    <w:rsid w:val="00AD2B32"/>
    <w:rsid w:val="00AD2F50"/>
    <w:rsid w:val="00AF3410"/>
    <w:rsid w:val="00B002A7"/>
    <w:rsid w:val="00B00387"/>
    <w:rsid w:val="00B01EFD"/>
    <w:rsid w:val="00B02541"/>
    <w:rsid w:val="00B04FFA"/>
    <w:rsid w:val="00B15CED"/>
    <w:rsid w:val="00B2578D"/>
    <w:rsid w:val="00B30FBF"/>
    <w:rsid w:val="00B311D3"/>
    <w:rsid w:val="00B3331B"/>
    <w:rsid w:val="00B34B90"/>
    <w:rsid w:val="00B42ECD"/>
    <w:rsid w:val="00B43425"/>
    <w:rsid w:val="00B434B0"/>
    <w:rsid w:val="00B46A3C"/>
    <w:rsid w:val="00B503A0"/>
    <w:rsid w:val="00B51834"/>
    <w:rsid w:val="00B55554"/>
    <w:rsid w:val="00B62941"/>
    <w:rsid w:val="00B6316E"/>
    <w:rsid w:val="00B6794F"/>
    <w:rsid w:val="00B70D2F"/>
    <w:rsid w:val="00B848C8"/>
    <w:rsid w:val="00B8512D"/>
    <w:rsid w:val="00B8748D"/>
    <w:rsid w:val="00B9084E"/>
    <w:rsid w:val="00B90C7E"/>
    <w:rsid w:val="00BA1D2F"/>
    <w:rsid w:val="00BA1F4D"/>
    <w:rsid w:val="00BA4810"/>
    <w:rsid w:val="00BB0CA9"/>
    <w:rsid w:val="00BB3B13"/>
    <w:rsid w:val="00BC12AA"/>
    <w:rsid w:val="00C060C2"/>
    <w:rsid w:val="00C07D05"/>
    <w:rsid w:val="00C13579"/>
    <w:rsid w:val="00C1694B"/>
    <w:rsid w:val="00C1786F"/>
    <w:rsid w:val="00C2245D"/>
    <w:rsid w:val="00C24E4D"/>
    <w:rsid w:val="00C256DD"/>
    <w:rsid w:val="00C269FE"/>
    <w:rsid w:val="00C30E1D"/>
    <w:rsid w:val="00C33363"/>
    <w:rsid w:val="00C33B94"/>
    <w:rsid w:val="00C35A52"/>
    <w:rsid w:val="00C3645A"/>
    <w:rsid w:val="00C51330"/>
    <w:rsid w:val="00C537EA"/>
    <w:rsid w:val="00C567AE"/>
    <w:rsid w:val="00C5771B"/>
    <w:rsid w:val="00C61F2C"/>
    <w:rsid w:val="00C6456A"/>
    <w:rsid w:val="00C679CC"/>
    <w:rsid w:val="00C67A7E"/>
    <w:rsid w:val="00C826F1"/>
    <w:rsid w:val="00C910F1"/>
    <w:rsid w:val="00C94F8F"/>
    <w:rsid w:val="00C954C5"/>
    <w:rsid w:val="00CA1520"/>
    <w:rsid w:val="00CA3569"/>
    <w:rsid w:val="00CB1346"/>
    <w:rsid w:val="00CC12F3"/>
    <w:rsid w:val="00CC4B1E"/>
    <w:rsid w:val="00CC69AB"/>
    <w:rsid w:val="00CD5F79"/>
    <w:rsid w:val="00CD611B"/>
    <w:rsid w:val="00CD69C2"/>
    <w:rsid w:val="00CE1B61"/>
    <w:rsid w:val="00CE5A47"/>
    <w:rsid w:val="00CE6182"/>
    <w:rsid w:val="00CF0E60"/>
    <w:rsid w:val="00D02136"/>
    <w:rsid w:val="00D0305D"/>
    <w:rsid w:val="00D045EE"/>
    <w:rsid w:val="00D124F4"/>
    <w:rsid w:val="00D12C3D"/>
    <w:rsid w:val="00D14C2B"/>
    <w:rsid w:val="00D16C82"/>
    <w:rsid w:val="00D20733"/>
    <w:rsid w:val="00D24E7A"/>
    <w:rsid w:val="00D31632"/>
    <w:rsid w:val="00D36D72"/>
    <w:rsid w:val="00D41CD7"/>
    <w:rsid w:val="00D45636"/>
    <w:rsid w:val="00D523B9"/>
    <w:rsid w:val="00D6244A"/>
    <w:rsid w:val="00D62C75"/>
    <w:rsid w:val="00D65E3F"/>
    <w:rsid w:val="00D70392"/>
    <w:rsid w:val="00D7250A"/>
    <w:rsid w:val="00D72C2E"/>
    <w:rsid w:val="00D730D7"/>
    <w:rsid w:val="00D863BD"/>
    <w:rsid w:val="00D9038B"/>
    <w:rsid w:val="00D91320"/>
    <w:rsid w:val="00D91963"/>
    <w:rsid w:val="00D923F9"/>
    <w:rsid w:val="00D92DC4"/>
    <w:rsid w:val="00D968C9"/>
    <w:rsid w:val="00D9788B"/>
    <w:rsid w:val="00DA00BA"/>
    <w:rsid w:val="00DA4E27"/>
    <w:rsid w:val="00DA533F"/>
    <w:rsid w:val="00DB0A88"/>
    <w:rsid w:val="00DB417D"/>
    <w:rsid w:val="00DB6AD3"/>
    <w:rsid w:val="00DB7D27"/>
    <w:rsid w:val="00DC059D"/>
    <w:rsid w:val="00DC255C"/>
    <w:rsid w:val="00DC6A5C"/>
    <w:rsid w:val="00DD79B8"/>
    <w:rsid w:val="00DE113B"/>
    <w:rsid w:val="00DE296D"/>
    <w:rsid w:val="00DE3B75"/>
    <w:rsid w:val="00DE4E96"/>
    <w:rsid w:val="00DF13BC"/>
    <w:rsid w:val="00E02497"/>
    <w:rsid w:val="00E22C16"/>
    <w:rsid w:val="00E23146"/>
    <w:rsid w:val="00E27666"/>
    <w:rsid w:val="00E30C82"/>
    <w:rsid w:val="00E3613A"/>
    <w:rsid w:val="00E41428"/>
    <w:rsid w:val="00E46BF0"/>
    <w:rsid w:val="00E50CEF"/>
    <w:rsid w:val="00E53FC2"/>
    <w:rsid w:val="00E54D30"/>
    <w:rsid w:val="00E63012"/>
    <w:rsid w:val="00E7323C"/>
    <w:rsid w:val="00E74CE0"/>
    <w:rsid w:val="00E773E3"/>
    <w:rsid w:val="00E82B54"/>
    <w:rsid w:val="00E83178"/>
    <w:rsid w:val="00E866C0"/>
    <w:rsid w:val="00E87176"/>
    <w:rsid w:val="00E94688"/>
    <w:rsid w:val="00EA1302"/>
    <w:rsid w:val="00EA6796"/>
    <w:rsid w:val="00EA7218"/>
    <w:rsid w:val="00EB31B4"/>
    <w:rsid w:val="00EB34D3"/>
    <w:rsid w:val="00EB4B8E"/>
    <w:rsid w:val="00EC0CA8"/>
    <w:rsid w:val="00EC1723"/>
    <w:rsid w:val="00EC4553"/>
    <w:rsid w:val="00EC73CE"/>
    <w:rsid w:val="00ED5A7D"/>
    <w:rsid w:val="00ED5CDC"/>
    <w:rsid w:val="00ED636E"/>
    <w:rsid w:val="00EE09AF"/>
    <w:rsid w:val="00EF35D4"/>
    <w:rsid w:val="00EF5EE0"/>
    <w:rsid w:val="00EF5F4C"/>
    <w:rsid w:val="00EF6D16"/>
    <w:rsid w:val="00F01818"/>
    <w:rsid w:val="00F03471"/>
    <w:rsid w:val="00F11BC7"/>
    <w:rsid w:val="00F1568A"/>
    <w:rsid w:val="00F21768"/>
    <w:rsid w:val="00F24DB0"/>
    <w:rsid w:val="00F270D1"/>
    <w:rsid w:val="00F310AD"/>
    <w:rsid w:val="00F32B78"/>
    <w:rsid w:val="00F338D5"/>
    <w:rsid w:val="00F34E10"/>
    <w:rsid w:val="00F36EF6"/>
    <w:rsid w:val="00F379E6"/>
    <w:rsid w:val="00F4123A"/>
    <w:rsid w:val="00F42228"/>
    <w:rsid w:val="00F43FB6"/>
    <w:rsid w:val="00F518E0"/>
    <w:rsid w:val="00F53607"/>
    <w:rsid w:val="00F5511E"/>
    <w:rsid w:val="00F5705E"/>
    <w:rsid w:val="00F622D0"/>
    <w:rsid w:val="00F667B3"/>
    <w:rsid w:val="00F70C46"/>
    <w:rsid w:val="00F72EFA"/>
    <w:rsid w:val="00F73E68"/>
    <w:rsid w:val="00F74B15"/>
    <w:rsid w:val="00F7652D"/>
    <w:rsid w:val="00F822AB"/>
    <w:rsid w:val="00F84F7A"/>
    <w:rsid w:val="00F901E1"/>
    <w:rsid w:val="00F95387"/>
    <w:rsid w:val="00F953E5"/>
    <w:rsid w:val="00F974D5"/>
    <w:rsid w:val="00FA19D2"/>
    <w:rsid w:val="00FA594A"/>
    <w:rsid w:val="00FA6EB4"/>
    <w:rsid w:val="00FB0EA2"/>
    <w:rsid w:val="00FB5DD6"/>
    <w:rsid w:val="00FB790F"/>
    <w:rsid w:val="00FC118C"/>
    <w:rsid w:val="00FC4602"/>
    <w:rsid w:val="00FD1FF0"/>
    <w:rsid w:val="00FD2675"/>
    <w:rsid w:val="00FD2757"/>
    <w:rsid w:val="00FD29A7"/>
    <w:rsid w:val="00FD2DEA"/>
    <w:rsid w:val="00FD34F2"/>
    <w:rsid w:val="00FD4899"/>
    <w:rsid w:val="00FE4588"/>
    <w:rsid w:val="00FE5828"/>
    <w:rsid w:val="00FE688E"/>
    <w:rsid w:val="00FF7E48"/>
    <w:rsid w:val="01B1B4B5"/>
    <w:rsid w:val="03B715D9"/>
    <w:rsid w:val="058F629A"/>
    <w:rsid w:val="05AD87C9"/>
    <w:rsid w:val="0615F53E"/>
    <w:rsid w:val="06DB900D"/>
    <w:rsid w:val="0749582A"/>
    <w:rsid w:val="075747E6"/>
    <w:rsid w:val="0809C3FD"/>
    <w:rsid w:val="0832806C"/>
    <w:rsid w:val="0B4970D9"/>
    <w:rsid w:val="0CDFEDDC"/>
    <w:rsid w:val="0D544843"/>
    <w:rsid w:val="1088EBFB"/>
    <w:rsid w:val="124C615B"/>
    <w:rsid w:val="1299545C"/>
    <w:rsid w:val="137F4332"/>
    <w:rsid w:val="153BA50A"/>
    <w:rsid w:val="17C9E1A7"/>
    <w:rsid w:val="1871C7D7"/>
    <w:rsid w:val="187F874C"/>
    <w:rsid w:val="19FEBB41"/>
    <w:rsid w:val="1C30C208"/>
    <w:rsid w:val="1D5118C8"/>
    <w:rsid w:val="1D61518A"/>
    <w:rsid w:val="1E202D9F"/>
    <w:rsid w:val="1E313A54"/>
    <w:rsid w:val="1F32A79A"/>
    <w:rsid w:val="200D8950"/>
    <w:rsid w:val="22B9EA13"/>
    <w:rsid w:val="238C752A"/>
    <w:rsid w:val="2445E920"/>
    <w:rsid w:val="24A2E09C"/>
    <w:rsid w:val="25A071EA"/>
    <w:rsid w:val="26A7B3DD"/>
    <w:rsid w:val="2822BB9A"/>
    <w:rsid w:val="28FA1D37"/>
    <w:rsid w:val="2A023DBA"/>
    <w:rsid w:val="2C77FB96"/>
    <w:rsid w:val="2D772645"/>
    <w:rsid w:val="2E058BA1"/>
    <w:rsid w:val="304844F8"/>
    <w:rsid w:val="30ADEF0B"/>
    <w:rsid w:val="33C3A812"/>
    <w:rsid w:val="33FE5A60"/>
    <w:rsid w:val="3469E51E"/>
    <w:rsid w:val="34B1A9F2"/>
    <w:rsid w:val="36F97859"/>
    <w:rsid w:val="38FB8E19"/>
    <w:rsid w:val="3904F7EF"/>
    <w:rsid w:val="3BBC1F6B"/>
    <w:rsid w:val="3C9F69FB"/>
    <w:rsid w:val="3D5BC926"/>
    <w:rsid w:val="3D708427"/>
    <w:rsid w:val="3E1D2DDB"/>
    <w:rsid w:val="3F2851E1"/>
    <w:rsid w:val="3F39ABC3"/>
    <w:rsid w:val="3F6FEA06"/>
    <w:rsid w:val="3FEA7C36"/>
    <w:rsid w:val="4086F4AA"/>
    <w:rsid w:val="43341159"/>
    <w:rsid w:val="43A6BCCC"/>
    <w:rsid w:val="44571C5A"/>
    <w:rsid w:val="44CFE1BA"/>
    <w:rsid w:val="45D724EF"/>
    <w:rsid w:val="472C6ACA"/>
    <w:rsid w:val="473CE9CB"/>
    <w:rsid w:val="47E9A486"/>
    <w:rsid w:val="49790068"/>
    <w:rsid w:val="49AA4403"/>
    <w:rsid w:val="4A640B8C"/>
    <w:rsid w:val="4A83DA66"/>
    <w:rsid w:val="4AFFEA15"/>
    <w:rsid w:val="4CD1B417"/>
    <w:rsid w:val="4D5C4505"/>
    <w:rsid w:val="4E95FB06"/>
    <w:rsid w:val="4F3010D5"/>
    <w:rsid w:val="4F96CAEB"/>
    <w:rsid w:val="4FF51C0D"/>
    <w:rsid w:val="50C0A7CC"/>
    <w:rsid w:val="518AF2DC"/>
    <w:rsid w:val="52D750D9"/>
    <w:rsid w:val="53EB9F52"/>
    <w:rsid w:val="5653C011"/>
    <w:rsid w:val="56952A30"/>
    <w:rsid w:val="571E1706"/>
    <w:rsid w:val="573C1449"/>
    <w:rsid w:val="5830FA91"/>
    <w:rsid w:val="58B05577"/>
    <w:rsid w:val="5A821CDC"/>
    <w:rsid w:val="5C5C67A9"/>
    <w:rsid w:val="5CB1A70A"/>
    <w:rsid w:val="5CCE0A43"/>
    <w:rsid w:val="5D5B60E9"/>
    <w:rsid w:val="5D8A4A3D"/>
    <w:rsid w:val="5E4C3075"/>
    <w:rsid w:val="601E40D4"/>
    <w:rsid w:val="604E57AB"/>
    <w:rsid w:val="606EF2CC"/>
    <w:rsid w:val="60AECB30"/>
    <w:rsid w:val="60FF2F5B"/>
    <w:rsid w:val="617DA923"/>
    <w:rsid w:val="63197984"/>
    <w:rsid w:val="63CDD588"/>
    <w:rsid w:val="64B549E5"/>
    <w:rsid w:val="64F6CFB7"/>
    <w:rsid w:val="66DB39FA"/>
    <w:rsid w:val="683BBCBC"/>
    <w:rsid w:val="68E2A093"/>
    <w:rsid w:val="6A669FAD"/>
    <w:rsid w:val="6A921023"/>
    <w:rsid w:val="6B4B9F36"/>
    <w:rsid w:val="6B50090B"/>
    <w:rsid w:val="6C081CD3"/>
    <w:rsid w:val="6CA6BADB"/>
    <w:rsid w:val="6D075864"/>
    <w:rsid w:val="6DC69412"/>
    <w:rsid w:val="6DF483D4"/>
    <w:rsid w:val="6E50AD79"/>
    <w:rsid w:val="6E833FF8"/>
    <w:rsid w:val="6EA94276"/>
    <w:rsid w:val="6EAA4E56"/>
    <w:rsid w:val="706D660D"/>
    <w:rsid w:val="70F8448B"/>
    <w:rsid w:val="71408A58"/>
    <w:rsid w:val="728CD514"/>
    <w:rsid w:val="7346396F"/>
    <w:rsid w:val="736B0460"/>
    <w:rsid w:val="738CCC77"/>
    <w:rsid w:val="7462C164"/>
    <w:rsid w:val="76F7615A"/>
    <w:rsid w:val="78AD9254"/>
    <w:rsid w:val="7A337CC1"/>
    <w:rsid w:val="7A77F898"/>
    <w:rsid w:val="7ADDBCED"/>
    <w:rsid w:val="7C59A457"/>
    <w:rsid w:val="7CEED87C"/>
    <w:rsid w:val="7DBBD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FC5C"/>
  <w15:docId w15:val="{89982A1D-6B6D-4799-AA85-7A163B1A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2E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4FB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2E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4E7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F4F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pl-PL"/>
    </w:rPr>
  </w:style>
  <w:style w:type="paragraph" w:styleId="Akapitzlist">
    <w:name w:val="List Paragraph"/>
    <w:basedOn w:val="Normalny"/>
    <w:uiPriority w:val="34"/>
    <w:qFormat/>
    <w:rsid w:val="003F4FBA"/>
    <w:pPr>
      <w:spacing w:after="200" w:line="276" w:lineRule="auto"/>
      <w:ind w:left="720"/>
      <w:contextualSpacing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C4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ED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5CDC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0C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A37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A37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7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32E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32E0B"/>
    <w:pPr>
      <w:outlineLvl w:val="9"/>
    </w:pPr>
    <w:rPr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160AF3"/>
    <w:pPr>
      <w:tabs>
        <w:tab w:val="left" w:pos="660"/>
        <w:tab w:val="right" w:leader="dot" w:pos="9062"/>
      </w:tabs>
      <w:spacing w:after="0" w:line="360" w:lineRule="auto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B34B90"/>
    <w:pPr>
      <w:tabs>
        <w:tab w:val="right" w:leader="dot" w:pos="9062"/>
      </w:tabs>
      <w:spacing w:after="100" w:line="276" w:lineRule="auto"/>
    </w:pPr>
    <w:rPr>
      <w:rFonts w:eastAsiaTheme="minorEastAsia" w:cs="Times New Roman"/>
      <w:lang w:val="pl-PL"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897C89"/>
    <w:pPr>
      <w:tabs>
        <w:tab w:val="right" w:leader="dot" w:pos="9062"/>
      </w:tabs>
      <w:spacing w:after="100"/>
      <w:ind w:left="440"/>
    </w:pPr>
    <w:rPr>
      <w:rFonts w:eastAsiaTheme="minorEastAsia" w:cs="Times New Roman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2E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7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2B1"/>
  </w:style>
  <w:style w:type="paragraph" w:styleId="Stopka">
    <w:name w:val="footer"/>
    <w:basedOn w:val="Normalny"/>
    <w:link w:val="StopkaZnak"/>
    <w:uiPriority w:val="99"/>
    <w:unhideWhenUsed/>
    <w:rsid w:val="0027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2B1"/>
  </w:style>
  <w:style w:type="paragraph" w:styleId="Poprawka">
    <w:name w:val="Revision"/>
    <w:hidden/>
    <w:uiPriority w:val="99"/>
    <w:semiHidden/>
    <w:rsid w:val="004255EE"/>
    <w:pPr>
      <w:spacing w:after="0" w:line="240" w:lineRule="auto"/>
    </w:p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omylnaczcionkaakapitu"/>
    <w:rsid w:val="00FD3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9082573761D4895502488628017A9" ma:contentTypeVersion="" ma:contentTypeDescription="Utwórz nowy dokument." ma:contentTypeScope="" ma:versionID="685056285a172594aadc15231fe7f720">
  <xsd:schema xmlns:xsd="http://www.w3.org/2001/XMLSchema" xmlns:xs="http://www.w3.org/2001/XMLSchema" xmlns:p="http://schemas.microsoft.com/office/2006/metadata/properties" xmlns:ns2="e8b5fc0e-f05d-4f3e-a1be-272ebb1ccc4f" targetNamespace="http://schemas.microsoft.com/office/2006/metadata/properties" ma:root="true" ma:fieldsID="9d8be20b5920872e1f5fb921dbc9db1e" ns2:_="">
    <xsd:import namespace="e8b5fc0e-f05d-4f3e-a1be-272ebb1ccc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5fc0e-f05d-4f3e-a1be-272ebb1c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6BC61D-F317-446D-9316-2566F0FAC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5fc0e-f05d-4f3e-a1be-272ebb1c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8EE039-B923-4EC1-81B6-5BDBF5648B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B28ED8-7DF0-478C-8FF5-7E037BDBEA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C56EE5-B914-450B-A649-B6A4E6CFDA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5367</Words>
  <Characters>32205</Characters>
  <Application>Microsoft Office Word</Application>
  <DocSecurity>0</DocSecurity>
  <Lines>268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Violetta Korkuś</dc:creator>
  <cp:lastModifiedBy>Maciej Just</cp:lastModifiedBy>
  <cp:revision>12</cp:revision>
  <cp:lastPrinted>2023-05-30T06:10:00Z</cp:lastPrinted>
  <dcterms:created xsi:type="dcterms:W3CDTF">2024-09-23T11:05:00Z</dcterms:created>
  <dcterms:modified xsi:type="dcterms:W3CDTF">2025-11-26T10:31:00Z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0x01010091C9082573761D4895502488628017A9</vt:lpwstr>
  </property>
</Properties>
</file>