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12" w:rsidRDefault="00B315AB">
      <w:pPr>
        <w:pStyle w:val="Pagedecouverture"/>
        <w:rPr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89C4590-6080-4B4F-A38A-766487CC2726" style="width:454.45pt;height:413pt">
            <v:imagedata r:id="rId9" o:title=""/>
          </v:shape>
        </w:pict>
      </w:r>
    </w:p>
    <w:p w:rsidR="007E5012" w:rsidRDefault="007E5012">
      <w:pPr>
        <w:rPr>
          <w:noProof/>
        </w:rPr>
        <w:sectPr w:rsidR="007E5012"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7E5012" w:rsidRDefault="00B315AB">
      <w:pPr>
        <w:pStyle w:val="Exposdesmotifstitre"/>
        <w:rPr>
          <w:noProof/>
        </w:rPr>
      </w:pPr>
      <w:r>
        <w:rPr>
          <w:noProof/>
        </w:rPr>
        <w:lastRenderedPageBreak/>
        <w:t>UZASADNIENIE</w:t>
      </w:r>
    </w:p>
    <w:p w:rsidR="007E5012" w:rsidRDefault="00B315AB"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KONTEKST WNIOSKU</w:t>
      </w:r>
    </w:p>
    <w:p w:rsidR="007E5012" w:rsidRDefault="00B315AB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Przyczyny i cele wniosku</w:t>
      </w:r>
    </w:p>
    <w:p w:rsidR="007E5012" w:rsidRDefault="00B315AB">
      <w:pPr>
        <w:rPr>
          <w:noProof/>
          <w:shd w:val="clear" w:color="auto" w:fill="FFFFFF"/>
        </w:rPr>
      </w:pPr>
      <w:r>
        <w:rPr>
          <w:noProof/>
        </w:rPr>
        <w:t xml:space="preserve">Aby zapewnić połączenia między Unią a Zjednoczonym Królestwem po zakończeniu okresu </w:t>
      </w:r>
      <w:r>
        <w:rPr>
          <w:noProof/>
        </w:rPr>
        <w:t>przejściowego, o którym mowa w art. 126 umowy o wystąpieniu, prawodawca Unii uznał za niezbędne, aby przedsiębiorstwa kolejowe mające siedzibę i posiadające licencję w Zjednoczonym Królestwie mogły kontynuować przewozy przez stałe połączenie przez kanał La</w:t>
      </w:r>
      <w:r>
        <w:rPr>
          <w:noProof/>
        </w:rPr>
        <w:t xml:space="preserve"> Manche</w:t>
      </w:r>
      <w:r>
        <w:rPr>
          <w:rStyle w:val="Odwoanieprzypisudolnego"/>
          <w:noProof/>
          <w:szCs w:val="24"/>
        </w:rPr>
        <w:footnoteReference w:id="1"/>
      </w:r>
      <w:r>
        <w:rPr>
          <w:noProof/>
        </w:rPr>
        <w:t>.</w:t>
      </w:r>
      <w:r>
        <w:rPr>
          <w:noProof/>
          <w:shd w:val="clear" w:color="auto" w:fill="FFFFFF"/>
        </w:rPr>
        <w:t xml:space="preserve"> </w:t>
      </w:r>
    </w:p>
    <w:p w:rsidR="007E5012" w:rsidRDefault="00B315AB">
      <w:pPr>
        <w:rPr>
          <w:noProof/>
          <w:shd w:val="clear" w:color="auto" w:fill="FFFFFF"/>
        </w:rPr>
      </w:pPr>
      <w:r>
        <w:rPr>
          <w:noProof/>
        </w:rPr>
        <w:t>W tym celu, oraz aby umożliwić zainteresowanemu państwu członkowskiemu wprowadzenie środków niezbędnych w celu zapewnienia połączeń zgodnie z przepisami Unii, rozporządzeniem Parlamentu Europejskiego i Rady (UE) 2020/2222</w:t>
      </w:r>
      <w:r>
        <w:rPr>
          <w:rStyle w:val="Odwoanieprzypisudolnego"/>
          <w:noProof/>
          <w:szCs w:val="24"/>
        </w:rPr>
        <w:footnoteReference w:id="2"/>
      </w:r>
      <w:r>
        <w:rPr>
          <w:noProof/>
        </w:rPr>
        <w:t xml:space="preserve"> przedłużono do dnia 30</w:t>
      </w:r>
      <w:r>
        <w:rPr>
          <w:noProof/>
        </w:rPr>
        <w:t xml:space="preserve"> września 2021 r. okres ważności licencji wydanych przez Zjednoczone Królestwo na podstawie dyrektywy 2012/34/UE</w:t>
      </w:r>
      <w:r>
        <w:rPr>
          <w:rStyle w:val="Odwoanieprzypisudolnego"/>
          <w:noProof/>
          <w:szCs w:val="24"/>
        </w:rPr>
        <w:footnoteReference w:id="3"/>
      </w:r>
      <w:r>
        <w:rPr>
          <w:noProof/>
        </w:rPr>
        <w:t xml:space="preserve"> operatorom kolejowym mającym siedzibę na jego terytorium, jak również okres ważności certyfikatów bezpieczeństwa wydanych tym przedsiębiorstwo</w:t>
      </w:r>
      <w:r>
        <w:rPr>
          <w:noProof/>
        </w:rPr>
        <w:t>m na podstawie dyrektywy 2004/49/WE</w:t>
      </w:r>
      <w:r>
        <w:rPr>
          <w:rStyle w:val="Odwoanieprzypisudolnego"/>
          <w:noProof/>
          <w:szCs w:val="24"/>
        </w:rPr>
        <w:footnoteReference w:id="4"/>
      </w:r>
      <w:r>
        <w:rPr>
          <w:noProof/>
        </w:rPr>
        <w:t xml:space="preserve"> przez Komisję Międzyrządową ustanowioną na podstawie art. 10 Traktatu między Zjednoczonym Królestwem Wielkiej Brytanii i Irlandii Północnej a Republiką Francuską dotyczącego budowy i eksploatacji stałego połączenia prze</w:t>
      </w:r>
      <w:r>
        <w:rPr>
          <w:noProof/>
        </w:rPr>
        <w:t>z Kanał La Manche przez prywatnych koncesjonariuszy, podpisanego w Canterbury w dniu 12 lutego 1986 r. („traktat z Canterbury”).</w:t>
      </w:r>
    </w:p>
    <w:p w:rsidR="007E5012" w:rsidRDefault="00B315AB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Rozporządzeniem (UE) 2020/2222 przedłużono również okres ważności autoryzacji w zakresie bezpieczeństwa zarządcy infrastruktury</w:t>
      </w:r>
      <w:r>
        <w:rPr>
          <w:noProof/>
          <w:shd w:val="clear" w:color="auto" w:fill="FFFFFF"/>
        </w:rPr>
        <w:t xml:space="preserve"> połączenia przez kanał La Manche wydanej przez wspomnianą Komisję Międzyrządową, do dnia 28 lutego 2021 r. </w:t>
      </w:r>
    </w:p>
    <w:p w:rsidR="007E5012" w:rsidRDefault="00B315AB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W dniu 10 listopada 2020 r. Francja powiadomiła Komisję o swoim zamiarze rozpoczęcia negocjacji w sprawie umowy transgranicznej ze Zjednoczonym Kró</w:t>
      </w:r>
      <w:r>
        <w:rPr>
          <w:noProof/>
          <w:shd w:val="clear" w:color="auto" w:fill="FFFFFF"/>
        </w:rPr>
        <w:t>lestwem na podstawie art. 14 ust. 3 dyrektywy 2012/34/UE, której celem jest umożliwienie przedsiębiorstwom kolejowym mającym siedzibę w Zjednoczonym Królestwie i posiadającym licencję wydaną w Zjednoczonym Królestwie korzystania z infrastruktury transgrani</w:t>
      </w:r>
      <w:r>
        <w:rPr>
          <w:noProof/>
          <w:shd w:val="clear" w:color="auto" w:fill="FFFFFF"/>
        </w:rPr>
        <w:t>cznej łączącej Unię i Zjednoczone Królestwo za pośrednictwem stałego połączenia przez kanał La Manche do stacji granicznej i terminalu Calais-Fréthun (Francja) bez uzyskania licencji na podstawie dyrektywy 2012/34/UE od unijnego organu wydającego licencje.</w:t>
      </w:r>
      <w:r>
        <w:rPr>
          <w:noProof/>
          <w:shd w:val="clear" w:color="auto" w:fill="FFFFFF"/>
        </w:rPr>
        <w:t xml:space="preserve"> Po zakończeniu negocjacji w sprawie tej umowy transgranicznej projekt tekstu został notyfikowany Komisji w dniu 1 czerwca 2021 r.</w:t>
      </w:r>
    </w:p>
    <w:p w:rsidR="007E5012" w:rsidRDefault="00B315AB">
      <w:pPr>
        <w:rPr>
          <w:noProof/>
          <w:shd w:val="clear" w:color="auto" w:fill="FFFFFF"/>
        </w:rPr>
      </w:pPr>
      <w:r>
        <w:rPr>
          <w:noProof/>
        </w:rPr>
        <w:t>W dniu 15 czerwca 2021 r. Francja powiadomiła Komisję o swoim zamiarze rozpoczęcia negocjacji w sprawie umowy transgranicznej</w:t>
      </w:r>
      <w:r>
        <w:rPr>
          <w:noProof/>
        </w:rPr>
        <w:t xml:space="preserve"> ze Zjednoczonym Królestwem na podstawie </w:t>
      </w:r>
      <w:r>
        <w:rPr>
          <w:noProof/>
        </w:rPr>
        <w:lastRenderedPageBreak/>
        <w:t>art. 10 ust. 9 dyrektywy (UE) 2016/798</w:t>
      </w:r>
      <w:r>
        <w:rPr>
          <w:rStyle w:val="Odwoanieprzypisudolnego"/>
          <w:noProof/>
        </w:rPr>
        <w:footnoteReference w:id="5"/>
      </w:r>
      <w:r>
        <w:rPr>
          <w:noProof/>
        </w:rPr>
        <w:t xml:space="preserve"> w celu umożliwienia wspomnianym przedsiębiorstwom kolejowym korzystania ze wspomnianej infrastruktury do wspomnianej stacji granicznej i terminalu bez uzyskania unijnego jedno</w:t>
      </w:r>
      <w:r>
        <w:rPr>
          <w:noProof/>
        </w:rPr>
        <w:t>litego certyfikatu bezpieczeństwa zgodnie z tą dyrektywą.</w:t>
      </w:r>
      <w:r>
        <w:rPr>
          <w:noProof/>
          <w:shd w:val="clear" w:color="auto" w:fill="FFFFFF"/>
        </w:rPr>
        <w:t xml:space="preserve"> Przewiduje się, że negocjacje w sprawie tej umowy transgranicznej zostaną zakończone w sierpniu 2021 r. </w:t>
      </w:r>
    </w:p>
    <w:p w:rsidR="007E5012" w:rsidRDefault="00B315AB">
      <w:pPr>
        <w:rPr>
          <w:noProof/>
        </w:rPr>
      </w:pPr>
      <w:r>
        <w:rPr>
          <w:noProof/>
        </w:rPr>
        <w:t>Potrzebny jest dodatkowy czas na dokończenie formalnych procedur wymaganych na mocy prawa obu</w:t>
      </w:r>
      <w:r>
        <w:rPr>
          <w:noProof/>
        </w:rPr>
        <w:t xml:space="preserve"> stron w celu tymczasowego stosowania lub wejścia w życie tych umów. Przewiduje się, że procedury te będą prowadzone sześć miesięcy po wygaśnięciu, w dniu 30 września 2021 r., obecnie obowiązujących środków wyjątkowych.</w:t>
      </w:r>
    </w:p>
    <w:p w:rsidR="007E5012" w:rsidRDefault="00B315AB">
      <w:pPr>
        <w:rPr>
          <w:noProof/>
        </w:rPr>
      </w:pPr>
      <w:r>
        <w:rPr>
          <w:noProof/>
        </w:rPr>
        <w:t>Dwie przedmiotowe umowy transgranicz</w:t>
      </w:r>
      <w:r>
        <w:rPr>
          <w:noProof/>
        </w:rPr>
        <w:t>ne są odpowiednimi instrumentami do osiągnięcia celów rozporządzenia (UE) 2020/2222, a mianowicie zapewnienia ciągłości działalności zainteresowanych operatorów kolejowych. Jeżeli jednak okres ich ważności nie zostanie przedłużony w celu umożliwienia wejśc</w:t>
      </w:r>
      <w:r>
        <w:rPr>
          <w:noProof/>
        </w:rPr>
        <w:t>ia w życie lub tymczasowego stosowania tych umów, licencje i certyfikaty bezpieczeństwa wyżej wymienionych przewoźników kolejowych utracą ważność w dniu 30 września 2021 r., a przewozy zostaną wstrzymane, co spowoduje znaczne zakłócenia w przewozie pasażer</w:t>
      </w:r>
      <w:r>
        <w:rPr>
          <w:noProof/>
        </w:rPr>
        <w:t>ów i towarów przez stałe połączenie przez kanał La Manche.</w:t>
      </w:r>
    </w:p>
    <w:p w:rsidR="007E5012" w:rsidRDefault="00B315AB">
      <w:pPr>
        <w:rPr>
          <w:noProof/>
        </w:rPr>
      </w:pPr>
      <w:r>
        <w:rPr>
          <w:noProof/>
        </w:rPr>
        <w:t>Przedłużenie okresu ważności tych certyfikatów i licencji do dnia 31 marca 2022 r. leży zatem w interesie Unii.</w:t>
      </w:r>
    </w:p>
    <w:p w:rsidR="007E5012" w:rsidRDefault="00B315AB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Spójność z przepisami obowiązującymi w tej dziedzinie polityki</w:t>
      </w:r>
    </w:p>
    <w:p w:rsidR="007E5012" w:rsidRDefault="00B315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  <w:szCs w:val="24"/>
          <w:shd w:val="clear" w:color="auto" w:fill="FFFFFF"/>
        </w:rPr>
        <w:t xml:space="preserve">Niniejszy wniosek ma stanowić </w:t>
      </w:r>
      <w:r>
        <w:rPr>
          <w:i/>
          <w:iCs/>
          <w:noProof/>
          <w:szCs w:val="24"/>
          <w:shd w:val="clear" w:color="auto" w:fill="FFFFFF"/>
        </w:rPr>
        <w:t>lex specialis</w:t>
      </w:r>
      <w:r>
        <w:rPr>
          <w:noProof/>
          <w:szCs w:val="24"/>
          <w:shd w:val="clear" w:color="auto" w:fill="FFFFFF"/>
        </w:rPr>
        <w:t xml:space="preserve">, które odnosiłoby się do niektórych konsekwencji wynikających z faktu, że prawo Unii nie ma już zastosowania do Zjednoczonego Królestwa oraz że certyfikaty i autoryzacje wydane przez Komisję Międzyrządową utracą </w:t>
      </w:r>
      <w:r>
        <w:rPr>
          <w:noProof/>
          <w:szCs w:val="24"/>
          <w:shd w:val="clear" w:color="auto" w:fill="FFFFFF"/>
        </w:rPr>
        <w:t>ważność na mocy prawa Unii z dniem 30 września 2021 r., o ile nie zostanie postanowione inaczej. To samo dotyczy licencji operacyjnych wydanych przez organ wydający licencje w Zjednoczonym Królestwie. Proponowane przedłużenie ściśle ograniczono do tego, co</w:t>
      </w:r>
      <w:r>
        <w:rPr>
          <w:noProof/>
          <w:szCs w:val="24"/>
          <w:shd w:val="clear" w:color="auto" w:fill="FFFFFF"/>
        </w:rPr>
        <w:t xml:space="preserve"> jest niezbędne w tym zakresie, aby uniknąć zakłóceń w przewozach transgranicznych, a jego stosowanie ma się odbywać w ograniczonych ramach czasowych. Przepisy ogólne dyrektywy (UE) 2016/798 uchylające dyrektywę 2004/49/WE oraz dyrektywy 2012/34/UE będą na</w:t>
      </w:r>
      <w:r>
        <w:rPr>
          <w:noProof/>
          <w:szCs w:val="24"/>
          <w:shd w:val="clear" w:color="auto" w:fill="FFFFFF"/>
        </w:rPr>
        <w:t>dal obowiązywać pod innymi względami. Niniejszy wniosek jest zatem w pełni zgodny z obowiązującym prawodawstwem.</w:t>
      </w:r>
    </w:p>
    <w:p w:rsidR="007E5012" w:rsidRDefault="00B315AB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Spójność z innymi politykami Unii</w:t>
      </w:r>
    </w:p>
    <w:p w:rsidR="007E5012" w:rsidRDefault="00B315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Cs w:val="24"/>
        </w:rPr>
      </w:pPr>
      <w:r>
        <w:rPr>
          <w:noProof/>
          <w:szCs w:val="24"/>
          <w:shd w:val="clear" w:color="auto" w:fill="FFFFFF"/>
        </w:rPr>
        <w:t>Wniosek dotyczy bezpieczeństwa kolei i połączeń kolejowych i uzupełnia dyrektywę (UE) 2016/798, która uchyl</w:t>
      </w:r>
      <w:r>
        <w:rPr>
          <w:noProof/>
          <w:szCs w:val="24"/>
          <w:shd w:val="clear" w:color="auto" w:fill="FFFFFF"/>
        </w:rPr>
        <w:t>iła dyrektywę 2004/49/WE, a także dyrektywę 2012/34/UE. Zamiarem jest zapewnienie ciągłości transgranicznych połączeń kolejowych ze Zjednoczonym Królestwem po dniu 30 września 2021 r.</w:t>
      </w:r>
    </w:p>
    <w:p w:rsidR="007E5012" w:rsidRDefault="00B315AB"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PODSTAWA PRAWNA, POMOCNICZOŚĆ I PROPORCJONALNOŚĆ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Podstawa prawna</w:t>
      </w:r>
    </w:p>
    <w:p w:rsidR="007E5012" w:rsidRDefault="00B315AB">
      <w:pPr>
        <w:rPr>
          <w:noProof/>
        </w:rPr>
      </w:pPr>
      <w:r>
        <w:rPr>
          <w:noProof/>
        </w:rPr>
        <w:t>Po</w:t>
      </w:r>
      <w:r>
        <w:rPr>
          <w:noProof/>
        </w:rPr>
        <w:t>dstawą prawną jest art. 91 ust. 1 Traktatu o funkcjonowaniu Unii Europejskiej (TFUE).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 xml:space="preserve">Pomocniczość (w przypadku kompetencji niewyłącznych) </w:t>
      </w:r>
    </w:p>
    <w:p w:rsidR="007E5012" w:rsidRDefault="00B315AB">
      <w:pPr>
        <w:rPr>
          <w:noProof/>
        </w:rPr>
      </w:pPr>
      <w:r>
        <w:rPr>
          <w:noProof/>
        </w:rPr>
        <w:t>Ponieważ wniosek stanowi uzupełnienie obowiązującego prawa Unii, a jego celem jest ułatwienie prawidłowego stosowa</w:t>
      </w:r>
      <w:r>
        <w:rPr>
          <w:noProof/>
        </w:rPr>
        <w:t>nia tego prawa po wystąpieniu Zjednoczonego Królestwa z Unii, jego cel można osiągnąć jedynie poprzez działanie na poziomie Unii.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Proporcjonalność</w:t>
      </w:r>
    </w:p>
    <w:p w:rsidR="007E5012" w:rsidRDefault="00B315AB">
      <w:pPr>
        <w:rPr>
          <w:noProof/>
        </w:rPr>
      </w:pPr>
      <w:r>
        <w:rPr>
          <w:noProof/>
        </w:rPr>
        <w:t>W rozporządzeniu (UE) 2020/2222 ustanowiono środki mające na celu zapewnienie ciągłości unijnych transgrani</w:t>
      </w:r>
      <w:r>
        <w:rPr>
          <w:noProof/>
        </w:rPr>
        <w:t xml:space="preserve">cznych przewozów kolejowych ze Zjednoczonym Królestwem. </w:t>
      </w:r>
    </w:p>
    <w:p w:rsidR="007E5012" w:rsidRDefault="00B315AB">
      <w:pPr>
        <w:rPr>
          <w:noProof/>
        </w:rPr>
      </w:pPr>
      <w:r>
        <w:rPr>
          <w:noProof/>
        </w:rPr>
        <w:t>Proponowane przedłużenie okresu obowiązywania tych środków, bez zmiany ich zakresu lub treści, nie wykracza poza to, co jest bezwzględnie konieczne, aby umożliwić wejście w życie umów transgranicznyc</w:t>
      </w:r>
      <w:r>
        <w:rPr>
          <w:noProof/>
        </w:rPr>
        <w:t>h negocjowanych przez dane państwo członkowskie, zapewniając tym samym osiągnięcie wyżej wymienionego celu. Środek uznaje się zatem za proporcjonalny.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Wybór instrumentu</w:t>
      </w:r>
    </w:p>
    <w:p w:rsidR="007E5012" w:rsidRDefault="00B315AB">
      <w:pPr>
        <w:rPr>
          <w:noProof/>
        </w:rPr>
      </w:pPr>
      <w:r>
        <w:rPr>
          <w:noProof/>
        </w:rPr>
        <w:t>Ponieważ jest to instrument zmieniający, musi on przyjąć taką samą formę jak akt zmie</w:t>
      </w:r>
      <w:r>
        <w:rPr>
          <w:noProof/>
        </w:rPr>
        <w:t>niany, a mianowicie rozporządzenie (UE) 2020/2222. Rozporządzenie Parlamentu Europejskiego i Rady wydaje się zatem jedyną odpowiednią formą aktu prawnego.</w:t>
      </w:r>
    </w:p>
    <w:p w:rsidR="007E5012" w:rsidRDefault="007E5012">
      <w:pPr>
        <w:rPr>
          <w:noProof/>
        </w:rPr>
      </w:pPr>
    </w:p>
    <w:p w:rsidR="007E5012" w:rsidRDefault="00B315AB"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WYNIKI OCEN EX POST, KONSULTACJI Z ZAINTERESOWANYMI STRONAMI I OCEN SKUTKÓW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 xml:space="preserve">Oceny </w:t>
      </w:r>
      <w:r>
        <w:rPr>
          <w:i/>
          <w:iCs/>
          <w:noProof/>
          <w:u w:color="000000"/>
          <w:bdr w:val="nil"/>
        </w:rPr>
        <w:t>ex post</w:t>
      </w:r>
      <w:r>
        <w:rPr>
          <w:noProof/>
          <w:u w:color="000000"/>
          <w:bdr w:val="nil"/>
        </w:rPr>
        <w:t>/oceny</w:t>
      </w:r>
      <w:r>
        <w:rPr>
          <w:noProof/>
          <w:u w:color="000000"/>
          <w:bdr w:val="nil"/>
        </w:rPr>
        <w:t xml:space="preserve"> adekwatności obowiązującego prawodawstwa</w:t>
      </w:r>
    </w:p>
    <w:p w:rsidR="007E5012" w:rsidRDefault="00B315AB">
      <w:pPr>
        <w:rPr>
          <w:noProof/>
        </w:rPr>
      </w:pPr>
      <w:r>
        <w:rPr>
          <w:noProof/>
        </w:rPr>
        <w:t>Powyższe nie ma zastosowania, ponieważ proponowane środki zapewniają jedynie osiągnięcie celów rozporządzenia (UE) 2020/2222, a mianowicie łagodzenie skutków wyjątkowego, tymczasowego i jednorazowego zdarzenia.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K</w:t>
      </w:r>
      <w:r>
        <w:rPr>
          <w:noProof/>
          <w:u w:color="000000"/>
          <w:bdr w:val="nil"/>
        </w:rPr>
        <w:t>onsultacje z zainteresowanymi stronami</w:t>
      </w:r>
    </w:p>
    <w:p w:rsidR="007E5012" w:rsidRDefault="00B315AB">
      <w:pPr>
        <w:pStyle w:val="Tekstkomentarza"/>
        <w:rPr>
          <w:noProof/>
          <w:sz w:val="24"/>
          <w:szCs w:val="24"/>
        </w:rPr>
      </w:pPr>
      <w:r>
        <w:rPr>
          <w:noProof/>
          <w:sz w:val="24"/>
          <w:szCs w:val="24"/>
        </w:rPr>
        <w:t>Potencjalne wyzwania, które mogą wystąpić przed końcem okresu stosowania rozporządzenia (UE) 2020/2222 określonego w jego art. 8, wymagają przedłużenia środków, o które zwróciła się Francja, angażując w ten proces zai</w:t>
      </w:r>
      <w:r>
        <w:rPr>
          <w:noProof/>
          <w:sz w:val="24"/>
          <w:szCs w:val="24"/>
        </w:rPr>
        <w:t>nteresowane przedsiębiorstwa kolejowe.</w:t>
      </w:r>
    </w:p>
    <w:p w:rsidR="007E5012" w:rsidRDefault="00B315AB">
      <w:pPr>
        <w:rPr>
          <w:rFonts w:eastAsia="Arial Unicode MS"/>
          <w:noProof/>
        </w:rPr>
      </w:pPr>
      <w:r>
        <w:rPr>
          <w:noProof/>
        </w:rPr>
        <w:t>Pilny charakter działań Unii wymaga natychmiastowej interwencji regulacyjnej w celu zapewnienia ciągłości przewozów w ramach stałego połączenia przez kanał La Manche, co stwarza poważne ograniczenia możliwości przepro</w:t>
      </w:r>
      <w:r>
        <w:rPr>
          <w:noProof/>
        </w:rPr>
        <w:t xml:space="preserve">wadzenia konsultacji publicznych w sprawie wniosku. 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Gromadzenie i wykorzystanie wiedzy eksperckiej</w:t>
      </w:r>
    </w:p>
    <w:p w:rsidR="007E5012" w:rsidRDefault="00B315AB">
      <w:pPr>
        <w:rPr>
          <w:rFonts w:eastAsia="Arial Unicode MS"/>
          <w:noProof/>
        </w:rPr>
      </w:pPr>
      <w:r>
        <w:rPr>
          <w:noProof/>
          <w:shd w:val="clear" w:color="auto" w:fill="FFFFFF"/>
        </w:rPr>
        <w:t>Informacje te poddano wewnętrznej analizie prawnej i technicznej w celu zapewnienia, aby proponowany środek pozwolił osiągnąć zamierzony cel, a jednocześn</w:t>
      </w:r>
      <w:r>
        <w:rPr>
          <w:noProof/>
          <w:shd w:val="clear" w:color="auto" w:fill="FFFFFF"/>
        </w:rPr>
        <w:t>ie był ograniczony do niezbędnego minimum.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Ocena skutków</w:t>
      </w:r>
    </w:p>
    <w:p w:rsidR="007E5012" w:rsidRDefault="00B315AB">
      <w:pPr>
        <w:rPr>
          <w:noProof/>
        </w:rPr>
      </w:pPr>
      <w:r>
        <w:rPr>
          <w:noProof/>
        </w:rPr>
        <w:t xml:space="preserve">Ocena skutków nie jest wymagana ze względu na wyjątkowy charakter sytuacji i krótki okres obowiązywania środka, którego dotyczy wniosek. Nie są dostępne żadne znacząco inne ani różniące się </w:t>
      </w:r>
      <w:r>
        <w:rPr>
          <w:noProof/>
        </w:rPr>
        <w:t>formalnie warianty strategiczne oprócz proponowanego.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Sprawność regulacyjna i uproszczenie</w:t>
      </w:r>
    </w:p>
    <w:p w:rsidR="007E5012" w:rsidRDefault="00B315AB">
      <w:pPr>
        <w:rPr>
          <w:noProof/>
        </w:rPr>
      </w:pPr>
      <w:r>
        <w:rPr>
          <w:noProof/>
        </w:rPr>
        <w:t>Nie dotyczy.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lastRenderedPageBreak/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Prawa podstawowe</w:t>
      </w:r>
    </w:p>
    <w:p w:rsidR="007E5012" w:rsidRDefault="00B315AB">
      <w:pPr>
        <w:rPr>
          <w:noProof/>
        </w:rPr>
      </w:pPr>
      <w:r>
        <w:rPr>
          <w:noProof/>
        </w:rPr>
        <w:t>Wniosek nie ma wpływu na stosowanie ani na ochronę praw podstawowych.</w:t>
      </w:r>
    </w:p>
    <w:p w:rsidR="007E5012" w:rsidRDefault="00B315AB"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WPŁYW NA BUDŻET</w:t>
      </w:r>
    </w:p>
    <w:p w:rsidR="007E5012" w:rsidRDefault="00B315AB">
      <w:pPr>
        <w:rPr>
          <w:noProof/>
        </w:rPr>
      </w:pPr>
      <w:r>
        <w:rPr>
          <w:noProof/>
        </w:rPr>
        <w:t>Nie dotyczy.</w:t>
      </w:r>
    </w:p>
    <w:p w:rsidR="007E5012" w:rsidRDefault="00B315AB"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ELEMENTY FAKULTATYWNE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Pl</w:t>
      </w:r>
      <w:r>
        <w:rPr>
          <w:noProof/>
          <w:u w:color="000000"/>
          <w:bdr w:val="nil"/>
        </w:rPr>
        <w:t>any wdrożenia i monitorowanie, ocena i sprawozdania</w:t>
      </w:r>
    </w:p>
    <w:p w:rsidR="007E5012" w:rsidRDefault="00B315AB">
      <w:pPr>
        <w:rPr>
          <w:noProof/>
        </w:rPr>
      </w:pPr>
      <w:r>
        <w:rPr>
          <w:noProof/>
        </w:rPr>
        <w:t>Nie dotyczy ze względu na krótkoterminowy charakter proponowanego środka.</w:t>
      </w:r>
    </w:p>
    <w:p w:rsidR="007E5012" w:rsidRDefault="00B315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Dokumenty wyjaśniające (w przypadku dyrektyw)</w:t>
      </w:r>
    </w:p>
    <w:p w:rsidR="007E5012" w:rsidRDefault="00B315AB">
      <w:pPr>
        <w:rPr>
          <w:noProof/>
        </w:rPr>
      </w:pPr>
      <w:r>
        <w:rPr>
          <w:noProof/>
        </w:rPr>
        <w:t>Nie dotyczy.</w:t>
      </w:r>
    </w:p>
    <w:p w:rsidR="007E5012" w:rsidRDefault="00B315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b/>
          <w:noProof/>
          <w:u w:color="000000"/>
          <w:bdr w:val="nil"/>
        </w:rPr>
      </w:pPr>
      <w:r>
        <w:rPr>
          <w:b/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b/>
          <w:noProof/>
          <w:u w:color="000000"/>
          <w:bdr w:val="nil"/>
        </w:rPr>
        <w:t>Szczegółowe objaśnienia poszczególnych przepisów wniosku</w:t>
      </w:r>
    </w:p>
    <w:p w:rsidR="007E5012" w:rsidRDefault="00B315AB">
      <w:pPr>
        <w:rPr>
          <w:noProof/>
        </w:rPr>
      </w:pPr>
      <w:r>
        <w:rPr>
          <w:noProof/>
        </w:rPr>
        <w:t>Rozporządzenie (UE) 2020/2222 ma zastosowanie do:</w:t>
      </w:r>
    </w:p>
    <w:p w:rsidR="007E5012" w:rsidRDefault="00B315AB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autoryzacji w zakresie bezpieczeństwa wydanych przez Komisję Międzyrządową na podstawie art. 11 dyrektywy 2004/49/WE zarządcy infrastruktury stałego połączenia przez kanał La Manche;</w:t>
      </w:r>
    </w:p>
    <w:p w:rsidR="007E5012" w:rsidRDefault="00B315AB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certyfikatów bezp</w:t>
      </w:r>
      <w:r>
        <w:rPr>
          <w:noProof/>
        </w:rPr>
        <w:t>ieczeństwa wydanych przez Komisję Międzyrządową na podstawie art. 10 dyrektywy 2004/49/WE przedsiębiorstwom kolejowym z siedzibą w Zjednoczonym Królestwie wykorzystującym stałe połączenie przez kanał La Manche;</w:t>
      </w:r>
    </w:p>
    <w:p w:rsidR="007E5012" w:rsidRDefault="00B315AB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licencji wydanych na podstawie rozdziału I</w:t>
      </w:r>
      <w:r>
        <w:rPr>
          <w:noProof/>
        </w:rPr>
        <w:t>II dyrektywy 2012/34/UE przedsiębiorstwom kolejowym z siedzibą w Zjednoczonym Królestwie wykorzystującym infrastrukturę transgraniczną łączącą Unię ze Zjednoczonym Królestwem przez tunel pod kanałem La Manche.</w:t>
      </w:r>
    </w:p>
    <w:p w:rsidR="007E5012" w:rsidRDefault="00B315AB">
      <w:pPr>
        <w:rPr>
          <w:noProof/>
          <w:szCs w:val="24"/>
          <w:shd w:val="clear" w:color="auto" w:fill="FFFFFF"/>
        </w:rPr>
      </w:pPr>
      <w:r>
        <w:rPr>
          <w:noProof/>
        </w:rPr>
        <w:t>Zgodnie z art. 3 ust. 1 rozporządzenia (UE) 20</w:t>
      </w:r>
      <w:r>
        <w:rPr>
          <w:noProof/>
        </w:rPr>
        <w:t>20/2222, autoryzacje w zakresie bezpieczeństwa zachowały ważność przez dwa miesiące od dnia rozpoczęcia stosowania tego rozporządzenia (tj. do dnia 28 lutego 2021 r.).</w:t>
      </w:r>
    </w:p>
    <w:p w:rsidR="007E5012" w:rsidRDefault="00B315AB">
      <w:pPr>
        <w:rPr>
          <w:rFonts w:eastAsia="Arial Unicode MS"/>
          <w:noProof/>
        </w:rPr>
      </w:pPr>
      <w:r>
        <w:rPr>
          <w:noProof/>
          <w:shd w:val="clear" w:color="auto" w:fill="FFFFFF"/>
        </w:rPr>
        <w:t>Proponowane rozporządzenie ma na celu przedłużenie środków wyjątkowych dotyczących ważno</w:t>
      </w:r>
      <w:r>
        <w:rPr>
          <w:noProof/>
          <w:shd w:val="clear" w:color="auto" w:fill="FFFFFF"/>
        </w:rPr>
        <w:t>ści certyfikatów bezpieczeństwa i licencji. Proponowany termin przedłużenia to 31 marca 2022 r.</w:t>
      </w:r>
    </w:p>
    <w:p w:rsidR="007E5012" w:rsidRDefault="00B315AB">
      <w:pPr>
        <w:rPr>
          <w:noProof/>
        </w:rPr>
      </w:pPr>
      <w:r>
        <w:rPr>
          <w:noProof/>
        </w:rPr>
        <w:br w:type="page"/>
      </w:r>
    </w:p>
    <w:p w:rsidR="007E5012" w:rsidRDefault="00B315AB">
      <w:pPr>
        <w:pStyle w:val="Rfrenceinterinstitutionnelle"/>
        <w:rPr>
          <w:noProof/>
        </w:rPr>
      </w:pPr>
      <w:r>
        <w:rPr>
          <w:noProof/>
        </w:rPr>
        <w:lastRenderedPageBreak/>
        <w:t>2021/0228 (COD)</w:t>
      </w:r>
    </w:p>
    <w:p w:rsidR="007E5012" w:rsidRDefault="00B315AB">
      <w:pPr>
        <w:pStyle w:val="Statut"/>
        <w:rPr>
          <w:noProof/>
        </w:rPr>
      </w:pPr>
      <w:r>
        <w:rPr>
          <w:noProof/>
        </w:rPr>
        <w:t>Wniosek</w:t>
      </w:r>
    </w:p>
    <w:p w:rsidR="007E5012" w:rsidRDefault="00B315AB">
      <w:pPr>
        <w:pStyle w:val="Typedudocument"/>
        <w:rPr>
          <w:noProof/>
        </w:rPr>
      </w:pPr>
      <w:r>
        <w:rPr>
          <w:noProof/>
        </w:rPr>
        <w:t>ROZPORZĄDZENIE PARLAMENTU EUROPEJSKIEGO I RADY</w:t>
      </w:r>
    </w:p>
    <w:p w:rsidR="007E5012" w:rsidRDefault="00B315AB">
      <w:pPr>
        <w:pStyle w:val="Titreobjet"/>
        <w:rPr>
          <w:noProof/>
        </w:rPr>
      </w:pPr>
      <w:r>
        <w:rPr>
          <w:noProof/>
        </w:rPr>
        <w:t>zmieniające rozporządzenie Parlamentu Europejskiego i Rady (UE) 2020/2222 w odniesieniu</w:t>
      </w:r>
      <w:r>
        <w:rPr>
          <w:noProof/>
        </w:rPr>
        <w:t xml:space="preserve"> do infrastruktury transgranicznej łączącej Unię i Zjednoczone Królestwo stałym połączeniem przez kanał La Manche</w:t>
      </w:r>
    </w:p>
    <w:p w:rsidR="007E5012" w:rsidRDefault="00B315AB">
      <w:pPr>
        <w:pStyle w:val="IntrtEEE"/>
        <w:rPr>
          <w:noProof/>
        </w:rPr>
      </w:pPr>
      <w:r>
        <w:rPr>
          <w:noProof/>
        </w:rPr>
        <w:t>(Tekst mający znaczenie dla EOG)</w:t>
      </w:r>
    </w:p>
    <w:p w:rsidR="007E5012" w:rsidRDefault="00B315AB">
      <w:pPr>
        <w:pStyle w:val="Institutionquiagit"/>
        <w:rPr>
          <w:noProof/>
        </w:rPr>
      </w:pPr>
      <w:r>
        <w:rPr>
          <w:noProof/>
        </w:rPr>
        <w:t>PARLAMENT EUROPEJSKI I RADA UNII EUROPEJSKIEJ,</w:t>
      </w:r>
    </w:p>
    <w:p w:rsidR="007E5012" w:rsidRDefault="00B315AB">
      <w:pPr>
        <w:rPr>
          <w:noProof/>
        </w:rPr>
      </w:pPr>
      <w:r>
        <w:rPr>
          <w:noProof/>
        </w:rPr>
        <w:t>uwzględniając Traktat o funkcjonowaniu Unii Europejskiej, w sz</w:t>
      </w:r>
      <w:r>
        <w:rPr>
          <w:noProof/>
        </w:rPr>
        <w:t>czególności jego art. 91 ust. 1,</w:t>
      </w:r>
    </w:p>
    <w:p w:rsidR="007E5012" w:rsidRDefault="00B315AB">
      <w:pPr>
        <w:rPr>
          <w:noProof/>
        </w:rPr>
      </w:pPr>
      <w:r>
        <w:rPr>
          <w:noProof/>
        </w:rPr>
        <w:t>uwzględniając wniosek Komisji Europejskiej,</w:t>
      </w:r>
    </w:p>
    <w:p w:rsidR="007E5012" w:rsidRDefault="00B315AB">
      <w:pPr>
        <w:rPr>
          <w:noProof/>
        </w:rPr>
      </w:pPr>
      <w:r>
        <w:rPr>
          <w:noProof/>
        </w:rPr>
        <w:t>po przekazaniu projektu aktu ustawodawczego parlamentom narodowym,</w:t>
      </w:r>
    </w:p>
    <w:p w:rsidR="007E5012" w:rsidRDefault="00B315AB">
      <w:pPr>
        <w:rPr>
          <w:noProof/>
        </w:rPr>
      </w:pPr>
      <w:r>
        <w:rPr>
          <w:noProof/>
        </w:rPr>
        <w:t>uwzględniając opinię Europejskiego Komitetu Ekonomiczno-Społecznego</w:t>
      </w:r>
      <w:r>
        <w:rPr>
          <w:rStyle w:val="Odwoanieprzypisudolnego"/>
          <w:noProof/>
        </w:rPr>
        <w:footnoteReference w:id="6"/>
      </w:r>
      <w:r>
        <w:rPr>
          <w:noProof/>
        </w:rPr>
        <w:t>,</w:t>
      </w:r>
    </w:p>
    <w:p w:rsidR="007E5012" w:rsidRDefault="00B315AB">
      <w:pPr>
        <w:rPr>
          <w:noProof/>
        </w:rPr>
      </w:pPr>
      <w:r>
        <w:rPr>
          <w:noProof/>
        </w:rPr>
        <w:t>uwzględniając opinię Komitetu Regionów</w:t>
      </w:r>
      <w:r>
        <w:rPr>
          <w:rStyle w:val="Odwoanieprzypisudolnego"/>
          <w:noProof/>
        </w:rPr>
        <w:footnoteReference w:id="7"/>
      </w:r>
      <w:r>
        <w:rPr>
          <w:noProof/>
        </w:rPr>
        <w:t>,</w:t>
      </w:r>
    </w:p>
    <w:p w:rsidR="007E5012" w:rsidRDefault="00B315AB">
      <w:pPr>
        <w:rPr>
          <w:noProof/>
        </w:rPr>
      </w:pPr>
      <w:r>
        <w:rPr>
          <w:noProof/>
        </w:rPr>
        <w:t>s</w:t>
      </w:r>
      <w:r>
        <w:rPr>
          <w:noProof/>
        </w:rPr>
        <w:t>tanowiąc zgodnie ze zwykłą procedurą ustawodawczą,</w:t>
      </w:r>
    </w:p>
    <w:p w:rsidR="007E5012" w:rsidRDefault="00B315AB">
      <w:pPr>
        <w:rPr>
          <w:noProof/>
        </w:rPr>
      </w:pPr>
      <w:r>
        <w:rPr>
          <w:noProof/>
        </w:rPr>
        <w:t>a także mając na uwadze, co następuje:</w:t>
      </w:r>
    </w:p>
    <w:p w:rsidR="007E5012" w:rsidRDefault="00B315AB">
      <w:pPr>
        <w:pStyle w:val="ManualConsidrant"/>
        <w:rPr>
          <w:noProof/>
          <w:shd w:val="clear" w:color="auto" w:fill="FFFFFF"/>
        </w:rPr>
      </w:pPr>
      <w:r>
        <w:t>(1)</w:t>
      </w:r>
      <w:r>
        <w:tab/>
      </w:r>
      <w:r>
        <w:rPr>
          <w:noProof/>
        </w:rPr>
        <w:t>W celu zapewnienia połączeń między Unią a Zjednoczonym Królestwem po zakończeniu okresu przejściowego, o którym mowa w art. 126 Umowy o wystąpieniu Zjednoczone Kr</w:t>
      </w:r>
      <w:r>
        <w:rPr>
          <w:noProof/>
        </w:rPr>
        <w:t>ólestwo Wielkiej Brytanii i Irlandii Północnej z Unii Europejskiej i Europejskiej Wspólnoty Energii Atomowej</w:t>
      </w:r>
      <w:r>
        <w:rPr>
          <w:rStyle w:val="Odwoanieprzypisudolnego"/>
          <w:noProof/>
          <w:szCs w:val="24"/>
        </w:rPr>
        <w:footnoteReference w:id="8"/>
      </w:r>
      <w:r>
        <w:rPr>
          <w:noProof/>
        </w:rPr>
        <w:t>, oraz ciągłości działalności przedsiębiorstw kolejowych mających siedzibę i posiadających licencję w Zjednoczonym Królestwie, które prowadzą przew</w:t>
      </w:r>
      <w:r>
        <w:rPr>
          <w:noProof/>
        </w:rPr>
        <w:t>ozy przez stałe połączenie przez kanał La Manche, rozporządzeniem Parlamentu Europejskiego i Rady (UE) 2020/2222</w:t>
      </w:r>
      <w:r>
        <w:rPr>
          <w:rStyle w:val="Odwoanieprzypisudolnego"/>
          <w:noProof/>
          <w:szCs w:val="24"/>
        </w:rPr>
        <w:footnoteReference w:id="9"/>
      </w:r>
      <w:r>
        <w:rPr>
          <w:noProof/>
        </w:rPr>
        <w:t xml:space="preserve"> przedłużono do dnia 30 września 2021 r. okres ważności licencji wydanych przez Zjednoczone Królestwo na podstawie dyrektywy Parlamentu Europejskiego i Rady 2012/34/UE</w:t>
      </w:r>
      <w:r>
        <w:rPr>
          <w:rStyle w:val="Odwoanieprzypisudolnego"/>
          <w:noProof/>
          <w:szCs w:val="24"/>
        </w:rPr>
        <w:footnoteReference w:id="10"/>
      </w:r>
      <w:r>
        <w:rPr>
          <w:noProof/>
        </w:rPr>
        <w:t xml:space="preserve"> operatorom kolejowym mającym siedzibę na jego terytorium, jak również okres ważności ce</w:t>
      </w:r>
      <w:r>
        <w:rPr>
          <w:noProof/>
        </w:rPr>
        <w:t>rtyfikatów bezpieczeństwa wydanych tym przedsiębiorstwom na podstawie dyrektywy 2004/49/WE Parlamentu Europejskiego i Rady</w:t>
      </w:r>
      <w:r>
        <w:rPr>
          <w:rStyle w:val="Odwoanieprzypisudolnego"/>
          <w:noProof/>
          <w:szCs w:val="24"/>
        </w:rPr>
        <w:footnoteReference w:id="11"/>
      </w:r>
      <w:r>
        <w:rPr>
          <w:noProof/>
        </w:rPr>
        <w:t xml:space="preserve"> przez Komisję Międzyrządową ustanowioną na podstawie art. 10 Traktatu </w:t>
      </w:r>
      <w:r>
        <w:rPr>
          <w:noProof/>
        </w:rPr>
        <w:lastRenderedPageBreak/>
        <w:t>między Zjednoczonym Królestwem Wielkiej Brytanii i Irlandii Pó</w:t>
      </w:r>
      <w:r>
        <w:rPr>
          <w:noProof/>
        </w:rPr>
        <w:t>łnocnej a Republiką Francuską dotyczącego budowy i eksploatacji stałego połączenia przez Kanał La Manche przez prywatnych koncesjonariuszy, podpisanego w Canterbury w dniu 12 lutego 1986 r.</w:t>
      </w:r>
    </w:p>
    <w:p w:rsidR="007E5012" w:rsidRDefault="00B315AB">
      <w:pPr>
        <w:pStyle w:val="ManualConsidrant"/>
        <w:rPr>
          <w:noProof/>
          <w:shd w:val="clear" w:color="auto" w:fill="FFFFFF"/>
        </w:rPr>
      </w:pPr>
      <w:r>
        <w:t>(2)</w:t>
      </w:r>
      <w:r>
        <w:tab/>
      </w:r>
      <w:r>
        <w:rPr>
          <w:noProof/>
        </w:rPr>
        <w:t>Decyzją Parlamentu Europejskiego i Rady (UE) 2020/1531</w:t>
      </w:r>
      <w:r>
        <w:rPr>
          <w:rStyle w:val="Odwoanieprzypisudolnego"/>
          <w:noProof/>
        </w:rPr>
        <w:footnoteReference w:id="12"/>
      </w:r>
      <w:r>
        <w:rPr>
          <w:noProof/>
        </w:rPr>
        <w:t xml:space="preserve"> upoważ</w:t>
      </w:r>
      <w:r>
        <w:rPr>
          <w:noProof/>
        </w:rPr>
        <w:t xml:space="preserve">nia się Francję i Zjednoczone Królestwo do zawarcia międzynarodowej umowy uzupełniającej Traktat między Francją a Zjednoczonym Królestwem Wielkiej Brytanii i Irlandii Północnej dotyczący budowy i eksploatacji stałego połączenia przez kanał La Manche przez </w:t>
      </w:r>
      <w:r>
        <w:rPr>
          <w:noProof/>
        </w:rPr>
        <w:t>prywatnych koncesjonariuszy (zwany dalej „traktatem z Canterbury”) w zakresie stosowania przepisów dotyczących bezpieczeństwa kolei w odniesieniu do stałego połączenia przez kanał La Manche.</w:t>
      </w:r>
      <w:r>
        <w:rPr>
          <w:noProof/>
          <w:shd w:val="clear" w:color="auto" w:fill="FFFFFF"/>
        </w:rPr>
        <w:t xml:space="preserve"> Jednak nie zawarto jeszcze żadnej umowy ani nie jest prawdopodobn</w:t>
      </w:r>
      <w:r>
        <w:rPr>
          <w:noProof/>
          <w:shd w:val="clear" w:color="auto" w:fill="FFFFFF"/>
        </w:rPr>
        <w:t>e, że taka umowa zostanie zawarta wkrótce.</w:t>
      </w:r>
    </w:p>
    <w:p w:rsidR="007E5012" w:rsidRDefault="00B315AB">
      <w:pPr>
        <w:pStyle w:val="ManualConsidrant"/>
        <w:rPr>
          <w:noProof/>
          <w:shd w:val="clear" w:color="auto" w:fill="FFFFFF"/>
        </w:rPr>
      </w:pPr>
      <w:r>
        <w:t>(3)</w:t>
      </w:r>
      <w:r>
        <w:tab/>
      </w:r>
      <w:r>
        <w:rPr>
          <w:noProof/>
          <w:shd w:val="clear" w:color="auto" w:fill="FFFFFF"/>
        </w:rPr>
        <w:t>W tych okolicznościach Francja wynegocjowała ze Zjednoczonym Królestwem umowę transgraniczną na podstawie art. 14 dyrektywy 2012/34/UE dotyczącą certyfikatów bezpieczeństwa. Francja wynegocjowała również analo</w:t>
      </w:r>
      <w:r>
        <w:rPr>
          <w:noProof/>
          <w:shd w:val="clear" w:color="auto" w:fill="FFFFFF"/>
        </w:rPr>
        <w:t xml:space="preserve">giczną umowę dotyczącą licencji przedsiębiorstw kolejowych, zgłoszoną Komisji dnia 10 listopada 2020 r. i zasygnalizowaną w motywie 9 rozporządzenia (UE) 2020/2222.   </w:t>
      </w:r>
      <w:r>
        <w:rPr>
          <w:noProof/>
        </w:rPr>
        <w:t>Przewiduje się, że procedury wewnętrzne konieczne na mocy prawa obu stron do celów tymcza</w:t>
      </w:r>
      <w:r>
        <w:rPr>
          <w:noProof/>
        </w:rPr>
        <w:t>sowego stosowania lub wejścia w życie tych umów mogą trwać sześć miesięcy po wygaśnięciu, w dniu 30 września 2021 r., środków przewidzianych w rozporządzeniu (UE) 2020/2222.</w:t>
      </w:r>
    </w:p>
    <w:p w:rsidR="007E5012" w:rsidRDefault="00B315AB"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Bez uszczerbku dla oceny, która ma zostać przeprowadzona i decyzji, które mają</w:t>
      </w:r>
      <w:r>
        <w:rPr>
          <w:noProof/>
        </w:rPr>
        <w:t xml:space="preserve"> zostać podjęte przez Komisję na podstawie art. 14 ust. 4 i 5 dyrektywy 2012/34/UE, te dwie umowy transgraniczne stanowią odpowiednie instrumenty zapewniające łączność między Unią a Zjednoczonym Królestwem. Jednakże, o ile okres ważności licencji i certyfi</w:t>
      </w:r>
      <w:r>
        <w:rPr>
          <w:noProof/>
        </w:rPr>
        <w:t>katów bezpieczeństwa, o których mowa w motywie 1, nie zostanie przedłużony tak, aby umożliwić wejście w życie lub tymczasowe stosowanie tych umów, działalność przedsiębiorstw kolejowych prowadzących działalność związaną ze stałym połączeniem przez kanał La</w:t>
      </w:r>
      <w:r>
        <w:rPr>
          <w:noProof/>
        </w:rPr>
        <w:t xml:space="preserve"> Manche zostanie wstrzymana w dniu 30 września 2021 r., powodując znaczne zakłócenia w przewozie osób i towarów między Unią a Zjednoczonym Królestwem.</w:t>
      </w:r>
    </w:p>
    <w:p w:rsidR="007E5012" w:rsidRDefault="00B315AB"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Przedłużenie okresu ważności tych certyfikatów i licencji do dnia 31 marca 2022 r. poprzez zmianę roz</w:t>
      </w:r>
      <w:r>
        <w:rPr>
          <w:noProof/>
        </w:rPr>
        <w:t>porządzenia (UE) 2020/2222 leży zatem w interesie Unii.</w:t>
      </w:r>
    </w:p>
    <w:p w:rsidR="007E5012" w:rsidRDefault="00B315AB">
      <w:pPr>
        <w:pStyle w:val="ManualConsidrant"/>
        <w:rPr>
          <w:noProof/>
          <w:szCs w:val="24"/>
        </w:rPr>
      </w:pPr>
      <w:r>
        <w:t>(6)</w:t>
      </w:r>
      <w:r>
        <w:tab/>
      </w:r>
      <w:r>
        <w:rPr>
          <w:noProof/>
        </w:rPr>
        <w:t>Z uwagi na pilną potrzebę spowodowaną zakończeniem okresu ważności środków przewidzianych w rozporządzeniu (UE) 2020/2222 należy przewidzieć wyjątek od terminu ośmiu tygodni, o którym mowa w art. </w:t>
      </w:r>
      <w:r>
        <w:rPr>
          <w:noProof/>
        </w:rPr>
        <w:t>4 Protokołu nr 1 w sprawie roli parlamentów narodowych w Unii Europejskiej, załączonego do Traktatu o Unii Europejskiej, do Traktatu o funkcjonowaniu Unii Europejskiej i do Traktatu ustanawiającego Europejską Wspólnotę Energii Atomowej.</w:t>
      </w:r>
    </w:p>
    <w:p w:rsidR="007E5012" w:rsidRDefault="00B315AB">
      <w:pPr>
        <w:pStyle w:val="ManualConsidrant"/>
        <w:rPr>
          <w:noProof/>
        </w:rPr>
      </w:pPr>
      <w:r>
        <w:lastRenderedPageBreak/>
        <w:t>(7)</w:t>
      </w:r>
      <w:r>
        <w:tab/>
      </w:r>
      <w:r>
        <w:rPr>
          <w:noProof/>
        </w:rPr>
        <w:t>Ponieważ cel ni</w:t>
      </w:r>
      <w:r>
        <w:rPr>
          <w:noProof/>
        </w:rPr>
        <w:t>niejszego rozporządzenia, a mianowicie zmiana rozporządzenia (UE) 2020/2222 i ustanowienie tymczasowych środków dotyczących niektórych aspektów bezpieczeństwa kolei i połączeń w związku z zakończeniem okresu przejściowego, nie może zostać osiągnięty w spos</w:t>
      </w:r>
      <w:r>
        <w:rPr>
          <w:noProof/>
        </w:rPr>
        <w:t xml:space="preserve">ób wystarczający przez państwa członkowskie, natomiast ze względu na skutki i rozmiary działań możliwe jest lepsze jego osiągnięcie na poziomie Unii, może ona podjąć działania zgodnie z zasadą pomocniczości określoną w art. 5 Traktatu o Unii Europejskiej. </w:t>
      </w:r>
      <w:r>
        <w:rPr>
          <w:noProof/>
        </w:rPr>
        <w:t xml:space="preserve">Zgodnie z zasadą proporcjonalności określoną w tym artykule niniejsze rozporządzenie nie wykracza poza to, co jest niezbędne do osiągnięcia tego celu. </w:t>
      </w:r>
    </w:p>
    <w:p w:rsidR="007E5012" w:rsidRDefault="00B315AB"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  <w:shd w:val="clear" w:color="auto" w:fill="FFFFFF"/>
        </w:rPr>
        <w:t>Niniejsze rozporządzenie powinno wejść w życie w trybie pilnym,</w:t>
      </w:r>
    </w:p>
    <w:p w:rsidR="007E5012" w:rsidRDefault="00B315AB">
      <w:pPr>
        <w:pStyle w:val="Formuledadoption"/>
        <w:rPr>
          <w:noProof/>
        </w:rPr>
      </w:pPr>
      <w:r>
        <w:rPr>
          <w:noProof/>
        </w:rPr>
        <w:t>PRZYJMUJĄ NINIEJSZE ROZPORZĄDZENIE:</w:t>
      </w:r>
    </w:p>
    <w:p w:rsidR="007E5012" w:rsidRDefault="00B315AB">
      <w:pPr>
        <w:pStyle w:val="Titrearticle"/>
        <w:rPr>
          <w:noProof/>
        </w:rPr>
      </w:pPr>
      <w:r>
        <w:rPr>
          <w:noProof/>
        </w:rPr>
        <w:t>Artykuł 1</w:t>
      </w:r>
    </w:p>
    <w:p w:rsidR="007E5012" w:rsidRDefault="00B315AB">
      <w:pPr>
        <w:rPr>
          <w:noProof/>
        </w:rPr>
      </w:pPr>
      <w:r>
        <w:rPr>
          <w:noProof/>
        </w:rPr>
        <w:t>W rozporządzeniu (UE) 2020/2222 wprowadza się następujące zmiany:</w:t>
      </w:r>
    </w:p>
    <w:p w:rsidR="007E5012" w:rsidRDefault="00B315AB"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  <w:t>w art. 3 wprowadza się następujące zmiany:</w:t>
      </w:r>
    </w:p>
    <w:p w:rsidR="007E5012" w:rsidRDefault="00B315AB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w ust. 2 zdanie pierwsze otrzymuje brzmienie:</w:t>
      </w:r>
    </w:p>
    <w:p w:rsidR="007E5012" w:rsidRDefault="00B315AB">
      <w:pPr>
        <w:pStyle w:val="Text2"/>
        <w:rPr>
          <w:noProof/>
          <w:shd w:val="clear" w:color="auto" w:fill="FFFFFF"/>
        </w:rPr>
      </w:pPr>
      <w:r>
        <w:rPr>
          <w:noProof/>
        </w:rPr>
        <w:t>„Certyfikaty bezpieczeństwa, o których mowa w art. 1 ust. 2 lit. b) zachowują ważność</w:t>
      </w:r>
      <w:r>
        <w:rPr>
          <w:noProof/>
        </w:rPr>
        <w:t xml:space="preserve"> przez piętnaście miesięcy od daty rozpoczęcia stosowania niniejszego rozporządzenia.”;</w:t>
      </w:r>
    </w:p>
    <w:p w:rsidR="007E5012" w:rsidRDefault="00B315AB">
      <w:pPr>
        <w:pStyle w:val="Point1"/>
        <w:rPr>
          <w:noProof/>
          <w:shd w:val="clear" w:color="auto" w:fill="FFFFFF"/>
        </w:rPr>
      </w:pPr>
      <w:r>
        <w:rPr>
          <w:noProof/>
        </w:rPr>
        <w:t>b)</w:t>
      </w:r>
      <w:r>
        <w:rPr>
          <w:noProof/>
        </w:rPr>
        <w:tab/>
      </w:r>
      <w:r>
        <w:rPr>
          <w:noProof/>
          <w:shd w:val="clear" w:color="auto" w:fill="FFFFFF"/>
        </w:rPr>
        <w:t>w ust. 3 zdanie pierwsze otrzymuje brzmienie:</w:t>
      </w:r>
    </w:p>
    <w:p w:rsidR="007E5012" w:rsidRDefault="00B315AB">
      <w:pPr>
        <w:pStyle w:val="Text2"/>
        <w:rPr>
          <w:noProof/>
        </w:rPr>
      </w:pPr>
      <w:r>
        <w:rPr>
          <w:noProof/>
          <w:shd w:val="clear" w:color="auto" w:fill="FFFFFF"/>
        </w:rPr>
        <w:t>„Licencje, o których mowa w art. 1 ust. 2 lit. c) zachowują ważność przez piętnaście miesięcy od daty rozpoczęcia stoso</w:t>
      </w:r>
      <w:r>
        <w:rPr>
          <w:noProof/>
          <w:shd w:val="clear" w:color="auto" w:fill="FFFFFF"/>
        </w:rPr>
        <w:t>wania niniejszego rozporządzenia.”;</w:t>
      </w:r>
    </w:p>
    <w:p w:rsidR="007E5012" w:rsidRDefault="00B315AB"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  <w:t>art. 8 ust. 3 otrzymuje brzmienie:</w:t>
      </w:r>
    </w:p>
    <w:p w:rsidR="007E5012" w:rsidRDefault="00B315AB">
      <w:pPr>
        <w:pStyle w:val="Text1"/>
        <w:rPr>
          <w:noProof/>
        </w:rPr>
      </w:pPr>
      <w:r>
        <w:rPr>
          <w:noProof/>
        </w:rPr>
        <w:t xml:space="preserve">„3. Niniejsze rozporządzenie przestaje obowiązywać w dniu 31 marca 2022 r.”. </w:t>
      </w:r>
    </w:p>
    <w:p w:rsidR="007E5012" w:rsidRDefault="00B315AB">
      <w:pPr>
        <w:pStyle w:val="Titrearticle"/>
        <w:rPr>
          <w:noProof/>
        </w:rPr>
      </w:pPr>
      <w:r>
        <w:rPr>
          <w:noProof/>
        </w:rPr>
        <w:t>Artykuł 2</w:t>
      </w:r>
    </w:p>
    <w:p w:rsidR="007E5012" w:rsidRDefault="00B315AB">
      <w:pPr>
        <w:rPr>
          <w:noProof/>
        </w:rPr>
      </w:pPr>
      <w:r>
        <w:rPr>
          <w:noProof/>
        </w:rPr>
        <w:t>Niniejsze rozporządzenie wchodzi w życie następnego dnia po jego opublikowaniu w </w:t>
      </w:r>
      <w:r>
        <w:rPr>
          <w:i/>
          <w:noProof/>
        </w:rPr>
        <w:t>Dzienniku Urz</w:t>
      </w:r>
      <w:r>
        <w:rPr>
          <w:i/>
          <w:noProof/>
        </w:rPr>
        <w:t>ędowym Unii Europejskiej</w:t>
      </w:r>
      <w:r>
        <w:rPr>
          <w:noProof/>
        </w:rPr>
        <w:t>.</w:t>
      </w:r>
    </w:p>
    <w:p w:rsidR="007E5012" w:rsidRDefault="00B315AB">
      <w:pPr>
        <w:pStyle w:val="Applicationdirecte"/>
        <w:rPr>
          <w:noProof/>
        </w:rPr>
      </w:pPr>
      <w:r>
        <w:rPr>
          <w:noProof/>
        </w:rPr>
        <w:t>Niniejsze rozporządzenie wiąże w całości i jest bezpośrednio stosowane we wszystkich państwach członkowskich.</w:t>
      </w:r>
    </w:p>
    <w:p w:rsidR="007E5012" w:rsidRDefault="00B315AB">
      <w:pPr>
        <w:pStyle w:val="Fait"/>
        <w:rPr>
          <w:noProof/>
        </w:rPr>
      </w:pPr>
      <w:r>
        <w:t xml:space="preserve">Sporządzono w Brukseli dnia </w:t>
      </w:r>
      <w:r>
        <w:rPr>
          <w:rStyle w:val="Marker"/>
        </w:rPr>
        <w:t>[…]</w:t>
      </w:r>
      <w:r>
        <w:t xml:space="preserve"> r.</w:t>
      </w:r>
    </w:p>
    <w:p w:rsidR="007E5012" w:rsidRDefault="00B315AB">
      <w:pPr>
        <w:pStyle w:val="Institutionquisigne"/>
        <w:rPr>
          <w:noProof/>
        </w:rPr>
      </w:pPr>
      <w:r>
        <w:rPr>
          <w:noProof/>
        </w:rPr>
        <w:t>W imieniu Parlamentu Europejskiego</w:t>
      </w:r>
      <w:r>
        <w:rPr>
          <w:noProof/>
        </w:rPr>
        <w:tab/>
        <w:t>W imieniu Rady</w:t>
      </w:r>
    </w:p>
    <w:p w:rsidR="007E5012" w:rsidRDefault="00B315AB">
      <w:pPr>
        <w:pStyle w:val="Personnequisigne"/>
        <w:rPr>
          <w:noProof/>
        </w:rPr>
      </w:pPr>
      <w:r>
        <w:rPr>
          <w:noProof/>
        </w:rPr>
        <w:t>Przewodniczący</w:t>
      </w:r>
      <w:r>
        <w:rPr>
          <w:noProof/>
        </w:rPr>
        <w:tab/>
        <w:t>Przewodniczący</w:t>
      </w:r>
    </w:p>
    <w:sectPr w:rsidR="007E5012">
      <w:footerReference w:type="default" r:id="rId11"/>
      <w:footerReference w:type="first" r:id="rId12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AB" w:rsidRDefault="00B315AB">
      <w:pPr>
        <w:spacing w:before="0" w:after="0"/>
      </w:pPr>
      <w:r>
        <w:separator/>
      </w:r>
    </w:p>
  </w:endnote>
  <w:endnote w:type="continuationSeparator" w:id="0">
    <w:p w:rsidR="00B315AB" w:rsidRDefault="00B31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12" w:rsidRDefault="00B315AB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proofErr w:type="spellStart"/>
    <w:r>
      <w:rPr>
        <w:rFonts w:ascii="Arial" w:hAnsi="Arial" w:cs="Arial"/>
        <w:b/>
        <w:sz w:val="48"/>
      </w:rPr>
      <w:t>PL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12" w:rsidRDefault="00B315AB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327AE1"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12" w:rsidRDefault="007E5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AB" w:rsidRDefault="00B315AB">
      <w:pPr>
        <w:spacing w:before="0" w:after="0"/>
      </w:pPr>
      <w:r>
        <w:separator/>
      </w:r>
    </w:p>
  </w:footnote>
  <w:footnote w:type="continuationSeparator" w:id="0">
    <w:p w:rsidR="00B315AB" w:rsidRDefault="00B315AB">
      <w:pPr>
        <w:spacing w:before="0" w:after="0"/>
      </w:pPr>
      <w:r>
        <w:continuationSeparator/>
      </w:r>
    </w:p>
  </w:footnote>
  <w:footnote w:id="1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  <w:t xml:space="preserve">Przedsiębiorstwami kolejowymi wykonującym przewozy przez stałe połączenie przez kanał La Manche są: </w:t>
      </w:r>
      <w:proofErr w:type="spellStart"/>
      <w:r>
        <w:t>Eurostar</w:t>
      </w:r>
      <w:proofErr w:type="spellEnd"/>
      <w:r>
        <w:t xml:space="preserve"> International Limited (EIL), DB Cargo UK i GB </w:t>
      </w:r>
      <w:proofErr w:type="spellStart"/>
      <w:r>
        <w:t>Railfreight</w:t>
      </w:r>
      <w:proofErr w:type="spellEnd"/>
      <w:r>
        <w:t>.</w:t>
      </w:r>
    </w:p>
  </w:footnote>
  <w:footnote w:id="2">
    <w:p w:rsidR="007E5012" w:rsidRDefault="00B315AB">
      <w:pPr>
        <w:pStyle w:val="Tekstprzypisudolnego"/>
        <w:ind w:left="567" w:hanging="567"/>
        <w:rPr>
          <w:shd w:val="clear" w:color="auto" w:fill="FFFFFF"/>
        </w:rPr>
      </w:pPr>
      <w:r>
        <w:rPr>
          <w:rStyle w:val="Odwoanieprzypisudolnego"/>
        </w:rPr>
        <w:footnoteRef/>
      </w:r>
      <w:r>
        <w:tab/>
        <w:t>Rozporządzenie Parlamentu Europejskiego i Rady (</w:t>
      </w:r>
      <w:r>
        <w:t>UE) 2020/2222 z dnia 23 grudnia 2020 r. w sprawie niektórych aspektów bezpieczeństwa kolei i jakości sieci połączeń w odniesieniu do infrastruktury transgranicznej łączącej Unię i Zjednoczone Królestwo stałym połączeniem przez kanał La Manche (</w:t>
      </w:r>
      <w:r>
        <w:rPr>
          <w:i/>
          <w:iCs/>
        </w:rPr>
        <w:t xml:space="preserve">Dz.U. L 437 </w:t>
      </w:r>
      <w:r>
        <w:rPr>
          <w:i/>
          <w:iCs/>
        </w:rPr>
        <w:t>z 28.12.2020, s. 43</w:t>
      </w:r>
      <w:r>
        <w:t>)</w:t>
      </w:r>
    </w:p>
  </w:footnote>
  <w:footnote w:id="3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</w:r>
      <w:r>
        <w:rPr>
          <w:shd w:val="clear" w:color="auto" w:fill="FFFFFF"/>
        </w:rPr>
        <w:t>Dyrektywa Parlamentu Europejskiego i Rady 2012/34/UE z dnia 21 listopada 2012 r. w sprawie utworzenia jednolitego europejskiego obszaru kolejowego (</w:t>
      </w:r>
      <w:r>
        <w:rPr>
          <w:i/>
          <w:iCs/>
          <w:shd w:val="clear" w:color="auto" w:fill="FFFFFF"/>
        </w:rPr>
        <w:t>Dz.U. L 343 z 14.12.2012, s. 32</w:t>
      </w:r>
      <w:r>
        <w:rPr>
          <w:shd w:val="clear" w:color="auto" w:fill="FFFFFF"/>
        </w:rPr>
        <w:t>).</w:t>
      </w:r>
    </w:p>
  </w:footnote>
  <w:footnote w:id="4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</w:r>
      <w:r>
        <w:rPr>
          <w:shd w:val="clear" w:color="auto" w:fill="FFFFFF"/>
        </w:rPr>
        <w:t>Dyrektywa 2004/49/WE Parlamentu Europejskiego i R</w:t>
      </w:r>
      <w:r>
        <w:rPr>
          <w:shd w:val="clear" w:color="auto" w:fill="FFFFFF"/>
        </w:rPr>
        <w:t>ady z dnia 29 kwietnia 2004 r. w sprawie bezpieczeństwa kolei wspólnotowej oraz zmieniająca dyrektywę Rady 95/18/WE w sprawie przyznawania licencji przedsiębiorstwom kolejowym, oraz dyrektywę 2001/14/WE w sprawie alokacji zdolności przepustowej infrastrukt</w:t>
      </w:r>
      <w:r>
        <w:rPr>
          <w:shd w:val="clear" w:color="auto" w:fill="FFFFFF"/>
        </w:rPr>
        <w:t>ury kolejowej i pobierania opłat za użytkowanie infrastruktury kolejowej oraz certyfikację w zakresie bezpieczeństwa (</w:t>
      </w:r>
      <w:r>
        <w:rPr>
          <w:i/>
          <w:iCs/>
          <w:shd w:val="clear" w:color="auto" w:fill="FFFFFF"/>
        </w:rPr>
        <w:t>Dz.U. L 164 z 30.4.2004, s. 44, już nie obowiązuje</w:t>
      </w:r>
      <w:r>
        <w:rPr>
          <w:shd w:val="clear" w:color="auto" w:fill="FFFFFF"/>
        </w:rPr>
        <w:t>).</w:t>
      </w:r>
    </w:p>
  </w:footnote>
  <w:footnote w:id="5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</w:r>
      <w:r>
        <w:rPr>
          <w:shd w:val="clear" w:color="auto" w:fill="FFFFFF"/>
        </w:rPr>
        <w:t>Dyrektywa Parlamentu Europejskiego i Rady (UE) 2016/798 z dnia 11 maja 2016 r. w sp</w:t>
      </w:r>
      <w:r>
        <w:rPr>
          <w:shd w:val="clear" w:color="auto" w:fill="FFFFFF"/>
        </w:rPr>
        <w:t>rawie bezpieczeństwa kolei (</w:t>
      </w:r>
      <w:r>
        <w:rPr>
          <w:i/>
          <w:iCs/>
          <w:shd w:val="clear" w:color="auto" w:fill="FFFFFF"/>
        </w:rPr>
        <w:t>Dz.U. L 138 z 26.5.2016, s. 102</w:t>
      </w:r>
      <w:r>
        <w:rPr>
          <w:shd w:val="clear" w:color="auto" w:fill="FFFFFF"/>
        </w:rPr>
        <w:t>).</w:t>
      </w:r>
    </w:p>
  </w:footnote>
  <w:footnote w:id="6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  <w:t>Dz.U. C  z , s. .</w:t>
      </w:r>
    </w:p>
  </w:footnote>
  <w:footnote w:id="7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  <w:t>Dz.U. C  z , s. .</w:t>
      </w:r>
    </w:p>
  </w:footnote>
  <w:footnote w:id="8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  <w:t xml:space="preserve">Umowa o wystąpieniu Zjednoczonego Królestwa Wielkiej Brytanii i Irlandii Północnej z Unii Europejskiej i Europejskiej Wspólnoty Energii Atomowej, Dz.U. </w:t>
      </w:r>
      <w:r>
        <w:t>L 29 z 31.1.2020, s. 7.</w:t>
      </w:r>
    </w:p>
  </w:footnote>
  <w:footnote w:id="9">
    <w:p w:rsidR="007E5012" w:rsidRDefault="00B315AB">
      <w:pPr>
        <w:pStyle w:val="Tekstprzypisudolnego"/>
        <w:ind w:left="567" w:hanging="567"/>
        <w:rPr>
          <w:shd w:val="clear" w:color="auto" w:fill="FFFFFF"/>
        </w:rPr>
      </w:pPr>
      <w:r>
        <w:rPr>
          <w:rStyle w:val="Odwoanieprzypisudolnego"/>
        </w:rPr>
        <w:footnoteRef/>
      </w:r>
      <w:r>
        <w:tab/>
        <w:t>Rozporządzenie Parlamentu Europejskiego i Rady (UE) 2020/2222 z dnia 23 grudnia 2020 r. w sprawie niektórych aspektów bezpieczeństwa kolei i jakości sieci połączeń w odniesieniu do infrastruktury transgranicznej łączącej Unię i Zj</w:t>
      </w:r>
      <w:r>
        <w:t>ednoczone Królestwo stałym połączeniem przez kanał La Manche, Dz.U. L 437 z 28.12.2020, s. 43.</w:t>
      </w:r>
    </w:p>
  </w:footnote>
  <w:footnote w:id="10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</w:r>
      <w:r>
        <w:rPr>
          <w:shd w:val="clear" w:color="auto" w:fill="FFFFFF"/>
        </w:rPr>
        <w:t>Dyrektywa Parlamentu Europejskiego i Rady 2012/34/UE z dnia 21 listopada 2012 r. w sprawie utworzenia jednolitego europejskiego obszaru kolejowego, Dz.U. L 343</w:t>
      </w:r>
      <w:r>
        <w:rPr>
          <w:shd w:val="clear" w:color="auto" w:fill="FFFFFF"/>
        </w:rPr>
        <w:t xml:space="preserve"> z 14.12.2012, s. 32.</w:t>
      </w:r>
    </w:p>
  </w:footnote>
  <w:footnote w:id="11">
    <w:p w:rsidR="007E5012" w:rsidRDefault="00B315AB">
      <w:pPr>
        <w:pStyle w:val="Tekstprzypisudolnego"/>
        <w:ind w:left="567" w:hanging="567"/>
      </w:pPr>
      <w:r>
        <w:rPr>
          <w:rStyle w:val="Odwoanieprzypisudolnego"/>
        </w:rPr>
        <w:footnoteRef/>
      </w:r>
      <w:r>
        <w:tab/>
      </w:r>
      <w:r>
        <w:rPr>
          <w:shd w:val="clear" w:color="auto" w:fill="FFFFFF"/>
        </w:rPr>
        <w:t xml:space="preserve">Dyrektywa 2004/49/WE Parlamentu Europejskiego i Rady z dnia 29 kwietnia 2004 r. w sprawie bezpieczeństwa kolei wspólnotowych oraz zmieniająca dyrektywę Rady 95/18/WE w sprawie przyznawania licencji przedsiębiorstwom kolejowym, oraz </w:t>
      </w:r>
      <w:r>
        <w:rPr>
          <w:shd w:val="clear" w:color="auto" w:fill="FFFFFF"/>
        </w:rPr>
        <w:t>dyrektywę 2001/14/WE w sprawie alokacji zdolności przepustowej infrastruktury kolejowej i pobierania opłat za użytkowanie infrastruktury kolejowej oraz certyfikację w zakresie bezpieczeństwa, Dz.U. L 164 z 30.4.2004, s. 44, już nie obowiązuje.</w:t>
      </w:r>
    </w:p>
  </w:footnote>
  <w:footnote w:id="12">
    <w:p w:rsidR="007E5012" w:rsidRDefault="00B315AB">
      <w:pPr>
        <w:pStyle w:val="NormalnyWeb"/>
        <w:shd w:val="clear" w:color="auto" w:fill="FFFFFF"/>
        <w:spacing w:before="0" w:beforeAutospacing="0" w:after="75" w:afterAutospacing="0"/>
        <w:ind w:left="567" w:hanging="567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ab/>
      </w:r>
      <w:r>
        <w:rPr>
          <w:sz w:val="20"/>
          <w:szCs w:val="20"/>
        </w:rPr>
        <w:t>Decyzja Pa</w:t>
      </w:r>
      <w:r>
        <w:rPr>
          <w:sz w:val="20"/>
          <w:szCs w:val="20"/>
        </w:rPr>
        <w:t>rlamentu Europejskiego i Rady (UE) 2020/1531 z dnia 21 października 2020 r. upoważniająca Francję do wynegocjowania, podpisania i zawarcia umowy międzynarodowej uzupełniającej Traktat między Francją a Zjednoczonym Królestwem Wielkiej Brytanii i Irlandii Pó</w:t>
      </w:r>
      <w:r>
        <w:rPr>
          <w:sz w:val="20"/>
          <w:szCs w:val="20"/>
        </w:rPr>
        <w:t>łnocnej dotyczący budowy i eksploatacji stałego połączenia przez kanał La Manche przez prywatnych koncesjonariuszy, Dz.U. L 352 z 22.10.2020, s.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6B8E7FE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1020B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9BC18A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B6EC1CD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1521A1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540B7E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C2C503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41AA01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2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7-14 12:42:45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2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A89C4590-6080-4B4F-A38A-766487CC2726"/>
    <w:docVar w:name="LW_COVERPAGE_TYPE" w:val="1"/>
    <w:docVar w:name="LW_CROSSREFERENCE" w:val="&lt;UNUSED&gt;"/>
    <w:docVar w:name="LW_DocType" w:val="COM"/>
    <w:docVar w:name="LW_EMISSION" w:val="13.7.2021"/>
    <w:docVar w:name="LW_EMISSION_ISODATE" w:val="2021-07-13"/>
    <w:docVar w:name="LW_EMISSION_LOCATION" w:val="BRX"/>
    <w:docVar w:name="LW_EMISSION_PREFIX" w:val="Bruksela, dnia "/>
    <w:docVar w:name="LW_EMISSION_SUFFIX" w:val=" r."/>
    <w:docVar w:name="LW_ID_DOCMODEL" w:val="SJ-023"/>
    <w:docVar w:name="LW_ID_DOCSIGNATURE" w:val="SJ-023"/>
    <w:docVar w:name="LW_ID_DOCSTRUCTURE" w:val="COM/PL/ORG"/>
    <w:docVar w:name="LW_ID_DOCTYPE" w:val="SJ-023"/>
    <w:docVar w:name="LW_ID_EXP.MOTIFS.NEW" w:val="EM_PL_"/>
    <w:docVar w:name="LW_ID_STATUT" w:val="SJ-023"/>
    <w:docVar w:name="LW_INTERETEEE.CP" w:val="(Tekst maj\u261?cy znaczenie dla EOG)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228"/>
    <w:docVar w:name="LW_REF.II.NEW.CP_YEAR" w:val="2021"/>
    <w:docVar w:name="LW_REF.INST.NEW" w:val="COM"/>
    <w:docVar w:name="LW_REF.INST.NEW_ADOPTED" w:val="final"/>
    <w:docVar w:name="LW_REF.INST.NEW_TEXT" w:val="(2021) 40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zmieniaj\u261?ce rozporz\u261?dzenie Parlamentu Europejskiego i Rady (UE) 2020/2222 w odniesieniu do infrastruktury transgranicznej \u322?\u261?cz\u261?cej Uni\u281? i Zjednoczone Królestwo sta\u322?ym po\u322?\u261?czeniem przez kana\u322? La Manche"/>
    <w:docVar w:name="LW_TYPE.DOC.CP" w:val="ROZPORZ\u260?DZENIE PARLAMENTU EUROPEJSKIEGO I RADY"/>
    <w:docVar w:name="LwApiVersions" w:val="LW4CoDe 1.23.0.0; LW 8.0, Build 20210114"/>
  </w:docVars>
  <w:rsids>
    <w:rsidRoot w:val="007E5012"/>
    <w:rsid w:val="00327AE1"/>
    <w:rsid w:val="007E5012"/>
    <w:rsid w:val="00B3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Text1"/>
    <w:link w:val="Nagwek1Znak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Nagwek2">
    <w:name w:val="heading 2"/>
    <w:basedOn w:val="Normalny"/>
    <w:next w:val="Text1"/>
    <w:link w:val="Nagwek2Znak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Nagwek3">
    <w:name w:val="heading 3"/>
    <w:basedOn w:val="Normalny"/>
    <w:next w:val="Text1"/>
    <w:link w:val="Nagwek3Znak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Nagwek4">
    <w:name w:val="heading 4"/>
    <w:basedOn w:val="Normalny"/>
    <w:next w:val="Text1"/>
    <w:link w:val="Nagwek4Znak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Nagwek5">
    <w:name w:val="heading 5"/>
    <w:basedOn w:val="Normalny"/>
    <w:next w:val="Text2"/>
    <w:link w:val="Nagwek5Znak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Nagwek6">
    <w:name w:val="heading 6"/>
    <w:basedOn w:val="Normalny"/>
    <w:next w:val="Text2"/>
    <w:link w:val="Nagwek6Znak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Nagwek7">
    <w:name w:val="heading 7"/>
    <w:basedOn w:val="Normalny"/>
    <w:next w:val="Text2"/>
    <w:link w:val="Nagwek7Znak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apunktowana">
    <w:name w:val="List Bullet"/>
    <w:basedOn w:val="Normalny"/>
    <w:uiPriority w:val="99"/>
    <w:semiHidden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pPr>
      <w:numPr>
        <w:numId w:val="4"/>
      </w:numPr>
      <w:contextualSpacing/>
    </w:pPr>
  </w:style>
  <w:style w:type="paragraph" w:customStyle="1" w:styleId="oj-normal">
    <w:name w:val="oj-normal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customStyle="1" w:styleId="text10">
    <w:name w:val="text1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li">
    <w:name w:val="li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customStyle="1" w:styleId="num">
    <w:name w:val="num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western">
    <w:name w:val="western"/>
    <w:basedOn w:val="Normalny"/>
    <w:pPr>
      <w:spacing w:before="100" w:beforeAutospacing="1" w:after="142" w:line="276" w:lineRule="auto"/>
      <w:jc w:val="left"/>
    </w:pPr>
    <w:rPr>
      <w:rFonts w:eastAsia="Times New Roman"/>
      <w:color w:val="000000"/>
      <w:szCs w:val="20"/>
      <w:lang w:eastAsia="en-GB"/>
    </w:rPr>
  </w:style>
  <w:style w:type="paragraph" w:customStyle="1" w:styleId="P68B1DB1-western6">
    <w:name w:val="P68B1DB1-western6"/>
    <w:basedOn w:val="western"/>
    <w:rPr>
      <w:rFonts w:asciiTheme="minorHAnsi" w:hAnsiTheme="minorHAnsi" w:cstheme="minorHAnsi"/>
      <w:sz w:val="22"/>
    </w:rPr>
  </w:style>
  <w:style w:type="paragraph" w:customStyle="1" w:styleId="Normal2">
    <w:name w:val="Normal2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semiHidden/>
    <w:unhideWhenUsed/>
    <w:pPr>
      <w:spacing w:after="0"/>
    </w:pPr>
  </w:style>
  <w:style w:type="paragraph" w:styleId="Listanumerowana">
    <w:name w:val="List Number"/>
    <w:basedOn w:val="Normalny"/>
    <w:uiPriority w:val="99"/>
    <w:semiHidden/>
    <w:unhideWhenUsed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pPr>
      <w:numPr>
        <w:numId w:val="9"/>
      </w:numPr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lang w:val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paragraph" w:styleId="Nagwekspisutreci">
    <w:name w:val="TOC Heading"/>
    <w:basedOn w:val="Normalny"/>
    <w:next w:val="Normalny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semiHidden/>
    <w:unhideWhenUsed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ny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ny"/>
    <w:pPr>
      <w:ind w:left="850"/>
    </w:pPr>
  </w:style>
  <w:style w:type="paragraph" w:customStyle="1" w:styleId="Text2">
    <w:name w:val="Text 2"/>
    <w:basedOn w:val="Normalny"/>
    <w:pPr>
      <w:ind w:left="1417"/>
    </w:pPr>
  </w:style>
  <w:style w:type="paragraph" w:customStyle="1" w:styleId="Text3">
    <w:name w:val="Text 3"/>
    <w:basedOn w:val="Normalny"/>
    <w:pPr>
      <w:ind w:left="1984"/>
    </w:pPr>
  </w:style>
  <w:style w:type="paragraph" w:customStyle="1" w:styleId="Text4">
    <w:name w:val="Text 4"/>
    <w:basedOn w:val="Normalny"/>
    <w:pPr>
      <w:ind w:left="2551"/>
    </w:pPr>
  </w:style>
  <w:style w:type="paragraph" w:customStyle="1" w:styleId="Text5">
    <w:name w:val="Text 5"/>
    <w:basedOn w:val="Normalny"/>
    <w:pPr>
      <w:ind w:left="3118"/>
    </w:pPr>
  </w:style>
  <w:style w:type="paragraph" w:customStyle="1" w:styleId="Text6">
    <w:name w:val="Text 6"/>
    <w:basedOn w:val="Normalny"/>
    <w:pPr>
      <w:ind w:left="3685"/>
    </w:pPr>
  </w:style>
  <w:style w:type="paragraph" w:customStyle="1" w:styleId="NormalCentered">
    <w:name w:val="Normal Centered"/>
    <w:basedOn w:val="Normalny"/>
    <w:pPr>
      <w:jc w:val="center"/>
    </w:pPr>
  </w:style>
  <w:style w:type="paragraph" w:customStyle="1" w:styleId="NormalLeft">
    <w:name w:val="Normal Left"/>
    <w:basedOn w:val="Normalny"/>
    <w:pPr>
      <w:jc w:val="left"/>
    </w:pPr>
  </w:style>
  <w:style w:type="paragraph" w:customStyle="1" w:styleId="NormalRight">
    <w:name w:val="Normal Right"/>
    <w:basedOn w:val="Normalny"/>
    <w:pPr>
      <w:jc w:val="right"/>
    </w:pPr>
  </w:style>
  <w:style w:type="paragraph" w:customStyle="1" w:styleId="QuotedText">
    <w:name w:val="Quoted Text"/>
    <w:basedOn w:val="Normalny"/>
    <w:pPr>
      <w:ind w:left="1417"/>
    </w:pPr>
  </w:style>
  <w:style w:type="paragraph" w:customStyle="1" w:styleId="Point0">
    <w:name w:val="Point 0"/>
    <w:basedOn w:val="Normalny"/>
    <w:pPr>
      <w:ind w:left="850" w:hanging="850"/>
    </w:pPr>
  </w:style>
  <w:style w:type="paragraph" w:customStyle="1" w:styleId="Point1">
    <w:name w:val="Point 1"/>
    <w:basedOn w:val="Normalny"/>
    <w:pPr>
      <w:ind w:left="1417" w:hanging="567"/>
    </w:pPr>
  </w:style>
  <w:style w:type="paragraph" w:customStyle="1" w:styleId="Point2">
    <w:name w:val="Point 2"/>
    <w:basedOn w:val="Normalny"/>
    <w:pPr>
      <w:ind w:left="1984" w:hanging="567"/>
    </w:pPr>
  </w:style>
  <w:style w:type="paragraph" w:customStyle="1" w:styleId="Point3">
    <w:name w:val="Point 3"/>
    <w:basedOn w:val="Normalny"/>
    <w:pPr>
      <w:ind w:left="2551" w:hanging="567"/>
    </w:pPr>
  </w:style>
  <w:style w:type="paragraph" w:customStyle="1" w:styleId="Point4">
    <w:name w:val="Point 4"/>
    <w:basedOn w:val="Normalny"/>
    <w:pPr>
      <w:ind w:left="3118" w:hanging="567"/>
    </w:pPr>
  </w:style>
  <w:style w:type="paragraph" w:customStyle="1" w:styleId="Point5">
    <w:name w:val="Point 5"/>
    <w:basedOn w:val="Normalny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ny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pPr>
      <w:numPr>
        <w:numId w:val="16"/>
      </w:numPr>
    </w:pPr>
  </w:style>
  <w:style w:type="paragraph" w:customStyle="1" w:styleId="NumPar2">
    <w:name w:val="NumPar 2"/>
    <w:basedOn w:val="Normalny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ny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ny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ny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ny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ny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ny"/>
    <w:next w:val="Text1"/>
    <w:pPr>
      <w:ind w:left="850" w:hanging="850"/>
    </w:pPr>
  </w:style>
  <w:style w:type="paragraph" w:customStyle="1" w:styleId="ManualNumPar2">
    <w:name w:val="Manual NumPar 2"/>
    <w:basedOn w:val="Normalny"/>
    <w:next w:val="Text1"/>
    <w:pPr>
      <w:ind w:left="850" w:hanging="850"/>
    </w:pPr>
  </w:style>
  <w:style w:type="paragraph" w:customStyle="1" w:styleId="ManualNumPar3">
    <w:name w:val="Manual NumPar 3"/>
    <w:basedOn w:val="Normalny"/>
    <w:next w:val="Text1"/>
    <w:pPr>
      <w:ind w:left="850" w:hanging="850"/>
    </w:pPr>
  </w:style>
  <w:style w:type="paragraph" w:customStyle="1" w:styleId="ManualNumPar4">
    <w:name w:val="Manual NumPar 4"/>
    <w:basedOn w:val="Normalny"/>
    <w:next w:val="Text1"/>
    <w:pPr>
      <w:ind w:left="850" w:hanging="850"/>
    </w:pPr>
  </w:style>
  <w:style w:type="paragraph" w:customStyle="1" w:styleId="ManualNumPar5">
    <w:name w:val="Manual NumPar 5"/>
    <w:basedOn w:val="Normalny"/>
    <w:next w:val="Text2"/>
    <w:pPr>
      <w:ind w:left="1417" w:hanging="1417"/>
    </w:pPr>
  </w:style>
  <w:style w:type="paragraph" w:customStyle="1" w:styleId="ManualNumPar6">
    <w:name w:val="Manual NumPar 6"/>
    <w:basedOn w:val="Normalny"/>
    <w:next w:val="Text2"/>
    <w:pPr>
      <w:ind w:left="1417" w:hanging="1417"/>
    </w:pPr>
  </w:style>
  <w:style w:type="paragraph" w:customStyle="1" w:styleId="ManualNumPar7">
    <w:name w:val="Manual NumPar 7"/>
    <w:basedOn w:val="Normalny"/>
    <w:next w:val="Text2"/>
    <w:pPr>
      <w:ind w:left="1417" w:hanging="1417"/>
    </w:pPr>
  </w:style>
  <w:style w:type="paragraph" w:customStyle="1" w:styleId="QuotedNumPar">
    <w:name w:val="Quoted NumPar"/>
    <w:basedOn w:val="Normalny"/>
    <w:pPr>
      <w:ind w:left="1417" w:hanging="567"/>
    </w:pPr>
  </w:style>
  <w:style w:type="paragraph" w:customStyle="1" w:styleId="ManualHeading1">
    <w:name w:val="Manual Heading 1"/>
    <w:basedOn w:val="Normalny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ny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ny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ny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ny"/>
    <w:next w:val="Normalny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pPr>
      <w:jc w:val="center"/>
    </w:pPr>
    <w:rPr>
      <w:b/>
    </w:rPr>
  </w:style>
  <w:style w:type="character" w:customStyle="1" w:styleId="Marker">
    <w:name w:val="Marker"/>
    <w:basedOn w:val="Domylnaczcionkaakapitu"/>
    <w:rPr>
      <w:color w:val="0000FF"/>
      <w:shd w:val="clear" w:color="auto" w:fill="auto"/>
    </w:rPr>
  </w:style>
  <w:style w:type="character" w:customStyle="1" w:styleId="Marker1">
    <w:name w:val="Marker1"/>
    <w:basedOn w:val="Domylnaczcionkaakapitu"/>
    <w:rPr>
      <w:color w:val="008000"/>
      <w:shd w:val="clear" w:color="auto" w:fill="auto"/>
    </w:rPr>
  </w:style>
  <w:style w:type="character" w:customStyle="1" w:styleId="Marker2">
    <w:name w:val="Marker2"/>
    <w:basedOn w:val="Domylnaczcionkaakapitu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pPr>
      <w:numPr>
        <w:numId w:val="18"/>
      </w:numPr>
    </w:pPr>
  </w:style>
  <w:style w:type="paragraph" w:customStyle="1" w:styleId="Point1number">
    <w:name w:val="Point 1 (number)"/>
    <w:basedOn w:val="Normalny"/>
    <w:pPr>
      <w:numPr>
        <w:ilvl w:val="2"/>
        <w:numId w:val="18"/>
      </w:numPr>
    </w:pPr>
  </w:style>
  <w:style w:type="paragraph" w:customStyle="1" w:styleId="Point2number">
    <w:name w:val="Point 2 (number)"/>
    <w:basedOn w:val="Normalny"/>
    <w:pPr>
      <w:numPr>
        <w:ilvl w:val="4"/>
        <w:numId w:val="18"/>
      </w:numPr>
    </w:pPr>
  </w:style>
  <w:style w:type="paragraph" w:customStyle="1" w:styleId="Point3number">
    <w:name w:val="Point 3 (number)"/>
    <w:basedOn w:val="Normalny"/>
    <w:pPr>
      <w:numPr>
        <w:ilvl w:val="6"/>
        <w:numId w:val="18"/>
      </w:numPr>
    </w:pPr>
  </w:style>
  <w:style w:type="paragraph" w:customStyle="1" w:styleId="Point0letter">
    <w:name w:val="Point 0 (letter)"/>
    <w:basedOn w:val="Normalny"/>
    <w:pPr>
      <w:numPr>
        <w:ilvl w:val="1"/>
        <w:numId w:val="18"/>
      </w:numPr>
    </w:pPr>
  </w:style>
  <w:style w:type="paragraph" w:customStyle="1" w:styleId="Point1letter">
    <w:name w:val="Point 1 (letter)"/>
    <w:basedOn w:val="Normalny"/>
    <w:pPr>
      <w:numPr>
        <w:ilvl w:val="3"/>
        <w:numId w:val="18"/>
      </w:numPr>
    </w:pPr>
  </w:style>
  <w:style w:type="paragraph" w:customStyle="1" w:styleId="Point2letter">
    <w:name w:val="Point 2 (letter)"/>
    <w:basedOn w:val="Normalny"/>
    <w:pPr>
      <w:numPr>
        <w:ilvl w:val="5"/>
        <w:numId w:val="18"/>
      </w:numPr>
    </w:pPr>
  </w:style>
  <w:style w:type="paragraph" w:customStyle="1" w:styleId="Point3letter">
    <w:name w:val="Point 3 (letter)"/>
    <w:basedOn w:val="Normalny"/>
    <w:pPr>
      <w:numPr>
        <w:ilvl w:val="7"/>
        <w:numId w:val="18"/>
      </w:numPr>
    </w:pPr>
  </w:style>
  <w:style w:type="paragraph" w:customStyle="1" w:styleId="Point4letter">
    <w:name w:val="Point 4 (letter)"/>
    <w:basedOn w:val="Normalny"/>
    <w:pPr>
      <w:numPr>
        <w:ilvl w:val="8"/>
        <w:numId w:val="18"/>
      </w:numPr>
    </w:pPr>
  </w:style>
  <w:style w:type="paragraph" w:customStyle="1" w:styleId="Bullet0">
    <w:name w:val="Bullet 0"/>
    <w:basedOn w:val="Normalny"/>
    <w:pPr>
      <w:numPr>
        <w:numId w:val="19"/>
      </w:numPr>
    </w:pPr>
  </w:style>
  <w:style w:type="paragraph" w:customStyle="1" w:styleId="Bullet1">
    <w:name w:val="Bullet 1"/>
    <w:basedOn w:val="Normalny"/>
    <w:pPr>
      <w:numPr>
        <w:numId w:val="20"/>
      </w:numPr>
    </w:pPr>
  </w:style>
  <w:style w:type="paragraph" w:customStyle="1" w:styleId="Bullet2">
    <w:name w:val="Bullet 2"/>
    <w:basedOn w:val="Normalny"/>
    <w:pPr>
      <w:numPr>
        <w:numId w:val="21"/>
      </w:numPr>
    </w:pPr>
  </w:style>
  <w:style w:type="paragraph" w:customStyle="1" w:styleId="Bullet3">
    <w:name w:val="Bullet 3"/>
    <w:basedOn w:val="Normalny"/>
    <w:pPr>
      <w:numPr>
        <w:numId w:val="22"/>
      </w:numPr>
    </w:pPr>
  </w:style>
  <w:style w:type="paragraph" w:customStyle="1" w:styleId="Bullet4">
    <w:name w:val="Bullet 4"/>
    <w:basedOn w:val="Normalny"/>
    <w:pPr>
      <w:numPr>
        <w:numId w:val="23"/>
      </w:numPr>
    </w:pPr>
  </w:style>
  <w:style w:type="paragraph" w:customStyle="1" w:styleId="Langue">
    <w:name w:val="Langue"/>
    <w:basedOn w:val="Normalny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ny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ny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ny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ny"/>
    <w:next w:val="Normalny"/>
    <w:pPr>
      <w:spacing w:before="0" w:after="0"/>
    </w:pPr>
  </w:style>
  <w:style w:type="paragraph" w:customStyle="1" w:styleId="Declassification">
    <w:name w:val="Declassification"/>
    <w:basedOn w:val="Normalny"/>
    <w:next w:val="Normalny"/>
    <w:pPr>
      <w:spacing w:before="0" w:after="0"/>
    </w:pPr>
  </w:style>
  <w:style w:type="paragraph" w:customStyle="1" w:styleId="Disclaimer">
    <w:name w:val="Disclaimer"/>
    <w:basedOn w:val="Normalny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ny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ny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ny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ny"/>
    <w:next w:val="Normalny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pPr>
      <w:spacing w:before="480"/>
    </w:pPr>
  </w:style>
  <w:style w:type="paragraph" w:customStyle="1" w:styleId="Avertissementtitre">
    <w:name w:val="Avertissement titre"/>
    <w:basedOn w:val="Normalny"/>
    <w:next w:val="Normalny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pPr>
      <w:numPr>
        <w:numId w:val="24"/>
      </w:numPr>
    </w:pPr>
  </w:style>
  <w:style w:type="paragraph" w:customStyle="1" w:styleId="Corrigendum">
    <w:name w:val="Corrigendum"/>
    <w:basedOn w:val="Normalny"/>
    <w:next w:val="Normalny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ny"/>
    <w:next w:val="Normalny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pPr>
      <w:keepNext/>
    </w:pPr>
  </w:style>
  <w:style w:type="paragraph" w:customStyle="1" w:styleId="Institutionquiagit">
    <w:name w:val="Institution qui agit"/>
    <w:basedOn w:val="Normalny"/>
    <w:next w:val="Normalny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ny"/>
    <w:pPr>
      <w:ind w:left="709" w:hanging="709"/>
    </w:pPr>
  </w:style>
  <w:style w:type="paragraph" w:customStyle="1" w:styleId="Personnequisigne">
    <w:name w:val="Personne qui signe"/>
    <w:basedOn w:val="Normalny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ny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ny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omylnaczcionkaakapitu"/>
    <w:rPr>
      <w:b/>
      <w:u w:val="single"/>
      <w:shd w:val="clear" w:color="auto" w:fill="auto"/>
    </w:rPr>
  </w:style>
  <w:style w:type="character" w:customStyle="1" w:styleId="Deleted">
    <w:name w:val="Deleted"/>
    <w:basedOn w:val="Domylnaczcionkaakapitu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Pr>
      <w:i/>
      <w:caps/>
    </w:rPr>
  </w:style>
  <w:style w:type="paragraph" w:customStyle="1" w:styleId="Supertitre">
    <w:name w:val="Supertitre"/>
    <w:basedOn w:val="Normalny"/>
    <w:next w:val="Normalny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pPr>
      <w:spacing w:before="360" w:after="0"/>
      <w:jc w:val="center"/>
    </w:pPr>
  </w:style>
  <w:style w:type="paragraph" w:customStyle="1" w:styleId="Rfrencecroise">
    <w:name w:val="Référence croisée"/>
    <w:basedOn w:val="Normalny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ny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pPr>
      <w:spacing w:after="240"/>
    </w:pPr>
  </w:style>
  <w:style w:type="paragraph" w:customStyle="1" w:styleId="Accompagnant">
    <w:name w:val="Accompagnant"/>
    <w:basedOn w:val="Normalny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ny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ny"/>
    <w:next w:val="Normalny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Text1"/>
    <w:link w:val="Nagwek1Znak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Nagwek2">
    <w:name w:val="heading 2"/>
    <w:basedOn w:val="Normalny"/>
    <w:next w:val="Text1"/>
    <w:link w:val="Nagwek2Znak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Nagwek3">
    <w:name w:val="heading 3"/>
    <w:basedOn w:val="Normalny"/>
    <w:next w:val="Text1"/>
    <w:link w:val="Nagwek3Znak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Nagwek4">
    <w:name w:val="heading 4"/>
    <w:basedOn w:val="Normalny"/>
    <w:next w:val="Text1"/>
    <w:link w:val="Nagwek4Znak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Nagwek5">
    <w:name w:val="heading 5"/>
    <w:basedOn w:val="Normalny"/>
    <w:next w:val="Text2"/>
    <w:link w:val="Nagwek5Znak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Nagwek6">
    <w:name w:val="heading 6"/>
    <w:basedOn w:val="Normalny"/>
    <w:next w:val="Text2"/>
    <w:link w:val="Nagwek6Znak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Nagwek7">
    <w:name w:val="heading 7"/>
    <w:basedOn w:val="Normalny"/>
    <w:next w:val="Text2"/>
    <w:link w:val="Nagwek7Znak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apunktowana">
    <w:name w:val="List Bullet"/>
    <w:basedOn w:val="Normalny"/>
    <w:uiPriority w:val="99"/>
    <w:semiHidden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pPr>
      <w:numPr>
        <w:numId w:val="4"/>
      </w:numPr>
      <w:contextualSpacing/>
    </w:pPr>
  </w:style>
  <w:style w:type="paragraph" w:customStyle="1" w:styleId="oj-normal">
    <w:name w:val="oj-normal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customStyle="1" w:styleId="text10">
    <w:name w:val="text1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li">
    <w:name w:val="li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customStyle="1" w:styleId="num">
    <w:name w:val="num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western">
    <w:name w:val="western"/>
    <w:basedOn w:val="Normalny"/>
    <w:pPr>
      <w:spacing w:before="100" w:beforeAutospacing="1" w:after="142" w:line="276" w:lineRule="auto"/>
      <w:jc w:val="left"/>
    </w:pPr>
    <w:rPr>
      <w:rFonts w:eastAsia="Times New Roman"/>
      <w:color w:val="000000"/>
      <w:szCs w:val="20"/>
      <w:lang w:eastAsia="en-GB"/>
    </w:rPr>
  </w:style>
  <w:style w:type="paragraph" w:customStyle="1" w:styleId="P68B1DB1-western6">
    <w:name w:val="P68B1DB1-western6"/>
    <w:basedOn w:val="western"/>
    <w:rPr>
      <w:rFonts w:asciiTheme="minorHAnsi" w:hAnsiTheme="minorHAnsi" w:cstheme="minorHAnsi"/>
      <w:sz w:val="22"/>
    </w:rPr>
  </w:style>
  <w:style w:type="paragraph" w:customStyle="1" w:styleId="Normal2">
    <w:name w:val="Normal2"/>
    <w:basedOn w:val="Normalny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semiHidden/>
    <w:unhideWhenUsed/>
    <w:pPr>
      <w:spacing w:after="0"/>
    </w:pPr>
  </w:style>
  <w:style w:type="paragraph" w:styleId="Listanumerowana">
    <w:name w:val="List Number"/>
    <w:basedOn w:val="Normalny"/>
    <w:uiPriority w:val="99"/>
    <w:semiHidden/>
    <w:unhideWhenUsed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pPr>
      <w:numPr>
        <w:numId w:val="9"/>
      </w:numPr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lang w:val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paragraph" w:styleId="Nagwekspisutreci">
    <w:name w:val="TOC Heading"/>
    <w:basedOn w:val="Normalny"/>
    <w:next w:val="Normalny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semiHidden/>
    <w:unhideWhenUsed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ny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ny"/>
    <w:pPr>
      <w:ind w:left="850"/>
    </w:pPr>
  </w:style>
  <w:style w:type="paragraph" w:customStyle="1" w:styleId="Text2">
    <w:name w:val="Text 2"/>
    <w:basedOn w:val="Normalny"/>
    <w:pPr>
      <w:ind w:left="1417"/>
    </w:pPr>
  </w:style>
  <w:style w:type="paragraph" w:customStyle="1" w:styleId="Text3">
    <w:name w:val="Text 3"/>
    <w:basedOn w:val="Normalny"/>
    <w:pPr>
      <w:ind w:left="1984"/>
    </w:pPr>
  </w:style>
  <w:style w:type="paragraph" w:customStyle="1" w:styleId="Text4">
    <w:name w:val="Text 4"/>
    <w:basedOn w:val="Normalny"/>
    <w:pPr>
      <w:ind w:left="2551"/>
    </w:pPr>
  </w:style>
  <w:style w:type="paragraph" w:customStyle="1" w:styleId="Text5">
    <w:name w:val="Text 5"/>
    <w:basedOn w:val="Normalny"/>
    <w:pPr>
      <w:ind w:left="3118"/>
    </w:pPr>
  </w:style>
  <w:style w:type="paragraph" w:customStyle="1" w:styleId="Text6">
    <w:name w:val="Text 6"/>
    <w:basedOn w:val="Normalny"/>
    <w:pPr>
      <w:ind w:left="3685"/>
    </w:pPr>
  </w:style>
  <w:style w:type="paragraph" w:customStyle="1" w:styleId="NormalCentered">
    <w:name w:val="Normal Centered"/>
    <w:basedOn w:val="Normalny"/>
    <w:pPr>
      <w:jc w:val="center"/>
    </w:pPr>
  </w:style>
  <w:style w:type="paragraph" w:customStyle="1" w:styleId="NormalLeft">
    <w:name w:val="Normal Left"/>
    <w:basedOn w:val="Normalny"/>
    <w:pPr>
      <w:jc w:val="left"/>
    </w:pPr>
  </w:style>
  <w:style w:type="paragraph" w:customStyle="1" w:styleId="NormalRight">
    <w:name w:val="Normal Right"/>
    <w:basedOn w:val="Normalny"/>
    <w:pPr>
      <w:jc w:val="right"/>
    </w:pPr>
  </w:style>
  <w:style w:type="paragraph" w:customStyle="1" w:styleId="QuotedText">
    <w:name w:val="Quoted Text"/>
    <w:basedOn w:val="Normalny"/>
    <w:pPr>
      <w:ind w:left="1417"/>
    </w:pPr>
  </w:style>
  <w:style w:type="paragraph" w:customStyle="1" w:styleId="Point0">
    <w:name w:val="Point 0"/>
    <w:basedOn w:val="Normalny"/>
    <w:pPr>
      <w:ind w:left="850" w:hanging="850"/>
    </w:pPr>
  </w:style>
  <w:style w:type="paragraph" w:customStyle="1" w:styleId="Point1">
    <w:name w:val="Point 1"/>
    <w:basedOn w:val="Normalny"/>
    <w:pPr>
      <w:ind w:left="1417" w:hanging="567"/>
    </w:pPr>
  </w:style>
  <w:style w:type="paragraph" w:customStyle="1" w:styleId="Point2">
    <w:name w:val="Point 2"/>
    <w:basedOn w:val="Normalny"/>
    <w:pPr>
      <w:ind w:left="1984" w:hanging="567"/>
    </w:pPr>
  </w:style>
  <w:style w:type="paragraph" w:customStyle="1" w:styleId="Point3">
    <w:name w:val="Point 3"/>
    <w:basedOn w:val="Normalny"/>
    <w:pPr>
      <w:ind w:left="2551" w:hanging="567"/>
    </w:pPr>
  </w:style>
  <w:style w:type="paragraph" w:customStyle="1" w:styleId="Point4">
    <w:name w:val="Point 4"/>
    <w:basedOn w:val="Normalny"/>
    <w:pPr>
      <w:ind w:left="3118" w:hanging="567"/>
    </w:pPr>
  </w:style>
  <w:style w:type="paragraph" w:customStyle="1" w:styleId="Point5">
    <w:name w:val="Point 5"/>
    <w:basedOn w:val="Normalny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ny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pPr>
      <w:numPr>
        <w:numId w:val="16"/>
      </w:numPr>
    </w:pPr>
  </w:style>
  <w:style w:type="paragraph" w:customStyle="1" w:styleId="NumPar2">
    <w:name w:val="NumPar 2"/>
    <w:basedOn w:val="Normalny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ny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ny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ny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ny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ny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ny"/>
    <w:next w:val="Text1"/>
    <w:pPr>
      <w:ind w:left="850" w:hanging="850"/>
    </w:pPr>
  </w:style>
  <w:style w:type="paragraph" w:customStyle="1" w:styleId="ManualNumPar2">
    <w:name w:val="Manual NumPar 2"/>
    <w:basedOn w:val="Normalny"/>
    <w:next w:val="Text1"/>
    <w:pPr>
      <w:ind w:left="850" w:hanging="850"/>
    </w:pPr>
  </w:style>
  <w:style w:type="paragraph" w:customStyle="1" w:styleId="ManualNumPar3">
    <w:name w:val="Manual NumPar 3"/>
    <w:basedOn w:val="Normalny"/>
    <w:next w:val="Text1"/>
    <w:pPr>
      <w:ind w:left="850" w:hanging="850"/>
    </w:pPr>
  </w:style>
  <w:style w:type="paragraph" w:customStyle="1" w:styleId="ManualNumPar4">
    <w:name w:val="Manual NumPar 4"/>
    <w:basedOn w:val="Normalny"/>
    <w:next w:val="Text1"/>
    <w:pPr>
      <w:ind w:left="850" w:hanging="850"/>
    </w:pPr>
  </w:style>
  <w:style w:type="paragraph" w:customStyle="1" w:styleId="ManualNumPar5">
    <w:name w:val="Manual NumPar 5"/>
    <w:basedOn w:val="Normalny"/>
    <w:next w:val="Text2"/>
    <w:pPr>
      <w:ind w:left="1417" w:hanging="1417"/>
    </w:pPr>
  </w:style>
  <w:style w:type="paragraph" w:customStyle="1" w:styleId="ManualNumPar6">
    <w:name w:val="Manual NumPar 6"/>
    <w:basedOn w:val="Normalny"/>
    <w:next w:val="Text2"/>
    <w:pPr>
      <w:ind w:left="1417" w:hanging="1417"/>
    </w:pPr>
  </w:style>
  <w:style w:type="paragraph" w:customStyle="1" w:styleId="ManualNumPar7">
    <w:name w:val="Manual NumPar 7"/>
    <w:basedOn w:val="Normalny"/>
    <w:next w:val="Text2"/>
    <w:pPr>
      <w:ind w:left="1417" w:hanging="1417"/>
    </w:pPr>
  </w:style>
  <w:style w:type="paragraph" w:customStyle="1" w:styleId="QuotedNumPar">
    <w:name w:val="Quoted NumPar"/>
    <w:basedOn w:val="Normalny"/>
    <w:pPr>
      <w:ind w:left="1417" w:hanging="567"/>
    </w:pPr>
  </w:style>
  <w:style w:type="paragraph" w:customStyle="1" w:styleId="ManualHeading1">
    <w:name w:val="Manual Heading 1"/>
    <w:basedOn w:val="Normalny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ny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ny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ny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ny"/>
    <w:next w:val="Normalny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pPr>
      <w:jc w:val="center"/>
    </w:pPr>
    <w:rPr>
      <w:b/>
    </w:rPr>
  </w:style>
  <w:style w:type="character" w:customStyle="1" w:styleId="Marker">
    <w:name w:val="Marker"/>
    <w:basedOn w:val="Domylnaczcionkaakapitu"/>
    <w:rPr>
      <w:color w:val="0000FF"/>
      <w:shd w:val="clear" w:color="auto" w:fill="auto"/>
    </w:rPr>
  </w:style>
  <w:style w:type="character" w:customStyle="1" w:styleId="Marker1">
    <w:name w:val="Marker1"/>
    <w:basedOn w:val="Domylnaczcionkaakapitu"/>
    <w:rPr>
      <w:color w:val="008000"/>
      <w:shd w:val="clear" w:color="auto" w:fill="auto"/>
    </w:rPr>
  </w:style>
  <w:style w:type="character" w:customStyle="1" w:styleId="Marker2">
    <w:name w:val="Marker2"/>
    <w:basedOn w:val="Domylnaczcionkaakapitu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pPr>
      <w:numPr>
        <w:numId w:val="18"/>
      </w:numPr>
    </w:pPr>
  </w:style>
  <w:style w:type="paragraph" w:customStyle="1" w:styleId="Point1number">
    <w:name w:val="Point 1 (number)"/>
    <w:basedOn w:val="Normalny"/>
    <w:pPr>
      <w:numPr>
        <w:ilvl w:val="2"/>
        <w:numId w:val="18"/>
      </w:numPr>
    </w:pPr>
  </w:style>
  <w:style w:type="paragraph" w:customStyle="1" w:styleId="Point2number">
    <w:name w:val="Point 2 (number)"/>
    <w:basedOn w:val="Normalny"/>
    <w:pPr>
      <w:numPr>
        <w:ilvl w:val="4"/>
        <w:numId w:val="18"/>
      </w:numPr>
    </w:pPr>
  </w:style>
  <w:style w:type="paragraph" w:customStyle="1" w:styleId="Point3number">
    <w:name w:val="Point 3 (number)"/>
    <w:basedOn w:val="Normalny"/>
    <w:pPr>
      <w:numPr>
        <w:ilvl w:val="6"/>
        <w:numId w:val="18"/>
      </w:numPr>
    </w:pPr>
  </w:style>
  <w:style w:type="paragraph" w:customStyle="1" w:styleId="Point0letter">
    <w:name w:val="Point 0 (letter)"/>
    <w:basedOn w:val="Normalny"/>
    <w:pPr>
      <w:numPr>
        <w:ilvl w:val="1"/>
        <w:numId w:val="18"/>
      </w:numPr>
    </w:pPr>
  </w:style>
  <w:style w:type="paragraph" w:customStyle="1" w:styleId="Point1letter">
    <w:name w:val="Point 1 (letter)"/>
    <w:basedOn w:val="Normalny"/>
    <w:pPr>
      <w:numPr>
        <w:ilvl w:val="3"/>
        <w:numId w:val="18"/>
      </w:numPr>
    </w:pPr>
  </w:style>
  <w:style w:type="paragraph" w:customStyle="1" w:styleId="Point2letter">
    <w:name w:val="Point 2 (letter)"/>
    <w:basedOn w:val="Normalny"/>
    <w:pPr>
      <w:numPr>
        <w:ilvl w:val="5"/>
        <w:numId w:val="18"/>
      </w:numPr>
    </w:pPr>
  </w:style>
  <w:style w:type="paragraph" w:customStyle="1" w:styleId="Point3letter">
    <w:name w:val="Point 3 (letter)"/>
    <w:basedOn w:val="Normalny"/>
    <w:pPr>
      <w:numPr>
        <w:ilvl w:val="7"/>
        <w:numId w:val="18"/>
      </w:numPr>
    </w:pPr>
  </w:style>
  <w:style w:type="paragraph" w:customStyle="1" w:styleId="Point4letter">
    <w:name w:val="Point 4 (letter)"/>
    <w:basedOn w:val="Normalny"/>
    <w:pPr>
      <w:numPr>
        <w:ilvl w:val="8"/>
        <w:numId w:val="18"/>
      </w:numPr>
    </w:pPr>
  </w:style>
  <w:style w:type="paragraph" w:customStyle="1" w:styleId="Bullet0">
    <w:name w:val="Bullet 0"/>
    <w:basedOn w:val="Normalny"/>
    <w:pPr>
      <w:numPr>
        <w:numId w:val="19"/>
      </w:numPr>
    </w:pPr>
  </w:style>
  <w:style w:type="paragraph" w:customStyle="1" w:styleId="Bullet1">
    <w:name w:val="Bullet 1"/>
    <w:basedOn w:val="Normalny"/>
    <w:pPr>
      <w:numPr>
        <w:numId w:val="20"/>
      </w:numPr>
    </w:pPr>
  </w:style>
  <w:style w:type="paragraph" w:customStyle="1" w:styleId="Bullet2">
    <w:name w:val="Bullet 2"/>
    <w:basedOn w:val="Normalny"/>
    <w:pPr>
      <w:numPr>
        <w:numId w:val="21"/>
      </w:numPr>
    </w:pPr>
  </w:style>
  <w:style w:type="paragraph" w:customStyle="1" w:styleId="Bullet3">
    <w:name w:val="Bullet 3"/>
    <w:basedOn w:val="Normalny"/>
    <w:pPr>
      <w:numPr>
        <w:numId w:val="22"/>
      </w:numPr>
    </w:pPr>
  </w:style>
  <w:style w:type="paragraph" w:customStyle="1" w:styleId="Bullet4">
    <w:name w:val="Bullet 4"/>
    <w:basedOn w:val="Normalny"/>
    <w:pPr>
      <w:numPr>
        <w:numId w:val="23"/>
      </w:numPr>
    </w:pPr>
  </w:style>
  <w:style w:type="paragraph" w:customStyle="1" w:styleId="Langue">
    <w:name w:val="Langue"/>
    <w:basedOn w:val="Normalny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ny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ny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ny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ny"/>
    <w:next w:val="Normalny"/>
    <w:pPr>
      <w:spacing w:before="0" w:after="0"/>
    </w:pPr>
  </w:style>
  <w:style w:type="paragraph" w:customStyle="1" w:styleId="Declassification">
    <w:name w:val="Declassification"/>
    <w:basedOn w:val="Normalny"/>
    <w:next w:val="Normalny"/>
    <w:pPr>
      <w:spacing w:before="0" w:after="0"/>
    </w:pPr>
  </w:style>
  <w:style w:type="paragraph" w:customStyle="1" w:styleId="Disclaimer">
    <w:name w:val="Disclaimer"/>
    <w:basedOn w:val="Normalny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ny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ny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ny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ny"/>
    <w:next w:val="Normalny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pPr>
      <w:spacing w:before="480"/>
    </w:pPr>
  </w:style>
  <w:style w:type="paragraph" w:customStyle="1" w:styleId="Avertissementtitre">
    <w:name w:val="Avertissement titre"/>
    <w:basedOn w:val="Normalny"/>
    <w:next w:val="Normalny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pPr>
      <w:numPr>
        <w:numId w:val="24"/>
      </w:numPr>
    </w:pPr>
  </w:style>
  <w:style w:type="paragraph" w:customStyle="1" w:styleId="Corrigendum">
    <w:name w:val="Corrigendum"/>
    <w:basedOn w:val="Normalny"/>
    <w:next w:val="Normalny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ny"/>
    <w:next w:val="Normalny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pPr>
      <w:keepNext/>
    </w:pPr>
  </w:style>
  <w:style w:type="paragraph" w:customStyle="1" w:styleId="Institutionquiagit">
    <w:name w:val="Institution qui agit"/>
    <w:basedOn w:val="Normalny"/>
    <w:next w:val="Normalny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ny"/>
    <w:pPr>
      <w:ind w:left="709" w:hanging="709"/>
    </w:pPr>
  </w:style>
  <w:style w:type="paragraph" w:customStyle="1" w:styleId="Personnequisigne">
    <w:name w:val="Personne qui signe"/>
    <w:basedOn w:val="Normalny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ny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ny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omylnaczcionkaakapitu"/>
    <w:rPr>
      <w:b/>
      <w:u w:val="single"/>
      <w:shd w:val="clear" w:color="auto" w:fill="auto"/>
    </w:rPr>
  </w:style>
  <w:style w:type="character" w:customStyle="1" w:styleId="Deleted">
    <w:name w:val="Deleted"/>
    <w:basedOn w:val="Domylnaczcionkaakapitu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Pr>
      <w:i/>
      <w:caps/>
    </w:rPr>
  </w:style>
  <w:style w:type="paragraph" w:customStyle="1" w:styleId="Supertitre">
    <w:name w:val="Supertitre"/>
    <w:basedOn w:val="Normalny"/>
    <w:next w:val="Normalny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pPr>
      <w:spacing w:before="360" w:after="0"/>
      <w:jc w:val="center"/>
    </w:pPr>
  </w:style>
  <w:style w:type="paragraph" w:customStyle="1" w:styleId="Rfrencecroise">
    <w:name w:val="Référence croisée"/>
    <w:basedOn w:val="Normalny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ny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pPr>
      <w:spacing w:after="240"/>
    </w:pPr>
  </w:style>
  <w:style w:type="paragraph" w:customStyle="1" w:styleId="Accompagnant">
    <w:name w:val="Accompagnant"/>
    <w:basedOn w:val="Normalny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ny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ny"/>
    <w:next w:val="Normalny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29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878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7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1252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38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2039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72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2" w:color="000000"/>
                <w:bottom w:val="single" w:sz="6" w:space="0" w:color="000000"/>
                <w:right w:val="single" w:sz="6" w:space="2" w:color="000000"/>
              </w:divBdr>
            </w:div>
          </w:divsChild>
        </w:div>
      </w:divsChild>
    </w:div>
    <w:div w:id="131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96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6221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711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2119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07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4BB7-FDBD-4D4D-8DC5-2B2CE4AF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8</Pages>
  <Words>2262</Words>
  <Characters>13572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Slojewska-Kosciolek Malgorzata</dc:creator>
  <cp:lastModifiedBy>Slojewska-Kosciolek Malgorzata</cp:lastModifiedBy>
  <cp:revision>2</cp:revision>
  <dcterms:created xsi:type="dcterms:W3CDTF">2021-07-15T07:11:00Z</dcterms:created>
  <dcterms:modified xsi:type="dcterms:W3CDTF">2021-07-15T07:11:00Z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20200226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DQCStatus">
    <vt:lpwstr>Green (DQC version 03)</vt:lpwstr>
  </property>
</Properties>
</file>