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90446" w14:textId="77777777" w:rsidR="005459AA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480" w:lineRule="auto"/>
        <w:rPr>
          <w:rStyle w:val="FontStyle13"/>
          <w:rFonts w:ascii="Arial" w:hAnsi="Arial" w:cs="Arial"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I.    Uwagi do wzorów tablic</w:t>
      </w:r>
    </w:p>
    <w:p w14:paraId="3635ACA0" w14:textId="77777777" w:rsidR="005459AA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 xml:space="preserve">Współzależności między cechami występującymi w tablicach muszą spełniać warunki występujące w Kodeksie karnym i ustawach szczególnych. Należy opracować kontrolę danych w celu </w:t>
      </w:r>
      <w:r>
        <w:rPr>
          <w:rFonts w:ascii="Arial" w:hAnsi="Arial" w:cs="Arial"/>
          <w:sz w:val="20"/>
          <w:szCs w:val="20"/>
        </w:rPr>
        <w:br/>
        <w:t xml:space="preserve">wyeliminowania błędów wynikających z braku korelacji z przepisami występującymi w Kodeksie karnym i ustawach szczególnych.  </w:t>
      </w:r>
    </w:p>
    <w:p w14:paraId="701EE9C4" w14:textId="0E4A61AC" w:rsidR="005459AA" w:rsidRPr="004B37ED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37ED">
        <w:rPr>
          <w:rFonts w:ascii="Arial" w:hAnsi="Arial" w:cs="Arial"/>
          <w:sz w:val="20"/>
          <w:szCs w:val="20"/>
        </w:rPr>
        <w:t xml:space="preserve">Przedstawione wzory tablic </w:t>
      </w:r>
      <w:r w:rsidR="0013473F" w:rsidRPr="004B37ED">
        <w:rPr>
          <w:rFonts w:ascii="Arial" w:hAnsi="Arial" w:cs="Arial"/>
          <w:sz w:val="20"/>
          <w:szCs w:val="20"/>
        </w:rPr>
        <w:t xml:space="preserve">mają charakter otwarty co oznacza, że w każdym roku boczek tablic zmienia się w zależności od występujących przestępstw. Mogą się zmieniać także główki tablic. </w:t>
      </w:r>
    </w:p>
    <w:p w14:paraId="1D9F4DCD" w14:textId="77777777" w:rsidR="0013473F" w:rsidRPr="004B37ED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37ED">
        <w:rPr>
          <w:rFonts w:ascii="Arial" w:hAnsi="Arial" w:cs="Arial"/>
          <w:sz w:val="20"/>
          <w:szCs w:val="20"/>
        </w:rPr>
        <w:t>W każdej tablicy występują podane zakresy przestępstw, rodzaje orzeczeń, wysokości wymiaru kar. Przed wykonaniem tabel należy sprawdzić, jakie informacje występują w zbiorze danych i odpowiednio dostosować nagłówki tabel.</w:t>
      </w:r>
    </w:p>
    <w:p w14:paraId="418B38FC" w14:textId="0E065C30" w:rsidR="0013473F" w:rsidRPr="004B37ED" w:rsidRDefault="0013473F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37ED">
        <w:rPr>
          <w:rFonts w:ascii="Arial" w:hAnsi="Arial" w:cs="Arial"/>
          <w:sz w:val="20"/>
          <w:szCs w:val="20"/>
        </w:rPr>
        <w:t>Zamawiający podkreśla, że wygenerowanie tablic nie sprowadza się tylko do wpisania do wzorów tablic skumulowanych wartości pobranych wprost z baz danych ST KRK, ale polega na  przeprowadzeniu wielowymiarowego, procesu wymaganego dla uzyskania poprawnych, kompletnych i</w:t>
      </w:r>
      <w:r w:rsidR="002E072D" w:rsidRPr="004B37ED">
        <w:rPr>
          <w:rFonts w:ascii="Arial" w:hAnsi="Arial" w:cs="Arial"/>
          <w:sz w:val="20"/>
          <w:szCs w:val="20"/>
        </w:rPr>
        <w:t> </w:t>
      </w:r>
      <w:r w:rsidRPr="004B37ED">
        <w:rPr>
          <w:rFonts w:ascii="Arial" w:hAnsi="Arial" w:cs="Arial"/>
          <w:sz w:val="20"/>
          <w:szCs w:val="20"/>
        </w:rPr>
        <w:t>spójnych danych.</w:t>
      </w:r>
    </w:p>
    <w:p w14:paraId="085F3287" w14:textId="555E3B31" w:rsidR="0013473F" w:rsidRDefault="002E072D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37ED">
        <w:rPr>
          <w:rFonts w:ascii="Arial" w:hAnsi="Arial" w:cs="Arial"/>
          <w:sz w:val="20"/>
          <w:szCs w:val="20"/>
        </w:rPr>
        <w:t xml:space="preserve">Wykonawca przed wypełnieniem tablic jest zobowiązany do przeprowadzenia analizy stanu prawnego dla okresu za jaki będzie wykonywał tablice z uwzględnieniem przepisów określonych w Kodeksie karnym, Kodeksie karnym skarbowym, Kodeksie wykroczeń, innych ustawach szczególnych oraz informacji  z tymi </w:t>
      </w:r>
      <w:proofErr w:type="spellStart"/>
      <w:r w:rsidRPr="004B37ED">
        <w:rPr>
          <w:rFonts w:ascii="Arial" w:hAnsi="Arial" w:cs="Arial"/>
          <w:sz w:val="20"/>
          <w:szCs w:val="20"/>
        </w:rPr>
        <w:t>skazaniami</w:t>
      </w:r>
      <w:proofErr w:type="spellEnd"/>
      <w:r w:rsidRPr="004B37ED">
        <w:rPr>
          <w:rFonts w:ascii="Arial" w:hAnsi="Arial" w:cs="Arial"/>
          <w:sz w:val="20"/>
          <w:szCs w:val="20"/>
        </w:rPr>
        <w:t xml:space="preserve"> i ukaraniami związanymi. Należy również uwzględnić zawiadomienia o skazaniu przez sąd państwa obcego, a także zawiadomienia o rozesłaniu listu gończego. Analogicznej analizy należy dokonać dla kart rejestracyjnych i zawiadomień, zawierających informacje o nieletnich, w rozumieniu przepisów ustawy o postępowaniu w sprawach nieletnich i kart rejestracyjnych i zawiadomień, zawierających informacje o podmiotach zbiorowych podlegających odpowiedzialności na podstawie przepisów ustawy z dnia 28 października 2002 r. o odpowiedzialności podmiotów zbiorowych za czyny zabronione pod groźbą kary.</w:t>
      </w:r>
    </w:p>
    <w:p w14:paraId="36B2B3E9" w14:textId="77777777" w:rsidR="002E072D" w:rsidRDefault="002E072D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2FEF2F" w14:textId="15160234" w:rsidR="005459AA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Wszystkie tablice powinny być wykonane i przekazane w plikach (.pdf) sformatowanych w sposób umożliwiający czytelny i przejrzysty wydruk na papierze o rozmiarze A3,  oraz w plikach w formacie zgodnym z arkuszem MS Excel</w:t>
      </w:r>
      <w:r w:rsidR="00094063">
        <w:rPr>
          <w:rFonts w:ascii="Arial" w:hAnsi="Arial" w:cs="Arial"/>
          <w:sz w:val="20"/>
          <w:szCs w:val="20"/>
        </w:rPr>
        <w:t xml:space="preserve"> 365</w:t>
      </w:r>
      <w:r>
        <w:rPr>
          <w:rFonts w:ascii="Arial" w:hAnsi="Arial" w:cs="Arial"/>
          <w:sz w:val="20"/>
          <w:szCs w:val="20"/>
        </w:rPr>
        <w:t>, którego format będzie umożliwiał wykonywanie dalszych obliczeń.</w:t>
      </w:r>
    </w:p>
    <w:p w14:paraId="10F7CB19" w14:textId="77777777" w:rsidR="005459AA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480" w:lineRule="auto"/>
        <w:rPr>
          <w:rFonts w:ascii="Arial" w:hAnsi="Arial" w:cs="Arial"/>
          <w:sz w:val="20"/>
          <w:szCs w:val="20"/>
        </w:rPr>
      </w:pPr>
    </w:p>
    <w:p w14:paraId="0D373CA7" w14:textId="77777777" w:rsidR="005459AA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480" w:lineRule="auto"/>
        <w:rPr>
          <w:rFonts w:ascii="Arial" w:hAnsi="Arial" w:cs="Arial"/>
          <w:b/>
          <w:bCs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>II.    Wzory tablic</w:t>
      </w:r>
    </w:p>
    <w:p w14:paraId="1B1E797C" w14:textId="50CDE857" w:rsidR="005459AA" w:rsidRPr="004B37ED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37ED">
        <w:rPr>
          <w:rFonts w:ascii="Arial" w:hAnsi="Arial" w:cs="Arial"/>
          <w:sz w:val="20"/>
          <w:szCs w:val="20"/>
        </w:rPr>
        <w:t>Wzory tablic za rok 20</w:t>
      </w:r>
      <w:r w:rsidR="0013473F" w:rsidRPr="004B37ED">
        <w:rPr>
          <w:rFonts w:ascii="Arial" w:hAnsi="Arial" w:cs="Arial"/>
          <w:sz w:val="20"/>
          <w:szCs w:val="20"/>
        </w:rPr>
        <w:t>21</w:t>
      </w:r>
      <w:r w:rsidRPr="004B37ED">
        <w:rPr>
          <w:rFonts w:ascii="Arial" w:hAnsi="Arial" w:cs="Arial"/>
          <w:sz w:val="20"/>
          <w:szCs w:val="20"/>
        </w:rPr>
        <w:t xml:space="preserve"> przedstawione są w postaci załączonych plików w formacie MS Excel. </w:t>
      </w:r>
    </w:p>
    <w:p w14:paraId="3D721C9F" w14:textId="62BFFDCD" w:rsidR="000D304F" w:rsidRDefault="000D304F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37ED">
        <w:rPr>
          <w:rFonts w:ascii="Arial" w:hAnsi="Arial" w:cs="Arial"/>
          <w:sz w:val="20"/>
          <w:szCs w:val="20"/>
        </w:rPr>
        <w:t>Za rok 202</w:t>
      </w:r>
      <w:r w:rsidR="0013473F" w:rsidRPr="004B37ED">
        <w:rPr>
          <w:rFonts w:ascii="Arial" w:hAnsi="Arial" w:cs="Arial"/>
          <w:sz w:val="20"/>
          <w:szCs w:val="20"/>
        </w:rPr>
        <w:t>2</w:t>
      </w:r>
      <w:r w:rsidRPr="004B37ED">
        <w:rPr>
          <w:rFonts w:ascii="Arial" w:hAnsi="Arial" w:cs="Arial"/>
          <w:sz w:val="20"/>
          <w:szCs w:val="20"/>
        </w:rPr>
        <w:t xml:space="preserve"> należy wykonać tablice analogiczne do przedstawionych wzorów z roku 20</w:t>
      </w:r>
      <w:r w:rsidR="0013473F" w:rsidRPr="004B37ED">
        <w:rPr>
          <w:rFonts w:ascii="Arial" w:hAnsi="Arial" w:cs="Arial"/>
          <w:sz w:val="20"/>
          <w:szCs w:val="20"/>
        </w:rPr>
        <w:t>2</w:t>
      </w:r>
      <w:r w:rsidR="00171B6D">
        <w:rPr>
          <w:rFonts w:ascii="Arial" w:hAnsi="Arial" w:cs="Arial"/>
          <w:sz w:val="20"/>
          <w:szCs w:val="20"/>
        </w:rPr>
        <w:t>1</w:t>
      </w:r>
    </w:p>
    <w:p w14:paraId="7B2740F7" w14:textId="77777777" w:rsidR="005459AA" w:rsidRDefault="005459AA" w:rsidP="005459AA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82859A" w14:textId="77777777" w:rsidR="005A2E7C" w:rsidRPr="00921EE8" w:rsidRDefault="005A2E7C" w:rsidP="005A2E7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III. </w:t>
      </w:r>
      <w:r w:rsidRPr="00921EE8">
        <w:rPr>
          <w:rFonts w:ascii="Arial" w:hAnsi="Arial" w:cs="Arial"/>
          <w:b/>
          <w:sz w:val="20"/>
          <w:szCs w:val="20"/>
        </w:rPr>
        <w:t>Opis systemu</w:t>
      </w:r>
      <w:r>
        <w:rPr>
          <w:rFonts w:ascii="Arial" w:hAnsi="Arial" w:cs="Arial"/>
          <w:b/>
          <w:sz w:val="20"/>
          <w:szCs w:val="20"/>
        </w:rPr>
        <w:t xml:space="preserve"> teleinformatycznego Krajowego Rejestru Karny (ST KRK)</w:t>
      </w:r>
    </w:p>
    <w:p w14:paraId="744C3890" w14:textId="77777777" w:rsidR="005A2E7C" w:rsidRPr="00921EE8" w:rsidRDefault="005A2E7C" w:rsidP="005A2E7C">
      <w:pPr>
        <w:rPr>
          <w:rFonts w:ascii="Arial" w:hAnsi="Arial" w:cs="Arial"/>
          <w:b/>
          <w:sz w:val="20"/>
          <w:szCs w:val="20"/>
        </w:rPr>
      </w:pPr>
    </w:p>
    <w:p w14:paraId="2B22E16D" w14:textId="77777777" w:rsidR="005A2E7C" w:rsidRPr="00921EE8" w:rsidRDefault="005A2E7C" w:rsidP="005A2E7C">
      <w:pPr>
        <w:rPr>
          <w:rFonts w:ascii="Arial" w:hAnsi="Arial" w:cs="Arial"/>
          <w:b/>
          <w:sz w:val="20"/>
          <w:szCs w:val="20"/>
        </w:rPr>
      </w:pPr>
    </w:p>
    <w:p w14:paraId="742EE8D6" w14:textId="77777777" w:rsidR="005A2E7C" w:rsidRPr="00921EE8" w:rsidRDefault="005A2E7C" w:rsidP="005A2E7C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921EE8">
        <w:rPr>
          <w:rFonts w:ascii="Arial" w:hAnsi="Arial" w:cs="Arial"/>
          <w:b/>
          <w:sz w:val="20"/>
          <w:szCs w:val="20"/>
        </w:rPr>
        <w:t>Cel biznesowy systemu</w:t>
      </w:r>
    </w:p>
    <w:p w14:paraId="46A75C91" w14:textId="77777777" w:rsidR="005A2E7C" w:rsidRPr="00921EE8" w:rsidRDefault="005A2E7C" w:rsidP="005A2E7C">
      <w:pPr>
        <w:spacing w:line="360" w:lineRule="auto"/>
        <w:ind w:left="360"/>
        <w:rPr>
          <w:rFonts w:ascii="Arial" w:hAnsi="Arial" w:cs="Arial"/>
          <w:b/>
          <w:sz w:val="20"/>
          <w:szCs w:val="20"/>
        </w:rPr>
      </w:pPr>
    </w:p>
    <w:p w14:paraId="1D970636" w14:textId="77777777" w:rsidR="005A2E7C" w:rsidRPr="00921EE8" w:rsidRDefault="005A2E7C" w:rsidP="005A2E7C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 xml:space="preserve">Głównym zadaniem systemu teleinformatycznego Krajowego Rejestru Karnego </w:t>
      </w:r>
      <w:r>
        <w:rPr>
          <w:rFonts w:ascii="Arial" w:hAnsi="Arial" w:cs="Arial"/>
          <w:sz w:val="20"/>
          <w:szCs w:val="20"/>
        </w:rPr>
        <w:t xml:space="preserve">(ST KRK) </w:t>
      </w:r>
      <w:r w:rsidRPr="00921EE8">
        <w:rPr>
          <w:rFonts w:ascii="Arial" w:hAnsi="Arial" w:cs="Arial"/>
          <w:sz w:val="20"/>
          <w:szCs w:val="20"/>
        </w:rPr>
        <w:t xml:space="preserve">jest przetwarzanie </w:t>
      </w:r>
      <w:r>
        <w:rPr>
          <w:rFonts w:ascii="Arial" w:hAnsi="Arial" w:cs="Arial"/>
          <w:sz w:val="20"/>
          <w:szCs w:val="20"/>
        </w:rPr>
        <w:t xml:space="preserve">danych </w:t>
      </w:r>
      <w:r w:rsidRPr="00921EE8">
        <w:rPr>
          <w:rFonts w:ascii="Arial" w:hAnsi="Arial" w:cs="Arial"/>
          <w:sz w:val="20"/>
          <w:szCs w:val="20"/>
        </w:rPr>
        <w:t>oraz udzielanie informacji o osobach:</w:t>
      </w:r>
    </w:p>
    <w:p w14:paraId="45D60FCC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Verdana" w:hAnsi="Verdana"/>
          <w:color w:val="000000"/>
          <w:sz w:val="20"/>
          <w:szCs w:val="20"/>
        </w:rPr>
        <w:t>1)</w:t>
      </w:r>
      <w:r w:rsidRPr="00921EE8">
        <w:rPr>
          <w:rStyle w:val="tabulatory"/>
          <w:rFonts w:ascii="Verdana" w:eastAsia="Calibri" w:hAnsi="Verdana"/>
          <w:color w:val="000000"/>
          <w:sz w:val="20"/>
          <w:szCs w:val="20"/>
        </w:rPr>
        <w:t> </w:t>
      </w:r>
      <w:r w:rsidRPr="00921EE8">
        <w:rPr>
          <w:rFonts w:ascii="Arial" w:hAnsi="Arial" w:cs="Arial"/>
          <w:sz w:val="20"/>
          <w:szCs w:val="20"/>
        </w:rPr>
        <w:t>prawomocnie skazanych za przestępstwa lub przestępstwa skarbowe;</w:t>
      </w:r>
    </w:p>
    <w:p w14:paraId="4028D835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2)  </w:t>
      </w:r>
      <w:r w:rsidRPr="00921EE8">
        <w:rPr>
          <w:rFonts w:ascii="Arial" w:hAnsi="Arial" w:cs="Arial"/>
          <w:sz w:val="20"/>
          <w:szCs w:val="20"/>
        </w:rPr>
        <w:t>przeciwko którym prawomocnie warunkowo umorzono postępowanie karne w sprawach o przestępstwa lub przestępstwa skarbowe;</w:t>
      </w:r>
    </w:p>
    <w:p w14:paraId="79FB2D96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3)   przeciwko którym prawomocnie umorzono postępowanie karne w sprawach o przestępstwa lub przestępstwa skarbowe na podstawie amnestii;</w:t>
      </w:r>
    </w:p>
    <w:p w14:paraId="3410C682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4)   będących obywatelami polskimi prawomocnie skazanymi przez sądy państw obcych;</w:t>
      </w:r>
    </w:p>
    <w:p w14:paraId="029C3C2D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5)   wobec których prawomocnie orzeczono środki zabezpieczające w sprawach o przestępstwa lub przestępstwa skarbowe;</w:t>
      </w:r>
    </w:p>
    <w:p w14:paraId="3EBD40BF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6)   nieletnich, wobec których prawomocnie orzeczono środki wychowawcze, poprawcze lub wychowawczo-lecznicze albo którym wymierzono karę na podstawie </w:t>
      </w:r>
      <w:hyperlink r:id="rId5" w:anchor="hiperlinkText.rpc?hiperlink=type=tresc:nro=Powszechny.2070433:part=a13&amp;full=1" w:tgtFrame="_parent" w:history="1">
        <w:r w:rsidRPr="00921EE8">
          <w:rPr>
            <w:rFonts w:ascii="Arial" w:hAnsi="Arial" w:cs="Arial"/>
            <w:sz w:val="20"/>
            <w:szCs w:val="20"/>
          </w:rPr>
          <w:t>art. 13</w:t>
        </w:r>
      </w:hyperlink>
      <w:r w:rsidRPr="00921EE8">
        <w:rPr>
          <w:rFonts w:ascii="Arial" w:hAnsi="Arial" w:cs="Arial"/>
          <w:sz w:val="20"/>
          <w:szCs w:val="20"/>
        </w:rPr>
        <w:t> lub </w:t>
      </w:r>
      <w:hyperlink r:id="rId6" w:anchor="hiperlinkText.rpc?hiperlink=type=tresc:nro=Powszechny.2070433:part=a94&amp;full=1" w:tgtFrame="_parent" w:history="1">
        <w:r w:rsidRPr="00921EE8">
          <w:rPr>
            <w:rFonts w:ascii="Arial" w:hAnsi="Arial" w:cs="Arial"/>
            <w:sz w:val="20"/>
            <w:szCs w:val="20"/>
          </w:rPr>
          <w:t>art. 94</w:t>
        </w:r>
      </w:hyperlink>
      <w:r w:rsidRPr="00921EE8">
        <w:rPr>
          <w:rFonts w:ascii="Arial" w:hAnsi="Arial" w:cs="Arial"/>
          <w:sz w:val="20"/>
          <w:szCs w:val="20"/>
        </w:rPr>
        <w:t> ustawy z dnia 26 października 1982 r. o postępowaniu w sprawach nieletnich (Dz. U. z 2018 r. poz. 969), zwanej dalej "ustawą o postępowaniu w sprawach nieletnich";</w:t>
      </w:r>
    </w:p>
    <w:p w14:paraId="7D69B448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7)   prawomocnie skazanych za wykroczenia na karę aresztu;</w:t>
      </w:r>
    </w:p>
    <w:p w14:paraId="5B361748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8)   poszukiwanych listem gończym;</w:t>
      </w:r>
    </w:p>
    <w:p w14:paraId="4527F900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9)   tymczasowo aresztowanych;</w:t>
      </w:r>
    </w:p>
    <w:p w14:paraId="298858A8" w14:textId="77777777" w:rsidR="005A2E7C" w:rsidRPr="00921EE8" w:rsidRDefault="005A2E7C" w:rsidP="005A2E7C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10)  nieletnich umieszczonych w schroniskach dla nieletnich.</w:t>
      </w:r>
    </w:p>
    <w:p w14:paraId="6EBDEED5" w14:textId="77777777" w:rsidR="005A2E7C" w:rsidRPr="00921EE8" w:rsidRDefault="005A2E7C" w:rsidP="005A2E7C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W Rejestrze gromadzi się również dane o podmiotach zbiorowych, wobec których prawomocnie orzeczono karę pieniężną, przepadek, zakaz lub podanie wyroku do publicznej wiadomości, na podstawie </w:t>
      </w:r>
      <w:hyperlink r:id="rId7" w:anchor="hiperlinkText.rpc?hiperlink=type=tresc:nro=Powszechny.2211456&amp;full=1" w:tgtFrame="_parent" w:history="1">
        <w:r w:rsidRPr="00921EE8">
          <w:rPr>
            <w:rFonts w:ascii="Arial" w:hAnsi="Arial" w:cs="Arial"/>
            <w:sz w:val="20"/>
            <w:szCs w:val="20"/>
          </w:rPr>
          <w:t>ustawy</w:t>
        </w:r>
      </w:hyperlink>
      <w:r w:rsidRPr="00921EE8">
        <w:rPr>
          <w:rFonts w:ascii="Arial" w:hAnsi="Arial" w:cs="Arial"/>
          <w:sz w:val="20"/>
          <w:szCs w:val="20"/>
        </w:rPr>
        <w:t> z dnia 28 października 2002 r. o odpowiedzialności podmiotów zbiorowych za czyny zabronione pod groźbą kary (Dz. U. z 201</w:t>
      </w:r>
      <w:r>
        <w:rPr>
          <w:rFonts w:ascii="Arial" w:hAnsi="Arial" w:cs="Arial"/>
          <w:sz w:val="20"/>
          <w:szCs w:val="20"/>
        </w:rPr>
        <w:t>9</w:t>
      </w:r>
      <w:r w:rsidRPr="00921EE8">
        <w:rPr>
          <w:rFonts w:ascii="Arial" w:hAnsi="Arial" w:cs="Arial"/>
          <w:sz w:val="20"/>
          <w:szCs w:val="20"/>
        </w:rPr>
        <w:t xml:space="preserve"> r. poz. </w:t>
      </w:r>
      <w:r>
        <w:rPr>
          <w:rFonts w:ascii="Arial" w:hAnsi="Arial" w:cs="Arial"/>
          <w:sz w:val="20"/>
          <w:szCs w:val="20"/>
        </w:rPr>
        <w:t>628 i 1214</w:t>
      </w:r>
      <w:r w:rsidRPr="00921EE8">
        <w:rPr>
          <w:rFonts w:ascii="Arial" w:hAnsi="Arial" w:cs="Arial"/>
          <w:sz w:val="20"/>
          <w:szCs w:val="20"/>
        </w:rPr>
        <w:t>).</w:t>
      </w:r>
    </w:p>
    <w:p w14:paraId="07805E5D" w14:textId="77777777" w:rsidR="005A2E7C" w:rsidRPr="00921EE8" w:rsidRDefault="005A2E7C" w:rsidP="005A2E7C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>Dodatkową funkcją systemu jest wytwarzanie corocznych zestawień statystycznych z orzeczeń podlegających gromadzeniu w Krajowym Rejestrze Karnym.</w:t>
      </w:r>
    </w:p>
    <w:p w14:paraId="62B0C85C" w14:textId="77777777" w:rsidR="005A2E7C" w:rsidRPr="00921EE8" w:rsidRDefault="005A2E7C" w:rsidP="005A2E7C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921EE8">
        <w:rPr>
          <w:rFonts w:ascii="Arial" w:hAnsi="Arial" w:cs="Arial"/>
          <w:sz w:val="20"/>
          <w:szCs w:val="20"/>
        </w:rPr>
        <w:t xml:space="preserve">System teleinformatyczny Krajowego Rejestru Karnego zasila ponadto określonymi danymi system </w:t>
      </w:r>
      <w:r>
        <w:rPr>
          <w:rFonts w:ascii="Arial" w:hAnsi="Arial" w:cs="Arial"/>
          <w:sz w:val="20"/>
          <w:szCs w:val="20"/>
        </w:rPr>
        <w:t>Rejestru Sprawców Przestępstw na Tle Seksualnym (</w:t>
      </w:r>
      <w:r w:rsidRPr="00921EE8">
        <w:rPr>
          <w:rFonts w:ascii="Arial" w:hAnsi="Arial" w:cs="Arial"/>
          <w:sz w:val="20"/>
          <w:szCs w:val="20"/>
        </w:rPr>
        <w:t>RSPTS</w:t>
      </w:r>
      <w:r>
        <w:rPr>
          <w:rFonts w:ascii="Arial" w:hAnsi="Arial" w:cs="Arial"/>
          <w:sz w:val="20"/>
          <w:szCs w:val="20"/>
        </w:rPr>
        <w:t>)</w:t>
      </w:r>
      <w:r w:rsidRPr="00921EE8">
        <w:rPr>
          <w:rFonts w:ascii="Arial" w:hAnsi="Arial" w:cs="Arial"/>
          <w:sz w:val="20"/>
          <w:szCs w:val="20"/>
        </w:rPr>
        <w:t xml:space="preserve"> zgodnie z ustawą z dnia 2016 r. o przeciwdziałaniu zagrożeniom przestępczością na tle seksualnym (Dz.U</w:t>
      </w:r>
      <w:r>
        <w:rPr>
          <w:rFonts w:ascii="Arial" w:hAnsi="Arial" w:cs="Arial"/>
          <w:sz w:val="20"/>
          <w:szCs w:val="20"/>
        </w:rPr>
        <w:t xml:space="preserve">. z </w:t>
      </w:r>
      <w:r w:rsidRPr="00921EE8">
        <w:rPr>
          <w:rFonts w:ascii="Arial" w:hAnsi="Arial" w:cs="Arial"/>
          <w:sz w:val="20"/>
          <w:szCs w:val="20"/>
        </w:rPr>
        <w:t>2018</w:t>
      </w:r>
      <w:r>
        <w:rPr>
          <w:rFonts w:ascii="Arial" w:hAnsi="Arial" w:cs="Arial"/>
          <w:sz w:val="20"/>
          <w:szCs w:val="20"/>
        </w:rPr>
        <w:t xml:space="preserve"> r. poz. </w:t>
      </w:r>
      <w:r w:rsidRPr="00921EE8">
        <w:rPr>
          <w:rFonts w:ascii="Arial" w:hAnsi="Arial" w:cs="Arial"/>
          <w:sz w:val="20"/>
          <w:szCs w:val="20"/>
        </w:rPr>
        <w:t>405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>oraz z 2019 r. poz. 1820</w:t>
      </w:r>
      <w:r w:rsidRPr="00921EE8">
        <w:rPr>
          <w:rFonts w:ascii="Arial" w:hAnsi="Arial" w:cs="Arial"/>
          <w:sz w:val="20"/>
          <w:szCs w:val="20"/>
        </w:rPr>
        <w:t>)</w:t>
      </w:r>
    </w:p>
    <w:p w14:paraId="33036291" w14:textId="77777777" w:rsidR="005A2E7C" w:rsidRPr="00921EE8" w:rsidRDefault="005A2E7C" w:rsidP="005A2E7C">
      <w:pPr>
        <w:spacing w:line="360" w:lineRule="auto"/>
        <w:ind w:firstLine="360"/>
        <w:jc w:val="both"/>
        <w:rPr>
          <w:rFonts w:ascii="Arial" w:hAnsi="Arial" w:cs="Arial"/>
          <w:sz w:val="20"/>
          <w:szCs w:val="20"/>
        </w:rPr>
      </w:pPr>
    </w:p>
    <w:p w14:paraId="23E912CB" w14:textId="77777777" w:rsidR="005A2E7C" w:rsidRPr="00921EE8" w:rsidRDefault="005A2E7C" w:rsidP="005A2E7C">
      <w:pPr>
        <w:spacing w:after="120" w:line="276" w:lineRule="auto"/>
        <w:rPr>
          <w:rFonts w:ascii="Arial" w:hAnsi="Arial" w:cs="Arial"/>
          <w:b/>
          <w:sz w:val="20"/>
          <w:szCs w:val="20"/>
        </w:rPr>
      </w:pPr>
      <w:r w:rsidRPr="00921EE8">
        <w:rPr>
          <w:rFonts w:ascii="Arial" w:hAnsi="Arial" w:cs="Arial"/>
          <w:b/>
          <w:sz w:val="20"/>
          <w:szCs w:val="20"/>
        </w:rPr>
        <w:t xml:space="preserve">Moduły systemu </w:t>
      </w:r>
    </w:p>
    <w:p w14:paraId="3F82BF7A" w14:textId="77777777" w:rsidR="005A2E7C" w:rsidRPr="00921EE8" w:rsidRDefault="005A2E7C" w:rsidP="005A2E7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5A2E7C" w:rsidRPr="00921EE8" w14:paraId="78925927" w14:textId="77777777" w:rsidTr="00753363">
        <w:tc>
          <w:tcPr>
            <w:tcW w:w="9211" w:type="dxa"/>
            <w:gridSpan w:val="2"/>
            <w:shd w:val="clear" w:color="auto" w:fill="auto"/>
          </w:tcPr>
          <w:p w14:paraId="15F87AF9" w14:textId="77777777" w:rsidR="005A2E7C" w:rsidRPr="00C62426" w:rsidRDefault="005A2E7C" w:rsidP="0075336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Centralny moduł ST KRK</w:t>
            </w:r>
          </w:p>
        </w:tc>
      </w:tr>
      <w:tr w:rsidR="005A2E7C" w:rsidRPr="00921EE8" w14:paraId="19FCF9DC" w14:textId="77777777" w:rsidTr="00753363">
        <w:tc>
          <w:tcPr>
            <w:tcW w:w="4605" w:type="dxa"/>
            <w:shd w:val="clear" w:color="auto" w:fill="auto"/>
          </w:tcPr>
          <w:p w14:paraId="21731DF0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System operacyjny</w:t>
            </w:r>
          </w:p>
        </w:tc>
        <w:tc>
          <w:tcPr>
            <w:tcW w:w="4606" w:type="dxa"/>
            <w:shd w:val="clear" w:color="auto" w:fill="auto"/>
          </w:tcPr>
          <w:p w14:paraId="585041E6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OpenVMS</w:t>
            </w:r>
            <w:proofErr w:type="spellEnd"/>
          </w:p>
        </w:tc>
      </w:tr>
      <w:tr w:rsidR="005A2E7C" w:rsidRPr="00921EE8" w14:paraId="2437BA99" w14:textId="77777777" w:rsidTr="00753363">
        <w:trPr>
          <w:trHeight w:val="345"/>
        </w:trPr>
        <w:tc>
          <w:tcPr>
            <w:tcW w:w="4605" w:type="dxa"/>
            <w:shd w:val="clear" w:color="auto" w:fill="auto"/>
          </w:tcPr>
          <w:p w14:paraId="190A3694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Bazy danych</w:t>
            </w:r>
          </w:p>
        </w:tc>
        <w:tc>
          <w:tcPr>
            <w:tcW w:w="4606" w:type="dxa"/>
            <w:shd w:val="clear" w:color="auto" w:fill="auto"/>
          </w:tcPr>
          <w:p w14:paraId="37DC9472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OracleRDB</w:t>
            </w:r>
            <w:proofErr w:type="spellEnd"/>
          </w:p>
        </w:tc>
      </w:tr>
      <w:tr w:rsidR="005A2E7C" w:rsidRPr="00921EE8" w14:paraId="1D1837BE" w14:textId="77777777" w:rsidTr="00753363">
        <w:trPr>
          <w:trHeight w:val="180"/>
        </w:trPr>
        <w:tc>
          <w:tcPr>
            <w:tcW w:w="4605" w:type="dxa"/>
            <w:shd w:val="clear" w:color="auto" w:fill="auto"/>
          </w:tcPr>
          <w:p w14:paraId="08FE499D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Wielkość baz danych (łączna ilość rekordów)</w:t>
            </w:r>
          </w:p>
        </w:tc>
        <w:tc>
          <w:tcPr>
            <w:tcW w:w="4606" w:type="dxa"/>
            <w:shd w:val="clear" w:color="auto" w:fill="auto"/>
          </w:tcPr>
          <w:p w14:paraId="1E5AD132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200 GB (200 tabel, 500 widoków)</w:t>
            </w:r>
          </w:p>
        </w:tc>
      </w:tr>
      <w:tr w:rsidR="005A2E7C" w:rsidRPr="00921EE8" w14:paraId="019EE8BC" w14:textId="77777777" w:rsidTr="00753363">
        <w:trPr>
          <w:trHeight w:val="150"/>
        </w:trPr>
        <w:tc>
          <w:tcPr>
            <w:tcW w:w="4605" w:type="dxa"/>
            <w:shd w:val="clear" w:color="auto" w:fill="auto"/>
          </w:tcPr>
          <w:p w14:paraId="451F3FED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Środowisko infrastrukturalne</w:t>
            </w:r>
          </w:p>
        </w:tc>
        <w:tc>
          <w:tcPr>
            <w:tcW w:w="4606" w:type="dxa"/>
            <w:shd w:val="clear" w:color="auto" w:fill="auto"/>
          </w:tcPr>
          <w:p w14:paraId="5AE44103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 xml:space="preserve">Serwery fizyczne HP 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Integrity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</w:rPr>
              <w:t xml:space="preserve"> rx2800 z procesorem Intel 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Itanium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</w:rPr>
              <w:t xml:space="preserve"> i6 podłączone do macierzy dyskowych za  pomocą sieci SAN</w:t>
            </w:r>
          </w:p>
        </w:tc>
      </w:tr>
      <w:tr w:rsidR="005A2E7C" w:rsidRPr="005E6186" w14:paraId="476EC578" w14:textId="77777777" w:rsidTr="00753363">
        <w:tc>
          <w:tcPr>
            <w:tcW w:w="4605" w:type="dxa"/>
            <w:shd w:val="clear" w:color="auto" w:fill="auto"/>
          </w:tcPr>
          <w:p w14:paraId="48532334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Język aplikacji</w:t>
            </w:r>
          </w:p>
        </w:tc>
        <w:tc>
          <w:tcPr>
            <w:tcW w:w="4606" w:type="dxa"/>
            <w:shd w:val="clear" w:color="auto" w:fill="auto"/>
          </w:tcPr>
          <w:p w14:paraId="387A507E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62426">
              <w:rPr>
                <w:rFonts w:ascii="Arial" w:hAnsi="Arial" w:cs="Arial"/>
                <w:sz w:val="20"/>
                <w:szCs w:val="20"/>
                <w:lang w:val="en-US"/>
              </w:rPr>
              <w:t>C, COBOL, IFDL (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  <w:lang w:val="en-US"/>
              </w:rPr>
              <w:t>DECforms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  <w:lang w:val="en-US"/>
              </w:rPr>
              <w:t>), SQLMOD (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  <w:lang w:val="en-US"/>
              </w:rPr>
              <w:t>OracleRdb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  <w:lang w:val="en-US"/>
              </w:rPr>
              <w:t>), TDF (ACMS)</w:t>
            </w:r>
          </w:p>
        </w:tc>
      </w:tr>
      <w:tr w:rsidR="005A2E7C" w:rsidRPr="00921EE8" w14:paraId="312FFFA7" w14:textId="77777777" w:rsidTr="00753363">
        <w:tc>
          <w:tcPr>
            <w:tcW w:w="4605" w:type="dxa"/>
            <w:shd w:val="clear" w:color="auto" w:fill="auto"/>
          </w:tcPr>
          <w:p w14:paraId="7F9A624F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Dodatkowe informacje o module/aplikacjach</w:t>
            </w:r>
          </w:p>
        </w:tc>
        <w:tc>
          <w:tcPr>
            <w:tcW w:w="4606" w:type="dxa"/>
            <w:shd w:val="clear" w:color="auto" w:fill="auto"/>
          </w:tcPr>
          <w:p w14:paraId="60BA691B" w14:textId="77777777" w:rsidR="005A2E7C" w:rsidRPr="00C62426" w:rsidRDefault="005A2E7C" w:rsidP="005A2E7C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Moduł składa się z:</w:t>
            </w:r>
          </w:p>
          <w:p w14:paraId="6A5F2D1D" w14:textId="77777777" w:rsidR="005A2E7C" w:rsidRPr="00C62426" w:rsidRDefault="005A2E7C" w:rsidP="005A2E7C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 xml:space="preserve">aplikacji lokalnej z poziomu której pracownicy Biura Informacyjnego </w:t>
            </w:r>
            <w:r w:rsidRPr="00C62426">
              <w:rPr>
                <w:rFonts w:ascii="Arial" w:hAnsi="Arial" w:cs="Arial"/>
                <w:sz w:val="20"/>
                <w:szCs w:val="20"/>
              </w:rPr>
              <w:lastRenderedPageBreak/>
              <w:t xml:space="preserve">Krajowego Rejestru Karnego aktualizują bazę danych 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OracleRDB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</w:rPr>
              <w:t xml:space="preserve"> oraz udzielają informacji na zapytania kierowane do Krajowego Rejestru Karnego,</w:t>
            </w:r>
          </w:p>
          <w:p w14:paraId="6052987C" w14:textId="77777777" w:rsidR="005A2E7C" w:rsidRPr="00C62426" w:rsidRDefault="005A2E7C" w:rsidP="005A2E7C">
            <w:pPr>
              <w:pStyle w:val="Akapitzlist"/>
              <w:numPr>
                <w:ilvl w:val="0"/>
                <w:numId w:val="37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 xml:space="preserve">aplikacji zdalnej z poziomu której pracownicy sądów są w stanie odpytać bazę danych 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OracleRDB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BB0BCEA" w14:textId="77777777" w:rsidR="005A2E7C" w:rsidRPr="00C62426" w:rsidRDefault="005A2E7C" w:rsidP="005A2E7C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 xml:space="preserve">Aplikacja lokalna jest dostępna na stacjach roboczych użytkowników przy wykorzystaniu emulatora terminala znakowego VT320, który zbudowany jest z trzech elementów – bazy danych Oracle RDB, monitora transakcyjnego ACMS oraz pakietu obsługi interfejsu znakowego 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DECforms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4C3E1E" w14:textId="77777777" w:rsidR="005A2E7C" w:rsidRPr="00C62426" w:rsidRDefault="005A2E7C" w:rsidP="005A2E7C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Aplikacja lokalna na podstawie określonych warunkach generuje zawiadomienia do sądów, ministerstw, urzędów i urzędów.</w:t>
            </w:r>
          </w:p>
          <w:p w14:paraId="55F7C7F5" w14:textId="77777777" w:rsidR="005A2E7C" w:rsidRPr="00C62426" w:rsidRDefault="005A2E7C" w:rsidP="005A2E7C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 xml:space="preserve">Aplikacja zdalna wykorzystuje oprogramowanie ACMSDA, które jest częścią monitora transakcyjnego ACMS. </w:t>
            </w:r>
          </w:p>
          <w:p w14:paraId="1DBEF1A6" w14:textId="77777777" w:rsidR="005A2E7C" w:rsidRPr="00C62426" w:rsidRDefault="005A2E7C" w:rsidP="005A2E7C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Aplikacja zdalna dostępna jest z poziomu przeglądarki internetowej.</w:t>
            </w:r>
          </w:p>
          <w:p w14:paraId="41493982" w14:textId="77777777" w:rsidR="005A2E7C" w:rsidRPr="00C62426" w:rsidRDefault="005A2E7C" w:rsidP="005A2E7C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Aplikacja lokalna cechuje się czasem dostępu do danych wynoszącym poniżej 1 sec.</w:t>
            </w:r>
          </w:p>
        </w:tc>
      </w:tr>
      <w:tr w:rsidR="005A2E7C" w:rsidRPr="00921EE8" w14:paraId="65E46D49" w14:textId="77777777" w:rsidTr="00753363">
        <w:tc>
          <w:tcPr>
            <w:tcW w:w="4605" w:type="dxa"/>
            <w:shd w:val="clear" w:color="auto" w:fill="auto"/>
          </w:tcPr>
          <w:p w14:paraId="196F71D4" w14:textId="77777777" w:rsidR="005A2E7C" w:rsidRPr="00C62426" w:rsidRDefault="005A2E7C" w:rsidP="0075336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</w:t>
            </w:r>
          </w:p>
        </w:tc>
        <w:tc>
          <w:tcPr>
            <w:tcW w:w="4606" w:type="dxa"/>
            <w:shd w:val="clear" w:color="auto" w:fill="auto"/>
          </w:tcPr>
          <w:p w14:paraId="636E826B" w14:textId="77777777" w:rsidR="005A2E7C" w:rsidRPr="00C62426" w:rsidRDefault="005A2E7C" w:rsidP="005A2E7C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Część funkcjonalności ST KRK zaszyta jest bezpośrednio w bazach danych.</w:t>
            </w:r>
          </w:p>
          <w:p w14:paraId="218E29C0" w14:textId="77777777" w:rsidR="005A2E7C" w:rsidRPr="00C62426" w:rsidRDefault="005A2E7C" w:rsidP="005A2E7C">
            <w:pPr>
              <w:pStyle w:val="Akapitzlist"/>
              <w:numPr>
                <w:ilvl w:val="0"/>
                <w:numId w:val="22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W module centralnym ST KRK wykorzystywany jest mechanizm sekcji globalnych, który umożliwia jednoczesny dostęp różnych użytkowników do wybranych obszarów pamięci oraz rezydentne biblioteki „</w:t>
            </w:r>
            <w:proofErr w:type="spellStart"/>
            <w:r w:rsidRPr="00C62426">
              <w:rPr>
                <w:rFonts w:ascii="Arial" w:hAnsi="Arial" w:cs="Arial"/>
                <w:sz w:val="20"/>
                <w:szCs w:val="20"/>
              </w:rPr>
              <w:t>shared</w:t>
            </w:r>
            <w:proofErr w:type="spellEnd"/>
            <w:r w:rsidRPr="00C62426">
              <w:rPr>
                <w:rFonts w:ascii="Arial" w:hAnsi="Arial" w:cs="Arial"/>
                <w:sz w:val="20"/>
                <w:szCs w:val="20"/>
              </w:rPr>
              <w:t xml:space="preserve"> image”.</w:t>
            </w:r>
          </w:p>
        </w:tc>
      </w:tr>
      <w:tr w:rsidR="005A2E7C" w:rsidRPr="00921EE8" w14:paraId="35F95B7D" w14:textId="77777777" w:rsidTr="0075336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4605" w:type="dxa"/>
            <w:shd w:val="clear" w:color="auto" w:fill="auto"/>
          </w:tcPr>
          <w:p w14:paraId="07416EC0" w14:textId="77777777" w:rsidR="005A2E7C" w:rsidRPr="00C62426" w:rsidRDefault="005A2E7C" w:rsidP="00753363">
            <w:pPr>
              <w:spacing w:line="360" w:lineRule="auto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C62426">
              <w:rPr>
                <w:rFonts w:ascii="Arial" w:hAnsi="Arial" w:cs="Arial"/>
                <w:b/>
                <w:sz w:val="20"/>
                <w:szCs w:val="20"/>
              </w:rPr>
              <w:t>Dokumentacja</w:t>
            </w:r>
          </w:p>
        </w:tc>
        <w:tc>
          <w:tcPr>
            <w:tcW w:w="4606" w:type="dxa"/>
            <w:shd w:val="clear" w:color="auto" w:fill="auto"/>
          </w:tcPr>
          <w:p w14:paraId="74427E6F" w14:textId="77777777" w:rsidR="005A2E7C" w:rsidRPr="00C62426" w:rsidRDefault="005A2E7C" w:rsidP="00753363">
            <w:pPr>
              <w:spacing w:line="360" w:lineRule="auto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C62426">
              <w:rPr>
                <w:rFonts w:ascii="Arial" w:hAnsi="Arial" w:cs="Arial"/>
                <w:sz w:val="20"/>
                <w:szCs w:val="20"/>
              </w:rPr>
              <w:t>Dokumentacja techniczna, podręcznik dewelopera, podręcznik administratora, opis usług, mapa procesów, instrukcje stanowiskowe.</w:t>
            </w:r>
          </w:p>
        </w:tc>
      </w:tr>
    </w:tbl>
    <w:p w14:paraId="3A37AB4B" w14:textId="77777777" w:rsidR="005A2E7C" w:rsidRPr="00921EE8" w:rsidRDefault="005A2E7C" w:rsidP="005A2E7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1FE5193" w14:textId="77777777" w:rsidR="005A2E7C" w:rsidRDefault="005A2E7C" w:rsidP="005A2E7C">
      <w:pPr>
        <w:rPr>
          <w:rFonts w:ascii="Arial" w:hAnsi="Arial" w:cs="Arial"/>
          <w:b/>
          <w:sz w:val="20"/>
          <w:szCs w:val="20"/>
        </w:rPr>
      </w:pPr>
    </w:p>
    <w:p w14:paraId="348C3F2F" w14:textId="77777777" w:rsidR="005A2E7C" w:rsidRDefault="005A2E7C" w:rsidP="005A2E7C">
      <w:pPr>
        <w:jc w:val="center"/>
        <w:rPr>
          <w:rFonts w:ascii="Arial" w:hAnsi="Arial" w:cs="Arial"/>
          <w:b/>
          <w:sz w:val="20"/>
          <w:szCs w:val="20"/>
        </w:rPr>
      </w:pPr>
    </w:p>
    <w:p w14:paraId="0360AC32" w14:textId="77777777" w:rsidR="005A2E7C" w:rsidRDefault="005A2E7C" w:rsidP="005A2E7C">
      <w:pPr>
        <w:rPr>
          <w:b/>
          <w:bCs/>
          <w:color w:val="000000"/>
        </w:rPr>
      </w:pPr>
      <w:r>
        <w:rPr>
          <w:b/>
          <w:bCs/>
          <w:color w:val="000000"/>
        </w:rPr>
        <w:t>Podstawa prawna działania Krajowego Rejestru Karnego</w:t>
      </w:r>
    </w:p>
    <w:p w14:paraId="2EBA9D88" w14:textId="77777777" w:rsidR="005A2E7C" w:rsidRDefault="005A2E7C" w:rsidP="005A2E7C">
      <w:pPr>
        <w:rPr>
          <w:color w:val="000000"/>
        </w:rPr>
      </w:pPr>
    </w:p>
    <w:p w14:paraId="483A3A0E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>Ustawa z dnia 24 maja 2000 r. o Krajowym Rejestrze Karnym (Dz.U. z 2019 r. poz. 1158 )</w:t>
      </w:r>
    </w:p>
    <w:p w14:paraId="7CD20825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2 września 2015 r. w sprawie </w:t>
      </w:r>
      <w:r>
        <w:br/>
        <w:t xml:space="preserve">gromadzenia danych osobowych i danych o podmiotach zbiorowych w Krajowym </w:t>
      </w:r>
      <w:r>
        <w:br/>
        <w:t>Rejestrze Karnym oraz usuwania tych danych z Rejestru (Dz. U. poz. 1464)</w:t>
      </w:r>
    </w:p>
    <w:p w14:paraId="208F6436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7 lipca 2015 r. w sprawie udzielania informacji o osobach oraz o podmiotach zbiorowych na podstawie danych </w:t>
      </w:r>
      <w:r>
        <w:br/>
        <w:t xml:space="preserve">zgromadzonych w Krajowym Rejestrze Karnym (Dz. U. z 2015 r. poz. 1025 </w:t>
      </w:r>
      <w:r>
        <w:br/>
        <w:t>oraz z 2016 r. poz. 411)</w:t>
      </w:r>
    </w:p>
    <w:p w14:paraId="38042D55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1 lipca 2015 r. w sprawie </w:t>
      </w:r>
      <w:r>
        <w:br/>
        <w:t>szczegółowych zasad i sposobu przetwarzania oraz przekazywania danych osobowych zgromadzonych w zbiorach Krajowego Rejestru Karnego do celów statystycznych oraz badań naukowych (Dz. U. poz. 984)</w:t>
      </w:r>
    </w:p>
    <w:p w14:paraId="134BD4D2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27 maja 2015 r. w sprawie wykazu kodów stosowanych przy przekazywaniu za pośrednictwem systemu ECRIS </w:t>
      </w:r>
      <w:r>
        <w:br/>
        <w:t xml:space="preserve">informacji dotyczących kwalifikacji prawnej czynu zabronionego przyjętej w orzeczeniu oraz orzeczonych kar i środków karnych, jak również środków </w:t>
      </w:r>
      <w:r>
        <w:br/>
        <w:t xml:space="preserve">zabezpieczających, kompensacyjnych i przepadku, środków wychowawczych, </w:t>
      </w:r>
      <w:r>
        <w:br/>
        <w:t>poprawczych i wychowawczo-leczniczych, oraz sposobu zastosowania tych kodów (Dz. U. poz. 853)</w:t>
      </w:r>
    </w:p>
    <w:p w14:paraId="5F3045F1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26 maja 2015 r. w sprawie </w:t>
      </w:r>
      <w:r>
        <w:br/>
        <w:t>szczegółowości informacji umieszczanych w karcie rejestracyjnej i w zawiadomieniu (Dz. U. 2015 r. poz. 846 oraz z 2017 r. poz. 1721)</w:t>
      </w:r>
    </w:p>
    <w:p w14:paraId="59F81D98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18 czerwca 2014 r. w sprawie opłat za wydanie informacji z Krajowego Rejestru Karnego  (Dz. U. z 2014 r. poz. 861 </w:t>
      </w:r>
      <w:r>
        <w:br/>
        <w:t>oraz z 2016 r. poz. 390 )</w:t>
      </w:r>
    </w:p>
    <w:p w14:paraId="1E943167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>Rozporządzenie Ministra Sprawiedliwości z dnia 18 czerwca 2014 r. w sprawie trybu udzielania z Krajowego Rejestru Karnego informacji o osobach oraz o podmiotach zbiorowych za pośrednictwem systemu teleinformatycznego (Dz. U. z 2014 r. poz. 841 oraz z 2016 r. poz. 1673)</w:t>
      </w:r>
    </w:p>
    <w:p w14:paraId="36380673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8 sierpnia 2013 r. w sprawie </w:t>
      </w:r>
      <w:r>
        <w:br/>
        <w:t xml:space="preserve">wymogów technicznych, jakie musi spełniać aplikacja do przesyłania kart </w:t>
      </w:r>
      <w:r>
        <w:br/>
        <w:t xml:space="preserve">rejestracyjnych i zawiadomień za pośrednictwem systemu teleinformatycznego </w:t>
      </w:r>
      <w:r>
        <w:br/>
        <w:t>oraz trybu przyznawania, zmieniania i wycofywania oraz sposobu weryfikacji podpisu elektronicznego do podpisywania kart rejestracyjnych i zawiadomień za pośrednictwem systemu teleinformatycznego (Dz. U. z 2013 r. poz. 955 oraz z 2016 r. poz. 1681)</w:t>
      </w:r>
    </w:p>
    <w:p w14:paraId="1E5C2EF0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26 kwietnia 2012 r. w sprawie wzoru formularza zapytania o udzielenie informacji pochodzących z rejestru karnego </w:t>
      </w:r>
      <w:r>
        <w:lastRenderedPageBreak/>
        <w:t>i odpowiedzi na zapytanie, wykorzystywanego między organami centralnymi państw członkowskich Unii Europejskiej (Dz. U. poz. 487)</w:t>
      </w:r>
    </w:p>
    <w:p w14:paraId="518179C3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>Rozporządzenie Ministra Sprawiedliwości z dnia 3 czerwca 2015 r.</w:t>
      </w:r>
      <w:r>
        <w:rPr>
          <w:b/>
          <w:bCs/>
        </w:rPr>
        <w:t xml:space="preserve"> </w:t>
      </w:r>
      <w:r>
        <w:rPr>
          <w:bCs/>
        </w:rPr>
        <w:t xml:space="preserve">w sprawie </w:t>
      </w:r>
      <w:r>
        <w:rPr>
          <w:bCs/>
        </w:rPr>
        <w:br/>
        <w:t xml:space="preserve">sposobu sporządzania i przekazywania do Krajowego Rejestru Karnego kart </w:t>
      </w:r>
      <w:r>
        <w:rPr>
          <w:bCs/>
        </w:rPr>
        <w:br/>
        <w:t xml:space="preserve">rejestracyjnych i zawiadomień w postaci papierowej oraz szczegółowości </w:t>
      </w:r>
      <w:r>
        <w:rPr>
          <w:bCs/>
        </w:rPr>
        <w:br/>
        <w:t>umieszczanych w nich informacji (Dz. U. z 2015 r. poz. 863 oraz z 2017 r. poz. 1745)</w:t>
      </w:r>
    </w:p>
    <w:p w14:paraId="6F29201A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rPr>
          <w:bCs/>
        </w:rPr>
        <w:t>Ustawa z dnia 13 maja 2016 r. o przeciwdziałaniu zagrożeniom przestępczością na tle seksualnym (Dz. U. z 2018 r. poz. 405 oraz z 2019 r. poz. 1820)</w:t>
      </w:r>
    </w:p>
    <w:p w14:paraId="17C185BA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rPr>
          <w:bCs/>
        </w:rPr>
        <w:t xml:space="preserve">Rozporządzenie Ministra Sprawiedliwości z dnia 13 marca 2017 r. w sprawie </w:t>
      </w:r>
      <w:r>
        <w:rPr>
          <w:bCs/>
        </w:rPr>
        <w:br/>
        <w:t xml:space="preserve">przetwarzania oraz przekazywania danych osobowych zgromadzonych w Rejestrze Sprawców Przestępstw na Tle Seksualnym do celów statystycznych oraz badań </w:t>
      </w:r>
      <w:r>
        <w:rPr>
          <w:bCs/>
        </w:rPr>
        <w:br/>
        <w:t>naukowych (Dz. U. poz. 656)</w:t>
      </w:r>
    </w:p>
    <w:p w14:paraId="7633E2D8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Rozporządzenia Ministra Sprawiedliwości z dnia 2 lutego 2017 r. </w:t>
      </w:r>
      <w:r>
        <w:rPr>
          <w:bCs/>
        </w:rPr>
        <w:t xml:space="preserve">w sprawie </w:t>
      </w:r>
      <w:r>
        <w:rPr>
          <w:bCs/>
        </w:rPr>
        <w:br/>
        <w:t>określenia trybu i sposobu przekazywania danych do Rejestru Sprawców Przestępstw na Tle Seksualnym (Dz. U. poz. 238)</w:t>
      </w:r>
    </w:p>
    <w:p w14:paraId="3F92741A" w14:textId="77777777" w:rsidR="005A2E7C" w:rsidRDefault="005A2E7C" w:rsidP="005A2E7C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</w:pPr>
      <w:r>
        <w:t xml:space="preserve">Rozporządzenie Ministra Sprawiedliwości z dnia 31 lipca 2017 r.  </w:t>
      </w:r>
      <w:r>
        <w:rPr>
          <w:bCs/>
        </w:rPr>
        <w:t xml:space="preserve">w sprawie trybu, sposobu i zakresu uzyskiwania i udostępniania informacji z Rejestru z dostępem </w:t>
      </w:r>
      <w:r>
        <w:rPr>
          <w:bCs/>
        </w:rPr>
        <w:br/>
        <w:t>ograniczonym oraz sposobu zakładania konta użytkownika (Dz. U. poz. 1561)</w:t>
      </w:r>
    </w:p>
    <w:p w14:paraId="707CD831" w14:textId="77777777" w:rsidR="005A2E7C" w:rsidRPr="0096159D" w:rsidRDefault="005A2E7C" w:rsidP="005A2E7C">
      <w:pPr>
        <w:tabs>
          <w:tab w:val="right" w:pos="212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  <w:tab w:val="left" w:pos="17010"/>
          <w:tab w:val="left" w:pos="18144"/>
          <w:tab w:val="left" w:pos="19278"/>
          <w:tab w:val="left" w:pos="20412"/>
          <w:tab w:val="left" w:pos="21546"/>
          <w:tab w:val="left" w:pos="22680"/>
          <w:tab w:val="left" w:pos="23814"/>
          <w:tab w:val="left" w:pos="24948"/>
          <w:tab w:val="left" w:pos="26082"/>
          <w:tab w:val="left" w:pos="27216"/>
          <w:tab w:val="left" w:pos="28350"/>
          <w:tab w:val="left" w:pos="29484"/>
          <w:tab w:val="left" w:pos="30618"/>
        </w:tabs>
        <w:jc w:val="both"/>
        <w:rPr>
          <w:rFonts w:ascii="Garamond" w:hAnsi="Garamond"/>
        </w:rPr>
      </w:pPr>
    </w:p>
    <w:p w14:paraId="1BDDC988" w14:textId="77777777" w:rsidR="0085495F" w:rsidRDefault="0085495F"/>
    <w:sectPr w:rsidR="00854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30B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" w15:restartNumberingAfterBreak="0">
    <w:nsid w:val="089736FB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2" w15:restartNumberingAfterBreak="0">
    <w:nsid w:val="0DE82FF9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3" w15:restartNumberingAfterBreak="0">
    <w:nsid w:val="0FCE0448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4" w15:restartNumberingAfterBreak="0">
    <w:nsid w:val="14FA6685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5" w15:restartNumberingAfterBreak="0">
    <w:nsid w:val="1F617210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6" w15:restartNumberingAfterBreak="0">
    <w:nsid w:val="238727C2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7" w15:restartNumberingAfterBreak="0">
    <w:nsid w:val="23E1343F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8" w15:restartNumberingAfterBreak="0">
    <w:nsid w:val="35B77026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9" w15:restartNumberingAfterBreak="0">
    <w:nsid w:val="3DA771F4"/>
    <w:multiLevelType w:val="hybridMultilevel"/>
    <w:tmpl w:val="F9A27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10DEE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1" w15:restartNumberingAfterBreak="0">
    <w:nsid w:val="485F2769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2" w15:restartNumberingAfterBreak="0">
    <w:nsid w:val="498E050F"/>
    <w:multiLevelType w:val="hybridMultilevel"/>
    <w:tmpl w:val="B150C7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37403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4" w15:restartNumberingAfterBreak="0">
    <w:nsid w:val="5E9C498C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5" w15:restartNumberingAfterBreak="0">
    <w:nsid w:val="5F62068A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6" w15:restartNumberingAfterBreak="0">
    <w:nsid w:val="61ED0027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7" w15:restartNumberingAfterBreak="0">
    <w:nsid w:val="6BE62D14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8" w15:restartNumberingAfterBreak="0">
    <w:nsid w:val="7CE40447"/>
    <w:multiLevelType w:val="multilevel"/>
    <w:tmpl w:val="D3005BE0"/>
    <w:lvl w:ilvl="0">
      <w:start w:val="1"/>
      <w:numFmt w:val="ordin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8"/>
  </w:num>
  <w:num w:numId="22">
    <w:abstractNumId w:val="13"/>
  </w:num>
  <w:num w:numId="23">
    <w:abstractNumId w:val="5"/>
  </w:num>
  <w:num w:numId="24">
    <w:abstractNumId w:val="1"/>
  </w:num>
  <w:num w:numId="25">
    <w:abstractNumId w:val="17"/>
  </w:num>
  <w:num w:numId="26">
    <w:abstractNumId w:val="2"/>
  </w:num>
  <w:num w:numId="27">
    <w:abstractNumId w:val="4"/>
  </w:num>
  <w:num w:numId="28">
    <w:abstractNumId w:val="15"/>
  </w:num>
  <w:num w:numId="29">
    <w:abstractNumId w:val="10"/>
  </w:num>
  <w:num w:numId="30">
    <w:abstractNumId w:val="16"/>
  </w:num>
  <w:num w:numId="31">
    <w:abstractNumId w:val="11"/>
  </w:num>
  <w:num w:numId="32">
    <w:abstractNumId w:val="14"/>
  </w:num>
  <w:num w:numId="33">
    <w:abstractNumId w:val="0"/>
  </w:num>
  <w:num w:numId="34">
    <w:abstractNumId w:val="3"/>
  </w:num>
  <w:num w:numId="35">
    <w:abstractNumId w:val="8"/>
  </w:num>
  <w:num w:numId="36">
    <w:abstractNumId w:val="7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C2"/>
    <w:rsid w:val="00094063"/>
    <w:rsid w:val="000D304F"/>
    <w:rsid w:val="000F5948"/>
    <w:rsid w:val="0013473F"/>
    <w:rsid w:val="00171B6D"/>
    <w:rsid w:val="001F63EA"/>
    <w:rsid w:val="002E072D"/>
    <w:rsid w:val="004B37ED"/>
    <w:rsid w:val="004E0821"/>
    <w:rsid w:val="005459AA"/>
    <w:rsid w:val="005A2E7C"/>
    <w:rsid w:val="0085495F"/>
    <w:rsid w:val="008875C2"/>
    <w:rsid w:val="008E597A"/>
    <w:rsid w:val="00F3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24B9"/>
  <w15:chartTrackingRefBased/>
  <w15:docId w15:val="{7E5AA102-0A72-4EB9-ADBE-E7C10BEE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listą BS Znak"/>
    <w:link w:val="Akapitzlist"/>
    <w:uiPriority w:val="34"/>
    <w:locked/>
    <w:rsid w:val="005459AA"/>
    <w:rPr>
      <w:sz w:val="24"/>
      <w:szCs w:val="24"/>
    </w:rPr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5459AA"/>
    <w:pPr>
      <w:ind w:left="708"/>
    </w:pPr>
    <w:rPr>
      <w:rFonts w:asciiTheme="minorHAnsi" w:eastAsiaTheme="minorHAnsi" w:hAnsiTheme="minorHAnsi" w:cstheme="minorBidi"/>
      <w:lang w:eastAsia="en-US"/>
    </w:rPr>
  </w:style>
  <w:style w:type="character" w:styleId="Odwoaniedokomentarza">
    <w:name w:val="annotation reference"/>
    <w:uiPriority w:val="99"/>
    <w:unhideWhenUsed/>
    <w:rsid w:val="005459AA"/>
    <w:rPr>
      <w:sz w:val="16"/>
      <w:szCs w:val="16"/>
    </w:rPr>
  </w:style>
  <w:style w:type="character" w:customStyle="1" w:styleId="FontStyle13">
    <w:name w:val="Font Style13"/>
    <w:rsid w:val="005459A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tabulatory">
    <w:name w:val="tabulatory"/>
    <w:rsid w:val="005459AA"/>
  </w:style>
  <w:style w:type="character" w:styleId="Hipercze">
    <w:name w:val="Hyperlink"/>
    <w:basedOn w:val="Domylnaczcionkaakapitu"/>
    <w:uiPriority w:val="99"/>
    <w:semiHidden/>
    <w:unhideWhenUsed/>
    <w:rsid w:val="005459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4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x.online.wolterskluwer.pl/WKPLOnline/index.r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x.online.wolterskluwer.pl/WKPLOnline/index.rpc" TargetMode="External"/><Relationship Id="rId5" Type="http://schemas.openxmlformats.org/officeDocument/2006/relationships/hyperlink" Target="https://lex.online.wolterskluwer.pl/WKPLOnline/index.rp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1533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Krochmal Arkadiusz  (DSF)</dc:creator>
  <cp:keywords/>
  <dc:description/>
  <cp:lastModifiedBy>Krochmal Arkadiusz  (DSF)</cp:lastModifiedBy>
  <cp:revision>13</cp:revision>
  <dcterms:created xsi:type="dcterms:W3CDTF">2020-09-22T09:10:00Z</dcterms:created>
  <dcterms:modified xsi:type="dcterms:W3CDTF">2022-04-28T15:18:00Z</dcterms:modified>
</cp:coreProperties>
</file>