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432" w:rsidRPr="008B5432" w:rsidRDefault="008B5432" w:rsidP="008B5432">
      <w:pPr>
        <w:pStyle w:val="Standard"/>
        <w:spacing w:line="360" w:lineRule="auto"/>
        <w:jc w:val="both"/>
        <w:rPr>
          <w:rFonts w:asciiTheme="minorHAnsi" w:hAnsiTheme="minorHAnsi" w:cstheme="minorHAnsi"/>
        </w:rPr>
      </w:pPr>
      <w:r w:rsidRPr="008B5432">
        <w:rPr>
          <w:rFonts w:asciiTheme="minorHAnsi" w:hAnsiTheme="minorHAnsi" w:cstheme="minorHAnsi"/>
        </w:rPr>
        <w:t>Kielce, dnia 20 października 2026 r.</w:t>
      </w:r>
    </w:p>
    <w:p w:rsidR="008B5432" w:rsidRPr="008B5432" w:rsidRDefault="008B5432" w:rsidP="008B5432">
      <w:pPr>
        <w:pStyle w:val="Standard"/>
        <w:spacing w:line="360" w:lineRule="auto"/>
        <w:jc w:val="both"/>
        <w:rPr>
          <w:rFonts w:asciiTheme="minorHAnsi" w:hAnsiTheme="minorHAnsi" w:cstheme="minorHAnsi"/>
        </w:rPr>
      </w:pPr>
      <w:r w:rsidRPr="008B5432">
        <w:rPr>
          <w:rFonts w:asciiTheme="minorHAnsi" w:hAnsiTheme="minorHAnsi" w:cstheme="minorHAnsi"/>
        </w:rPr>
        <w:t xml:space="preserve">WOO-I.420.3.2026.PP.19                                                                    </w:t>
      </w:r>
    </w:p>
    <w:p w:rsidR="008B5432" w:rsidRPr="008B5432" w:rsidRDefault="008B5432" w:rsidP="008B5432">
      <w:pPr>
        <w:pStyle w:val="Standard"/>
        <w:spacing w:line="360" w:lineRule="auto"/>
        <w:jc w:val="both"/>
        <w:rPr>
          <w:rFonts w:asciiTheme="minorHAnsi" w:hAnsiTheme="minorHAnsi" w:cstheme="minorHAnsi"/>
          <w:b/>
        </w:rPr>
      </w:pPr>
      <w:r w:rsidRPr="008B5432">
        <w:rPr>
          <w:rFonts w:asciiTheme="minorHAnsi" w:hAnsiTheme="minorHAnsi" w:cstheme="minorHAnsi"/>
          <w:b/>
        </w:rPr>
        <w:t>D E C Y Z J A</w:t>
      </w:r>
    </w:p>
    <w:p w:rsidR="008B5432" w:rsidRPr="008B5432" w:rsidRDefault="008B5432" w:rsidP="008B5432">
      <w:pPr>
        <w:pStyle w:val="Standard"/>
        <w:spacing w:line="360" w:lineRule="auto"/>
        <w:jc w:val="both"/>
        <w:rPr>
          <w:rFonts w:asciiTheme="minorHAnsi" w:hAnsiTheme="minorHAnsi" w:cstheme="minorHAnsi"/>
          <w:b/>
        </w:rPr>
      </w:pPr>
      <w:r w:rsidRPr="008B5432">
        <w:rPr>
          <w:rFonts w:asciiTheme="minorHAnsi" w:hAnsiTheme="minorHAnsi" w:cstheme="minorHAnsi"/>
          <w:b/>
        </w:rPr>
        <w:t>o  ś r o d o w i s k o w y c h   u w a r u n k o w a n i a c h</w:t>
      </w:r>
    </w:p>
    <w:p w:rsidR="008B5432" w:rsidRPr="008B5432" w:rsidRDefault="008B5432" w:rsidP="008B5432">
      <w:pPr>
        <w:pStyle w:val="Standard"/>
        <w:spacing w:line="360" w:lineRule="auto"/>
        <w:jc w:val="both"/>
        <w:rPr>
          <w:rFonts w:asciiTheme="minorHAnsi" w:hAnsiTheme="minorHAnsi" w:cstheme="minorHAnsi"/>
        </w:rPr>
      </w:pPr>
      <w:r w:rsidRPr="008B5432">
        <w:rPr>
          <w:rFonts w:asciiTheme="minorHAnsi" w:hAnsiTheme="minorHAnsi" w:cstheme="minorHAnsi"/>
        </w:rPr>
        <w:t>Na podstawie art. 104 ustawy z dnia 14 czerwca 1960 r. Kodeks postępowania administracyjnego (tekst jedn. Dz. U. z 2025 r. poz. 1691) – cyt. jako k.p.a. oraz art. 71 ust. 2 pkt 2, art. 75 ust. 1 pkt 1 lit. k, art. 84 ust. 1 i 2, art. 85 ust. 1 i ust. 2 pkt 2 ustawy z dnia 3</w:t>
      </w:r>
      <w:r>
        <w:rPr>
          <w:rFonts w:asciiTheme="minorHAnsi" w:hAnsiTheme="minorHAnsi" w:cstheme="minorHAnsi"/>
        </w:rPr>
        <w:t> </w:t>
      </w:r>
      <w:r w:rsidRPr="008B5432">
        <w:rPr>
          <w:rFonts w:asciiTheme="minorHAnsi" w:hAnsiTheme="minorHAnsi" w:cstheme="minorHAnsi"/>
        </w:rPr>
        <w:t xml:space="preserve">października 2008 r. o udostępnianiu informacji o środowisku i jego ochronie, udziale społeczeństwa w ochronie środowiska oraz o ocenach oddziaływania na środowisko (tekst jedn. Dz. U. z 2026 r. poz. 670 ze zm.) – cyt. dalej jako UUOŚ, po rozpatrzeniu wniosku o wydanie decyzji o środowiskowych uwarunkowaniach, </w:t>
      </w:r>
    </w:p>
    <w:p w:rsidR="008B5432" w:rsidRPr="008B5432" w:rsidRDefault="008B5432" w:rsidP="008B5432">
      <w:pPr>
        <w:pStyle w:val="Textbody"/>
        <w:widowControl w:val="0"/>
        <w:spacing w:line="360" w:lineRule="auto"/>
        <w:rPr>
          <w:rFonts w:asciiTheme="minorHAnsi" w:hAnsiTheme="minorHAnsi" w:cstheme="minorHAnsi"/>
          <w:b/>
        </w:rPr>
      </w:pPr>
      <w:r w:rsidRPr="008B5432">
        <w:rPr>
          <w:rFonts w:asciiTheme="minorHAnsi" w:hAnsiTheme="minorHAnsi" w:cstheme="minorHAnsi"/>
          <w:b/>
        </w:rPr>
        <w:t>stwierdzam</w:t>
      </w:r>
    </w:p>
    <w:p w:rsidR="008B5432" w:rsidRPr="008B5432" w:rsidRDefault="008B5432" w:rsidP="008B5432">
      <w:pPr>
        <w:pStyle w:val="Default"/>
        <w:spacing w:line="360" w:lineRule="auto"/>
        <w:jc w:val="both"/>
        <w:rPr>
          <w:rFonts w:asciiTheme="minorHAnsi" w:hAnsiTheme="minorHAnsi" w:cstheme="minorHAnsi"/>
          <w:b/>
          <w:color w:val="auto"/>
        </w:rPr>
      </w:pPr>
      <w:r w:rsidRPr="008B5432">
        <w:rPr>
          <w:rFonts w:asciiTheme="minorHAnsi" w:hAnsiTheme="minorHAnsi" w:cstheme="minorHAnsi"/>
          <w:color w:val="auto"/>
        </w:rPr>
        <w:t>brak potrzeby przeprowadzenia oceny oddziaływania na środowisko dla przedsięwzięcia pn.:</w:t>
      </w:r>
      <w:r>
        <w:rPr>
          <w:rFonts w:asciiTheme="minorHAnsi" w:hAnsiTheme="minorHAnsi" w:cstheme="minorHAnsi"/>
          <w:color w:val="auto"/>
        </w:rPr>
        <w:t> </w:t>
      </w:r>
      <w:r w:rsidRPr="008B5432">
        <w:rPr>
          <w:rFonts w:asciiTheme="minorHAnsi" w:hAnsiTheme="minorHAnsi" w:cstheme="minorHAnsi"/>
          <w:b/>
          <w:color w:val="auto"/>
        </w:rPr>
        <w:t xml:space="preserve">„Rozbudowa stacji 400/220 </w:t>
      </w:r>
      <w:proofErr w:type="spellStart"/>
      <w:r w:rsidRPr="008B5432">
        <w:rPr>
          <w:rFonts w:asciiTheme="minorHAnsi" w:hAnsiTheme="minorHAnsi" w:cstheme="minorHAnsi"/>
          <w:b/>
          <w:color w:val="auto"/>
        </w:rPr>
        <w:t>kV</w:t>
      </w:r>
      <w:proofErr w:type="spellEnd"/>
      <w:r w:rsidRPr="008B5432">
        <w:rPr>
          <w:rFonts w:asciiTheme="minorHAnsi" w:hAnsiTheme="minorHAnsi" w:cstheme="minorHAnsi"/>
          <w:b/>
          <w:color w:val="auto"/>
        </w:rPr>
        <w:t xml:space="preserve"> Kielce”</w:t>
      </w:r>
      <w:r w:rsidRPr="008B5432">
        <w:rPr>
          <w:rFonts w:asciiTheme="minorHAnsi" w:hAnsiTheme="minorHAnsi" w:cstheme="minorHAnsi"/>
          <w:bCs/>
          <w:color w:val="auto"/>
        </w:rPr>
        <w:t>, planowanego do realizacji na terenie obrębów: 0011</w:t>
      </w:r>
      <w:r>
        <w:rPr>
          <w:rFonts w:asciiTheme="minorHAnsi" w:hAnsiTheme="minorHAnsi" w:cstheme="minorHAnsi"/>
          <w:bCs/>
          <w:color w:val="auto"/>
        </w:rPr>
        <w:t> </w:t>
      </w:r>
      <w:r w:rsidRPr="008B5432">
        <w:rPr>
          <w:rFonts w:asciiTheme="minorHAnsi" w:hAnsiTheme="minorHAnsi" w:cstheme="minorHAnsi"/>
          <w:bCs/>
          <w:color w:val="auto"/>
        </w:rPr>
        <w:t xml:space="preserve">Micigózd, gmina Piekoszów oraz 0009 Promnik, gmina Strawczyn, powiat kielecki, województwo świętokrzyskie, </w:t>
      </w:r>
      <w:r w:rsidRPr="008B5432">
        <w:rPr>
          <w:rFonts w:asciiTheme="minorHAnsi" w:eastAsiaTheme="minorHAnsi" w:hAnsiTheme="minorHAnsi" w:cstheme="minorHAnsi"/>
          <w:kern w:val="0"/>
        </w:rPr>
        <w:t>przez</w:t>
      </w:r>
      <w:r w:rsidRPr="008B5432">
        <w:rPr>
          <w:rFonts w:asciiTheme="minorHAnsi" w:eastAsiaTheme="minorHAnsi" w:hAnsiTheme="minorHAnsi" w:cstheme="minorHAnsi"/>
          <w:b/>
          <w:bCs/>
          <w:kern w:val="0"/>
        </w:rPr>
        <w:t xml:space="preserve"> </w:t>
      </w:r>
      <w:r w:rsidRPr="008B5432">
        <w:rPr>
          <w:rFonts w:asciiTheme="minorHAnsi" w:eastAsiaTheme="minorHAnsi" w:hAnsiTheme="minorHAnsi" w:cstheme="minorHAnsi"/>
          <w:kern w:val="0"/>
        </w:rPr>
        <w:t>Polskie Sieci Elektroenergetyczne S. A., działające za</w:t>
      </w:r>
      <w:r>
        <w:rPr>
          <w:rFonts w:asciiTheme="minorHAnsi" w:eastAsiaTheme="minorHAnsi" w:hAnsiTheme="minorHAnsi" w:cstheme="minorHAnsi"/>
          <w:kern w:val="0"/>
        </w:rPr>
        <w:t> </w:t>
      </w:r>
      <w:r w:rsidRPr="008B5432">
        <w:rPr>
          <w:rFonts w:asciiTheme="minorHAnsi" w:eastAsiaTheme="minorHAnsi" w:hAnsiTheme="minorHAnsi" w:cstheme="minorHAnsi"/>
          <w:kern w:val="0"/>
        </w:rPr>
        <w:t xml:space="preserve">pośrednictwem Pełnomocnika – Pana Michała </w:t>
      </w:r>
      <w:proofErr w:type="spellStart"/>
      <w:r w:rsidRPr="008B5432">
        <w:rPr>
          <w:rFonts w:asciiTheme="minorHAnsi" w:eastAsiaTheme="minorHAnsi" w:hAnsiTheme="minorHAnsi" w:cstheme="minorHAnsi"/>
          <w:kern w:val="0"/>
        </w:rPr>
        <w:t>Wrótniak</w:t>
      </w:r>
      <w:proofErr w:type="spellEnd"/>
      <w:r w:rsidRPr="008B5432">
        <w:rPr>
          <w:rFonts w:asciiTheme="minorHAnsi" w:eastAsiaTheme="minorHAnsi" w:hAnsiTheme="minorHAnsi" w:cstheme="minorHAnsi"/>
          <w:kern w:val="0"/>
        </w:rPr>
        <w:t>.</w:t>
      </w:r>
    </w:p>
    <w:p w:rsidR="008B5432" w:rsidRPr="008B5432" w:rsidRDefault="008B5432" w:rsidP="008B5432">
      <w:pPr>
        <w:pStyle w:val="Standard"/>
        <w:spacing w:line="360" w:lineRule="auto"/>
        <w:jc w:val="both"/>
        <w:rPr>
          <w:rFonts w:asciiTheme="minorHAnsi" w:hAnsiTheme="minorHAnsi" w:cstheme="minorHAnsi"/>
          <w:b/>
        </w:rPr>
      </w:pPr>
      <w:r w:rsidRPr="008B5432">
        <w:rPr>
          <w:rFonts w:asciiTheme="minorHAnsi" w:hAnsiTheme="minorHAnsi" w:cstheme="minorHAnsi"/>
          <w:b/>
        </w:rPr>
        <w:t>Uzasadnienie</w:t>
      </w:r>
    </w:p>
    <w:p w:rsidR="008B5432" w:rsidRPr="008B5432" w:rsidRDefault="008B5432" w:rsidP="008B5432">
      <w:pPr>
        <w:pStyle w:val="Default"/>
        <w:spacing w:line="360" w:lineRule="auto"/>
        <w:jc w:val="both"/>
        <w:rPr>
          <w:rFonts w:asciiTheme="minorHAnsi" w:eastAsiaTheme="minorHAnsi" w:hAnsiTheme="minorHAnsi" w:cstheme="minorHAnsi"/>
          <w:kern w:val="0"/>
        </w:rPr>
      </w:pPr>
      <w:r w:rsidRPr="008B5432">
        <w:rPr>
          <w:rFonts w:asciiTheme="minorHAnsi" w:hAnsiTheme="minorHAnsi" w:cstheme="minorHAnsi"/>
          <w:snapToGrid w:val="0"/>
          <w:kern w:val="0"/>
        </w:rPr>
        <w:t xml:space="preserve">W dniu 19.02.2026 r. do Regionalnej Dyrekcji Ochrony Środowiska w Kielcach wpłynął wniosek </w:t>
      </w:r>
      <w:r w:rsidRPr="008B5432">
        <w:rPr>
          <w:rFonts w:asciiTheme="minorHAnsi" w:eastAsiaTheme="minorHAnsi" w:hAnsiTheme="minorHAnsi" w:cstheme="minorHAnsi"/>
          <w:kern w:val="0"/>
        </w:rPr>
        <w:t xml:space="preserve">Polskich Sieci Elektroenergetycznych S. A., działających za pośrednictwem Pełnomocnika – Pana Michała </w:t>
      </w:r>
      <w:proofErr w:type="spellStart"/>
      <w:r w:rsidRPr="008B5432">
        <w:rPr>
          <w:rFonts w:asciiTheme="minorHAnsi" w:eastAsiaTheme="minorHAnsi" w:hAnsiTheme="minorHAnsi" w:cstheme="minorHAnsi"/>
          <w:kern w:val="0"/>
        </w:rPr>
        <w:t>Wrótniak</w:t>
      </w:r>
      <w:proofErr w:type="spellEnd"/>
      <w:r w:rsidRPr="008B5432">
        <w:rPr>
          <w:rFonts w:asciiTheme="minorHAnsi" w:hAnsiTheme="minorHAnsi" w:cstheme="minorHAnsi"/>
          <w:kern w:val="0"/>
        </w:rPr>
        <w:t xml:space="preserve">, </w:t>
      </w:r>
      <w:r w:rsidRPr="008B5432">
        <w:rPr>
          <w:rFonts w:asciiTheme="minorHAnsi" w:hAnsiTheme="minorHAnsi" w:cstheme="minorHAnsi"/>
          <w:snapToGrid w:val="0"/>
          <w:kern w:val="0"/>
        </w:rPr>
        <w:t xml:space="preserve">uzupełniony pismem z dnia 30.03.2026 r. (data wpływu: </w:t>
      </w:r>
      <w:r w:rsidRPr="008B5432">
        <w:rPr>
          <w:rFonts w:asciiTheme="minorHAnsi" w:hAnsiTheme="minorHAnsi" w:cstheme="minorHAnsi"/>
          <w:kern w:val="0"/>
        </w:rPr>
        <w:t>01.04.2026</w:t>
      </w:r>
      <w:r>
        <w:rPr>
          <w:rFonts w:asciiTheme="minorHAnsi" w:hAnsiTheme="minorHAnsi" w:cstheme="minorHAnsi"/>
          <w:kern w:val="0"/>
        </w:rPr>
        <w:t> </w:t>
      </w:r>
      <w:r w:rsidRPr="008B5432">
        <w:rPr>
          <w:rFonts w:asciiTheme="minorHAnsi" w:hAnsiTheme="minorHAnsi" w:cstheme="minorHAnsi"/>
          <w:kern w:val="0"/>
        </w:rPr>
        <w:t xml:space="preserve">r.) </w:t>
      </w:r>
      <w:r w:rsidRPr="008B5432">
        <w:rPr>
          <w:rFonts w:asciiTheme="minorHAnsi" w:hAnsiTheme="minorHAnsi" w:cstheme="minorHAnsi"/>
          <w:snapToGrid w:val="0"/>
          <w:kern w:val="0"/>
        </w:rPr>
        <w:t xml:space="preserve">o wydanie decyzji o środowiskowych uwarunkowaniach dla przedsięwzięcia pn.: </w:t>
      </w:r>
      <w:r w:rsidRPr="008B5432">
        <w:rPr>
          <w:rFonts w:asciiTheme="minorHAnsi" w:hAnsiTheme="minorHAnsi" w:cstheme="minorHAnsi"/>
          <w:color w:val="auto"/>
        </w:rPr>
        <w:t xml:space="preserve">„Rozbudowa stacji 400/220 </w:t>
      </w:r>
      <w:proofErr w:type="spellStart"/>
      <w:r w:rsidRPr="008B5432">
        <w:rPr>
          <w:rFonts w:asciiTheme="minorHAnsi" w:hAnsiTheme="minorHAnsi" w:cstheme="minorHAnsi"/>
          <w:color w:val="auto"/>
        </w:rPr>
        <w:t>kV</w:t>
      </w:r>
      <w:proofErr w:type="spellEnd"/>
      <w:r w:rsidRPr="008B5432">
        <w:rPr>
          <w:rFonts w:asciiTheme="minorHAnsi" w:hAnsiTheme="minorHAnsi" w:cstheme="minorHAnsi"/>
          <w:color w:val="auto"/>
        </w:rPr>
        <w:t xml:space="preserve"> Kielce”</w:t>
      </w:r>
      <w:r w:rsidRPr="008B5432">
        <w:rPr>
          <w:rFonts w:asciiTheme="minorHAnsi" w:hAnsiTheme="minorHAnsi" w:cstheme="minorHAnsi"/>
          <w:bCs/>
          <w:color w:val="auto"/>
        </w:rPr>
        <w:t>, planowanego do realizacji na terenie obrębów: 0011 Micigózd, gmina Piekoszów oraz 0009 Promnik, gmina Strawczyn, powiat kielecki, województwo świętokrzyskie</w:t>
      </w:r>
      <w:r w:rsidRPr="008B5432">
        <w:rPr>
          <w:rFonts w:asciiTheme="minorHAnsi" w:hAnsiTheme="minorHAnsi" w:cstheme="minorHAnsi"/>
          <w:color w:val="auto"/>
        </w:rPr>
        <w:t>.</w:t>
      </w:r>
    </w:p>
    <w:p w:rsidR="008B5432" w:rsidRPr="008B5432" w:rsidRDefault="008B5432" w:rsidP="008B5432">
      <w:pPr>
        <w:pStyle w:val="Default"/>
        <w:spacing w:line="360" w:lineRule="auto"/>
        <w:jc w:val="both"/>
        <w:rPr>
          <w:rFonts w:asciiTheme="minorHAnsi" w:eastAsiaTheme="minorHAnsi" w:hAnsiTheme="minorHAnsi" w:cstheme="minorHAnsi"/>
          <w:kern w:val="0"/>
        </w:rPr>
      </w:pPr>
      <w:r w:rsidRPr="008B5432">
        <w:rPr>
          <w:rFonts w:asciiTheme="minorHAnsi" w:hAnsiTheme="minorHAnsi" w:cstheme="minorHAnsi"/>
          <w:snapToGrid w:val="0"/>
        </w:rPr>
        <w:t xml:space="preserve">Do wniosku dołączono kartę informacyjną przedsięwzięcia (zwaną dalej KIP) opracowaną zgodnie z art. 62a ust. 1 UUOŚ, </w:t>
      </w:r>
      <w:r w:rsidRPr="008B5432">
        <w:rPr>
          <w:rFonts w:asciiTheme="minorHAnsi" w:hAnsiTheme="minorHAnsi" w:cstheme="minorHAnsi"/>
        </w:rPr>
        <w:t xml:space="preserve">mapę w skali zapewniającej czytelność przedstawionych danych z zaznaczonym przewidywanym terenem, na którym będzie realizowane przedsięwzięcie oraz </w:t>
      </w:r>
      <w:r w:rsidRPr="008B5432">
        <w:rPr>
          <w:rFonts w:asciiTheme="minorHAnsi" w:hAnsiTheme="minorHAnsi" w:cstheme="minorHAnsi"/>
        </w:rPr>
        <w:lastRenderedPageBreak/>
        <w:t xml:space="preserve">z zaznaczonym przewidywanym obszarem, na który będzie oddziaływać przedsięwzięcie, poświadczoną przez właściwy organ kopię mapy ewidencyjnej obejmującą przewidywany teren, na którym będzie realizowane przedsięwzięcie, oraz obejmującą przewidywany obszar, na który będzie oddziaływać przedsięwzięcie, </w:t>
      </w:r>
      <w:r w:rsidRPr="008B5432">
        <w:rPr>
          <w:rFonts w:asciiTheme="minorHAnsi" w:eastAsiaTheme="minorHAnsi" w:hAnsiTheme="minorHAnsi" w:cstheme="minorHAnsi"/>
        </w:rPr>
        <w:t xml:space="preserve">uproszczone wypisy z rejestru gruntów w celu wykazania, że liczba stron postępowania przekracza 10, </w:t>
      </w:r>
      <w:r w:rsidRPr="008B5432">
        <w:rPr>
          <w:rFonts w:asciiTheme="minorHAnsi" w:hAnsiTheme="minorHAnsi" w:cstheme="minorHAnsi"/>
        </w:rPr>
        <w:t xml:space="preserve">kopie pełnomocnictw udzielonych Panu Michałowi </w:t>
      </w:r>
      <w:proofErr w:type="spellStart"/>
      <w:r w:rsidRPr="008B5432">
        <w:rPr>
          <w:rFonts w:asciiTheme="minorHAnsi" w:hAnsiTheme="minorHAnsi" w:cstheme="minorHAnsi"/>
        </w:rPr>
        <w:t>Wrótniak</w:t>
      </w:r>
      <w:proofErr w:type="spellEnd"/>
      <w:r w:rsidRPr="008B5432">
        <w:rPr>
          <w:rFonts w:asciiTheme="minorHAnsi" w:hAnsiTheme="minorHAnsi" w:cstheme="minorHAnsi"/>
        </w:rPr>
        <w:t xml:space="preserve"> oraz Pani Izabeli </w:t>
      </w:r>
      <w:proofErr w:type="spellStart"/>
      <w:r w:rsidRPr="008B5432">
        <w:rPr>
          <w:rFonts w:asciiTheme="minorHAnsi" w:hAnsiTheme="minorHAnsi" w:cstheme="minorHAnsi"/>
        </w:rPr>
        <w:t>Sotek</w:t>
      </w:r>
      <w:proofErr w:type="spellEnd"/>
      <w:r w:rsidRPr="008B5432">
        <w:rPr>
          <w:rFonts w:asciiTheme="minorHAnsi" w:hAnsiTheme="minorHAnsi" w:cstheme="minorHAnsi"/>
        </w:rPr>
        <w:t>, a także potwierdzenie wniesienia opłaty skarbowej z tytułu wydania decyzji o środowiskowych uwarunkowaniach oraz pełnomocnictw.</w:t>
      </w:r>
    </w:p>
    <w:p w:rsidR="008B5432" w:rsidRPr="008B5432" w:rsidRDefault="008B5432" w:rsidP="00ED4B79">
      <w:pPr>
        <w:spacing w:line="360" w:lineRule="auto"/>
        <w:jc w:val="both"/>
        <w:rPr>
          <w:rFonts w:asciiTheme="minorHAnsi" w:hAnsiTheme="minorHAnsi" w:cstheme="minorHAnsi"/>
          <w:snapToGrid w:val="0"/>
          <w:color w:val="000000" w:themeColor="text1"/>
        </w:rPr>
      </w:pPr>
      <w:r w:rsidRPr="008B5432">
        <w:rPr>
          <w:rFonts w:asciiTheme="minorHAnsi" w:hAnsiTheme="minorHAnsi" w:cstheme="minorHAnsi"/>
          <w:snapToGrid w:val="0"/>
          <w:color w:val="000000" w:themeColor="text1"/>
        </w:rPr>
        <w:t>Planowana inwestycja została zaliczona do kategorii przedsięwzięć mogących potencjalnie znacząco oddziaływać na środowisko o których mowa w art. 59 ust. 1 pkt 2 UUOŚ, wymienionych w rozporządzeniu Rady Ministrów z dnia 10</w:t>
      </w:r>
      <w:r w:rsidRPr="008B5432">
        <w:rPr>
          <w:rFonts w:asciiTheme="minorHAnsi" w:hAnsiTheme="minorHAnsi" w:cstheme="minorHAnsi"/>
        </w:rPr>
        <w:t> </w:t>
      </w:r>
      <w:r w:rsidRPr="008B5432">
        <w:rPr>
          <w:rFonts w:asciiTheme="minorHAnsi" w:hAnsiTheme="minorHAnsi" w:cstheme="minorHAnsi"/>
          <w:snapToGrid w:val="0"/>
          <w:color w:val="000000" w:themeColor="text1"/>
        </w:rPr>
        <w:t>września 2019 r. w sprawie przedsięwzięć mogących znacząco oddziaływać na środowisko (Dz. U. z 2019 r., poz. 1839 ze</w:t>
      </w:r>
      <w:r w:rsidR="00ED4B79">
        <w:rPr>
          <w:rFonts w:asciiTheme="minorHAnsi" w:hAnsiTheme="minorHAnsi" w:cstheme="minorHAnsi"/>
          <w:snapToGrid w:val="0"/>
          <w:color w:val="000000" w:themeColor="text1"/>
        </w:rPr>
        <w:t> </w:t>
      </w:r>
      <w:r w:rsidRPr="008B5432">
        <w:rPr>
          <w:rFonts w:asciiTheme="minorHAnsi" w:hAnsiTheme="minorHAnsi" w:cstheme="minorHAnsi"/>
          <w:snapToGrid w:val="0"/>
          <w:color w:val="000000" w:themeColor="text1"/>
        </w:rPr>
        <w:t xml:space="preserve">zm.) jako mogące potencjalnie znacząco oddziaływać na środowisko w § 3 ust. 1 pkt 7 ww. rozporządzenia tj. </w:t>
      </w:r>
      <w:r w:rsidRPr="008B5432">
        <w:rPr>
          <w:rFonts w:asciiTheme="minorHAnsi" w:hAnsiTheme="minorHAnsi" w:cstheme="minorHAnsi"/>
          <w:i/>
          <w:iCs/>
          <w:snapToGrid w:val="0"/>
          <w:color w:val="000000" w:themeColor="text1"/>
        </w:rPr>
        <w:t xml:space="preserve">napowietrzne linie elektroenergetyczne o napięciu znamionowym nie mniejszym niż 110 </w:t>
      </w:r>
      <w:proofErr w:type="spellStart"/>
      <w:r w:rsidRPr="008B5432">
        <w:rPr>
          <w:rFonts w:asciiTheme="minorHAnsi" w:hAnsiTheme="minorHAnsi" w:cstheme="minorHAnsi"/>
          <w:i/>
          <w:iCs/>
          <w:snapToGrid w:val="0"/>
          <w:color w:val="000000" w:themeColor="text1"/>
        </w:rPr>
        <w:t>kV</w:t>
      </w:r>
      <w:proofErr w:type="spellEnd"/>
      <w:r w:rsidRPr="008B5432">
        <w:rPr>
          <w:rFonts w:asciiTheme="minorHAnsi" w:hAnsiTheme="minorHAnsi" w:cstheme="minorHAnsi"/>
          <w:i/>
          <w:iCs/>
          <w:snapToGrid w:val="0"/>
          <w:color w:val="000000" w:themeColor="text1"/>
        </w:rPr>
        <w:t xml:space="preserve"> inne niż wymienione w § 2 ust. 1 pkt 6</w:t>
      </w:r>
      <w:r w:rsidRPr="008B5432">
        <w:rPr>
          <w:rFonts w:asciiTheme="minorHAnsi" w:hAnsiTheme="minorHAnsi" w:cstheme="minorHAnsi"/>
          <w:snapToGrid w:val="0"/>
          <w:color w:val="000000" w:themeColor="text1"/>
        </w:rPr>
        <w:t>.</w:t>
      </w:r>
    </w:p>
    <w:p w:rsidR="008B5432" w:rsidRPr="008B5432" w:rsidRDefault="008B5432" w:rsidP="00ED4B79">
      <w:pPr>
        <w:spacing w:line="360" w:lineRule="auto"/>
        <w:jc w:val="both"/>
        <w:rPr>
          <w:rFonts w:asciiTheme="minorHAnsi" w:hAnsiTheme="minorHAnsi" w:cstheme="minorHAnsi"/>
        </w:rPr>
      </w:pPr>
      <w:r w:rsidRPr="008B5432">
        <w:rPr>
          <w:rFonts w:asciiTheme="minorHAnsi" w:hAnsiTheme="minorHAnsi" w:cstheme="minorHAnsi"/>
        </w:rPr>
        <w:t xml:space="preserve">Zamierzenie stanowić będzie strategiczną inwestycję w zakresie sieci przesyłowej, z uwagi, iż planowany zakres przedsięwzięcia wpisuje się w katalog strategicznych inwestycji wymienionych w załączniku I do ustawy z dnia 24 lipca 2015 r. o przygotowaniu i realizacji strategicznych inwestycji w zakresie sieci przesyłowych (tekst jedn. Dz. U. z 2024 r. poz. 1199), zwanej dalej </w:t>
      </w:r>
      <w:r w:rsidRPr="008B5432">
        <w:rPr>
          <w:rFonts w:asciiTheme="minorHAnsi" w:hAnsiTheme="minorHAnsi" w:cstheme="minorHAnsi"/>
          <w:i/>
          <w:iCs/>
        </w:rPr>
        <w:t>specustawą przesyłową</w:t>
      </w:r>
      <w:r w:rsidRPr="008B5432">
        <w:rPr>
          <w:rFonts w:asciiTheme="minorHAnsi" w:hAnsiTheme="minorHAnsi" w:cstheme="minorHAnsi"/>
        </w:rPr>
        <w:t xml:space="preserve"> – </w:t>
      </w:r>
      <w:r w:rsidRPr="008B5432">
        <w:rPr>
          <w:rFonts w:asciiTheme="minorHAnsi" w:hAnsiTheme="minorHAnsi" w:cstheme="minorHAnsi"/>
          <w:i/>
          <w:iCs/>
        </w:rPr>
        <w:t xml:space="preserve">wykaz strategicznych inwestycji w zakresie sieci przesyłowych oraz inwestycji towarzyszących, z wyłączeniem inwestycji towarzyszących polegających na przebudowie lub remoncie istniejących linii elektroenergetycznych stanowiących elementy sieci dystrybucyjnej o napięciu równym lub wyższym niż 110 </w:t>
      </w:r>
      <w:proofErr w:type="spellStart"/>
      <w:r w:rsidRPr="008B5432">
        <w:rPr>
          <w:rFonts w:asciiTheme="minorHAnsi" w:hAnsiTheme="minorHAnsi" w:cstheme="minorHAnsi"/>
          <w:i/>
          <w:iCs/>
        </w:rPr>
        <w:t>kV</w:t>
      </w:r>
      <w:proofErr w:type="spellEnd"/>
      <w:r w:rsidRPr="008B5432">
        <w:rPr>
          <w:rFonts w:asciiTheme="minorHAnsi" w:hAnsiTheme="minorHAnsi" w:cstheme="minorHAnsi"/>
          <w:i/>
          <w:iCs/>
        </w:rPr>
        <w:t xml:space="preserve"> – </w:t>
      </w:r>
      <w:r w:rsidRPr="008B5432">
        <w:rPr>
          <w:rFonts w:asciiTheme="minorHAnsi" w:hAnsiTheme="minorHAnsi" w:cstheme="minorHAnsi"/>
        </w:rPr>
        <w:t xml:space="preserve">pkt 52 tj. </w:t>
      </w:r>
      <w:r w:rsidRPr="008B5432">
        <w:rPr>
          <w:rFonts w:asciiTheme="minorHAnsi" w:hAnsiTheme="minorHAnsi" w:cstheme="minorHAnsi"/>
          <w:i/>
          <w:iCs/>
        </w:rPr>
        <w:t>„Budowa przyłączy i linii służących do przyłączenia do systemu przesyłowego elektroenergetycznego podmiotów przyłączanych”</w:t>
      </w:r>
      <w:r w:rsidRPr="008B5432">
        <w:rPr>
          <w:rFonts w:asciiTheme="minorHAnsi" w:hAnsiTheme="minorHAnsi" w:cstheme="minorHAnsi"/>
        </w:rPr>
        <w:t>.</w:t>
      </w:r>
    </w:p>
    <w:p w:rsidR="008B5432" w:rsidRPr="008B5432" w:rsidRDefault="008B5432" w:rsidP="00ED4B79">
      <w:pPr>
        <w:spacing w:line="360" w:lineRule="auto"/>
        <w:jc w:val="both"/>
        <w:rPr>
          <w:rFonts w:asciiTheme="minorHAnsi" w:hAnsiTheme="minorHAnsi" w:cstheme="minorHAnsi"/>
        </w:rPr>
      </w:pPr>
      <w:r w:rsidRPr="008B5432">
        <w:rPr>
          <w:rFonts w:asciiTheme="minorHAnsi" w:hAnsiTheme="minorHAnsi" w:cstheme="minorHAnsi"/>
        </w:rPr>
        <w:t xml:space="preserve">Wnioskodawca ubiegał się będzie wydanie o decyzji o ustaleniu lokalizacji strategicznej inwestycji w zakresie sieci przesyłowej wydawanej na podstawie ww. </w:t>
      </w:r>
      <w:r w:rsidRPr="008B5432">
        <w:rPr>
          <w:rFonts w:asciiTheme="minorHAnsi" w:hAnsiTheme="minorHAnsi" w:cstheme="minorHAnsi"/>
          <w:iCs/>
        </w:rPr>
        <w:t xml:space="preserve">specustawy przesyłowej, </w:t>
      </w:r>
      <w:r w:rsidRPr="008B5432">
        <w:rPr>
          <w:rFonts w:asciiTheme="minorHAnsi" w:hAnsiTheme="minorHAnsi" w:cstheme="minorHAnsi"/>
        </w:rPr>
        <w:t>w związku z czym organem właściwym do wydania decyzji o środowiskowych uwarunkowaniach na podstawie art. 75 ust. 1 pkt 1 lit. k UUOŚ jest regionalny dyrektor ochrony środowiska.</w:t>
      </w:r>
    </w:p>
    <w:p w:rsidR="008B5432" w:rsidRPr="008B5432" w:rsidRDefault="008B5432" w:rsidP="00ED4B79">
      <w:pPr>
        <w:spacing w:line="360" w:lineRule="auto"/>
        <w:jc w:val="both"/>
        <w:rPr>
          <w:rFonts w:asciiTheme="minorHAnsi" w:hAnsiTheme="minorHAnsi" w:cstheme="minorHAnsi"/>
        </w:rPr>
      </w:pPr>
      <w:r w:rsidRPr="008B5432">
        <w:rPr>
          <w:rFonts w:asciiTheme="minorHAnsi" w:hAnsiTheme="minorHAnsi" w:cstheme="minorHAnsi"/>
        </w:rPr>
        <w:t xml:space="preserve">Dane o złożonym wniosku zamieszczone zostały w </w:t>
      </w:r>
      <w:r w:rsidRPr="008B5432">
        <w:rPr>
          <w:rFonts w:asciiTheme="minorHAnsi" w:hAnsiTheme="minorHAnsi" w:cstheme="minorHAnsi"/>
          <w:i/>
        </w:rPr>
        <w:t>Publicznie dostępnym wykazie danych o dokumentach zawierających informacje o środowisku i jego ochronie</w:t>
      </w:r>
      <w:r w:rsidRPr="008B5432">
        <w:rPr>
          <w:rFonts w:asciiTheme="minorHAnsi" w:hAnsiTheme="minorHAnsi" w:cstheme="minorHAnsi"/>
        </w:rPr>
        <w:t xml:space="preserve"> prowadzonym przez Regionalną Dyrekcję Ochrony Środowiska w Kielcach.</w:t>
      </w:r>
    </w:p>
    <w:p w:rsidR="008B5432" w:rsidRPr="008B5432" w:rsidRDefault="008B5432" w:rsidP="00ED4B79">
      <w:pPr>
        <w:spacing w:line="360" w:lineRule="auto"/>
        <w:jc w:val="both"/>
        <w:rPr>
          <w:rFonts w:asciiTheme="minorHAnsi" w:hAnsiTheme="minorHAnsi" w:cstheme="minorHAnsi"/>
          <w:kern w:val="3"/>
        </w:rPr>
      </w:pPr>
      <w:r w:rsidRPr="008B5432">
        <w:rPr>
          <w:rFonts w:asciiTheme="minorHAnsi" w:hAnsiTheme="minorHAnsi" w:cstheme="minorHAnsi"/>
          <w:kern w:val="3"/>
        </w:rPr>
        <w:lastRenderedPageBreak/>
        <w:t>O wszczęciu postępowania strony zostały powiadomione zgodnie z wymogami art. 49 i 61 § 4 k.p.a., w związku z art. 74 ust. 3 UUOŚ, obwieszczeniem znak: WOO-I.420.3.2026.PP.3 z dnia 13.04.2026 r. Jednocześnie, tut. organ w dniu 13.04.2026 r. pismem znak: WOO-I.420.3.2026.PP.2 wystąpił do Pełnomocnika Wnioskodawcy o uzupełnienie karty informacyjnej przedsięwzięcia.</w:t>
      </w:r>
    </w:p>
    <w:p w:rsidR="008B5432" w:rsidRPr="008B5432" w:rsidRDefault="008B5432" w:rsidP="00ED4B79">
      <w:pPr>
        <w:spacing w:line="360" w:lineRule="auto"/>
        <w:jc w:val="both"/>
        <w:rPr>
          <w:rFonts w:asciiTheme="minorHAnsi" w:hAnsiTheme="minorHAnsi" w:cstheme="minorHAnsi"/>
          <w:snapToGrid w:val="0"/>
          <w:kern w:val="3"/>
        </w:rPr>
      </w:pPr>
      <w:r w:rsidRPr="008B5432">
        <w:rPr>
          <w:rFonts w:asciiTheme="minorHAnsi" w:hAnsiTheme="minorHAnsi" w:cstheme="minorHAnsi"/>
          <w:kern w:val="3"/>
        </w:rPr>
        <w:t>O powyższym strony zostały zawiadomione obwieszczeniem, które zostało wywieszone na</w:t>
      </w:r>
      <w:r w:rsidR="00ED4B79">
        <w:rPr>
          <w:rFonts w:asciiTheme="minorHAnsi" w:hAnsiTheme="minorHAnsi" w:cstheme="minorHAnsi"/>
          <w:kern w:val="3"/>
        </w:rPr>
        <w:t> </w:t>
      </w:r>
      <w:r w:rsidRPr="008B5432">
        <w:rPr>
          <w:rFonts w:asciiTheme="minorHAnsi" w:hAnsiTheme="minorHAnsi" w:cstheme="minorHAnsi"/>
          <w:kern w:val="3"/>
        </w:rPr>
        <w:t>tablicy ogłoszeń w siedzibie Regionalnej Dyrekcji Ochrony Środowiska w Kielcach oraz zamieszczone w Biuletynie Informacji Publicznej Regionalnej Dyrekcji Ochrony Środowiska w</w:t>
      </w:r>
      <w:r w:rsidR="004A596B">
        <w:rPr>
          <w:rFonts w:asciiTheme="minorHAnsi" w:hAnsiTheme="minorHAnsi" w:cstheme="minorHAnsi"/>
          <w:kern w:val="3"/>
        </w:rPr>
        <w:t> </w:t>
      </w:r>
      <w:bookmarkStart w:id="0" w:name="_GoBack"/>
      <w:bookmarkEnd w:id="0"/>
      <w:r w:rsidRPr="008B5432">
        <w:rPr>
          <w:rFonts w:asciiTheme="minorHAnsi" w:hAnsiTheme="minorHAnsi" w:cstheme="minorHAnsi"/>
          <w:kern w:val="3"/>
        </w:rPr>
        <w:t>Kielcach w terminie od 15.04.2026 r. do 29.04.2026 r. Ponadto, zgodnie z art. 74 ust. 3aa UUOŚ, tut. organ zawiadomił Burmistrza Miasta i Gminy Piekoszów oraz Wójta Gminy Strawczyn o</w:t>
      </w:r>
      <w:r w:rsidR="00ED4B79">
        <w:rPr>
          <w:rFonts w:asciiTheme="minorHAnsi" w:hAnsiTheme="minorHAnsi" w:cstheme="minorHAnsi"/>
          <w:kern w:val="3"/>
        </w:rPr>
        <w:t> </w:t>
      </w:r>
      <w:r w:rsidRPr="008B5432">
        <w:rPr>
          <w:rFonts w:asciiTheme="minorHAnsi" w:hAnsiTheme="minorHAnsi" w:cstheme="minorHAnsi"/>
          <w:kern w:val="3"/>
        </w:rPr>
        <w:t>wszczęciu postępowania zmierzającego do wydania decyzji o środowiskowych uwarunkowaniach oraz o konieczności udostępnienia powiadomienia w Biuletynie Informacji Publicznej lub dokonanie publicznego ogłoszenia w sposób zwyczajowo przyjęty w danej miejscowości.</w:t>
      </w:r>
    </w:p>
    <w:p w:rsidR="008B5432" w:rsidRPr="008B5432" w:rsidRDefault="008B5432" w:rsidP="00ED4B79">
      <w:pPr>
        <w:spacing w:line="360" w:lineRule="auto"/>
        <w:jc w:val="both"/>
        <w:rPr>
          <w:rFonts w:asciiTheme="minorHAnsi" w:hAnsiTheme="minorHAnsi" w:cstheme="minorHAnsi"/>
          <w:snapToGrid w:val="0"/>
          <w:kern w:val="3"/>
        </w:rPr>
      </w:pPr>
      <w:r w:rsidRPr="008B5432">
        <w:rPr>
          <w:rFonts w:asciiTheme="minorHAnsi" w:hAnsiTheme="minorHAnsi" w:cstheme="minorHAnsi"/>
          <w:snapToGrid w:val="0"/>
          <w:kern w:val="3"/>
        </w:rPr>
        <w:t xml:space="preserve">W dniu 07.08.2026 r. przy piśmie znak: FP/3737/2026 z dnia 05.08.2026 r. Pełnomocnik Wnioskodawcy przedłożył stosowne uzupełnienie dokumentacji. </w:t>
      </w:r>
    </w:p>
    <w:p w:rsidR="008B5432" w:rsidRPr="008B5432" w:rsidRDefault="008B5432" w:rsidP="00ED4B79">
      <w:pPr>
        <w:spacing w:line="360" w:lineRule="auto"/>
        <w:jc w:val="both"/>
        <w:rPr>
          <w:rFonts w:asciiTheme="minorHAnsi" w:hAnsiTheme="minorHAnsi" w:cstheme="minorHAnsi"/>
          <w:snapToGrid w:val="0"/>
        </w:rPr>
      </w:pPr>
      <w:r w:rsidRPr="008B5432">
        <w:rPr>
          <w:rFonts w:asciiTheme="minorHAnsi" w:hAnsiTheme="minorHAnsi" w:cstheme="minorHAnsi"/>
          <w:snapToGrid w:val="0"/>
        </w:rPr>
        <w:t xml:space="preserve">W toku postępowania, zgodnie z art. 64 ust. 1 pkt 2 oraz 4 UUOŚ, tut. organ w dniu 20.08.2026 r. wystąpił pismem znak: WOO-I.420.3.2026.PP.11 do Dyrektora Zarządu Zlewni w Kielcach Państwowego Gospodarstwa Wodnego Wody Polskie oraz pismem znak: WOO-I.420.3.2026.PP.12 do Państwowego Powiatowego Inspektora Sanitarnego w Kielcach o opinię, co do potrzeby przeprowadzenia oceny oddziaływania przedsięwzięcia na środowisko. </w:t>
      </w:r>
      <w:r w:rsidRPr="008B5432">
        <w:rPr>
          <w:rFonts w:asciiTheme="minorHAnsi" w:hAnsiTheme="minorHAnsi" w:cstheme="minorHAnsi"/>
        </w:rPr>
        <w:t>Obwieszczenie znak: WOO-I.420.420.3.2026.PP.10 z dnia 20.08.2026 r. zawiadamiające o powyższym zostało</w:t>
      </w:r>
      <w:r w:rsidRPr="008B5432">
        <w:rPr>
          <w:rFonts w:asciiTheme="minorHAnsi" w:eastAsiaTheme="minorHAnsi" w:hAnsiTheme="minorHAnsi" w:cstheme="minorHAnsi"/>
          <w:color w:val="000000"/>
        </w:rPr>
        <w:t xml:space="preserve"> wywieszone na tablicy ogłoszeń w siedzibie Regionalnej Dyrekcji Ochrony Środowiska w Kielcach oraz</w:t>
      </w:r>
      <w:r w:rsidRPr="008B5432">
        <w:rPr>
          <w:rFonts w:asciiTheme="minorHAnsi" w:hAnsiTheme="minorHAnsi" w:cstheme="minorHAnsi"/>
        </w:rPr>
        <w:t xml:space="preserve"> zamieszczone w Biuletynie Informacji Publicznej Regionalnej Dyrekcji Ochrony Środowiska w Kielcach w terminie od 21.08.2026 r. do 04.09.2026 r. Ponadto zgodnie z art. 74 ust. 3aa UUOŚ, tut. organ zawiadomił Burmistrza Miasta i Gminy Piekoszów oraz Wójta Gminy Strawczyn o powyższym oraz o konieczności udostępnienia powiadomienia w Biuletynie Informacji Publicznej lub dokonanie publicznego ogłoszenia w sposób zwyczajowo przyjęty w danej miejscowości.</w:t>
      </w:r>
    </w:p>
    <w:p w:rsidR="008B5432" w:rsidRPr="008B5432" w:rsidRDefault="008B5432" w:rsidP="00ED4B79">
      <w:pPr>
        <w:pStyle w:val="Standard"/>
        <w:tabs>
          <w:tab w:val="left" w:pos="851"/>
        </w:tabs>
        <w:spacing w:line="360" w:lineRule="auto"/>
        <w:jc w:val="both"/>
        <w:rPr>
          <w:rFonts w:asciiTheme="minorHAnsi" w:hAnsiTheme="minorHAnsi" w:cstheme="minorHAnsi"/>
        </w:rPr>
      </w:pPr>
      <w:r w:rsidRPr="008B5432">
        <w:rPr>
          <w:rFonts w:asciiTheme="minorHAnsi" w:hAnsiTheme="minorHAnsi" w:cstheme="minorHAnsi"/>
        </w:rPr>
        <w:t xml:space="preserve">W dniu 01.09.2026 r. do tut. organu wpłynęło pismo Państwowego Powiatowego Inspektora Sanitarnego w Kielcach znak: NZ.9022.4.98.2026 z dnia 31.08.2026 r. z prośbą o uzupełnienie dokumentacji o informacje dotyczące etapu postępowania zgodnie art. 72 ust. 1 UUOŚ, a także </w:t>
      </w:r>
      <w:r w:rsidRPr="008B5432">
        <w:rPr>
          <w:rFonts w:asciiTheme="minorHAnsi" w:hAnsiTheme="minorHAnsi" w:cstheme="minorHAnsi"/>
        </w:rPr>
        <w:lastRenderedPageBreak/>
        <w:t>informacje w zakresie miejscowego planu zagospodarowania przestrzennego, w tym informacje dotyczące jego zgodności z planowanym przedsięwzięciem. W odpowiedzi na</w:t>
      </w:r>
      <w:r w:rsidR="00ED4B79">
        <w:rPr>
          <w:rFonts w:asciiTheme="minorHAnsi" w:hAnsiTheme="minorHAnsi" w:cstheme="minorHAnsi"/>
        </w:rPr>
        <w:t> </w:t>
      </w:r>
      <w:r w:rsidRPr="008B5432">
        <w:rPr>
          <w:rFonts w:asciiTheme="minorHAnsi" w:hAnsiTheme="minorHAnsi" w:cstheme="minorHAnsi"/>
        </w:rPr>
        <w:t>powyższe, tut. organ pismem znak: WOO-I.420.3.2026.PP.15 z dnia 03.09.2026 r przedłożył do Państwowego Powiatowego Inspektora Sanitarnego w Kielcach stosowne wyjaśnienia.</w:t>
      </w:r>
    </w:p>
    <w:p w:rsidR="008B5432" w:rsidRPr="008B5432" w:rsidRDefault="008B5432" w:rsidP="00ED4B79">
      <w:pPr>
        <w:pStyle w:val="Standard"/>
        <w:tabs>
          <w:tab w:val="left" w:pos="851"/>
        </w:tabs>
        <w:spacing w:line="360" w:lineRule="auto"/>
        <w:jc w:val="both"/>
        <w:rPr>
          <w:rFonts w:asciiTheme="minorHAnsi" w:hAnsiTheme="minorHAnsi" w:cstheme="minorHAnsi"/>
        </w:rPr>
      </w:pPr>
      <w:r w:rsidRPr="008B5432">
        <w:rPr>
          <w:rFonts w:asciiTheme="minorHAnsi" w:hAnsiTheme="minorHAnsi" w:cstheme="minorHAnsi"/>
        </w:rPr>
        <w:t>Dyrektor Zarządu Zlewni w Kielcach Państwowego Gospodarstwa Wodnego Wody Polskie pismem znak: KI.ZZŚ.4130.11.123.2026.ITW z dnia 07.09.2026 r. wyraził opinię, że planowane przedsięwzięcie nie wymaga przeprowadzenia oceny oddziaływania na środowisko oraz wskazał na konieczność uwzględnienia warunków w decyzji o środowiskowych uwarunkowaniach.</w:t>
      </w:r>
    </w:p>
    <w:p w:rsidR="008B5432" w:rsidRPr="008B5432" w:rsidRDefault="008B5432" w:rsidP="00ED4B79">
      <w:pPr>
        <w:pStyle w:val="Standard"/>
        <w:tabs>
          <w:tab w:val="left" w:pos="851"/>
        </w:tabs>
        <w:spacing w:line="360" w:lineRule="auto"/>
        <w:jc w:val="both"/>
        <w:rPr>
          <w:rFonts w:asciiTheme="minorHAnsi" w:hAnsiTheme="minorHAnsi" w:cstheme="minorHAnsi"/>
        </w:rPr>
      </w:pPr>
      <w:r w:rsidRPr="008B5432">
        <w:rPr>
          <w:rFonts w:asciiTheme="minorHAnsi" w:hAnsiTheme="minorHAnsi" w:cstheme="minorHAnsi"/>
        </w:rPr>
        <w:t>Państwowy Powiatowy Inspektor Sanitarny w Kielcach pismem znak: NZ.9022.4.98.2026 z dnia 09.09.2026 r. (data wpływu 15.09.2026 r.) wyraził opinię, że nie uznaje potrzeby przeprowadzenia oceny oddziaływania na środowisko przedsięwzięcia.</w:t>
      </w:r>
    </w:p>
    <w:p w:rsidR="008B5432" w:rsidRPr="008B5432" w:rsidRDefault="008B5432" w:rsidP="00ED4B79">
      <w:pPr>
        <w:spacing w:line="360" w:lineRule="auto"/>
        <w:jc w:val="both"/>
        <w:rPr>
          <w:rFonts w:asciiTheme="minorHAnsi" w:hAnsiTheme="minorHAnsi" w:cstheme="minorHAnsi"/>
          <w:snapToGrid w:val="0"/>
        </w:rPr>
      </w:pPr>
      <w:r w:rsidRPr="008B5432">
        <w:rPr>
          <w:rFonts w:asciiTheme="minorHAnsi" w:eastAsiaTheme="minorHAnsi" w:hAnsiTheme="minorHAnsi" w:cstheme="minorHAnsi"/>
          <w:color w:val="000000"/>
        </w:rPr>
        <w:t xml:space="preserve">Stosownie do art. 10 § 1 k.p.a., przed wydaniem decyzji o środowiskowych uwarunkowaniach strony postępowania zawiadomiono obwieszczeniem o zebraniu dowodów oraz możliwości zapoznania się z materiałami i dowodami w przedmiotowej sprawie, jak również możliwości wniesienia uwag i wniosków w terminie 7 dni od dnia doręczenia zawiadomienia. Obwieszczenie znak: WOO-I.420.3.2026.PP.16 z dnia 21.09.2026 r. informujące o powyższym, zostało </w:t>
      </w:r>
      <w:bookmarkStart w:id="1" w:name="_Hlk178079999"/>
      <w:r w:rsidRPr="008B5432">
        <w:rPr>
          <w:rFonts w:asciiTheme="minorHAnsi" w:eastAsiaTheme="minorHAnsi" w:hAnsiTheme="minorHAnsi" w:cstheme="minorHAnsi"/>
          <w:color w:val="000000"/>
        </w:rPr>
        <w:t>wywieszone na tablicy ogłoszeń w siedzibie Regionalnej Dyrekcji Ochrony Środowiska w Kielcach oraz</w:t>
      </w:r>
      <w:bookmarkEnd w:id="1"/>
      <w:r w:rsidRPr="008B5432">
        <w:rPr>
          <w:rFonts w:asciiTheme="minorHAnsi" w:eastAsiaTheme="minorHAnsi" w:hAnsiTheme="minorHAnsi" w:cstheme="minorHAnsi"/>
          <w:color w:val="000000"/>
        </w:rPr>
        <w:t xml:space="preserve"> zamieszczone w Biuletynie Informacji Publicznej Regionalnej Dyrekcji Ochrony Środowiska w Kielcach w terminie od 22.09.2026 r. do 06.10.2026 r. Ponadto tut. organ zawiadomił o powyższym Burmistrza Miasta i Gminy Piekoszów oraz Wójta Gminy Strawczyn oraz o konieczności udostępnienia powiadomienia w Biuletynie Informacji Publicznej lub dokonanie publicznego ogłoszenia w sposób zwyczajowo przyjęty w danej miejscowości. </w:t>
      </w:r>
    </w:p>
    <w:p w:rsidR="008B5432" w:rsidRPr="008B5432" w:rsidRDefault="008B5432" w:rsidP="00ED4B79">
      <w:pPr>
        <w:spacing w:line="360" w:lineRule="auto"/>
        <w:jc w:val="both"/>
        <w:rPr>
          <w:rFonts w:asciiTheme="minorHAnsi" w:eastAsiaTheme="minorHAnsi" w:hAnsiTheme="minorHAnsi" w:cstheme="minorHAnsi"/>
          <w:color w:val="000000"/>
        </w:rPr>
      </w:pPr>
      <w:r w:rsidRPr="008B5432">
        <w:rPr>
          <w:rFonts w:asciiTheme="minorHAnsi" w:eastAsiaTheme="minorHAnsi" w:hAnsiTheme="minorHAnsi" w:cstheme="minorHAnsi"/>
          <w:color w:val="000000"/>
        </w:rPr>
        <w:t>W trakcie prowadzonego postępowania nie wniesiono uwag lub żądań w</w:t>
      </w:r>
      <w:r w:rsidR="00ED4B79">
        <w:rPr>
          <w:rFonts w:asciiTheme="minorHAnsi" w:eastAsiaTheme="minorHAnsi" w:hAnsiTheme="minorHAnsi" w:cstheme="minorHAnsi"/>
          <w:color w:val="000000"/>
        </w:rPr>
        <w:t> </w:t>
      </w:r>
      <w:r w:rsidRPr="008B5432">
        <w:rPr>
          <w:rFonts w:asciiTheme="minorHAnsi" w:eastAsiaTheme="minorHAnsi" w:hAnsiTheme="minorHAnsi" w:cstheme="minorHAnsi"/>
          <w:color w:val="000000"/>
        </w:rPr>
        <w:t xml:space="preserve">przedmiotowej sprawie. </w:t>
      </w:r>
    </w:p>
    <w:p w:rsidR="008B5432" w:rsidRPr="008B5432" w:rsidRDefault="008B5432" w:rsidP="00ED4B79">
      <w:pPr>
        <w:spacing w:line="360" w:lineRule="auto"/>
        <w:jc w:val="both"/>
        <w:rPr>
          <w:rFonts w:asciiTheme="minorHAnsi" w:eastAsiaTheme="minorHAnsi" w:hAnsiTheme="minorHAnsi" w:cstheme="minorHAnsi"/>
          <w:color w:val="000000"/>
        </w:rPr>
      </w:pPr>
      <w:r w:rsidRPr="008B5432">
        <w:rPr>
          <w:rFonts w:asciiTheme="minorHAnsi" w:eastAsiaTheme="minorHAnsi" w:hAnsiTheme="minorHAnsi" w:cstheme="minorHAnsi"/>
          <w:color w:val="000000"/>
        </w:rPr>
        <w:t>Informacje zawarte w karcie informacyjnej przedsięwzięcia pozwalają na stwierdzenie, że planowane zamierzenie zarówno na etapie realizacji jak i eksploatacji nie powinno w sposób znaczący negatywnie oddziaływać na środowisko.</w:t>
      </w:r>
    </w:p>
    <w:p w:rsidR="008B5432" w:rsidRPr="008B5432" w:rsidRDefault="008B5432" w:rsidP="00ED4B79">
      <w:pPr>
        <w:pStyle w:val="Default"/>
        <w:spacing w:line="360" w:lineRule="auto"/>
        <w:jc w:val="both"/>
        <w:rPr>
          <w:rFonts w:asciiTheme="minorHAnsi" w:hAnsiTheme="minorHAnsi" w:cstheme="minorHAnsi"/>
        </w:rPr>
      </w:pPr>
      <w:r w:rsidRPr="008B5432">
        <w:rPr>
          <w:rFonts w:asciiTheme="minorHAnsi" w:hAnsiTheme="minorHAnsi" w:cstheme="minorHAnsi"/>
        </w:rPr>
        <w:t xml:space="preserve">Planowane przedsięwzięcie polegać będzie na rozbudowie istniejącej stacji elektroenergetycznej 400/220 </w:t>
      </w:r>
      <w:proofErr w:type="spellStart"/>
      <w:r w:rsidRPr="008B5432">
        <w:rPr>
          <w:rFonts w:asciiTheme="minorHAnsi" w:hAnsiTheme="minorHAnsi" w:cstheme="minorHAnsi"/>
        </w:rPr>
        <w:t>kV</w:t>
      </w:r>
      <w:proofErr w:type="spellEnd"/>
      <w:r w:rsidRPr="008B5432">
        <w:rPr>
          <w:rFonts w:asciiTheme="minorHAnsi" w:hAnsiTheme="minorHAnsi" w:cstheme="minorHAnsi"/>
        </w:rPr>
        <w:t xml:space="preserve"> SE Kielce, w ramach której przewidziano rozbudowę rozdzielni 220 </w:t>
      </w:r>
      <w:proofErr w:type="spellStart"/>
      <w:r w:rsidRPr="008B5432">
        <w:rPr>
          <w:rFonts w:asciiTheme="minorHAnsi" w:hAnsiTheme="minorHAnsi" w:cstheme="minorHAnsi"/>
        </w:rPr>
        <w:t>kV</w:t>
      </w:r>
      <w:proofErr w:type="spellEnd"/>
      <w:r w:rsidRPr="008B5432">
        <w:rPr>
          <w:rFonts w:asciiTheme="minorHAnsi" w:hAnsiTheme="minorHAnsi" w:cstheme="minorHAnsi"/>
        </w:rPr>
        <w:t xml:space="preserve"> o pole liniowe nr 8 wraz z budową mostu szynowego 220 </w:t>
      </w:r>
      <w:proofErr w:type="spellStart"/>
      <w:r w:rsidRPr="008B5432">
        <w:rPr>
          <w:rFonts w:asciiTheme="minorHAnsi" w:hAnsiTheme="minorHAnsi" w:cstheme="minorHAnsi"/>
        </w:rPr>
        <w:t>kV</w:t>
      </w:r>
      <w:proofErr w:type="spellEnd"/>
      <w:r w:rsidRPr="008B5432">
        <w:rPr>
          <w:rFonts w:asciiTheme="minorHAnsi" w:hAnsiTheme="minorHAnsi" w:cstheme="minorHAnsi"/>
        </w:rPr>
        <w:t xml:space="preserve"> w postaci odcinka napowietrznej jednotorowej linii elektroenergetycznej o napięciu znamionowym 220 </w:t>
      </w:r>
      <w:proofErr w:type="spellStart"/>
      <w:r w:rsidRPr="008B5432">
        <w:rPr>
          <w:rFonts w:asciiTheme="minorHAnsi" w:hAnsiTheme="minorHAnsi" w:cstheme="minorHAnsi"/>
        </w:rPr>
        <w:lastRenderedPageBreak/>
        <w:t>kV</w:t>
      </w:r>
      <w:proofErr w:type="spellEnd"/>
      <w:r w:rsidRPr="008B5432">
        <w:rPr>
          <w:rFonts w:asciiTheme="minorHAnsi" w:hAnsiTheme="minorHAnsi" w:cstheme="minorHAnsi"/>
        </w:rPr>
        <w:t xml:space="preserve"> i długości ok. 200 m, w celu przyłączenia podmiotów do przesyłowej sieci elektroenergetycznej. Inwestycja będzie realizowana na działkach o nr ewid. 3/6, 3/4, 4/2, 2/2 obręb Micigózd, gmina Piekoszów oraz na działkach o nr ewid. 892/11, 892/11, obręb Promnik, gmina Strawczyn.</w:t>
      </w:r>
    </w:p>
    <w:p w:rsidR="008B5432" w:rsidRPr="008B5432" w:rsidRDefault="008B5432" w:rsidP="00ED4B79">
      <w:pPr>
        <w:tabs>
          <w:tab w:val="left" w:pos="0"/>
        </w:tabs>
        <w:spacing w:line="360" w:lineRule="auto"/>
        <w:jc w:val="both"/>
        <w:rPr>
          <w:rFonts w:asciiTheme="minorHAnsi" w:hAnsiTheme="minorHAnsi" w:cstheme="minorHAnsi"/>
        </w:rPr>
      </w:pPr>
      <w:r w:rsidRPr="008B5432">
        <w:rPr>
          <w:rFonts w:asciiTheme="minorHAnsi" w:hAnsiTheme="minorHAnsi" w:cstheme="minorHAnsi"/>
        </w:rPr>
        <w:t>Planowane zamierzenie zlokalizowane będzie częściowo (północna część terenu realizacji przedsięwzięcia) na terenie objętym ustaleniami miejscowego planu zagospodarowania przestrzennego, przyjętego Uchwałą Nr XXXII/243/09 Rady Gminy w Strawczynie z dnia 27</w:t>
      </w:r>
      <w:r w:rsidR="00ED4B79">
        <w:rPr>
          <w:rFonts w:asciiTheme="minorHAnsi" w:hAnsiTheme="minorHAnsi" w:cstheme="minorHAnsi"/>
        </w:rPr>
        <w:t> </w:t>
      </w:r>
      <w:r w:rsidRPr="008B5432">
        <w:rPr>
          <w:rFonts w:asciiTheme="minorHAnsi" w:hAnsiTheme="minorHAnsi" w:cstheme="minorHAnsi"/>
        </w:rPr>
        <w:t xml:space="preserve">listopada 2009 r. w sprawie zmiany miejscowego planu zagospodarowania przestrzennego sołectwa Promnik na obszarze gminy Strawczyn (Dz. U. Woj. Święt. z 2010 r. Nr 28, poz. 215). Zgodnie z ww. uchwałą, teren realizacji przedsięwzięcia położony jest w granicach obszaru oznaczonego jako </w:t>
      </w:r>
      <w:proofErr w:type="spellStart"/>
      <w:r w:rsidRPr="008B5432">
        <w:rPr>
          <w:rFonts w:asciiTheme="minorHAnsi" w:hAnsiTheme="minorHAnsi" w:cstheme="minorHAnsi"/>
        </w:rPr>
        <w:t>Zlz</w:t>
      </w:r>
      <w:proofErr w:type="spellEnd"/>
      <w:r w:rsidRPr="008B5432">
        <w:rPr>
          <w:rFonts w:asciiTheme="minorHAnsi" w:hAnsiTheme="minorHAnsi" w:cstheme="minorHAnsi"/>
        </w:rPr>
        <w:t xml:space="preserve"> tj. tereny zalesień oraz w granicach strefy technicznej istniejących i</w:t>
      </w:r>
      <w:r w:rsidR="00ED4B79">
        <w:rPr>
          <w:rFonts w:asciiTheme="minorHAnsi" w:hAnsiTheme="minorHAnsi" w:cstheme="minorHAnsi"/>
        </w:rPr>
        <w:t> </w:t>
      </w:r>
      <w:r w:rsidRPr="008B5432">
        <w:rPr>
          <w:rFonts w:asciiTheme="minorHAnsi" w:hAnsiTheme="minorHAnsi" w:cstheme="minorHAnsi"/>
        </w:rPr>
        <w:t>projektowanych linii energetycznych. Zgodnie z art. 59a ust. 4 pkt 10 UUOŚ, w przypadku decyzji o środowiskowych uwarunkowaniach wydawanej dla strategicznej inwestycji w zakresie sieci przesyłowej oraz inwestycji towarzyszącej realizowanych na podstawie ustawy o przygotowaniu i realizacji strategicznych inwestycji w zakresie sieci przesyłowych, nie stosuje się przepisów dotyczących analizy zgodności lokalizacji przedsięwzięcia z ustaleniami miejscowego planu zagospodarowania przestrzennego.</w:t>
      </w:r>
    </w:p>
    <w:p w:rsidR="008B5432" w:rsidRPr="008B5432" w:rsidRDefault="008B5432" w:rsidP="00ED4B79">
      <w:pPr>
        <w:pStyle w:val="Default"/>
        <w:spacing w:line="360" w:lineRule="auto"/>
        <w:jc w:val="both"/>
        <w:rPr>
          <w:rFonts w:asciiTheme="minorHAnsi" w:hAnsiTheme="minorHAnsi" w:cstheme="minorHAnsi"/>
          <w:color w:val="auto"/>
        </w:rPr>
      </w:pPr>
      <w:r w:rsidRPr="008B5432">
        <w:rPr>
          <w:rFonts w:asciiTheme="minorHAnsi" w:hAnsiTheme="minorHAnsi" w:cstheme="minorHAnsi"/>
        </w:rPr>
        <w:t>Planowany most szynowy składać się będzie ze słupa krańcowego usytuowanego w pobliżu bramki stacyjnej oraz 3 słupów napowietrzno-kablowych połączonych wspólnymi przewodami fazowymi i odgromowymi. Na słupach mostu szynowego zamontowane zostaną łańcuchy izolatorowe, stosowany osprzęt liniowy oraz aparatura elektroenergetyczna umożliwiająca przyłączenie linii kablowych. Szerokość pasa technologicznego mostu szynowego wynosić będzie 50 m (po 25 m od osi linii</w:t>
      </w:r>
      <w:r w:rsidRPr="008B5432">
        <w:rPr>
          <w:rFonts w:asciiTheme="minorHAnsi" w:hAnsiTheme="minorHAnsi" w:cstheme="minorHAnsi"/>
          <w:color w:val="auto"/>
        </w:rPr>
        <w:t>). Połączenia z podmiotami wytwórczymi będą wykonane za</w:t>
      </w:r>
      <w:r w:rsidR="00ED4B79">
        <w:rPr>
          <w:rFonts w:asciiTheme="minorHAnsi" w:hAnsiTheme="minorHAnsi" w:cstheme="minorHAnsi"/>
          <w:color w:val="auto"/>
        </w:rPr>
        <w:t> </w:t>
      </w:r>
      <w:r w:rsidRPr="008B5432">
        <w:rPr>
          <w:rFonts w:asciiTheme="minorHAnsi" w:hAnsiTheme="minorHAnsi" w:cstheme="minorHAnsi"/>
          <w:color w:val="auto"/>
        </w:rPr>
        <w:t xml:space="preserve">pomocą linii kablowych – przyłączenie podmiotów </w:t>
      </w:r>
      <w:r w:rsidRPr="008B5432">
        <w:rPr>
          <w:rFonts w:asciiTheme="minorHAnsi" w:hAnsiTheme="minorHAnsi" w:cstheme="minorHAnsi"/>
        </w:rPr>
        <w:t>zewnętrznych odbywać się będzie według odrębnych procedur. D</w:t>
      </w:r>
      <w:r w:rsidRPr="008B5432">
        <w:rPr>
          <w:rFonts w:asciiTheme="minorHAnsi" w:hAnsiTheme="minorHAnsi" w:cstheme="minorHAnsi"/>
          <w:color w:val="auto"/>
        </w:rPr>
        <w:t xml:space="preserve">o jednego mostu szynowego możliwe będzie przyłączenie maksymalnie 6 podmiotów za pomocą linii kablowych 220 </w:t>
      </w:r>
      <w:proofErr w:type="spellStart"/>
      <w:r w:rsidRPr="008B5432">
        <w:rPr>
          <w:rFonts w:asciiTheme="minorHAnsi" w:hAnsiTheme="minorHAnsi" w:cstheme="minorHAnsi"/>
          <w:color w:val="auto"/>
        </w:rPr>
        <w:t>kV</w:t>
      </w:r>
      <w:proofErr w:type="spellEnd"/>
      <w:r w:rsidRPr="008B5432">
        <w:rPr>
          <w:rFonts w:asciiTheme="minorHAnsi" w:hAnsiTheme="minorHAnsi" w:cstheme="minorHAnsi"/>
          <w:color w:val="auto"/>
        </w:rPr>
        <w:t xml:space="preserve"> (po 2 linie kablowe na jeden słup napowietrzno-kablowy).</w:t>
      </w:r>
    </w:p>
    <w:p w:rsidR="008B5432" w:rsidRPr="008B5432" w:rsidRDefault="008B5432" w:rsidP="00ED4B79">
      <w:pPr>
        <w:tabs>
          <w:tab w:val="left" w:pos="0"/>
        </w:tabs>
        <w:spacing w:line="360" w:lineRule="auto"/>
        <w:jc w:val="both"/>
        <w:rPr>
          <w:rFonts w:asciiTheme="minorHAnsi" w:hAnsiTheme="minorHAnsi" w:cstheme="minorHAnsi"/>
        </w:rPr>
      </w:pPr>
      <w:r w:rsidRPr="008B5432">
        <w:rPr>
          <w:rFonts w:asciiTheme="minorHAnsi" w:hAnsiTheme="minorHAnsi" w:cstheme="minorHAnsi"/>
        </w:rPr>
        <w:t xml:space="preserve">W bezpośrednim sąsiedztwie terenu realizacji mostu szynowego w kierunku południowo-zachodnim zlokalizowana jest stacja elektroenergetyczna 400/220 </w:t>
      </w:r>
      <w:proofErr w:type="spellStart"/>
      <w:r w:rsidRPr="008B5432">
        <w:rPr>
          <w:rFonts w:asciiTheme="minorHAnsi" w:hAnsiTheme="minorHAnsi" w:cstheme="minorHAnsi"/>
        </w:rPr>
        <w:t>kV</w:t>
      </w:r>
      <w:proofErr w:type="spellEnd"/>
      <w:r w:rsidRPr="008B5432">
        <w:rPr>
          <w:rFonts w:asciiTheme="minorHAnsi" w:hAnsiTheme="minorHAnsi" w:cstheme="minorHAnsi"/>
        </w:rPr>
        <w:t xml:space="preserve"> Kielce – w związku z</w:t>
      </w:r>
      <w:r w:rsidR="00ED4B79">
        <w:rPr>
          <w:rFonts w:asciiTheme="minorHAnsi" w:hAnsiTheme="minorHAnsi" w:cstheme="minorHAnsi"/>
        </w:rPr>
        <w:t> </w:t>
      </w:r>
      <w:r w:rsidRPr="008B5432">
        <w:rPr>
          <w:rFonts w:asciiTheme="minorHAnsi" w:hAnsiTheme="minorHAnsi" w:cstheme="minorHAnsi"/>
        </w:rPr>
        <w:t>realizacją mostu szynowego przewiduje się także rozbudowę tej stacji o pole liniowe nr 8.</w:t>
      </w:r>
    </w:p>
    <w:p w:rsidR="008B5432" w:rsidRPr="008B5432" w:rsidRDefault="008B5432" w:rsidP="008B5432">
      <w:pPr>
        <w:tabs>
          <w:tab w:val="left" w:pos="0"/>
        </w:tabs>
        <w:spacing w:line="360" w:lineRule="auto"/>
        <w:jc w:val="both"/>
        <w:rPr>
          <w:rFonts w:asciiTheme="minorHAnsi" w:hAnsiTheme="minorHAnsi" w:cstheme="minorHAnsi"/>
        </w:rPr>
      </w:pPr>
    </w:p>
    <w:p w:rsidR="008B5432" w:rsidRPr="008B5432" w:rsidRDefault="008B5432" w:rsidP="00ED4B79">
      <w:pPr>
        <w:tabs>
          <w:tab w:val="left" w:pos="0"/>
        </w:tabs>
        <w:spacing w:line="360" w:lineRule="auto"/>
        <w:jc w:val="both"/>
        <w:rPr>
          <w:rFonts w:asciiTheme="minorHAnsi" w:hAnsiTheme="minorHAnsi" w:cstheme="minorHAnsi"/>
        </w:rPr>
      </w:pPr>
      <w:r w:rsidRPr="008B5432">
        <w:rPr>
          <w:rFonts w:asciiTheme="minorHAnsi" w:hAnsiTheme="minorHAnsi" w:cstheme="minorHAnsi"/>
        </w:rPr>
        <w:lastRenderedPageBreak/>
        <w:t>W kierunku wschodnim od planowanego mostu szynowego występują głównie tereny leśne, natomiast w kierunku zachodnim i północno-zachodnim nieużytki, tereny częściowo zalesione i zakrzewione. Najbliższa zabudowa zlokalizowana jest w odległości ok. 250 m w kierunku północno-zachodnim od osi planowanej linii elektroenergetycznej (działka o nr ewid. 760/2 obręb Promnik, gm. Strawczyn). Dojazd do terenu realizacji przedsięwzięcia będzie realizowany z drogi gminnej (działka o nr ewid. 63/1 obręb Micigózd, gmina Piekoszów) za</w:t>
      </w:r>
      <w:r w:rsidR="00ED4B79">
        <w:rPr>
          <w:rFonts w:asciiTheme="minorHAnsi" w:hAnsiTheme="minorHAnsi" w:cstheme="minorHAnsi"/>
        </w:rPr>
        <w:t> </w:t>
      </w:r>
      <w:r w:rsidRPr="008B5432">
        <w:rPr>
          <w:rFonts w:asciiTheme="minorHAnsi" w:hAnsiTheme="minorHAnsi" w:cstheme="minorHAnsi"/>
        </w:rPr>
        <w:t>pośrednictwem istniejącego zjazdu i drogi wewnętrznej oraz dalej – wzdłuż ogrodzenia SE</w:t>
      </w:r>
      <w:r w:rsidR="00ED4B79">
        <w:rPr>
          <w:rFonts w:asciiTheme="minorHAnsi" w:hAnsiTheme="minorHAnsi" w:cstheme="minorHAnsi"/>
        </w:rPr>
        <w:t> </w:t>
      </w:r>
      <w:r w:rsidRPr="008B5432">
        <w:rPr>
          <w:rFonts w:asciiTheme="minorHAnsi" w:hAnsiTheme="minorHAnsi" w:cstheme="minorHAnsi"/>
        </w:rPr>
        <w:t>Kielce, a także wzdłuż osi mostu szynowego. Zgodnie z KIP, w celu umożliwienia przejazdu, na czas realizacji inwestycji dopuszcza się ułożenie płyt drogowych drewnianych lub betonowych.</w:t>
      </w:r>
    </w:p>
    <w:p w:rsidR="008B5432" w:rsidRPr="008B5432" w:rsidRDefault="008B5432" w:rsidP="00ED4B79">
      <w:pPr>
        <w:tabs>
          <w:tab w:val="left" w:pos="0"/>
        </w:tabs>
        <w:spacing w:line="360" w:lineRule="auto"/>
        <w:jc w:val="both"/>
        <w:rPr>
          <w:rFonts w:asciiTheme="minorHAnsi" w:hAnsiTheme="minorHAnsi" w:cstheme="minorHAnsi"/>
        </w:rPr>
      </w:pPr>
      <w:r w:rsidRPr="008B5432">
        <w:rPr>
          <w:rFonts w:asciiTheme="minorHAnsi" w:hAnsiTheme="minorHAnsi" w:cstheme="minorHAnsi"/>
        </w:rPr>
        <w:t>Zgodnie z mapą ewidencji gruntów i budynków, działki objęte zamierzeniem stanowią grunty orne (RV), lasy (</w:t>
      </w:r>
      <w:proofErr w:type="spellStart"/>
      <w:r w:rsidRPr="008B5432">
        <w:rPr>
          <w:rFonts w:asciiTheme="minorHAnsi" w:hAnsiTheme="minorHAnsi" w:cstheme="minorHAnsi"/>
        </w:rPr>
        <w:t>LsV</w:t>
      </w:r>
      <w:proofErr w:type="spellEnd"/>
      <w:r w:rsidRPr="008B5432">
        <w:rPr>
          <w:rFonts w:asciiTheme="minorHAnsi" w:hAnsiTheme="minorHAnsi" w:cstheme="minorHAnsi"/>
        </w:rPr>
        <w:t>), grunty zadrzewione i zakrzewione na użytkach rolnych (</w:t>
      </w:r>
      <w:proofErr w:type="spellStart"/>
      <w:r w:rsidRPr="008B5432">
        <w:rPr>
          <w:rFonts w:asciiTheme="minorHAnsi" w:hAnsiTheme="minorHAnsi" w:cstheme="minorHAnsi"/>
        </w:rPr>
        <w:t>Lzr</w:t>
      </w:r>
      <w:proofErr w:type="spellEnd"/>
      <w:r w:rsidRPr="008B5432">
        <w:rPr>
          <w:rFonts w:asciiTheme="minorHAnsi" w:hAnsiTheme="minorHAnsi" w:cstheme="minorHAnsi"/>
        </w:rPr>
        <w:t xml:space="preserve">-ŁV, </w:t>
      </w:r>
      <w:proofErr w:type="spellStart"/>
      <w:r w:rsidRPr="008B5432">
        <w:rPr>
          <w:rFonts w:asciiTheme="minorHAnsi" w:hAnsiTheme="minorHAnsi" w:cstheme="minorHAnsi"/>
        </w:rPr>
        <w:t>Lzr-PsVI</w:t>
      </w:r>
      <w:proofErr w:type="spellEnd"/>
      <w:r w:rsidRPr="008B5432">
        <w:rPr>
          <w:rFonts w:asciiTheme="minorHAnsi" w:hAnsiTheme="minorHAnsi" w:cstheme="minorHAnsi"/>
        </w:rPr>
        <w:t>), łąki trwałe (ŁV, ŁVI), pastwiska trwałe (</w:t>
      </w:r>
      <w:proofErr w:type="spellStart"/>
      <w:r w:rsidRPr="008B5432">
        <w:rPr>
          <w:rFonts w:asciiTheme="minorHAnsi" w:hAnsiTheme="minorHAnsi" w:cstheme="minorHAnsi"/>
        </w:rPr>
        <w:t>PsVI</w:t>
      </w:r>
      <w:proofErr w:type="spellEnd"/>
      <w:r w:rsidRPr="008B5432">
        <w:rPr>
          <w:rFonts w:asciiTheme="minorHAnsi" w:hAnsiTheme="minorHAnsi" w:cstheme="minorHAnsi"/>
        </w:rPr>
        <w:t>) oraz tereny przemysłowe (Ba). Powierzchnia, na</w:t>
      </w:r>
      <w:r w:rsidR="00ED4B79">
        <w:rPr>
          <w:rFonts w:asciiTheme="minorHAnsi" w:hAnsiTheme="minorHAnsi" w:cstheme="minorHAnsi"/>
        </w:rPr>
        <w:t> </w:t>
      </w:r>
      <w:r w:rsidRPr="008B5432">
        <w:rPr>
          <w:rFonts w:asciiTheme="minorHAnsi" w:hAnsiTheme="minorHAnsi" w:cstheme="minorHAnsi"/>
        </w:rPr>
        <w:t>której realizowane będzie przedsięwzięcie wyniesie ok. 4,04 ha.</w:t>
      </w:r>
    </w:p>
    <w:p w:rsidR="008B5432" w:rsidRPr="008B5432" w:rsidRDefault="008B5432" w:rsidP="00ED4B79">
      <w:pPr>
        <w:tabs>
          <w:tab w:val="left" w:pos="0"/>
        </w:tabs>
        <w:spacing w:line="360" w:lineRule="auto"/>
        <w:jc w:val="both"/>
        <w:rPr>
          <w:rFonts w:asciiTheme="minorHAnsi" w:hAnsiTheme="minorHAnsi" w:cstheme="minorHAnsi"/>
        </w:rPr>
      </w:pPr>
      <w:r w:rsidRPr="008B5432">
        <w:rPr>
          <w:rFonts w:asciiTheme="minorHAnsi" w:hAnsiTheme="minorHAnsi" w:cstheme="minorHAnsi"/>
        </w:rPr>
        <w:t>Przed rozpoczęciem prac budowlanych teren objęty robotami ziemnymi zostanie pozbawiony roślinności, a w przypadku występowania instalacji podziemnych znajdujących się na obszarze robót zostaną one przebudowane lub – jeśli nie kolidują z fundamentem, ale znajdują się w</w:t>
      </w:r>
      <w:r w:rsidR="00ED4B79">
        <w:rPr>
          <w:rFonts w:asciiTheme="minorHAnsi" w:hAnsiTheme="minorHAnsi" w:cstheme="minorHAnsi"/>
        </w:rPr>
        <w:t> </w:t>
      </w:r>
      <w:r w:rsidRPr="008B5432">
        <w:rPr>
          <w:rFonts w:asciiTheme="minorHAnsi" w:hAnsiTheme="minorHAnsi" w:cstheme="minorHAnsi"/>
        </w:rPr>
        <w:t>sąsiedztwie – zostaną odpowiednio oznaczone i zabezpieczone przed uszkodzeniem. Z</w:t>
      </w:r>
      <w:r w:rsidR="00ED4B79">
        <w:rPr>
          <w:rFonts w:asciiTheme="minorHAnsi" w:hAnsiTheme="minorHAnsi" w:cstheme="minorHAnsi"/>
        </w:rPr>
        <w:t> </w:t>
      </w:r>
      <w:r w:rsidRPr="008B5432">
        <w:rPr>
          <w:rFonts w:asciiTheme="minorHAnsi" w:hAnsiTheme="minorHAnsi" w:cstheme="minorHAnsi"/>
        </w:rPr>
        <w:t>uwagi na możliwość występowania na terenie stacji elektroenergetycznej sieci drenarskiej w</w:t>
      </w:r>
      <w:r w:rsidR="00ED4B79">
        <w:rPr>
          <w:rFonts w:asciiTheme="minorHAnsi" w:hAnsiTheme="minorHAnsi" w:cstheme="minorHAnsi"/>
        </w:rPr>
        <w:t> </w:t>
      </w:r>
      <w:r w:rsidRPr="008B5432">
        <w:rPr>
          <w:rFonts w:asciiTheme="minorHAnsi" w:hAnsiTheme="minorHAnsi" w:cstheme="minorHAnsi"/>
        </w:rPr>
        <w:t xml:space="preserve">miejscu prowadzonych prac ziemnych zostanie ona zabezpieczona – w przypadku stwierdzenia bezpośredniej kolizji zostanie ona przełożona w taki sposób, aby zapewnić jej ciągłość. Prace te prowadzone będą po uzgodnieniu z zarządcą kolidującej instalacji i w razie takiej konieczności pod jego bezpośrednim nadzorem. Na terenie budowy mostu szynowego nie występuje sieć drenarska. </w:t>
      </w:r>
    </w:p>
    <w:p w:rsidR="008B5432" w:rsidRPr="008B5432" w:rsidRDefault="008B5432" w:rsidP="00ED4B79">
      <w:pPr>
        <w:tabs>
          <w:tab w:val="left" w:pos="0"/>
        </w:tabs>
        <w:spacing w:line="360" w:lineRule="auto"/>
        <w:jc w:val="both"/>
        <w:rPr>
          <w:rFonts w:asciiTheme="minorHAnsi" w:hAnsiTheme="minorHAnsi" w:cstheme="minorHAnsi"/>
        </w:rPr>
      </w:pPr>
      <w:r w:rsidRPr="008B5432">
        <w:rPr>
          <w:rFonts w:asciiTheme="minorHAnsi" w:hAnsiTheme="minorHAnsi" w:cstheme="minorHAnsi"/>
        </w:rPr>
        <w:t>Zamierzenie realizowane będzie poza obszarowymi formami ochrony przyrody. W granicach inwestycji nie występują pomniki przyrody, stanowiska dokumentacyjne. Obszar planowanej inwestycji położony jest na terenach rolnych i ulega zarastaniu przez drzewa i krzewy, głównie przez gatunki lekkonasienne. W ramach inwestycji przewiduje się wycinkę drzew ilości ok.</w:t>
      </w:r>
      <w:r w:rsidR="00ED4B79">
        <w:rPr>
          <w:rFonts w:asciiTheme="minorHAnsi" w:hAnsiTheme="minorHAnsi" w:cstheme="minorHAnsi"/>
        </w:rPr>
        <w:t> </w:t>
      </w:r>
      <w:r w:rsidRPr="008B5432">
        <w:rPr>
          <w:rFonts w:asciiTheme="minorHAnsi" w:hAnsiTheme="minorHAnsi" w:cstheme="minorHAnsi"/>
        </w:rPr>
        <w:t xml:space="preserve">326 szt. oraz </w:t>
      </w:r>
      <w:proofErr w:type="spellStart"/>
      <w:r w:rsidRPr="008B5432">
        <w:rPr>
          <w:rFonts w:asciiTheme="minorHAnsi" w:hAnsiTheme="minorHAnsi" w:cstheme="minorHAnsi"/>
        </w:rPr>
        <w:t>zakrzewień</w:t>
      </w:r>
      <w:proofErr w:type="spellEnd"/>
      <w:r w:rsidRPr="008B5432">
        <w:rPr>
          <w:rFonts w:asciiTheme="minorHAnsi" w:hAnsiTheme="minorHAnsi" w:cstheme="minorHAnsi"/>
        </w:rPr>
        <w:t xml:space="preserve"> o łącznej powierzchni ok. 12311 m</w:t>
      </w:r>
      <w:r w:rsidRPr="008B5432">
        <w:rPr>
          <w:rFonts w:asciiTheme="minorHAnsi" w:hAnsiTheme="minorHAnsi" w:cstheme="minorHAnsi"/>
          <w:vertAlign w:val="superscript"/>
        </w:rPr>
        <w:t>2</w:t>
      </w:r>
      <w:r w:rsidRPr="008B5432">
        <w:rPr>
          <w:rFonts w:asciiTheme="minorHAnsi" w:hAnsiTheme="minorHAnsi" w:cstheme="minorHAnsi"/>
        </w:rPr>
        <w:t>.</w:t>
      </w:r>
    </w:p>
    <w:p w:rsidR="008B5432" w:rsidRPr="008B5432" w:rsidRDefault="008B5432" w:rsidP="00ED4B79">
      <w:pPr>
        <w:tabs>
          <w:tab w:val="left" w:pos="0"/>
        </w:tabs>
        <w:spacing w:line="360" w:lineRule="auto"/>
        <w:jc w:val="both"/>
        <w:rPr>
          <w:rFonts w:asciiTheme="minorHAnsi" w:hAnsiTheme="minorHAnsi" w:cstheme="minorHAnsi"/>
        </w:rPr>
      </w:pPr>
      <w:bookmarkStart w:id="2" w:name="_Toc373336454"/>
      <w:bookmarkStart w:id="3" w:name="_Toc200169820"/>
      <w:bookmarkStart w:id="4" w:name="_Toc199049616"/>
      <w:r w:rsidRPr="008B5432">
        <w:rPr>
          <w:rFonts w:asciiTheme="minorHAnsi" w:hAnsiTheme="minorHAnsi" w:cstheme="minorHAnsi"/>
        </w:rPr>
        <w:t xml:space="preserve">Na etapie realizacji przedsięwzięcia należy spodziewać się uciążliwości dla środowiska związanych z transportem materiałów i pracami budowlanymi tj.: emisją zanieczyszczeń </w:t>
      </w:r>
      <w:r w:rsidRPr="008B5432">
        <w:rPr>
          <w:rFonts w:asciiTheme="minorHAnsi" w:hAnsiTheme="minorHAnsi" w:cstheme="minorHAnsi"/>
        </w:rPr>
        <w:lastRenderedPageBreak/>
        <w:t>powietrza, emisją hałasu do środowiska, powstawaniem odpadów, ścieków bytowych i ingerencją w środowisko wodno-gruntowe.</w:t>
      </w:r>
    </w:p>
    <w:p w:rsidR="008B5432" w:rsidRPr="008B5432" w:rsidRDefault="008B5432" w:rsidP="00ED4B79">
      <w:pPr>
        <w:tabs>
          <w:tab w:val="left" w:pos="0"/>
        </w:tabs>
        <w:spacing w:line="360" w:lineRule="auto"/>
        <w:jc w:val="both"/>
        <w:rPr>
          <w:rFonts w:asciiTheme="minorHAnsi" w:hAnsiTheme="minorHAnsi" w:cstheme="minorHAnsi"/>
        </w:rPr>
      </w:pPr>
      <w:r w:rsidRPr="008B5432">
        <w:rPr>
          <w:rFonts w:asciiTheme="minorHAnsi" w:hAnsiTheme="minorHAnsi" w:cstheme="minorHAnsi"/>
        </w:rPr>
        <w:t>Do prac budowlanych oraz transportu materiałów należy stosować sprawne technicznie sprzęty budowlane, maszyny, pojazdy i urządzenia. Tankowanie ww. sprzętów mechanicznych należy prowadzić poza obszarem budowy, z zabezpieczeniem przed przypadkowym rozlaniem paliwa. W czasie powadzenia robót budowlanych należy prowadzić stały monitoring stanu technicznego sprzętu budowlanego i transportowego. W przypadku przedostania się zanieczyszczeń do gruntu lub wód należy bezzwłocznie podjąć działania zmierzające do</w:t>
      </w:r>
      <w:r w:rsidR="00ED4B79">
        <w:rPr>
          <w:rFonts w:asciiTheme="minorHAnsi" w:hAnsiTheme="minorHAnsi" w:cstheme="minorHAnsi"/>
        </w:rPr>
        <w:t> </w:t>
      </w:r>
      <w:r w:rsidRPr="008B5432">
        <w:rPr>
          <w:rFonts w:asciiTheme="minorHAnsi" w:hAnsiTheme="minorHAnsi" w:cstheme="minorHAnsi"/>
        </w:rPr>
        <w:t xml:space="preserve">usunięcia przyczyn i skutków awarii (ewentualne wycieki należy natychmiast usuwać). Zanieczyszczony urobek należy przekazać podmiotom uprawnionym do </w:t>
      </w:r>
      <w:proofErr w:type="spellStart"/>
      <w:r w:rsidRPr="008B5432">
        <w:rPr>
          <w:rFonts w:asciiTheme="minorHAnsi" w:hAnsiTheme="minorHAnsi" w:cstheme="minorHAnsi"/>
        </w:rPr>
        <w:t>remediacji</w:t>
      </w:r>
      <w:proofErr w:type="spellEnd"/>
      <w:r w:rsidRPr="008B5432">
        <w:rPr>
          <w:rFonts w:asciiTheme="minorHAnsi" w:hAnsiTheme="minorHAnsi" w:cstheme="minorHAnsi"/>
        </w:rPr>
        <w:t>. Po</w:t>
      </w:r>
      <w:r w:rsidR="00ED4B79">
        <w:rPr>
          <w:rFonts w:asciiTheme="minorHAnsi" w:hAnsiTheme="minorHAnsi" w:cstheme="minorHAnsi"/>
        </w:rPr>
        <w:t> </w:t>
      </w:r>
      <w:r w:rsidRPr="008B5432">
        <w:rPr>
          <w:rFonts w:asciiTheme="minorHAnsi" w:hAnsiTheme="minorHAnsi" w:cstheme="minorHAnsi"/>
        </w:rPr>
        <w:t xml:space="preserve">zakończeniu prac teren należy uporządkować. </w:t>
      </w:r>
    </w:p>
    <w:p w:rsidR="008B5432" w:rsidRPr="008B5432" w:rsidRDefault="008B5432" w:rsidP="00ED4B79">
      <w:pPr>
        <w:spacing w:line="360" w:lineRule="auto"/>
        <w:jc w:val="both"/>
        <w:rPr>
          <w:rFonts w:asciiTheme="minorHAnsi" w:hAnsiTheme="minorHAnsi" w:cstheme="minorHAnsi"/>
        </w:rPr>
      </w:pPr>
      <w:r w:rsidRPr="008B5432">
        <w:rPr>
          <w:rFonts w:asciiTheme="minorHAnsi" w:hAnsiTheme="minorHAnsi" w:cstheme="minorHAnsi"/>
        </w:rPr>
        <w:t>Na etapie realizacji oraz eksploatacji przedsięwzięcia gospodarka odpadami winna być prowadzona zgodnie z obowiązującymi w tym zakresie wymogami prawnymi i w sposób niestanowiący zagrożenia dla środowiska. Odpady powstałe na etapie realizacji przedsięwzięcia należy gromadzić w sposób selektywny, w wyznaczonych do tego celu miejscach, a następnie sukcesywnie przekazywać do zagospodarowania podmiotom posiadającym wymagane prawem zezwolenie w zakresie gospodarowania odpadami. Odpady niebezpieczne należy magazynować w zamkniętych i szczelnych pojemnikach, odpornych na</w:t>
      </w:r>
      <w:r w:rsidR="00ED4B79">
        <w:rPr>
          <w:rFonts w:asciiTheme="minorHAnsi" w:hAnsiTheme="minorHAnsi" w:cstheme="minorHAnsi"/>
        </w:rPr>
        <w:t> </w:t>
      </w:r>
      <w:r w:rsidRPr="008B5432">
        <w:rPr>
          <w:rFonts w:asciiTheme="minorHAnsi" w:hAnsiTheme="minorHAnsi" w:cstheme="minorHAnsi"/>
        </w:rPr>
        <w:t>działanie przechowywanych w nich substancji. Place i miejsca przeznaczone do</w:t>
      </w:r>
      <w:r w:rsidR="00ED4B79">
        <w:rPr>
          <w:rFonts w:asciiTheme="minorHAnsi" w:hAnsiTheme="minorHAnsi" w:cstheme="minorHAnsi"/>
        </w:rPr>
        <w:t> </w:t>
      </w:r>
      <w:r w:rsidRPr="008B5432">
        <w:rPr>
          <w:rFonts w:asciiTheme="minorHAnsi" w:hAnsiTheme="minorHAnsi" w:cstheme="minorHAnsi"/>
        </w:rPr>
        <w:t>magazynowania odpadów niebezpiecznych należy zlokalizować na utwardzonym i</w:t>
      </w:r>
      <w:r w:rsidR="005E6BCA">
        <w:rPr>
          <w:rFonts w:asciiTheme="minorHAnsi" w:hAnsiTheme="minorHAnsi" w:cstheme="minorHAnsi"/>
        </w:rPr>
        <w:t> </w:t>
      </w:r>
      <w:r w:rsidRPr="008B5432">
        <w:rPr>
          <w:rFonts w:asciiTheme="minorHAnsi" w:hAnsiTheme="minorHAnsi" w:cstheme="minorHAnsi"/>
        </w:rPr>
        <w:t>szczelnym podłożu, w miejscach osłoniętych przed działaniem czynników atmosferycznych oraz zabezpieczonych przed dostępem osób nieuprawnionych.</w:t>
      </w:r>
    </w:p>
    <w:p w:rsidR="008B5432" w:rsidRPr="008B5432" w:rsidRDefault="008B5432" w:rsidP="005E6BCA">
      <w:pPr>
        <w:spacing w:line="360" w:lineRule="auto"/>
        <w:jc w:val="both"/>
        <w:rPr>
          <w:rFonts w:asciiTheme="minorHAnsi" w:hAnsiTheme="minorHAnsi" w:cstheme="minorHAnsi"/>
        </w:rPr>
      </w:pPr>
      <w:r w:rsidRPr="008B5432">
        <w:rPr>
          <w:rFonts w:asciiTheme="minorHAnsi" w:hAnsiTheme="minorHAnsi" w:cstheme="minorHAnsi"/>
        </w:rPr>
        <w:t>W</w:t>
      </w:r>
      <w:r w:rsidRPr="008B5432">
        <w:rPr>
          <w:rFonts w:asciiTheme="minorHAnsi" w:hAnsiTheme="minorHAnsi" w:cstheme="minorHAnsi"/>
          <w:color w:val="FF0000"/>
        </w:rPr>
        <w:t xml:space="preserve"> </w:t>
      </w:r>
      <w:r w:rsidRPr="008B5432">
        <w:rPr>
          <w:rFonts w:asciiTheme="minorHAnsi" w:hAnsiTheme="minorHAnsi" w:cstheme="minorHAnsi"/>
        </w:rPr>
        <w:t>związku z realizacją planowanej inwestycji nie przewiduje się znaczącego zużycia surowców i materiałów. Wszystkie użyte do budowy surowce, materiały, paliwa i energie będą wykorzystywane zgodnie z obowiązującymi normami i przepisami.</w:t>
      </w:r>
    </w:p>
    <w:p w:rsidR="008B5432" w:rsidRPr="008B5432" w:rsidRDefault="008B5432" w:rsidP="005E6BCA">
      <w:pPr>
        <w:spacing w:line="360" w:lineRule="auto"/>
        <w:jc w:val="both"/>
        <w:rPr>
          <w:rFonts w:asciiTheme="minorHAnsi" w:eastAsia="Calibri" w:hAnsiTheme="minorHAnsi" w:cstheme="minorHAnsi"/>
          <w:iCs/>
        </w:rPr>
      </w:pPr>
      <w:r w:rsidRPr="008B5432">
        <w:rPr>
          <w:rFonts w:asciiTheme="minorHAnsi" w:hAnsiTheme="minorHAnsi" w:cstheme="minorHAnsi"/>
        </w:rPr>
        <w:t xml:space="preserve">Na terenie planowanej inwestycji i w granicach obszaru jej oddziaływania nie występują cieki wodne, zbiorniki wodne. Jak wskazano w KIP, na terenie budowy mostu szynowego nie występuje sieć drenarska. Z uwagi na możliwość występowania na terenie stacji elektroenergetycznej sieci drenarskiej zostanie ona zabezpieczona w miejscu prowadzonych prac ziemnych – w przypadku stwierdzenia bezpośredniej kolizji zostanie ona przełożona w taki sposób, aby zapewnić jej ciągłość. Przed realizacją inwestycji należy sprawdzić, czy planowane przedsięwzięcie znajduje się w kolizji z urządzeniami melioracji wodnych – </w:t>
      </w:r>
      <w:r w:rsidRPr="008B5432">
        <w:rPr>
          <w:rFonts w:asciiTheme="minorHAnsi" w:hAnsiTheme="minorHAnsi" w:cstheme="minorHAnsi"/>
        </w:rPr>
        <w:lastRenderedPageBreak/>
        <w:t xml:space="preserve">w przypadku, gdy zaistnieje konieczność ingerencji w urządzenia melioracyjne dokonać rozwiązania kolizji z ww. urządzeniami, stosownie do przepisów ustawy </w:t>
      </w:r>
      <w:r w:rsidRPr="008B5432">
        <w:rPr>
          <w:rFonts w:asciiTheme="minorHAnsi" w:eastAsia="Calibri" w:hAnsiTheme="minorHAnsi" w:cstheme="minorHAnsi"/>
          <w:iCs/>
        </w:rPr>
        <w:t>z dnia 20 lipca 2017 r. Prawo wodne (tekst jedn. Dz. U. z 2026 r., poz. 1335).</w:t>
      </w:r>
    </w:p>
    <w:p w:rsidR="008B5432" w:rsidRPr="008B5432" w:rsidRDefault="008B5432" w:rsidP="005E6BCA">
      <w:pPr>
        <w:spacing w:line="360" w:lineRule="auto"/>
        <w:jc w:val="both"/>
        <w:rPr>
          <w:rFonts w:asciiTheme="minorHAnsi" w:hAnsiTheme="minorHAnsi" w:cstheme="minorHAnsi"/>
        </w:rPr>
      </w:pPr>
      <w:r w:rsidRPr="008B5432">
        <w:rPr>
          <w:rFonts w:asciiTheme="minorHAnsi" w:hAnsiTheme="minorHAnsi" w:cstheme="minorHAnsi"/>
        </w:rPr>
        <w:t>Zgodnie z KIP, na etapie wykonywania projektu budowlanego (przed przystąpieniem do prac projektowych) zostaną przeprowadzone szczegółowe badania geotechniczne. Program badań szczegółowych bazować będzie na planowanym docelowym poziomie terenu po jego wyrównaniu oraz planowanym docelowym rozmieszczeniu urządzeń stacji. Warstwy gleby usunięte w trakcie prac zostaną odłożone w bezpośrednim sąsiedztwie wykonanych wykopów i nie będą gromadzone ani składowane w innym, oddalonym od terenu robót miejscu – zostaną do kształtowania zieleni urządzonej w obrębie terenu przedsięwzięcia. Niewykorzystany humus zostanie przekazany firmom zewnętrznym jako odpad, zgodnie z</w:t>
      </w:r>
      <w:r w:rsidR="005E6BCA">
        <w:rPr>
          <w:rFonts w:asciiTheme="minorHAnsi" w:hAnsiTheme="minorHAnsi" w:cstheme="minorHAnsi"/>
        </w:rPr>
        <w:t> </w:t>
      </w:r>
      <w:r w:rsidRPr="008B5432">
        <w:rPr>
          <w:rFonts w:asciiTheme="minorHAnsi" w:hAnsiTheme="minorHAnsi" w:cstheme="minorHAnsi"/>
        </w:rPr>
        <w:t xml:space="preserve">obowiązującymi przepisami. </w:t>
      </w:r>
    </w:p>
    <w:p w:rsidR="008B5432" w:rsidRPr="008B5432" w:rsidRDefault="008B5432" w:rsidP="005E6BCA">
      <w:pPr>
        <w:spacing w:line="360" w:lineRule="auto"/>
        <w:jc w:val="both"/>
        <w:rPr>
          <w:rFonts w:asciiTheme="minorHAnsi" w:hAnsiTheme="minorHAnsi" w:cstheme="minorHAnsi"/>
        </w:rPr>
      </w:pPr>
      <w:r w:rsidRPr="008B5432">
        <w:rPr>
          <w:rFonts w:asciiTheme="minorHAnsi" w:hAnsiTheme="minorHAnsi" w:cstheme="minorHAnsi"/>
        </w:rPr>
        <w:t xml:space="preserve">Emisja hałasu oraz zanieczyszczeń powietrza w czasie realizacji przedsięwzięcia będzie miała charakter okresowy i odwracalny, a uciążliwości z nią związane ustaną wraz z zakończeniem prac budowlanych. Zgodnie z KIP, na terenie budowy pola nr 8 rozdzielni napowietrznej 220 </w:t>
      </w:r>
      <w:proofErr w:type="spellStart"/>
      <w:r w:rsidRPr="008B5432">
        <w:rPr>
          <w:rFonts w:asciiTheme="minorHAnsi" w:hAnsiTheme="minorHAnsi" w:cstheme="minorHAnsi"/>
        </w:rPr>
        <w:t>kV</w:t>
      </w:r>
      <w:proofErr w:type="spellEnd"/>
      <w:r w:rsidRPr="008B5432">
        <w:rPr>
          <w:rFonts w:asciiTheme="minorHAnsi" w:hAnsiTheme="minorHAnsi" w:cstheme="minorHAnsi"/>
        </w:rPr>
        <w:t xml:space="preserve"> oraz mostu szynowego 220 </w:t>
      </w:r>
      <w:proofErr w:type="spellStart"/>
      <w:r w:rsidRPr="008B5432">
        <w:rPr>
          <w:rFonts w:asciiTheme="minorHAnsi" w:hAnsiTheme="minorHAnsi" w:cstheme="minorHAnsi"/>
        </w:rPr>
        <w:t>kV</w:t>
      </w:r>
      <w:proofErr w:type="spellEnd"/>
      <w:r w:rsidRPr="008B5432">
        <w:rPr>
          <w:rFonts w:asciiTheme="minorHAnsi" w:hAnsiTheme="minorHAnsi" w:cstheme="minorHAnsi"/>
        </w:rPr>
        <w:t xml:space="preserve"> wykorzystywane będą m.in. koparko-ładowarki, dźwigi, zagęszczarki oraz samochody ciężkie, a także agregaty prądotwórcze – zakłada się że prace związane z realizacją inwestycji prowadzone będą w porze dziennej tj. w godzinach 6</w:t>
      </w:r>
      <w:r w:rsidRPr="008B5432">
        <w:rPr>
          <w:rFonts w:asciiTheme="minorHAnsi" w:hAnsiTheme="minorHAnsi" w:cstheme="minorHAnsi"/>
          <w:vertAlign w:val="superscript"/>
        </w:rPr>
        <w:t>00</w:t>
      </w:r>
      <w:r w:rsidRPr="008B5432">
        <w:rPr>
          <w:rFonts w:asciiTheme="minorHAnsi" w:hAnsiTheme="minorHAnsi" w:cstheme="minorHAnsi"/>
        </w:rPr>
        <w:t>-22</w:t>
      </w:r>
      <w:r w:rsidRPr="008B5432">
        <w:rPr>
          <w:rFonts w:asciiTheme="minorHAnsi" w:hAnsiTheme="minorHAnsi" w:cstheme="minorHAnsi"/>
          <w:vertAlign w:val="superscript"/>
        </w:rPr>
        <w:t>00</w:t>
      </w:r>
      <w:r w:rsidRPr="008B5432">
        <w:rPr>
          <w:rFonts w:asciiTheme="minorHAnsi" w:hAnsiTheme="minorHAnsi" w:cstheme="minorHAnsi"/>
        </w:rPr>
        <w:t xml:space="preserve">. W miarę możliwości należy unikać jednoczesnej pracy urządzeń emitujących hałas o dużym natężeniu. W trakcie realizacji inwestycji należy wyeliminować jałową pracę silników pojazdów oraz innego sprzętu ciężkiego oraz wszystkie urządzenia utrzymywać we właściwej sprawności technicznej. Transport sprzętu, materiałów należy prowadzić po </w:t>
      </w:r>
      <w:r w:rsidRPr="008B5432">
        <w:rPr>
          <w:rFonts w:asciiTheme="minorHAnsi" w:hAnsiTheme="minorHAnsi" w:cstheme="minorHAnsi"/>
          <w:bCs/>
        </w:rPr>
        <w:t>wyznaczonych trasach przejazdu na terenie inwestycyjnym i p</w:t>
      </w:r>
      <w:r w:rsidRPr="008B5432">
        <w:rPr>
          <w:rFonts w:asciiTheme="minorHAnsi" w:hAnsiTheme="minorHAnsi" w:cstheme="minorHAnsi"/>
        </w:rPr>
        <w:t>rzy wykorzystaniu istniejącej sieci dróg publicznych.</w:t>
      </w:r>
    </w:p>
    <w:p w:rsidR="008B5432" w:rsidRPr="008B5432" w:rsidRDefault="008B5432" w:rsidP="005E6BCA">
      <w:pPr>
        <w:autoSpaceDE w:val="0"/>
        <w:spacing w:line="360" w:lineRule="auto"/>
        <w:jc w:val="both"/>
        <w:rPr>
          <w:rFonts w:asciiTheme="minorHAnsi" w:hAnsiTheme="minorHAnsi" w:cstheme="minorHAnsi"/>
        </w:rPr>
      </w:pPr>
      <w:r w:rsidRPr="008B5432">
        <w:rPr>
          <w:rFonts w:asciiTheme="minorHAnsi" w:hAnsiTheme="minorHAnsi" w:cstheme="minorHAnsi"/>
        </w:rPr>
        <w:t xml:space="preserve">W KIP przeanalizowano oddziaływanie linii elektroenergetycznej w zakresie emisji promieniowania elektromagnetycznego na etapie budowy oraz eksploatacji zamierzenia – wskazano, iż szerokość pasa technologicznego planowanej linii wyniesie 50 m. Poza pasem technologicznym wartość natężenia pola elektrycznego nie przekroczy 1 </w:t>
      </w:r>
      <w:proofErr w:type="spellStart"/>
      <w:r w:rsidRPr="008B5432">
        <w:rPr>
          <w:rFonts w:asciiTheme="minorHAnsi" w:hAnsiTheme="minorHAnsi" w:cstheme="minorHAnsi"/>
        </w:rPr>
        <w:t>kV</w:t>
      </w:r>
      <w:proofErr w:type="spellEnd"/>
      <w:r w:rsidRPr="008B5432">
        <w:rPr>
          <w:rFonts w:asciiTheme="minorHAnsi" w:hAnsiTheme="minorHAnsi" w:cstheme="minorHAnsi"/>
        </w:rPr>
        <w:t>/m, natomiast w</w:t>
      </w:r>
      <w:r w:rsidR="005E6BCA">
        <w:rPr>
          <w:rFonts w:asciiTheme="minorHAnsi" w:hAnsiTheme="minorHAnsi" w:cstheme="minorHAnsi"/>
        </w:rPr>
        <w:t> </w:t>
      </w:r>
      <w:r w:rsidRPr="008B5432">
        <w:rPr>
          <w:rFonts w:asciiTheme="minorHAnsi" w:hAnsiTheme="minorHAnsi" w:cstheme="minorHAnsi"/>
        </w:rPr>
        <w:t xml:space="preserve">żadnym miejscu w otoczeniu linii dostępnym dla ludności, poziom pola elektrycznego nie przekroczy 10 </w:t>
      </w:r>
      <w:proofErr w:type="spellStart"/>
      <w:r w:rsidRPr="008B5432">
        <w:rPr>
          <w:rFonts w:asciiTheme="minorHAnsi" w:hAnsiTheme="minorHAnsi" w:cstheme="minorHAnsi"/>
        </w:rPr>
        <w:t>kV</w:t>
      </w:r>
      <w:proofErr w:type="spellEnd"/>
      <w:r w:rsidRPr="008B5432">
        <w:rPr>
          <w:rFonts w:asciiTheme="minorHAnsi" w:hAnsiTheme="minorHAnsi" w:cstheme="minorHAnsi"/>
        </w:rPr>
        <w:t xml:space="preserve">/m, a pola magnetycznego 60 A/m. W związku z powyższym w czasie realizacji oraz eksploatacji inwestycja nie będzie powodowała przekroczenia dopuszczalnych wartości pól na terenach przeznaczonych pod zabudowę mieszkaniową i w miejscach dostępnych dla </w:t>
      </w:r>
      <w:r w:rsidRPr="008B5432">
        <w:rPr>
          <w:rFonts w:asciiTheme="minorHAnsi" w:hAnsiTheme="minorHAnsi" w:cstheme="minorHAnsi"/>
        </w:rPr>
        <w:lastRenderedPageBreak/>
        <w:t>ludności wskazanych w rozporządzeniu Ministra Zdrowia z dnia 17 grudnia 2019 r. w sprawie dopuszczalnych poziomów pól elektromagnetycznych w środowisku (Dz. U. z 2019 r., poz. 2448), tj. w miejscach dostępnych dla ludności  wartości granicznych: natężenia pola elektrycznego (E) - 10000 V/m, natężenia pola magnetycznego (H) - 60 A/m, oraz w miejscach przeznaczonych pod zabudowę: natężenia pola elektrycznego (E) - 1000 V/m, natężenia pola magnetycznego (H) - 60 A/m.</w:t>
      </w:r>
    </w:p>
    <w:p w:rsidR="008B5432" w:rsidRPr="008B5432" w:rsidRDefault="008B5432" w:rsidP="005E6BCA">
      <w:pPr>
        <w:autoSpaceDE w:val="0"/>
        <w:spacing w:line="360" w:lineRule="auto"/>
        <w:jc w:val="both"/>
        <w:rPr>
          <w:rFonts w:asciiTheme="minorHAnsi" w:hAnsiTheme="minorHAnsi" w:cstheme="minorHAnsi"/>
        </w:rPr>
      </w:pPr>
      <w:r w:rsidRPr="008B5432">
        <w:rPr>
          <w:rFonts w:asciiTheme="minorHAnsi" w:hAnsiTheme="minorHAnsi" w:cstheme="minorHAnsi"/>
        </w:rPr>
        <w:t>Celem potwierdzenia poprawności zrealizowanej inwestycji, przed oddaniem do użytkowania niezbędne będzie wykonanie wymaganych pomiarów i prób sprawności zastosowanych systemów.</w:t>
      </w:r>
    </w:p>
    <w:p w:rsidR="008B5432" w:rsidRPr="008B5432" w:rsidRDefault="008B5432" w:rsidP="005E6BCA">
      <w:pPr>
        <w:autoSpaceDE w:val="0"/>
        <w:spacing w:line="360" w:lineRule="auto"/>
        <w:jc w:val="both"/>
        <w:rPr>
          <w:rFonts w:asciiTheme="minorHAnsi" w:eastAsiaTheme="minorHAnsi" w:hAnsiTheme="minorHAnsi" w:cstheme="minorHAnsi"/>
        </w:rPr>
      </w:pPr>
      <w:r w:rsidRPr="008B5432">
        <w:rPr>
          <w:rFonts w:asciiTheme="minorHAnsi" w:hAnsiTheme="minorHAnsi" w:cstheme="minorHAnsi"/>
        </w:rPr>
        <w:t>Obszar planowanej inwestycji położony jest na terenach rolniczych i ulegających zarastaniu przez drzewa i krzewy, głównie przez gatunki lekkonasienne tj. brzoza brodawkowata (</w:t>
      </w:r>
      <w:proofErr w:type="spellStart"/>
      <w:r w:rsidRPr="008B5432">
        <w:rPr>
          <w:rFonts w:asciiTheme="minorHAnsi" w:hAnsiTheme="minorHAnsi" w:cstheme="minorHAnsi"/>
          <w:i/>
        </w:rPr>
        <w:t>Betula</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pendula</w:t>
      </w:r>
      <w:proofErr w:type="spellEnd"/>
      <w:r w:rsidRPr="008B5432">
        <w:rPr>
          <w:rFonts w:asciiTheme="minorHAnsi" w:hAnsiTheme="minorHAnsi" w:cstheme="minorHAnsi"/>
        </w:rPr>
        <w:t>), topola osika (</w:t>
      </w:r>
      <w:proofErr w:type="spellStart"/>
      <w:r w:rsidRPr="008B5432">
        <w:rPr>
          <w:rFonts w:asciiTheme="minorHAnsi" w:hAnsiTheme="minorHAnsi" w:cstheme="minorHAnsi"/>
          <w:i/>
        </w:rPr>
        <w:t>Populus</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tremula</w:t>
      </w:r>
      <w:proofErr w:type="spellEnd"/>
      <w:r w:rsidRPr="008B5432">
        <w:rPr>
          <w:rFonts w:asciiTheme="minorHAnsi" w:hAnsiTheme="minorHAnsi" w:cstheme="minorHAnsi"/>
        </w:rPr>
        <w:t>), śliwa tarnina (</w:t>
      </w:r>
      <w:proofErr w:type="spellStart"/>
      <w:r w:rsidRPr="008B5432">
        <w:rPr>
          <w:rFonts w:asciiTheme="minorHAnsi" w:hAnsiTheme="minorHAnsi" w:cstheme="minorHAnsi"/>
          <w:i/>
        </w:rPr>
        <w:t>Prunus</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spinosa</w:t>
      </w:r>
      <w:proofErr w:type="spellEnd"/>
      <w:r w:rsidRPr="008B5432">
        <w:rPr>
          <w:rFonts w:asciiTheme="minorHAnsi" w:hAnsiTheme="minorHAnsi" w:cstheme="minorHAnsi"/>
        </w:rPr>
        <w:t>). Występuje także sosna zwyczajna (</w:t>
      </w:r>
      <w:proofErr w:type="spellStart"/>
      <w:r w:rsidRPr="008B5432">
        <w:rPr>
          <w:rFonts w:asciiTheme="minorHAnsi" w:hAnsiTheme="minorHAnsi" w:cstheme="minorHAnsi"/>
          <w:i/>
        </w:rPr>
        <w:t>Pinus</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sylvestris</w:t>
      </w:r>
      <w:proofErr w:type="spellEnd"/>
      <w:r w:rsidRPr="008B5432">
        <w:rPr>
          <w:rFonts w:asciiTheme="minorHAnsi" w:hAnsiTheme="minorHAnsi" w:cstheme="minorHAnsi"/>
        </w:rPr>
        <w:t>) i dąb szypułkowy (</w:t>
      </w:r>
      <w:proofErr w:type="spellStart"/>
      <w:r w:rsidRPr="008B5432">
        <w:rPr>
          <w:rFonts w:asciiTheme="minorHAnsi" w:hAnsiTheme="minorHAnsi" w:cstheme="minorHAnsi"/>
          <w:i/>
        </w:rPr>
        <w:t>Quercus</w:t>
      </w:r>
      <w:proofErr w:type="spellEnd"/>
      <w:r w:rsidRPr="008B5432">
        <w:rPr>
          <w:rFonts w:asciiTheme="minorHAnsi" w:hAnsiTheme="minorHAnsi" w:cstheme="minorHAnsi"/>
          <w:i/>
        </w:rPr>
        <w:t xml:space="preserve"> robur</w:t>
      </w:r>
      <w:r w:rsidRPr="008B5432">
        <w:rPr>
          <w:rFonts w:asciiTheme="minorHAnsi" w:hAnsiTheme="minorHAnsi" w:cstheme="minorHAnsi"/>
        </w:rPr>
        <w:t>). W wyniku przeprowadzonego rozpoznania przyrodniczego na terenie objętym inwestycją stwierdzono obecność roślin z gatunków tj. m.in.: kupkówka pospolita (</w:t>
      </w:r>
      <w:proofErr w:type="spellStart"/>
      <w:r w:rsidRPr="008B5432">
        <w:rPr>
          <w:rFonts w:asciiTheme="minorHAnsi" w:hAnsiTheme="minorHAnsi" w:cstheme="minorHAnsi"/>
          <w:i/>
        </w:rPr>
        <w:t>Dactylis</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glomerata</w:t>
      </w:r>
      <w:proofErr w:type="spellEnd"/>
      <w:r w:rsidRPr="008B5432">
        <w:rPr>
          <w:rFonts w:asciiTheme="minorHAnsi" w:hAnsiTheme="minorHAnsi" w:cstheme="minorHAnsi"/>
        </w:rPr>
        <w:t>), trzcinnik piaskowy (</w:t>
      </w:r>
      <w:proofErr w:type="spellStart"/>
      <w:r w:rsidRPr="008B5432">
        <w:rPr>
          <w:rFonts w:asciiTheme="minorHAnsi" w:hAnsiTheme="minorHAnsi" w:cstheme="minorHAnsi"/>
          <w:i/>
        </w:rPr>
        <w:t>Calamagrostis</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epigejos</w:t>
      </w:r>
      <w:proofErr w:type="spellEnd"/>
      <w:r w:rsidRPr="008B5432">
        <w:rPr>
          <w:rFonts w:asciiTheme="minorHAnsi" w:hAnsiTheme="minorHAnsi" w:cstheme="minorHAnsi"/>
        </w:rPr>
        <w:t>), kłosówka wełnista (</w:t>
      </w:r>
      <w:proofErr w:type="spellStart"/>
      <w:r w:rsidRPr="008B5432">
        <w:rPr>
          <w:rFonts w:asciiTheme="minorHAnsi" w:hAnsiTheme="minorHAnsi" w:cstheme="minorHAnsi"/>
          <w:i/>
        </w:rPr>
        <w:t>Holcus</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lanatus</w:t>
      </w:r>
      <w:proofErr w:type="spellEnd"/>
      <w:r w:rsidRPr="008B5432">
        <w:rPr>
          <w:rFonts w:asciiTheme="minorHAnsi" w:hAnsiTheme="minorHAnsi" w:cstheme="minorHAnsi"/>
        </w:rPr>
        <w:t>), mietlica zwyczajna (</w:t>
      </w:r>
      <w:proofErr w:type="spellStart"/>
      <w:r w:rsidRPr="008B5432">
        <w:rPr>
          <w:rFonts w:asciiTheme="minorHAnsi" w:hAnsiTheme="minorHAnsi" w:cstheme="minorHAnsi"/>
          <w:i/>
        </w:rPr>
        <w:t>Agrostis</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capillaris</w:t>
      </w:r>
      <w:proofErr w:type="spellEnd"/>
      <w:r w:rsidRPr="008B5432">
        <w:rPr>
          <w:rFonts w:asciiTheme="minorHAnsi" w:hAnsiTheme="minorHAnsi" w:cstheme="minorHAnsi"/>
        </w:rPr>
        <w:t>), życica trwała (</w:t>
      </w:r>
      <w:proofErr w:type="spellStart"/>
      <w:r w:rsidRPr="008B5432">
        <w:rPr>
          <w:rFonts w:asciiTheme="minorHAnsi" w:hAnsiTheme="minorHAnsi" w:cstheme="minorHAnsi"/>
          <w:i/>
        </w:rPr>
        <w:t>Lolium</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perenne</w:t>
      </w:r>
      <w:proofErr w:type="spellEnd"/>
      <w:r w:rsidRPr="008B5432">
        <w:rPr>
          <w:rFonts w:asciiTheme="minorHAnsi" w:hAnsiTheme="minorHAnsi" w:cstheme="minorHAnsi"/>
        </w:rPr>
        <w:t xml:space="preserve">), </w:t>
      </w:r>
      <w:proofErr w:type="spellStart"/>
      <w:r w:rsidRPr="008B5432">
        <w:rPr>
          <w:rFonts w:asciiTheme="minorHAnsi" w:hAnsiTheme="minorHAnsi" w:cstheme="minorHAnsi"/>
        </w:rPr>
        <w:t>tomka</w:t>
      </w:r>
      <w:proofErr w:type="spellEnd"/>
      <w:r w:rsidRPr="008B5432">
        <w:rPr>
          <w:rFonts w:asciiTheme="minorHAnsi" w:hAnsiTheme="minorHAnsi" w:cstheme="minorHAnsi"/>
        </w:rPr>
        <w:t xml:space="preserve"> wonna (</w:t>
      </w:r>
      <w:proofErr w:type="spellStart"/>
      <w:r w:rsidRPr="008B5432">
        <w:rPr>
          <w:rFonts w:asciiTheme="minorHAnsi" w:hAnsiTheme="minorHAnsi" w:cstheme="minorHAnsi"/>
          <w:i/>
        </w:rPr>
        <w:t>Anthoxanthum</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odoratum</w:t>
      </w:r>
      <w:proofErr w:type="spellEnd"/>
      <w:r w:rsidRPr="008B5432">
        <w:rPr>
          <w:rFonts w:asciiTheme="minorHAnsi" w:hAnsiTheme="minorHAnsi" w:cstheme="minorHAnsi"/>
        </w:rPr>
        <w:t>), krwawnik pospolity (</w:t>
      </w:r>
      <w:proofErr w:type="spellStart"/>
      <w:r w:rsidRPr="008B5432">
        <w:rPr>
          <w:rFonts w:asciiTheme="minorHAnsi" w:hAnsiTheme="minorHAnsi" w:cstheme="minorHAnsi"/>
          <w:i/>
        </w:rPr>
        <w:t>Achillea</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millefolium</w:t>
      </w:r>
      <w:proofErr w:type="spellEnd"/>
      <w:r w:rsidRPr="008B5432">
        <w:rPr>
          <w:rFonts w:asciiTheme="minorHAnsi" w:hAnsiTheme="minorHAnsi" w:cstheme="minorHAnsi"/>
        </w:rPr>
        <w:t>), szczaw zwyczajny (</w:t>
      </w:r>
      <w:proofErr w:type="spellStart"/>
      <w:r w:rsidRPr="008B5432">
        <w:rPr>
          <w:rFonts w:asciiTheme="minorHAnsi" w:hAnsiTheme="minorHAnsi" w:cstheme="minorHAnsi"/>
          <w:i/>
        </w:rPr>
        <w:t>Rumex</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acetosa</w:t>
      </w:r>
      <w:proofErr w:type="spellEnd"/>
      <w:r w:rsidRPr="008B5432">
        <w:rPr>
          <w:rFonts w:asciiTheme="minorHAnsi" w:hAnsiTheme="minorHAnsi" w:cstheme="minorHAnsi"/>
        </w:rPr>
        <w:t>), babka lancetowata (</w:t>
      </w:r>
      <w:proofErr w:type="spellStart"/>
      <w:r w:rsidRPr="008B5432">
        <w:rPr>
          <w:rFonts w:asciiTheme="minorHAnsi" w:hAnsiTheme="minorHAnsi" w:cstheme="minorHAnsi"/>
          <w:i/>
        </w:rPr>
        <w:t>Plantago</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lanceolata</w:t>
      </w:r>
      <w:proofErr w:type="spellEnd"/>
      <w:r w:rsidRPr="008B5432">
        <w:rPr>
          <w:rFonts w:asciiTheme="minorHAnsi" w:hAnsiTheme="minorHAnsi" w:cstheme="minorHAnsi"/>
        </w:rPr>
        <w:t>), marchew zwyczajna (</w:t>
      </w:r>
      <w:proofErr w:type="spellStart"/>
      <w:r w:rsidRPr="008B5432">
        <w:rPr>
          <w:rFonts w:asciiTheme="minorHAnsi" w:hAnsiTheme="minorHAnsi" w:cstheme="minorHAnsi"/>
          <w:i/>
        </w:rPr>
        <w:t>Daucus</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carota</w:t>
      </w:r>
      <w:proofErr w:type="spellEnd"/>
      <w:r w:rsidRPr="008B5432">
        <w:rPr>
          <w:rFonts w:asciiTheme="minorHAnsi" w:hAnsiTheme="minorHAnsi" w:cstheme="minorHAnsi"/>
        </w:rPr>
        <w:t>), mniszek pospolity (</w:t>
      </w:r>
      <w:proofErr w:type="spellStart"/>
      <w:r w:rsidRPr="008B5432">
        <w:rPr>
          <w:rFonts w:asciiTheme="minorHAnsi" w:hAnsiTheme="minorHAnsi" w:cstheme="minorHAnsi"/>
          <w:i/>
        </w:rPr>
        <w:t>Taraxacum</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officinale</w:t>
      </w:r>
      <w:proofErr w:type="spellEnd"/>
      <w:r w:rsidRPr="008B5432">
        <w:rPr>
          <w:rFonts w:asciiTheme="minorHAnsi" w:hAnsiTheme="minorHAnsi" w:cstheme="minorHAnsi"/>
        </w:rPr>
        <w:t>), bylica pospolita (</w:t>
      </w:r>
      <w:proofErr w:type="spellStart"/>
      <w:r w:rsidRPr="008B5432">
        <w:rPr>
          <w:rFonts w:asciiTheme="minorHAnsi" w:hAnsiTheme="minorHAnsi" w:cstheme="minorHAnsi"/>
          <w:i/>
        </w:rPr>
        <w:t>Arthemisia</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vulgaris</w:t>
      </w:r>
      <w:proofErr w:type="spellEnd"/>
      <w:r w:rsidRPr="008B5432">
        <w:rPr>
          <w:rFonts w:asciiTheme="minorHAnsi" w:hAnsiTheme="minorHAnsi" w:cstheme="minorHAnsi"/>
        </w:rPr>
        <w:t>), ostrożeń polny (</w:t>
      </w:r>
      <w:proofErr w:type="spellStart"/>
      <w:r w:rsidRPr="008B5432">
        <w:rPr>
          <w:rFonts w:asciiTheme="minorHAnsi" w:hAnsiTheme="minorHAnsi" w:cstheme="minorHAnsi"/>
          <w:i/>
        </w:rPr>
        <w:t>Cirsium</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arvense</w:t>
      </w:r>
      <w:proofErr w:type="spellEnd"/>
      <w:r w:rsidRPr="008B5432">
        <w:rPr>
          <w:rFonts w:asciiTheme="minorHAnsi" w:hAnsiTheme="minorHAnsi" w:cstheme="minorHAnsi"/>
        </w:rPr>
        <w:t xml:space="preserve">), </w:t>
      </w:r>
      <w:proofErr w:type="spellStart"/>
      <w:r w:rsidRPr="008B5432">
        <w:rPr>
          <w:rFonts w:asciiTheme="minorHAnsi" w:hAnsiTheme="minorHAnsi" w:cstheme="minorHAnsi"/>
        </w:rPr>
        <w:t>krótkosz</w:t>
      </w:r>
      <w:proofErr w:type="spellEnd"/>
      <w:r w:rsidRPr="008B5432">
        <w:rPr>
          <w:rFonts w:asciiTheme="minorHAnsi" w:hAnsiTheme="minorHAnsi" w:cstheme="minorHAnsi"/>
        </w:rPr>
        <w:t xml:space="preserve"> </w:t>
      </w:r>
      <w:proofErr w:type="spellStart"/>
      <w:r w:rsidRPr="008B5432">
        <w:rPr>
          <w:rFonts w:asciiTheme="minorHAnsi" w:hAnsiTheme="minorHAnsi" w:cstheme="minorHAnsi"/>
        </w:rPr>
        <w:t>szorski</w:t>
      </w:r>
      <w:proofErr w:type="spellEnd"/>
      <w:r w:rsidRPr="008B5432">
        <w:rPr>
          <w:rFonts w:asciiTheme="minorHAnsi" w:hAnsiTheme="minorHAnsi" w:cstheme="minorHAnsi"/>
        </w:rPr>
        <w:t xml:space="preserve"> (</w:t>
      </w:r>
      <w:proofErr w:type="spellStart"/>
      <w:r w:rsidRPr="008B5432">
        <w:rPr>
          <w:rFonts w:asciiTheme="minorHAnsi" w:hAnsiTheme="minorHAnsi" w:cstheme="minorHAnsi"/>
          <w:i/>
        </w:rPr>
        <w:t>Brachythecium</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rutabulum</w:t>
      </w:r>
      <w:proofErr w:type="spellEnd"/>
      <w:r w:rsidRPr="008B5432">
        <w:rPr>
          <w:rFonts w:asciiTheme="minorHAnsi" w:hAnsiTheme="minorHAnsi" w:cstheme="minorHAnsi"/>
        </w:rPr>
        <w:t>), skrętek wilgociomierczy (</w:t>
      </w:r>
      <w:proofErr w:type="spellStart"/>
      <w:r w:rsidRPr="008B5432">
        <w:rPr>
          <w:rFonts w:asciiTheme="minorHAnsi" w:hAnsiTheme="minorHAnsi" w:cstheme="minorHAnsi"/>
          <w:i/>
        </w:rPr>
        <w:t>Funaria</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hydrometrica</w:t>
      </w:r>
      <w:proofErr w:type="spellEnd"/>
      <w:r w:rsidRPr="008B5432">
        <w:rPr>
          <w:rFonts w:asciiTheme="minorHAnsi" w:hAnsiTheme="minorHAnsi" w:cstheme="minorHAnsi"/>
        </w:rPr>
        <w:t xml:space="preserve">), </w:t>
      </w:r>
      <w:proofErr w:type="spellStart"/>
      <w:r w:rsidRPr="008B5432">
        <w:rPr>
          <w:rFonts w:asciiTheme="minorHAnsi" w:hAnsiTheme="minorHAnsi" w:cstheme="minorHAnsi"/>
        </w:rPr>
        <w:t>borześlad</w:t>
      </w:r>
      <w:proofErr w:type="spellEnd"/>
      <w:r w:rsidRPr="008B5432">
        <w:rPr>
          <w:rFonts w:asciiTheme="minorHAnsi" w:hAnsiTheme="minorHAnsi" w:cstheme="minorHAnsi"/>
        </w:rPr>
        <w:t xml:space="preserve"> zwisły (</w:t>
      </w:r>
      <w:proofErr w:type="spellStart"/>
      <w:r w:rsidRPr="008B5432">
        <w:rPr>
          <w:rFonts w:asciiTheme="minorHAnsi" w:hAnsiTheme="minorHAnsi" w:cstheme="minorHAnsi"/>
          <w:i/>
        </w:rPr>
        <w:t>Pohlia</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nutans</w:t>
      </w:r>
      <w:proofErr w:type="spellEnd"/>
      <w:r w:rsidRPr="008B5432">
        <w:rPr>
          <w:rFonts w:asciiTheme="minorHAnsi" w:hAnsiTheme="minorHAnsi" w:cstheme="minorHAnsi"/>
        </w:rPr>
        <w:t>), zęboróg czerwonawy (</w:t>
      </w:r>
      <w:proofErr w:type="spellStart"/>
      <w:r w:rsidRPr="008B5432">
        <w:rPr>
          <w:rFonts w:asciiTheme="minorHAnsi" w:hAnsiTheme="minorHAnsi" w:cstheme="minorHAnsi"/>
          <w:i/>
        </w:rPr>
        <w:t>Ceratodon</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purpureus</w:t>
      </w:r>
      <w:proofErr w:type="spellEnd"/>
      <w:r w:rsidRPr="008B5432">
        <w:rPr>
          <w:rFonts w:asciiTheme="minorHAnsi" w:hAnsiTheme="minorHAnsi" w:cstheme="minorHAnsi"/>
        </w:rPr>
        <w:t xml:space="preserve">), </w:t>
      </w:r>
      <w:proofErr w:type="spellStart"/>
      <w:r w:rsidRPr="008B5432">
        <w:rPr>
          <w:rFonts w:asciiTheme="minorHAnsi" w:hAnsiTheme="minorHAnsi" w:cstheme="minorHAnsi"/>
        </w:rPr>
        <w:t>płaskomerzyk</w:t>
      </w:r>
      <w:proofErr w:type="spellEnd"/>
      <w:r w:rsidRPr="008B5432">
        <w:rPr>
          <w:rFonts w:asciiTheme="minorHAnsi" w:hAnsiTheme="minorHAnsi" w:cstheme="minorHAnsi"/>
        </w:rPr>
        <w:t xml:space="preserve"> pokrewny (</w:t>
      </w:r>
      <w:proofErr w:type="spellStart"/>
      <w:r w:rsidRPr="008B5432">
        <w:rPr>
          <w:rFonts w:asciiTheme="minorHAnsi" w:hAnsiTheme="minorHAnsi" w:cstheme="minorHAnsi"/>
          <w:i/>
        </w:rPr>
        <w:t>Plagiomnium</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affine</w:t>
      </w:r>
      <w:proofErr w:type="spellEnd"/>
      <w:r w:rsidRPr="008B5432">
        <w:rPr>
          <w:rFonts w:asciiTheme="minorHAnsi" w:hAnsiTheme="minorHAnsi" w:cstheme="minorHAnsi"/>
        </w:rPr>
        <w:t xml:space="preserve">) </w:t>
      </w:r>
      <w:proofErr w:type="spellStart"/>
      <w:r w:rsidRPr="008B5432">
        <w:rPr>
          <w:rFonts w:asciiTheme="minorHAnsi" w:hAnsiTheme="minorHAnsi" w:cstheme="minorHAnsi"/>
        </w:rPr>
        <w:t>płaskomerzyk</w:t>
      </w:r>
      <w:proofErr w:type="spellEnd"/>
      <w:r w:rsidRPr="008B5432">
        <w:rPr>
          <w:rFonts w:asciiTheme="minorHAnsi" w:hAnsiTheme="minorHAnsi" w:cstheme="minorHAnsi"/>
        </w:rPr>
        <w:t xml:space="preserve"> oskrzydlony (</w:t>
      </w:r>
      <w:proofErr w:type="spellStart"/>
      <w:r w:rsidRPr="008B5432">
        <w:rPr>
          <w:rFonts w:asciiTheme="minorHAnsi" w:hAnsiTheme="minorHAnsi" w:cstheme="minorHAnsi"/>
          <w:i/>
        </w:rPr>
        <w:t>Plagiomnium</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elatum</w:t>
      </w:r>
      <w:proofErr w:type="spellEnd"/>
      <w:r w:rsidRPr="008B5432">
        <w:rPr>
          <w:rFonts w:asciiTheme="minorHAnsi" w:hAnsiTheme="minorHAnsi" w:cstheme="minorHAnsi"/>
        </w:rPr>
        <w:t xml:space="preserve">). Na północ od terenu inwestycji rozwinęły się porębowe zbiorowiska trzcinnika piaskowego </w:t>
      </w:r>
      <w:proofErr w:type="spellStart"/>
      <w:r w:rsidRPr="008B5432">
        <w:rPr>
          <w:rFonts w:asciiTheme="minorHAnsi" w:hAnsiTheme="minorHAnsi" w:cstheme="minorHAnsi"/>
          <w:i/>
        </w:rPr>
        <w:t>Calamagrostietum</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epigeji</w:t>
      </w:r>
      <w:proofErr w:type="spellEnd"/>
      <w:r w:rsidRPr="008B5432">
        <w:rPr>
          <w:rFonts w:asciiTheme="minorHAnsi" w:hAnsiTheme="minorHAnsi" w:cstheme="minorHAnsi"/>
        </w:rPr>
        <w:t>. Ponadto, w granicach prowadzonych obserwacji stwierdzono występowanie nawłoci kanadyjskiej (</w:t>
      </w:r>
      <w:proofErr w:type="spellStart"/>
      <w:r w:rsidRPr="008B5432">
        <w:rPr>
          <w:rFonts w:asciiTheme="minorHAnsi" w:hAnsiTheme="minorHAnsi" w:cstheme="minorHAnsi"/>
          <w:i/>
        </w:rPr>
        <w:t>Solidago</w:t>
      </w:r>
      <w:proofErr w:type="spellEnd"/>
      <w:r w:rsidRPr="008B5432">
        <w:rPr>
          <w:rFonts w:asciiTheme="minorHAnsi" w:hAnsiTheme="minorHAnsi" w:cstheme="minorHAnsi"/>
          <w:i/>
        </w:rPr>
        <w:t xml:space="preserve"> </w:t>
      </w:r>
      <w:proofErr w:type="spellStart"/>
      <w:r w:rsidRPr="008B5432">
        <w:rPr>
          <w:rFonts w:asciiTheme="minorHAnsi" w:hAnsiTheme="minorHAnsi" w:cstheme="minorHAnsi"/>
          <w:i/>
        </w:rPr>
        <w:t>canadensis</w:t>
      </w:r>
      <w:proofErr w:type="spellEnd"/>
      <w:r w:rsidRPr="008B5432">
        <w:rPr>
          <w:rFonts w:asciiTheme="minorHAnsi" w:hAnsiTheme="minorHAnsi" w:cstheme="minorHAnsi"/>
        </w:rPr>
        <w:t>), zaliczanej do średnio inwazyjnego gatunku obcego. Na terenie inwestycji nie stwierdzono chronionych gatunków grzybów wymienionych w rozporządzeniu Ministra Środowiska z dnia 9 października 2014 r. w sprawie ochrony gatunkowej grzybów (Dz. U. Woj. Święt. z 2014 r., poz. 1408). W granicach planowanej inwestycji i w obszarze jej oddziaływania stwierdzono ślady bytowania, żerowania zwierząt tj. sarna europejska (</w:t>
      </w:r>
      <w:proofErr w:type="spellStart"/>
      <w:r w:rsidRPr="008B5432">
        <w:rPr>
          <w:rFonts w:asciiTheme="minorHAnsi" w:eastAsiaTheme="minorHAnsi" w:hAnsiTheme="minorHAnsi" w:cstheme="minorHAnsi"/>
          <w:i/>
          <w:iCs/>
        </w:rPr>
        <w:t>Capreolus</w:t>
      </w:r>
      <w:proofErr w:type="spellEnd"/>
      <w:r w:rsidRPr="008B5432">
        <w:rPr>
          <w:rFonts w:asciiTheme="minorHAnsi" w:eastAsiaTheme="minorHAnsi" w:hAnsiTheme="minorHAnsi" w:cstheme="minorHAnsi"/>
          <w:i/>
          <w:iCs/>
        </w:rPr>
        <w:t xml:space="preserve"> </w:t>
      </w:r>
      <w:proofErr w:type="spellStart"/>
      <w:r w:rsidRPr="008B5432">
        <w:rPr>
          <w:rFonts w:asciiTheme="minorHAnsi" w:eastAsiaTheme="minorHAnsi" w:hAnsiTheme="minorHAnsi" w:cstheme="minorHAnsi"/>
          <w:i/>
          <w:iCs/>
        </w:rPr>
        <w:t>capreolus</w:t>
      </w:r>
      <w:proofErr w:type="spellEnd"/>
      <w:r w:rsidRPr="008B5432">
        <w:rPr>
          <w:rFonts w:asciiTheme="minorHAnsi" w:eastAsiaTheme="minorHAnsi" w:hAnsiTheme="minorHAnsi" w:cstheme="minorHAnsi"/>
          <w:i/>
          <w:iCs/>
        </w:rPr>
        <w:t>)</w:t>
      </w:r>
      <w:r w:rsidRPr="008B5432">
        <w:rPr>
          <w:rFonts w:asciiTheme="minorHAnsi" w:hAnsiTheme="minorHAnsi" w:cstheme="minorHAnsi"/>
        </w:rPr>
        <w:t>, dzik eurazjatycki (</w:t>
      </w:r>
      <w:r w:rsidRPr="008B5432">
        <w:rPr>
          <w:rFonts w:asciiTheme="minorHAnsi" w:eastAsiaTheme="minorHAnsi" w:hAnsiTheme="minorHAnsi" w:cstheme="minorHAnsi"/>
          <w:i/>
          <w:iCs/>
        </w:rPr>
        <w:t xml:space="preserve">Sus </w:t>
      </w:r>
      <w:proofErr w:type="spellStart"/>
      <w:r w:rsidRPr="008B5432">
        <w:rPr>
          <w:rFonts w:asciiTheme="minorHAnsi" w:eastAsiaTheme="minorHAnsi" w:hAnsiTheme="minorHAnsi" w:cstheme="minorHAnsi"/>
          <w:i/>
          <w:iCs/>
        </w:rPr>
        <w:t>scrofa</w:t>
      </w:r>
      <w:proofErr w:type="spellEnd"/>
      <w:r w:rsidRPr="008B5432">
        <w:rPr>
          <w:rFonts w:asciiTheme="minorHAnsi" w:hAnsiTheme="minorHAnsi" w:cstheme="minorHAnsi"/>
        </w:rPr>
        <w:t>), wiewiórka pospolita (</w:t>
      </w:r>
      <w:proofErr w:type="spellStart"/>
      <w:r w:rsidRPr="008B5432">
        <w:rPr>
          <w:rFonts w:asciiTheme="minorHAnsi" w:eastAsiaTheme="minorHAnsi" w:hAnsiTheme="minorHAnsi" w:cstheme="minorHAnsi"/>
          <w:i/>
          <w:iCs/>
        </w:rPr>
        <w:t>Sciurus</w:t>
      </w:r>
      <w:proofErr w:type="spellEnd"/>
      <w:r w:rsidRPr="008B5432">
        <w:rPr>
          <w:rFonts w:asciiTheme="minorHAnsi" w:eastAsiaTheme="minorHAnsi" w:hAnsiTheme="minorHAnsi" w:cstheme="minorHAnsi"/>
          <w:i/>
          <w:iCs/>
        </w:rPr>
        <w:t xml:space="preserve"> </w:t>
      </w:r>
      <w:proofErr w:type="spellStart"/>
      <w:r w:rsidRPr="008B5432">
        <w:rPr>
          <w:rFonts w:asciiTheme="minorHAnsi" w:eastAsiaTheme="minorHAnsi" w:hAnsiTheme="minorHAnsi" w:cstheme="minorHAnsi"/>
          <w:i/>
          <w:iCs/>
        </w:rPr>
        <w:t>vulgaris</w:t>
      </w:r>
      <w:proofErr w:type="spellEnd"/>
      <w:r w:rsidRPr="008B5432">
        <w:rPr>
          <w:rFonts w:asciiTheme="minorHAnsi" w:hAnsiTheme="minorHAnsi" w:cstheme="minorHAnsi"/>
        </w:rPr>
        <w:t>), jeleń szlachetny (</w:t>
      </w:r>
      <w:proofErr w:type="spellStart"/>
      <w:r w:rsidRPr="008B5432">
        <w:rPr>
          <w:rFonts w:asciiTheme="minorHAnsi" w:eastAsiaTheme="minorHAnsi" w:hAnsiTheme="minorHAnsi" w:cstheme="minorHAnsi"/>
          <w:i/>
          <w:iCs/>
        </w:rPr>
        <w:t>Cervus</w:t>
      </w:r>
      <w:proofErr w:type="spellEnd"/>
      <w:r w:rsidRPr="008B5432">
        <w:rPr>
          <w:rFonts w:asciiTheme="minorHAnsi" w:eastAsiaTheme="minorHAnsi" w:hAnsiTheme="minorHAnsi" w:cstheme="minorHAnsi"/>
          <w:i/>
          <w:iCs/>
        </w:rPr>
        <w:t xml:space="preserve"> </w:t>
      </w:r>
      <w:proofErr w:type="spellStart"/>
      <w:r w:rsidRPr="008B5432">
        <w:rPr>
          <w:rFonts w:asciiTheme="minorHAnsi" w:eastAsiaTheme="minorHAnsi" w:hAnsiTheme="minorHAnsi" w:cstheme="minorHAnsi"/>
          <w:i/>
          <w:iCs/>
        </w:rPr>
        <w:t>elaphus</w:t>
      </w:r>
      <w:proofErr w:type="spellEnd"/>
      <w:r w:rsidRPr="008B5432">
        <w:rPr>
          <w:rFonts w:asciiTheme="minorHAnsi" w:hAnsiTheme="minorHAnsi" w:cstheme="minorHAnsi"/>
        </w:rPr>
        <w:t>), kret europejski (</w:t>
      </w:r>
      <w:proofErr w:type="spellStart"/>
      <w:r w:rsidRPr="008B5432">
        <w:rPr>
          <w:rFonts w:asciiTheme="minorHAnsi" w:eastAsiaTheme="minorHAnsi" w:hAnsiTheme="minorHAnsi" w:cstheme="minorHAnsi"/>
          <w:i/>
          <w:iCs/>
        </w:rPr>
        <w:t>Talpa</w:t>
      </w:r>
      <w:proofErr w:type="spellEnd"/>
      <w:r w:rsidRPr="008B5432">
        <w:rPr>
          <w:rFonts w:asciiTheme="minorHAnsi" w:eastAsiaTheme="minorHAnsi" w:hAnsiTheme="minorHAnsi" w:cstheme="minorHAnsi"/>
          <w:i/>
          <w:iCs/>
        </w:rPr>
        <w:t xml:space="preserve"> </w:t>
      </w:r>
      <w:proofErr w:type="spellStart"/>
      <w:r w:rsidRPr="008B5432">
        <w:rPr>
          <w:rFonts w:asciiTheme="minorHAnsi" w:eastAsiaTheme="minorHAnsi" w:hAnsiTheme="minorHAnsi" w:cstheme="minorHAnsi"/>
          <w:i/>
          <w:iCs/>
        </w:rPr>
        <w:lastRenderedPageBreak/>
        <w:t>europaea</w:t>
      </w:r>
      <w:proofErr w:type="spellEnd"/>
      <w:r w:rsidRPr="008B5432">
        <w:rPr>
          <w:rFonts w:asciiTheme="minorHAnsi" w:hAnsiTheme="minorHAnsi" w:cstheme="minorHAnsi"/>
        </w:rPr>
        <w:t>), wilk szary (</w:t>
      </w:r>
      <w:proofErr w:type="spellStart"/>
      <w:r w:rsidRPr="008B5432">
        <w:rPr>
          <w:rFonts w:asciiTheme="minorHAnsi" w:eastAsiaTheme="minorHAnsi" w:hAnsiTheme="minorHAnsi" w:cstheme="minorHAnsi"/>
          <w:i/>
          <w:iCs/>
        </w:rPr>
        <w:t>Canis</w:t>
      </w:r>
      <w:proofErr w:type="spellEnd"/>
      <w:r w:rsidRPr="008B5432">
        <w:rPr>
          <w:rFonts w:asciiTheme="minorHAnsi" w:eastAsiaTheme="minorHAnsi" w:hAnsiTheme="minorHAnsi" w:cstheme="minorHAnsi"/>
          <w:i/>
          <w:iCs/>
        </w:rPr>
        <w:t xml:space="preserve"> </w:t>
      </w:r>
      <w:proofErr w:type="spellStart"/>
      <w:r w:rsidRPr="008B5432">
        <w:rPr>
          <w:rFonts w:asciiTheme="minorHAnsi" w:eastAsiaTheme="minorHAnsi" w:hAnsiTheme="minorHAnsi" w:cstheme="minorHAnsi"/>
          <w:i/>
          <w:iCs/>
        </w:rPr>
        <w:t>lupus</w:t>
      </w:r>
      <w:proofErr w:type="spellEnd"/>
      <w:r w:rsidRPr="008B5432">
        <w:rPr>
          <w:rFonts w:asciiTheme="minorHAnsi" w:eastAsiaTheme="minorHAnsi" w:hAnsiTheme="minorHAnsi" w:cstheme="minorHAnsi"/>
        </w:rPr>
        <w:t>), jaszczurka zwinka (</w:t>
      </w:r>
      <w:proofErr w:type="spellStart"/>
      <w:r w:rsidRPr="008B5432">
        <w:rPr>
          <w:rFonts w:asciiTheme="minorHAnsi" w:eastAsiaTheme="minorHAnsi" w:hAnsiTheme="minorHAnsi" w:cstheme="minorHAnsi"/>
          <w:i/>
        </w:rPr>
        <w:t>Lacerta</w:t>
      </w:r>
      <w:proofErr w:type="spellEnd"/>
      <w:r w:rsidRPr="008B5432">
        <w:rPr>
          <w:rFonts w:asciiTheme="minorHAnsi" w:eastAsiaTheme="minorHAnsi" w:hAnsiTheme="minorHAnsi" w:cstheme="minorHAnsi"/>
          <w:i/>
        </w:rPr>
        <w:t xml:space="preserve"> </w:t>
      </w:r>
      <w:proofErr w:type="spellStart"/>
      <w:r w:rsidRPr="008B5432">
        <w:rPr>
          <w:rFonts w:asciiTheme="minorHAnsi" w:eastAsiaTheme="minorHAnsi" w:hAnsiTheme="minorHAnsi" w:cstheme="minorHAnsi"/>
          <w:i/>
        </w:rPr>
        <w:t>agilis</w:t>
      </w:r>
      <w:proofErr w:type="spellEnd"/>
      <w:r w:rsidRPr="008B5432">
        <w:rPr>
          <w:rFonts w:asciiTheme="minorHAnsi" w:eastAsiaTheme="minorHAnsi" w:hAnsiTheme="minorHAnsi" w:cstheme="minorHAnsi"/>
        </w:rPr>
        <w:t>), mrówka rudnica (</w:t>
      </w:r>
      <w:proofErr w:type="spellStart"/>
      <w:r w:rsidRPr="008B5432">
        <w:rPr>
          <w:rFonts w:asciiTheme="minorHAnsi" w:eastAsiaTheme="minorHAnsi" w:hAnsiTheme="minorHAnsi" w:cstheme="minorHAnsi"/>
          <w:i/>
        </w:rPr>
        <w:t>Formica</w:t>
      </w:r>
      <w:proofErr w:type="spellEnd"/>
      <w:r w:rsidRPr="008B5432">
        <w:rPr>
          <w:rFonts w:asciiTheme="minorHAnsi" w:eastAsiaTheme="minorHAnsi" w:hAnsiTheme="minorHAnsi" w:cstheme="minorHAnsi"/>
          <w:i/>
        </w:rPr>
        <w:t xml:space="preserve"> rufa</w:t>
      </w:r>
      <w:r w:rsidRPr="008B5432">
        <w:rPr>
          <w:rFonts w:asciiTheme="minorHAnsi" w:eastAsiaTheme="minorHAnsi" w:hAnsiTheme="minorHAnsi" w:cstheme="minorHAnsi"/>
        </w:rPr>
        <w:t>) oraz trzmiel rudy (</w:t>
      </w:r>
      <w:proofErr w:type="spellStart"/>
      <w:r w:rsidRPr="008B5432">
        <w:rPr>
          <w:rFonts w:asciiTheme="minorHAnsi" w:eastAsiaTheme="minorHAnsi" w:hAnsiTheme="minorHAnsi" w:cstheme="minorHAnsi"/>
          <w:i/>
        </w:rPr>
        <w:t>Bombus</w:t>
      </w:r>
      <w:proofErr w:type="spellEnd"/>
      <w:r w:rsidRPr="008B5432">
        <w:rPr>
          <w:rFonts w:asciiTheme="minorHAnsi" w:eastAsiaTheme="minorHAnsi" w:hAnsiTheme="minorHAnsi" w:cstheme="minorHAnsi"/>
          <w:i/>
        </w:rPr>
        <w:t xml:space="preserve"> </w:t>
      </w:r>
      <w:proofErr w:type="spellStart"/>
      <w:r w:rsidRPr="008B5432">
        <w:rPr>
          <w:rFonts w:asciiTheme="minorHAnsi" w:eastAsiaTheme="minorHAnsi" w:hAnsiTheme="minorHAnsi" w:cstheme="minorHAnsi"/>
          <w:i/>
        </w:rPr>
        <w:t>pascuorum</w:t>
      </w:r>
      <w:proofErr w:type="spellEnd"/>
      <w:r w:rsidRPr="008B5432">
        <w:rPr>
          <w:rFonts w:asciiTheme="minorHAnsi" w:eastAsiaTheme="minorHAnsi" w:hAnsiTheme="minorHAnsi" w:cstheme="minorHAnsi"/>
        </w:rPr>
        <w:t>) – zgodnie z rozporządzeniem Ministra Środowiska z dnia 16 grudnia 2016 r. w sprawie ochrony gatunkowej zwierząt (tekst jedn. Dz. U. z 2022 r., poz. 2380), wilk objęty jest ochroną ścisłą, natomiast wiewiórka pospolita, kret europejski, jaszczurka zwinka, mrówka rudnica, trzmiel rudy objęte są ochroną częściową. Wśród ptaków występujących na terenie inwestycji oraz w buforze do 500 m od jego granic odnotowano przedstawicieli gatunków, które zgodnie z ww. rozporządzeniem objęte są</w:t>
      </w:r>
      <w:r w:rsidR="005E6BCA">
        <w:rPr>
          <w:rFonts w:asciiTheme="minorHAnsi" w:eastAsiaTheme="minorHAnsi" w:hAnsiTheme="minorHAnsi" w:cstheme="minorHAnsi"/>
        </w:rPr>
        <w:t> </w:t>
      </w:r>
      <w:r w:rsidRPr="008B5432">
        <w:rPr>
          <w:rFonts w:asciiTheme="minorHAnsi" w:eastAsiaTheme="minorHAnsi" w:hAnsiTheme="minorHAnsi" w:cstheme="minorHAnsi"/>
        </w:rPr>
        <w:t>ochroną ścisłą np. bogatka (</w:t>
      </w:r>
      <w:proofErr w:type="spellStart"/>
      <w:r w:rsidRPr="008B5432">
        <w:rPr>
          <w:rFonts w:asciiTheme="minorHAnsi" w:eastAsiaTheme="minorHAnsi" w:hAnsiTheme="minorHAnsi" w:cstheme="minorHAnsi"/>
          <w:i/>
        </w:rPr>
        <w:t>Parus</w:t>
      </w:r>
      <w:proofErr w:type="spellEnd"/>
      <w:r w:rsidRPr="008B5432">
        <w:rPr>
          <w:rFonts w:asciiTheme="minorHAnsi" w:eastAsiaTheme="minorHAnsi" w:hAnsiTheme="minorHAnsi" w:cstheme="minorHAnsi"/>
          <w:i/>
        </w:rPr>
        <w:t xml:space="preserve"> major</w:t>
      </w:r>
      <w:r w:rsidRPr="008B5432">
        <w:rPr>
          <w:rFonts w:asciiTheme="minorHAnsi" w:eastAsiaTheme="minorHAnsi" w:hAnsiTheme="minorHAnsi" w:cstheme="minorHAnsi"/>
        </w:rPr>
        <w:t>), dzięcioł zielony (</w:t>
      </w:r>
      <w:proofErr w:type="spellStart"/>
      <w:r w:rsidRPr="008B5432">
        <w:rPr>
          <w:rFonts w:asciiTheme="minorHAnsi" w:eastAsiaTheme="minorHAnsi" w:hAnsiTheme="minorHAnsi" w:cstheme="minorHAnsi"/>
          <w:i/>
        </w:rPr>
        <w:t>Picus</w:t>
      </w:r>
      <w:proofErr w:type="spellEnd"/>
      <w:r w:rsidRPr="008B5432">
        <w:rPr>
          <w:rFonts w:asciiTheme="minorHAnsi" w:eastAsiaTheme="minorHAnsi" w:hAnsiTheme="minorHAnsi" w:cstheme="minorHAnsi"/>
          <w:i/>
        </w:rPr>
        <w:t xml:space="preserve"> </w:t>
      </w:r>
      <w:proofErr w:type="spellStart"/>
      <w:r w:rsidRPr="008B5432">
        <w:rPr>
          <w:rFonts w:asciiTheme="minorHAnsi" w:eastAsiaTheme="minorHAnsi" w:hAnsiTheme="minorHAnsi" w:cstheme="minorHAnsi"/>
          <w:i/>
        </w:rPr>
        <w:t>viridis</w:t>
      </w:r>
      <w:proofErr w:type="spellEnd"/>
      <w:r w:rsidRPr="008B5432">
        <w:rPr>
          <w:rFonts w:asciiTheme="minorHAnsi" w:eastAsiaTheme="minorHAnsi" w:hAnsiTheme="minorHAnsi" w:cstheme="minorHAnsi"/>
        </w:rPr>
        <w:t>) mazurek (</w:t>
      </w:r>
      <w:proofErr w:type="spellStart"/>
      <w:r w:rsidRPr="008B5432">
        <w:rPr>
          <w:rFonts w:asciiTheme="minorHAnsi" w:eastAsiaTheme="minorHAnsi" w:hAnsiTheme="minorHAnsi" w:cstheme="minorHAnsi"/>
          <w:i/>
        </w:rPr>
        <w:t>Passer</w:t>
      </w:r>
      <w:proofErr w:type="spellEnd"/>
      <w:r w:rsidRPr="008B5432">
        <w:rPr>
          <w:rFonts w:asciiTheme="minorHAnsi" w:eastAsiaTheme="minorHAnsi" w:hAnsiTheme="minorHAnsi" w:cstheme="minorHAnsi"/>
          <w:i/>
        </w:rPr>
        <w:t xml:space="preserve"> </w:t>
      </w:r>
      <w:proofErr w:type="spellStart"/>
      <w:r w:rsidRPr="008B5432">
        <w:rPr>
          <w:rFonts w:asciiTheme="minorHAnsi" w:eastAsiaTheme="minorHAnsi" w:hAnsiTheme="minorHAnsi" w:cstheme="minorHAnsi"/>
          <w:i/>
        </w:rPr>
        <w:t>montanus</w:t>
      </w:r>
      <w:proofErr w:type="spellEnd"/>
      <w:r w:rsidRPr="008B5432">
        <w:rPr>
          <w:rFonts w:asciiTheme="minorHAnsi" w:eastAsiaTheme="minorHAnsi" w:hAnsiTheme="minorHAnsi" w:cstheme="minorHAnsi"/>
        </w:rPr>
        <w:t>),</w:t>
      </w:r>
      <w:r w:rsidRPr="008B5432">
        <w:rPr>
          <w:rFonts w:asciiTheme="minorHAnsi" w:hAnsiTheme="minorHAnsi" w:cstheme="minorHAnsi"/>
        </w:rPr>
        <w:t xml:space="preserve"> </w:t>
      </w:r>
      <w:r w:rsidRPr="008B5432">
        <w:rPr>
          <w:rFonts w:asciiTheme="minorHAnsi" w:eastAsiaTheme="minorHAnsi" w:hAnsiTheme="minorHAnsi" w:cstheme="minorHAnsi"/>
        </w:rPr>
        <w:t>pierwiosnek (</w:t>
      </w:r>
      <w:proofErr w:type="spellStart"/>
      <w:r w:rsidRPr="008B5432">
        <w:rPr>
          <w:rFonts w:asciiTheme="minorHAnsi" w:eastAsiaTheme="minorHAnsi" w:hAnsiTheme="minorHAnsi" w:cstheme="minorHAnsi"/>
          <w:i/>
        </w:rPr>
        <w:t>Phylloscopus</w:t>
      </w:r>
      <w:proofErr w:type="spellEnd"/>
      <w:r w:rsidRPr="008B5432">
        <w:rPr>
          <w:rFonts w:asciiTheme="minorHAnsi" w:eastAsiaTheme="minorHAnsi" w:hAnsiTheme="minorHAnsi" w:cstheme="minorHAnsi"/>
          <w:i/>
        </w:rPr>
        <w:t xml:space="preserve"> </w:t>
      </w:r>
      <w:proofErr w:type="spellStart"/>
      <w:r w:rsidRPr="008B5432">
        <w:rPr>
          <w:rFonts w:asciiTheme="minorHAnsi" w:eastAsiaTheme="minorHAnsi" w:hAnsiTheme="minorHAnsi" w:cstheme="minorHAnsi"/>
          <w:i/>
        </w:rPr>
        <w:t>collybita</w:t>
      </w:r>
      <w:proofErr w:type="spellEnd"/>
      <w:r w:rsidRPr="008B5432">
        <w:rPr>
          <w:rFonts w:asciiTheme="minorHAnsi" w:eastAsiaTheme="minorHAnsi" w:hAnsiTheme="minorHAnsi" w:cstheme="minorHAnsi"/>
        </w:rPr>
        <w:t>) lub częściową np. kruk (</w:t>
      </w:r>
      <w:proofErr w:type="spellStart"/>
      <w:r w:rsidRPr="008B5432">
        <w:rPr>
          <w:rFonts w:asciiTheme="minorHAnsi" w:eastAsiaTheme="minorHAnsi" w:hAnsiTheme="minorHAnsi" w:cstheme="minorHAnsi"/>
          <w:i/>
        </w:rPr>
        <w:t>Corvus</w:t>
      </w:r>
      <w:proofErr w:type="spellEnd"/>
      <w:r w:rsidRPr="008B5432">
        <w:rPr>
          <w:rFonts w:asciiTheme="minorHAnsi" w:eastAsiaTheme="minorHAnsi" w:hAnsiTheme="minorHAnsi" w:cstheme="minorHAnsi"/>
          <w:i/>
        </w:rPr>
        <w:t xml:space="preserve"> </w:t>
      </w:r>
      <w:proofErr w:type="spellStart"/>
      <w:r w:rsidRPr="008B5432">
        <w:rPr>
          <w:rFonts w:asciiTheme="minorHAnsi" w:eastAsiaTheme="minorHAnsi" w:hAnsiTheme="minorHAnsi" w:cstheme="minorHAnsi"/>
          <w:i/>
        </w:rPr>
        <w:t>corax</w:t>
      </w:r>
      <w:proofErr w:type="spellEnd"/>
      <w:r w:rsidRPr="008B5432">
        <w:rPr>
          <w:rFonts w:asciiTheme="minorHAnsi" w:eastAsiaTheme="minorHAnsi" w:hAnsiTheme="minorHAnsi" w:cstheme="minorHAnsi"/>
        </w:rPr>
        <w:t>), wrona siwa (</w:t>
      </w:r>
      <w:proofErr w:type="spellStart"/>
      <w:r w:rsidRPr="008B5432">
        <w:rPr>
          <w:rFonts w:asciiTheme="minorHAnsi" w:eastAsiaTheme="minorHAnsi" w:hAnsiTheme="minorHAnsi" w:cstheme="minorHAnsi"/>
          <w:i/>
        </w:rPr>
        <w:t>Corvus</w:t>
      </w:r>
      <w:proofErr w:type="spellEnd"/>
      <w:r w:rsidRPr="008B5432">
        <w:rPr>
          <w:rFonts w:asciiTheme="minorHAnsi" w:eastAsiaTheme="minorHAnsi" w:hAnsiTheme="minorHAnsi" w:cstheme="minorHAnsi"/>
          <w:i/>
        </w:rPr>
        <w:t xml:space="preserve"> </w:t>
      </w:r>
      <w:proofErr w:type="spellStart"/>
      <w:r w:rsidRPr="008B5432">
        <w:rPr>
          <w:rFonts w:asciiTheme="minorHAnsi" w:eastAsiaTheme="minorHAnsi" w:hAnsiTheme="minorHAnsi" w:cstheme="minorHAnsi"/>
          <w:i/>
        </w:rPr>
        <w:t>cornix</w:t>
      </w:r>
      <w:proofErr w:type="spellEnd"/>
      <w:r w:rsidRPr="008B5432">
        <w:rPr>
          <w:rFonts w:asciiTheme="minorHAnsi" w:eastAsiaTheme="minorHAnsi" w:hAnsiTheme="minorHAnsi" w:cstheme="minorHAnsi"/>
        </w:rPr>
        <w:t>), sroka (</w:t>
      </w:r>
      <w:r w:rsidRPr="008B5432">
        <w:rPr>
          <w:rFonts w:asciiTheme="minorHAnsi" w:eastAsiaTheme="minorHAnsi" w:hAnsiTheme="minorHAnsi" w:cstheme="minorHAnsi"/>
          <w:i/>
        </w:rPr>
        <w:t>Pica pica</w:t>
      </w:r>
      <w:r w:rsidRPr="008B5432">
        <w:rPr>
          <w:rFonts w:asciiTheme="minorHAnsi" w:eastAsiaTheme="minorHAnsi" w:hAnsiTheme="minorHAnsi" w:cstheme="minorHAnsi"/>
        </w:rPr>
        <w:t xml:space="preserve">). Przeprowadzona wizja terenowa nie wykazała natomiast drzew dziuplastych, które mogłyby stanowić miejsca lęgowe stwierdzonych przedstawicieli awifauny. </w:t>
      </w:r>
    </w:p>
    <w:p w:rsidR="008B5432" w:rsidRPr="008B5432" w:rsidRDefault="008B5432" w:rsidP="005E6BCA">
      <w:pPr>
        <w:tabs>
          <w:tab w:val="left" w:pos="0"/>
        </w:tabs>
        <w:spacing w:line="360" w:lineRule="auto"/>
        <w:jc w:val="both"/>
        <w:rPr>
          <w:rFonts w:asciiTheme="minorHAnsi" w:hAnsiTheme="minorHAnsi" w:cstheme="minorHAnsi"/>
        </w:rPr>
      </w:pPr>
      <w:r w:rsidRPr="008B5432">
        <w:rPr>
          <w:rFonts w:asciiTheme="minorHAnsi" w:hAnsiTheme="minorHAnsi" w:cstheme="minorHAnsi"/>
        </w:rPr>
        <w:t xml:space="preserve">W ramach inwestycji przewiduje się wycinkę drzew w ilości ok. 326 szt. oraz </w:t>
      </w:r>
      <w:proofErr w:type="spellStart"/>
      <w:r w:rsidRPr="008B5432">
        <w:rPr>
          <w:rFonts w:asciiTheme="minorHAnsi" w:hAnsiTheme="minorHAnsi" w:cstheme="minorHAnsi"/>
        </w:rPr>
        <w:t>zakrzewień</w:t>
      </w:r>
      <w:proofErr w:type="spellEnd"/>
      <w:r w:rsidRPr="008B5432">
        <w:rPr>
          <w:rFonts w:asciiTheme="minorHAnsi" w:hAnsiTheme="minorHAnsi" w:cstheme="minorHAnsi"/>
        </w:rPr>
        <w:t xml:space="preserve"> o</w:t>
      </w:r>
      <w:r w:rsidR="005E6BCA">
        <w:rPr>
          <w:rFonts w:asciiTheme="minorHAnsi" w:hAnsiTheme="minorHAnsi" w:cstheme="minorHAnsi"/>
        </w:rPr>
        <w:t> </w:t>
      </w:r>
      <w:r w:rsidRPr="008B5432">
        <w:rPr>
          <w:rFonts w:asciiTheme="minorHAnsi" w:hAnsiTheme="minorHAnsi" w:cstheme="minorHAnsi"/>
        </w:rPr>
        <w:t>łącznej powierzchni ok. 12311 m</w:t>
      </w:r>
      <w:r w:rsidRPr="008B5432">
        <w:rPr>
          <w:rFonts w:asciiTheme="minorHAnsi" w:hAnsiTheme="minorHAnsi" w:cstheme="minorHAnsi"/>
          <w:vertAlign w:val="superscript"/>
        </w:rPr>
        <w:t>2</w:t>
      </w:r>
      <w:r w:rsidRPr="008B5432">
        <w:rPr>
          <w:rFonts w:asciiTheme="minorHAnsi" w:hAnsiTheme="minorHAnsi" w:cstheme="minorHAnsi"/>
        </w:rPr>
        <w:t>. Zgodnie z KIP, wycinka zostanie przeprowadzona w niezbędnym zakresie, poza sezonem lęgowym większości gatunków ptaków tj. w okresie od połowy października do końca lutego. Dopuszcza się przeprowadzenie wycinki poza tym terminem pod nadzorem przyrodniczym, który dokona przeglądu drzew i krzewów przeznaczonych do wycinki na obecność gniazd/dziupli ptaków. Drzewa i krzewy znajdujące się w najbliższym sąsiedztwie prowadzonych prac należy zabezpieczyć przed uszkodzeniem. Prace ziemne w pobliżu bryły korzeniowej należy wykonywać ręcznie i nie dopuszczać do</w:t>
      </w:r>
      <w:r w:rsidR="005E6BCA">
        <w:rPr>
          <w:rFonts w:asciiTheme="minorHAnsi" w:hAnsiTheme="minorHAnsi" w:cstheme="minorHAnsi"/>
        </w:rPr>
        <w:t> </w:t>
      </w:r>
      <w:r w:rsidRPr="008B5432">
        <w:rPr>
          <w:rFonts w:asciiTheme="minorHAnsi" w:hAnsiTheme="minorHAnsi" w:cstheme="minorHAnsi"/>
        </w:rPr>
        <w:t>przesuszenia gruntu w obrębie systemu korzeniowego. Bezpośrednio pod koronami drzew, w obrębie rzutu korony nie należy składować materiałów budowlanych oraz ziemi z wykopów. W przypadku uszkodzenia korzeni lub gałęzi należy je zabezpieczyć odpowiednim środkiem ochronnym.</w:t>
      </w:r>
    </w:p>
    <w:p w:rsidR="008B5432" w:rsidRPr="008B5432" w:rsidRDefault="008B5432" w:rsidP="005E6BCA">
      <w:pPr>
        <w:spacing w:line="360" w:lineRule="auto"/>
        <w:jc w:val="both"/>
        <w:rPr>
          <w:rFonts w:asciiTheme="minorHAnsi" w:hAnsiTheme="minorHAnsi" w:cstheme="minorHAnsi"/>
        </w:rPr>
      </w:pPr>
      <w:r w:rsidRPr="008B5432">
        <w:rPr>
          <w:rFonts w:asciiTheme="minorHAnsi" w:hAnsiTheme="minorHAnsi" w:cstheme="minorHAnsi"/>
        </w:rPr>
        <w:t>Przed rozpoczęciem prac budowlanych należy dokonać kontroli placu budowy na obecność występowania zwierząt. Wykopy powstałe w trakcie prac należy zabezpieczyć przed możliwością uwięzienia w nich zwierząt, poprzez wygrodzenie placu budowy lub przykrycia wykopu np. siatką o drobnych oczkach. W miarę możliwości, należy wyprofilować kąt nachylenia skarpy wykopu w sposób umożliwiający samodzielne opuszczenie wykopu przez zwierzęta. Stwierdzone osobniki przenieść poza rejon prac w bezpieczne miejsce, na tereny sąsiednie, niekolidujące z inwestycją o zbliżonych warunkach siedliskowych. Wykopy należy zasypywać sukcesywnie, zgodnie z profilem litologicznym.</w:t>
      </w:r>
    </w:p>
    <w:p w:rsidR="008B5432" w:rsidRPr="008B5432" w:rsidRDefault="008B5432" w:rsidP="005E6BCA">
      <w:pPr>
        <w:tabs>
          <w:tab w:val="left" w:pos="0"/>
        </w:tabs>
        <w:spacing w:line="360" w:lineRule="auto"/>
        <w:jc w:val="both"/>
        <w:rPr>
          <w:rFonts w:asciiTheme="minorHAnsi" w:hAnsiTheme="minorHAnsi" w:cstheme="minorHAnsi"/>
        </w:rPr>
      </w:pPr>
      <w:r w:rsidRPr="008B5432">
        <w:rPr>
          <w:rFonts w:asciiTheme="minorHAnsi" w:hAnsiTheme="minorHAnsi" w:cstheme="minorHAnsi"/>
        </w:rPr>
        <w:lastRenderedPageBreak/>
        <w:t>Należy dodać, że decyzja o środowiskowych uwarunkowaniach nie zezwala na</w:t>
      </w:r>
      <w:r w:rsidR="005E6BCA">
        <w:rPr>
          <w:rFonts w:asciiTheme="minorHAnsi" w:hAnsiTheme="minorHAnsi" w:cstheme="minorHAnsi"/>
        </w:rPr>
        <w:t> </w:t>
      </w:r>
      <w:r w:rsidRPr="008B5432">
        <w:rPr>
          <w:rFonts w:asciiTheme="minorHAnsi" w:hAnsiTheme="minorHAnsi" w:cstheme="minorHAnsi"/>
        </w:rPr>
        <w:t>przeprowadzenie czynności zakazanych w stosunku do gatunków chronionych. W</w:t>
      </w:r>
      <w:r w:rsidR="005E6BCA">
        <w:rPr>
          <w:rFonts w:asciiTheme="minorHAnsi" w:hAnsiTheme="minorHAnsi" w:cstheme="minorHAnsi"/>
        </w:rPr>
        <w:t> </w:t>
      </w:r>
      <w:r w:rsidRPr="008B5432">
        <w:rPr>
          <w:rFonts w:asciiTheme="minorHAnsi" w:hAnsiTheme="minorHAnsi" w:cstheme="minorHAnsi"/>
        </w:rPr>
        <w:t>przypadku możliwości naruszenia zakazów obowiązujących w stosunku do gatunków podlegających ochronie, niezbędne będzie uzyskanie stosownego zezwolenia na czynności podlegające zakazom, w trybie art. 56 ustawy z dnia 16 kwietnia 2004 r. o ochronie przyrody (tekst jedn. Dz. U. z 2026 r., poz. 1315).</w:t>
      </w:r>
    </w:p>
    <w:p w:rsidR="008B5432" w:rsidRPr="008B5432" w:rsidRDefault="008B5432" w:rsidP="005E6BCA">
      <w:pPr>
        <w:tabs>
          <w:tab w:val="left" w:pos="0"/>
        </w:tabs>
        <w:spacing w:line="360" w:lineRule="auto"/>
        <w:jc w:val="both"/>
        <w:rPr>
          <w:rFonts w:asciiTheme="minorHAnsi" w:hAnsiTheme="minorHAnsi" w:cstheme="minorHAnsi"/>
        </w:rPr>
      </w:pPr>
      <w:r w:rsidRPr="008B5432">
        <w:rPr>
          <w:rFonts w:asciiTheme="minorHAnsi" w:hAnsiTheme="minorHAnsi" w:cstheme="minorHAnsi"/>
        </w:rPr>
        <w:t>W przypadku stwierdzenia obecności inwazyjnych gatunków obcych wymienionych w rozporządzeniu Rady Ministrów z dnia 9 grudnia 2022 r. w sprawie listy inwazyjnych gatunków obcych stwarzających zagrożenie dla Unii Europejskiej i listy inwazyjnych gatunków obcych stwarzających zagrożenie dla Polski, działań zaradczych oraz środków mających na celu przywrócenie naturalnego stanu ekosystemów (Dz. U. z 2022 r., poz. 2649) należy podjąć stosowne działania wynikające z obowiązujących przepisów w tym zakresie, w tym z ww. rozporządzenia oraz ustawy z dnia 11 sierpnia 2021 r. o gatunkach obcych (tekst jedn. Dz. U. z</w:t>
      </w:r>
      <w:r w:rsidR="005E6BCA">
        <w:rPr>
          <w:rFonts w:asciiTheme="minorHAnsi" w:hAnsiTheme="minorHAnsi" w:cstheme="minorHAnsi"/>
        </w:rPr>
        <w:t> </w:t>
      </w:r>
      <w:r w:rsidRPr="008B5432">
        <w:rPr>
          <w:rFonts w:asciiTheme="minorHAnsi" w:hAnsiTheme="minorHAnsi" w:cstheme="minorHAnsi"/>
        </w:rPr>
        <w:t>2023 r., poz. 1589 ze zm.).</w:t>
      </w:r>
    </w:p>
    <w:p w:rsidR="008B5432" w:rsidRPr="008B5432" w:rsidRDefault="008B5432" w:rsidP="005E6BCA">
      <w:pPr>
        <w:tabs>
          <w:tab w:val="left" w:pos="0"/>
        </w:tabs>
        <w:spacing w:line="360" w:lineRule="auto"/>
        <w:jc w:val="both"/>
        <w:rPr>
          <w:rFonts w:asciiTheme="minorHAnsi" w:hAnsiTheme="minorHAnsi" w:cstheme="minorHAnsi"/>
        </w:rPr>
      </w:pPr>
      <w:r w:rsidRPr="008B5432">
        <w:rPr>
          <w:rFonts w:asciiTheme="minorHAnsi" w:hAnsiTheme="minorHAnsi" w:cstheme="minorHAnsi"/>
        </w:rPr>
        <w:t>Zamierzenie realizowane będzie na terenie poza obszarowymi formami ochrony przyrody oraz poza korytarzami ekologicznymi. Na terenie inwestycji nie występują pomniki przyrody, stanowiska dokumentacyjne. W odległości ok. 0,6 km w kierunku zachodnim od terenu realizacji zamierzenia zlokalizowana jest granica Konecko-</w:t>
      </w:r>
      <w:proofErr w:type="spellStart"/>
      <w:r w:rsidRPr="008B5432">
        <w:rPr>
          <w:rFonts w:asciiTheme="minorHAnsi" w:hAnsiTheme="minorHAnsi" w:cstheme="minorHAnsi"/>
        </w:rPr>
        <w:t>Łopuszniańskiego</w:t>
      </w:r>
      <w:proofErr w:type="spellEnd"/>
      <w:r w:rsidRPr="008B5432">
        <w:rPr>
          <w:rFonts w:asciiTheme="minorHAnsi" w:hAnsiTheme="minorHAnsi" w:cstheme="minorHAnsi"/>
        </w:rPr>
        <w:t xml:space="preserve"> Obszaru Chronionego Krajobrazu wyznaczonego Uchwałą Nr XXXV/616/13 Sejmiku Województwa Świętokrzyskiego z dnia 23 września 2013 r. dotyczącej wyznaczenia Konecko-</w:t>
      </w:r>
      <w:proofErr w:type="spellStart"/>
      <w:r w:rsidRPr="008B5432">
        <w:rPr>
          <w:rFonts w:asciiTheme="minorHAnsi" w:hAnsiTheme="minorHAnsi" w:cstheme="minorHAnsi"/>
        </w:rPr>
        <w:t>Łopuszniańskiego</w:t>
      </w:r>
      <w:proofErr w:type="spellEnd"/>
      <w:r w:rsidRPr="008B5432">
        <w:rPr>
          <w:rFonts w:asciiTheme="minorHAnsi" w:hAnsiTheme="minorHAnsi" w:cstheme="minorHAnsi"/>
        </w:rPr>
        <w:t xml:space="preserve"> Obszaru Chronionego Krajobrazu (Dz. U. Woj. Święt. z 2013 r., 3308). </w:t>
      </w:r>
    </w:p>
    <w:p w:rsidR="008B5432" w:rsidRPr="008B5432" w:rsidRDefault="008B5432" w:rsidP="005E6BCA">
      <w:pPr>
        <w:tabs>
          <w:tab w:val="left" w:pos="0"/>
        </w:tabs>
        <w:spacing w:line="360" w:lineRule="auto"/>
        <w:jc w:val="both"/>
        <w:rPr>
          <w:rFonts w:asciiTheme="minorHAnsi" w:hAnsiTheme="minorHAnsi" w:cstheme="minorHAnsi"/>
        </w:rPr>
      </w:pPr>
      <w:r w:rsidRPr="008B5432">
        <w:rPr>
          <w:rFonts w:asciiTheme="minorHAnsi" w:hAnsiTheme="minorHAnsi" w:cstheme="minorHAnsi"/>
        </w:rPr>
        <w:t>Inwestycja planowana jest w sąsiedztwie terenów zagospodarowanych głównie przez obiekty i elementy infrastruktury technicznej (stacja elektroenergetyczna, linie elektroenergetyczne) – wprowadzenie dodatkowych elementów infrastruktury nie będzie zatem miało istotnego wpływu na dalsze przeobrażenie krajobrazu.</w:t>
      </w:r>
    </w:p>
    <w:p w:rsidR="008B5432" w:rsidRPr="008B5432" w:rsidRDefault="008B5432" w:rsidP="005E6BCA">
      <w:pPr>
        <w:spacing w:line="360" w:lineRule="auto"/>
        <w:jc w:val="both"/>
        <w:rPr>
          <w:rFonts w:asciiTheme="minorHAnsi" w:hAnsiTheme="minorHAnsi" w:cstheme="minorHAnsi"/>
        </w:rPr>
      </w:pPr>
      <w:r w:rsidRPr="008B5432">
        <w:rPr>
          <w:rFonts w:asciiTheme="minorHAnsi" w:hAnsiTheme="minorHAnsi" w:cstheme="minorHAnsi"/>
        </w:rPr>
        <w:t>Jak wynika z opinii Dyrektora Regionalnego Zarządu Gospodarki Wodnej w Krakowie Państwowego Gospodarstwa Wodnego Wody Polskie – pismo znak: KI.ZZŚ.4130.11.123.2026.ITW z dnia 07.09.2026 r., przedsięwzięcie zlokalizowane będzie w</w:t>
      </w:r>
      <w:r w:rsidR="005E6BCA">
        <w:rPr>
          <w:rFonts w:asciiTheme="minorHAnsi" w:hAnsiTheme="minorHAnsi" w:cstheme="minorHAnsi"/>
        </w:rPr>
        <w:t> </w:t>
      </w:r>
      <w:r w:rsidRPr="008B5432">
        <w:rPr>
          <w:rFonts w:asciiTheme="minorHAnsi" w:hAnsiTheme="minorHAnsi" w:cstheme="minorHAnsi"/>
        </w:rPr>
        <w:t>obszarze:</w:t>
      </w:r>
    </w:p>
    <w:p w:rsidR="008B5432" w:rsidRPr="005E6BCA" w:rsidRDefault="005E6BCA" w:rsidP="005E6BCA">
      <w:pPr>
        <w:spacing w:line="360" w:lineRule="auto"/>
        <w:jc w:val="both"/>
        <w:rPr>
          <w:rFonts w:asciiTheme="minorHAnsi" w:hAnsiTheme="minorHAnsi" w:cstheme="minorHAnsi"/>
        </w:rPr>
      </w:pPr>
      <w:r>
        <w:rPr>
          <w:rFonts w:asciiTheme="minorHAnsi" w:hAnsiTheme="minorHAnsi" w:cstheme="minorHAnsi"/>
        </w:rPr>
        <w:t xml:space="preserve">- </w:t>
      </w:r>
      <w:r w:rsidR="008B5432" w:rsidRPr="005E6BCA">
        <w:rPr>
          <w:rFonts w:asciiTheme="minorHAnsi" w:hAnsiTheme="minorHAnsi" w:cstheme="minorHAnsi"/>
        </w:rPr>
        <w:t xml:space="preserve">Jednolitej Części Wód Podziemnych oznaczonej europejskim kodem </w:t>
      </w:r>
      <w:proofErr w:type="spellStart"/>
      <w:r w:rsidR="008B5432" w:rsidRPr="005E6BCA">
        <w:rPr>
          <w:rFonts w:asciiTheme="minorHAnsi" w:hAnsiTheme="minorHAnsi" w:cstheme="minorHAnsi"/>
        </w:rPr>
        <w:t>JCWPd</w:t>
      </w:r>
      <w:proofErr w:type="spellEnd"/>
      <w:r w:rsidR="008B5432" w:rsidRPr="005E6BCA">
        <w:rPr>
          <w:rFonts w:asciiTheme="minorHAnsi" w:hAnsiTheme="minorHAnsi" w:cstheme="minorHAnsi"/>
        </w:rPr>
        <w:t xml:space="preserve"> PLGW2000101, region wodny Górnej-Zachodniej Wisły. Dla wód tego obszaru zarówno stan ilościowy jak i</w:t>
      </w:r>
      <w:r>
        <w:rPr>
          <w:rFonts w:asciiTheme="minorHAnsi" w:hAnsiTheme="minorHAnsi" w:cstheme="minorHAnsi"/>
        </w:rPr>
        <w:t> </w:t>
      </w:r>
      <w:r w:rsidR="008B5432" w:rsidRPr="005E6BCA">
        <w:rPr>
          <w:rFonts w:asciiTheme="minorHAnsi" w:hAnsiTheme="minorHAnsi" w:cstheme="minorHAnsi"/>
        </w:rPr>
        <w:t xml:space="preserve">chemiczny oceniono jako dobry. Ocena ryzyka nieosiągnięcia celów środowiskowych – </w:t>
      </w:r>
      <w:r w:rsidR="008B5432" w:rsidRPr="005E6BCA">
        <w:rPr>
          <w:rFonts w:asciiTheme="minorHAnsi" w:hAnsiTheme="minorHAnsi" w:cstheme="minorHAnsi"/>
        </w:rPr>
        <w:lastRenderedPageBreak/>
        <w:t xml:space="preserve">zagrożona ilościowo. Celami środowiskowymi dla tej </w:t>
      </w:r>
      <w:proofErr w:type="spellStart"/>
      <w:r w:rsidR="008B5432" w:rsidRPr="005E6BCA">
        <w:rPr>
          <w:rFonts w:asciiTheme="minorHAnsi" w:hAnsiTheme="minorHAnsi" w:cstheme="minorHAnsi"/>
        </w:rPr>
        <w:t>JCWPd</w:t>
      </w:r>
      <w:proofErr w:type="spellEnd"/>
      <w:r w:rsidR="008B5432" w:rsidRPr="005E6BCA">
        <w:rPr>
          <w:rFonts w:asciiTheme="minorHAnsi" w:hAnsiTheme="minorHAnsi" w:cstheme="minorHAnsi"/>
        </w:rPr>
        <w:t xml:space="preserve"> jest dobry stan chemiczny oraz dobry stan ilościowy. </w:t>
      </w:r>
      <w:proofErr w:type="spellStart"/>
      <w:r w:rsidR="008B5432" w:rsidRPr="005E6BCA">
        <w:rPr>
          <w:rFonts w:asciiTheme="minorHAnsi" w:hAnsiTheme="minorHAnsi" w:cstheme="minorHAnsi"/>
        </w:rPr>
        <w:t>JCWPd</w:t>
      </w:r>
      <w:proofErr w:type="spellEnd"/>
      <w:r w:rsidR="008B5432" w:rsidRPr="005E6BCA">
        <w:rPr>
          <w:rFonts w:asciiTheme="minorHAnsi" w:hAnsiTheme="minorHAnsi" w:cstheme="minorHAnsi"/>
        </w:rPr>
        <w:t xml:space="preserve"> przeznaczona do poboru wody na potrzeby zaopatrzenia ludności w wodę przeznaczoną do spożycia przez ludzi,</w:t>
      </w:r>
    </w:p>
    <w:p w:rsidR="008B5432" w:rsidRPr="005E6BCA" w:rsidRDefault="005E6BCA" w:rsidP="005E6BCA">
      <w:pPr>
        <w:spacing w:line="360" w:lineRule="auto"/>
        <w:jc w:val="both"/>
        <w:rPr>
          <w:rFonts w:asciiTheme="minorHAnsi" w:hAnsiTheme="minorHAnsi" w:cstheme="minorHAnsi"/>
        </w:rPr>
      </w:pPr>
      <w:r>
        <w:rPr>
          <w:rFonts w:asciiTheme="minorHAnsi" w:hAnsiTheme="minorHAnsi" w:cstheme="minorHAnsi"/>
        </w:rPr>
        <w:t xml:space="preserve">- </w:t>
      </w:r>
      <w:r w:rsidR="008B5432" w:rsidRPr="005E6BCA">
        <w:rPr>
          <w:rFonts w:asciiTheme="minorHAnsi" w:hAnsiTheme="minorHAnsi" w:cstheme="minorHAnsi"/>
        </w:rPr>
        <w:t>Jednolitej Części Wód Powierzchniowych rzecznych oznaczonej europejskim kodem RW200003216299 o nazwie Wierna Rzeka, region wodny Górnej-Zachodniej Wisły.  Jest to</w:t>
      </w:r>
      <w:r>
        <w:rPr>
          <w:rFonts w:asciiTheme="minorHAnsi" w:hAnsiTheme="minorHAnsi" w:cstheme="minorHAnsi"/>
        </w:rPr>
        <w:t> </w:t>
      </w:r>
      <w:r w:rsidR="008B5432" w:rsidRPr="005E6BCA">
        <w:rPr>
          <w:rFonts w:asciiTheme="minorHAnsi" w:hAnsiTheme="minorHAnsi" w:cstheme="minorHAnsi"/>
        </w:rPr>
        <w:t xml:space="preserve">naturalna część wód, z wyznaczonym celem środowiskowym: dobry stan ekologiczny; zapewnienie drożności cieku dla migracji ichtiofauny o ile jest monitorowany wskaźnik </w:t>
      </w:r>
      <w:proofErr w:type="spellStart"/>
      <w:r w:rsidR="008B5432" w:rsidRPr="005E6BCA">
        <w:rPr>
          <w:rFonts w:asciiTheme="minorHAnsi" w:hAnsiTheme="minorHAnsi" w:cstheme="minorHAnsi"/>
        </w:rPr>
        <w:t>diadromiczny</w:t>
      </w:r>
      <w:proofErr w:type="spellEnd"/>
      <w:r w:rsidR="008B5432" w:rsidRPr="005E6BCA">
        <w:rPr>
          <w:rFonts w:asciiTheme="minorHAnsi" w:hAnsiTheme="minorHAnsi" w:cstheme="minorHAnsi"/>
        </w:rPr>
        <w:t xml:space="preserve"> D; zapewnienie drożności cieku według wymagań gatunków chronionych; stan chemiczny: dla złagodzonych wskaźników [</w:t>
      </w:r>
      <w:proofErr w:type="spellStart"/>
      <w:r w:rsidR="008B5432" w:rsidRPr="005E6BCA">
        <w:rPr>
          <w:rFonts w:asciiTheme="minorHAnsi" w:hAnsiTheme="minorHAnsi" w:cstheme="minorHAnsi"/>
        </w:rPr>
        <w:t>benzo</w:t>
      </w:r>
      <w:proofErr w:type="spellEnd"/>
      <w:r w:rsidR="008B5432" w:rsidRPr="005E6BCA">
        <w:rPr>
          <w:rFonts w:asciiTheme="minorHAnsi" w:hAnsiTheme="minorHAnsi" w:cstheme="minorHAnsi"/>
        </w:rPr>
        <w:t>(a)</w:t>
      </w:r>
      <w:proofErr w:type="spellStart"/>
      <w:r w:rsidR="008B5432" w:rsidRPr="005E6BCA">
        <w:rPr>
          <w:rFonts w:asciiTheme="minorHAnsi" w:hAnsiTheme="minorHAnsi" w:cstheme="minorHAnsi"/>
        </w:rPr>
        <w:t>piren</w:t>
      </w:r>
      <w:proofErr w:type="spellEnd"/>
      <w:r w:rsidR="008B5432" w:rsidRPr="005E6BCA">
        <w:rPr>
          <w:rFonts w:asciiTheme="minorHAnsi" w:hAnsiTheme="minorHAnsi" w:cstheme="minorHAnsi"/>
        </w:rPr>
        <w:t>(w)] poniżej stanu dobrego, dla pozostałych wskaźników - stan dobry. JCWP jest monitorowana, w złym stanie (umiarkowany stan ekologiczny, stan chemiczny poniżej dobrego), zagrożona nieosiągnięciem celów środowiskowych.</w:t>
      </w:r>
    </w:p>
    <w:p w:rsidR="008B5432" w:rsidRPr="008B5432" w:rsidRDefault="008B5432" w:rsidP="005E6BCA">
      <w:pPr>
        <w:pStyle w:val="Standard"/>
        <w:spacing w:line="360" w:lineRule="auto"/>
        <w:jc w:val="both"/>
        <w:rPr>
          <w:rFonts w:asciiTheme="minorHAnsi" w:eastAsia="Calibri" w:hAnsiTheme="minorHAnsi" w:cstheme="minorHAnsi"/>
          <w:iCs/>
        </w:rPr>
      </w:pPr>
      <w:r w:rsidRPr="008B5432">
        <w:rPr>
          <w:rFonts w:asciiTheme="minorHAnsi" w:eastAsia="Calibri" w:hAnsiTheme="minorHAnsi" w:cstheme="minorHAnsi"/>
        </w:rPr>
        <w:t xml:space="preserve">Planowana inwestycja zlokalizowana jest poza obszarami głównych zbiorników wód podziemnych, poza strefami ochronnymi ujęć wód. Przedmiotowa inwestycja nie znajduje się </w:t>
      </w:r>
      <w:r w:rsidRPr="008B5432">
        <w:rPr>
          <w:rFonts w:asciiTheme="minorHAnsi" w:eastAsia="Calibri" w:hAnsiTheme="minorHAnsi" w:cstheme="minorHAnsi"/>
          <w:iCs/>
        </w:rPr>
        <w:t>na obszarze szczególnego zagrożenia powodzią, w rozumieniu art. 16 pkt 34 ustawy z dnia 20</w:t>
      </w:r>
      <w:r w:rsidR="00D11792">
        <w:rPr>
          <w:rFonts w:asciiTheme="minorHAnsi" w:eastAsia="Calibri" w:hAnsiTheme="minorHAnsi" w:cstheme="minorHAnsi"/>
          <w:iCs/>
        </w:rPr>
        <w:t> </w:t>
      </w:r>
      <w:r w:rsidRPr="008B5432">
        <w:rPr>
          <w:rFonts w:asciiTheme="minorHAnsi" w:eastAsia="Calibri" w:hAnsiTheme="minorHAnsi" w:cstheme="minorHAnsi"/>
          <w:iCs/>
        </w:rPr>
        <w:t>lipca 2017 r. Prawo wodne (tekst jedn. Dz. U. z 2025 r. poz. 960 z późn. zm.).</w:t>
      </w:r>
    </w:p>
    <w:p w:rsidR="008B5432" w:rsidRPr="008B5432" w:rsidRDefault="008B5432" w:rsidP="00D11792">
      <w:pPr>
        <w:tabs>
          <w:tab w:val="left" w:pos="0"/>
        </w:tabs>
        <w:spacing w:line="360" w:lineRule="auto"/>
        <w:jc w:val="both"/>
        <w:rPr>
          <w:rFonts w:asciiTheme="minorHAnsi" w:eastAsia="Calibri" w:hAnsiTheme="minorHAnsi" w:cstheme="minorHAnsi"/>
          <w:iCs/>
        </w:rPr>
      </w:pPr>
      <w:r w:rsidRPr="008B5432">
        <w:rPr>
          <w:rFonts w:asciiTheme="minorHAnsi" w:eastAsia="Calibri" w:hAnsiTheme="minorHAnsi" w:cstheme="minorHAnsi"/>
          <w:iCs/>
        </w:rPr>
        <w:t>Zgodnie z ww. opinią, uwzględniając zaproponowane działania minimalizujące wpływ na</w:t>
      </w:r>
      <w:r w:rsidR="00D11792">
        <w:rPr>
          <w:rFonts w:asciiTheme="minorHAnsi" w:eastAsia="Calibri" w:hAnsiTheme="minorHAnsi" w:cstheme="minorHAnsi"/>
          <w:iCs/>
        </w:rPr>
        <w:t> </w:t>
      </w:r>
      <w:r w:rsidRPr="008B5432">
        <w:rPr>
          <w:rFonts w:asciiTheme="minorHAnsi" w:eastAsia="Calibri" w:hAnsiTheme="minorHAnsi" w:cstheme="minorHAnsi"/>
          <w:iCs/>
        </w:rPr>
        <w:t xml:space="preserve">środowisko gruntowo-wodne, w szczególności: </w:t>
      </w:r>
    </w:p>
    <w:p w:rsidR="008B5432" w:rsidRPr="00D11792" w:rsidRDefault="00D11792" w:rsidP="00D11792">
      <w:pPr>
        <w:tabs>
          <w:tab w:val="left" w:pos="0"/>
        </w:tabs>
        <w:spacing w:line="360" w:lineRule="auto"/>
        <w:jc w:val="both"/>
        <w:rPr>
          <w:rFonts w:asciiTheme="minorHAnsi" w:hAnsiTheme="minorHAnsi" w:cstheme="minorHAnsi"/>
        </w:rPr>
      </w:pPr>
      <w:r>
        <w:rPr>
          <w:rFonts w:asciiTheme="minorHAnsi" w:eastAsia="Calibri" w:hAnsiTheme="minorHAnsi" w:cstheme="minorHAnsi"/>
          <w:iCs/>
        </w:rPr>
        <w:t>-</w:t>
      </w:r>
      <w:r w:rsidR="008B5432" w:rsidRPr="00D11792">
        <w:rPr>
          <w:rFonts w:asciiTheme="minorHAnsi" w:eastAsia="Calibri" w:hAnsiTheme="minorHAnsi" w:cstheme="minorHAnsi"/>
          <w:iCs/>
        </w:rPr>
        <w:t xml:space="preserve">wyposażenie </w:t>
      </w:r>
      <w:r w:rsidR="008B5432" w:rsidRPr="00D11792">
        <w:rPr>
          <w:rFonts w:asciiTheme="minorHAnsi" w:hAnsiTheme="minorHAnsi" w:cstheme="minorHAnsi"/>
        </w:rPr>
        <w:t>zaplecza budowy oraz placu budowy, w tym miejsc tankowania pojazdów i</w:t>
      </w:r>
      <w:r>
        <w:rPr>
          <w:rFonts w:asciiTheme="minorHAnsi" w:hAnsiTheme="minorHAnsi" w:cstheme="minorHAnsi"/>
        </w:rPr>
        <w:t> </w:t>
      </w:r>
      <w:r w:rsidR="008B5432" w:rsidRPr="00D11792">
        <w:rPr>
          <w:rFonts w:asciiTheme="minorHAnsi" w:hAnsiTheme="minorHAnsi" w:cstheme="minorHAnsi"/>
        </w:rPr>
        <w:t>sprzętu budowlanego, baz materiałowo-sprzętowych oraz miejsc magazynowania materiałów w sorbenty, biopreparaty itp. neutralizujących wycieki substancji ropopochodnych i płynów eksploatacyjnych,</w:t>
      </w:r>
    </w:p>
    <w:p w:rsidR="008B5432" w:rsidRPr="00D11792" w:rsidRDefault="00D11792" w:rsidP="00D11792">
      <w:pPr>
        <w:tabs>
          <w:tab w:val="left" w:pos="0"/>
        </w:tabs>
        <w:spacing w:line="360" w:lineRule="auto"/>
        <w:jc w:val="both"/>
        <w:rPr>
          <w:rFonts w:asciiTheme="minorHAnsi" w:hAnsiTheme="minorHAnsi" w:cstheme="minorHAnsi"/>
        </w:rPr>
      </w:pPr>
      <w:r>
        <w:rPr>
          <w:rFonts w:asciiTheme="minorHAnsi" w:hAnsiTheme="minorHAnsi" w:cstheme="minorHAnsi"/>
        </w:rPr>
        <w:t>-</w:t>
      </w:r>
      <w:r w:rsidR="008B5432" w:rsidRPr="00D11792">
        <w:rPr>
          <w:rFonts w:asciiTheme="minorHAnsi" w:hAnsiTheme="minorHAnsi" w:cstheme="minorHAnsi"/>
        </w:rPr>
        <w:t>prowadzenie stałego monitoringu stanu technicznego sprzętu budowlanego i</w:t>
      </w:r>
      <w:r>
        <w:rPr>
          <w:rFonts w:asciiTheme="minorHAnsi" w:hAnsiTheme="minorHAnsi" w:cstheme="minorHAnsi"/>
        </w:rPr>
        <w:t> </w:t>
      </w:r>
      <w:r w:rsidR="008B5432" w:rsidRPr="00D11792">
        <w:rPr>
          <w:rFonts w:asciiTheme="minorHAnsi" w:hAnsiTheme="minorHAnsi" w:cstheme="minorHAnsi"/>
        </w:rPr>
        <w:t>transportowego oraz – w przypadku przedostania się zanieczyszczeń do gruntu lub wód – podjęcie działań zmierzających do usunięcia skutków i przyczyn awarii,</w:t>
      </w:r>
    </w:p>
    <w:p w:rsidR="008B5432" w:rsidRPr="00D11792" w:rsidRDefault="00D11792" w:rsidP="00D11792">
      <w:pPr>
        <w:tabs>
          <w:tab w:val="left" w:pos="0"/>
        </w:tabs>
        <w:spacing w:line="360" w:lineRule="auto"/>
        <w:jc w:val="both"/>
        <w:rPr>
          <w:rFonts w:asciiTheme="minorHAnsi" w:hAnsiTheme="minorHAnsi" w:cstheme="minorHAnsi"/>
        </w:rPr>
      </w:pPr>
      <w:r>
        <w:rPr>
          <w:rFonts w:asciiTheme="minorHAnsi" w:hAnsiTheme="minorHAnsi" w:cstheme="minorHAnsi"/>
        </w:rPr>
        <w:t>-</w:t>
      </w:r>
      <w:r w:rsidR="008B5432" w:rsidRPr="00D11792">
        <w:rPr>
          <w:rFonts w:asciiTheme="minorHAnsi" w:hAnsiTheme="minorHAnsi" w:cstheme="minorHAnsi"/>
        </w:rPr>
        <w:t>gromadzenie ścieków bytowych powstających na etapie realizacji inwestycji w</w:t>
      </w:r>
      <w:r>
        <w:rPr>
          <w:rFonts w:asciiTheme="minorHAnsi" w:hAnsiTheme="minorHAnsi" w:cstheme="minorHAnsi"/>
        </w:rPr>
        <w:t> </w:t>
      </w:r>
      <w:r w:rsidR="008B5432" w:rsidRPr="00D11792">
        <w:rPr>
          <w:rFonts w:asciiTheme="minorHAnsi" w:hAnsiTheme="minorHAnsi" w:cstheme="minorHAnsi"/>
        </w:rPr>
        <w:t>zainstalowanych na terenie budowy urządzeniach sanitarnych i przekazywanie ich uprawnionym podmiotom,</w:t>
      </w:r>
    </w:p>
    <w:p w:rsidR="008B5432" w:rsidRPr="00D11792" w:rsidRDefault="00D11792" w:rsidP="00D11792">
      <w:pPr>
        <w:tabs>
          <w:tab w:val="left" w:pos="0"/>
        </w:tabs>
        <w:spacing w:line="360" w:lineRule="auto"/>
        <w:jc w:val="both"/>
        <w:rPr>
          <w:rFonts w:asciiTheme="minorHAnsi" w:hAnsiTheme="minorHAnsi" w:cstheme="minorHAnsi"/>
        </w:rPr>
      </w:pPr>
      <w:r>
        <w:rPr>
          <w:rFonts w:asciiTheme="minorHAnsi" w:hAnsiTheme="minorHAnsi" w:cstheme="minorHAnsi"/>
        </w:rPr>
        <w:t>-</w:t>
      </w:r>
      <w:r w:rsidR="008B5432" w:rsidRPr="00D11792">
        <w:rPr>
          <w:rFonts w:asciiTheme="minorHAnsi" w:hAnsiTheme="minorHAnsi" w:cstheme="minorHAnsi"/>
        </w:rPr>
        <w:t>sprawdzenie przed realizacją inwestycji czy planowane przedsięwzięcie znajduje się w kolizji z urządzeniami melioracji wodnych (rowy, drenowania, rurociągi) i w przypadku ingerencji w urządzenia melioracyjne (ich wykonania, rozbudowy, nadbudowy, przebudowy, rozbiórki, likwidacji itp.) uzyskania odpowiedniej zgody wodnoprawnej,</w:t>
      </w:r>
    </w:p>
    <w:p w:rsidR="008B5432" w:rsidRPr="00D11792" w:rsidRDefault="00D11792" w:rsidP="00D11792">
      <w:pPr>
        <w:tabs>
          <w:tab w:val="left" w:pos="0"/>
        </w:tabs>
        <w:spacing w:line="360" w:lineRule="auto"/>
        <w:jc w:val="both"/>
        <w:rPr>
          <w:rFonts w:asciiTheme="minorHAnsi" w:hAnsiTheme="minorHAnsi" w:cstheme="minorHAnsi"/>
        </w:rPr>
      </w:pPr>
      <w:r>
        <w:rPr>
          <w:rFonts w:asciiTheme="minorHAnsi" w:hAnsiTheme="minorHAnsi" w:cstheme="minorHAnsi"/>
        </w:rPr>
        <w:lastRenderedPageBreak/>
        <w:t>-</w:t>
      </w:r>
      <w:r w:rsidR="008B5432" w:rsidRPr="00D11792">
        <w:rPr>
          <w:rFonts w:asciiTheme="minorHAnsi" w:hAnsiTheme="minorHAnsi" w:cstheme="minorHAnsi"/>
        </w:rPr>
        <w:t>prowadzenie ewentualnych prac odwodnieniowych niepowodujących zmiany stosunków wodnych ze szkodą dla gruntów sąsiednich,</w:t>
      </w:r>
    </w:p>
    <w:p w:rsidR="008B5432" w:rsidRPr="00D11792" w:rsidRDefault="00D11792" w:rsidP="00D11792">
      <w:pPr>
        <w:tabs>
          <w:tab w:val="left" w:pos="0"/>
        </w:tabs>
        <w:spacing w:line="360" w:lineRule="auto"/>
        <w:jc w:val="both"/>
        <w:rPr>
          <w:rFonts w:asciiTheme="minorHAnsi" w:hAnsiTheme="minorHAnsi" w:cstheme="minorHAnsi"/>
        </w:rPr>
      </w:pPr>
      <w:r>
        <w:rPr>
          <w:rFonts w:asciiTheme="minorHAnsi" w:hAnsiTheme="minorHAnsi" w:cstheme="minorHAnsi"/>
        </w:rPr>
        <w:t>-</w:t>
      </w:r>
      <w:r w:rsidR="008B5432" w:rsidRPr="00D11792">
        <w:rPr>
          <w:rFonts w:asciiTheme="minorHAnsi" w:hAnsiTheme="minorHAnsi" w:cstheme="minorHAnsi"/>
        </w:rPr>
        <w:t>zapewnienia właściwego i zgodnego z obowiązującymi przepisami gospodarowania odpadami,</w:t>
      </w:r>
    </w:p>
    <w:p w:rsidR="008B5432" w:rsidRPr="008B5432" w:rsidRDefault="008B5432" w:rsidP="008B5432">
      <w:pPr>
        <w:tabs>
          <w:tab w:val="left" w:pos="0"/>
        </w:tabs>
        <w:spacing w:line="360" w:lineRule="auto"/>
        <w:jc w:val="both"/>
        <w:rPr>
          <w:rFonts w:asciiTheme="minorHAnsi" w:hAnsiTheme="minorHAnsi" w:cstheme="minorHAnsi"/>
        </w:rPr>
      </w:pPr>
      <w:r w:rsidRPr="008B5432">
        <w:rPr>
          <w:rFonts w:asciiTheme="minorHAnsi" w:eastAsia="Calibri" w:hAnsiTheme="minorHAnsi" w:cstheme="minorHAnsi"/>
          <w:iCs/>
        </w:rPr>
        <w:t>nie przewiduje się negatywnego wpływu ww. przedsięwzięcia na możliwość osiągnięcia celów środowiskowych dla jednolitych części wód podziemnych, jednolitych części wód powierzchniowych, o których mowa w art. 56 i art. 59 i ustawy Prawo wodne.</w:t>
      </w:r>
    </w:p>
    <w:p w:rsidR="008B5432" w:rsidRPr="008B5432" w:rsidRDefault="008B5432" w:rsidP="00D11792">
      <w:pPr>
        <w:spacing w:line="360" w:lineRule="auto"/>
        <w:contextualSpacing/>
        <w:jc w:val="both"/>
        <w:rPr>
          <w:rFonts w:asciiTheme="minorHAnsi" w:hAnsiTheme="minorHAnsi" w:cstheme="minorHAnsi"/>
        </w:rPr>
      </w:pPr>
      <w:r w:rsidRPr="008B5432">
        <w:rPr>
          <w:rFonts w:asciiTheme="minorHAnsi" w:hAnsiTheme="minorHAnsi" w:cstheme="minorHAnsi"/>
        </w:rPr>
        <w:t>W przypadku likwidacji przedsięwzięcia teren należy uporządkować, odpady prawidłowo zabezpieczyć oraz zagospodarować zgodnie z obowiązującymi przepisami tzn. selektywnie magazynować tymczasowo na terenie Inwestora w wydzielonych i przystosowanych do tego celu miejscach, w warunkach zabezpieczających przed przedostaniem się do środowiska zanieczyszczeń np. w pojemnikach przystosowanych do</w:t>
      </w:r>
      <w:r w:rsidR="00D11792">
        <w:rPr>
          <w:rFonts w:asciiTheme="minorHAnsi" w:hAnsiTheme="minorHAnsi" w:cstheme="minorHAnsi"/>
        </w:rPr>
        <w:t> </w:t>
      </w:r>
      <w:r w:rsidRPr="008B5432">
        <w:rPr>
          <w:rFonts w:asciiTheme="minorHAnsi" w:hAnsiTheme="minorHAnsi" w:cstheme="minorHAnsi"/>
        </w:rPr>
        <w:t>czasowego magazynowania poszczególnych rodzajów odpadów (odpady niebezpieczne na szczelnym podłożu), z zapewnieniem ich sprawnego odbioru przez uprawnione podmioty.</w:t>
      </w:r>
    </w:p>
    <w:p w:rsidR="008B5432" w:rsidRPr="008B5432" w:rsidRDefault="008B5432" w:rsidP="00D11792">
      <w:pPr>
        <w:pStyle w:val="Akapitzlist"/>
        <w:spacing w:line="360" w:lineRule="auto"/>
        <w:ind w:left="0"/>
        <w:jc w:val="both"/>
        <w:rPr>
          <w:rFonts w:asciiTheme="minorHAnsi" w:hAnsiTheme="minorHAnsi" w:cstheme="minorHAnsi"/>
        </w:rPr>
      </w:pPr>
      <w:r w:rsidRPr="008B5432">
        <w:rPr>
          <w:rFonts w:asciiTheme="minorHAnsi" w:hAnsiTheme="minorHAnsi" w:cstheme="minorHAnsi"/>
        </w:rPr>
        <w:t xml:space="preserve">Inwestycja nie jest zlokalizowana na obszarach o krajobrazie mającym znaczenie historyczne lub kulturowe – w sytuacji ewentualnego odkrycia przedmiotu, co do którego istnieje przypuszczenie, iż jest on zabytkiem należy wstrzymać wszelkie roboty mogące uszkodzić lub zniszczyć odkryty przedmiot, zabezpieczyć, przy użyciu dostępnych środków, ten przedmiot i miejsce jego odkrycia oraz  niezwłocznie zawiadomić o tym Świętokrzyskiego Wojewódzkiego Konserwatora Zabytków lub właściwy organ wykonawczy gminy. </w:t>
      </w:r>
    </w:p>
    <w:p w:rsidR="008B5432" w:rsidRPr="008B5432" w:rsidRDefault="008B5432" w:rsidP="00D11792">
      <w:pPr>
        <w:pStyle w:val="Styl1"/>
        <w:ind w:firstLine="0"/>
        <w:rPr>
          <w:rFonts w:asciiTheme="minorHAnsi" w:hAnsiTheme="minorHAnsi" w:cstheme="minorHAnsi"/>
          <w:sz w:val="24"/>
        </w:rPr>
      </w:pPr>
      <w:r w:rsidRPr="008B5432">
        <w:rPr>
          <w:rFonts w:asciiTheme="minorHAnsi" w:hAnsiTheme="minorHAnsi" w:cstheme="minorHAnsi"/>
          <w:sz w:val="24"/>
        </w:rPr>
        <w:t>Teren, na którym planowane jest przedsięwzięcie, nie jest zaliczany do terenów podgórskich i górskich, wymienionych w Zarządzeniu nr 18/2000 Wojewody Świętokrzyskiego z dnia 2 marca 2000 r. w sprawie ustalenia wykazu miejscowości zaliczonych do terenów podgórskich i górskich na terenie województwa świętokrzyskiego (Dz. Urz. Woj. Święt. z 2000 r. Nr 13, poz. 104). W zasięgu oddziaływania przedsięwzięcia nie występują obszary wybrzeży, tereny ochrony uzdrowiskowej, tereny przylegające do jezior. Planowane przedsięwzięcie nie znajduje się na obszarach i terenach górniczych oraz w granicach udokumentowanych złóż kopalin.</w:t>
      </w:r>
    </w:p>
    <w:p w:rsidR="008B5432" w:rsidRPr="008B5432" w:rsidRDefault="008B5432" w:rsidP="00D11792">
      <w:pPr>
        <w:pStyle w:val="Tekstpodstawowy"/>
        <w:autoSpaceDE w:val="0"/>
        <w:adjustRightInd w:val="0"/>
        <w:spacing w:line="360" w:lineRule="auto"/>
        <w:rPr>
          <w:rFonts w:asciiTheme="minorHAnsi" w:hAnsiTheme="minorHAnsi" w:cstheme="minorHAnsi"/>
        </w:rPr>
      </w:pPr>
      <w:r w:rsidRPr="008B5432">
        <w:rPr>
          <w:rFonts w:asciiTheme="minorHAnsi" w:hAnsiTheme="minorHAnsi" w:cstheme="minorHAnsi"/>
        </w:rPr>
        <w:t>Analizując adaptację przedsięwzięcia do zmian klimatu, w tym elementy wpływające na</w:t>
      </w:r>
      <w:r w:rsidR="00D11792">
        <w:rPr>
          <w:rFonts w:asciiTheme="minorHAnsi" w:hAnsiTheme="minorHAnsi" w:cstheme="minorHAnsi"/>
        </w:rPr>
        <w:t> </w:t>
      </w:r>
      <w:r w:rsidRPr="008B5432">
        <w:rPr>
          <w:rFonts w:asciiTheme="minorHAnsi" w:hAnsiTheme="minorHAnsi" w:cstheme="minorHAnsi"/>
        </w:rPr>
        <w:t>łagodzenie tych zmian należy stwierdzić, że:</w:t>
      </w:r>
    </w:p>
    <w:p w:rsidR="008B5432" w:rsidRPr="008B5432" w:rsidRDefault="00D11792" w:rsidP="00D11792">
      <w:pPr>
        <w:pStyle w:val="Tekstpodstawowy"/>
        <w:autoSpaceDE w:val="0"/>
        <w:autoSpaceDN w:val="0"/>
        <w:adjustRightInd w:val="0"/>
        <w:spacing w:line="360" w:lineRule="auto"/>
        <w:rPr>
          <w:rFonts w:asciiTheme="minorHAnsi" w:hAnsiTheme="minorHAnsi" w:cstheme="minorHAnsi"/>
        </w:rPr>
      </w:pPr>
      <w:r>
        <w:rPr>
          <w:rFonts w:asciiTheme="minorHAnsi" w:hAnsiTheme="minorHAnsi" w:cstheme="minorHAnsi"/>
        </w:rPr>
        <w:t>-</w:t>
      </w:r>
      <w:r w:rsidR="008B5432" w:rsidRPr="008B5432">
        <w:rPr>
          <w:rFonts w:asciiTheme="minorHAnsi" w:hAnsiTheme="minorHAnsi" w:cstheme="minorHAnsi"/>
        </w:rPr>
        <w:t xml:space="preserve">przedsięwzięcie usytuowane jest poza terenami osuwisk (źródło: </w:t>
      </w:r>
      <w:r w:rsidR="008B5432" w:rsidRPr="008B5432">
        <w:rPr>
          <w:rFonts w:asciiTheme="minorHAnsi" w:hAnsiTheme="minorHAnsi" w:cstheme="minorHAnsi"/>
          <w:i/>
        </w:rPr>
        <w:t>https://mapa.osuwiska.pgi.gov.pl/</w:t>
      </w:r>
      <w:r w:rsidR="008B5432" w:rsidRPr="008B5432">
        <w:rPr>
          <w:rFonts w:asciiTheme="minorHAnsi" w:hAnsiTheme="minorHAnsi" w:cstheme="minorHAnsi"/>
        </w:rPr>
        <w:t xml:space="preserve">); </w:t>
      </w:r>
    </w:p>
    <w:p w:rsidR="008B5432" w:rsidRPr="008B5432" w:rsidRDefault="00D11792" w:rsidP="00D11792">
      <w:pPr>
        <w:pStyle w:val="Tekstpodstawowy"/>
        <w:autoSpaceDE w:val="0"/>
        <w:autoSpaceDN w:val="0"/>
        <w:adjustRightInd w:val="0"/>
        <w:spacing w:line="360" w:lineRule="auto"/>
        <w:rPr>
          <w:rFonts w:asciiTheme="minorHAnsi" w:hAnsiTheme="minorHAnsi" w:cstheme="minorHAnsi"/>
        </w:rPr>
      </w:pPr>
      <w:r>
        <w:rPr>
          <w:rFonts w:asciiTheme="minorHAnsi" w:hAnsiTheme="minorHAnsi" w:cstheme="minorHAnsi"/>
        </w:rPr>
        <w:lastRenderedPageBreak/>
        <w:t>-</w:t>
      </w:r>
      <w:r w:rsidR="008B5432" w:rsidRPr="008B5432">
        <w:rPr>
          <w:rFonts w:asciiTheme="minorHAnsi" w:hAnsiTheme="minorHAnsi" w:cstheme="minorHAnsi"/>
        </w:rPr>
        <w:t>przedsięwzięcie ze względu na swój charakter, lokalizację jest neutralne względem oddziaływań związanych z klęskami żywiołowymi takimi jak np. fale mrozu, podnoszący się poziom mórz, erozja wybrzeża i intruzje wód zasolonych;</w:t>
      </w:r>
    </w:p>
    <w:p w:rsidR="008B5432" w:rsidRPr="008B5432" w:rsidRDefault="00D11792" w:rsidP="00D11792">
      <w:pPr>
        <w:pStyle w:val="Tekstpodstawowy"/>
        <w:autoSpaceDE w:val="0"/>
        <w:autoSpaceDN w:val="0"/>
        <w:adjustRightInd w:val="0"/>
        <w:spacing w:line="360" w:lineRule="auto"/>
        <w:rPr>
          <w:rFonts w:asciiTheme="minorHAnsi" w:hAnsiTheme="minorHAnsi" w:cstheme="minorHAnsi"/>
        </w:rPr>
      </w:pPr>
      <w:r>
        <w:rPr>
          <w:rFonts w:asciiTheme="minorHAnsi" w:hAnsiTheme="minorHAnsi" w:cstheme="minorHAnsi"/>
        </w:rPr>
        <w:t>-</w:t>
      </w:r>
      <w:r w:rsidR="008B5432" w:rsidRPr="008B5432">
        <w:rPr>
          <w:rFonts w:asciiTheme="minorHAnsi" w:hAnsiTheme="minorHAnsi" w:cstheme="minorHAnsi"/>
        </w:rPr>
        <w:t>wystąpi emisja do powietrza, w tym gazów cieplarnianych (spalanie paliw w pojazdach poruszających się po terenie inwestycji).</w:t>
      </w:r>
    </w:p>
    <w:p w:rsidR="008B5432" w:rsidRPr="008B5432" w:rsidRDefault="008B5432" w:rsidP="00D11792">
      <w:pPr>
        <w:autoSpaceDE w:val="0"/>
        <w:spacing w:line="360" w:lineRule="auto"/>
        <w:jc w:val="both"/>
        <w:rPr>
          <w:rFonts w:asciiTheme="minorHAnsi" w:hAnsiTheme="minorHAnsi" w:cstheme="minorHAnsi"/>
        </w:rPr>
      </w:pPr>
      <w:r w:rsidRPr="008B5432">
        <w:rPr>
          <w:rFonts w:asciiTheme="minorHAnsi" w:hAnsiTheme="minorHAnsi" w:cstheme="minorHAnsi"/>
        </w:rPr>
        <w:t>Planowane przedsięwzięcie nie jest zaliczane do obiektów stwarzających zagrożenie wystąpienia poważnych awarii przemysłowych – wg rozporządzenia Ministra Rozwoju z dnia 29 stycznia 2016 r.  w sprawie rodzajów i ilości znajdujących się w zakładzie substancji niebezpiecznych decydujących o zaliczeniu zakładu do zakładu o zwiększonym lub dużym ryzyku wystąpienia poważnej awarii przemysłowej (Dz. U. z 2016 r., poz. 138).</w:t>
      </w:r>
    </w:p>
    <w:p w:rsidR="008B5432" w:rsidRPr="008B5432" w:rsidRDefault="008B5432" w:rsidP="00D11792">
      <w:pPr>
        <w:spacing w:line="360" w:lineRule="auto"/>
        <w:contextualSpacing/>
        <w:jc w:val="both"/>
        <w:rPr>
          <w:rFonts w:asciiTheme="minorHAnsi" w:hAnsiTheme="minorHAnsi" w:cstheme="minorHAnsi"/>
          <w:iCs/>
        </w:rPr>
      </w:pPr>
      <w:r w:rsidRPr="008B5432">
        <w:rPr>
          <w:rFonts w:asciiTheme="minorHAnsi" w:hAnsiTheme="minorHAnsi" w:cstheme="minorHAnsi"/>
          <w:iCs/>
        </w:rPr>
        <w:t xml:space="preserve">Z uwagi na rodzaj i charakter inwestycji oraz funkcjonowanie infrastruktury elektroenergetycznej w bezpośrednim sąsiedztwie zamierzenia, nie przewiduje się negatywnego wpływu przedmiotowego przedsięwzięcia na walory przyrodnicze i krajobrazowe. </w:t>
      </w:r>
    </w:p>
    <w:p w:rsidR="008B5432" w:rsidRPr="008B5432" w:rsidRDefault="008B5432" w:rsidP="00D11792">
      <w:pPr>
        <w:pStyle w:val="Standard"/>
        <w:spacing w:line="360" w:lineRule="auto"/>
        <w:jc w:val="both"/>
        <w:rPr>
          <w:rFonts w:asciiTheme="minorHAnsi" w:hAnsiTheme="minorHAnsi" w:cstheme="minorHAnsi"/>
        </w:rPr>
      </w:pPr>
      <w:r w:rsidRPr="008B5432">
        <w:rPr>
          <w:rFonts w:asciiTheme="minorHAnsi" w:hAnsiTheme="minorHAnsi" w:cstheme="minorHAnsi"/>
        </w:rPr>
        <w:t>Uwzględniając lokalizację inwestycji w centralnej Polsce należy stwierdzić, że w normalnych warunkach funkcjonowania jak i w przypadku ewentualnej sytuacji awaryjnej transgraniczne oddziaływanie na środowisko nie występuje. W niniejszej decyzji nie określono wymogów w</w:t>
      </w:r>
      <w:r w:rsidR="00D11792">
        <w:rPr>
          <w:rFonts w:asciiTheme="minorHAnsi" w:hAnsiTheme="minorHAnsi" w:cstheme="minorHAnsi"/>
        </w:rPr>
        <w:t> </w:t>
      </w:r>
      <w:r w:rsidRPr="008B5432">
        <w:rPr>
          <w:rFonts w:asciiTheme="minorHAnsi" w:hAnsiTheme="minorHAnsi" w:cstheme="minorHAnsi"/>
        </w:rPr>
        <w:t>tym zakresie.</w:t>
      </w:r>
    </w:p>
    <w:p w:rsidR="008B5432" w:rsidRPr="008B5432" w:rsidRDefault="008B5432" w:rsidP="00D11792">
      <w:pPr>
        <w:pStyle w:val="Standard"/>
        <w:spacing w:line="360" w:lineRule="auto"/>
        <w:jc w:val="both"/>
        <w:rPr>
          <w:rFonts w:asciiTheme="minorHAnsi" w:hAnsiTheme="minorHAnsi" w:cstheme="minorHAnsi"/>
        </w:rPr>
      </w:pPr>
      <w:r w:rsidRPr="008B5432">
        <w:rPr>
          <w:rFonts w:asciiTheme="minorHAnsi" w:hAnsiTheme="minorHAnsi" w:cstheme="minorHAnsi"/>
        </w:rPr>
        <w:t>W związku z wypełnieniem przez Wnioskodawcę wymogów formalnych do uzyskania decyzji o środowiskowych uwarunkowaniach dla ww. przedsięwzięcia, po szczegółowej analizie zgromadzonych materiałów oraz specyfiki planowanego przedsięwzięcia we wszystkich aspektach środowiskowych orzeczono jak w osnowie decyzji.</w:t>
      </w:r>
    </w:p>
    <w:p w:rsidR="008B5432" w:rsidRPr="008B5432" w:rsidRDefault="008B5432" w:rsidP="008B5432">
      <w:pPr>
        <w:spacing w:line="360" w:lineRule="auto"/>
        <w:jc w:val="both"/>
        <w:rPr>
          <w:rFonts w:asciiTheme="minorHAnsi" w:hAnsiTheme="minorHAnsi" w:cstheme="minorHAnsi"/>
        </w:rPr>
      </w:pPr>
      <w:r w:rsidRPr="008B5432">
        <w:rPr>
          <w:rFonts w:asciiTheme="minorHAnsi" w:hAnsiTheme="minorHAnsi" w:cstheme="minorHAnsi"/>
        </w:rPr>
        <w:t>Zgodnie z ustawą z dnia 16 listopada 2006 r. o opłacie skarbowej (tekst jedn. Dz. U. z 2025 r. poz. 1154 ze zm.), Wnioskodawca dokonał opłaty skarbowej w wysokości 205 zł.</w:t>
      </w:r>
    </w:p>
    <w:p w:rsidR="008B5432" w:rsidRPr="008B5432" w:rsidRDefault="008B5432" w:rsidP="008B5432">
      <w:pPr>
        <w:spacing w:line="360" w:lineRule="auto"/>
        <w:jc w:val="both"/>
        <w:rPr>
          <w:rFonts w:asciiTheme="minorHAnsi" w:hAnsiTheme="minorHAnsi" w:cstheme="minorHAnsi"/>
          <w:b/>
        </w:rPr>
      </w:pPr>
      <w:r w:rsidRPr="008B5432">
        <w:rPr>
          <w:rFonts w:asciiTheme="minorHAnsi" w:hAnsiTheme="minorHAnsi" w:cstheme="minorHAnsi"/>
          <w:b/>
        </w:rPr>
        <w:t>P o u c z e n i e</w:t>
      </w:r>
    </w:p>
    <w:p w:rsidR="008B5432" w:rsidRPr="008B5432" w:rsidRDefault="008B5432" w:rsidP="00D11792">
      <w:pPr>
        <w:autoSpaceDE w:val="0"/>
        <w:autoSpaceDN w:val="0"/>
        <w:adjustRightInd w:val="0"/>
        <w:spacing w:line="360" w:lineRule="auto"/>
        <w:jc w:val="both"/>
        <w:rPr>
          <w:rFonts w:asciiTheme="minorHAnsi" w:eastAsiaTheme="minorHAnsi" w:hAnsiTheme="minorHAnsi" w:cstheme="minorHAnsi"/>
          <w:color w:val="000000"/>
          <w:lang w:eastAsia="en-US"/>
        </w:rPr>
      </w:pPr>
      <w:r w:rsidRPr="008B5432">
        <w:rPr>
          <w:rFonts w:asciiTheme="minorHAnsi" w:eastAsiaTheme="minorHAnsi" w:hAnsiTheme="minorHAnsi" w:cstheme="minorHAnsi"/>
          <w:color w:val="000000"/>
          <w:lang w:eastAsia="en-US"/>
        </w:rPr>
        <w:t xml:space="preserve">Od niniejszej decyzji stronie służy odwołanie do Generalnego Dyrektora Ochrony Środowiska, za pośrednictwem Regionalnego Dyrektora Ochrony Środowiska w Kielcach w terminie 14 dni od dnia doręczenia decyzji. </w:t>
      </w:r>
    </w:p>
    <w:p w:rsidR="008B5432" w:rsidRPr="008B5432" w:rsidRDefault="008B5432" w:rsidP="00D11792">
      <w:pPr>
        <w:autoSpaceDE w:val="0"/>
        <w:autoSpaceDN w:val="0"/>
        <w:adjustRightInd w:val="0"/>
        <w:spacing w:line="360" w:lineRule="auto"/>
        <w:jc w:val="both"/>
        <w:rPr>
          <w:rFonts w:asciiTheme="minorHAnsi" w:eastAsiaTheme="minorHAnsi" w:hAnsiTheme="minorHAnsi" w:cstheme="minorHAnsi"/>
          <w:color w:val="000000"/>
          <w:lang w:eastAsia="en-US"/>
        </w:rPr>
      </w:pPr>
      <w:r w:rsidRPr="008B5432">
        <w:rPr>
          <w:rFonts w:asciiTheme="minorHAnsi" w:eastAsiaTheme="minorHAnsi" w:hAnsiTheme="minorHAnsi" w:cstheme="minorHAnsi"/>
          <w:color w:val="000000"/>
          <w:lang w:eastAsia="en-US"/>
        </w:rPr>
        <w:t xml:space="preserve">Zgodnie z art. 57 § 5 pkt 1 i 2 k.p.a. termin uważa się za zachowany, jeżeli przed jego upływem pismo zostało wysłane na adres do doręczeń elektronicznych organu administracji publicznej, a nadawca otrzymał dowód otrzymania, o którym mowa w art. 41 ustawy z dnia 18 listopada 2020 r. o doręczeniach elektronicznych (tekst jedn. Dz. U. z 2026 r. poz. 3) lub nadane </w:t>
      </w:r>
      <w:r w:rsidRPr="008B5432">
        <w:rPr>
          <w:rFonts w:asciiTheme="minorHAnsi" w:eastAsiaTheme="minorHAnsi" w:hAnsiTheme="minorHAnsi" w:cstheme="minorHAnsi"/>
          <w:color w:val="000000"/>
          <w:lang w:eastAsia="en-US"/>
        </w:rPr>
        <w:lastRenderedPageBreak/>
        <w:t>w</w:t>
      </w:r>
      <w:r w:rsidR="00D11792">
        <w:rPr>
          <w:rFonts w:asciiTheme="minorHAnsi" w:eastAsiaTheme="minorHAnsi" w:hAnsiTheme="minorHAnsi" w:cstheme="minorHAnsi"/>
          <w:color w:val="000000"/>
          <w:lang w:eastAsia="en-US"/>
        </w:rPr>
        <w:t> </w:t>
      </w:r>
      <w:r w:rsidRPr="008B5432">
        <w:rPr>
          <w:rFonts w:asciiTheme="minorHAnsi" w:eastAsiaTheme="minorHAnsi" w:hAnsiTheme="minorHAnsi" w:cstheme="minorHAnsi"/>
          <w:color w:val="000000"/>
          <w:lang w:eastAsia="en-US"/>
        </w:rPr>
        <w:t>polskiej placówce pocztowej operatora wyznaczonego w rozumieniu ustawy z dnia 23</w:t>
      </w:r>
      <w:r w:rsidR="00D11792">
        <w:rPr>
          <w:rFonts w:asciiTheme="minorHAnsi" w:eastAsiaTheme="minorHAnsi" w:hAnsiTheme="minorHAnsi" w:cstheme="minorHAnsi"/>
          <w:color w:val="000000"/>
          <w:lang w:eastAsia="en-US"/>
        </w:rPr>
        <w:t> </w:t>
      </w:r>
      <w:r w:rsidRPr="008B5432">
        <w:rPr>
          <w:rFonts w:asciiTheme="minorHAnsi" w:eastAsiaTheme="minorHAnsi" w:hAnsiTheme="minorHAnsi" w:cstheme="minorHAnsi"/>
          <w:color w:val="000000"/>
          <w:lang w:eastAsia="en-US"/>
        </w:rPr>
        <w:t xml:space="preserve">listopada 2012 r. - Prawo pocztowe (tekst jedn. Dz. U. z 2026 r. poz. 558) albo placówce pocztowej operatora świadczącego pocztowe usługi powszechnych w innym państwie członkowskim Unii Europejskiej, Konfederacji Szwajcarskiej albo państwie członkowskim Europejskiego Porozumienia o Wolnym Handlu (EFTA) - stronie umowy o Europejskim Obszarze Gospodarczym. </w:t>
      </w:r>
    </w:p>
    <w:p w:rsidR="008B5432" w:rsidRPr="008B5432" w:rsidRDefault="008B5432" w:rsidP="00D11792">
      <w:pPr>
        <w:autoSpaceDE w:val="0"/>
        <w:autoSpaceDN w:val="0"/>
        <w:adjustRightInd w:val="0"/>
        <w:spacing w:line="360" w:lineRule="auto"/>
        <w:jc w:val="both"/>
        <w:rPr>
          <w:rFonts w:asciiTheme="minorHAnsi" w:eastAsiaTheme="minorHAnsi" w:hAnsiTheme="minorHAnsi" w:cstheme="minorHAnsi"/>
          <w:color w:val="000000"/>
          <w:lang w:eastAsia="en-US"/>
        </w:rPr>
      </w:pPr>
      <w:r w:rsidRPr="008B5432">
        <w:rPr>
          <w:rFonts w:asciiTheme="minorHAnsi" w:eastAsiaTheme="minorHAnsi" w:hAnsiTheme="minorHAnsi" w:cstheme="minorHAnsi"/>
          <w:color w:val="000000"/>
          <w:lang w:eastAsia="en-US"/>
        </w:rPr>
        <w:t>Zgodnie z art. 127a § 1 i § 2 k.p.a. przed upływem terminu do wniesienia odwołania strona może zrzec się prawa do wniesienia odwołania wobec organu administracji publicznej, który wydał decyzję. Z dniem doręczenia organowi administracji publicznej oświadczenia o</w:t>
      </w:r>
      <w:r w:rsidR="00D11792">
        <w:rPr>
          <w:rFonts w:asciiTheme="minorHAnsi" w:eastAsiaTheme="minorHAnsi" w:hAnsiTheme="minorHAnsi" w:cstheme="minorHAnsi"/>
          <w:color w:val="000000"/>
          <w:lang w:eastAsia="en-US"/>
        </w:rPr>
        <w:t> </w:t>
      </w:r>
      <w:r w:rsidRPr="008B5432">
        <w:rPr>
          <w:rFonts w:asciiTheme="minorHAnsi" w:eastAsiaTheme="minorHAnsi" w:hAnsiTheme="minorHAnsi" w:cstheme="minorHAnsi"/>
          <w:color w:val="000000"/>
          <w:lang w:eastAsia="en-US"/>
        </w:rPr>
        <w:t xml:space="preserve">zrzeczeniu się prawa do wniesienia odwołania przez ostatnią ze stron postępowania, decyzja staje się ostateczna i prawomocna. Strony zrzekając się prawa do wniesienia odwołania zrzekają się zatem równocześnie prawa wniesienia skargi do sądu. </w:t>
      </w:r>
    </w:p>
    <w:p w:rsidR="008B5432" w:rsidRPr="008B5432" w:rsidRDefault="008B5432" w:rsidP="00D11792">
      <w:pPr>
        <w:spacing w:line="360" w:lineRule="auto"/>
        <w:jc w:val="both"/>
        <w:rPr>
          <w:rFonts w:asciiTheme="minorHAnsi" w:hAnsiTheme="minorHAnsi" w:cstheme="minorHAnsi"/>
        </w:rPr>
      </w:pPr>
      <w:r w:rsidRPr="008B5432">
        <w:rPr>
          <w:rFonts w:asciiTheme="minorHAnsi" w:eastAsiaTheme="minorHAnsi" w:hAnsiTheme="minorHAnsi" w:cstheme="minorHAnsi"/>
          <w:color w:val="000000"/>
          <w:lang w:eastAsia="en-US"/>
        </w:rPr>
        <w:t xml:space="preserve">Zgodnie z art. 130 § 4 k.p.a. decyzja podlega wykonaniu przed upływem terminu do wniesienia odwołania, jeżeli jest zgodna z żądaniem wszystkich stron lub jeżeli wszystkie strony zrzekły się prawa do wniesienia odwołania. </w:t>
      </w:r>
      <w:r w:rsidRPr="008B5432">
        <w:rPr>
          <w:rFonts w:asciiTheme="minorHAnsi" w:hAnsiTheme="minorHAnsi" w:cstheme="minorHAnsi"/>
        </w:rPr>
        <w:t>Zgodnie z art. 130 § 4 k.p.a. decyzja podlega wykonaniu przed upływem terminu do wniesienia odwołania, jeżeli jest zgodna z żądaniem wszystkich stron lub jeżeli wszystkie strony zrzekły się prawa do wniesienia odwołania.</w:t>
      </w:r>
    </w:p>
    <w:p w:rsidR="008B5432" w:rsidRPr="008B5432" w:rsidRDefault="008B5432" w:rsidP="00D11792">
      <w:pPr>
        <w:spacing w:line="360" w:lineRule="auto"/>
        <w:jc w:val="both"/>
        <w:rPr>
          <w:rFonts w:asciiTheme="minorHAnsi" w:hAnsiTheme="minorHAnsi" w:cstheme="minorHAnsi"/>
        </w:rPr>
      </w:pPr>
      <w:r w:rsidRPr="008B5432">
        <w:rPr>
          <w:rFonts w:asciiTheme="minorHAnsi" w:hAnsiTheme="minorHAnsi" w:cstheme="minorHAnsi"/>
        </w:rPr>
        <w:t>Iwona Kędzierska - Gębska</w:t>
      </w:r>
    </w:p>
    <w:p w:rsidR="008B5432" w:rsidRPr="008B5432" w:rsidRDefault="008B5432" w:rsidP="00D11792">
      <w:pPr>
        <w:spacing w:line="360" w:lineRule="auto"/>
        <w:jc w:val="both"/>
        <w:rPr>
          <w:rFonts w:asciiTheme="minorHAnsi" w:hAnsiTheme="minorHAnsi" w:cstheme="minorHAnsi"/>
        </w:rPr>
      </w:pPr>
      <w:r w:rsidRPr="008B5432">
        <w:rPr>
          <w:rFonts w:asciiTheme="minorHAnsi" w:hAnsiTheme="minorHAnsi" w:cstheme="minorHAnsi"/>
        </w:rPr>
        <w:t>Regionalny Dyrektor Ochrony Środowiska</w:t>
      </w:r>
    </w:p>
    <w:p w:rsidR="008B5432" w:rsidRPr="008B5432" w:rsidRDefault="008B5432" w:rsidP="00D11792">
      <w:pPr>
        <w:spacing w:line="360" w:lineRule="auto"/>
        <w:jc w:val="both"/>
        <w:rPr>
          <w:rFonts w:asciiTheme="minorHAnsi" w:hAnsiTheme="minorHAnsi" w:cstheme="minorHAnsi"/>
        </w:rPr>
      </w:pPr>
      <w:r w:rsidRPr="008B5432">
        <w:rPr>
          <w:rFonts w:asciiTheme="minorHAnsi" w:hAnsiTheme="minorHAnsi" w:cstheme="minorHAnsi"/>
        </w:rPr>
        <w:t>w Kielcach</w:t>
      </w:r>
    </w:p>
    <w:p w:rsidR="008B5432" w:rsidRPr="008B5432" w:rsidRDefault="008B5432" w:rsidP="00D11792">
      <w:pPr>
        <w:spacing w:line="360" w:lineRule="auto"/>
        <w:jc w:val="both"/>
        <w:rPr>
          <w:rFonts w:asciiTheme="minorHAnsi" w:hAnsiTheme="minorHAnsi" w:cstheme="minorHAnsi"/>
        </w:rPr>
      </w:pPr>
      <w:r w:rsidRPr="008B5432">
        <w:rPr>
          <w:rFonts w:asciiTheme="minorHAnsi" w:hAnsiTheme="minorHAnsi" w:cstheme="minorHAnsi"/>
        </w:rPr>
        <w:t>/-podpisany cyfrowo/</w:t>
      </w:r>
    </w:p>
    <w:p w:rsidR="008B5432" w:rsidRPr="008B5432" w:rsidRDefault="008B5432" w:rsidP="008B5432">
      <w:pPr>
        <w:tabs>
          <w:tab w:val="left" w:pos="0"/>
        </w:tabs>
        <w:spacing w:line="360" w:lineRule="auto"/>
        <w:jc w:val="both"/>
        <w:rPr>
          <w:rFonts w:asciiTheme="minorHAnsi" w:hAnsiTheme="minorHAnsi" w:cstheme="minorHAnsi"/>
          <w:b/>
        </w:rPr>
      </w:pPr>
    </w:p>
    <w:p w:rsidR="008B5432" w:rsidRPr="008B5432" w:rsidRDefault="008B5432" w:rsidP="008B5432">
      <w:pPr>
        <w:tabs>
          <w:tab w:val="left" w:pos="0"/>
        </w:tabs>
        <w:spacing w:line="360" w:lineRule="auto"/>
        <w:jc w:val="both"/>
        <w:rPr>
          <w:rFonts w:asciiTheme="minorHAnsi" w:hAnsiTheme="minorHAnsi" w:cstheme="minorHAnsi"/>
        </w:rPr>
      </w:pPr>
      <w:r w:rsidRPr="008B5432">
        <w:rPr>
          <w:rFonts w:asciiTheme="minorHAnsi" w:hAnsiTheme="minorHAnsi" w:cstheme="minorHAnsi"/>
          <w:b/>
        </w:rPr>
        <w:t>Załącznik nr 1</w:t>
      </w:r>
      <w:r w:rsidRPr="008B5432">
        <w:rPr>
          <w:rFonts w:asciiTheme="minorHAnsi" w:hAnsiTheme="minorHAnsi" w:cstheme="minorHAnsi"/>
        </w:rPr>
        <w:t xml:space="preserve"> Charakterystyka przedsięwzięcia.</w:t>
      </w:r>
    </w:p>
    <w:p w:rsidR="008B5432" w:rsidRPr="008B5432" w:rsidRDefault="008B5432" w:rsidP="008B5432">
      <w:pPr>
        <w:tabs>
          <w:tab w:val="left" w:pos="0"/>
        </w:tabs>
        <w:spacing w:line="360" w:lineRule="auto"/>
        <w:jc w:val="both"/>
        <w:rPr>
          <w:rFonts w:asciiTheme="minorHAnsi" w:hAnsiTheme="minorHAnsi" w:cstheme="minorHAnsi"/>
        </w:rPr>
      </w:pPr>
      <w:r w:rsidRPr="008B5432">
        <w:rPr>
          <w:rFonts w:asciiTheme="minorHAnsi" w:hAnsiTheme="minorHAnsi" w:cstheme="minorHAnsi"/>
          <w:b/>
        </w:rPr>
        <w:t>Załącznik nr 2</w:t>
      </w:r>
      <w:r w:rsidRPr="008B5432">
        <w:rPr>
          <w:rFonts w:asciiTheme="minorHAnsi" w:hAnsiTheme="minorHAnsi" w:cstheme="minorHAnsi"/>
        </w:rPr>
        <w:t xml:space="preserve"> Teren realizacji inwestycji.</w:t>
      </w:r>
    </w:p>
    <w:p w:rsidR="008B5432" w:rsidRPr="008B5432" w:rsidRDefault="008B5432" w:rsidP="008B5432">
      <w:pPr>
        <w:spacing w:line="360" w:lineRule="auto"/>
        <w:jc w:val="both"/>
        <w:rPr>
          <w:rFonts w:asciiTheme="minorHAnsi" w:hAnsiTheme="minorHAnsi" w:cstheme="minorHAnsi"/>
          <w:b/>
          <w:u w:val="single"/>
        </w:rPr>
      </w:pPr>
    </w:p>
    <w:p w:rsidR="008B5432" w:rsidRPr="008B5432" w:rsidRDefault="008B5432" w:rsidP="008B5432">
      <w:pPr>
        <w:spacing w:line="360" w:lineRule="auto"/>
        <w:ind w:left="284" w:hanging="284"/>
        <w:contextualSpacing/>
        <w:jc w:val="both"/>
        <w:rPr>
          <w:rFonts w:asciiTheme="minorHAnsi" w:hAnsiTheme="minorHAnsi" w:cstheme="minorHAnsi"/>
          <w:b/>
          <w:u w:val="single"/>
        </w:rPr>
      </w:pPr>
      <w:r w:rsidRPr="008B5432">
        <w:rPr>
          <w:rFonts w:asciiTheme="minorHAnsi" w:hAnsiTheme="minorHAnsi" w:cstheme="minorHAnsi"/>
          <w:b/>
          <w:u w:val="single"/>
        </w:rPr>
        <w:t>Otrzymują:</w:t>
      </w:r>
    </w:p>
    <w:p w:rsidR="008B5432" w:rsidRPr="00D11792" w:rsidRDefault="00D11792" w:rsidP="00D11792">
      <w:pPr>
        <w:spacing w:line="360" w:lineRule="auto"/>
        <w:contextualSpacing/>
        <w:jc w:val="both"/>
        <w:rPr>
          <w:rFonts w:asciiTheme="minorHAnsi" w:hAnsiTheme="minorHAnsi" w:cstheme="minorHAnsi"/>
        </w:rPr>
      </w:pPr>
      <w:r>
        <w:rPr>
          <w:rFonts w:asciiTheme="minorHAnsi" w:hAnsiTheme="minorHAnsi" w:cstheme="minorHAnsi"/>
        </w:rPr>
        <w:t xml:space="preserve">1. </w:t>
      </w:r>
      <w:r w:rsidR="008B5432" w:rsidRPr="00D11792">
        <w:rPr>
          <w:rFonts w:asciiTheme="minorHAnsi" w:hAnsiTheme="minorHAnsi" w:cstheme="minorHAnsi"/>
        </w:rPr>
        <w:t xml:space="preserve">Polskie Sieci Elektroenergetyczne S. A. za pośrednictwem Pełnomocnika Pana Michała </w:t>
      </w:r>
      <w:proofErr w:type="spellStart"/>
      <w:r w:rsidR="008B5432" w:rsidRPr="00D11792">
        <w:rPr>
          <w:rFonts w:asciiTheme="minorHAnsi" w:hAnsiTheme="minorHAnsi" w:cstheme="minorHAnsi"/>
        </w:rPr>
        <w:t>Wrótniak</w:t>
      </w:r>
      <w:proofErr w:type="spellEnd"/>
      <w:r w:rsidR="008B5432" w:rsidRPr="00D11792">
        <w:rPr>
          <w:rFonts w:asciiTheme="minorHAnsi" w:hAnsiTheme="minorHAnsi" w:cstheme="minorHAnsi"/>
        </w:rPr>
        <w:t xml:space="preserve"> – przedłożenie elektroniczne przez e-doręczenia,</w:t>
      </w:r>
    </w:p>
    <w:p w:rsidR="008B5432" w:rsidRPr="00D11792" w:rsidRDefault="00D11792" w:rsidP="00D11792">
      <w:pPr>
        <w:spacing w:line="360" w:lineRule="auto"/>
        <w:contextualSpacing/>
        <w:jc w:val="both"/>
        <w:rPr>
          <w:rFonts w:asciiTheme="minorHAnsi" w:hAnsiTheme="minorHAnsi" w:cstheme="minorHAnsi"/>
        </w:rPr>
      </w:pPr>
      <w:r>
        <w:rPr>
          <w:rFonts w:asciiTheme="minorHAnsi" w:hAnsiTheme="minorHAnsi" w:cstheme="minorHAnsi"/>
        </w:rPr>
        <w:t xml:space="preserve">2. </w:t>
      </w:r>
      <w:r w:rsidR="008B5432" w:rsidRPr="00D11792">
        <w:rPr>
          <w:rFonts w:asciiTheme="minorHAnsi" w:hAnsiTheme="minorHAnsi" w:cstheme="minorHAnsi"/>
        </w:rPr>
        <w:t>Pozostałe strony poprzez obwieszczenie:</w:t>
      </w:r>
    </w:p>
    <w:p w:rsidR="008B5432" w:rsidRPr="00D11792" w:rsidRDefault="00D11792" w:rsidP="00D11792">
      <w:pPr>
        <w:spacing w:line="360" w:lineRule="auto"/>
        <w:contextualSpacing/>
        <w:jc w:val="both"/>
        <w:rPr>
          <w:rFonts w:asciiTheme="minorHAnsi" w:hAnsiTheme="minorHAnsi" w:cstheme="minorHAnsi"/>
        </w:rPr>
      </w:pPr>
      <w:r>
        <w:rPr>
          <w:rFonts w:asciiTheme="minorHAnsi" w:hAnsiTheme="minorHAnsi" w:cstheme="minorHAnsi"/>
        </w:rPr>
        <w:t>-</w:t>
      </w:r>
      <w:r w:rsidR="008B5432" w:rsidRPr="00D11792">
        <w:rPr>
          <w:rFonts w:asciiTheme="minorHAnsi" w:hAnsiTheme="minorHAnsi" w:cstheme="minorHAnsi"/>
        </w:rPr>
        <w:t>wywieszone na tablicy ogłoszeń w siedzibie Regionalnej Dyrekcji Ochrony Środowiska w</w:t>
      </w:r>
      <w:r>
        <w:rPr>
          <w:rFonts w:asciiTheme="minorHAnsi" w:hAnsiTheme="minorHAnsi" w:cstheme="minorHAnsi"/>
        </w:rPr>
        <w:t> </w:t>
      </w:r>
      <w:r w:rsidR="008B5432" w:rsidRPr="00D11792">
        <w:rPr>
          <w:rFonts w:asciiTheme="minorHAnsi" w:hAnsiTheme="minorHAnsi" w:cstheme="minorHAnsi"/>
        </w:rPr>
        <w:t>Kielcach,</w:t>
      </w:r>
    </w:p>
    <w:p w:rsidR="008B5432" w:rsidRPr="00D11792" w:rsidRDefault="00D11792" w:rsidP="00D11792">
      <w:pPr>
        <w:spacing w:line="360" w:lineRule="auto"/>
        <w:contextualSpacing/>
        <w:jc w:val="both"/>
        <w:rPr>
          <w:rFonts w:asciiTheme="minorHAnsi" w:hAnsiTheme="minorHAnsi" w:cstheme="minorHAnsi"/>
        </w:rPr>
      </w:pPr>
      <w:r>
        <w:rPr>
          <w:rFonts w:asciiTheme="minorHAnsi" w:hAnsiTheme="minorHAnsi" w:cstheme="minorHAnsi"/>
        </w:rPr>
        <w:lastRenderedPageBreak/>
        <w:t>-</w:t>
      </w:r>
      <w:r w:rsidR="008B5432" w:rsidRPr="00D11792">
        <w:rPr>
          <w:rFonts w:asciiTheme="minorHAnsi" w:hAnsiTheme="minorHAnsi" w:cstheme="minorHAnsi"/>
        </w:rPr>
        <w:t>udostępnione w Biuletynie Informacji Publicznej Regionalnej Dyrekcji Ochrony Środowiska w Kielcach,</w:t>
      </w:r>
    </w:p>
    <w:p w:rsidR="008B5432" w:rsidRPr="00D11792" w:rsidRDefault="00D11792" w:rsidP="00D11792">
      <w:pPr>
        <w:spacing w:line="360" w:lineRule="auto"/>
        <w:contextualSpacing/>
        <w:jc w:val="both"/>
        <w:rPr>
          <w:rFonts w:asciiTheme="minorHAnsi" w:hAnsiTheme="minorHAnsi" w:cstheme="minorHAnsi"/>
        </w:rPr>
      </w:pPr>
      <w:r>
        <w:rPr>
          <w:rFonts w:asciiTheme="minorHAnsi" w:hAnsiTheme="minorHAnsi" w:cstheme="minorHAnsi"/>
        </w:rPr>
        <w:t xml:space="preserve">- </w:t>
      </w:r>
      <w:r w:rsidR="008B5432" w:rsidRPr="00D11792">
        <w:rPr>
          <w:rFonts w:asciiTheme="minorHAnsi" w:hAnsiTheme="minorHAnsi" w:cstheme="minorHAnsi"/>
        </w:rPr>
        <w:t>udostępnione za pośrednictwem Burmistrza Miasta i Gminy Piekoszów w Biuletynie Informacji Publicznej lub publiczne ogłoszenie dokonane w sposób zwyczajowo przyjęty w</w:t>
      </w:r>
      <w:r>
        <w:rPr>
          <w:rFonts w:asciiTheme="minorHAnsi" w:hAnsiTheme="minorHAnsi" w:cstheme="minorHAnsi"/>
        </w:rPr>
        <w:t> </w:t>
      </w:r>
      <w:r w:rsidR="008B5432" w:rsidRPr="00D11792">
        <w:rPr>
          <w:rFonts w:asciiTheme="minorHAnsi" w:hAnsiTheme="minorHAnsi" w:cstheme="minorHAnsi"/>
        </w:rPr>
        <w:t>danej miejscowości – zgodnie z art. 74 ust. 3aa UUOŚ,</w:t>
      </w:r>
    </w:p>
    <w:p w:rsidR="008B5432" w:rsidRPr="00D11792" w:rsidRDefault="00D11792" w:rsidP="00D11792">
      <w:pPr>
        <w:spacing w:line="360" w:lineRule="auto"/>
        <w:contextualSpacing/>
        <w:jc w:val="both"/>
        <w:rPr>
          <w:rFonts w:asciiTheme="minorHAnsi" w:hAnsiTheme="minorHAnsi" w:cstheme="minorHAnsi"/>
        </w:rPr>
      </w:pPr>
      <w:r>
        <w:rPr>
          <w:rFonts w:asciiTheme="minorHAnsi" w:hAnsiTheme="minorHAnsi" w:cstheme="minorHAnsi"/>
        </w:rPr>
        <w:t xml:space="preserve">- </w:t>
      </w:r>
      <w:r w:rsidR="008B5432" w:rsidRPr="00D11792">
        <w:rPr>
          <w:rFonts w:asciiTheme="minorHAnsi" w:hAnsiTheme="minorHAnsi" w:cstheme="minorHAnsi"/>
        </w:rPr>
        <w:t>udostępnione za pośrednictwem Wójta Gminy Strawczyn w Biuletynie Informacji Publicznej lub publiczne ogłoszenie dokonane w sposób zwyczajowo przyjęty w danej miejscowości – zgodnie z art. 74 ust. 3aa UUOŚ.</w:t>
      </w:r>
    </w:p>
    <w:p w:rsidR="008B5432" w:rsidRPr="008B5432" w:rsidRDefault="008B5432" w:rsidP="008B5432">
      <w:pPr>
        <w:spacing w:line="360" w:lineRule="auto"/>
        <w:contextualSpacing/>
        <w:jc w:val="both"/>
        <w:rPr>
          <w:rFonts w:asciiTheme="minorHAnsi" w:hAnsiTheme="minorHAnsi" w:cstheme="minorHAnsi"/>
        </w:rPr>
      </w:pPr>
      <w:r w:rsidRPr="008B5432">
        <w:rPr>
          <w:rFonts w:asciiTheme="minorHAnsi" w:hAnsiTheme="minorHAnsi" w:cstheme="minorHAnsi"/>
        </w:rPr>
        <w:t>3. Aa.</w:t>
      </w:r>
    </w:p>
    <w:p w:rsidR="008B5432" w:rsidRPr="008B5432" w:rsidRDefault="008B5432" w:rsidP="00D11792">
      <w:pPr>
        <w:spacing w:line="360" w:lineRule="auto"/>
        <w:contextualSpacing/>
        <w:jc w:val="both"/>
        <w:rPr>
          <w:rFonts w:asciiTheme="minorHAnsi" w:hAnsiTheme="minorHAnsi" w:cstheme="minorHAnsi"/>
        </w:rPr>
      </w:pPr>
    </w:p>
    <w:p w:rsidR="008B5432" w:rsidRPr="008B5432" w:rsidRDefault="008B5432" w:rsidP="008B5432">
      <w:pPr>
        <w:pStyle w:val="Standard"/>
        <w:tabs>
          <w:tab w:val="left" w:pos="0"/>
        </w:tabs>
        <w:spacing w:line="360" w:lineRule="auto"/>
        <w:jc w:val="both"/>
        <w:rPr>
          <w:rFonts w:asciiTheme="minorHAnsi" w:hAnsiTheme="minorHAnsi" w:cstheme="minorHAnsi"/>
          <w:b/>
          <w:u w:val="single"/>
        </w:rPr>
      </w:pPr>
      <w:r w:rsidRPr="008B5432">
        <w:rPr>
          <w:rFonts w:asciiTheme="minorHAnsi" w:hAnsiTheme="minorHAnsi" w:cstheme="minorHAnsi"/>
          <w:b/>
          <w:u w:val="single"/>
        </w:rPr>
        <w:t>Do wiadomości:</w:t>
      </w:r>
    </w:p>
    <w:bookmarkEnd w:id="2"/>
    <w:bookmarkEnd w:id="3"/>
    <w:bookmarkEnd w:id="4"/>
    <w:p w:rsidR="008B5432" w:rsidRPr="00D11792" w:rsidRDefault="00D11792" w:rsidP="00D11792">
      <w:pPr>
        <w:spacing w:line="360" w:lineRule="auto"/>
        <w:jc w:val="both"/>
        <w:rPr>
          <w:rFonts w:asciiTheme="minorHAnsi" w:hAnsiTheme="minorHAnsi" w:cstheme="minorHAnsi"/>
        </w:rPr>
      </w:pPr>
      <w:r>
        <w:rPr>
          <w:rFonts w:asciiTheme="minorHAnsi" w:hAnsiTheme="minorHAnsi" w:cstheme="minorHAnsi"/>
        </w:rPr>
        <w:t xml:space="preserve">1. </w:t>
      </w:r>
      <w:r w:rsidR="008B5432" w:rsidRPr="00D11792">
        <w:rPr>
          <w:rFonts w:asciiTheme="minorHAnsi" w:hAnsiTheme="minorHAnsi" w:cstheme="minorHAnsi"/>
        </w:rPr>
        <w:t>Dyrektor Regionalnego Zarządu Gospodarki Wodnej w Krakowie Państwowego Gospodarstwa Wodnego Wody Polskie – przedłożenie elektroniczne przez e-doręczenia,</w:t>
      </w:r>
    </w:p>
    <w:p w:rsidR="007E62AD" w:rsidRPr="008B5432" w:rsidRDefault="00D11792" w:rsidP="008B5432">
      <w:pPr>
        <w:spacing w:line="360" w:lineRule="auto"/>
        <w:jc w:val="both"/>
        <w:rPr>
          <w:rFonts w:asciiTheme="minorHAnsi" w:hAnsiTheme="minorHAnsi" w:cstheme="minorHAnsi"/>
        </w:rPr>
      </w:pPr>
      <w:r>
        <w:rPr>
          <w:rFonts w:asciiTheme="minorHAnsi" w:hAnsiTheme="minorHAnsi" w:cstheme="minorHAnsi"/>
        </w:rPr>
        <w:t xml:space="preserve">2. </w:t>
      </w:r>
      <w:r w:rsidR="008B5432" w:rsidRPr="008B5432">
        <w:rPr>
          <w:rFonts w:asciiTheme="minorHAnsi" w:hAnsiTheme="minorHAnsi" w:cstheme="minorHAnsi"/>
        </w:rPr>
        <w:t>Państwowy Powiatowy Inspektor Sanitarny w Kielcach – przedłożenie elektroniczne e-doręczenia</w:t>
      </w:r>
    </w:p>
    <w:sectPr w:rsidR="007E62AD" w:rsidRPr="008B5432" w:rsidSect="008B5432">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432" w:rsidRDefault="008B5432" w:rsidP="008B5432">
      <w:r>
        <w:separator/>
      </w:r>
    </w:p>
  </w:endnote>
  <w:endnote w:type="continuationSeparator" w:id="0">
    <w:p w:rsidR="008B5432" w:rsidRDefault="008B5432" w:rsidP="008B5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altName w:val="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432" w:rsidRDefault="008B5432" w:rsidP="008B5432">
      <w:r>
        <w:separator/>
      </w:r>
    </w:p>
  </w:footnote>
  <w:footnote w:type="continuationSeparator" w:id="0">
    <w:p w:rsidR="008B5432" w:rsidRDefault="008B5432" w:rsidP="008B5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432" w:rsidRDefault="008B5432" w:rsidP="008B5432">
    <w:pPr>
      <w:pStyle w:val="Nagwek"/>
      <w:tabs>
        <w:tab w:val="clear" w:pos="4536"/>
        <w:tab w:val="center" w:pos="1701"/>
      </w:tabs>
      <w:rPr>
        <w:rFonts w:ascii="Garamond" w:hAnsi="Garamond"/>
        <w:b/>
        <w:bCs/>
        <w:smallCaps/>
        <w:sz w:val="32"/>
        <w:szCs w:val="32"/>
      </w:rPr>
    </w:pPr>
    <w:r>
      <w:rPr>
        <w:rFonts w:ascii="Garamond" w:hAnsi="Garamond"/>
        <w:b/>
        <w:bCs/>
        <w:smallCaps/>
        <w:sz w:val="32"/>
        <w:szCs w:val="32"/>
      </w:rPr>
      <w:t xml:space="preserve">                  </w:t>
    </w:r>
    <w:r>
      <w:rPr>
        <w:rFonts w:ascii="Garamond" w:hAnsi="Garamond"/>
        <w:noProof/>
      </w:rPr>
      <w:drawing>
        <wp:inline distT="0" distB="0" distL="0" distR="0" wp14:anchorId="0820B7D9" wp14:editId="6A39AA64">
          <wp:extent cx="605155" cy="571500"/>
          <wp:effectExtent l="19050" t="0" r="4445" b="0"/>
          <wp:docPr id="1992167891" name="Obraz 1992167891" descr="Orz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zel"/>
                  <pic:cNvPicPr>
                    <a:picLocks noChangeAspect="1" noChangeArrowheads="1"/>
                  </pic:cNvPicPr>
                </pic:nvPicPr>
                <pic:blipFill>
                  <a:blip r:embed="rId1"/>
                  <a:srcRect/>
                  <a:stretch>
                    <a:fillRect/>
                  </a:stretch>
                </pic:blipFill>
                <pic:spPr bwMode="auto">
                  <a:xfrm>
                    <a:off x="0" y="0"/>
                    <a:ext cx="605155" cy="571500"/>
                  </a:xfrm>
                  <a:prstGeom prst="rect">
                    <a:avLst/>
                  </a:prstGeom>
                  <a:noFill/>
                  <a:ln w="9525">
                    <a:noFill/>
                    <a:miter lim="800000"/>
                    <a:headEnd/>
                    <a:tailEnd/>
                  </a:ln>
                </pic:spPr>
              </pic:pic>
            </a:graphicData>
          </a:graphic>
        </wp:inline>
      </w:drawing>
    </w:r>
  </w:p>
  <w:p w:rsidR="008B5432" w:rsidRDefault="008B5432" w:rsidP="008B5432">
    <w:pPr>
      <w:pStyle w:val="Nagwek"/>
      <w:rPr>
        <w:rFonts w:ascii="Garamond" w:hAnsi="Garamond"/>
        <w:b/>
        <w:bCs/>
        <w:smallCaps/>
        <w:sz w:val="32"/>
        <w:szCs w:val="32"/>
      </w:rPr>
    </w:pPr>
    <w:r w:rsidRPr="00D20DAF">
      <w:rPr>
        <w:rFonts w:ascii="Garamond" w:hAnsi="Garamond"/>
        <w:b/>
        <w:bCs/>
        <w:smallCaps/>
        <w:sz w:val="32"/>
        <w:szCs w:val="32"/>
      </w:rPr>
      <w:t>Regionalny Dyrektor</w:t>
    </w:r>
  </w:p>
  <w:p w:rsidR="008B5432" w:rsidRPr="00B94887" w:rsidRDefault="008B5432" w:rsidP="008B5432">
    <w:pPr>
      <w:pStyle w:val="Nagwek"/>
    </w:pPr>
    <w:r w:rsidRPr="00D20DAF">
      <w:rPr>
        <w:rFonts w:ascii="Garamond" w:hAnsi="Garamond"/>
        <w:b/>
        <w:bCs/>
        <w:smallCaps/>
        <w:sz w:val="32"/>
        <w:szCs w:val="32"/>
      </w:rPr>
      <w:t>Ochrony Środowiska</w:t>
    </w:r>
  </w:p>
  <w:p w:rsidR="008B5432" w:rsidRPr="00944845" w:rsidRDefault="008B5432" w:rsidP="008B5432">
    <w:pPr>
      <w:pStyle w:val="Nagwek"/>
      <w:tabs>
        <w:tab w:val="clear" w:pos="4536"/>
        <w:tab w:val="center" w:pos="1560"/>
      </w:tabs>
      <w:rPr>
        <w:rFonts w:ascii="Garamond" w:hAnsi="Garamond"/>
        <w:b/>
        <w:bCs/>
        <w:smallCaps/>
        <w:sz w:val="32"/>
        <w:szCs w:val="32"/>
      </w:rPr>
    </w:pPr>
    <w:r>
      <w:rPr>
        <w:rFonts w:ascii="Garamond" w:hAnsi="Garamond"/>
        <w:b/>
        <w:bCs/>
        <w:smallCaps/>
        <w:sz w:val="32"/>
        <w:szCs w:val="32"/>
      </w:rPr>
      <w:tab/>
    </w:r>
    <w:r w:rsidRPr="00D20DAF">
      <w:rPr>
        <w:rFonts w:ascii="Garamond" w:hAnsi="Garamond"/>
        <w:b/>
        <w:bCs/>
        <w:smallCaps/>
        <w:sz w:val="32"/>
        <w:szCs w:val="32"/>
      </w:rPr>
      <w:t>w Kielcach</w:t>
    </w:r>
  </w:p>
  <w:p w:rsidR="008B5432" w:rsidRDefault="008B543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60DE4"/>
    <w:multiLevelType w:val="hybridMultilevel"/>
    <w:tmpl w:val="43A45BEE"/>
    <w:lvl w:ilvl="0" w:tplc="3D880D4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27CF6CA4"/>
    <w:multiLevelType w:val="hybridMultilevel"/>
    <w:tmpl w:val="2BD26878"/>
    <w:lvl w:ilvl="0" w:tplc="2B7A35D6">
      <w:start w:val="1"/>
      <w:numFmt w:val="decimal"/>
      <w:lvlText w:val="%1."/>
      <w:lvlJc w:val="left"/>
      <w:pPr>
        <w:ind w:left="360" w:hanging="360"/>
      </w:pPr>
      <w:rPr>
        <w:color w:val="auto"/>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2" w15:restartNumberingAfterBreak="0">
    <w:nsid w:val="2B185FCF"/>
    <w:multiLevelType w:val="hybridMultilevel"/>
    <w:tmpl w:val="8A3CC66A"/>
    <w:lvl w:ilvl="0" w:tplc="2C2615F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 w15:restartNumberingAfterBreak="0">
    <w:nsid w:val="4D3D6277"/>
    <w:multiLevelType w:val="hybridMultilevel"/>
    <w:tmpl w:val="65D88452"/>
    <w:lvl w:ilvl="0" w:tplc="5C5A44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567B652A"/>
    <w:multiLevelType w:val="hybridMultilevel"/>
    <w:tmpl w:val="B5B437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C1D4268"/>
    <w:multiLevelType w:val="hybridMultilevel"/>
    <w:tmpl w:val="8608658E"/>
    <w:lvl w:ilvl="0" w:tplc="2C2615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976"/>
    <w:rsid w:val="002E2976"/>
    <w:rsid w:val="004A596B"/>
    <w:rsid w:val="005E6BCA"/>
    <w:rsid w:val="007E62AD"/>
    <w:rsid w:val="008B5432"/>
    <w:rsid w:val="00D11792"/>
    <w:rsid w:val="00ED4B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6EE833-AC15-43C5-9863-2C5229CA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B543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5432"/>
    <w:pPr>
      <w:tabs>
        <w:tab w:val="center" w:pos="4536"/>
        <w:tab w:val="right" w:pos="9072"/>
      </w:tabs>
    </w:pPr>
  </w:style>
  <w:style w:type="character" w:customStyle="1" w:styleId="NagwekZnak">
    <w:name w:val="Nagłówek Znak"/>
    <w:basedOn w:val="Domylnaczcionkaakapitu"/>
    <w:link w:val="Nagwek"/>
    <w:uiPriority w:val="99"/>
    <w:rsid w:val="008B5432"/>
  </w:style>
  <w:style w:type="paragraph" w:styleId="Stopka">
    <w:name w:val="footer"/>
    <w:basedOn w:val="Normalny"/>
    <w:link w:val="StopkaZnak"/>
    <w:uiPriority w:val="99"/>
    <w:unhideWhenUsed/>
    <w:rsid w:val="008B5432"/>
    <w:pPr>
      <w:tabs>
        <w:tab w:val="center" w:pos="4536"/>
        <w:tab w:val="right" w:pos="9072"/>
      </w:tabs>
    </w:pPr>
  </w:style>
  <w:style w:type="character" w:customStyle="1" w:styleId="StopkaZnak">
    <w:name w:val="Stopka Znak"/>
    <w:basedOn w:val="Domylnaczcionkaakapitu"/>
    <w:link w:val="Stopka"/>
    <w:uiPriority w:val="99"/>
    <w:rsid w:val="008B5432"/>
  </w:style>
  <w:style w:type="paragraph" w:styleId="Tekstpodstawowy">
    <w:name w:val="Body Text"/>
    <w:basedOn w:val="Normalny"/>
    <w:link w:val="TekstpodstawowyZnak"/>
    <w:rsid w:val="008B5432"/>
    <w:pPr>
      <w:spacing w:line="480" w:lineRule="auto"/>
      <w:jc w:val="both"/>
    </w:pPr>
    <w:rPr>
      <w:rFonts w:ascii="Arial" w:hAnsi="Arial" w:cs="Arial"/>
    </w:rPr>
  </w:style>
  <w:style w:type="character" w:customStyle="1" w:styleId="TekstpodstawowyZnak">
    <w:name w:val="Tekst podstawowy Znak"/>
    <w:basedOn w:val="Domylnaczcionkaakapitu"/>
    <w:link w:val="Tekstpodstawowy"/>
    <w:rsid w:val="008B5432"/>
    <w:rPr>
      <w:rFonts w:ascii="Arial" w:eastAsia="Times New Roman" w:hAnsi="Arial" w:cs="Arial"/>
      <w:sz w:val="24"/>
      <w:szCs w:val="24"/>
      <w:lang w:eastAsia="pl-PL"/>
    </w:rPr>
  </w:style>
  <w:style w:type="paragraph" w:customStyle="1" w:styleId="Standard">
    <w:name w:val="Standard"/>
    <w:rsid w:val="008B5432"/>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Textbody">
    <w:name w:val="Text body"/>
    <w:basedOn w:val="Standard"/>
    <w:rsid w:val="008B5432"/>
    <w:pPr>
      <w:spacing w:line="480" w:lineRule="auto"/>
      <w:jc w:val="both"/>
    </w:pPr>
    <w:rPr>
      <w:rFonts w:ascii="Arial" w:hAnsi="Arial" w:cs="Arial"/>
    </w:rPr>
  </w:style>
  <w:style w:type="paragraph" w:styleId="Akapitzlist">
    <w:name w:val="List Paragraph"/>
    <w:aliases w:val="BulletC,Obiekt,Akapit z listą1,List Paragraph1,List Paragraph,Numerowanie,Akapit z listą31,Bullets,normalny tekst,Akapit z listą3,Kolorowa lista — akcent 11,Akapit z listą11,Wyliczanie,Sl_Akapit z listą,maz_wyliczenie,opis dzialania"/>
    <w:basedOn w:val="Standard"/>
    <w:link w:val="AkapitzlistZnak"/>
    <w:uiPriority w:val="99"/>
    <w:qFormat/>
    <w:rsid w:val="008B5432"/>
    <w:pPr>
      <w:ind w:left="720"/>
    </w:pPr>
  </w:style>
  <w:style w:type="paragraph" w:customStyle="1" w:styleId="Styl1">
    <w:name w:val="Styl1"/>
    <w:basedOn w:val="Standard"/>
    <w:rsid w:val="008B5432"/>
    <w:pPr>
      <w:spacing w:line="360" w:lineRule="auto"/>
      <w:ind w:firstLine="284"/>
      <w:jc w:val="both"/>
    </w:pPr>
    <w:rPr>
      <w:rFonts w:ascii="Arial" w:hAnsi="Arial"/>
      <w:sz w:val="20"/>
    </w:rPr>
  </w:style>
  <w:style w:type="paragraph" w:customStyle="1" w:styleId="Default">
    <w:name w:val="Default"/>
    <w:rsid w:val="008B5432"/>
    <w:pPr>
      <w:suppressAutoHyphens/>
      <w:autoSpaceDN w:val="0"/>
      <w:spacing w:after="0" w:line="240" w:lineRule="auto"/>
      <w:textAlignment w:val="baseline"/>
    </w:pPr>
    <w:rPr>
      <w:rFonts w:ascii="Arial" w:eastAsia="SimSun" w:hAnsi="Arial" w:cs="Arial"/>
      <w:color w:val="000000"/>
      <w:kern w:val="3"/>
      <w:sz w:val="24"/>
      <w:szCs w:val="24"/>
    </w:rPr>
  </w:style>
  <w:style w:type="character" w:customStyle="1" w:styleId="AkapitzlistZnak">
    <w:name w:val="Akapit z listą Znak"/>
    <w:aliases w:val="BulletC Znak,Obiekt Znak,Akapit z listą1 Znak,List Paragraph1 Znak,List Paragraph Znak,Numerowanie Znak,Akapit z listą31 Znak,Bullets Znak,normalny tekst Znak,Akapit z listą3 Znak,Kolorowa lista — akcent 11 Znak,Akapit z listą11 Znak"/>
    <w:basedOn w:val="Domylnaczcionkaakapitu"/>
    <w:link w:val="Akapitzlist"/>
    <w:uiPriority w:val="99"/>
    <w:qFormat/>
    <w:locked/>
    <w:rsid w:val="008B5432"/>
    <w:rPr>
      <w:rFonts w:ascii="Times New Roman" w:eastAsia="Times New Roman" w:hAnsi="Times New Roman" w:cs="Times New Roman"/>
      <w:kern w:val="3"/>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5345</Words>
  <Characters>32075</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Patrycja Piróg</dc:creator>
  <cp:keywords/>
  <dc:description/>
  <cp:lastModifiedBy>Patrycja Piróg</cp:lastModifiedBy>
  <cp:revision>2</cp:revision>
  <dcterms:created xsi:type="dcterms:W3CDTF">2026-10-21T09:48:00Z</dcterms:created>
  <dcterms:modified xsi:type="dcterms:W3CDTF">2026-10-21T09:58:00Z</dcterms:modified>
</cp:coreProperties>
</file>