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FE56" w14:textId="2E8F9DA2" w:rsidR="00CC7683" w:rsidRPr="002A7278" w:rsidRDefault="00CC7683" w:rsidP="00CC768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bookmarkStart w:id="0" w:name="_Hlk74591811"/>
      <w:r w:rsidRPr="002A7278">
        <w:rPr>
          <w:rFonts w:ascii="Times New Roman" w:eastAsia="Times New Roman" w:hAnsi="Times New Roman"/>
          <w:lang w:eastAsia="pl-PL"/>
        </w:rPr>
        <w:t>Załącznik</w:t>
      </w:r>
      <w:r w:rsidR="000D72A5">
        <w:rPr>
          <w:rFonts w:ascii="Times New Roman" w:eastAsia="Times New Roman" w:hAnsi="Times New Roman"/>
          <w:lang w:eastAsia="pl-PL"/>
        </w:rPr>
        <w:t xml:space="preserve"> </w:t>
      </w:r>
      <w:r w:rsidRPr="002A7278">
        <w:rPr>
          <w:rFonts w:ascii="Times New Roman" w:eastAsia="Times New Roman" w:hAnsi="Times New Roman"/>
          <w:lang w:eastAsia="pl-PL"/>
        </w:rPr>
        <w:t>B.1</w:t>
      </w:r>
      <w:r>
        <w:rPr>
          <w:rFonts w:ascii="Times New Roman" w:eastAsia="Times New Roman" w:hAnsi="Times New Roman"/>
          <w:lang w:eastAsia="pl-PL"/>
        </w:rPr>
        <w:t>20</w:t>
      </w:r>
      <w:r w:rsidRPr="002A7278">
        <w:rPr>
          <w:rFonts w:ascii="Times New Roman" w:eastAsia="Times New Roman" w:hAnsi="Times New Roman"/>
          <w:lang w:eastAsia="pl-PL"/>
        </w:rPr>
        <w:t>.</w:t>
      </w:r>
    </w:p>
    <w:p w14:paraId="0EE9F3F3" w14:textId="77777777" w:rsidR="00CC7683" w:rsidRPr="002A7278" w:rsidRDefault="00CC7683" w:rsidP="00CC768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040686D" w14:textId="0E71C77B" w:rsidR="00CC7683" w:rsidRPr="002A7278" w:rsidRDefault="00547CB2" w:rsidP="00CC7683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 w:rsidRPr="00CC7683">
        <w:rPr>
          <w:rFonts w:ascii="Times New Roman" w:hAnsi="Times New Roman"/>
          <w:b/>
          <w:sz w:val="28"/>
          <w:szCs w:val="28"/>
        </w:rPr>
        <w:t>LECZENIE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683">
        <w:rPr>
          <w:rFonts w:ascii="Times New Roman" w:hAnsi="Times New Roman"/>
          <w:b/>
          <w:sz w:val="28"/>
          <w:szCs w:val="28"/>
        </w:rPr>
        <w:t>CUKRZYCOWEGO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683">
        <w:rPr>
          <w:rFonts w:ascii="Times New Roman" w:hAnsi="Times New Roman"/>
          <w:b/>
          <w:sz w:val="28"/>
          <w:szCs w:val="28"/>
        </w:rPr>
        <w:t>OBRZĘKU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683">
        <w:rPr>
          <w:rFonts w:ascii="Times New Roman" w:hAnsi="Times New Roman"/>
          <w:b/>
          <w:sz w:val="28"/>
          <w:szCs w:val="28"/>
        </w:rPr>
        <w:t>PLAMKI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683">
        <w:rPr>
          <w:rFonts w:ascii="Times New Roman" w:hAnsi="Times New Roman"/>
          <w:b/>
          <w:sz w:val="28"/>
          <w:szCs w:val="28"/>
        </w:rPr>
        <w:t>(DME)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683">
        <w:rPr>
          <w:rFonts w:ascii="Times New Roman" w:hAnsi="Times New Roman"/>
          <w:b/>
          <w:sz w:val="28"/>
          <w:szCs w:val="28"/>
        </w:rPr>
        <w:t>(ICD-10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683">
        <w:rPr>
          <w:rFonts w:ascii="Times New Roman" w:hAnsi="Times New Roman"/>
          <w:b/>
          <w:sz w:val="28"/>
          <w:szCs w:val="28"/>
        </w:rPr>
        <w:t>H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683">
        <w:rPr>
          <w:rFonts w:ascii="Times New Roman" w:hAnsi="Times New Roman"/>
          <w:b/>
          <w:sz w:val="28"/>
          <w:szCs w:val="28"/>
        </w:rPr>
        <w:t>36.0)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4294"/>
        <w:gridCol w:w="4295"/>
      </w:tblGrid>
      <w:tr w:rsidR="00727703" w:rsidRPr="00CC7683" w14:paraId="75FF58DD" w14:textId="77777777" w:rsidTr="00E22FA3">
        <w:trPr>
          <w:trHeight w:val="567"/>
        </w:trPr>
        <w:tc>
          <w:tcPr>
            <w:tcW w:w="15388" w:type="dxa"/>
            <w:gridSpan w:val="3"/>
            <w:vAlign w:val="center"/>
          </w:tcPr>
          <w:p w14:paraId="731E8C75" w14:textId="799A18BC" w:rsidR="00727703" w:rsidRPr="00CC7683" w:rsidRDefault="00727703" w:rsidP="00E22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74591829"/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ŚWIADCZENIA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0D72A5" w:rsidRPr="00CC7683" w14:paraId="7AC82742" w14:textId="77777777" w:rsidTr="000D72A5">
        <w:trPr>
          <w:trHeight w:val="567"/>
        </w:trPr>
        <w:tc>
          <w:tcPr>
            <w:tcW w:w="6799" w:type="dxa"/>
            <w:vAlign w:val="center"/>
          </w:tcPr>
          <w:p w14:paraId="600119EF" w14:textId="77777777" w:rsidR="00727703" w:rsidRPr="00CC7683" w:rsidRDefault="00727703" w:rsidP="00E22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4294" w:type="dxa"/>
            <w:vAlign w:val="center"/>
          </w:tcPr>
          <w:p w14:paraId="254CC536" w14:textId="44163FC2" w:rsidR="00727703" w:rsidRPr="00CC7683" w:rsidRDefault="00727703" w:rsidP="00E22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DAWKOWANIA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LEKÓW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C4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C4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4295" w:type="dxa"/>
            <w:vAlign w:val="center"/>
          </w:tcPr>
          <w:p w14:paraId="0D3664DD" w14:textId="5C9504F2" w:rsidR="00727703" w:rsidRPr="00CC7683" w:rsidRDefault="007C43E2" w:rsidP="00E22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BADANIA</w:t>
            </w:r>
            <w:r w:rsidR="000D72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DIAGNOSTYCZNE</w:t>
            </w:r>
            <w:r w:rsidR="000D72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WYKONYWANE</w:t>
            </w:r>
            <w:r w:rsidR="000D72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RAMACH</w:t>
            </w:r>
            <w:r w:rsidR="000D72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</w:p>
        </w:tc>
      </w:tr>
      <w:tr w:rsidR="000D72A5" w:rsidRPr="00CC7683" w14:paraId="48170F41" w14:textId="77777777" w:rsidTr="000D72A5">
        <w:trPr>
          <w:trHeight w:val="20"/>
        </w:trPr>
        <w:tc>
          <w:tcPr>
            <w:tcW w:w="6799" w:type="dxa"/>
          </w:tcPr>
          <w:p w14:paraId="6B96F8EC" w14:textId="021EC38D" w:rsidR="00727703" w:rsidRPr="00CC7683" w:rsidRDefault="00727703" w:rsidP="00E22FA3">
            <w:pPr>
              <w:pStyle w:val="NormalnyWeb"/>
              <w:numPr>
                <w:ilvl w:val="0"/>
                <w:numId w:val="18"/>
              </w:numPr>
              <w:spacing w:before="12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t>Leczenie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cukrzycowego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obrzęku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plamki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b/>
                <w:bCs/>
                <w:sz w:val="20"/>
                <w:szCs w:val="20"/>
              </w:rPr>
              <w:t>afliberceptem</w:t>
            </w:r>
            <w:proofErr w:type="spellEnd"/>
            <w:r w:rsidRPr="00CC7683">
              <w:rPr>
                <w:b/>
                <w:bCs/>
                <w:sz w:val="20"/>
                <w:szCs w:val="20"/>
              </w:rPr>
              <w:t>,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b/>
                <w:bCs/>
                <w:sz w:val="20"/>
                <w:szCs w:val="20"/>
              </w:rPr>
              <w:t>bewacyzumabem</w:t>
            </w:r>
            <w:proofErr w:type="spellEnd"/>
            <w:r w:rsidRPr="00CC7683">
              <w:rPr>
                <w:b/>
                <w:bCs/>
                <w:sz w:val="20"/>
                <w:szCs w:val="20"/>
              </w:rPr>
              <w:t>,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b/>
                <w:bCs/>
                <w:sz w:val="20"/>
                <w:szCs w:val="20"/>
              </w:rPr>
              <w:t>deksametazonem</w:t>
            </w:r>
            <w:proofErr w:type="spellEnd"/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w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postaci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implantu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9D86FF2" w14:textId="6B5BEBD7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Kwalifikacja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lekowego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przeprowadzana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jest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prowadzącego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gdy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uprzednio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był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leczony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powodu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cukrzycowego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obrzęku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plamki.</w:t>
            </w:r>
          </w:p>
          <w:p w14:paraId="1F4B5448" w14:textId="4BFC4A9B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Leczenie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pierwszorazowych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leczonych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wcześniej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nieskutecznie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rozpoczyna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5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dawek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bewacyzumabu</w:t>
            </w:r>
            <w:proofErr w:type="spellEnd"/>
            <w:r w:rsidRPr="00CC7683">
              <w:rPr>
                <w:sz w:val="20"/>
                <w:szCs w:val="20"/>
              </w:rPr>
              <w:t>.</w:t>
            </w:r>
          </w:p>
          <w:p w14:paraId="27ED1EEE" w14:textId="37946A0A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Pacjenci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uprzednio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komercyjnie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ramach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JGP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B84,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lekowym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wymagający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zmiany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mogą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być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włączeni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może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być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dokonana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zmiana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Zespół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Koordynacyjny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Spraw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(powoływany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Prezesa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Narodowego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Funduszu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Zdrowia)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wniosek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prowadzącego,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wprowadzeniu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niezbędnych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SMPT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udokumentowaniu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otrzymania</w:t>
            </w:r>
            <w:r w:rsidR="000D72A5">
              <w:rPr>
                <w:sz w:val="20"/>
                <w:szCs w:val="20"/>
              </w:rPr>
              <w:t xml:space="preserve"> </w:t>
            </w:r>
            <w:r w:rsidR="00B52E25" w:rsidRPr="00E22FA3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="00B52E25" w:rsidRPr="00E22FA3">
              <w:rPr>
                <w:sz w:val="20"/>
                <w:szCs w:val="20"/>
              </w:rPr>
              <w:t>najmniej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5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iniekcji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anty-VEGF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poprzednim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etapie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leczenia.</w:t>
            </w:r>
          </w:p>
          <w:p w14:paraId="4EC862F5" w14:textId="129E35C9" w:rsidR="00727703" w:rsidRPr="00E22FA3" w:rsidRDefault="00E22FA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27703" w:rsidRPr="00CC7683">
              <w:rPr>
                <w:sz w:val="20"/>
                <w:szCs w:val="20"/>
              </w:rPr>
              <w:t>otwierdzeniem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wykonania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5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iniekcji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leku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anty-VEGF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będzie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zaświadczenie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lekarza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prowadzącego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wyszczególniające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czas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wykonania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poszczególnych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iniekcji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pacjentów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pierwszorazowych,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które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wraz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pozostałą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dokumentacją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medyczną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złożyć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systemie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SMPT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E22FA3">
              <w:rPr>
                <w:sz w:val="20"/>
                <w:szCs w:val="20"/>
              </w:rPr>
              <w:t>decyzji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E22FA3">
              <w:rPr>
                <w:sz w:val="20"/>
                <w:szCs w:val="20"/>
              </w:rPr>
              <w:t>Zespołu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E22FA3">
              <w:rPr>
                <w:sz w:val="20"/>
                <w:szCs w:val="20"/>
              </w:rPr>
              <w:t>Koordynacyjnego.</w:t>
            </w:r>
          </w:p>
          <w:p w14:paraId="78892A51" w14:textId="515EBC38" w:rsidR="00727703" w:rsidRPr="00E22FA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E22FA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kontynuacji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udokumentować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ostatnie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dwa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lata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postaci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zaświadczenia.</w:t>
            </w:r>
          </w:p>
          <w:p w14:paraId="4129530C" w14:textId="012E44E2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E22FA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braku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stosownych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zaświadczeń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kontynuować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traktując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jako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pierwszorazowego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kontynuacji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bewacyzumabem</w:t>
            </w:r>
            <w:proofErr w:type="spellEnd"/>
            <w:r w:rsidRPr="00CC7683">
              <w:rPr>
                <w:sz w:val="20"/>
                <w:szCs w:val="20"/>
              </w:rPr>
              <w:t>.</w:t>
            </w:r>
            <w:r w:rsidR="000D72A5">
              <w:rPr>
                <w:sz w:val="20"/>
                <w:szCs w:val="20"/>
              </w:rPr>
              <w:t xml:space="preserve"> </w:t>
            </w:r>
          </w:p>
          <w:p w14:paraId="6963C34E" w14:textId="77777777" w:rsidR="00727703" w:rsidRPr="00CC7683" w:rsidRDefault="00727703" w:rsidP="00CC768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</w:p>
          <w:p w14:paraId="33488045" w14:textId="3DE671D6" w:rsidR="0072770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Każdorazowo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kolejnej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kwalifikuje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prowadzący</w:t>
            </w:r>
            <w:r w:rsidR="00E22FA3">
              <w:rPr>
                <w:sz w:val="20"/>
                <w:szCs w:val="20"/>
              </w:rPr>
              <w:t>.</w:t>
            </w:r>
          </w:p>
          <w:p w14:paraId="0E01ED3D" w14:textId="77777777" w:rsidR="00E22FA3" w:rsidRPr="00CC7683" w:rsidRDefault="00E22FA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</w:p>
          <w:p w14:paraId="7F6DB759" w14:textId="2D95D61E" w:rsidR="00727703" w:rsidRPr="00CC7683" w:rsidRDefault="00727703" w:rsidP="00CC7683">
            <w:pPr>
              <w:pStyle w:val="NormalnyWeb"/>
              <w:numPr>
                <w:ilvl w:val="1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t>Kryteria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kwalifikacji</w:t>
            </w:r>
          </w:p>
          <w:p w14:paraId="2F1FBAD5" w14:textId="05CF3860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Obecność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rozlanego,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klinicznie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znamiennego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obrzęku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plamki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(DME)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zajęciem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dołka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przebiegu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cukrzycy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(DRT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–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postać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gąbczasta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(rozlana),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CME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-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postać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torbielowata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SRD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–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(postać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surowicza);</w:t>
            </w:r>
          </w:p>
          <w:p w14:paraId="6F4F4DA0" w14:textId="2621B802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Wiek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powyżej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18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życia;</w:t>
            </w:r>
          </w:p>
          <w:p w14:paraId="5061E192" w14:textId="67B7380F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Najlepsza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skorygowana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ostrość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wzroku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(BCVA)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leczonym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0,2-0,8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określona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według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tablicy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Snellena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odpowiednio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ekwiwalent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ETDRS);</w:t>
            </w:r>
          </w:p>
          <w:p w14:paraId="56176DFD" w14:textId="6633DDB0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Zgoda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wykonanie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iniekcji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doszklistkowych</w:t>
            </w:r>
            <w:proofErr w:type="spellEnd"/>
            <w:r w:rsidRPr="00CC7683">
              <w:rPr>
                <w:sz w:val="20"/>
                <w:szCs w:val="20"/>
              </w:rPr>
              <w:t>;</w:t>
            </w:r>
          </w:p>
          <w:p w14:paraId="5BE3557B" w14:textId="2CD7496A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Stężenie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HbAIc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≤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9%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kontynuacji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afliberceptem</w:t>
            </w:r>
            <w:proofErr w:type="spellEnd"/>
            <w:r w:rsidRPr="00CC7683">
              <w:rPr>
                <w:sz w:val="20"/>
                <w:szCs w:val="20"/>
              </w:rPr>
              <w:t>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deksametazonem</w:t>
            </w:r>
            <w:proofErr w:type="spellEnd"/>
            <w:r w:rsidRPr="00CC7683">
              <w:rPr>
                <w:sz w:val="20"/>
                <w:szCs w:val="20"/>
              </w:rPr>
              <w:t>;</w:t>
            </w:r>
          </w:p>
          <w:p w14:paraId="3B532FF8" w14:textId="754E0D8F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Leczenie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bawacyzumabem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rozpocząć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względu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poziom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HbAIc</w:t>
            </w:r>
            <w:proofErr w:type="spellEnd"/>
            <w:r w:rsidRPr="00CC7683">
              <w:rPr>
                <w:sz w:val="20"/>
                <w:szCs w:val="20"/>
              </w:rPr>
              <w:t>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jeżeli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5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dawkach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bewacyzumabu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poziom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HbAIc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&gt;9%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kontynuować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samym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lekiem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momentu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osiągnięcia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stężenia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HbAIc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≤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9%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kiedy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można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zmienić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decyzji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Zespołu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Koordynacyjnego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nieskuteczności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leczenia;</w:t>
            </w:r>
            <w:r w:rsidR="000D72A5">
              <w:rPr>
                <w:sz w:val="20"/>
                <w:szCs w:val="20"/>
              </w:rPr>
              <w:t xml:space="preserve"> </w:t>
            </w:r>
          </w:p>
          <w:p w14:paraId="0164003C" w14:textId="4999F76B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Brak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dominującej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błony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przedsiatkówkowej</w:t>
            </w:r>
            <w:proofErr w:type="spellEnd"/>
            <w:r w:rsidRPr="00CC7683">
              <w:rPr>
                <w:sz w:val="20"/>
                <w:szCs w:val="20"/>
              </w:rPr>
              <w:t>;</w:t>
            </w:r>
          </w:p>
          <w:p w14:paraId="7469A7AE" w14:textId="30880F48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Brak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aktywnych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włóknisto-naczyniowych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trakcji,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których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obkurczenie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mogłoby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wpłynąć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odwarstwienie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miało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rokowniczo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niekorzystny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wpływ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programie;</w:t>
            </w:r>
          </w:p>
          <w:p w14:paraId="1452ACA9" w14:textId="28F9C0BD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Brak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odwarstwienia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przebiegu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retinopatii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cukrzycowej;</w:t>
            </w:r>
          </w:p>
          <w:p w14:paraId="42B6845E" w14:textId="55ABF6EC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Brak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krwotoku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ciała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szklistego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wymagającego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operacyjnego;</w:t>
            </w:r>
          </w:p>
          <w:p w14:paraId="6F00F418" w14:textId="408C0121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Brak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neowaskularyzacji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tęczówki;</w:t>
            </w:r>
          </w:p>
          <w:p w14:paraId="12A136C8" w14:textId="756AF0B2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Brak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jaskry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neowaskularnej</w:t>
            </w:r>
            <w:proofErr w:type="spellEnd"/>
            <w:r w:rsidRPr="00CC7683">
              <w:rPr>
                <w:sz w:val="20"/>
                <w:szCs w:val="20"/>
              </w:rPr>
              <w:t>;</w:t>
            </w:r>
          </w:p>
          <w:p w14:paraId="4DBF4616" w14:textId="2F6E6F90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Uregulowane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ciśnienie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wewnątrzgałkowego;</w:t>
            </w:r>
          </w:p>
          <w:p w14:paraId="3DF09302" w14:textId="659EB41B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lastRenderedPageBreak/>
              <w:t>Brak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zaćmy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mającej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wpływ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monitorowanie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skuteczności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programie;</w:t>
            </w:r>
          </w:p>
          <w:p w14:paraId="51448579" w14:textId="4AA8BCFD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Brak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istotnych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trwałych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zaburzeń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plamce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nierokujących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poprawy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anty-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VEGF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takich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jak:</w:t>
            </w:r>
          </w:p>
          <w:p w14:paraId="4CC15350" w14:textId="71ECE12E" w:rsidR="00727703" w:rsidRPr="00CC7683" w:rsidRDefault="00727703" w:rsidP="00E22FA3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rozległy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zanik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fotoreceptorów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zanik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warstw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zewnętrznych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siatkówki),</w:t>
            </w:r>
          </w:p>
          <w:p w14:paraId="2FA61488" w14:textId="1025AD1F" w:rsidR="00727703" w:rsidRPr="00CC7683" w:rsidRDefault="00727703" w:rsidP="00E22FA3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DRIL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obszarze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poddołkowym</w:t>
            </w:r>
            <w:proofErr w:type="spellEnd"/>
            <w:r w:rsidRPr="00CC7683">
              <w:rPr>
                <w:sz w:val="20"/>
                <w:szCs w:val="20"/>
              </w:rPr>
              <w:t>,</w:t>
            </w:r>
          </w:p>
          <w:p w14:paraId="116E7189" w14:textId="75258599" w:rsidR="00727703" w:rsidRPr="00CC7683" w:rsidRDefault="00727703" w:rsidP="00E22FA3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CC7683">
              <w:rPr>
                <w:sz w:val="20"/>
                <w:szCs w:val="20"/>
              </w:rPr>
              <w:t>makulopatia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niedokrwienna.</w:t>
            </w:r>
            <w:r w:rsidR="000D72A5">
              <w:rPr>
                <w:sz w:val="20"/>
                <w:szCs w:val="20"/>
              </w:rPr>
              <w:t xml:space="preserve"> </w:t>
            </w:r>
          </w:p>
          <w:p w14:paraId="55065D39" w14:textId="121D8C81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Kryteria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kwalifikacji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muszą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być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spełnione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łącznie.</w:t>
            </w:r>
          </w:p>
          <w:p w14:paraId="70334658" w14:textId="77777777" w:rsidR="00727703" w:rsidRPr="00CC7683" w:rsidRDefault="00727703" w:rsidP="00CC7683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1E9AB9" w14:textId="177C939F" w:rsidR="00727703" w:rsidRPr="00CC7683" w:rsidRDefault="00727703" w:rsidP="00CC7683">
            <w:pPr>
              <w:pStyle w:val="Akapitzlist"/>
              <w:numPr>
                <w:ilvl w:val="1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włączenia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pacjentów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leczonych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uprzednio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ramach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JGP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B84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cukrzycowego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obrzęku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plamki,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którzy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zostali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(ponowna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kwalifikacja)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świadczeniodawców,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którzy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posiadali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umowy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udzielanie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świadczeń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opieki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zdrowotnej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finansowanych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środków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publicznych.</w:t>
            </w:r>
            <w:r w:rsidR="000D7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0D51265" w14:textId="1EFAB317" w:rsidR="00727703" w:rsidRPr="00E22FA3" w:rsidRDefault="00727703" w:rsidP="00E22FA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wyłączeni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niego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pkt.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1.4,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przyczyna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przerwania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trwała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dłużej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bewacyzumabu</w:t>
            </w:r>
            <w:proofErr w:type="spellEnd"/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afliberceptu</w:t>
            </w:r>
            <w:proofErr w:type="spellEnd"/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wprowadzeniem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rozpoczęli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cukrzycowego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obrzęku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plamki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iniekcjami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doszklistkowymi</w:t>
            </w:r>
            <w:proofErr w:type="spellEnd"/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bewacyzumabu</w:t>
            </w:r>
            <w:proofErr w:type="spellEnd"/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afliberceptu</w:t>
            </w:r>
            <w:proofErr w:type="spellEnd"/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deksametazonu</w:t>
            </w:r>
            <w:proofErr w:type="spellEnd"/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postaci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implantu:</w:t>
            </w:r>
          </w:p>
          <w:p w14:paraId="692F92E5" w14:textId="62BBA79A" w:rsidR="00727703" w:rsidRPr="00CC7683" w:rsidRDefault="00727703" w:rsidP="00E22FA3">
            <w:pPr>
              <w:pStyle w:val="Akapitzlist"/>
              <w:numPr>
                <w:ilvl w:val="4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świadczeń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gwarantowanych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rozliczanych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JGP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B84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12342BE" w14:textId="00CF9A05" w:rsidR="00727703" w:rsidRPr="00CC7683" w:rsidRDefault="00727703" w:rsidP="00E22FA3">
            <w:pPr>
              <w:pStyle w:val="Akapitzlist"/>
              <w:numPr>
                <w:ilvl w:val="4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świadczeniodawców,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posiadali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umowy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udzielanie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świadczeń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opieki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zdrowotnej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finansowanych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środków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hAnsi="Times New Roman" w:cs="Times New Roman"/>
                <w:sz w:val="20"/>
                <w:szCs w:val="20"/>
              </w:rPr>
              <w:t>publicznych</w:t>
            </w:r>
          </w:p>
          <w:p w14:paraId="20C44DEA" w14:textId="64BB1608" w:rsidR="00727703" w:rsidRPr="00E22FA3" w:rsidRDefault="00727703" w:rsidP="00E22FA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włączenia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programu.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wykazano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czasie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skuteczność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wtedy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powinna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kontynuowana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zapisami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A3">
              <w:rPr>
                <w:rFonts w:ascii="Times New Roman" w:hAnsi="Times New Roman" w:cs="Times New Roman"/>
                <w:sz w:val="20"/>
                <w:szCs w:val="20"/>
              </w:rPr>
              <w:t>programu.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EDCA26" w14:textId="77777777" w:rsidR="00727703" w:rsidRPr="00CC7683" w:rsidRDefault="00727703" w:rsidP="00CC768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0D9DD" w14:textId="116218C8" w:rsidR="00727703" w:rsidRPr="00CC7683" w:rsidRDefault="00727703" w:rsidP="00CC7683">
            <w:pPr>
              <w:pStyle w:val="NormalnyWeb"/>
              <w:numPr>
                <w:ilvl w:val="1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t>Określenie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czasu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leczenia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w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programie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lub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zmiana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leczenia</w:t>
            </w:r>
          </w:p>
          <w:p w14:paraId="3A62C6C2" w14:textId="76CA270C" w:rsidR="00727703" w:rsidRPr="000D72A5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lastRenderedPageBreak/>
              <w:t>Leczenie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trwa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czasu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podjęcia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prowadzącego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decyzji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przerwaniu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wyłączeniu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zgodnie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kryteriami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opisanymi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ust.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1.4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1.5.</w:t>
            </w:r>
          </w:p>
          <w:p w14:paraId="2C57124B" w14:textId="34D5650D" w:rsidR="00727703" w:rsidRPr="000D72A5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0D72A5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1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miesiącu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później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miesiące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ostatnim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podaniu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leku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serii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5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podawanych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miesiąc</w:t>
            </w:r>
            <w:r w:rsidR="000D72A5">
              <w:rPr>
                <w:sz w:val="20"/>
                <w:szCs w:val="20"/>
              </w:rPr>
              <w:t xml:space="preserve"> </w:t>
            </w:r>
            <w:r w:rsidR="00B52E25" w:rsidRPr="000D72A5">
              <w:rPr>
                <w:sz w:val="20"/>
                <w:szCs w:val="20"/>
              </w:rPr>
              <w:t>dawek</w:t>
            </w:r>
            <w:r w:rsidR="000D72A5">
              <w:rPr>
                <w:sz w:val="20"/>
                <w:szCs w:val="20"/>
              </w:rPr>
              <w:t xml:space="preserve"> </w:t>
            </w:r>
            <w:r w:rsidR="00B52E25" w:rsidRPr="000D72A5">
              <w:rPr>
                <w:sz w:val="20"/>
                <w:szCs w:val="20"/>
              </w:rPr>
              <w:t>początkowych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odbywa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ocena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skuteczności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odpowiedzi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terapię.</w:t>
            </w:r>
          </w:p>
          <w:p w14:paraId="0C1E2376" w14:textId="53035930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0D72A5">
              <w:rPr>
                <w:sz w:val="20"/>
                <w:szCs w:val="20"/>
              </w:rPr>
              <w:t>Lekarz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prowadzący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zgłasza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rejestrze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SMPT</w:t>
            </w:r>
            <w:r w:rsidR="000D72A5">
              <w:rPr>
                <w:sz w:val="20"/>
                <w:szCs w:val="20"/>
              </w:rPr>
              <w:t xml:space="preserve"> </w:t>
            </w:r>
            <w:r w:rsidRPr="000D72A5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skuteczności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Zespół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Koordynacyjny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Spraw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wyłącza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programu.</w:t>
            </w:r>
          </w:p>
          <w:p w14:paraId="7B432494" w14:textId="680A8FC0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braku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zgłoszenia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Zespołu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Koordynacyjnego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Spraw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zostanie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wyłączony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programu.</w:t>
            </w:r>
          </w:p>
          <w:p w14:paraId="59DF433E" w14:textId="77777777" w:rsidR="00727703" w:rsidRPr="00CC7683" w:rsidRDefault="00727703" w:rsidP="00CC768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</w:p>
          <w:p w14:paraId="65237691" w14:textId="1EC04E89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Ponownego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włączenia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dokonuje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podstawie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kryteriów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włączenia.</w:t>
            </w:r>
          </w:p>
          <w:p w14:paraId="1C8878BD" w14:textId="77777777" w:rsidR="00727703" w:rsidRPr="00CC7683" w:rsidRDefault="00727703" w:rsidP="00CC768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</w:p>
          <w:p w14:paraId="3A8C98E4" w14:textId="179C0D13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podstawie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skuteczności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Zespół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Koordynacyjny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Spraw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podejmuje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decyzję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rejestrze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SMPT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kontynuacji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zmiany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leku,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kontynuacji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zmianą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wyłączeniu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programu.</w:t>
            </w:r>
          </w:p>
          <w:p w14:paraId="3ED23F71" w14:textId="77777777" w:rsidR="00727703" w:rsidRPr="00CC7683" w:rsidRDefault="00727703" w:rsidP="00CC768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</w:p>
          <w:p w14:paraId="22D89903" w14:textId="71E43E92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Kryteria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odpowiedzi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terapię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obejmują:</w:t>
            </w:r>
          </w:p>
          <w:p w14:paraId="6A72BC16" w14:textId="079DBE14" w:rsidR="00727703" w:rsidRPr="00E22FA3" w:rsidRDefault="00727703" w:rsidP="00CC7683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E22FA3">
              <w:rPr>
                <w:sz w:val="20"/>
                <w:szCs w:val="20"/>
              </w:rPr>
              <w:t>poprawę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najlepszej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skorygowanej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ostrości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wzroku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(BCVA)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najmniej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1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linię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tablicy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E22FA3">
              <w:rPr>
                <w:sz w:val="20"/>
                <w:szCs w:val="20"/>
              </w:rPr>
              <w:t>Snellena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(lub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odpowiednio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ekwiwalent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ETDRS),</w:t>
            </w:r>
          </w:p>
          <w:p w14:paraId="4EA69A71" w14:textId="576A9BC0" w:rsidR="00727703" w:rsidRPr="00E22FA3" w:rsidRDefault="00727703" w:rsidP="00CC7683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E22FA3">
              <w:rPr>
                <w:sz w:val="20"/>
                <w:szCs w:val="20"/>
              </w:rPr>
              <w:t>zmniejszenie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grubości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dołku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≥</w:t>
            </w:r>
            <w:r w:rsidR="000D72A5">
              <w:rPr>
                <w:sz w:val="20"/>
                <w:szCs w:val="20"/>
              </w:rPr>
              <w:t xml:space="preserve"> </w:t>
            </w:r>
            <w:r w:rsidR="00FE2130" w:rsidRPr="00E22FA3">
              <w:rPr>
                <w:sz w:val="20"/>
                <w:szCs w:val="20"/>
              </w:rPr>
              <w:t>2</w:t>
            </w:r>
            <w:r w:rsidRPr="00E22FA3">
              <w:rPr>
                <w:sz w:val="20"/>
                <w:szCs w:val="20"/>
              </w:rPr>
              <w:t>0%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stosunku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wartości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badania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kwalifikacyjnego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(OCT)</w:t>
            </w:r>
            <w:r w:rsidR="00FE2130" w:rsidRPr="00E22FA3">
              <w:rPr>
                <w:sz w:val="20"/>
                <w:szCs w:val="20"/>
              </w:rPr>
              <w:t>,</w:t>
            </w:r>
          </w:p>
          <w:p w14:paraId="2E3B03D9" w14:textId="4E95CB27" w:rsidR="00FE2130" w:rsidRPr="00E22FA3" w:rsidRDefault="00FE2130" w:rsidP="00E22FA3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E22FA3">
              <w:rPr>
                <w:sz w:val="20"/>
                <w:szCs w:val="20"/>
              </w:rPr>
              <w:t>zmniejszenie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grubości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wartości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≤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300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µm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badaniu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OCT.</w:t>
            </w:r>
          </w:p>
          <w:p w14:paraId="55C704C6" w14:textId="262F5BE4" w:rsidR="00FE2130" w:rsidRPr="00E22FA3" w:rsidRDefault="00FE2130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E22FA3">
              <w:rPr>
                <w:sz w:val="20"/>
                <w:szCs w:val="20"/>
              </w:rPr>
              <w:t>Kryteria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odpowiedzi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muszą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być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spełnione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łącznie.</w:t>
            </w:r>
            <w:r w:rsidR="000D72A5">
              <w:rPr>
                <w:sz w:val="20"/>
                <w:szCs w:val="20"/>
              </w:rPr>
              <w:t xml:space="preserve"> </w:t>
            </w:r>
          </w:p>
          <w:p w14:paraId="687FC3F4" w14:textId="370A5D0F" w:rsidR="00727703" w:rsidRPr="00E22FA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E22FA3">
              <w:rPr>
                <w:sz w:val="20"/>
                <w:szCs w:val="20"/>
              </w:rPr>
              <w:t>Odpowiedź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terapię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musi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utrzymywać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momentu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oceny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przez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Zespół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Koordynacyjny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Spraw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zaprzestania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podawania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serii</w:t>
            </w:r>
            <w:r w:rsidR="000D72A5">
              <w:rPr>
                <w:sz w:val="20"/>
                <w:szCs w:val="20"/>
              </w:rPr>
              <w:t xml:space="preserve"> </w:t>
            </w:r>
            <w:r w:rsidR="00365773" w:rsidRPr="00E22FA3">
              <w:rPr>
                <w:sz w:val="20"/>
                <w:szCs w:val="20"/>
              </w:rPr>
              <w:t>iniekcji</w:t>
            </w:r>
            <w:r w:rsidR="000D72A5">
              <w:rPr>
                <w:sz w:val="20"/>
                <w:szCs w:val="20"/>
              </w:rPr>
              <w:t xml:space="preserve"> </w:t>
            </w:r>
            <w:r w:rsidR="00365773" w:rsidRPr="00E22FA3">
              <w:rPr>
                <w:sz w:val="20"/>
                <w:szCs w:val="20"/>
              </w:rPr>
              <w:t>początkowych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leku.</w:t>
            </w:r>
          </w:p>
          <w:p w14:paraId="088D5EDB" w14:textId="7F1BB803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E22FA3">
              <w:rPr>
                <w:sz w:val="20"/>
                <w:szCs w:val="20"/>
              </w:rPr>
              <w:lastRenderedPageBreak/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11</w:t>
            </w:r>
            <w:r w:rsidR="000D72A5">
              <w:rPr>
                <w:sz w:val="20"/>
                <w:szCs w:val="20"/>
              </w:rPr>
              <w:t xml:space="preserve"> </w:t>
            </w:r>
            <w:r w:rsidRPr="00E22FA3">
              <w:rPr>
                <w:sz w:val="20"/>
                <w:szCs w:val="20"/>
              </w:rPr>
              <w:t>zastrzykach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Zespół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Koordynacyjny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Spraw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zasadność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uwzględnieniem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kryteriów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odpowiedz</w:t>
            </w:r>
            <w:r w:rsidR="009737E6"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terapię)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dalszego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lekowym.</w:t>
            </w:r>
          </w:p>
          <w:p w14:paraId="327CAAA9" w14:textId="31052994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Zespół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Koordynacyjny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Spraw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zgłasza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prowadzący.</w:t>
            </w:r>
          </w:p>
          <w:p w14:paraId="73ABEA96" w14:textId="70E86C27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braku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zgłoszenia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Zespołu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Koordynacyjnego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Spraw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zostanie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wyłączony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programu.</w:t>
            </w:r>
          </w:p>
          <w:p w14:paraId="25536A7D" w14:textId="2BADD32C" w:rsidR="00727703" w:rsidRPr="00CC7683" w:rsidRDefault="00727703" w:rsidP="00E22FA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Ponownego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włączenia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dokonuje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podstawie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kryteriów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włączenia.</w:t>
            </w:r>
          </w:p>
          <w:p w14:paraId="0C2909C4" w14:textId="77777777" w:rsidR="00727703" w:rsidRPr="00CC7683" w:rsidRDefault="00727703" w:rsidP="00CC768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</w:p>
          <w:p w14:paraId="1D685B34" w14:textId="55AB12DA" w:rsidR="00727703" w:rsidRPr="00CC7683" w:rsidRDefault="00727703" w:rsidP="00CC7683">
            <w:pPr>
              <w:pStyle w:val="NormalnyWeb"/>
              <w:numPr>
                <w:ilvl w:val="1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t>Kryteria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przerwania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terapii</w:t>
            </w:r>
          </w:p>
          <w:p w14:paraId="477F99CE" w14:textId="2C6C3815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Czynne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zakażenie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okolic;</w:t>
            </w:r>
          </w:p>
          <w:p w14:paraId="053C4B5B" w14:textId="4EE1723E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Zapalenie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wnętrza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gałki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ocznej;</w:t>
            </w:r>
          </w:p>
          <w:p w14:paraId="75239B87" w14:textId="20FA175B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Okres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ciąży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karmienia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piersią;</w:t>
            </w:r>
          </w:p>
          <w:p w14:paraId="72127018" w14:textId="235292D6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C7683">
              <w:rPr>
                <w:sz w:val="20"/>
                <w:szCs w:val="20"/>
              </w:rPr>
              <w:t>Przedarciowe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odwarstwienie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siatkówki;</w:t>
            </w:r>
          </w:p>
          <w:p w14:paraId="486331D8" w14:textId="3385AA61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Wystąpienie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ogólnoustrojowej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choroby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uniemożliwiającej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leczenie;</w:t>
            </w:r>
          </w:p>
          <w:p w14:paraId="207BFF51" w14:textId="0B04B455" w:rsidR="00727703" w:rsidRPr="00CC7683" w:rsidRDefault="00727703" w:rsidP="00E22FA3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Wystąpienie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trakcie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wskazań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postępowania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operacyjnego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(witrektomii,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jaskry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operacji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zaćmy):</w:t>
            </w:r>
          </w:p>
          <w:p w14:paraId="4FFE83B7" w14:textId="4D9E8E6D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dominująca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błona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przedsiatkówkowa</w:t>
            </w:r>
            <w:proofErr w:type="spellEnd"/>
            <w:r w:rsidRPr="00CC7683">
              <w:rPr>
                <w:sz w:val="20"/>
                <w:szCs w:val="20"/>
              </w:rPr>
              <w:t>,</w:t>
            </w:r>
          </w:p>
          <w:p w14:paraId="720FF3A5" w14:textId="1E6CAFF2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obecność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aktywnych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włóknisto-naczyniowych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trakcji,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których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obkurczenie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mogłoby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wpłynąć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wystąpienie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odwarstwienia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siatkówki,</w:t>
            </w:r>
          </w:p>
          <w:p w14:paraId="6902FDEB" w14:textId="02D5CC15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odwarstwienie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przebiegu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retinopatii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cukrzycowej,</w:t>
            </w:r>
          </w:p>
          <w:p w14:paraId="32D41FAD" w14:textId="08DFCCCD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krwotok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ciała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szklistego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wymagający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operacji,</w:t>
            </w:r>
          </w:p>
          <w:p w14:paraId="0ECFFAA1" w14:textId="52E1334A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C7683">
              <w:rPr>
                <w:sz w:val="20"/>
                <w:szCs w:val="20"/>
              </w:rPr>
              <w:t>neowaskularyzacja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tęczówki,</w:t>
            </w:r>
          </w:p>
          <w:p w14:paraId="5BCEB09A" w14:textId="66BE5A2A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jaskra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neowaskularna</w:t>
            </w:r>
            <w:proofErr w:type="spellEnd"/>
            <w:r w:rsidRPr="00CC7683">
              <w:rPr>
                <w:sz w:val="20"/>
                <w:szCs w:val="20"/>
              </w:rPr>
              <w:t>,</w:t>
            </w:r>
          </w:p>
          <w:p w14:paraId="2359F40A" w14:textId="44254645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zaćma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mająca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wpływ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monitorowanie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skuteczności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programie.</w:t>
            </w:r>
          </w:p>
          <w:p w14:paraId="4CF3F348" w14:textId="28A26773" w:rsidR="00727703" w:rsidRPr="00CC7683" w:rsidRDefault="00727703" w:rsidP="007C43E2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lastRenderedPageBreak/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ustąpienia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zmian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opisanych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pkt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1-6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prowadzący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może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później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4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miesięcy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przerwania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wcześniejszego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włączyć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powrotem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(po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ponownym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spełnieniu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kryteriów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kwalifikacji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programu).</w:t>
            </w:r>
          </w:p>
          <w:p w14:paraId="45C8EE38" w14:textId="504011A2" w:rsidR="00727703" w:rsidRPr="00CC7683" w:rsidRDefault="00727703" w:rsidP="007C43E2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Pacjent,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który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został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ponownie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zakwalifikowany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ciągu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4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miesięcy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przerwania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wcześniejszego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zostaje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wyłączony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programu.</w:t>
            </w:r>
          </w:p>
          <w:p w14:paraId="4867A4BF" w14:textId="77777777" w:rsidR="00727703" w:rsidRPr="00CC7683" w:rsidRDefault="00727703" w:rsidP="00CC7683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</w:p>
          <w:p w14:paraId="4B281B63" w14:textId="28079871" w:rsidR="00727703" w:rsidRPr="00CC7683" w:rsidRDefault="00727703" w:rsidP="00CC7683">
            <w:pPr>
              <w:pStyle w:val="NormalnyWeb"/>
              <w:numPr>
                <w:ilvl w:val="1"/>
                <w:numId w:val="18"/>
              </w:numPr>
              <w:spacing w:before="0" w:beforeAutospacing="0" w:after="60" w:afterAutospacing="0" w:line="276" w:lineRule="auto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t>Kryteria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wyłączenia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z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programu</w:t>
            </w:r>
          </w:p>
          <w:p w14:paraId="5CAF834C" w14:textId="6550A7F6" w:rsidR="00727703" w:rsidRPr="00CC7683" w:rsidRDefault="00727703" w:rsidP="007C43E2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Nadwrażliwość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bewacyzumab</w:t>
            </w:r>
            <w:proofErr w:type="spellEnd"/>
            <w:r w:rsidRPr="00CC7683">
              <w:rPr>
                <w:sz w:val="20"/>
                <w:szCs w:val="20"/>
              </w:rPr>
              <w:t>,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aflibercept</w:t>
            </w:r>
            <w:proofErr w:type="spellEnd"/>
            <w:r w:rsidRPr="00CC7683">
              <w:rPr>
                <w:sz w:val="20"/>
                <w:szCs w:val="20"/>
              </w:rPr>
              <w:t>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deksametazon</w:t>
            </w:r>
            <w:proofErr w:type="spellEnd"/>
            <w:r w:rsidRPr="00CC7683">
              <w:rPr>
                <w:sz w:val="20"/>
                <w:szCs w:val="20"/>
              </w:rPr>
              <w:t>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którąkolwiek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substancję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pomocniczą;</w:t>
            </w:r>
          </w:p>
          <w:p w14:paraId="544CEEBF" w14:textId="15E895BA" w:rsidR="00727703" w:rsidRPr="00CC7683" w:rsidRDefault="00727703" w:rsidP="007C43E2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Brak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współpracy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prowadzącym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(niezgłaszanie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powodów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nieuzasadnionych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określone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minimum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kolejne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punkty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kontrolne);</w:t>
            </w:r>
          </w:p>
          <w:p w14:paraId="2670040F" w14:textId="1586F773" w:rsidR="00727703" w:rsidRPr="00CC7683" w:rsidRDefault="00727703" w:rsidP="007C43E2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Wystąpienie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działań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niepożądanych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związanych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lekiem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uniemożliwiających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dalsze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stosowanie;</w:t>
            </w:r>
          </w:p>
          <w:p w14:paraId="325871CA" w14:textId="7270A8F8" w:rsidR="00727703" w:rsidRPr="00CC7683" w:rsidRDefault="00727703" w:rsidP="007C43E2">
            <w:pPr>
              <w:pStyle w:val="NormalnyWeb"/>
              <w:numPr>
                <w:ilvl w:val="3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Progresja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choroby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definiowana,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jako:</w:t>
            </w:r>
          </w:p>
          <w:p w14:paraId="06123105" w14:textId="41E2D684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pogorszenie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najlepszej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skorygowanej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ostrości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wzroku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(BCVA)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poziomu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&lt;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0,2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określonego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według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tablicy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Snellena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odpowiednio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ekwiwalent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ETDRS)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utrzymujące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dłużej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miesiące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</w:p>
          <w:p w14:paraId="02EF501B" w14:textId="11D947A7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pogorszenie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najlepszej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skorygowanej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ostrości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wzroku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(BCVA)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więcej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linii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tablicach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Snellena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odpowiednio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ekwiwalent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ETDRS)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utrzymujące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dłużej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miesiące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porównaniu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ostrością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wzroku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najlepszej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korekcji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(BCVA)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uzyskanej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momencie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kwalifikacji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</w:p>
          <w:p w14:paraId="31E0D3A2" w14:textId="2595C6EB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rozległy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zanik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fotoreceptorów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zanik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warstw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zewnętrznych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</w:p>
          <w:p w14:paraId="1923ADB2" w14:textId="4926AAFF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rozwój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przebiegu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DRIL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obszarze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poddołkowym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</w:p>
          <w:p w14:paraId="08CB46DB" w14:textId="1BEE9851" w:rsidR="00727703" w:rsidRPr="00CC7683" w:rsidRDefault="00727703" w:rsidP="007C43E2">
            <w:pPr>
              <w:pStyle w:val="NormalnyWeb"/>
              <w:numPr>
                <w:ilvl w:val="4"/>
                <w:numId w:val="18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wystąpienie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makulopatii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niedokrwiennej.</w:t>
            </w:r>
          </w:p>
          <w:p w14:paraId="7969F415" w14:textId="77777777" w:rsidR="00727703" w:rsidRPr="00CC7683" w:rsidRDefault="00727703" w:rsidP="00CC7683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4" w:type="dxa"/>
          </w:tcPr>
          <w:p w14:paraId="7691CBFB" w14:textId="21CB2B78" w:rsidR="007C43E2" w:rsidRDefault="007C43E2" w:rsidP="007C43E2">
            <w:pPr>
              <w:pStyle w:val="NormalnyWeb"/>
              <w:numPr>
                <w:ilvl w:val="0"/>
                <w:numId w:val="22"/>
              </w:numPr>
              <w:spacing w:before="12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Dawkowanie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leków</w:t>
            </w:r>
          </w:p>
          <w:p w14:paraId="70C5B021" w14:textId="211C4713" w:rsidR="00727703" w:rsidRPr="00CC7683" w:rsidRDefault="00727703" w:rsidP="007C43E2">
            <w:pPr>
              <w:pStyle w:val="NormalnyWeb"/>
              <w:numPr>
                <w:ilvl w:val="1"/>
                <w:numId w:val="22"/>
              </w:numPr>
              <w:spacing w:before="12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t>Dawkowanie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b/>
                <w:bCs/>
                <w:sz w:val="20"/>
                <w:szCs w:val="20"/>
              </w:rPr>
              <w:t>bewacyzumabu</w:t>
            </w:r>
            <w:proofErr w:type="spellEnd"/>
          </w:p>
          <w:p w14:paraId="6B02CE68" w14:textId="0204C522" w:rsidR="00727703" w:rsidRPr="00CC7683" w:rsidRDefault="00727703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Zalecana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dawka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bewacyzumabu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wynosi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1,25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mg,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odpowiada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50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µl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roztworu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(0,05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ml)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jedno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wstrzyknięcie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doszklistkowe</w:t>
            </w:r>
            <w:proofErr w:type="spellEnd"/>
            <w:r w:rsidRPr="00CC7683">
              <w:rPr>
                <w:sz w:val="20"/>
                <w:szCs w:val="20"/>
              </w:rPr>
              <w:t>;</w:t>
            </w:r>
          </w:p>
          <w:p w14:paraId="65B565B0" w14:textId="03148A59" w:rsidR="00727703" w:rsidRPr="00CC7683" w:rsidRDefault="00727703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Leczenie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bewacyzumabem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rozpoczyna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jednego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wstrzyknięcia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miesiąc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(tj.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odstępach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najmniej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28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dni,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ale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później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7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dni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upływie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terminu)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pięć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kolejnych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miesięcy,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następnie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podaje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postaci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jednego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wstrzyknięcia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miesiące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(tj.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odstępach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najmniej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56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dni,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ale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później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7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dni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upływie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terminu);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wcześniejszego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bewacyzumabem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poza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lekowym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–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schemat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dostosować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etapu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którym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znajduje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pacjent;</w:t>
            </w:r>
          </w:p>
          <w:p w14:paraId="7B0AFF27" w14:textId="45DE3B99" w:rsidR="00727703" w:rsidRPr="00CC7683" w:rsidRDefault="00727703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skuteczności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ocenionej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według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kryteriów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opisanych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pkt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1.3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pierwszych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12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miesiącach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bewacyzumabem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odstęp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pomiędzy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dawkami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można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wydłużyć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tyle,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aby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podtrzymać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lastRenderedPageBreak/>
              <w:t>odpowiedź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zakresie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parametrów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anatomicznych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funkcjonalnych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aktywności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choroby;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pogorszenia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parametrów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skrócić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okres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między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kolejnymi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dawkami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leku;</w:t>
            </w:r>
          </w:p>
          <w:p w14:paraId="748754E9" w14:textId="56CFE21B" w:rsidR="00FE2130" w:rsidRPr="007C43E2" w:rsidRDefault="00FE2130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7C43E2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pierwszych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12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miesiącach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badania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kontrolne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muszą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być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wykonywane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rzadziej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miesiące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(tj.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rzadziej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62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dni);</w:t>
            </w:r>
            <w:r w:rsidR="000D72A5">
              <w:rPr>
                <w:sz w:val="20"/>
                <w:szCs w:val="20"/>
              </w:rPr>
              <w:t xml:space="preserve"> </w:t>
            </w:r>
          </w:p>
          <w:p w14:paraId="6FEB82C9" w14:textId="0ACEDE83" w:rsidR="00727703" w:rsidRPr="00CC7683" w:rsidRDefault="00727703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Kobiety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wieku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rozrodczym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powinny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stosować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skuteczne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metody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zapobiegania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ciąży,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zarówno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podczas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ciągu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3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miesięcy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zakończenia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bewacyzumabem</w:t>
            </w:r>
            <w:proofErr w:type="spellEnd"/>
            <w:r w:rsidRPr="00CC7683">
              <w:rPr>
                <w:sz w:val="20"/>
                <w:szCs w:val="20"/>
              </w:rPr>
              <w:t>.</w:t>
            </w:r>
          </w:p>
          <w:p w14:paraId="5D26E08C" w14:textId="77777777" w:rsidR="00FE2130" w:rsidRPr="00CC7683" w:rsidRDefault="00FE2130" w:rsidP="00CC7683">
            <w:pPr>
              <w:pStyle w:val="NormalnyWeb"/>
              <w:spacing w:before="0" w:beforeAutospacing="0" w:after="60" w:afterAutospacing="0" w:line="276" w:lineRule="auto"/>
              <w:ind w:left="357"/>
              <w:jc w:val="both"/>
              <w:rPr>
                <w:sz w:val="20"/>
                <w:szCs w:val="20"/>
              </w:rPr>
            </w:pPr>
          </w:p>
          <w:p w14:paraId="39055088" w14:textId="18FB4128" w:rsidR="00727703" w:rsidRPr="00CC7683" w:rsidRDefault="00727703" w:rsidP="007C43E2">
            <w:pPr>
              <w:pStyle w:val="NormalnyWeb"/>
              <w:numPr>
                <w:ilvl w:val="1"/>
                <w:numId w:val="22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t>Dawkowanie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b/>
                <w:bCs/>
                <w:sz w:val="20"/>
                <w:szCs w:val="20"/>
              </w:rPr>
              <w:t>afliberceptu</w:t>
            </w:r>
            <w:proofErr w:type="spellEnd"/>
          </w:p>
          <w:p w14:paraId="1BEF4075" w14:textId="694919FE" w:rsidR="00727703" w:rsidRPr="007C43E2" w:rsidRDefault="00727703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Zalecana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dawka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afliberceptu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wynosi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mg,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odpowiada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50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7C43E2">
              <w:rPr>
                <w:sz w:val="20"/>
                <w:szCs w:val="20"/>
              </w:rPr>
              <w:t>mikrolitrom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roztworu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(0,05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ml)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jedno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wstrzyknięcie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7C43E2">
              <w:rPr>
                <w:sz w:val="20"/>
                <w:szCs w:val="20"/>
              </w:rPr>
              <w:t>doszklistkowe</w:t>
            </w:r>
            <w:proofErr w:type="spellEnd"/>
            <w:r w:rsidRPr="007C43E2">
              <w:rPr>
                <w:sz w:val="20"/>
                <w:szCs w:val="20"/>
              </w:rPr>
              <w:t>;</w:t>
            </w:r>
          </w:p>
          <w:p w14:paraId="4488942E" w14:textId="0ED33955" w:rsidR="00727703" w:rsidRPr="007C43E2" w:rsidRDefault="00A57829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7C43E2">
              <w:rPr>
                <w:sz w:val="20"/>
                <w:szCs w:val="20"/>
              </w:rPr>
              <w:t>Leczenie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7C43E2">
              <w:rPr>
                <w:sz w:val="20"/>
                <w:szCs w:val="20"/>
              </w:rPr>
              <w:t>afliberceptem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rozpoczyna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jednego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wstrzyknięcia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miesiąc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pięciu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kolejnych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dawkach,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następnie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podaje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jedno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wstrzyknięcie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dwa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miesiące</w:t>
            </w:r>
            <w:r w:rsidR="00727703" w:rsidRPr="007C43E2">
              <w:rPr>
                <w:sz w:val="20"/>
                <w:szCs w:val="20"/>
              </w:rPr>
              <w:t>;</w:t>
            </w:r>
          </w:p>
          <w:p w14:paraId="46A99415" w14:textId="379411D5" w:rsidR="00727703" w:rsidRPr="007C43E2" w:rsidRDefault="00727703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7C43E2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skuteczności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ocenionej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według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kryteriów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opisanych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pkt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1.3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pierwszych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12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miesiącach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7C43E2">
              <w:rPr>
                <w:sz w:val="20"/>
                <w:szCs w:val="20"/>
              </w:rPr>
              <w:t>afliberceptem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kontynuacji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odstęp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pomiędzy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dawkami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można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wydłużyć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tyle,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aby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podtrzymać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odpowiedź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zakresie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parametrów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anatomicznych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funkcjonalnych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aktywności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choroby;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lastRenderedPageBreak/>
              <w:t>pogorszenia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tych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parametrów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skrócić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okres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między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kolejnymi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dawkami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leku;</w:t>
            </w:r>
          </w:p>
          <w:p w14:paraId="72A2CEA1" w14:textId="275D0735" w:rsidR="00727703" w:rsidRPr="007C43E2" w:rsidRDefault="00727703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7C43E2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pierwszych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12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miesiącach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badania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kontrolne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muszą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być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wykonywane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rzadziej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miesiące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(tj.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rzadziej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62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dni);</w:t>
            </w:r>
          </w:p>
          <w:p w14:paraId="276A7193" w14:textId="3A80B9B8" w:rsidR="00A57829" w:rsidRPr="00CC7683" w:rsidRDefault="00727703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7C43E2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zakwalifikowanych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programu,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którzy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rozpoczęli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wcześniej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DME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iniekcjami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doszklistkowymi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przeciwciała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monoklonalnego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anty-VEGF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rekombinowanego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białka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fuzyjnego: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świadczeniodawców,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którzy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posiadali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umowy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udzielanie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świadczeń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opieki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zdrowotnej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finansowanych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środków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publicznych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-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schemat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dawkowania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dostosować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etapu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jakim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znajduje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</w:t>
            </w:r>
            <w:r w:rsidR="00A57829" w:rsidRPr="00CC7683">
              <w:rPr>
                <w:sz w:val="20"/>
                <w:szCs w:val="20"/>
              </w:rPr>
              <w:t>;</w:t>
            </w:r>
          </w:p>
          <w:p w14:paraId="5F733FE0" w14:textId="7C970209" w:rsidR="00727703" w:rsidRDefault="00A57829" w:rsidP="007C43E2">
            <w:pPr>
              <w:pStyle w:val="NormalnyWeb"/>
              <w:numPr>
                <w:ilvl w:val="3"/>
                <w:numId w:val="22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Kobiety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wieku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rozrodczym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powinny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stosować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skuteczne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metody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zapobiegania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ciąży,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zarówno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podczas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jak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ciągu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3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miesięcy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zakończenia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afliberceptem</w:t>
            </w:r>
            <w:proofErr w:type="spellEnd"/>
            <w:r w:rsidRPr="00CC7683">
              <w:rPr>
                <w:sz w:val="20"/>
                <w:szCs w:val="20"/>
              </w:rPr>
              <w:t>.</w:t>
            </w:r>
          </w:p>
          <w:p w14:paraId="43C0D411" w14:textId="77777777" w:rsidR="007C43E2" w:rsidRPr="00CC7683" w:rsidRDefault="007C43E2" w:rsidP="007C43E2">
            <w:pPr>
              <w:pStyle w:val="NormalnyWeb"/>
              <w:spacing w:before="0" w:beforeAutospacing="0" w:after="60" w:afterAutospacing="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63665B1A" w14:textId="72BBCC91" w:rsidR="00727703" w:rsidRPr="00CC7683" w:rsidRDefault="00727703" w:rsidP="007C43E2">
            <w:pPr>
              <w:pStyle w:val="NormalnyWeb"/>
              <w:numPr>
                <w:ilvl w:val="1"/>
                <w:numId w:val="22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t>Dawkowanie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b/>
                <w:bCs/>
                <w:sz w:val="20"/>
                <w:szCs w:val="20"/>
              </w:rPr>
              <w:t>deksametazonu</w:t>
            </w:r>
            <w:proofErr w:type="spellEnd"/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w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postaci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implantu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8C1CF68" w14:textId="2B597B03" w:rsidR="00727703" w:rsidRPr="00CC7683" w:rsidRDefault="00727703" w:rsidP="007C43E2">
            <w:pPr>
              <w:pStyle w:val="NormalnyWeb"/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7C43E2">
              <w:rPr>
                <w:sz w:val="20"/>
                <w:szCs w:val="20"/>
              </w:rPr>
              <w:t>Zgodnie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Charakterystyką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Produktu</w:t>
            </w:r>
            <w:r w:rsidR="000D72A5">
              <w:rPr>
                <w:sz w:val="20"/>
                <w:szCs w:val="20"/>
              </w:rPr>
              <w:t xml:space="preserve"> </w:t>
            </w:r>
            <w:r w:rsidRPr="007C43E2">
              <w:rPr>
                <w:sz w:val="20"/>
                <w:szCs w:val="20"/>
              </w:rPr>
              <w:t>Leczniczego.</w:t>
            </w:r>
          </w:p>
          <w:p w14:paraId="76E29D8C" w14:textId="77777777" w:rsidR="00727703" w:rsidRPr="00CC7683" w:rsidRDefault="00727703" w:rsidP="00CC7683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2FE11" w14:textId="3C1C6A9F" w:rsidR="00727703" w:rsidRPr="00CC7683" w:rsidRDefault="00727703" w:rsidP="007C43E2">
            <w:pPr>
              <w:pStyle w:val="Akapitzlist"/>
              <w:numPr>
                <w:ilvl w:val="0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6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Wstrzymanie</w:t>
            </w:r>
            <w:r w:rsidR="000D72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podawania</w:t>
            </w:r>
            <w:r w:rsidR="000D72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leku</w:t>
            </w:r>
          </w:p>
          <w:p w14:paraId="4999B5E8" w14:textId="77B4A23B" w:rsidR="00727703" w:rsidRPr="007C43E2" w:rsidRDefault="00727703" w:rsidP="007C43E2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Podawanie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leku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należy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odroczyć,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jeżeli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wystąpi:</w:t>
            </w:r>
          </w:p>
          <w:p w14:paraId="28E45621" w14:textId="334991B9" w:rsidR="00727703" w:rsidRPr="00CC7683" w:rsidRDefault="00727703" w:rsidP="007C43E2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ciśnienie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śródgałkowe</w:t>
            </w:r>
            <w:proofErr w:type="spellEnd"/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≥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mmHg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(utrzymujące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pomimo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leczenia);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AC90974" w14:textId="42B2DAED" w:rsidR="00727703" w:rsidRPr="00CC7683" w:rsidRDefault="00727703" w:rsidP="007C43E2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rozerwanie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siatkówki;</w:t>
            </w:r>
          </w:p>
          <w:p w14:paraId="6D7C7C55" w14:textId="276756C1" w:rsidR="00727703" w:rsidRPr="00CC7683" w:rsidRDefault="00727703" w:rsidP="007C43E2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przeprowadzenie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planowanie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operacji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wewnątrzgałkowej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(o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długości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okresu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wstrzymania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podawania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leku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przed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operacją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decyduje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lekarz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prowadzący);</w:t>
            </w:r>
          </w:p>
          <w:p w14:paraId="5BBAB6DF" w14:textId="1E7BC870" w:rsidR="00727703" w:rsidRPr="00CC7683" w:rsidRDefault="00727703" w:rsidP="007C43E2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A57829" w:rsidRPr="00CC76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5067BBB" w14:textId="4A4BB05D" w:rsidR="00727703" w:rsidRPr="007C43E2" w:rsidRDefault="007C43E2" w:rsidP="007C43E2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terminie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podania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kolejnej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leku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odroczeniu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decyduje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lekarz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prowadzący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zastrzeżeniem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wyłączenia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0D7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703" w:rsidRPr="007C43E2">
              <w:rPr>
                <w:rFonts w:ascii="Times New Roman" w:eastAsia="Calibri" w:hAnsi="Times New Roman" w:cs="Times New Roman"/>
                <w:sz w:val="20"/>
                <w:szCs w:val="20"/>
              </w:rPr>
              <w:t>programu.</w:t>
            </w:r>
          </w:p>
          <w:p w14:paraId="04C56BEF" w14:textId="77777777" w:rsidR="00727703" w:rsidRPr="00CC7683" w:rsidRDefault="00727703" w:rsidP="00CC7683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A6FBD" w14:textId="7E8D261D" w:rsidR="00727703" w:rsidRPr="00CC7683" w:rsidRDefault="00727703" w:rsidP="007C43E2">
            <w:pPr>
              <w:pStyle w:val="Akapitzlist"/>
              <w:numPr>
                <w:ilvl w:val="0"/>
                <w:numId w:val="22"/>
              </w:numPr>
              <w:spacing w:after="60" w:line="276" w:lineRule="auto"/>
              <w:contextualSpacing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6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Zmiana</w:t>
            </w:r>
            <w:r w:rsidR="000D72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leku</w:t>
            </w:r>
            <w:r w:rsidR="000D72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podczas</w:t>
            </w:r>
            <w:r w:rsidR="000D72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leczenia</w:t>
            </w:r>
          </w:p>
          <w:p w14:paraId="052D7D2E" w14:textId="266F1B4C" w:rsidR="00727703" w:rsidRPr="007C43E2" w:rsidRDefault="00727703" w:rsidP="007C43E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decyzją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Chorób</w:t>
            </w:r>
            <w:r w:rsidR="000D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E2">
              <w:rPr>
                <w:rFonts w:ascii="Times New Roman" w:hAnsi="Times New Roman" w:cs="Times New Roman"/>
                <w:sz w:val="20"/>
                <w:szCs w:val="20"/>
              </w:rPr>
              <w:t>Siatkówki.</w:t>
            </w:r>
          </w:p>
          <w:p w14:paraId="3D28072E" w14:textId="77777777" w:rsidR="00727703" w:rsidRPr="00CC7683" w:rsidRDefault="00727703" w:rsidP="00CC7683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855C3" w14:textId="77777777" w:rsidR="00727703" w:rsidRPr="00CC7683" w:rsidRDefault="00727703" w:rsidP="00CC7683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5" w:type="dxa"/>
          </w:tcPr>
          <w:p w14:paraId="2BEF02D1" w14:textId="03CADEB7" w:rsidR="00727703" w:rsidRPr="00CC7683" w:rsidRDefault="00727703" w:rsidP="007C43E2">
            <w:pPr>
              <w:pStyle w:val="NormalnyWeb"/>
              <w:numPr>
                <w:ilvl w:val="0"/>
                <w:numId w:val="23"/>
              </w:numPr>
              <w:spacing w:before="12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lastRenderedPageBreak/>
              <w:t>Badania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przy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kwalifikacji</w:t>
            </w:r>
          </w:p>
          <w:p w14:paraId="0B4BD1C3" w14:textId="48A9B647" w:rsidR="00727703" w:rsidRPr="00CC7683" w:rsidRDefault="00727703" w:rsidP="007C43E2">
            <w:pPr>
              <w:pStyle w:val="NormalnyWeb"/>
              <w:numPr>
                <w:ilvl w:val="3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Badanie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okulistyczne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oceną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ostrości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wzroku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tablicach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Snellena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ETDRS;</w:t>
            </w:r>
          </w:p>
          <w:p w14:paraId="76BAE467" w14:textId="4594CA00" w:rsidR="00727703" w:rsidRPr="00CC7683" w:rsidRDefault="00727703" w:rsidP="007C43E2">
            <w:pPr>
              <w:pStyle w:val="NormalnyWeb"/>
              <w:numPr>
                <w:ilvl w:val="3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OCT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(optyczna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koherentna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tomografia);</w:t>
            </w:r>
          </w:p>
          <w:p w14:paraId="7AD936F4" w14:textId="6B8D15EA" w:rsidR="00727703" w:rsidRPr="00CC7683" w:rsidRDefault="00727703" w:rsidP="007C43E2">
            <w:pPr>
              <w:pStyle w:val="NormalnyWeb"/>
              <w:numPr>
                <w:ilvl w:val="3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Fotografia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oka;</w:t>
            </w:r>
          </w:p>
          <w:p w14:paraId="7A1E3270" w14:textId="15EFEA89" w:rsidR="00727703" w:rsidRPr="00CC7683" w:rsidRDefault="00727703" w:rsidP="007C43E2">
            <w:pPr>
              <w:pStyle w:val="NormalnyWeb"/>
              <w:numPr>
                <w:ilvl w:val="3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Angiografia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fluoresceinowa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angio</w:t>
            </w:r>
            <w:proofErr w:type="spellEnd"/>
            <w:r w:rsidRPr="00CC7683">
              <w:rPr>
                <w:sz w:val="20"/>
                <w:szCs w:val="20"/>
              </w:rPr>
              <w:t>-OCT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trudnych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diagnostycznego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punktu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widzenia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angiografia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indocyjaninowa</w:t>
            </w:r>
            <w:proofErr w:type="spellEnd"/>
            <w:r w:rsidRPr="00CC7683">
              <w:rPr>
                <w:sz w:val="20"/>
                <w:szCs w:val="20"/>
              </w:rPr>
              <w:t>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-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uczulenia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barwnik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stosowany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angiografii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razie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wystąpienia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innych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jednoznacznych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przeciwwskazań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wykonania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badania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można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odstąpić.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Fakt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odstąpienia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badania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wraz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uzasadnieniem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opisać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dokumentacji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medycznej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rejestrze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SMPT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wglądu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Zespołu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Koordynacyjnego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Spraw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Siatkówki;</w:t>
            </w:r>
          </w:p>
          <w:p w14:paraId="7381E001" w14:textId="78BE6E96" w:rsidR="00727703" w:rsidRPr="00CC7683" w:rsidRDefault="007C43E2" w:rsidP="007C43E2">
            <w:pPr>
              <w:pStyle w:val="NormalnyWeb"/>
              <w:numPr>
                <w:ilvl w:val="3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przypadku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ponownej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kwalifikacji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po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wyłączeniu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programu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powodu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przedłużającego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się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okresu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obserwacji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kwalifikację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pacjenta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opierać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należy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pkt.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1,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3.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przypadkach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wątpliwych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ekspert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lastRenderedPageBreak/>
              <w:t>Zespołu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Koordynacyjnego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może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poprosić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o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rozszerzenia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badań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pełnego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zakresu;</w:t>
            </w:r>
          </w:p>
          <w:p w14:paraId="587B872A" w14:textId="4A686269" w:rsidR="00727703" w:rsidRDefault="00727703" w:rsidP="007C43E2">
            <w:pPr>
              <w:pStyle w:val="NormalnyWeb"/>
              <w:numPr>
                <w:ilvl w:val="3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Konsultacja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diabetologiczna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lekarza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chorób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wewnętrznych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wynikiem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badania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HbA1c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oceną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wyrównania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ciśnienia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tętniczego,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funkcji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nerek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oraz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obecność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innych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powikłań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cukrzycy.</w:t>
            </w:r>
          </w:p>
          <w:p w14:paraId="544F503A" w14:textId="77777777" w:rsidR="007C43E2" w:rsidRPr="00CC7683" w:rsidRDefault="007C43E2" w:rsidP="007C43E2">
            <w:pPr>
              <w:pStyle w:val="NormalnyWeb"/>
              <w:spacing w:before="0" w:beforeAutospacing="0" w:after="60" w:afterAutospacing="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4FE40FF2" w14:textId="4CB12BD7" w:rsidR="00727703" w:rsidRPr="00CC7683" w:rsidRDefault="00727703" w:rsidP="007C43E2">
            <w:pPr>
              <w:pStyle w:val="NormalnyWeb"/>
              <w:numPr>
                <w:ilvl w:val="0"/>
                <w:numId w:val="23"/>
              </w:numPr>
              <w:spacing w:before="0" w:beforeAutospacing="0" w:after="60" w:afterAutospacing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C7683">
              <w:rPr>
                <w:b/>
                <w:bCs/>
                <w:sz w:val="20"/>
                <w:szCs w:val="20"/>
              </w:rPr>
              <w:t>Monitorowanie</w:t>
            </w:r>
            <w:r w:rsidR="000D72A5">
              <w:rPr>
                <w:b/>
                <w:bCs/>
                <w:sz w:val="20"/>
                <w:szCs w:val="20"/>
              </w:rPr>
              <w:t xml:space="preserve"> </w:t>
            </w:r>
            <w:r w:rsidRPr="00CC7683">
              <w:rPr>
                <w:b/>
                <w:bCs/>
                <w:sz w:val="20"/>
                <w:szCs w:val="20"/>
              </w:rPr>
              <w:t>leczenia</w:t>
            </w:r>
          </w:p>
          <w:p w14:paraId="7B448D3A" w14:textId="11EA2240" w:rsidR="00727703" w:rsidRPr="00CC7683" w:rsidRDefault="00727703" w:rsidP="007C43E2">
            <w:pPr>
              <w:pStyle w:val="NormalnyWeb"/>
              <w:numPr>
                <w:ilvl w:val="3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Badania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przeprowadzane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każdym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podaniem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dniu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leku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terminie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7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dni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przed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jego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podaniem)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zgodnie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harmonogramem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dawkowania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oraz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rzadziej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raz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miesiące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(tj.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rzadziej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niż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co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62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dni):</w:t>
            </w:r>
          </w:p>
          <w:p w14:paraId="0FEAF3DE" w14:textId="57810D40" w:rsidR="00727703" w:rsidRPr="00CC7683" w:rsidRDefault="007C43E2" w:rsidP="007C43E2">
            <w:pPr>
              <w:pStyle w:val="NormalnyWeb"/>
              <w:numPr>
                <w:ilvl w:val="4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27703" w:rsidRPr="00CC7683">
              <w:rPr>
                <w:sz w:val="20"/>
                <w:szCs w:val="20"/>
              </w:rPr>
              <w:t>adanie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okulistyczne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oceną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ostrości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wzroku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na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tablicach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="00727703" w:rsidRPr="00CC7683">
              <w:rPr>
                <w:sz w:val="20"/>
                <w:szCs w:val="20"/>
              </w:rPr>
              <w:t>Snellena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r w:rsidR="00727703" w:rsidRPr="00CC7683">
              <w:rPr>
                <w:sz w:val="20"/>
                <w:szCs w:val="20"/>
              </w:rPr>
              <w:t>ETDRS,</w:t>
            </w:r>
          </w:p>
          <w:p w14:paraId="439A409F" w14:textId="7326B78C" w:rsidR="00727703" w:rsidRPr="00CC7683" w:rsidRDefault="00727703" w:rsidP="007C43E2">
            <w:pPr>
              <w:pStyle w:val="NormalnyWeb"/>
              <w:numPr>
                <w:ilvl w:val="4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OCT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(optyczna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koherentna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tomografia),</w:t>
            </w:r>
          </w:p>
          <w:p w14:paraId="0FADFDB7" w14:textId="53620440" w:rsidR="00727703" w:rsidRPr="00CC7683" w:rsidRDefault="00727703" w:rsidP="007C43E2">
            <w:pPr>
              <w:pStyle w:val="NormalnyWeb"/>
              <w:numPr>
                <w:ilvl w:val="4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opcjonalnie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-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fotografia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dna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oka,</w:t>
            </w:r>
          </w:p>
          <w:p w14:paraId="20EB02D0" w14:textId="60956400" w:rsidR="00727703" w:rsidRPr="00CC7683" w:rsidRDefault="00727703" w:rsidP="007C43E2">
            <w:pPr>
              <w:pStyle w:val="NormalnyWeb"/>
              <w:numPr>
                <w:ilvl w:val="4"/>
                <w:numId w:val="23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CC7683">
              <w:rPr>
                <w:sz w:val="20"/>
                <w:szCs w:val="20"/>
              </w:rPr>
              <w:t>opcjonalnie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dla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wykazania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zmian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zaistniałych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przebiegu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leczenia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-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angiografia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fluoresceinowa</w:t>
            </w:r>
            <w:proofErr w:type="spellEnd"/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lub</w:t>
            </w:r>
            <w:r w:rsidR="000D72A5">
              <w:rPr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sz w:val="20"/>
                <w:szCs w:val="20"/>
              </w:rPr>
              <w:t>angio</w:t>
            </w:r>
            <w:proofErr w:type="spellEnd"/>
            <w:r w:rsidRPr="00CC7683">
              <w:rPr>
                <w:sz w:val="20"/>
                <w:szCs w:val="20"/>
              </w:rPr>
              <w:t>-OCT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(w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przypadkach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trudnych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z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sz w:val="20"/>
                <w:szCs w:val="20"/>
              </w:rPr>
              <w:t>diagnostycznego</w:t>
            </w:r>
            <w:r w:rsidR="000D72A5">
              <w:rPr>
                <w:sz w:val="20"/>
                <w:szCs w:val="20"/>
              </w:rPr>
              <w:t xml:space="preserve"> </w:t>
            </w:r>
            <w:r w:rsidRPr="00CC7683">
              <w:rPr>
                <w:rFonts w:eastAsia="TimesNewRomanPSMT"/>
                <w:color w:val="000000"/>
                <w:sz w:val="20"/>
                <w:szCs w:val="20"/>
              </w:rPr>
              <w:t>punktu</w:t>
            </w:r>
            <w:r w:rsidR="000D72A5">
              <w:rPr>
                <w:rFonts w:eastAsia="TimesNewRomanPSMT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eastAsia="TimesNewRomanPSMT"/>
                <w:color w:val="000000"/>
                <w:sz w:val="20"/>
                <w:szCs w:val="20"/>
              </w:rPr>
              <w:t>widzenia</w:t>
            </w:r>
            <w:r w:rsidR="000D72A5">
              <w:rPr>
                <w:rFonts w:eastAsia="TimesNewRomanPSMT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eastAsia="TimesNewRomanPSMT"/>
                <w:color w:val="000000"/>
                <w:sz w:val="20"/>
                <w:szCs w:val="20"/>
              </w:rPr>
              <w:t>-</w:t>
            </w:r>
            <w:r w:rsidR="000D72A5">
              <w:rPr>
                <w:rFonts w:eastAsia="TimesNewRomanPSMT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eastAsia="TimesNewRomanPSMT"/>
                <w:color w:val="000000"/>
                <w:sz w:val="20"/>
                <w:szCs w:val="20"/>
              </w:rPr>
              <w:t>angiografia</w:t>
            </w:r>
            <w:r w:rsidR="000D72A5">
              <w:rPr>
                <w:rFonts w:eastAsia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7683">
              <w:rPr>
                <w:rFonts w:eastAsia="TimesNewRomanPSMT"/>
                <w:color w:val="000000"/>
                <w:sz w:val="20"/>
                <w:szCs w:val="20"/>
              </w:rPr>
              <w:t>indocyjaninowa</w:t>
            </w:r>
            <w:proofErr w:type="spellEnd"/>
            <w:r w:rsidRPr="00CC7683">
              <w:rPr>
                <w:rFonts w:eastAsia="TimesNewRomanPSMT"/>
                <w:color w:val="000000"/>
                <w:sz w:val="20"/>
                <w:szCs w:val="20"/>
              </w:rPr>
              <w:t>);</w:t>
            </w:r>
          </w:p>
          <w:p w14:paraId="72D7BB47" w14:textId="0A6C9B23" w:rsidR="00727703" w:rsidRPr="00CC7683" w:rsidRDefault="00727703" w:rsidP="007C43E2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Konsultacja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diabetologiczna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lub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lekarza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chorób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wewnętrznych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co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6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miesięcy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od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momentu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kwalifikacji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do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programu.</w:t>
            </w:r>
          </w:p>
          <w:p w14:paraId="59388B34" w14:textId="77777777" w:rsidR="00727703" w:rsidRPr="00CC7683" w:rsidRDefault="00727703" w:rsidP="00CC768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</w:p>
          <w:p w14:paraId="69411FD5" w14:textId="1E6D58A3" w:rsidR="00727703" w:rsidRPr="00CC7683" w:rsidRDefault="00727703" w:rsidP="007C43E2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7683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>Monitorowanie</w:t>
            </w:r>
            <w:r w:rsidR="000D72A5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>programu</w:t>
            </w:r>
          </w:p>
          <w:p w14:paraId="026F1556" w14:textId="20567484" w:rsidR="00727703" w:rsidRPr="00CC7683" w:rsidRDefault="00727703" w:rsidP="007C43E2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lastRenderedPageBreak/>
              <w:t>Przekazywanie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do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NFZ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zakresu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informacji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sprawozdawczo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–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rozliczeniowych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194C"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w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formie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elektronicznej,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zgodnie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wymaganiami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opublikowanymi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przez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Narodowy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Fundusz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Zdrowia;</w:t>
            </w:r>
          </w:p>
          <w:p w14:paraId="7A922761" w14:textId="1098824F" w:rsidR="00727703" w:rsidRPr="00CC7683" w:rsidRDefault="00727703" w:rsidP="007C43E2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Uzupełnianie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danych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zawartych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w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rejestrze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SMPT,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dostępnym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za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pomocą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aplikacji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internetowej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udostępnionej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przez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OW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NFZ,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częstotliwością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zgodną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opisem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programu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oraz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na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zakończenie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leczenia;</w:t>
            </w:r>
          </w:p>
          <w:p w14:paraId="53FDBBB6" w14:textId="005A4279" w:rsidR="00727703" w:rsidRPr="00CC7683" w:rsidRDefault="00727703" w:rsidP="007C43E2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Dane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dotyczące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monitorowania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leczenia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należy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gromadzić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w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dokumentacji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pacjenta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i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każdorazowo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przedstawiać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na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żądanie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683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kontrolerom.</w:t>
            </w:r>
            <w:r w:rsidR="000D72A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0"/>
      <w:bookmarkEnd w:id="1"/>
    </w:tbl>
    <w:p w14:paraId="1DFFD142" w14:textId="77777777" w:rsidR="00727703" w:rsidRPr="00727703" w:rsidRDefault="0072770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27703" w:rsidRPr="00727703" w:rsidSect="00CC7683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492"/>
    <w:multiLevelType w:val="multilevel"/>
    <w:tmpl w:val="AEB4D3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ascii="Times New Roman" w:eastAsia="Calibri" w:hAnsi="Times New Roman" w:cs="Times New Roman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D21600F"/>
    <w:multiLevelType w:val="hybridMultilevel"/>
    <w:tmpl w:val="D65C0F72"/>
    <w:lvl w:ilvl="0" w:tplc="74EE7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624A"/>
    <w:multiLevelType w:val="hybridMultilevel"/>
    <w:tmpl w:val="3DB0E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640C"/>
    <w:multiLevelType w:val="hybridMultilevel"/>
    <w:tmpl w:val="E43A2DB0"/>
    <w:lvl w:ilvl="0" w:tplc="447A6F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52BF"/>
    <w:multiLevelType w:val="multilevel"/>
    <w:tmpl w:val="3B84C384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CD307CE"/>
    <w:multiLevelType w:val="hybridMultilevel"/>
    <w:tmpl w:val="3DE274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D1B4F44"/>
    <w:multiLevelType w:val="hybridMultilevel"/>
    <w:tmpl w:val="520C1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C7566"/>
    <w:multiLevelType w:val="hybridMultilevel"/>
    <w:tmpl w:val="EF622734"/>
    <w:lvl w:ilvl="0" w:tplc="D0F4CBC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FEB295C"/>
    <w:multiLevelType w:val="hybridMultilevel"/>
    <w:tmpl w:val="16807B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8C5D16"/>
    <w:multiLevelType w:val="multilevel"/>
    <w:tmpl w:val="B436FC0C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7811690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AC845A3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3E476483"/>
    <w:multiLevelType w:val="hybridMultilevel"/>
    <w:tmpl w:val="930A4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F2A95"/>
    <w:multiLevelType w:val="hybridMultilevel"/>
    <w:tmpl w:val="E3749872"/>
    <w:lvl w:ilvl="0" w:tplc="FAD42CF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354810"/>
    <w:multiLevelType w:val="hybridMultilevel"/>
    <w:tmpl w:val="AFE8F6D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1B972E9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55060C60"/>
    <w:multiLevelType w:val="hybridMultilevel"/>
    <w:tmpl w:val="5416637C"/>
    <w:lvl w:ilvl="0" w:tplc="168A15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B370C"/>
    <w:multiLevelType w:val="hybridMultilevel"/>
    <w:tmpl w:val="13588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20B37"/>
    <w:multiLevelType w:val="hybridMultilevel"/>
    <w:tmpl w:val="98AA2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55E74"/>
    <w:multiLevelType w:val="hybridMultilevel"/>
    <w:tmpl w:val="A16C2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91B6D"/>
    <w:multiLevelType w:val="hybridMultilevel"/>
    <w:tmpl w:val="16807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B1BCC"/>
    <w:multiLevelType w:val="hybridMultilevel"/>
    <w:tmpl w:val="CFFEDCBE"/>
    <w:lvl w:ilvl="0" w:tplc="EFF07C5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B4336"/>
    <w:multiLevelType w:val="hybridMultilevel"/>
    <w:tmpl w:val="A16C2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3"/>
  </w:num>
  <w:num w:numId="5">
    <w:abstractNumId w:val="14"/>
  </w:num>
  <w:num w:numId="6">
    <w:abstractNumId w:val="17"/>
  </w:num>
  <w:num w:numId="7">
    <w:abstractNumId w:val="18"/>
  </w:num>
  <w:num w:numId="8">
    <w:abstractNumId w:val="7"/>
  </w:num>
  <w:num w:numId="9">
    <w:abstractNumId w:val="19"/>
  </w:num>
  <w:num w:numId="10">
    <w:abstractNumId w:val="1"/>
  </w:num>
  <w:num w:numId="11">
    <w:abstractNumId w:val="2"/>
  </w:num>
  <w:num w:numId="12">
    <w:abstractNumId w:val="8"/>
  </w:num>
  <w:num w:numId="13">
    <w:abstractNumId w:val="6"/>
  </w:num>
  <w:num w:numId="14">
    <w:abstractNumId w:val="4"/>
  </w:num>
  <w:num w:numId="15">
    <w:abstractNumId w:val="22"/>
  </w:num>
  <w:num w:numId="16">
    <w:abstractNumId w:val="20"/>
  </w:num>
  <w:num w:numId="17">
    <w:abstractNumId w:val="5"/>
  </w:num>
  <w:num w:numId="18">
    <w:abstractNumId w:val="10"/>
  </w:num>
  <w:num w:numId="19">
    <w:abstractNumId w:val="9"/>
  </w:num>
  <w:num w:numId="20">
    <w:abstractNumId w:val="21"/>
  </w:num>
  <w:num w:numId="21">
    <w:abstractNumId w:val="12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03"/>
    <w:rsid w:val="0007756E"/>
    <w:rsid w:val="000D72A5"/>
    <w:rsid w:val="000E5760"/>
    <w:rsid w:val="00365773"/>
    <w:rsid w:val="0048460C"/>
    <w:rsid w:val="00547CB2"/>
    <w:rsid w:val="00727703"/>
    <w:rsid w:val="007553CB"/>
    <w:rsid w:val="0079194C"/>
    <w:rsid w:val="007C0B2A"/>
    <w:rsid w:val="007C43E2"/>
    <w:rsid w:val="009737E6"/>
    <w:rsid w:val="00975DE2"/>
    <w:rsid w:val="00A57829"/>
    <w:rsid w:val="00B52E25"/>
    <w:rsid w:val="00CC7683"/>
    <w:rsid w:val="00E22FA3"/>
    <w:rsid w:val="00F83C9F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6D4"/>
  <w15:chartTrackingRefBased/>
  <w15:docId w15:val="{620BBBED-E5F0-4092-A903-931C0038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770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2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2100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Klimkowska Katarzyna</dc:creator>
  <cp:keywords/>
  <dc:description/>
  <cp:lastModifiedBy>Królak-Buzakowska Joanna</cp:lastModifiedBy>
  <cp:revision>5</cp:revision>
  <dcterms:created xsi:type="dcterms:W3CDTF">2021-06-14T14:20:00Z</dcterms:created>
  <dcterms:modified xsi:type="dcterms:W3CDTF">2021-06-14T18:31:00Z</dcterms:modified>
</cp:coreProperties>
</file>