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A3D" w:rsidRDefault="00A1534B" w:rsidP="008927DE">
      <w:pPr>
        <w:jc w:val="center"/>
        <w:outlineLvl w:val="0"/>
      </w:pPr>
      <w:r>
        <w:t xml:space="preserve">Raport </w:t>
      </w:r>
      <w:r w:rsidR="009D3D41">
        <w:t>końcowy z realizacji projektu</w:t>
      </w:r>
      <w:r w:rsidR="00CA79E4">
        <w:t xml:space="preserve"> informatycznego</w:t>
      </w:r>
      <w:r w:rsidR="009C70E8">
        <w:t xml:space="preserve"> </w:t>
      </w:r>
      <w:r w:rsidR="009C70E8" w:rsidRPr="009C70E8">
        <w:t>Informatyczny System Osłony Kraju przed nadzwyczajnymi zagrożeniami</w:t>
      </w:r>
    </w:p>
    <w:tbl>
      <w:tblPr>
        <w:tblStyle w:val="Tabela-Siatka"/>
        <w:tblW w:w="0" w:type="auto"/>
        <w:tblLook w:val="04A0" w:firstRow="1" w:lastRow="0" w:firstColumn="1" w:lastColumn="0" w:noHBand="0" w:noVBand="1"/>
      </w:tblPr>
      <w:tblGrid>
        <w:gridCol w:w="457"/>
        <w:gridCol w:w="1921"/>
        <w:gridCol w:w="6910"/>
      </w:tblGrid>
      <w:tr w:rsidR="007A0A3D" w:rsidRPr="002450C4" w:rsidTr="00920CE8">
        <w:tc>
          <w:tcPr>
            <w:tcW w:w="480" w:type="dxa"/>
          </w:tcPr>
          <w:p w:rsidR="007A0A3D" w:rsidRPr="002450C4" w:rsidRDefault="007A0A3D" w:rsidP="007A0A3D">
            <w:pPr>
              <w:jc w:val="center"/>
              <w:rPr>
                <w:b/>
                <w:sz w:val="18"/>
                <w:szCs w:val="20"/>
              </w:rPr>
            </w:pPr>
            <w:r w:rsidRPr="002450C4">
              <w:rPr>
                <w:b/>
                <w:sz w:val="18"/>
                <w:szCs w:val="20"/>
              </w:rPr>
              <w:t>Lp.</w:t>
            </w:r>
          </w:p>
        </w:tc>
        <w:tc>
          <w:tcPr>
            <w:tcW w:w="2350" w:type="dxa"/>
          </w:tcPr>
          <w:p w:rsidR="007A0A3D" w:rsidRPr="002450C4" w:rsidRDefault="007A0A3D" w:rsidP="007A0A3D">
            <w:pPr>
              <w:jc w:val="center"/>
              <w:rPr>
                <w:b/>
                <w:sz w:val="18"/>
                <w:szCs w:val="20"/>
              </w:rPr>
            </w:pPr>
            <w:r w:rsidRPr="002450C4">
              <w:rPr>
                <w:b/>
                <w:sz w:val="18"/>
                <w:szCs w:val="20"/>
              </w:rPr>
              <w:t>Wyszczególnienie</w:t>
            </w:r>
          </w:p>
        </w:tc>
        <w:tc>
          <w:tcPr>
            <w:tcW w:w="6232" w:type="dxa"/>
          </w:tcPr>
          <w:p w:rsidR="007A0A3D" w:rsidRPr="002450C4" w:rsidRDefault="007A0A3D" w:rsidP="007A0A3D">
            <w:pPr>
              <w:jc w:val="center"/>
              <w:rPr>
                <w:b/>
                <w:sz w:val="18"/>
                <w:szCs w:val="20"/>
              </w:rPr>
            </w:pPr>
            <w:r w:rsidRPr="002450C4">
              <w:rPr>
                <w:b/>
                <w:sz w:val="18"/>
                <w:szCs w:val="20"/>
              </w:rPr>
              <w:t>Opis</w:t>
            </w:r>
          </w:p>
        </w:tc>
      </w:tr>
      <w:tr w:rsidR="007A0A3D" w:rsidRPr="002450C4" w:rsidTr="00920CE8">
        <w:tc>
          <w:tcPr>
            <w:tcW w:w="480" w:type="dxa"/>
          </w:tcPr>
          <w:p w:rsidR="007A0A3D" w:rsidRPr="002450C4" w:rsidRDefault="007A0A3D" w:rsidP="007A0A3D">
            <w:pPr>
              <w:pStyle w:val="Akapitzlist"/>
              <w:numPr>
                <w:ilvl w:val="0"/>
                <w:numId w:val="1"/>
              </w:numPr>
              <w:rPr>
                <w:sz w:val="18"/>
                <w:szCs w:val="20"/>
              </w:rPr>
            </w:pPr>
          </w:p>
        </w:tc>
        <w:tc>
          <w:tcPr>
            <w:tcW w:w="2350" w:type="dxa"/>
          </w:tcPr>
          <w:p w:rsidR="007A0A3D" w:rsidRPr="002450C4" w:rsidRDefault="007A0A3D">
            <w:pPr>
              <w:rPr>
                <w:sz w:val="18"/>
                <w:szCs w:val="20"/>
              </w:rPr>
            </w:pPr>
            <w:r w:rsidRPr="002450C4">
              <w:rPr>
                <w:sz w:val="18"/>
                <w:szCs w:val="20"/>
              </w:rPr>
              <w:t>Tytuł projektu</w:t>
            </w:r>
          </w:p>
        </w:tc>
        <w:tc>
          <w:tcPr>
            <w:tcW w:w="6232" w:type="dxa"/>
          </w:tcPr>
          <w:p w:rsidR="007A0A3D" w:rsidRPr="00C93C1A" w:rsidRDefault="009C70E8" w:rsidP="0092099A">
            <w:pPr>
              <w:jc w:val="both"/>
              <w:rPr>
                <w:rFonts w:ascii="Calibri" w:hAnsi="Calibri"/>
                <w:i/>
                <w:sz w:val="18"/>
                <w:szCs w:val="20"/>
              </w:rPr>
            </w:pPr>
            <w:r w:rsidRPr="00C93C1A">
              <w:rPr>
                <w:rFonts w:ascii="Calibri" w:hAnsi="Calibri" w:cs="Arial"/>
                <w:sz w:val="18"/>
                <w:szCs w:val="20"/>
              </w:rPr>
              <w:t>Informatyczny System Osłony Kraju przed nadzwyczajnymi zagrożeniami</w:t>
            </w:r>
          </w:p>
        </w:tc>
      </w:tr>
      <w:tr w:rsidR="007A0A3D" w:rsidRPr="002450C4" w:rsidTr="00920CE8">
        <w:trPr>
          <w:trHeight w:val="265"/>
        </w:trPr>
        <w:tc>
          <w:tcPr>
            <w:tcW w:w="480" w:type="dxa"/>
          </w:tcPr>
          <w:p w:rsidR="007A0A3D" w:rsidRPr="002450C4" w:rsidRDefault="007A0A3D" w:rsidP="007A0A3D">
            <w:pPr>
              <w:pStyle w:val="Akapitzlist"/>
              <w:numPr>
                <w:ilvl w:val="0"/>
                <w:numId w:val="1"/>
              </w:numPr>
              <w:rPr>
                <w:sz w:val="18"/>
                <w:szCs w:val="20"/>
              </w:rPr>
            </w:pPr>
          </w:p>
        </w:tc>
        <w:tc>
          <w:tcPr>
            <w:tcW w:w="2350" w:type="dxa"/>
          </w:tcPr>
          <w:p w:rsidR="007A0A3D" w:rsidRPr="002450C4" w:rsidRDefault="007A0A3D" w:rsidP="00A1534B">
            <w:pPr>
              <w:rPr>
                <w:sz w:val="18"/>
                <w:szCs w:val="20"/>
              </w:rPr>
            </w:pPr>
            <w:r w:rsidRPr="002450C4">
              <w:rPr>
                <w:sz w:val="18"/>
                <w:szCs w:val="20"/>
              </w:rPr>
              <w:t xml:space="preserve">Beneficjent projektu </w:t>
            </w:r>
          </w:p>
        </w:tc>
        <w:tc>
          <w:tcPr>
            <w:tcW w:w="6232" w:type="dxa"/>
          </w:tcPr>
          <w:p w:rsidR="001C611C" w:rsidRPr="00C93C1A" w:rsidRDefault="009C70E8" w:rsidP="0092099A">
            <w:pPr>
              <w:jc w:val="both"/>
              <w:rPr>
                <w:rFonts w:ascii="Calibri" w:hAnsi="Calibri"/>
                <w:i/>
                <w:sz w:val="18"/>
                <w:szCs w:val="20"/>
              </w:rPr>
            </w:pPr>
            <w:r w:rsidRPr="00C93C1A">
              <w:rPr>
                <w:rFonts w:ascii="Calibri" w:hAnsi="Calibri" w:cs="Arial"/>
                <w:sz w:val="18"/>
                <w:szCs w:val="20"/>
              </w:rPr>
              <w:t>Państwowe Gospodarstwo Wodne Wody Polskie</w:t>
            </w:r>
          </w:p>
        </w:tc>
      </w:tr>
      <w:tr w:rsidR="007A0A3D" w:rsidRPr="002450C4" w:rsidTr="00920CE8">
        <w:tc>
          <w:tcPr>
            <w:tcW w:w="480" w:type="dxa"/>
          </w:tcPr>
          <w:p w:rsidR="007A0A3D" w:rsidRPr="002450C4" w:rsidRDefault="007A0A3D" w:rsidP="007A0A3D">
            <w:pPr>
              <w:pStyle w:val="Akapitzlist"/>
              <w:numPr>
                <w:ilvl w:val="0"/>
                <w:numId w:val="1"/>
              </w:numPr>
              <w:rPr>
                <w:sz w:val="18"/>
                <w:szCs w:val="20"/>
              </w:rPr>
            </w:pPr>
          </w:p>
        </w:tc>
        <w:tc>
          <w:tcPr>
            <w:tcW w:w="2350" w:type="dxa"/>
          </w:tcPr>
          <w:p w:rsidR="007A0A3D" w:rsidRPr="002450C4" w:rsidRDefault="007A0A3D" w:rsidP="007A0A3D">
            <w:pPr>
              <w:rPr>
                <w:sz w:val="18"/>
                <w:szCs w:val="20"/>
              </w:rPr>
            </w:pPr>
            <w:r w:rsidRPr="002450C4">
              <w:rPr>
                <w:sz w:val="18"/>
                <w:szCs w:val="20"/>
              </w:rPr>
              <w:t xml:space="preserve">Partnerzy </w:t>
            </w:r>
          </w:p>
        </w:tc>
        <w:tc>
          <w:tcPr>
            <w:tcW w:w="6232" w:type="dxa"/>
          </w:tcPr>
          <w:p w:rsidR="007A0A3D" w:rsidRPr="00C93C1A" w:rsidRDefault="009C70E8" w:rsidP="00FD074F">
            <w:pPr>
              <w:jc w:val="both"/>
              <w:rPr>
                <w:rFonts w:ascii="Calibri" w:hAnsi="Calibri"/>
                <w:i/>
                <w:sz w:val="18"/>
                <w:szCs w:val="20"/>
              </w:rPr>
            </w:pPr>
            <w:r w:rsidRPr="00C93C1A">
              <w:rPr>
                <w:rFonts w:ascii="Calibri" w:hAnsi="Calibri" w:cs="Arial"/>
                <w:sz w:val="18"/>
                <w:szCs w:val="20"/>
              </w:rPr>
              <w:t>Instytut Meteorologii i Gospodarki Wodnej – Państwowy Instytut Badawczy, Główny Urząd Geodezji i Kartografii, Instytut Łączności – Państwowy Instytut Badawczy, Rządowe Centrum Bezpieczeństwa</w:t>
            </w:r>
          </w:p>
        </w:tc>
      </w:tr>
      <w:tr w:rsidR="003B107D" w:rsidRPr="002450C4" w:rsidTr="00920CE8">
        <w:tc>
          <w:tcPr>
            <w:tcW w:w="480" w:type="dxa"/>
          </w:tcPr>
          <w:p w:rsidR="003B107D" w:rsidRPr="002450C4" w:rsidRDefault="003B107D" w:rsidP="007A0A3D">
            <w:pPr>
              <w:pStyle w:val="Akapitzlist"/>
              <w:numPr>
                <w:ilvl w:val="0"/>
                <w:numId w:val="1"/>
              </w:numPr>
              <w:rPr>
                <w:sz w:val="18"/>
                <w:szCs w:val="20"/>
              </w:rPr>
            </w:pPr>
          </w:p>
        </w:tc>
        <w:tc>
          <w:tcPr>
            <w:tcW w:w="2350" w:type="dxa"/>
          </w:tcPr>
          <w:p w:rsidR="003B107D" w:rsidRDefault="005A4344" w:rsidP="0092099A">
            <w:pPr>
              <w:jc w:val="both"/>
              <w:rPr>
                <w:sz w:val="18"/>
                <w:szCs w:val="20"/>
              </w:rPr>
            </w:pPr>
            <w:r>
              <w:rPr>
                <w:sz w:val="18"/>
                <w:szCs w:val="20"/>
              </w:rPr>
              <w:t>Postęp finansowy</w:t>
            </w:r>
          </w:p>
        </w:tc>
        <w:tc>
          <w:tcPr>
            <w:tcW w:w="6232" w:type="dxa"/>
          </w:tcPr>
          <w:p w:rsidR="009C70E8" w:rsidRDefault="009C70E8" w:rsidP="0092099A">
            <w:pPr>
              <w:jc w:val="both"/>
              <w:rPr>
                <w:i/>
                <w:sz w:val="18"/>
                <w:szCs w:val="20"/>
              </w:rPr>
            </w:pPr>
          </w:p>
          <w:p w:rsidR="00FF5AC7" w:rsidRPr="00E64913" w:rsidRDefault="00FF5AC7" w:rsidP="0092099A">
            <w:pPr>
              <w:jc w:val="both"/>
              <w:rPr>
                <w:sz w:val="18"/>
                <w:szCs w:val="18"/>
              </w:rPr>
            </w:pPr>
            <w:r w:rsidRPr="00E64913">
              <w:rPr>
                <w:b/>
                <w:sz w:val="18"/>
                <w:szCs w:val="18"/>
              </w:rPr>
              <w:t>299 976 767,03 zł</w:t>
            </w:r>
            <w:r w:rsidRPr="00E64913">
              <w:rPr>
                <w:sz w:val="18"/>
                <w:szCs w:val="18"/>
              </w:rPr>
              <w:t xml:space="preserve"> – </w:t>
            </w:r>
            <w:r w:rsidR="008A3B6C" w:rsidRPr="00E64913">
              <w:rPr>
                <w:sz w:val="18"/>
                <w:szCs w:val="18"/>
              </w:rPr>
              <w:t>w</w:t>
            </w:r>
            <w:r w:rsidRPr="00E64913">
              <w:rPr>
                <w:sz w:val="18"/>
                <w:szCs w:val="18"/>
              </w:rPr>
              <w:t>artość projektu zgodnie z Aneksem nr 12 do Porozumienia o dofinansowanie</w:t>
            </w:r>
          </w:p>
          <w:p w:rsidR="00FF5AC7" w:rsidRPr="00E64913" w:rsidRDefault="00FF5AC7" w:rsidP="0092099A">
            <w:pPr>
              <w:jc w:val="both"/>
              <w:rPr>
                <w:sz w:val="18"/>
                <w:szCs w:val="18"/>
              </w:rPr>
            </w:pPr>
            <w:r w:rsidRPr="00E64913">
              <w:rPr>
                <w:b/>
                <w:sz w:val="18"/>
                <w:szCs w:val="18"/>
              </w:rPr>
              <w:t>298 673 072, 95 zł</w:t>
            </w:r>
            <w:r w:rsidRPr="00E64913">
              <w:rPr>
                <w:sz w:val="18"/>
                <w:szCs w:val="18"/>
              </w:rPr>
              <w:t xml:space="preserve"> – </w:t>
            </w:r>
            <w:r w:rsidR="008A3B6C" w:rsidRPr="00E64913">
              <w:rPr>
                <w:sz w:val="18"/>
                <w:szCs w:val="18"/>
              </w:rPr>
              <w:t>f</w:t>
            </w:r>
            <w:r w:rsidRPr="00E64913">
              <w:rPr>
                <w:sz w:val="18"/>
                <w:szCs w:val="18"/>
              </w:rPr>
              <w:t>aktyczne koszty poniesione w projekcie, z czego:</w:t>
            </w:r>
          </w:p>
          <w:p w:rsidR="00FF5AC7" w:rsidRPr="00E64913" w:rsidRDefault="00FF5AC7" w:rsidP="007F17F7">
            <w:pPr>
              <w:pStyle w:val="Akapitzlist"/>
              <w:numPr>
                <w:ilvl w:val="0"/>
                <w:numId w:val="8"/>
              </w:numPr>
              <w:ind w:left="289" w:hanging="142"/>
              <w:jc w:val="both"/>
              <w:rPr>
                <w:sz w:val="18"/>
                <w:szCs w:val="18"/>
              </w:rPr>
            </w:pPr>
            <w:r w:rsidRPr="00E64913">
              <w:rPr>
                <w:b/>
                <w:sz w:val="18"/>
                <w:szCs w:val="18"/>
              </w:rPr>
              <w:t>230 353 176,98 zł</w:t>
            </w:r>
            <w:r w:rsidRPr="00E64913">
              <w:rPr>
                <w:sz w:val="18"/>
                <w:szCs w:val="18"/>
              </w:rPr>
              <w:t xml:space="preserve"> – koszty kwalifikowalne </w:t>
            </w:r>
            <w:r w:rsidR="0049772A" w:rsidRPr="00E64913">
              <w:rPr>
                <w:sz w:val="18"/>
                <w:szCs w:val="18"/>
              </w:rPr>
              <w:t>poniesione z POIG do 31.12.2015 r.</w:t>
            </w:r>
          </w:p>
          <w:p w:rsidR="0049772A" w:rsidRPr="00E64913" w:rsidRDefault="0049772A" w:rsidP="007F17F7">
            <w:pPr>
              <w:pStyle w:val="Akapitzlist"/>
              <w:numPr>
                <w:ilvl w:val="0"/>
                <w:numId w:val="8"/>
              </w:numPr>
              <w:ind w:left="289" w:hanging="142"/>
              <w:jc w:val="both"/>
              <w:rPr>
                <w:sz w:val="18"/>
                <w:szCs w:val="18"/>
              </w:rPr>
            </w:pPr>
            <w:r w:rsidRPr="00E64913">
              <w:rPr>
                <w:b/>
                <w:sz w:val="18"/>
                <w:szCs w:val="18"/>
              </w:rPr>
              <w:t>29 275 580,56 zł</w:t>
            </w:r>
            <w:r w:rsidRPr="00E64913">
              <w:rPr>
                <w:sz w:val="18"/>
                <w:szCs w:val="18"/>
              </w:rPr>
              <w:t xml:space="preserve"> </w:t>
            </w:r>
            <w:r w:rsidR="008A3B6C" w:rsidRPr="00E64913">
              <w:rPr>
                <w:sz w:val="18"/>
                <w:szCs w:val="18"/>
              </w:rPr>
              <w:t>–</w:t>
            </w:r>
            <w:r w:rsidRPr="00E64913">
              <w:rPr>
                <w:sz w:val="18"/>
                <w:szCs w:val="18"/>
              </w:rPr>
              <w:t xml:space="preserve"> Narodowy</w:t>
            </w:r>
            <w:r w:rsidR="008A3B6C" w:rsidRPr="00E64913">
              <w:rPr>
                <w:sz w:val="18"/>
                <w:szCs w:val="18"/>
              </w:rPr>
              <w:t xml:space="preserve"> </w:t>
            </w:r>
            <w:r w:rsidRPr="00E64913">
              <w:rPr>
                <w:sz w:val="18"/>
                <w:szCs w:val="18"/>
              </w:rPr>
              <w:t>Fundusz Ochrony Środowiska i Gospodarki Wodnej</w:t>
            </w:r>
          </w:p>
          <w:p w:rsidR="0049772A" w:rsidRPr="00E64913" w:rsidRDefault="0049772A" w:rsidP="007F17F7">
            <w:pPr>
              <w:pStyle w:val="Akapitzlist"/>
              <w:numPr>
                <w:ilvl w:val="0"/>
                <w:numId w:val="8"/>
              </w:numPr>
              <w:ind w:left="289" w:hanging="142"/>
              <w:jc w:val="both"/>
              <w:rPr>
                <w:sz w:val="18"/>
                <w:szCs w:val="18"/>
              </w:rPr>
            </w:pPr>
            <w:r w:rsidRPr="00E64913">
              <w:rPr>
                <w:b/>
                <w:sz w:val="18"/>
                <w:szCs w:val="18"/>
              </w:rPr>
              <w:t>38 862 315,41</w:t>
            </w:r>
            <w:r w:rsidRPr="00E64913">
              <w:rPr>
                <w:sz w:val="18"/>
                <w:szCs w:val="18"/>
              </w:rPr>
              <w:t xml:space="preserve"> </w:t>
            </w:r>
            <w:r w:rsidR="008A3B6C" w:rsidRPr="00E64913">
              <w:rPr>
                <w:sz w:val="18"/>
                <w:szCs w:val="18"/>
              </w:rPr>
              <w:t xml:space="preserve">– Budżet </w:t>
            </w:r>
            <w:r w:rsidR="007F17F7" w:rsidRPr="00E64913">
              <w:rPr>
                <w:sz w:val="18"/>
                <w:szCs w:val="18"/>
              </w:rPr>
              <w:t>Państwa</w:t>
            </w:r>
            <w:r w:rsidR="008A3B6C" w:rsidRPr="00E64913">
              <w:rPr>
                <w:sz w:val="18"/>
                <w:szCs w:val="18"/>
              </w:rPr>
              <w:t xml:space="preserve"> </w:t>
            </w:r>
            <w:r w:rsidR="007F17F7" w:rsidRPr="00E64913">
              <w:rPr>
                <w:sz w:val="18"/>
                <w:szCs w:val="18"/>
              </w:rPr>
              <w:t xml:space="preserve"> – dział 22</w:t>
            </w:r>
          </w:p>
          <w:p w:rsidR="008A3B6C" w:rsidRPr="00E64913" w:rsidRDefault="008A3B6C" w:rsidP="0092099A">
            <w:pPr>
              <w:jc w:val="both"/>
              <w:rPr>
                <w:sz w:val="18"/>
                <w:szCs w:val="18"/>
              </w:rPr>
            </w:pPr>
          </w:p>
          <w:p w:rsidR="00FF5AC7" w:rsidRPr="00E64913" w:rsidRDefault="007F17F7" w:rsidP="0092099A">
            <w:pPr>
              <w:jc w:val="both"/>
              <w:rPr>
                <w:sz w:val="18"/>
                <w:szCs w:val="18"/>
              </w:rPr>
            </w:pPr>
            <w:r w:rsidRPr="00E64913">
              <w:rPr>
                <w:sz w:val="18"/>
                <w:szCs w:val="18"/>
              </w:rPr>
              <w:t xml:space="preserve">Mniejsza wartość poniesionych kosztów </w:t>
            </w:r>
            <w:r w:rsidR="00077C13" w:rsidRPr="00E64913">
              <w:rPr>
                <w:sz w:val="18"/>
                <w:szCs w:val="18"/>
              </w:rPr>
              <w:t>w projekcie wynika z postępowań przetargowych rozstrzygniętych na niższe kwoty niż zostało to pierwotnie zaplanowane.</w:t>
            </w:r>
          </w:p>
          <w:p w:rsidR="008A3B6C" w:rsidRPr="00E64913" w:rsidRDefault="008A3B6C" w:rsidP="0092099A">
            <w:pPr>
              <w:jc w:val="both"/>
              <w:rPr>
                <w:sz w:val="18"/>
                <w:szCs w:val="18"/>
              </w:rPr>
            </w:pPr>
          </w:p>
          <w:p w:rsidR="00E92D24" w:rsidRPr="00E64913" w:rsidRDefault="00077C13" w:rsidP="0092099A">
            <w:pPr>
              <w:jc w:val="both"/>
              <w:rPr>
                <w:sz w:val="18"/>
                <w:szCs w:val="18"/>
              </w:rPr>
            </w:pPr>
            <w:r w:rsidRPr="00E64913">
              <w:rPr>
                <w:sz w:val="18"/>
                <w:szCs w:val="18"/>
              </w:rPr>
              <w:t xml:space="preserve">W ramach umów realizowanych w projekcie ISOK naliczono </w:t>
            </w:r>
            <w:r w:rsidR="00E92D24" w:rsidRPr="00E64913">
              <w:rPr>
                <w:sz w:val="18"/>
                <w:szCs w:val="18"/>
              </w:rPr>
              <w:t xml:space="preserve">na Wykonawców </w:t>
            </w:r>
            <w:r w:rsidRPr="00E64913">
              <w:rPr>
                <w:sz w:val="18"/>
                <w:szCs w:val="18"/>
              </w:rPr>
              <w:t>poniższe kary umowne:</w:t>
            </w:r>
          </w:p>
          <w:p w:rsidR="00E92D24" w:rsidRPr="00E64913" w:rsidRDefault="00E92D24" w:rsidP="0092099A">
            <w:pPr>
              <w:jc w:val="both"/>
              <w:rPr>
                <w:sz w:val="18"/>
                <w:szCs w:val="18"/>
              </w:rPr>
            </w:pPr>
            <w:r w:rsidRPr="00E64913">
              <w:rPr>
                <w:sz w:val="18"/>
                <w:szCs w:val="18"/>
              </w:rPr>
              <w:t>1 741 618,65 zł – kary umowne naliczone przez PGWWP (KZGW) na Wykonawców z tytułu opóźnień w realizacji umów;</w:t>
            </w:r>
          </w:p>
          <w:p w:rsidR="00E92D24" w:rsidRPr="00E64913" w:rsidRDefault="00E92D24" w:rsidP="0092099A">
            <w:pPr>
              <w:jc w:val="both"/>
              <w:rPr>
                <w:sz w:val="18"/>
                <w:szCs w:val="18"/>
              </w:rPr>
            </w:pPr>
            <w:r w:rsidRPr="00E64913">
              <w:rPr>
                <w:sz w:val="18"/>
                <w:szCs w:val="18"/>
              </w:rPr>
              <w:t>2 787 331,48 zł – kary umowne naliczone przez GUGIK na Wykonawców, za opóźnienia w przekazaniu przedmiotu umowy oraz za kolejne przekazanie do kontroli przedmiotu umowy z wadami</w:t>
            </w:r>
            <w:r w:rsidR="00E64913">
              <w:rPr>
                <w:sz w:val="18"/>
                <w:szCs w:val="18"/>
              </w:rPr>
              <w:t>.</w:t>
            </w:r>
          </w:p>
          <w:p w:rsidR="00E92D24" w:rsidRPr="00E64913" w:rsidRDefault="00E92D24" w:rsidP="0092099A">
            <w:pPr>
              <w:jc w:val="both"/>
              <w:rPr>
                <w:sz w:val="18"/>
                <w:szCs w:val="18"/>
              </w:rPr>
            </w:pPr>
          </w:p>
          <w:p w:rsidR="00E92D24" w:rsidRPr="00E64913" w:rsidRDefault="00E92D24" w:rsidP="0092099A">
            <w:pPr>
              <w:jc w:val="both"/>
              <w:rPr>
                <w:sz w:val="18"/>
                <w:szCs w:val="18"/>
              </w:rPr>
            </w:pPr>
            <w:r w:rsidRPr="00E64913">
              <w:rPr>
                <w:sz w:val="18"/>
                <w:szCs w:val="18"/>
              </w:rPr>
              <w:t>W projekcie nałożone zostały przez CPPC poniższe korekty finansowe:</w:t>
            </w:r>
          </w:p>
          <w:p w:rsidR="00E92D24" w:rsidRPr="00E64913" w:rsidRDefault="00E92D24" w:rsidP="0092099A">
            <w:pPr>
              <w:jc w:val="both"/>
              <w:rPr>
                <w:sz w:val="18"/>
                <w:szCs w:val="18"/>
              </w:rPr>
            </w:pPr>
            <w:r w:rsidRPr="00E64913">
              <w:rPr>
                <w:sz w:val="18"/>
                <w:szCs w:val="18"/>
              </w:rPr>
              <w:t>294 651,48 zł – na wydatki poniesione przez PGWWP (KZGW)</w:t>
            </w:r>
            <w:r w:rsidR="00E64913">
              <w:rPr>
                <w:sz w:val="18"/>
                <w:szCs w:val="18"/>
              </w:rPr>
              <w:t>,</w:t>
            </w:r>
          </w:p>
          <w:p w:rsidR="00E92D24" w:rsidRPr="00E64913" w:rsidRDefault="00E92D24" w:rsidP="0092099A">
            <w:pPr>
              <w:jc w:val="both"/>
              <w:rPr>
                <w:sz w:val="18"/>
                <w:szCs w:val="18"/>
              </w:rPr>
            </w:pPr>
            <w:r w:rsidRPr="00E64913">
              <w:rPr>
                <w:sz w:val="18"/>
                <w:szCs w:val="18"/>
              </w:rPr>
              <w:t>11 000 zł – na wydatki poniesione przez GUGIK</w:t>
            </w:r>
            <w:r w:rsidR="00E64913">
              <w:rPr>
                <w:sz w:val="18"/>
                <w:szCs w:val="18"/>
              </w:rPr>
              <w:t>,</w:t>
            </w:r>
          </w:p>
          <w:p w:rsidR="00E92D24" w:rsidRPr="00E64913" w:rsidRDefault="00E92D24" w:rsidP="0092099A">
            <w:pPr>
              <w:jc w:val="both"/>
              <w:rPr>
                <w:sz w:val="18"/>
                <w:szCs w:val="18"/>
              </w:rPr>
            </w:pPr>
            <w:r w:rsidRPr="00E64913">
              <w:rPr>
                <w:sz w:val="18"/>
                <w:szCs w:val="18"/>
              </w:rPr>
              <w:t>1 573 838,26 zł – na wydatki poniesione przez IMGW-PIB</w:t>
            </w:r>
            <w:r w:rsidR="00E64913">
              <w:rPr>
                <w:sz w:val="18"/>
                <w:szCs w:val="18"/>
              </w:rPr>
              <w:t>.</w:t>
            </w:r>
          </w:p>
          <w:p w:rsidR="003B107D" w:rsidRPr="002450C4" w:rsidRDefault="003B107D" w:rsidP="00BC120E">
            <w:pPr>
              <w:jc w:val="both"/>
              <w:rPr>
                <w:i/>
                <w:sz w:val="18"/>
                <w:szCs w:val="20"/>
              </w:rPr>
            </w:pPr>
          </w:p>
        </w:tc>
      </w:tr>
      <w:tr w:rsidR="007A0A3D" w:rsidRPr="002450C4" w:rsidTr="00920CE8">
        <w:tc>
          <w:tcPr>
            <w:tcW w:w="480" w:type="dxa"/>
          </w:tcPr>
          <w:p w:rsidR="007A0A3D" w:rsidRPr="002450C4" w:rsidRDefault="007A0A3D" w:rsidP="007A0A3D">
            <w:pPr>
              <w:pStyle w:val="Akapitzlist"/>
              <w:numPr>
                <w:ilvl w:val="0"/>
                <w:numId w:val="1"/>
              </w:numPr>
              <w:rPr>
                <w:sz w:val="18"/>
                <w:szCs w:val="20"/>
              </w:rPr>
            </w:pPr>
          </w:p>
        </w:tc>
        <w:tc>
          <w:tcPr>
            <w:tcW w:w="2350" w:type="dxa"/>
          </w:tcPr>
          <w:p w:rsidR="007A0A3D" w:rsidRPr="002450C4" w:rsidRDefault="005A4344">
            <w:pPr>
              <w:rPr>
                <w:sz w:val="18"/>
                <w:szCs w:val="20"/>
              </w:rPr>
            </w:pPr>
            <w:r>
              <w:rPr>
                <w:sz w:val="18"/>
                <w:szCs w:val="20"/>
              </w:rPr>
              <w:t>Postęp rzeczowy</w:t>
            </w:r>
          </w:p>
        </w:tc>
        <w:tc>
          <w:tcPr>
            <w:tcW w:w="6232" w:type="dxa"/>
          </w:tcPr>
          <w:p w:rsidR="00CB78CE" w:rsidRPr="00C93C1A" w:rsidRDefault="00CB78CE" w:rsidP="00E52249">
            <w:pPr>
              <w:jc w:val="both"/>
              <w:rPr>
                <w:b/>
                <w:sz w:val="18"/>
                <w:szCs w:val="20"/>
              </w:rPr>
            </w:pPr>
            <w:r w:rsidRPr="00C93C1A">
              <w:rPr>
                <w:b/>
                <w:sz w:val="18"/>
                <w:szCs w:val="20"/>
              </w:rPr>
              <w:t>Kamienie milowe</w:t>
            </w:r>
          </w:p>
          <w:p w:rsidR="00691234" w:rsidRPr="00C93C1A" w:rsidRDefault="00691234" w:rsidP="00E52249">
            <w:pPr>
              <w:jc w:val="both"/>
              <w:rPr>
                <w:sz w:val="18"/>
                <w:szCs w:val="20"/>
              </w:rPr>
            </w:pPr>
            <w:r w:rsidRPr="00C93C1A">
              <w:rPr>
                <w:b/>
                <w:sz w:val="18"/>
                <w:szCs w:val="20"/>
              </w:rPr>
              <w:t xml:space="preserve">Skompletowane dane referencyjne (NMT, </w:t>
            </w:r>
            <w:proofErr w:type="spellStart"/>
            <w:r w:rsidRPr="00C93C1A">
              <w:rPr>
                <w:b/>
                <w:sz w:val="18"/>
                <w:szCs w:val="20"/>
              </w:rPr>
              <w:t>Ortofotomapa</w:t>
            </w:r>
            <w:proofErr w:type="spellEnd"/>
            <w:r w:rsidRPr="00C93C1A">
              <w:rPr>
                <w:b/>
                <w:sz w:val="18"/>
                <w:szCs w:val="20"/>
              </w:rPr>
              <w:t>, BDOT)</w:t>
            </w:r>
            <w:r w:rsidRPr="00C93C1A">
              <w:rPr>
                <w:sz w:val="18"/>
                <w:szCs w:val="20"/>
              </w:rPr>
              <w:t xml:space="preserve"> </w:t>
            </w:r>
            <w:r w:rsidR="002A721F" w:rsidRPr="00C93C1A">
              <w:rPr>
                <w:sz w:val="18"/>
                <w:szCs w:val="20"/>
              </w:rPr>
              <w:t>–</w:t>
            </w:r>
            <w:r w:rsidRPr="00C93C1A">
              <w:rPr>
                <w:sz w:val="18"/>
                <w:szCs w:val="20"/>
              </w:rPr>
              <w:t xml:space="preserve"> </w:t>
            </w:r>
            <w:r w:rsidRPr="00950B11">
              <w:rPr>
                <w:sz w:val="18"/>
                <w:szCs w:val="20"/>
                <w:u w:val="single"/>
              </w:rPr>
              <w:t>Osiągnięty</w:t>
            </w:r>
            <w:r w:rsidR="002A721F" w:rsidRPr="00950B11">
              <w:rPr>
                <w:sz w:val="18"/>
                <w:szCs w:val="20"/>
                <w:u w:val="single"/>
              </w:rPr>
              <w:t xml:space="preserve"> 2015-11-30</w:t>
            </w:r>
          </w:p>
          <w:p w:rsidR="00691234" w:rsidRPr="00C93C1A" w:rsidRDefault="002A721F" w:rsidP="00E52249">
            <w:pPr>
              <w:jc w:val="both"/>
              <w:rPr>
                <w:sz w:val="18"/>
                <w:szCs w:val="20"/>
              </w:rPr>
            </w:pPr>
            <w:r w:rsidRPr="00C93C1A">
              <w:rPr>
                <w:b/>
                <w:sz w:val="18"/>
                <w:szCs w:val="20"/>
              </w:rPr>
              <w:t>Wstępna Ocena Ryzyka Powodziowego</w:t>
            </w:r>
            <w:r w:rsidRPr="00C93C1A">
              <w:rPr>
                <w:sz w:val="18"/>
                <w:szCs w:val="20"/>
              </w:rPr>
              <w:t xml:space="preserve"> – Osiągnięty 2011-12-16</w:t>
            </w:r>
          </w:p>
          <w:p w:rsidR="002A721F" w:rsidRPr="00C93C1A" w:rsidRDefault="002A721F" w:rsidP="002A721F">
            <w:pPr>
              <w:jc w:val="both"/>
              <w:rPr>
                <w:sz w:val="18"/>
                <w:szCs w:val="20"/>
              </w:rPr>
            </w:pPr>
            <w:r w:rsidRPr="00C93C1A">
              <w:rPr>
                <w:b/>
                <w:sz w:val="18"/>
                <w:szCs w:val="20"/>
              </w:rPr>
              <w:t xml:space="preserve">Mapy Zagrożenia Powodziowego i Mapy Ryzyka Powodziowego </w:t>
            </w:r>
            <w:r w:rsidRPr="00C93C1A">
              <w:rPr>
                <w:sz w:val="18"/>
                <w:szCs w:val="20"/>
              </w:rPr>
              <w:t xml:space="preserve">– </w:t>
            </w:r>
            <w:r w:rsidRPr="00950B11">
              <w:rPr>
                <w:sz w:val="18"/>
                <w:szCs w:val="20"/>
                <w:u w:val="single"/>
              </w:rPr>
              <w:t>Osiągnięty 2014-12-22</w:t>
            </w:r>
            <w:r w:rsidRPr="00C93C1A">
              <w:rPr>
                <w:sz w:val="18"/>
                <w:szCs w:val="20"/>
              </w:rPr>
              <w:t>, Planowany termin osiągnięcia 2014-06-30; Czynnikiem utrudniającym przygotowanie map był brak dostępności w odpowiednich terminach danych wejściowych do wykonania modelowania hydraulicznego wskazanych w Rozporządzeniu z dnia 21 grudnia 2012 r. w sprawie opracowania map zagrożenia powodziowego oraz map ryzyka powodziowego (Dz. U. z 2013 r. poz. 104). Przygotowywanie map w okresie jednoczesnego pozyskiwania danych było niezwykle utrudnione i w efekcie spowodowało opóźnienia w osiągnięciu założonych kryteriów jakościowych.</w:t>
            </w:r>
          </w:p>
          <w:p w:rsidR="002A721F" w:rsidRPr="00C93C1A" w:rsidRDefault="002A721F" w:rsidP="002A721F">
            <w:pPr>
              <w:jc w:val="both"/>
              <w:rPr>
                <w:sz w:val="18"/>
                <w:szCs w:val="20"/>
              </w:rPr>
            </w:pPr>
            <w:r w:rsidRPr="00C93C1A">
              <w:rPr>
                <w:sz w:val="18"/>
                <w:szCs w:val="20"/>
              </w:rPr>
              <w:t>Dodatkowo  w związku z uzgodnieniami z Ministerstwem Administracji i Cyfryzacji, podjęto decyzję o rozszerzeniu zakresu prac o wykonanie dodatkowych map w scenariuszu zniszczenia lub uszkodzenia wału przeciwpowodziowego. Jednocześnie w ramach weryfikacji poprawności wykonania MZP i MRP zidentyfikowano tzw. sztuczne ograniczenia obszarów zagrożenia powodziowego. Konieczne było uzupełnienie sztucznych odcięć na obszarach zagrożenia powodziowego.</w:t>
            </w:r>
          </w:p>
          <w:p w:rsidR="002A721F" w:rsidRPr="00950B11" w:rsidRDefault="002A721F" w:rsidP="002A721F">
            <w:pPr>
              <w:jc w:val="both"/>
              <w:rPr>
                <w:sz w:val="18"/>
                <w:szCs w:val="20"/>
                <w:u w:val="single"/>
              </w:rPr>
            </w:pPr>
            <w:r w:rsidRPr="00C93C1A">
              <w:rPr>
                <w:b/>
                <w:sz w:val="18"/>
                <w:szCs w:val="20"/>
              </w:rPr>
              <w:t>Mapy zagrożeń meteorologicznych i mapy innych zagrożeń</w:t>
            </w:r>
            <w:r w:rsidRPr="00C93C1A">
              <w:rPr>
                <w:sz w:val="18"/>
                <w:szCs w:val="20"/>
              </w:rPr>
              <w:t xml:space="preserve"> –</w:t>
            </w:r>
            <w:r w:rsidR="00950B11">
              <w:rPr>
                <w:sz w:val="18"/>
                <w:szCs w:val="20"/>
              </w:rPr>
              <w:t xml:space="preserve"> Osiągnięcie kamienia milowego uzależnione było od zakończenia prac nad Systemem ISOK.</w:t>
            </w:r>
            <w:r w:rsidRPr="00C93C1A">
              <w:rPr>
                <w:sz w:val="18"/>
                <w:szCs w:val="20"/>
              </w:rPr>
              <w:t xml:space="preserve"> Osiągnięty </w:t>
            </w:r>
            <w:r w:rsidRPr="00950B11">
              <w:rPr>
                <w:sz w:val="18"/>
                <w:szCs w:val="20"/>
                <w:u w:val="single"/>
              </w:rPr>
              <w:t>2019-02-19</w:t>
            </w:r>
          </w:p>
          <w:p w:rsidR="00065121" w:rsidRDefault="003E0F30" w:rsidP="00065121">
            <w:pPr>
              <w:jc w:val="both"/>
              <w:rPr>
                <w:sz w:val="18"/>
                <w:szCs w:val="18"/>
              </w:rPr>
            </w:pPr>
            <w:r w:rsidRPr="00C93C1A">
              <w:rPr>
                <w:b/>
                <w:sz w:val="18"/>
                <w:szCs w:val="20"/>
              </w:rPr>
              <w:t>System ISOK</w:t>
            </w:r>
            <w:r w:rsidRPr="00C93C1A">
              <w:rPr>
                <w:sz w:val="18"/>
                <w:szCs w:val="20"/>
              </w:rPr>
              <w:t xml:space="preserve"> – </w:t>
            </w:r>
            <w:r w:rsidR="00EF432D" w:rsidRPr="00065121">
              <w:rPr>
                <w:sz w:val="18"/>
                <w:szCs w:val="18"/>
              </w:rPr>
              <w:t xml:space="preserve">Zgodnie z wyznaczonymi kamieniami milowymi w Aneksie nr 3 do Porozumienia o dofinansowanie, planowany termin zakończenia prac nad Systemem ISOK wyznaczono </w:t>
            </w:r>
            <w:r w:rsidR="00EA2C4F" w:rsidRPr="00065121">
              <w:rPr>
                <w:sz w:val="18"/>
                <w:szCs w:val="18"/>
              </w:rPr>
              <w:t xml:space="preserve">na </w:t>
            </w:r>
            <w:r w:rsidR="00EA2C4F" w:rsidRPr="00065121">
              <w:rPr>
                <w:sz w:val="18"/>
                <w:szCs w:val="18"/>
                <w:u w:val="single"/>
              </w:rPr>
              <w:t>31.12.2014</w:t>
            </w:r>
            <w:r w:rsidR="00EA2C4F" w:rsidRPr="00065121">
              <w:rPr>
                <w:sz w:val="18"/>
                <w:szCs w:val="18"/>
              </w:rPr>
              <w:t xml:space="preserve"> r. </w:t>
            </w:r>
            <w:r w:rsidR="004E2217" w:rsidRPr="00065121">
              <w:rPr>
                <w:sz w:val="18"/>
                <w:szCs w:val="18"/>
              </w:rPr>
              <w:t>W dniu 29.08.2013</w:t>
            </w:r>
            <w:r w:rsidR="00065121">
              <w:rPr>
                <w:sz w:val="18"/>
                <w:szCs w:val="18"/>
              </w:rPr>
              <w:t xml:space="preserve"> r. KZGW wraz IMGW-PIB podpisał</w:t>
            </w:r>
            <w:r w:rsidR="004E2217" w:rsidRPr="00065121">
              <w:rPr>
                <w:sz w:val="18"/>
                <w:szCs w:val="18"/>
              </w:rPr>
              <w:t xml:space="preserve"> umowę pn. „Projekt, budowa i wdrożenie informatycznego systemu osłony kraju przed nadzwyczajnymi zagrożeniami (ISOK) oraz świadczenia usługi gwarancyjnej po wdrożeniu tego systemu” z firmą </w:t>
            </w:r>
            <w:proofErr w:type="spellStart"/>
            <w:r w:rsidR="004E2217" w:rsidRPr="00065121">
              <w:rPr>
                <w:sz w:val="18"/>
                <w:szCs w:val="18"/>
              </w:rPr>
              <w:t>Qumak</w:t>
            </w:r>
            <w:proofErr w:type="spellEnd"/>
            <w:r w:rsidR="004E2217" w:rsidRPr="00065121">
              <w:rPr>
                <w:sz w:val="18"/>
                <w:szCs w:val="18"/>
              </w:rPr>
              <w:t xml:space="preserve"> S.A. W trakcie realizacji Umowy pojawiła się konieczność dostosowania przez Wykonawcę Systemu do nowych przedsięwzięć informatycznych realizowanych przez Zamawiającego oraz uwzględnienia zmian w infrastrukturze informatycznej Zamawiającego. W dniu 4.12.2014 r. podpisany został Aneks nr 2 do </w:t>
            </w:r>
            <w:r w:rsidR="004E2217" w:rsidRPr="00065121">
              <w:rPr>
                <w:sz w:val="18"/>
                <w:szCs w:val="18"/>
              </w:rPr>
              <w:lastRenderedPageBreak/>
              <w:t xml:space="preserve">Umowy z firmą </w:t>
            </w:r>
            <w:proofErr w:type="spellStart"/>
            <w:r w:rsidR="004E2217" w:rsidRPr="00065121">
              <w:rPr>
                <w:sz w:val="18"/>
                <w:szCs w:val="18"/>
              </w:rPr>
              <w:t>Qumak</w:t>
            </w:r>
            <w:proofErr w:type="spellEnd"/>
            <w:r w:rsidR="004E2217" w:rsidRPr="00065121">
              <w:rPr>
                <w:sz w:val="18"/>
                <w:szCs w:val="18"/>
              </w:rPr>
              <w:t xml:space="preserve"> S.A., w którym termin realizacji Systemu ISOK wyznaczono na </w:t>
            </w:r>
            <w:r w:rsidR="004E2217" w:rsidRPr="00065121">
              <w:rPr>
                <w:sz w:val="18"/>
                <w:szCs w:val="18"/>
                <w:u w:val="single"/>
              </w:rPr>
              <w:t>30.06.2015 r.</w:t>
            </w:r>
            <w:r w:rsidR="004E2217" w:rsidRPr="00065121">
              <w:rPr>
                <w:sz w:val="18"/>
                <w:szCs w:val="18"/>
              </w:rPr>
              <w:t xml:space="preserve">  Termin ten był zgodny z datą osiągnięcia kamienia milowego przyjętą  Aneksem nr 7 do </w:t>
            </w:r>
            <w:proofErr w:type="spellStart"/>
            <w:r w:rsidR="004E2217" w:rsidRPr="00065121">
              <w:rPr>
                <w:sz w:val="18"/>
                <w:szCs w:val="18"/>
              </w:rPr>
              <w:t>PoD</w:t>
            </w:r>
            <w:proofErr w:type="spellEnd"/>
            <w:r w:rsidR="004E2217" w:rsidRPr="00065121">
              <w:rPr>
                <w:sz w:val="18"/>
                <w:szCs w:val="18"/>
              </w:rPr>
              <w:t xml:space="preserve">. </w:t>
            </w:r>
          </w:p>
          <w:p w:rsidR="00065121" w:rsidRDefault="00E3756F" w:rsidP="00065121">
            <w:pPr>
              <w:jc w:val="both"/>
              <w:rPr>
                <w:sz w:val="18"/>
                <w:szCs w:val="18"/>
              </w:rPr>
            </w:pPr>
            <w:r w:rsidRPr="00065121">
              <w:rPr>
                <w:sz w:val="18"/>
                <w:szCs w:val="18"/>
              </w:rPr>
              <w:t xml:space="preserve">W trakcie realizacji Etapu 4 Umowy przez </w:t>
            </w:r>
            <w:proofErr w:type="spellStart"/>
            <w:r w:rsidRPr="00065121">
              <w:rPr>
                <w:sz w:val="18"/>
                <w:szCs w:val="18"/>
              </w:rPr>
              <w:t>Qumak</w:t>
            </w:r>
            <w:proofErr w:type="spellEnd"/>
            <w:r w:rsidRPr="00065121">
              <w:rPr>
                <w:sz w:val="18"/>
                <w:szCs w:val="18"/>
              </w:rPr>
              <w:t xml:space="preserve"> S.A. wystąpiły opóźnienia wynikające m.in. z niedostatecznej jakości przekazywanych przez Wykonawcę produktów czy awarii środowiska produkcyjnego w Centrum Podstawowym KZGW i konieczności wcześniejszej konfiguracji Centrum Zapasowego, która opóźniła rozpoczęcie testów wydajnościowych i integracyjnych. W związku z tym Beneficjent wystąpił do CPPC z wnioskiem o wydłużenie Projektu. Aneksem nr 8 do </w:t>
            </w:r>
            <w:proofErr w:type="spellStart"/>
            <w:r w:rsidRPr="00065121">
              <w:rPr>
                <w:sz w:val="18"/>
                <w:szCs w:val="18"/>
              </w:rPr>
              <w:t>PoD</w:t>
            </w:r>
            <w:proofErr w:type="spellEnd"/>
            <w:r w:rsidRPr="00065121">
              <w:rPr>
                <w:sz w:val="18"/>
                <w:szCs w:val="18"/>
              </w:rPr>
              <w:t xml:space="preserve"> termin osiągnięcia przedmiotowego kamienia milowego wyznaczono na </w:t>
            </w:r>
            <w:r w:rsidR="00F35852" w:rsidRPr="00065121">
              <w:rPr>
                <w:sz w:val="18"/>
                <w:szCs w:val="18"/>
                <w:u w:val="single"/>
              </w:rPr>
              <w:t>15.07</w:t>
            </w:r>
            <w:r w:rsidRPr="00065121">
              <w:rPr>
                <w:sz w:val="18"/>
                <w:szCs w:val="18"/>
                <w:u w:val="single"/>
              </w:rPr>
              <w:t>.20</w:t>
            </w:r>
            <w:r w:rsidR="00F35852" w:rsidRPr="00065121">
              <w:rPr>
                <w:sz w:val="18"/>
                <w:szCs w:val="18"/>
                <w:u w:val="single"/>
              </w:rPr>
              <w:t>16 r.</w:t>
            </w:r>
            <w:r w:rsidR="00F35852" w:rsidRPr="00065121">
              <w:rPr>
                <w:sz w:val="18"/>
                <w:szCs w:val="18"/>
              </w:rPr>
              <w:t xml:space="preserve"> a Projekt ISOK otrzymał status projektu niefunkcjonującego. W dniu 15.12.2015 r. został odebrany Etap 4 Umowy z </w:t>
            </w:r>
            <w:proofErr w:type="spellStart"/>
            <w:r w:rsidR="00F35852" w:rsidRPr="00065121">
              <w:rPr>
                <w:sz w:val="18"/>
                <w:szCs w:val="18"/>
              </w:rPr>
              <w:t>Qumak</w:t>
            </w:r>
            <w:proofErr w:type="spellEnd"/>
            <w:r w:rsidR="00F35852" w:rsidRPr="00065121">
              <w:rPr>
                <w:sz w:val="18"/>
                <w:szCs w:val="18"/>
              </w:rPr>
              <w:t xml:space="preserve"> S.A. – wersja pilotażowa Systemu ISOK. </w:t>
            </w:r>
          </w:p>
          <w:p w:rsidR="00A45A3C" w:rsidRDefault="003E077C" w:rsidP="00065121">
            <w:pPr>
              <w:jc w:val="both"/>
              <w:rPr>
                <w:sz w:val="18"/>
                <w:szCs w:val="18"/>
              </w:rPr>
            </w:pPr>
            <w:r w:rsidRPr="00065121">
              <w:rPr>
                <w:sz w:val="18"/>
                <w:szCs w:val="18"/>
              </w:rPr>
              <w:t xml:space="preserve">W </w:t>
            </w:r>
            <w:r w:rsidR="00065121">
              <w:rPr>
                <w:sz w:val="18"/>
                <w:szCs w:val="18"/>
              </w:rPr>
              <w:t>trakcie</w:t>
            </w:r>
            <w:r w:rsidRPr="00065121">
              <w:rPr>
                <w:sz w:val="18"/>
                <w:szCs w:val="18"/>
              </w:rPr>
              <w:t xml:space="preserve"> Etapu 5 występowały</w:t>
            </w:r>
            <w:r w:rsidR="00F35852" w:rsidRPr="00065121">
              <w:rPr>
                <w:sz w:val="18"/>
                <w:szCs w:val="18"/>
              </w:rPr>
              <w:t xml:space="preserve"> dalsze opóźnienia w realizacji przedmiotu Umowy</w:t>
            </w:r>
            <w:r w:rsidRPr="00065121">
              <w:rPr>
                <w:sz w:val="18"/>
                <w:szCs w:val="18"/>
              </w:rPr>
              <w:t xml:space="preserve">. W związku z czym termin osiągnięcia kamienia milowego wyznaczono na </w:t>
            </w:r>
            <w:r w:rsidRPr="00065121">
              <w:rPr>
                <w:sz w:val="18"/>
                <w:szCs w:val="18"/>
                <w:u w:val="single"/>
              </w:rPr>
              <w:t>30.12.2016 r.</w:t>
            </w:r>
            <w:r w:rsidRPr="00065121">
              <w:rPr>
                <w:sz w:val="18"/>
                <w:szCs w:val="18"/>
              </w:rPr>
              <w:t xml:space="preserve"> (Aneks nr 9 do </w:t>
            </w:r>
            <w:proofErr w:type="spellStart"/>
            <w:r w:rsidRPr="00065121">
              <w:rPr>
                <w:sz w:val="18"/>
                <w:szCs w:val="18"/>
              </w:rPr>
              <w:t>PoD</w:t>
            </w:r>
            <w:proofErr w:type="spellEnd"/>
            <w:r w:rsidRPr="00065121">
              <w:rPr>
                <w:sz w:val="18"/>
                <w:szCs w:val="18"/>
              </w:rPr>
              <w:t>)</w:t>
            </w:r>
            <w:r w:rsidR="00F35852" w:rsidRPr="00065121">
              <w:rPr>
                <w:sz w:val="18"/>
                <w:szCs w:val="18"/>
              </w:rPr>
              <w:t>.</w:t>
            </w:r>
            <w:r w:rsidR="00E3756F" w:rsidRPr="00065121">
              <w:rPr>
                <w:sz w:val="18"/>
                <w:szCs w:val="18"/>
              </w:rPr>
              <w:t xml:space="preserve"> </w:t>
            </w:r>
            <w:r w:rsidR="00B037E1" w:rsidRPr="00065121">
              <w:rPr>
                <w:sz w:val="18"/>
                <w:szCs w:val="18"/>
              </w:rPr>
              <w:t>Decyzją Przewodniczącej Komitetu Sterującego Podprojektu ISOK w dniu 28.06.2016 r. KZGW odstąpi</w:t>
            </w:r>
            <w:r w:rsidR="00A45A3C">
              <w:rPr>
                <w:sz w:val="18"/>
                <w:szCs w:val="18"/>
              </w:rPr>
              <w:t>ł</w:t>
            </w:r>
            <w:r w:rsidR="00B037E1" w:rsidRPr="00065121">
              <w:rPr>
                <w:sz w:val="18"/>
                <w:szCs w:val="18"/>
              </w:rPr>
              <w:t xml:space="preserve"> od Umowy w części odnoszącej się do realizacji całego Etapu 5. Powodem powyższej decyzji były w szczególności znaczące opóźnienia Wykonawcy w realizacji przedmiotu Umowy. Ponadto, w trakcie realizacji Etapu 5, Wykonawca wyłączył Zamawiającemu dostęp do odebranej w Etapie 4 wersji pilotażowej systemu, realizował zadania niezgodnie z harmonogramem i nie raportował o postępach prac oraz wprowadzał zmiany do systemu bez zgody Zamawiającego. </w:t>
            </w:r>
          </w:p>
          <w:p w:rsidR="005704B6" w:rsidRDefault="00B037E1" w:rsidP="00065121">
            <w:pPr>
              <w:jc w:val="both"/>
              <w:rPr>
                <w:sz w:val="18"/>
                <w:szCs w:val="18"/>
              </w:rPr>
            </w:pPr>
            <w:r w:rsidRPr="00065121">
              <w:rPr>
                <w:sz w:val="18"/>
                <w:szCs w:val="18"/>
              </w:rPr>
              <w:t>W cel</w:t>
            </w:r>
            <w:r w:rsidR="00A45A3C">
              <w:rPr>
                <w:sz w:val="18"/>
                <w:szCs w:val="18"/>
              </w:rPr>
              <w:t>u zakończenia prac nad Systemem ISOK</w:t>
            </w:r>
            <w:r w:rsidRPr="00065121">
              <w:rPr>
                <w:sz w:val="18"/>
                <w:szCs w:val="18"/>
              </w:rPr>
              <w:t>, KZGW wszczęło nowe postępowanie</w:t>
            </w:r>
            <w:r w:rsidR="00A45A3C">
              <w:rPr>
                <w:sz w:val="18"/>
                <w:szCs w:val="18"/>
              </w:rPr>
              <w:t xml:space="preserve"> przetargowe</w:t>
            </w:r>
            <w:r w:rsidRPr="00065121">
              <w:rPr>
                <w:sz w:val="18"/>
                <w:szCs w:val="18"/>
              </w:rPr>
              <w:t xml:space="preserve">, które umożliwiłoby dokończenie prac </w:t>
            </w:r>
            <w:r w:rsidR="00A45A3C">
              <w:rPr>
                <w:sz w:val="18"/>
                <w:szCs w:val="18"/>
              </w:rPr>
              <w:t xml:space="preserve"> w 2016 roku. </w:t>
            </w:r>
            <w:r w:rsidR="002D3221" w:rsidRPr="00065121">
              <w:rPr>
                <w:sz w:val="18"/>
                <w:szCs w:val="18"/>
              </w:rPr>
              <w:t>W dniu 13.07.</w:t>
            </w:r>
            <w:r w:rsidRPr="00065121">
              <w:rPr>
                <w:sz w:val="18"/>
                <w:szCs w:val="18"/>
              </w:rPr>
              <w:t xml:space="preserve">2016 r. opublikowano ogłoszenie o wszczęciu zamówienia publicznego na „Wdrożenie produkcyjne systemu ISOK” w trybie z wolnej ręki. Firmy </w:t>
            </w:r>
            <w:proofErr w:type="spellStart"/>
            <w:r w:rsidRPr="00065121">
              <w:rPr>
                <w:sz w:val="18"/>
                <w:szCs w:val="18"/>
              </w:rPr>
              <w:t>Qumak</w:t>
            </w:r>
            <w:proofErr w:type="spellEnd"/>
            <w:r w:rsidRPr="00065121">
              <w:rPr>
                <w:sz w:val="18"/>
                <w:szCs w:val="18"/>
              </w:rPr>
              <w:t xml:space="preserve"> S.A. i </w:t>
            </w:r>
            <w:proofErr w:type="spellStart"/>
            <w:r w:rsidRPr="00065121">
              <w:rPr>
                <w:sz w:val="18"/>
                <w:szCs w:val="18"/>
              </w:rPr>
              <w:t>Effematic</w:t>
            </w:r>
            <w:proofErr w:type="spellEnd"/>
            <w:r w:rsidRPr="00065121">
              <w:rPr>
                <w:sz w:val="18"/>
                <w:szCs w:val="18"/>
              </w:rPr>
              <w:t xml:space="preserve"> sp. z o.o. wniosły odwołania do zastosowanego trybu. W dniu 16</w:t>
            </w:r>
            <w:r w:rsidR="002D3221" w:rsidRPr="00065121">
              <w:rPr>
                <w:sz w:val="18"/>
                <w:szCs w:val="18"/>
              </w:rPr>
              <w:t>.08.</w:t>
            </w:r>
            <w:r w:rsidRPr="00065121">
              <w:rPr>
                <w:sz w:val="18"/>
                <w:szCs w:val="18"/>
              </w:rPr>
              <w:t xml:space="preserve">2016 r. Krajowa Izba Odwoławcza ogłosiła wyrok, na mocy którego uwzględniła wniesione odwołania i nakazała Zamawiającemu unieważnienie postępowania. </w:t>
            </w:r>
            <w:r w:rsidR="002D3221" w:rsidRPr="00065121">
              <w:rPr>
                <w:sz w:val="18"/>
                <w:szCs w:val="18"/>
              </w:rPr>
              <w:t xml:space="preserve">W związku z koniecznością zastosowania trybu konkurencyjnego, KZGW przygotował Plan Naprawczy, który zakłada zakończenie projektu w grudniu 2017 roku. Osiągnięcia kamienia milowego zostało przesunięte Aneksem nr 10 do </w:t>
            </w:r>
            <w:proofErr w:type="spellStart"/>
            <w:r w:rsidR="002D3221" w:rsidRPr="00065121">
              <w:rPr>
                <w:sz w:val="18"/>
                <w:szCs w:val="18"/>
              </w:rPr>
              <w:t>PoD</w:t>
            </w:r>
            <w:proofErr w:type="spellEnd"/>
            <w:r w:rsidR="002D3221" w:rsidRPr="00065121">
              <w:rPr>
                <w:sz w:val="18"/>
                <w:szCs w:val="18"/>
              </w:rPr>
              <w:t xml:space="preserve"> na </w:t>
            </w:r>
            <w:r w:rsidR="002D3221" w:rsidRPr="00065121">
              <w:rPr>
                <w:sz w:val="18"/>
                <w:szCs w:val="18"/>
                <w:u w:val="single"/>
              </w:rPr>
              <w:t>24.11.2017 r.</w:t>
            </w:r>
            <w:r w:rsidR="002D3221" w:rsidRPr="00065121">
              <w:rPr>
                <w:sz w:val="18"/>
                <w:szCs w:val="18"/>
              </w:rPr>
              <w:t xml:space="preserve"> </w:t>
            </w:r>
          </w:p>
          <w:p w:rsidR="00065121" w:rsidRPr="00065121" w:rsidRDefault="002D3221" w:rsidP="00065121">
            <w:pPr>
              <w:jc w:val="both"/>
              <w:rPr>
                <w:sz w:val="18"/>
                <w:szCs w:val="18"/>
              </w:rPr>
            </w:pPr>
            <w:r w:rsidRPr="00065121">
              <w:rPr>
                <w:sz w:val="18"/>
                <w:szCs w:val="18"/>
              </w:rPr>
              <w:t xml:space="preserve">W dniu 30.12.2016 r. KZGW wszczął postępowanie przetargowe w trybie przetargu nieograniczonego na „Wdrożenie produkcyjne Systemu ISOK”. Pierwotnie termin składania ofert wyznaczono na 05.02.2017 r. Ze względu na odwołania do treści SIWZ (dwa odwołania) oraz dużą liczbę pytań od oferentów (ok 370 pytań) termin składania ofert był wielokrotnie przesuwany. </w:t>
            </w:r>
          </w:p>
          <w:p w:rsidR="00065121" w:rsidRPr="00065121" w:rsidRDefault="00065121" w:rsidP="00065121">
            <w:pPr>
              <w:jc w:val="both"/>
              <w:rPr>
                <w:sz w:val="18"/>
                <w:szCs w:val="18"/>
              </w:rPr>
            </w:pPr>
            <w:r w:rsidRPr="00065121">
              <w:rPr>
                <w:sz w:val="18"/>
                <w:szCs w:val="18"/>
              </w:rPr>
              <w:t xml:space="preserve">W połowie 2017 r. KZGW, IMGW-PIB oraz </w:t>
            </w:r>
            <w:proofErr w:type="spellStart"/>
            <w:r w:rsidRPr="00065121">
              <w:rPr>
                <w:sz w:val="18"/>
                <w:szCs w:val="18"/>
              </w:rPr>
              <w:t>Qumak</w:t>
            </w:r>
            <w:proofErr w:type="spellEnd"/>
            <w:r w:rsidRPr="00065121">
              <w:rPr>
                <w:sz w:val="18"/>
                <w:szCs w:val="18"/>
              </w:rPr>
              <w:t xml:space="preserve"> postanowiły podjąć próbę ugodowego zakończenia toczącego się miedzy nimi sporu i przystąpiły do rozmów ugodowych. Ich zakresem objęto wykonane przez spółkę </w:t>
            </w:r>
            <w:proofErr w:type="spellStart"/>
            <w:r w:rsidRPr="00065121">
              <w:rPr>
                <w:sz w:val="18"/>
                <w:szCs w:val="18"/>
              </w:rPr>
              <w:t>Qumak</w:t>
            </w:r>
            <w:proofErr w:type="spellEnd"/>
            <w:r w:rsidRPr="00065121">
              <w:rPr>
                <w:sz w:val="18"/>
                <w:szCs w:val="18"/>
              </w:rPr>
              <w:t xml:space="preserve"> produkty oraz wzajemne roszczenia. Ze względu na prowadzone negocjacje termin osiągnięcia kamienia milowego został przesunięty Aneksem nr 11 do </w:t>
            </w:r>
            <w:proofErr w:type="spellStart"/>
            <w:r w:rsidRPr="00065121">
              <w:rPr>
                <w:sz w:val="18"/>
                <w:szCs w:val="18"/>
              </w:rPr>
              <w:t>PoD</w:t>
            </w:r>
            <w:proofErr w:type="spellEnd"/>
            <w:r w:rsidRPr="00065121">
              <w:rPr>
                <w:sz w:val="18"/>
                <w:szCs w:val="18"/>
              </w:rPr>
              <w:t xml:space="preserve"> na </w:t>
            </w:r>
            <w:r w:rsidRPr="00065121">
              <w:rPr>
                <w:sz w:val="18"/>
                <w:szCs w:val="18"/>
                <w:u w:val="single"/>
              </w:rPr>
              <w:t>31.08.2018 r.</w:t>
            </w:r>
          </w:p>
          <w:p w:rsidR="00065121" w:rsidRPr="00065121" w:rsidRDefault="00065121" w:rsidP="00065121">
            <w:pPr>
              <w:jc w:val="both"/>
              <w:rPr>
                <w:sz w:val="18"/>
                <w:szCs w:val="18"/>
              </w:rPr>
            </w:pPr>
            <w:r w:rsidRPr="00065121">
              <w:rPr>
                <w:sz w:val="18"/>
                <w:szCs w:val="18"/>
              </w:rPr>
              <w:t>W efekcie prowadzonych negocjacji, z końcem 2017 r., strony wypracowały projekt umowy ugodowej, który w dniu 29.12.2017 r. został przekazany do Prokuratorii Generalnej RP, z prośbą o dalsze procedowanie i podjęcie działań w imieniu KZGW umożliwiających wszczęcie procedury zmierzającej do zawarcia ugody przed Sądem. Ostatecznie jedn</w:t>
            </w:r>
            <w:r w:rsidR="006D455E">
              <w:rPr>
                <w:sz w:val="18"/>
                <w:szCs w:val="18"/>
              </w:rPr>
              <w:t xml:space="preserve">ak, w wyniku działań audytowych, </w:t>
            </w:r>
            <w:r w:rsidRPr="00065121">
              <w:rPr>
                <w:sz w:val="18"/>
                <w:szCs w:val="18"/>
              </w:rPr>
              <w:t xml:space="preserve">Wody Polskie odstąpiły od zawarcia ugody z </w:t>
            </w:r>
            <w:proofErr w:type="spellStart"/>
            <w:r w:rsidRPr="00065121">
              <w:rPr>
                <w:sz w:val="18"/>
                <w:szCs w:val="18"/>
              </w:rPr>
              <w:t>Qumak</w:t>
            </w:r>
            <w:proofErr w:type="spellEnd"/>
            <w:r w:rsidRPr="00065121">
              <w:rPr>
                <w:sz w:val="18"/>
                <w:szCs w:val="18"/>
              </w:rPr>
              <w:t xml:space="preserve"> S.A. w zakresie dokończenia budowy systemu ISOK. Słuszność takiego podejścia potwierdziły specjalistyczne opinie oraz stanowisko </w:t>
            </w:r>
            <w:proofErr w:type="spellStart"/>
            <w:r w:rsidRPr="00065121">
              <w:rPr>
                <w:sz w:val="18"/>
                <w:szCs w:val="18"/>
              </w:rPr>
              <w:t>Qumak</w:t>
            </w:r>
            <w:proofErr w:type="spellEnd"/>
            <w:r w:rsidRPr="00065121">
              <w:rPr>
                <w:sz w:val="18"/>
                <w:szCs w:val="18"/>
              </w:rPr>
              <w:t xml:space="preserve"> z dnia 20.07.2018 r., stanowiące podstawę podjętej decyzji.  </w:t>
            </w:r>
          </w:p>
          <w:p w:rsidR="00065121" w:rsidRPr="00065121" w:rsidRDefault="006D455E" w:rsidP="00065121">
            <w:pPr>
              <w:jc w:val="both"/>
              <w:rPr>
                <w:sz w:val="18"/>
                <w:szCs w:val="18"/>
              </w:rPr>
            </w:pPr>
            <w:r>
              <w:rPr>
                <w:sz w:val="18"/>
                <w:szCs w:val="18"/>
              </w:rPr>
              <w:t>Kontynuowano postępowanie</w:t>
            </w:r>
            <w:r w:rsidR="00065121" w:rsidRPr="00065121">
              <w:rPr>
                <w:sz w:val="18"/>
                <w:szCs w:val="18"/>
              </w:rPr>
              <w:t xml:space="preserve"> na „Wdrożenie produkcyjne systemu ISOK” w trybie przetargu nieograniczonego. Termin składnia ofert minął 12.09.2018 r. – nie wpłynęła żadna oferta na wykonanie zadania i przetarg unieważniono.</w:t>
            </w:r>
          </w:p>
          <w:p w:rsidR="00065121" w:rsidRPr="00065121" w:rsidRDefault="00065121" w:rsidP="00065121">
            <w:pPr>
              <w:jc w:val="both"/>
              <w:rPr>
                <w:sz w:val="18"/>
                <w:szCs w:val="18"/>
              </w:rPr>
            </w:pPr>
            <w:r w:rsidRPr="00065121">
              <w:rPr>
                <w:sz w:val="18"/>
                <w:szCs w:val="18"/>
              </w:rPr>
              <w:t xml:space="preserve">W dniu 13.09.2018 r. skierowano do firmy </w:t>
            </w:r>
            <w:proofErr w:type="spellStart"/>
            <w:r w:rsidRPr="00065121">
              <w:rPr>
                <w:sz w:val="18"/>
                <w:szCs w:val="18"/>
              </w:rPr>
              <w:t>GISPartner</w:t>
            </w:r>
            <w:proofErr w:type="spellEnd"/>
            <w:r w:rsidRPr="00065121">
              <w:rPr>
                <w:sz w:val="18"/>
                <w:szCs w:val="18"/>
              </w:rPr>
              <w:t xml:space="preserve"> Sp. z o. o. zaproszenie do negocjacji dotyczących warunków udzielenia zamówienia publicznego, na: „Wdrożenie produkcyjne Systemu ISOK”. W dniu 24.09.2018 r. wpłynęło do KIO odwołanie firmy </w:t>
            </w:r>
            <w:proofErr w:type="spellStart"/>
            <w:r w:rsidRPr="00065121">
              <w:rPr>
                <w:sz w:val="18"/>
                <w:szCs w:val="18"/>
              </w:rPr>
              <w:t>Qumak</w:t>
            </w:r>
            <w:proofErr w:type="spellEnd"/>
            <w:r w:rsidRPr="00065121">
              <w:rPr>
                <w:sz w:val="18"/>
                <w:szCs w:val="18"/>
              </w:rPr>
              <w:t xml:space="preserve"> S.A., a w dniu 11.10.2018 r. Krajowa Izba Odwoławcza wydała wyrok w sprawie zastosowania trybu zamówienia z wolnej ręki na „Wdrożenie produkcyjne Systemu ISOK”. Oddalając odwołanie KIO stwierdziła, iż brak jest podstaw do zakwestionowania wybranego trybu, a podnoszone przez </w:t>
            </w:r>
            <w:proofErr w:type="spellStart"/>
            <w:r w:rsidRPr="00065121">
              <w:rPr>
                <w:sz w:val="18"/>
                <w:szCs w:val="18"/>
              </w:rPr>
              <w:t>Qumak</w:t>
            </w:r>
            <w:proofErr w:type="spellEnd"/>
            <w:r w:rsidRPr="00065121">
              <w:rPr>
                <w:sz w:val="18"/>
                <w:szCs w:val="18"/>
              </w:rPr>
              <w:t xml:space="preserve"> S.A. inne okoliczności nie mogą być przez KIO rozpatrywane. Termin osiągnięcia kamienia milowego wyznaczono na </w:t>
            </w:r>
            <w:r w:rsidRPr="005704B6">
              <w:rPr>
                <w:sz w:val="18"/>
                <w:szCs w:val="18"/>
                <w:u w:val="single"/>
              </w:rPr>
              <w:t>15.02.2019 r.</w:t>
            </w:r>
            <w:r w:rsidRPr="00065121">
              <w:rPr>
                <w:sz w:val="18"/>
                <w:szCs w:val="18"/>
              </w:rPr>
              <w:t xml:space="preserve"> (Aneks nr 12 do </w:t>
            </w:r>
            <w:proofErr w:type="spellStart"/>
            <w:r w:rsidRPr="00065121">
              <w:rPr>
                <w:sz w:val="18"/>
                <w:szCs w:val="18"/>
              </w:rPr>
              <w:t>PoD</w:t>
            </w:r>
            <w:proofErr w:type="spellEnd"/>
            <w:r w:rsidRPr="00065121">
              <w:rPr>
                <w:sz w:val="18"/>
                <w:szCs w:val="18"/>
              </w:rPr>
              <w:t>).</w:t>
            </w:r>
          </w:p>
          <w:p w:rsidR="003E0F30" w:rsidRPr="00065121" w:rsidRDefault="00065121" w:rsidP="00065121">
            <w:pPr>
              <w:jc w:val="both"/>
              <w:rPr>
                <w:sz w:val="18"/>
                <w:szCs w:val="18"/>
              </w:rPr>
            </w:pPr>
            <w:r w:rsidRPr="00065121">
              <w:rPr>
                <w:sz w:val="18"/>
                <w:szCs w:val="18"/>
              </w:rPr>
              <w:t xml:space="preserve">W dniu 06.11.2018 r. została podpisana Umowy PGWWP-KZGW/KIK/3/2018  na zadanie pn. „Wdrożenie Produkcyjne Systemu ISOK” z konsorcjum firm </w:t>
            </w:r>
            <w:proofErr w:type="spellStart"/>
            <w:r w:rsidRPr="00065121">
              <w:rPr>
                <w:sz w:val="18"/>
                <w:szCs w:val="18"/>
              </w:rPr>
              <w:t>GISPartner</w:t>
            </w:r>
            <w:proofErr w:type="spellEnd"/>
            <w:r w:rsidRPr="00065121">
              <w:rPr>
                <w:sz w:val="18"/>
                <w:szCs w:val="18"/>
              </w:rPr>
              <w:t xml:space="preserve"> Sp. z o.o., </w:t>
            </w:r>
            <w:proofErr w:type="spellStart"/>
            <w:r w:rsidRPr="00065121">
              <w:rPr>
                <w:sz w:val="18"/>
                <w:szCs w:val="18"/>
              </w:rPr>
              <w:t>Engave</w:t>
            </w:r>
            <w:proofErr w:type="spellEnd"/>
            <w:r w:rsidRPr="00065121">
              <w:rPr>
                <w:sz w:val="18"/>
                <w:szCs w:val="18"/>
              </w:rPr>
              <w:t xml:space="preserve"> S.A. i TPM Services Sp. z o.o. Ostatecznie kamień milowy został o</w:t>
            </w:r>
            <w:r w:rsidR="003E0F30" w:rsidRPr="00065121">
              <w:rPr>
                <w:sz w:val="18"/>
                <w:szCs w:val="18"/>
              </w:rPr>
              <w:t xml:space="preserve">siągnięty </w:t>
            </w:r>
            <w:r w:rsidRPr="00065121">
              <w:rPr>
                <w:sz w:val="18"/>
                <w:szCs w:val="18"/>
                <w:u w:val="single"/>
              </w:rPr>
              <w:lastRenderedPageBreak/>
              <w:t>19.</w:t>
            </w:r>
            <w:r w:rsidR="003E0F30" w:rsidRPr="00065121">
              <w:rPr>
                <w:sz w:val="18"/>
                <w:szCs w:val="18"/>
                <w:u w:val="single"/>
              </w:rPr>
              <w:t>02</w:t>
            </w:r>
            <w:r w:rsidRPr="00065121">
              <w:rPr>
                <w:sz w:val="18"/>
                <w:szCs w:val="18"/>
                <w:u w:val="single"/>
              </w:rPr>
              <w:t>.20</w:t>
            </w:r>
            <w:r w:rsidR="003E0F30" w:rsidRPr="00065121">
              <w:rPr>
                <w:sz w:val="18"/>
                <w:szCs w:val="18"/>
                <w:u w:val="single"/>
              </w:rPr>
              <w:t>19</w:t>
            </w:r>
            <w:r w:rsidRPr="00065121">
              <w:rPr>
                <w:sz w:val="18"/>
                <w:szCs w:val="18"/>
                <w:u w:val="single"/>
              </w:rPr>
              <w:t xml:space="preserve"> r.</w:t>
            </w:r>
            <w:r w:rsidRPr="00065121">
              <w:rPr>
                <w:sz w:val="18"/>
                <w:szCs w:val="18"/>
              </w:rPr>
              <w:t xml:space="preserve"> </w:t>
            </w:r>
          </w:p>
          <w:p w:rsidR="002450C4" w:rsidRPr="002450C4" w:rsidRDefault="002450C4" w:rsidP="009D3D41">
            <w:pPr>
              <w:jc w:val="both"/>
              <w:rPr>
                <w:i/>
                <w:sz w:val="18"/>
                <w:szCs w:val="20"/>
              </w:rPr>
            </w:pPr>
          </w:p>
        </w:tc>
      </w:tr>
      <w:tr w:rsidR="004D135D" w:rsidRPr="002450C4" w:rsidTr="00920CE8">
        <w:tc>
          <w:tcPr>
            <w:tcW w:w="480" w:type="dxa"/>
          </w:tcPr>
          <w:p w:rsidR="004D135D" w:rsidRPr="002450C4" w:rsidRDefault="004D135D" w:rsidP="007A0A3D">
            <w:pPr>
              <w:pStyle w:val="Akapitzlist"/>
              <w:numPr>
                <w:ilvl w:val="0"/>
                <w:numId w:val="1"/>
              </w:numPr>
              <w:rPr>
                <w:sz w:val="18"/>
                <w:szCs w:val="20"/>
              </w:rPr>
            </w:pPr>
          </w:p>
        </w:tc>
        <w:tc>
          <w:tcPr>
            <w:tcW w:w="2350" w:type="dxa"/>
          </w:tcPr>
          <w:p w:rsidR="004D135D" w:rsidRDefault="004D135D">
            <w:pPr>
              <w:rPr>
                <w:sz w:val="18"/>
                <w:szCs w:val="20"/>
              </w:rPr>
            </w:pPr>
            <w:r>
              <w:rPr>
                <w:sz w:val="18"/>
                <w:szCs w:val="20"/>
              </w:rPr>
              <w:t>E-usługi dla obywateli i przedsiębiorców</w:t>
            </w:r>
          </w:p>
        </w:tc>
        <w:tc>
          <w:tcPr>
            <w:tcW w:w="6232" w:type="dxa"/>
          </w:tcPr>
          <w:p w:rsidR="00BE4D0D" w:rsidRDefault="00BE4D0D" w:rsidP="004D135D">
            <w:pPr>
              <w:rPr>
                <w:bCs/>
                <w:i/>
                <w:sz w:val="18"/>
                <w:szCs w:val="20"/>
              </w:rPr>
            </w:pPr>
          </w:p>
          <w:tbl>
            <w:tblPr>
              <w:tblStyle w:val="Tabela-Siatka"/>
              <w:tblW w:w="6684" w:type="dxa"/>
              <w:tblLook w:val="04A0" w:firstRow="1" w:lastRow="0" w:firstColumn="1" w:lastColumn="0" w:noHBand="0" w:noVBand="1"/>
            </w:tblPr>
            <w:tblGrid>
              <w:gridCol w:w="1682"/>
              <w:gridCol w:w="1358"/>
              <w:gridCol w:w="1481"/>
              <w:gridCol w:w="2163"/>
            </w:tblGrid>
            <w:tr w:rsidR="00BE4D0D" w:rsidTr="00351679">
              <w:tc>
                <w:tcPr>
                  <w:tcW w:w="1682" w:type="dxa"/>
                  <w:vAlign w:val="center"/>
                </w:tcPr>
                <w:p w:rsidR="00BE4D0D" w:rsidRDefault="00BE4D0D" w:rsidP="00351679">
                  <w:pPr>
                    <w:jc w:val="center"/>
                    <w:rPr>
                      <w:bCs/>
                      <w:sz w:val="18"/>
                      <w:szCs w:val="20"/>
                    </w:rPr>
                  </w:pPr>
                  <w:r>
                    <w:rPr>
                      <w:rFonts w:ascii="Calibri" w:hAnsi="Calibri" w:cs="Arial"/>
                      <w:b/>
                      <w:bCs/>
                      <w:sz w:val="18"/>
                      <w:szCs w:val="18"/>
                      <w:lang w:eastAsia="pl-PL"/>
                    </w:rPr>
                    <w:t>Usługa</w:t>
                  </w:r>
                </w:p>
              </w:tc>
              <w:tc>
                <w:tcPr>
                  <w:tcW w:w="1426" w:type="dxa"/>
                  <w:vAlign w:val="center"/>
                </w:tcPr>
                <w:p w:rsidR="00BE4D0D" w:rsidRDefault="00BE4D0D" w:rsidP="00351679">
                  <w:pPr>
                    <w:jc w:val="center"/>
                    <w:rPr>
                      <w:bCs/>
                      <w:sz w:val="18"/>
                      <w:szCs w:val="20"/>
                    </w:rPr>
                  </w:pPr>
                  <w:r>
                    <w:rPr>
                      <w:rFonts w:ascii="Calibri" w:hAnsi="Calibri" w:cs="Arial"/>
                      <w:b/>
                      <w:bCs/>
                      <w:sz w:val="18"/>
                      <w:szCs w:val="18"/>
                      <w:lang w:eastAsia="pl-PL"/>
                    </w:rPr>
                    <w:t>Opis usługi/Sposób udostępniania</w:t>
                  </w:r>
                </w:p>
              </w:tc>
              <w:tc>
                <w:tcPr>
                  <w:tcW w:w="1172" w:type="dxa"/>
                  <w:vAlign w:val="center"/>
                </w:tcPr>
                <w:p w:rsidR="00BE4D0D" w:rsidRDefault="00BE4D0D" w:rsidP="00351679">
                  <w:pPr>
                    <w:jc w:val="center"/>
                    <w:rPr>
                      <w:bCs/>
                      <w:sz w:val="18"/>
                      <w:szCs w:val="20"/>
                    </w:rPr>
                  </w:pPr>
                  <w:r>
                    <w:rPr>
                      <w:rFonts w:ascii="Calibri" w:hAnsi="Calibri" w:cs="Arial"/>
                      <w:b/>
                      <w:bCs/>
                      <w:sz w:val="18"/>
                      <w:szCs w:val="18"/>
                      <w:lang w:eastAsia="pl-PL"/>
                    </w:rPr>
                    <w:t>Poziom e-dojrzałości</w:t>
                  </w:r>
                </w:p>
              </w:tc>
              <w:tc>
                <w:tcPr>
                  <w:tcW w:w="2404" w:type="dxa"/>
                </w:tcPr>
                <w:p w:rsidR="00BE4D0D" w:rsidRDefault="00BE4D0D" w:rsidP="00351679">
                  <w:pPr>
                    <w:jc w:val="center"/>
                    <w:rPr>
                      <w:rFonts w:ascii="Calibri" w:hAnsi="Calibri" w:cs="Arial"/>
                      <w:b/>
                      <w:bCs/>
                      <w:sz w:val="18"/>
                      <w:szCs w:val="18"/>
                      <w:lang w:eastAsia="pl-PL"/>
                    </w:rPr>
                  </w:pPr>
                  <w:r w:rsidRPr="00BE4D0D">
                    <w:rPr>
                      <w:rFonts w:ascii="Calibri" w:hAnsi="Calibri" w:cs="Arial"/>
                      <w:b/>
                      <w:bCs/>
                      <w:sz w:val="18"/>
                      <w:szCs w:val="18"/>
                      <w:lang w:eastAsia="pl-PL"/>
                    </w:rPr>
                    <w:t>Opis zmian</w:t>
                  </w:r>
                </w:p>
              </w:tc>
            </w:tr>
            <w:tr w:rsidR="00BE4D0D" w:rsidTr="00351679">
              <w:tc>
                <w:tcPr>
                  <w:tcW w:w="1682" w:type="dxa"/>
                  <w:vAlign w:val="center"/>
                </w:tcPr>
                <w:p w:rsidR="00BE4D0D" w:rsidRDefault="00BE4D0D" w:rsidP="0081393B">
                  <w:pPr>
                    <w:rPr>
                      <w:bCs/>
                      <w:sz w:val="18"/>
                      <w:szCs w:val="20"/>
                    </w:rPr>
                  </w:pPr>
                  <w:r>
                    <w:rPr>
                      <w:rFonts w:ascii="Calibri" w:hAnsi="Calibri" w:cs="Arial"/>
                      <w:b/>
                      <w:bCs/>
                      <w:sz w:val="18"/>
                      <w:szCs w:val="18"/>
                      <w:lang w:eastAsia="pl-PL"/>
                    </w:rPr>
                    <w:t>Moduł ostrzeżeń i powiadomień</w:t>
                  </w:r>
                </w:p>
              </w:tc>
              <w:tc>
                <w:tcPr>
                  <w:tcW w:w="1426" w:type="dxa"/>
                  <w:vAlign w:val="center"/>
                </w:tcPr>
                <w:p w:rsidR="00BE4D0D" w:rsidRDefault="00BE4D0D" w:rsidP="0081393B">
                  <w:pPr>
                    <w:jc w:val="both"/>
                    <w:rPr>
                      <w:bCs/>
                      <w:sz w:val="18"/>
                      <w:szCs w:val="20"/>
                    </w:rPr>
                  </w:pPr>
                  <w:r>
                    <w:rPr>
                      <w:rFonts w:ascii="Calibri" w:hAnsi="Calibri" w:cs="Arial"/>
                      <w:sz w:val="18"/>
                      <w:szCs w:val="18"/>
                      <w:lang w:eastAsia="pl-PL"/>
                    </w:rPr>
                    <w:t>W systemie ISOK będzie możliwość wysłania wiadomości e-mail i sms, które zawierać będą informację o zagrożeniu na danym obszarze.</w:t>
                  </w:r>
                </w:p>
              </w:tc>
              <w:tc>
                <w:tcPr>
                  <w:tcW w:w="1172" w:type="dxa"/>
                  <w:vAlign w:val="center"/>
                </w:tcPr>
                <w:p w:rsidR="00BE4D0D" w:rsidRDefault="00BE4D0D" w:rsidP="0081393B">
                  <w:pPr>
                    <w:jc w:val="both"/>
                    <w:rPr>
                      <w:bCs/>
                      <w:sz w:val="18"/>
                      <w:szCs w:val="20"/>
                    </w:rPr>
                  </w:pPr>
                  <w:r>
                    <w:rPr>
                      <w:rFonts w:ascii="Calibri" w:hAnsi="Calibri" w:cs="Arial"/>
                      <w:sz w:val="18"/>
                      <w:szCs w:val="18"/>
                      <w:lang w:eastAsia="pl-PL"/>
                    </w:rPr>
                    <w:t>Przeprowadzenie pełnej transakcji „on-line”</w:t>
                  </w:r>
                </w:p>
              </w:tc>
              <w:tc>
                <w:tcPr>
                  <w:tcW w:w="2404" w:type="dxa"/>
                </w:tcPr>
                <w:p w:rsidR="00351679" w:rsidRPr="00351679" w:rsidRDefault="00351679" w:rsidP="00351679">
                  <w:pPr>
                    <w:jc w:val="both"/>
                    <w:rPr>
                      <w:rFonts w:ascii="Calibri" w:hAnsi="Calibri" w:cs="Arial"/>
                      <w:sz w:val="18"/>
                      <w:szCs w:val="18"/>
                      <w:lang w:eastAsia="pl-PL"/>
                    </w:rPr>
                  </w:pPr>
                  <w:r>
                    <w:rPr>
                      <w:rFonts w:ascii="Calibri" w:hAnsi="Calibri" w:cs="Arial"/>
                      <w:sz w:val="18"/>
                      <w:szCs w:val="18"/>
                      <w:lang w:eastAsia="pl-PL"/>
                    </w:rPr>
                    <w:t>Z</w:t>
                  </w:r>
                  <w:r w:rsidRPr="00351679">
                    <w:rPr>
                      <w:rFonts w:ascii="Calibri" w:hAnsi="Calibri" w:cs="Arial"/>
                      <w:sz w:val="18"/>
                      <w:szCs w:val="18"/>
                      <w:lang w:eastAsia="pl-PL"/>
                    </w:rPr>
                    <w:t xml:space="preserve">astąpienie kanału dystrybucji SMS (wiadomość tekstowa) metodą </w:t>
                  </w:r>
                  <w:proofErr w:type="spellStart"/>
                  <w:r w:rsidRPr="00351679">
                    <w:rPr>
                      <w:rFonts w:ascii="Calibri" w:hAnsi="Calibri" w:cs="Arial"/>
                      <w:sz w:val="18"/>
                      <w:szCs w:val="18"/>
                      <w:lang w:eastAsia="pl-PL"/>
                    </w:rPr>
                    <w:t>Push</w:t>
                  </w:r>
                  <w:proofErr w:type="spellEnd"/>
                  <w:r w:rsidRPr="00351679">
                    <w:rPr>
                      <w:rFonts w:ascii="Calibri" w:hAnsi="Calibri" w:cs="Arial"/>
                      <w:sz w:val="18"/>
                      <w:szCs w:val="18"/>
                      <w:lang w:eastAsia="pl-PL"/>
                    </w:rPr>
                    <w:t xml:space="preserve"> Notification wynika z ustaleń analitycznych, przy czym subskrypcja obszaru powiadomienia odbywać się będzie w 2 trybach:</w:t>
                  </w:r>
                </w:p>
                <w:p w:rsidR="00351679" w:rsidRPr="00351679" w:rsidRDefault="00351679" w:rsidP="00351679">
                  <w:pPr>
                    <w:jc w:val="both"/>
                    <w:rPr>
                      <w:rFonts w:ascii="Calibri" w:hAnsi="Calibri" w:cs="Arial"/>
                      <w:sz w:val="18"/>
                      <w:szCs w:val="18"/>
                      <w:lang w:eastAsia="pl-PL"/>
                    </w:rPr>
                  </w:pPr>
                  <w:r w:rsidRPr="00351679">
                    <w:rPr>
                      <w:rFonts w:ascii="Calibri" w:hAnsi="Calibri" w:cs="Arial"/>
                      <w:sz w:val="18"/>
                      <w:szCs w:val="18"/>
                      <w:lang w:eastAsia="pl-PL"/>
                    </w:rPr>
                    <w:t xml:space="preserve">- automatyczne określenie powiatu na podstawie lokalizacji urządzenia mobilnego (powiadomienie obszarowe w miejsce Cell </w:t>
                  </w:r>
                  <w:proofErr w:type="spellStart"/>
                  <w:r w:rsidRPr="00351679">
                    <w:rPr>
                      <w:rFonts w:ascii="Calibri" w:hAnsi="Calibri" w:cs="Arial"/>
                      <w:sz w:val="18"/>
                      <w:szCs w:val="18"/>
                      <w:lang w:eastAsia="pl-PL"/>
                    </w:rPr>
                    <w:t>Broadcasting</w:t>
                  </w:r>
                  <w:proofErr w:type="spellEnd"/>
                  <w:r w:rsidRPr="00351679">
                    <w:rPr>
                      <w:rFonts w:ascii="Calibri" w:hAnsi="Calibri" w:cs="Arial"/>
                      <w:sz w:val="18"/>
                      <w:szCs w:val="18"/>
                      <w:lang w:eastAsia="pl-PL"/>
                    </w:rPr>
                    <w:t>),</w:t>
                  </w:r>
                </w:p>
                <w:p w:rsidR="00351679" w:rsidRPr="00351679" w:rsidRDefault="00351679" w:rsidP="00351679">
                  <w:pPr>
                    <w:jc w:val="both"/>
                    <w:rPr>
                      <w:rFonts w:ascii="Calibri" w:hAnsi="Calibri" w:cs="Arial"/>
                      <w:sz w:val="18"/>
                      <w:szCs w:val="18"/>
                      <w:lang w:eastAsia="pl-PL"/>
                    </w:rPr>
                  </w:pPr>
                  <w:r w:rsidRPr="00351679">
                    <w:rPr>
                      <w:rFonts w:ascii="Calibri" w:hAnsi="Calibri" w:cs="Arial"/>
                      <w:sz w:val="18"/>
                      <w:szCs w:val="18"/>
                      <w:lang w:eastAsia="pl-PL"/>
                    </w:rPr>
                    <w:t>- określenie konkretnego powiatu/województwa przez użytkownika aplikacji mobilnej (powiadomienie standardowe w miejsce wiadomości SMS).</w:t>
                  </w:r>
                </w:p>
                <w:p w:rsidR="00BE4D0D" w:rsidRDefault="00351679" w:rsidP="00351679">
                  <w:pPr>
                    <w:jc w:val="both"/>
                    <w:rPr>
                      <w:rFonts w:ascii="Calibri" w:hAnsi="Calibri" w:cs="Arial"/>
                      <w:sz w:val="18"/>
                      <w:szCs w:val="18"/>
                      <w:lang w:eastAsia="pl-PL"/>
                    </w:rPr>
                  </w:pPr>
                  <w:r w:rsidRPr="00351679">
                    <w:rPr>
                      <w:rFonts w:ascii="Calibri" w:hAnsi="Calibri" w:cs="Arial"/>
                      <w:sz w:val="18"/>
                      <w:szCs w:val="18"/>
                      <w:lang w:eastAsia="pl-PL"/>
                    </w:rPr>
                    <w:t>Zmiana istotna z uwagi na koszty, które musiałoby ponosić IMGW w celu dystrybucji wiadomości SMS.</w:t>
                  </w:r>
                </w:p>
              </w:tc>
            </w:tr>
            <w:tr w:rsidR="00BE4D0D" w:rsidTr="00351679">
              <w:tc>
                <w:tcPr>
                  <w:tcW w:w="1682" w:type="dxa"/>
                  <w:vAlign w:val="center"/>
                </w:tcPr>
                <w:p w:rsidR="00BE4D0D" w:rsidRDefault="00BE4D0D" w:rsidP="0081393B">
                  <w:pPr>
                    <w:rPr>
                      <w:bCs/>
                      <w:sz w:val="18"/>
                      <w:szCs w:val="20"/>
                    </w:rPr>
                  </w:pPr>
                  <w:r>
                    <w:rPr>
                      <w:rFonts w:ascii="Calibri" w:hAnsi="Calibri" w:cs="Arial"/>
                      <w:b/>
                      <w:bCs/>
                      <w:sz w:val="18"/>
                      <w:szCs w:val="18"/>
                      <w:lang w:eastAsia="pl-PL"/>
                    </w:rPr>
                    <w:t xml:space="preserve">Dostęp do zbioru danych przestrzennych: Wstępna Ocena Ryzyka Powodziowego, Mapa Zagrożenia Powodziowego, Mapa Ryzyka Powodziowego, </w:t>
                  </w:r>
                  <w:proofErr w:type="spellStart"/>
                  <w:r>
                    <w:rPr>
                      <w:rFonts w:ascii="Calibri" w:hAnsi="Calibri" w:cs="Arial"/>
                      <w:b/>
                      <w:bCs/>
                      <w:sz w:val="18"/>
                      <w:szCs w:val="18"/>
                      <w:lang w:eastAsia="pl-PL"/>
                    </w:rPr>
                    <w:t>Georeferencyjna</w:t>
                  </w:r>
                  <w:proofErr w:type="spellEnd"/>
                  <w:r>
                    <w:rPr>
                      <w:rFonts w:ascii="Calibri" w:hAnsi="Calibri" w:cs="Arial"/>
                      <w:b/>
                      <w:bCs/>
                      <w:sz w:val="18"/>
                      <w:szCs w:val="18"/>
                      <w:lang w:eastAsia="pl-PL"/>
                    </w:rPr>
                    <w:t xml:space="preserve"> Baza Obiektów Topograficznych, mapy zagrożeń meteorologicznych, mapy innych zagrożeń, Mapa Podziału Hydrograficznego Polski</w:t>
                  </w:r>
                </w:p>
              </w:tc>
              <w:tc>
                <w:tcPr>
                  <w:tcW w:w="1426" w:type="dxa"/>
                  <w:vAlign w:val="center"/>
                </w:tcPr>
                <w:p w:rsidR="00BE4D0D" w:rsidRDefault="00BE4D0D" w:rsidP="0081393B">
                  <w:pPr>
                    <w:jc w:val="both"/>
                    <w:rPr>
                      <w:bCs/>
                      <w:sz w:val="18"/>
                      <w:szCs w:val="20"/>
                    </w:rPr>
                  </w:pPr>
                  <w:r>
                    <w:rPr>
                      <w:bCs/>
                      <w:sz w:val="18"/>
                      <w:szCs w:val="20"/>
                    </w:rPr>
                    <w:t>Dostęp poprzez usługę</w:t>
                  </w:r>
                  <w:r>
                    <w:rPr>
                      <w:bCs/>
                      <w:sz w:val="18"/>
                      <w:szCs w:val="20"/>
                    </w:rPr>
                    <w:tab/>
                    <w:t>Web Map Service (WMS) wystawianą poprzez platformę ISOK</w:t>
                  </w:r>
                </w:p>
              </w:tc>
              <w:tc>
                <w:tcPr>
                  <w:tcW w:w="1172" w:type="dxa"/>
                  <w:vAlign w:val="center"/>
                </w:tcPr>
                <w:p w:rsidR="00BE4D0D" w:rsidRDefault="00BE4D0D" w:rsidP="0081393B">
                  <w:pPr>
                    <w:jc w:val="both"/>
                    <w:rPr>
                      <w:bCs/>
                      <w:sz w:val="18"/>
                      <w:szCs w:val="20"/>
                    </w:rPr>
                  </w:pPr>
                  <w:r>
                    <w:rPr>
                      <w:rFonts w:ascii="Calibri" w:hAnsi="Calibri" w:cs="Arial"/>
                      <w:sz w:val="18"/>
                      <w:szCs w:val="18"/>
                      <w:lang w:eastAsia="pl-PL"/>
                    </w:rPr>
                    <w:t>Interakcja jednostronna</w:t>
                  </w:r>
                </w:p>
              </w:tc>
              <w:tc>
                <w:tcPr>
                  <w:tcW w:w="2404" w:type="dxa"/>
                </w:tcPr>
                <w:p w:rsidR="00BE4D0D" w:rsidRDefault="00BE4D0D" w:rsidP="0081393B">
                  <w:pPr>
                    <w:jc w:val="both"/>
                    <w:rPr>
                      <w:rFonts w:ascii="Calibri" w:hAnsi="Calibri" w:cs="Arial"/>
                      <w:sz w:val="18"/>
                      <w:szCs w:val="18"/>
                      <w:lang w:eastAsia="pl-PL"/>
                    </w:rPr>
                  </w:pPr>
                </w:p>
              </w:tc>
            </w:tr>
            <w:tr w:rsidR="00BE4D0D" w:rsidTr="00351679">
              <w:tc>
                <w:tcPr>
                  <w:tcW w:w="1682" w:type="dxa"/>
                  <w:vAlign w:val="center"/>
                </w:tcPr>
                <w:p w:rsidR="00BE4D0D" w:rsidRDefault="00BE4D0D" w:rsidP="0081393B">
                  <w:pPr>
                    <w:rPr>
                      <w:rFonts w:ascii="Calibri" w:hAnsi="Calibri" w:cs="Arial"/>
                      <w:b/>
                      <w:bCs/>
                      <w:sz w:val="18"/>
                      <w:szCs w:val="18"/>
                      <w:lang w:eastAsia="pl-PL"/>
                    </w:rPr>
                  </w:pPr>
                  <w:r>
                    <w:rPr>
                      <w:rFonts w:ascii="Calibri" w:hAnsi="Calibri" w:cs="Arial"/>
                      <w:b/>
                      <w:bCs/>
                      <w:sz w:val="18"/>
                      <w:szCs w:val="18"/>
                      <w:lang w:eastAsia="pl-PL"/>
                    </w:rPr>
                    <w:t>Dostęp do danych publikacyjnych z zakresu gospodarowania wodami, zagregowanych dla całego kraju</w:t>
                  </w:r>
                </w:p>
              </w:tc>
              <w:tc>
                <w:tcPr>
                  <w:tcW w:w="1426" w:type="dxa"/>
                  <w:vAlign w:val="center"/>
                </w:tcPr>
                <w:p w:rsidR="00BE4D0D" w:rsidRDefault="00BE4D0D" w:rsidP="0081393B">
                  <w:pPr>
                    <w:jc w:val="both"/>
                    <w:rPr>
                      <w:bCs/>
                      <w:sz w:val="18"/>
                      <w:szCs w:val="20"/>
                    </w:rPr>
                  </w:pPr>
                  <w:r>
                    <w:rPr>
                      <w:bCs/>
                      <w:sz w:val="18"/>
                      <w:szCs w:val="20"/>
                    </w:rPr>
                    <w:t xml:space="preserve">Dostęp poprzez portal – </w:t>
                  </w:r>
                  <w:proofErr w:type="spellStart"/>
                  <w:r>
                    <w:rPr>
                      <w:bCs/>
                      <w:sz w:val="18"/>
                      <w:szCs w:val="20"/>
                    </w:rPr>
                    <w:t>Hydroportal</w:t>
                  </w:r>
                  <w:proofErr w:type="spellEnd"/>
                </w:p>
              </w:tc>
              <w:tc>
                <w:tcPr>
                  <w:tcW w:w="1172" w:type="dxa"/>
                  <w:vAlign w:val="center"/>
                </w:tcPr>
                <w:p w:rsidR="00BE4D0D" w:rsidRDefault="00BE4D0D" w:rsidP="0081393B">
                  <w:pPr>
                    <w:jc w:val="both"/>
                    <w:rPr>
                      <w:rFonts w:ascii="Calibri" w:hAnsi="Calibri" w:cs="Arial"/>
                      <w:sz w:val="18"/>
                      <w:szCs w:val="18"/>
                      <w:lang w:eastAsia="pl-PL"/>
                    </w:rPr>
                  </w:pPr>
                  <w:r>
                    <w:rPr>
                      <w:rFonts w:ascii="Calibri" w:hAnsi="Calibri" w:cs="Arial"/>
                      <w:sz w:val="18"/>
                      <w:szCs w:val="18"/>
                      <w:lang w:eastAsia="pl-PL"/>
                    </w:rPr>
                    <w:t>Informacja</w:t>
                  </w:r>
                </w:p>
              </w:tc>
              <w:tc>
                <w:tcPr>
                  <w:tcW w:w="2404" w:type="dxa"/>
                </w:tcPr>
                <w:p w:rsidR="00BE4D0D" w:rsidRDefault="00BE4D0D" w:rsidP="0081393B">
                  <w:pPr>
                    <w:jc w:val="both"/>
                    <w:rPr>
                      <w:rFonts w:ascii="Calibri" w:hAnsi="Calibri" w:cs="Arial"/>
                      <w:sz w:val="18"/>
                      <w:szCs w:val="18"/>
                      <w:lang w:eastAsia="pl-PL"/>
                    </w:rPr>
                  </w:pPr>
                </w:p>
              </w:tc>
            </w:tr>
            <w:tr w:rsidR="00BE4D0D" w:rsidTr="00351679">
              <w:tc>
                <w:tcPr>
                  <w:tcW w:w="1682" w:type="dxa"/>
                  <w:vAlign w:val="center"/>
                </w:tcPr>
                <w:p w:rsidR="00BE4D0D" w:rsidRDefault="00BE4D0D" w:rsidP="0081393B">
                  <w:pPr>
                    <w:rPr>
                      <w:rFonts w:ascii="Calibri" w:hAnsi="Calibri" w:cs="Arial"/>
                      <w:b/>
                      <w:bCs/>
                      <w:sz w:val="18"/>
                      <w:szCs w:val="18"/>
                      <w:lang w:eastAsia="pl-PL"/>
                    </w:rPr>
                  </w:pPr>
                  <w:r>
                    <w:rPr>
                      <w:rFonts w:ascii="Calibri" w:hAnsi="Calibri" w:cs="Arial"/>
                      <w:b/>
                      <w:bCs/>
                      <w:sz w:val="18"/>
                      <w:szCs w:val="18"/>
                      <w:lang w:eastAsia="pl-PL"/>
                    </w:rPr>
                    <w:t xml:space="preserve">Wgląd do wybranych </w:t>
                  </w:r>
                  <w:r>
                    <w:rPr>
                      <w:rFonts w:ascii="Calibri" w:hAnsi="Calibri" w:cs="Arial"/>
                      <w:b/>
                      <w:bCs/>
                      <w:sz w:val="18"/>
                      <w:szCs w:val="18"/>
                      <w:lang w:eastAsia="pl-PL"/>
                    </w:rPr>
                    <w:lastRenderedPageBreak/>
                    <w:t>zasobów katastru wodnego bez możliwości eksportu</w:t>
                  </w:r>
                </w:p>
              </w:tc>
              <w:tc>
                <w:tcPr>
                  <w:tcW w:w="1426" w:type="dxa"/>
                  <w:vAlign w:val="center"/>
                </w:tcPr>
                <w:p w:rsidR="00BE4D0D" w:rsidRDefault="00BE4D0D" w:rsidP="0081393B">
                  <w:pPr>
                    <w:jc w:val="both"/>
                    <w:rPr>
                      <w:bCs/>
                      <w:sz w:val="18"/>
                      <w:szCs w:val="20"/>
                    </w:rPr>
                  </w:pPr>
                  <w:r>
                    <w:rPr>
                      <w:bCs/>
                      <w:sz w:val="18"/>
                      <w:szCs w:val="20"/>
                    </w:rPr>
                    <w:lastRenderedPageBreak/>
                    <w:t xml:space="preserve">Dostęp poprzez portal – </w:t>
                  </w:r>
                  <w:proofErr w:type="spellStart"/>
                  <w:r>
                    <w:rPr>
                      <w:bCs/>
                      <w:sz w:val="18"/>
                      <w:szCs w:val="20"/>
                    </w:rPr>
                    <w:lastRenderedPageBreak/>
                    <w:t>Hydroportal</w:t>
                  </w:r>
                  <w:proofErr w:type="spellEnd"/>
                </w:p>
              </w:tc>
              <w:tc>
                <w:tcPr>
                  <w:tcW w:w="1172" w:type="dxa"/>
                  <w:vAlign w:val="center"/>
                </w:tcPr>
                <w:p w:rsidR="00BE4D0D" w:rsidRDefault="00BE4D0D" w:rsidP="0081393B">
                  <w:pPr>
                    <w:jc w:val="both"/>
                    <w:rPr>
                      <w:rFonts w:ascii="Calibri" w:hAnsi="Calibri" w:cs="Arial"/>
                      <w:sz w:val="18"/>
                      <w:szCs w:val="18"/>
                      <w:lang w:eastAsia="pl-PL"/>
                    </w:rPr>
                  </w:pPr>
                  <w:r>
                    <w:rPr>
                      <w:rFonts w:ascii="Calibri" w:hAnsi="Calibri" w:cs="Arial"/>
                      <w:sz w:val="18"/>
                      <w:szCs w:val="18"/>
                      <w:lang w:eastAsia="pl-PL"/>
                    </w:rPr>
                    <w:lastRenderedPageBreak/>
                    <w:t>Informacja</w:t>
                  </w:r>
                </w:p>
              </w:tc>
              <w:tc>
                <w:tcPr>
                  <w:tcW w:w="2404" w:type="dxa"/>
                </w:tcPr>
                <w:p w:rsidR="00BE4D0D" w:rsidRDefault="00BE4D0D" w:rsidP="0081393B">
                  <w:pPr>
                    <w:jc w:val="both"/>
                    <w:rPr>
                      <w:rFonts w:ascii="Calibri" w:hAnsi="Calibri" w:cs="Arial"/>
                      <w:sz w:val="18"/>
                      <w:szCs w:val="18"/>
                      <w:lang w:eastAsia="pl-PL"/>
                    </w:rPr>
                  </w:pPr>
                </w:p>
              </w:tc>
            </w:tr>
            <w:tr w:rsidR="00BE4D0D" w:rsidTr="00351679">
              <w:tc>
                <w:tcPr>
                  <w:tcW w:w="1682" w:type="dxa"/>
                  <w:vAlign w:val="center"/>
                </w:tcPr>
                <w:p w:rsidR="00BE4D0D" w:rsidRDefault="00BE4D0D" w:rsidP="0081393B">
                  <w:pPr>
                    <w:rPr>
                      <w:rFonts w:ascii="Calibri" w:hAnsi="Calibri" w:cs="Arial"/>
                      <w:b/>
                      <w:bCs/>
                      <w:sz w:val="18"/>
                      <w:szCs w:val="18"/>
                      <w:lang w:eastAsia="pl-PL"/>
                    </w:rPr>
                  </w:pPr>
                  <w:r>
                    <w:rPr>
                      <w:rFonts w:ascii="Calibri" w:hAnsi="Calibri" w:cs="Arial"/>
                      <w:b/>
                      <w:bCs/>
                      <w:sz w:val="18"/>
                      <w:szCs w:val="18"/>
                      <w:lang w:eastAsia="pl-PL"/>
                    </w:rPr>
                    <w:t>Dostęp do katalogu metadanych</w:t>
                  </w:r>
                </w:p>
              </w:tc>
              <w:tc>
                <w:tcPr>
                  <w:tcW w:w="1426" w:type="dxa"/>
                  <w:vAlign w:val="center"/>
                </w:tcPr>
                <w:p w:rsidR="00BE4D0D" w:rsidRDefault="00BE4D0D" w:rsidP="0081393B">
                  <w:pPr>
                    <w:jc w:val="both"/>
                    <w:rPr>
                      <w:bCs/>
                      <w:sz w:val="18"/>
                      <w:szCs w:val="20"/>
                    </w:rPr>
                  </w:pPr>
                  <w:r>
                    <w:rPr>
                      <w:bCs/>
                      <w:sz w:val="18"/>
                      <w:szCs w:val="20"/>
                    </w:rPr>
                    <w:t xml:space="preserve">Dostęp poprzez portal – </w:t>
                  </w:r>
                  <w:proofErr w:type="spellStart"/>
                  <w:r>
                    <w:rPr>
                      <w:bCs/>
                      <w:sz w:val="18"/>
                      <w:szCs w:val="20"/>
                    </w:rPr>
                    <w:t>Hydroportal</w:t>
                  </w:r>
                  <w:proofErr w:type="spellEnd"/>
                </w:p>
              </w:tc>
              <w:tc>
                <w:tcPr>
                  <w:tcW w:w="1172" w:type="dxa"/>
                  <w:vAlign w:val="center"/>
                </w:tcPr>
                <w:p w:rsidR="00BE4D0D" w:rsidRDefault="00BE4D0D" w:rsidP="0081393B">
                  <w:pPr>
                    <w:jc w:val="both"/>
                    <w:rPr>
                      <w:rFonts w:ascii="Calibri" w:hAnsi="Calibri" w:cs="Arial"/>
                      <w:sz w:val="18"/>
                      <w:szCs w:val="18"/>
                      <w:lang w:eastAsia="pl-PL"/>
                    </w:rPr>
                  </w:pPr>
                  <w:r>
                    <w:rPr>
                      <w:rFonts w:ascii="Calibri" w:hAnsi="Calibri" w:cs="Arial"/>
                      <w:sz w:val="18"/>
                      <w:szCs w:val="18"/>
                      <w:lang w:eastAsia="pl-PL"/>
                    </w:rPr>
                    <w:t>Informacja</w:t>
                  </w:r>
                </w:p>
              </w:tc>
              <w:tc>
                <w:tcPr>
                  <w:tcW w:w="2404" w:type="dxa"/>
                </w:tcPr>
                <w:p w:rsidR="00BE4D0D" w:rsidRDefault="00BE4D0D" w:rsidP="0081393B">
                  <w:pPr>
                    <w:jc w:val="both"/>
                    <w:rPr>
                      <w:rFonts w:ascii="Calibri" w:hAnsi="Calibri" w:cs="Arial"/>
                      <w:sz w:val="18"/>
                      <w:szCs w:val="18"/>
                      <w:lang w:eastAsia="pl-PL"/>
                    </w:rPr>
                  </w:pPr>
                </w:p>
              </w:tc>
            </w:tr>
            <w:tr w:rsidR="00BE4D0D" w:rsidTr="00351679">
              <w:tc>
                <w:tcPr>
                  <w:tcW w:w="1682" w:type="dxa"/>
                  <w:vAlign w:val="center"/>
                </w:tcPr>
                <w:p w:rsidR="00BE4D0D" w:rsidRDefault="00BE4D0D" w:rsidP="0081393B">
                  <w:pPr>
                    <w:rPr>
                      <w:rFonts w:ascii="Calibri" w:hAnsi="Calibri" w:cs="Arial"/>
                      <w:b/>
                      <w:bCs/>
                      <w:sz w:val="18"/>
                      <w:szCs w:val="18"/>
                      <w:lang w:eastAsia="pl-PL"/>
                    </w:rPr>
                  </w:pPr>
                  <w:r>
                    <w:rPr>
                      <w:rFonts w:ascii="Calibri" w:hAnsi="Calibri" w:cs="Arial"/>
                      <w:b/>
                      <w:bCs/>
                      <w:sz w:val="18"/>
                      <w:szCs w:val="18"/>
                      <w:lang w:eastAsia="pl-PL"/>
                    </w:rPr>
                    <w:t>Wyszukiwanie danych przestrzennych po: metadanych, słowach kluczowych, atrybutach, kryteriach przestrzennych</w:t>
                  </w:r>
                </w:p>
              </w:tc>
              <w:tc>
                <w:tcPr>
                  <w:tcW w:w="1426" w:type="dxa"/>
                  <w:vAlign w:val="center"/>
                </w:tcPr>
                <w:p w:rsidR="00BE4D0D" w:rsidRDefault="00BE4D0D" w:rsidP="0081393B">
                  <w:pPr>
                    <w:jc w:val="both"/>
                    <w:rPr>
                      <w:bCs/>
                      <w:sz w:val="18"/>
                      <w:szCs w:val="20"/>
                    </w:rPr>
                  </w:pPr>
                  <w:r>
                    <w:rPr>
                      <w:bCs/>
                      <w:sz w:val="18"/>
                      <w:szCs w:val="20"/>
                    </w:rPr>
                    <w:t xml:space="preserve">Dostęp poprzez portal – </w:t>
                  </w:r>
                  <w:proofErr w:type="spellStart"/>
                  <w:r>
                    <w:rPr>
                      <w:bCs/>
                      <w:sz w:val="18"/>
                      <w:szCs w:val="20"/>
                    </w:rPr>
                    <w:t>Hydroportal</w:t>
                  </w:r>
                  <w:proofErr w:type="spellEnd"/>
                </w:p>
              </w:tc>
              <w:tc>
                <w:tcPr>
                  <w:tcW w:w="1172" w:type="dxa"/>
                  <w:vAlign w:val="center"/>
                </w:tcPr>
                <w:p w:rsidR="00BE4D0D" w:rsidRDefault="00BE4D0D" w:rsidP="0081393B">
                  <w:pPr>
                    <w:jc w:val="both"/>
                    <w:rPr>
                      <w:rFonts w:ascii="Calibri" w:hAnsi="Calibri" w:cs="Arial"/>
                      <w:sz w:val="18"/>
                      <w:szCs w:val="18"/>
                      <w:lang w:eastAsia="pl-PL"/>
                    </w:rPr>
                  </w:pPr>
                  <w:r>
                    <w:rPr>
                      <w:rFonts w:ascii="Calibri" w:hAnsi="Calibri" w:cs="Arial"/>
                      <w:sz w:val="18"/>
                      <w:szCs w:val="18"/>
                      <w:lang w:eastAsia="pl-PL"/>
                    </w:rPr>
                    <w:t xml:space="preserve">Interakcja </w:t>
                  </w:r>
                  <w:proofErr w:type="spellStart"/>
                  <w:r>
                    <w:rPr>
                      <w:rFonts w:ascii="Calibri" w:hAnsi="Calibri" w:cs="Arial"/>
                      <w:sz w:val="18"/>
                      <w:szCs w:val="18"/>
                      <w:lang w:eastAsia="pl-PL"/>
                    </w:rPr>
                    <w:t>jednostonna</w:t>
                  </w:r>
                  <w:proofErr w:type="spellEnd"/>
                </w:p>
              </w:tc>
              <w:tc>
                <w:tcPr>
                  <w:tcW w:w="2404" w:type="dxa"/>
                </w:tcPr>
                <w:p w:rsidR="00BE4D0D" w:rsidRDefault="00BE4D0D" w:rsidP="0081393B">
                  <w:pPr>
                    <w:jc w:val="both"/>
                    <w:rPr>
                      <w:rFonts w:ascii="Calibri" w:hAnsi="Calibri" w:cs="Arial"/>
                      <w:sz w:val="18"/>
                      <w:szCs w:val="18"/>
                      <w:lang w:eastAsia="pl-PL"/>
                    </w:rPr>
                  </w:pPr>
                </w:p>
              </w:tc>
            </w:tr>
            <w:tr w:rsidR="00BE4D0D" w:rsidTr="00351679">
              <w:tc>
                <w:tcPr>
                  <w:tcW w:w="1682" w:type="dxa"/>
                  <w:vAlign w:val="center"/>
                </w:tcPr>
                <w:p w:rsidR="00BE4D0D" w:rsidRDefault="00BE4D0D" w:rsidP="0081393B">
                  <w:pPr>
                    <w:rPr>
                      <w:rFonts w:ascii="Calibri" w:hAnsi="Calibri" w:cs="Arial"/>
                      <w:b/>
                      <w:bCs/>
                      <w:sz w:val="18"/>
                      <w:szCs w:val="18"/>
                      <w:lang w:eastAsia="pl-PL"/>
                    </w:rPr>
                  </w:pPr>
                  <w:r>
                    <w:rPr>
                      <w:rFonts w:ascii="Calibri" w:hAnsi="Calibri" w:cs="Arial"/>
                      <w:b/>
                      <w:bCs/>
                      <w:sz w:val="18"/>
                      <w:szCs w:val="18"/>
                      <w:lang w:eastAsia="pl-PL"/>
                    </w:rPr>
                    <w:t>Szkolenia e-learningowe</w:t>
                  </w:r>
                </w:p>
              </w:tc>
              <w:tc>
                <w:tcPr>
                  <w:tcW w:w="1426" w:type="dxa"/>
                  <w:vAlign w:val="center"/>
                </w:tcPr>
                <w:p w:rsidR="00BE4D0D" w:rsidRDefault="00BE4D0D" w:rsidP="0081393B">
                  <w:pPr>
                    <w:jc w:val="both"/>
                    <w:rPr>
                      <w:bCs/>
                      <w:sz w:val="18"/>
                      <w:szCs w:val="20"/>
                    </w:rPr>
                  </w:pPr>
                  <w:r>
                    <w:rPr>
                      <w:bCs/>
                      <w:sz w:val="18"/>
                      <w:szCs w:val="20"/>
                    </w:rPr>
                    <w:t>Dostęp poprzez portal ISOK</w:t>
                  </w:r>
                </w:p>
              </w:tc>
              <w:tc>
                <w:tcPr>
                  <w:tcW w:w="1172" w:type="dxa"/>
                  <w:vAlign w:val="center"/>
                </w:tcPr>
                <w:p w:rsidR="00BE4D0D" w:rsidRDefault="00BE4D0D" w:rsidP="0081393B">
                  <w:pPr>
                    <w:jc w:val="both"/>
                    <w:rPr>
                      <w:rFonts w:ascii="Calibri" w:hAnsi="Calibri" w:cs="Arial"/>
                      <w:sz w:val="18"/>
                      <w:szCs w:val="18"/>
                      <w:lang w:eastAsia="pl-PL"/>
                    </w:rPr>
                  </w:pPr>
                  <w:r>
                    <w:rPr>
                      <w:rFonts w:ascii="Calibri" w:hAnsi="Calibri" w:cs="Arial"/>
                      <w:sz w:val="18"/>
                      <w:szCs w:val="18"/>
                      <w:lang w:eastAsia="pl-PL"/>
                    </w:rPr>
                    <w:t>Przeprowadzenie pełnej transakcji „on-line”</w:t>
                  </w:r>
                </w:p>
              </w:tc>
              <w:tc>
                <w:tcPr>
                  <w:tcW w:w="2404" w:type="dxa"/>
                </w:tcPr>
                <w:p w:rsidR="00BE4D0D" w:rsidRDefault="00BE4D0D" w:rsidP="0081393B">
                  <w:pPr>
                    <w:jc w:val="both"/>
                    <w:rPr>
                      <w:rFonts w:ascii="Calibri" w:hAnsi="Calibri" w:cs="Arial"/>
                      <w:sz w:val="18"/>
                      <w:szCs w:val="18"/>
                      <w:lang w:eastAsia="pl-PL"/>
                    </w:rPr>
                  </w:pPr>
                </w:p>
              </w:tc>
            </w:tr>
            <w:tr w:rsidR="00BE4D0D" w:rsidTr="00351679">
              <w:tc>
                <w:tcPr>
                  <w:tcW w:w="1682" w:type="dxa"/>
                  <w:vAlign w:val="center"/>
                </w:tcPr>
                <w:p w:rsidR="00BE4D0D" w:rsidRDefault="00BE4D0D" w:rsidP="0081393B">
                  <w:pPr>
                    <w:rPr>
                      <w:rFonts w:ascii="Calibri" w:hAnsi="Calibri" w:cs="Arial"/>
                      <w:b/>
                      <w:bCs/>
                      <w:sz w:val="18"/>
                      <w:szCs w:val="18"/>
                      <w:lang w:eastAsia="pl-PL"/>
                    </w:rPr>
                  </w:pPr>
                  <w:r>
                    <w:rPr>
                      <w:rFonts w:ascii="Calibri" w:hAnsi="Calibri" w:cs="Arial"/>
                      <w:b/>
                      <w:bCs/>
                      <w:sz w:val="18"/>
                      <w:szCs w:val="18"/>
                      <w:lang w:eastAsia="pl-PL"/>
                    </w:rPr>
                    <w:t xml:space="preserve">Aktualności portalu </w:t>
                  </w:r>
                  <w:proofErr w:type="spellStart"/>
                  <w:r>
                    <w:rPr>
                      <w:rFonts w:ascii="Calibri" w:hAnsi="Calibri" w:cs="Arial"/>
                      <w:b/>
                      <w:bCs/>
                      <w:sz w:val="18"/>
                      <w:szCs w:val="18"/>
                      <w:lang w:eastAsia="pl-PL"/>
                    </w:rPr>
                    <w:t>Hydroportal</w:t>
                  </w:r>
                  <w:proofErr w:type="spellEnd"/>
                  <w:r>
                    <w:rPr>
                      <w:rFonts w:ascii="Calibri" w:hAnsi="Calibri" w:cs="Arial"/>
                      <w:b/>
                      <w:bCs/>
                      <w:sz w:val="18"/>
                      <w:szCs w:val="18"/>
                      <w:lang w:eastAsia="pl-PL"/>
                    </w:rPr>
                    <w:t xml:space="preserve"> – dostęp do bieżącej informacji</w:t>
                  </w:r>
                </w:p>
              </w:tc>
              <w:tc>
                <w:tcPr>
                  <w:tcW w:w="1426" w:type="dxa"/>
                  <w:vAlign w:val="center"/>
                </w:tcPr>
                <w:p w:rsidR="00BE4D0D" w:rsidRDefault="00BE4D0D" w:rsidP="0081393B">
                  <w:pPr>
                    <w:jc w:val="both"/>
                    <w:rPr>
                      <w:bCs/>
                      <w:sz w:val="18"/>
                      <w:szCs w:val="20"/>
                    </w:rPr>
                  </w:pPr>
                  <w:r>
                    <w:rPr>
                      <w:bCs/>
                      <w:sz w:val="18"/>
                      <w:szCs w:val="20"/>
                    </w:rPr>
                    <w:t xml:space="preserve">Dostęp poprzez portal – </w:t>
                  </w:r>
                  <w:proofErr w:type="spellStart"/>
                  <w:r>
                    <w:rPr>
                      <w:bCs/>
                      <w:sz w:val="18"/>
                      <w:szCs w:val="20"/>
                    </w:rPr>
                    <w:t>Hydroportal</w:t>
                  </w:r>
                  <w:proofErr w:type="spellEnd"/>
                </w:p>
              </w:tc>
              <w:tc>
                <w:tcPr>
                  <w:tcW w:w="1172" w:type="dxa"/>
                  <w:vAlign w:val="center"/>
                </w:tcPr>
                <w:p w:rsidR="00BE4D0D" w:rsidRDefault="00BE4D0D" w:rsidP="0081393B">
                  <w:pPr>
                    <w:jc w:val="both"/>
                    <w:rPr>
                      <w:rFonts w:ascii="Calibri" w:hAnsi="Calibri" w:cs="Arial"/>
                      <w:sz w:val="18"/>
                      <w:szCs w:val="18"/>
                      <w:lang w:eastAsia="pl-PL"/>
                    </w:rPr>
                  </w:pPr>
                  <w:r>
                    <w:rPr>
                      <w:rFonts w:ascii="Calibri" w:hAnsi="Calibri" w:cs="Arial"/>
                      <w:sz w:val="18"/>
                      <w:szCs w:val="18"/>
                      <w:lang w:eastAsia="pl-PL"/>
                    </w:rPr>
                    <w:t>informacja</w:t>
                  </w:r>
                </w:p>
              </w:tc>
              <w:tc>
                <w:tcPr>
                  <w:tcW w:w="2404" w:type="dxa"/>
                </w:tcPr>
                <w:p w:rsidR="00BE4D0D" w:rsidRDefault="00BE4D0D" w:rsidP="0081393B">
                  <w:pPr>
                    <w:jc w:val="both"/>
                    <w:rPr>
                      <w:rFonts w:ascii="Calibri" w:hAnsi="Calibri" w:cs="Arial"/>
                      <w:sz w:val="18"/>
                      <w:szCs w:val="18"/>
                      <w:lang w:eastAsia="pl-PL"/>
                    </w:rPr>
                  </w:pPr>
                </w:p>
              </w:tc>
            </w:tr>
          </w:tbl>
          <w:p w:rsidR="004D135D" w:rsidRDefault="004D135D" w:rsidP="00E30008">
            <w:pPr>
              <w:rPr>
                <w:bCs/>
                <w:i/>
                <w:sz w:val="18"/>
                <w:szCs w:val="20"/>
              </w:rPr>
            </w:pPr>
          </w:p>
        </w:tc>
      </w:tr>
      <w:tr w:rsidR="00920CE8" w:rsidRPr="002450C4" w:rsidTr="00920CE8">
        <w:tc>
          <w:tcPr>
            <w:tcW w:w="480" w:type="dxa"/>
          </w:tcPr>
          <w:p w:rsidR="00920CE8" w:rsidRPr="002450C4" w:rsidRDefault="00920CE8" w:rsidP="007A0A3D">
            <w:pPr>
              <w:pStyle w:val="Akapitzlist"/>
              <w:numPr>
                <w:ilvl w:val="0"/>
                <w:numId w:val="1"/>
              </w:numPr>
              <w:rPr>
                <w:sz w:val="18"/>
                <w:szCs w:val="20"/>
              </w:rPr>
            </w:pPr>
          </w:p>
        </w:tc>
        <w:tc>
          <w:tcPr>
            <w:tcW w:w="2350" w:type="dxa"/>
          </w:tcPr>
          <w:p w:rsidR="00920CE8" w:rsidRPr="002450C4" w:rsidRDefault="00920CE8" w:rsidP="0092099A">
            <w:pPr>
              <w:rPr>
                <w:sz w:val="18"/>
                <w:szCs w:val="20"/>
              </w:rPr>
            </w:pPr>
            <w:r>
              <w:rPr>
                <w:sz w:val="18"/>
                <w:szCs w:val="20"/>
              </w:rPr>
              <w:t>Postęp w realizacji strategicznych celów Państwa</w:t>
            </w:r>
          </w:p>
        </w:tc>
        <w:tc>
          <w:tcPr>
            <w:tcW w:w="6232" w:type="dxa"/>
          </w:tcPr>
          <w:tbl>
            <w:tblPr>
              <w:tblW w:w="5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3775"/>
              <w:gridCol w:w="645"/>
              <w:gridCol w:w="824"/>
            </w:tblGrid>
            <w:tr w:rsidR="00BA71AB" w:rsidRPr="00174B2D" w:rsidTr="00BA71AB">
              <w:trPr>
                <w:trHeight w:val="202"/>
              </w:trPr>
              <w:tc>
                <w:tcPr>
                  <w:tcW w:w="398" w:type="pct"/>
                  <w:shd w:val="clear" w:color="auto" w:fill="auto"/>
                </w:tcPr>
                <w:p w:rsidR="00BA71AB" w:rsidRPr="00344BBB" w:rsidRDefault="00BA71AB" w:rsidP="0081393B">
                  <w:pPr>
                    <w:pStyle w:val="Podtytu"/>
                    <w:spacing w:before="60" w:after="60"/>
                    <w:jc w:val="both"/>
                    <w:rPr>
                      <w:rFonts w:asciiTheme="minorHAnsi" w:hAnsiTheme="minorHAnsi"/>
                      <w:sz w:val="18"/>
                      <w:szCs w:val="18"/>
                      <w:u w:val="none"/>
                      <w:lang w:val="pl-PL" w:eastAsia="pl-PL"/>
                    </w:rPr>
                  </w:pPr>
                  <w:r w:rsidRPr="00344BBB">
                    <w:rPr>
                      <w:rFonts w:asciiTheme="minorHAnsi" w:hAnsiTheme="minorHAnsi"/>
                      <w:sz w:val="18"/>
                      <w:szCs w:val="18"/>
                      <w:u w:val="none"/>
                      <w:lang w:val="pl-PL" w:eastAsia="pl-PL"/>
                    </w:rPr>
                    <w:t>l.p.</w:t>
                  </w:r>
                </w:p>
              </w:tc>
              <w:tc>
                <w:tcPr>
                  <w:tcW w:w="3313" w:type="pct"/>
                  <w:shd w:val="clear" w:color="auto" w:fill="auto"/>
                </w:tcPr>
                <w:p w:rsidR="00BA71AB" w:rsidRPr="00344BBB" w:rsidRDefault="00BA71AB" w:rsidP="0081393B">
                  <w:pPr>
                    <w:pStyle w:val="Podtytu"/>
                    <w:spacing w:before="60" w:after="60"/>
                    <w:jc w:val="both"/>
                    <w:rPr>
                      <w:rFonts w:asciiTheme="minorHAnsi" w:hAnsiTheme="minorHAnsi"/>
                      <w:sz w:val="18"/>
                      <w:szCs w:val="18"/>
                      <w:u w:val="none"/>
                      <w:lang w:val="pl-PL" w:eastAsia="pl-PL"/>
                    </w:rPr>
                  </w:pPr>
                  <w:r w:rsidRPr="00344BBB">
                    <w:rPr>
                      <w:rFonts w:asciiTheme="minorHAnsi" w:hAnsiTheme="minorHAnsi"/>
                      <w:sz w:val="18"/>
                      <w:szCs w:val="18"/>
                      <w:u w:val="none"/>
                      <w:lang w:val="pl-PL" w:eastAsia="pl-PL"/>
                    </w:rPr>
                    <w:t xml:space="preserve">Wskaźnik produktu </w:t>
                  </w:r>
                </w:p>
              </w:tc>
              <w:tc>
                <w:tcPr>
                  <w:tcW w:w="566" w:type="pct"/>
                  <w:shd w:val="clear" w:color="auto" w:fill="auto"/>
                </w:tcPr>
                <w:p w:rsidR="00BA71AB" w:rsidRPr="00344BBB" w:rsidRDefault="00BA71AB" w:rsidP="0081393B">
                  <w:pPr>
                    <w:pStyle w:val="Podtytu"/>
                    <w:spacing w:before="60" w:after="60"/>
                    <w:jc w:val="both"/>
                    <w:rPr>
                      <w:rFonts w:asciiTheme="minorHAnsi" w:hAnsiTheme="minorHAnsi"/>
                      <w:sz w:val="18"/>
                      <w:szCs w:val="18"/>
                      <w:u w:val="none"/>
                      <w:lang w:val="pl-PL" w:eastAsia="pl-PL"/>
                    </w:rPr>
                  </w:pPr>
                  <w:r w:rsidRPr="00344BBB">
                    <w:rPr>
                      <w:rFonts w:asciiTheme="minorHAnsi" w:hAnsiTheme="minorHAnsi"/>
                      <w:sz w:val="18"/>
                      <w:szCs w:val="18"/>
                      <w:u w:val="none"/>
                      <w:lang w:val="pl-PL" w:eastAsia="pl-PL"/>
                    </w:rPr>
                    <w:t>Jedn. miary</w:t>
                  </w:r>
                </w:p>
              </w:tc>
              <w:tc>
                <w:tcPr>
                  <w:tcW w:w="723" w:type="pct"/>
                </w:tcPr>
                <w:p w:rsidR="00BA71AB" w:rsidRPr="00344BBB" w:rsidRDefault="00BA71AB" w:rsidP="008A3B6C">
                  <w:pPr>
                    <w:pStyle w:val="Podtytu"/>
                    <w:spacing w:before="60" w:after="60"/>
                    <w:jc w:val="both"/>
                    <w:rPr>
                      <w:rFonts w:asciiTheme="minorHAnsi" w:hAnsiTheme="minorHAnsi"/>
                      <w:sz w:val="18"/>
                      <w:szCs w:val="18"/>
                      <w:u w:val="none"/>
                      <w:lang w:val="pl-PL" w:eastAsia="pl-PL"/>
                    </w:rPr>
                  </w:pPr>
                  <w:r w:rsidRPr="00344BBB">
                    <w:rPr>
                      <w:rFonts w:asciiTheme="minorHAnsi" w:hAnsiTheme="minorHAnsi"/>
                      <w:sz w:val="18"/>
                      <w:szCs w:val="18"/>
                      <w:u w:val="none"/>
                      <w:lang w:val="pl-PL" w:eastAsia="pl-PL"/>
                    </w:rPr>
                    <w:t>R</w:t>
                  </w:r>
                  <w:r w:rsidR="008A3B6C">
                    <w:rPr>
                      <w:rFonts w:asciiTheme="minorHAnsi" w:hAnsiTheme="minorHAnsi"/>
                      <w:sz w:val="18"/>
                      <w:szCs w:val="18"/>
                      <w:u w:val="none"/>
                      <w:lang w:val="pl-PL" w:eastAsia="pl-PL"/>
                    </w:rPr>
                    <w:t>azem</w:t>
                  </w:r>
                </w:p>
              </w:tc>
            </w:tr>
            <w:tr w:rsidR="00BA71AB" w:rsidRPr="00174B2D" w:rsidTr="00BA71AB">
              <w:trPr>
                <w:trHeight w:val="817"/>
              </w:trPr>
              <w:tc>
                <w:tcPr>
                  <w:tcW w:w="398" w:type="pct"/>
                  <w:shd w:val="clear" w:color="auto" w:fill="auto"/>
                </w:tcPr>
                <w:p w:rsidR="00BA71AB" w:rsidRPr="008A3B6C" w:rsidRDefault="00BA71AB" w:rsidP="00344BBB">
                  <w:pPr>
                    <w:spacing w:after="0"/>
                    <w:rPr>
                      <w:bCs/>
                      <w:sz w:val="18"/>
                      <w:szCs w:val="18"/>
                    </w:rPr>
                  </w:pPr>
                  <w:r w:rsidRPr="008A3B6C">
                    <w:rPr>
                      <w:bCs/>
                      <w:sz w:val="18"/>
                      <w:szCs w:val="18"/>
                    </w:rPr>
                    <w:t>1</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 xml:space="preserve">Liczba utworzonych systemów </w:t>
                  </w:r>
                  <w:r>
                    <w:rPr>
                      <w:rFonts w:asciiTheme="minorHAnsi" w:hAnsiTheme="minorHAnsi"/>
                      <w:b w:val="0"/>
                      <w:sz w:val="18"/>
                      <w:szCs w:val="18"/>
                      <w:u w:val="none"/>
                      <w:lang w:val="pl-PL" w:eastAsia="pl-PL"/>
                    </w:rPr>
                    <w:t>i</w:t>
                  </w:r>
                  <w:r w:rsidRPr="00344BBB">
                    <w:rPr>
                      <w:rFonts w:asciiTheme="minorHAnsi" w:hAnsiTheme="minorHAnsi"/>
                      <w:b w:val="0"/>
                      <w:sz w:val="18"/>
                      <w:szCs w:val="18"/>
                      <w:u w:val="none"/>
                      <w:lang w:val="pl-PL" w:eastAsia="pl-PL"/>
                    </w:rPr>
                    <w:t>nformatycznych - ISOK</w:t>
                  </w:r>
                </w:p>
              </w:tc>
              <w:tc>
                <w:tcPr>
                  <w:tcW w:w="566"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Szt.</w:t>
                  </w:r>
                </w:p>
              </w:tc>
              <w:tc>
                <w:tcPr>
                  <w:tcW w:w="723" w:type="pct"/>
                </w:tcPr>
                <w:p w:rsidR="00BA71AB" w:rsidRPr="00344BBB" w:rsidRDefault="00BA71AB" w:rsidP="00FB7976">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1</w:t>
                  </w:r>
                </w:p>
              </w:tc>
            </w:tr>
            <w:tr w:rsidR="00BA71AB" w:rsidRPr="00174B2D" w:rsidTr="00BA71AB">
              <w:trPr>
                <w:trHeight w:val="117"/>
              </w:trPr>
              <w:tc>
                <w:tcPr>
                  <w:tcW w:w="398" w:type="pct"/>
                  <w:shd w:val="clear" w:color="auto" w:fill="auto"/>
                </w:tcPr>
                <w:p w:rsidR="00BA71AB" w:rsidRPr="008A3B6C" w:rsidRDefault="00BA71AB" w:rsidP="00344BBB">
                  <w:pPr>
                    <w:spacing w:after="0"/>
                    <w:rPr>
                      <w:bCs/>
                      <w:sz w:val="18"/>
                      <w:szCs w:val="18"/>
                    </w:rPr>
                  </w:pPr>
                  <w:r w:rsidRPr="008A3B6C">
                    <w:rPr>
                      <w:bCs/>
                      <w:sz w:val="18"/>
                      <w:szCs w:val="18"/>
                    </w:rPr>
                    <w:t>2</w:t>
                  </w:r>
                </w:p>
              </w:tc>
              <w:tc>
                <w:tcPr>
                  <w:tcW w:w="3313" w:type="pct"/>
                  <w:shd w:val="clear" w:color="auto" w:fill="auto"/>
                </w:tcPr>
                <w:p w:rsidR="00BA71AB" w:rsidRPr="00344BBB" w:rsidRDefault="00BA71AB" w:rsidP="00344BBB">
                  <w:pPr>
                    <w:spacing w:beforeLines="70" w:before="168" w:afterLines="70" w:after="168"/>
                    <w:rPr>
                      <w:sz w:val="18"/>
                      <w:szCs w:val="18"/>
                    </w:rPr>
                  </w:pPr>
                  <w:r w:rsidRPr="00344BBB">
                    <w:rPr>
                      <w:sz w:val="18"/>
                      <w:szCs w:val="18"/>
                    </w:rPr>
                    <w:t>Raport z identyfikacji krajowych systemów informacyjnych</w:t>
                  </w:r>
                </w:p>
              </w:tc>
              <w:tc>
                <w:tcPr>
                  <w:tcW w:w="566" w:type="pct"/>
                  <w:shd w:val="clear" w:color="auto" w:fill="auto"/>
                </w:tcPr>
                <w:p w:rsidR="00BA71AB" w:rsidRPr="00344BBB" w:rsidRDefault="00BA71AB" w:rsidP="00344BBB">
                  <w:pPr>
                    <w:pStyle w:val="Tekstprzypisudolnego"/>
                    <w:spacing w:beforeLines="70" w:before="168" w:afterLines="70" w:after="168"/>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1</w:t>
                  </w:r>
                </w:p>
              </w:tc>
            </w:tr>
            <w:tr w:rsidR="00BA71AB" w:rsidRPr="00174B2D" w:rsidTr="00BA71AB">
              <w:trPr>
                <w:trHeight w:val="117"/>
              </w:trPr>
              <w:tc>
                <w:tcPr>
                  <w:tcW w:w="398" w:type="pct"/>
                  <w:shd w:val="clear" w:color="auto" w:fill="auto"/>
                </w:tcPr>
                <w:p w:rsidR="00BA71AB" w:rsidRPr="008A3B6C" w:rsidRDefault="00BA71AB" w:rsidP="00344BBB">
                  <w:pPr>
                    <w:spacing w:after="0"/>
                    <w:rPr>
                      <w:bCs/>
                      <w:sz w:val="18"/>
                      <w:szCs w:val="18"/>
                    </w:rPr>
                  </w:pPr>
                  <w:r w:rsidRPr="008A3B6C">
                    <w:rPr>
                      <w:bCs/>
                      <w:sz w:val="18"/>
                      <w:szCs w:val="18"/>
                    </w:rPr>
                    <w:t>3</w:t>
                  </w:r>
                </w:p>
              </w:tc>
              <w:tc>
                <w:tcPr>
                  <w:tcW w:w="3313" w:type="pct"/>
                  <w:shd w:val="clear" w:color="auto" w:fill="auto"/>
                </w:tcPr>
                <w:p w:rsidR="00BA71AB" w:rsidRPr="00344BBB" w:rsidRDefault="00BA71AB" w:rsidP="00344BBB">
                  <w:pPr>
                    <w:spacing w:beforeLines="70" w:before="168" w:afterLines="70" w:after="168"/>
                    <w:rPr>
                      <w:sz w:val="18"/>
                      <w:szCs w:val="18"/>
                    </w:rPr>
                  </w:pPr>
                  <w:r w:rsidRPr="00344BBB">
                    <w:rPr>
                      <w:sz w:val="18"/>
                      <w:szCs w:val="18"/>
                    </w:rPr>
                    <w:t>Wstępna ocena ryzyka powodziowego dla Polski</w:t>
                  </w:r>
                </w:p>
              </w:tc>
              <w:tc>
                <w:tcPr>
                  <w:tcW w:w="566"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Szt.</w:t>
                  </w:r>
                </w:p>
              </w:tc>
              <w:tc>
                <w:tcPr>
                  <w:tcW w:w="723" w:type="pct"/>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1</w:t>
                  </w:r>
                </w:p>
              </w:tc>
            </w:tr>
            <w:tr w:rsidR="00BA71AB" w:rsidRPr="00174B2D" w:rsidTr="00BA71AB">
              <w:trPr>
                <w:trHeight w:val="117"/>
              </w:trPr>
              <w:tc>
                <w:tcPr>
                  <w:tcW w:w="398" w:type="pct"/>
                  <w:shd w:val="clear" w:color="auto" w:fill="auto"/>
                </w:tcPr>
                <w:p w:rsidR="00BA71AB" w:rsidRPr="008A3B6C" w:rsidRDefault="00BA71AB" w:rsidP="00344BBB">
                  <w:pPr>
                    <w:spacing w:after="0"/>
                    <w:rPr>
                      <w:bCs/>
                      <w:sz w:val="18"/>
                      <w:szCs w:val="18"/>
                    </w:rPr>
                  </w:pPr>
                  <w:r w:rsidRPr="008A3B6C">
                    <w:rPr>
                      <w:bCs/>
                      <w:sz w:val="18"/>
                      <w:szCs w:val="18"/>
                    </w:rPr>
                    <w:t>4</w:t>
                  </w:r>
                </w:p>
              </w:tc>
              <w:tc>
                <w:tcPr>
                  <w:tcW w:w="3313" w:type="pct"/>
                  <w:shd w:val="clear" w:color="auto" w:fill="auto"/>
                </w:tcPr>
                <w:p w:rsidR="00BA71AB" w:rsidRPr="00344BBB" w:rsidRDefault="00BA71AB" w:rsidP="00344BBB">
                  <w:pPr>
                    <w:pStyle w:val="Tekstprzypisudolnego"/>
                    <w:spacing w:beforeLines="70" w:before="168" w:afterLines="70" w:after="168"/>
                    <w:rPr>
                      <w:rFonts w:asciiTheme="minorHAnsi" w:hAnsiTheme="minorHAnsi"/>
                      <w:sz w:val="18"/>
                      <w:szCs w:val="18"/>
                    </w:rPr>
                  </w:pPr>
                  <w:r w:rsidRPr="00344BBB">
                    <w:rPr>
                      <w:rFonts w:asciiTheme="minorHAnsi" w:hAnsiTheme="minorHAnsi"/>
                      <w:sz w:val="18"/>
                      <w:szCs w:val="18"/>
                    </w:rPr>
                    <w:t>Mapy zagrożenia powodziowego</w:t>
                  </w:r>
                </w:p>
              </w:tc>
              <w:tc>
                <w:tcPr>
                  <w:tcW w:w="566"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w:t>
                  </w:r>
                </w:p>
              </w:tc>
              <w:tc>
                <w:tcPr>
                  <w:tcW w:w="723" w:type="pct"/>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100%</w:t>
                  </w:r>
                </w:p>
              </w:tc>
            </w:tr>
            <w:tr w:rsidR="00BA71AB" w:rsidRPr="00174B2D" w:rsidTr="00BA71AB">
              <w:trPr>
                <w:trHeight w:val="117"/>
              </w:trPr>
              <w:tc>
                <w:tcPr>
                  <w:tcW w:w="398" w:type="pct"/>
                  <w:shd w:val="clear" w:color="auto" w:fill="auto"/>
                </w:tcPr>
                <w:p w:rsidR="00BA71AB" w:rsidRPr="008A3B6C" w:rsidRDefault="00BA71AB" w:rsidP="00344BBB">
                  <w:pPr>
                    <w:spacing w:after="0"/>
                    <w:rPr>
                      <w:bCs/>
                      <w:sz w:val="18"/>
                      <w:szCs w:val="18"/>
                    </w:rPr>
                  </w:pPr>
                  <w:r w:rsidRPr="008A3B6C">
                    <w:rPr>
                      <w:bCs/>
                      <w:sz w:val="18"/>
                      <w:szCs w:val="18"/>
                    </w:rPr>
                    <w:t>5</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Mapy ryzyka powodziowego</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100%</w:t>
                  </w:r>
                </w:p>
              </w:tc>
            </w:tr>
            <w:tr w:rsidR="00BA71AB" w:rsidRPr="00174B2D" w:rsidTr="00BA71AB">
              <w:trPr>
                <w:trHeight w:val="117"/>
              </w:trPr>
              <w:tc>
                <w:tcPr>
                  <w:tcW w:w="398" w:type="pct"/>
                  <w:shd w:val="clear" w:color="auto" w:fill="auto"/>
                </w:tcPr>
                <w:p w:rsidR="00BA71AB" w:rsidRPr="008A3B6C" w:rsidRDefault="00BA71AB" w:rsidP="00344BBB">
                  <w:pPr>
                    <w:pStyle w:val="Tekstprzypisudolnego"/>
                    <w:rPr>
                      <w:rFonts w:asciiTheme="minorHAnsi" w:hAnsiTheme="minorHAnsi"/>
                      <w:bCs/>
                      <w:sz w:val="18"/>
                      <w:szCs w:val="18"/>
                    </w:rPr>
                  </w:pPr>
                  <w:r w:rsidRPr="008A3B6C">
                    <w:rPr>
                      <w:rFonts w:asciiTheme="minorHAnsi" w:hAnsiTheme="minorHAnsi"/>
                      <w:bCs/>
                      <w:sz w:val="18"/>
                      <w:szCs w:val="18"/>
                    </w:rPr>
                    <w:t>6</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Mapy zagrożeń meteorologicznych</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8</w:t>
                  </w:r>
                </w:p>
              </w:tc>
            </w:tr>
            <w:tr w:rsidR="00BA71AB" w:rsidRPr="00174B2D" w:rsidTr="00BA71AB">
              <w:trPr>
                <w:trHeight w:val="117"/>
              </w:trPr>
              <w:tc>
                <w:tcPr>
                  <w:tcW w:w="398" w:type="pct"/>
                  <w:shd w:val="clear" w:color="auto" w:fill="auto"/>
                </w:tcPr>
                <w:p w:rsidR="00BA71AB" w:rsidRPr="008A3B6C" w:rsidRDefault="00BA71AB" w:rsidP="00344BBB">
                  <w:pPr>
                    <w:pStyle w:val="Tekstprzypisudolnego"/>
                    <w:rPr>
                      <w:rFonts w:asciiTheme="minorHAnsi" w:hAnsiTheme="minorHAnsi"/>
                      <w:bCs/>
                      <w:sz w:val="18"/>
                      <w:szCs w:val="18"/>
                    </w:rPr>
                  </w:pPr>
                  <w:r w:rsidRPr="008A3B6C">
                    <w:rPr>
                      <w:rFonts w:asciiTheme="minorHAnsi" w:hAnsiTheme="minorHAnsi"/>
                      <w:bCs/>
                      <w:sz w:val="18"/>
                      <w:szCs w:val="18"/>
                    </w:rPr>
                    <w:t>7</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Mapy innych zagrożeń</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5</w:t>
                  </w:r>
                </w:p>
              </w:tc>
            </w:tr>
            <w:tr w:rsidR="00BA71AB" w:rsidRPr="00174B2D" w:rsidTr="00BA71AB">
              <w:trPr>
                <w:trHeight w:val="117"/>
              </w:trPr>
              <w:tc>
                <w:tcPr>
                  <w:tcW w:w="398" w:type="pct"/>
                  <w:shd w:val="clear" w:color="auto" w:fill="auto"/>
                </w:tcPr>
                <w:p w:rsidR="00BA71AB" w:rsidRPr="008A3B6C" w:rsidRDefault="00BA71AB" w:rsidP="00344BBB">
                  <w:pPr>
                    <w:pStyle w:val="Tekstprzypisudolnego"/>
                    <w:rPr>
                      <w:rFonts w:asciiTheme="minorHAnsi" w:hAnsiTheme="minorHAnsi"/>
                      <w:bCs/>
                      <w:sz w:val="18"/>
                      <w:szCs w:val="18"/>
                    </w:rPr>
                  </w:pPr>
                  <w:r w:rsidRPr="008A3B6C">
                    <w:rPr>
                      <w:rFonts w:asciiTheme="minorHAnsi" w:hAnsiTheme="minorHAnsi"/>
                      <w:bCs/>
                      <w:sz w:val="18"/>
                      <w:szCs w:val="18"/>
                    </w:rPr>
                    <w:t>8</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Opracowanie Zintegrowanej BDOT dla powierzchni kraju</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 xml:space="preserve">Szt. </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1</w:t>
                  </w:r>
                </w:p>
              </w:tc>
            </w:tr>
            <w:tr w:rsidR="00BA71AB" w:rsidRPr="00174B2D" w:rsidTr="00BA71AB">
              <w:trPr>
                <w:trHeight w:val="117"/>
              </w:trPr>
              <w:tc>
                <w:tcPr>
                  <w:tcW w:w="398" w:type="pct"/>
                  <w:shd w:val="clear" w:color="auto" w:fill="auto"/>
                </w:tcPr>
                <w:p w:rsidR="00BA71AB" w:rsidRPr="008A3B6C" w:rsidRDefault="00BA71AB" w:rsidP="00344BBB">
                  <w:pPr>
                    <w:pStyle w:val="Tekstprzypisudolnego"/>
                    <w:rPr>
                      <w:rFonts w:asciiTheme="minorHAnsi" w:hAnsiTheme="minorHAnsi"/>
                      <w:bCs/>
                      <w:sz w:val="18"/>
                      <w:szCs w:val="18"/>
                    </w:rPr>
                  </w:pPr>
                  <w:r w:rsidRPr="008A3B6C">
                    <w:rPr>
                      <w:rFonts w:asciiTheme="minorHAnsi" w:hAnsiTheme="minorHAnsi"/>
                      <w:bCs/>
                      <w:sz w:val="18"/>
                      <w:szCs w:val="18"/>
                    </w:rPr>
                    <w:t>9</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Opracowanie NMT dla wskazanej powierzchni kraju</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Km</w:t>
                  </w:r>
                  <w:r w:rsidRPr="00344BBB">
                    <w:rPr>
                      <w:rFonts w:asciiTheme="minorHAnsi" w:hAnsiTheme="minorHAnsi"/>
                      <w:sz w:val="18"/>
                      <w:szCs w:val="18"/>
                      <w:vertAlign w:val="superscript"/>
                    </w:rPr>
                    <w:t>2</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bCs/>
                      <w:sz w:val="18"/>
                      <w:szCs w:val="18"/>
                    </w:rPr>
                  </w:pPr>
                  <w:r w:rsidRPr="00344BBB">
                    <w:rPr>
                      <w:rFonts w:asciiTheme="minorHAnsi" w:hAnsiTheme="minorHAnsi"/>
                      <w:bCs/>
                      <w:sz w:val="18"/>
                      <w:szCs w:val="18"/>
                    </w:rPr>
                    <w:t>285 000</w:t>
                  </w:r>
                </w:p>
              </w:tc>
            </w:tr>
            <w:tr w:rsidR="00BA71AB" w:rsidRPr="00174B2D" w:rsidTr="00BA71AB">
              <w:trPr>
                <w:trHeight w:val="117"/>
              </w:trPr>
              <w:tc>
                <w:tcPr>
                  <w:tcW w:w="398" w:type="pct"/>
                  <w:shd w:val="clear" w:color="auto" w:fill="auto"/>
                </w:tcPr>
                <w:p w:rsidR="00BA71AB" w:rsidRPr="008A3B6C" w:rsidRDefault="00BA71AB" w:rsidP="00344BBB">
                  <w:pPr>
                    <w:pStyle w:val="Tekstprzypisudolnego"/>
                    <w:rPr>
                      <w:rFonts w:asciiTheme="minorHAnsi" w:hAnsiTheme="minorHAnsi"/>
                      <w:bCs/>
                      <w:sz w:val="18"/>
                      <w:szCs w:val="18"/>
                    </w:rPr>
                  </w:pPr>
                  <w:r w:rsidRPr="008A3B6C">
                    <w:rPr>
                      <w:rFonts w:asciiTheme="minorHAnsi" w:hAnsiTheme="minorHAnsi"/>
                      <w:bCs/>
                      <w:sz w:val="18"/>
                      <w:szCs w:val="18"/>
                    </w:rPr>
                    <w:t>10</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Liczba utworzonych systemów zarządzania NMT</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1</w:t>
                  </w:r>
                </w:p>
              </w:tc>
            </w:tr>
            <w:tr w:rsidR="00BA71AB" w:rsidRPr="00174B2D" w:rsidTr="00BA71AB">
              <w:trPr>
                <w:trHeight w:val="117"/>
              </w:trPr>
              <w:tc>
                <w:tcPr>
                  <w:tcW w:w="398" w:type="pct"/>
                  <w:shd w:val="clear" w:color="auto" w:fill="auto"/>
                </w:tcPr>
                <w:p w:rsidR="00BA71AB" w:rsidRPr="008A3B6C" w:rsidRDefault="00BA71AB" w:rsidP="00344BBB">
                  <w:pPr>
                    <w:pStyle w:val="Tekstprzypisudolnego"/>
                    <w:rPr>
                      <w:rFonts w:asciiTheme="minorHAnsi" w:hAnsiTheme="minorHAnsi"/>
                      <w:bCs/>
                      <w:sz w:val="18"/>
                      <w:szCs w:val="18"/>
                    </w:rPr>
                  </w:pPr>
                  <w:r w:rsidRPr="008A3B6C">
                    <w:rPr>
                      <w:rFonts w:asciiTheme="minorHAnsi" w:hAnsiTheme="minorHAnsi"/>
                      <w:bCs/>
                      <w:sz w:val="18"/>
                      <w:szCs w:val="18"/>
                    </w:rPr>
                    <w:t>11</w:t>
                  </w:r>
                </w:p>
              </w:tc>
              <w:tc>
                <w:tcPr>
                  <w:tcW w:w="3313" w:type="pct"/>
                  <w:shd w:val="clear" w:color="auto" w:fill="auto"/>
                </w:tcPr>
                <w:p w:rsidR="00BA71AB" w:rsidRPr="00344BBB" w:rsidRDefault="00BA71AB" w:rsidP="00344BBB">
                  <w:pPr>
                    <w:pStyle w:val="Podtytu"/>
                    <w:spacing w:beforeLines="70" w:before="168" w:afterLines="70" w:after="168"/>
                    <w:jc w:val="left"/>
                    <w:rPr>
                      <w:rFonts w:asciiTheme="minorHAnsi" w:hAnsiTheme="minorHAnsi"/>
                      <w:b w:val="0"/>
                      <w:sz w:val="18"/>
                      <w:szCs w:val="18"/>
                      <w:u w:val="none"/>
                      <w:lang w:val="pl-PL" w:eastAsia="pl-PL"/>
                    </w:rPr>
                  </w:pPr>
                  <w:r w:rsidRPr="00344BBB">
                    <w:rPr>
                      <w:rFonts w:asciiTheme="minorHAnsi" w:hAnsiTheme="minorHAnsi"/>
                      <w:b w:val="0"/>
                      <w:sz w:val="18"/>
                      <w:szCs w:val="18"/>
                      <w:u w:val="none"/>
                      <w:lang w:val="pl-PL" w:eastAsia="pl-PL"/>
                    </w:rPr>
                    <w:t xml:space="preserve">Opracowanie </w:t>
                  </w:r>
                  <w:proofErr w:type="spellStart"/>
                  <w:r w:rsidRPr="00344BBB">
                    <w:rPr>
                      <w:rFonts w:asciiTheme="minorHAnsi" w:hAnsiTheme="minorHAnsi"/>
                      <w:b w:val="0"/>
                      <w:sz w:val="18"/>
                      <w:szCs w:val="18"/>
                      <w:u w:val="none"/>
                      <w:lang w:val="pl-PL" w:eastAsia="pl-PL"/>
                    </w:rPr>
                    <w:t>ortofotomapy</w:t>
                  </w:r>
                  <w:proofErr w:type="spellEnd"/>
                  <w:r w:rsidRPr="00344BBB">
                    <w:rPr>
                      <w:rFonts w:asciiTheme="minorHAnsi" w:hAnsiTheme="minorHAnsi"/>
                      <w:b w:val="0"/>
                      <w:sz w:val="18"/>
                      <w:szCs w:val="18"/>
                      <w:u w:val="none"/>
                      <w:lang w:val="pl-PL" w:eastAsia="pl-PL"/>
                    </w:rPr>
                    <w:t xml:space="preserve"> dla wskazanej powierzchni kraju</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Km</w:t>
                  </w:r>
                  <w:r w:rsidRPr="00344BBB">
                    <w:rPr>
                      <w:rFonts w:asciiTheme="minorHAnsi" w:hAnsiTheme="minorHAnsi"/>
                      <w:sz w:val="18"/>
                      <w:szCs w:val="18"/>
                      <w:vertAlign w:val="superscript"/>
                    </w:rPr>
                    <w:t>2</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15 160</w:t>
                  </w:r>
                </w:p>
              </w:tc>
            </w:tr>
            <w:tr w:rsidR="00BA71AB" w:rsidRPr="00174B2D" w:rsidTr="00BA71AB">
              <w:trPr>
                <w:trHeight w:val="117"/>
              </w:trPr>
              <w:tc>
                <w:tcPr>
                  <w:tcW w:w="398" w:type="pct"/>
                  <w:shd w:val="clear" w:color="auto" w:fill="auto"/>
                </w:tcPr>
                <w:p w:rsidR="00BA71AB" w:rsidRPr="008A3B6C" w:rsidRDefault="00BA71AB" w:rsidP="00344BBB">
                  <w:pPr>
                    <w:pStyle w:val="Podtytu"/>
                    <w:jc w:val="left"/>
                    <w:rPr>
                      <w:rFonts w:asciiTheme="minorHAnsi" w:hAnsiTheme="minorHAnsi"/>
                      <w:b w:val="0"/>
                      <w:bCs/>
                      <w:sz w:val="18"/>
                      <w:szCs w:val="18"/>
                      <w:u w:val="none"/>
                      <w:lang w:val="pl-PL" w:eastAsia="pl-PL"/>
                    </w:rPr>
                  </w:pPr>
                  <w:r w:rsidRPr="008A3B6C">
                    <w:rPr>
                      <w:rFonts w:asciiTheme="minorHAnsi" w:hAnsiTheme="minorHAnsi"/>
                      <w:b w:val="0"/>
                      <w:bCs/>
                      <w:sz w:val="18"/>
                      <w:szCs w:val="18"/>
                      <w:u w:val="none"/>
                      <w:lang w:val="pl-PL" w:eastAsia="pl-PL"/>
                    </w:rPr>
                    <w:t>12</w:t>
                  </w:r>
                </w:p>
              </w:tc>
              <w:tc>
                <w:tcPr>
                  <w:tcW w:w="3313"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Konferencja</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4</w:t>
                  </w:r>
                </w:p>
              </w:tc>
            </w:tr>
            <w:tr w:rsidR="00BA71AB" w:rsidRPr="00174B2D" w:rsidTr="00BA71AB">
              <w:trPr>
                <w:trHeight w:val="117"/>
              </w:trPr>
              <w:tc>
                <w:tcPr>
                  <w:tcW w:w="398" w:type="pct"/>
                  <w:shd w:val="clear" w:color="auto" w:fill="auto"/>
                </w:tcPr>
                <w:p w:rsidR="00BA71AB" w:rsidRPr="008A3B6C" w:rsidRDefault="00BA71AB" w:rsidP="00344BBB">
                  <w:pPr>
                    <w:pStyle w:val="Podtytu"/>
                    <w:jc w:val="left"/>
                    <w:rPr>
                      <w:rFonts w:asciiTheme="minorHAnsi" w:hAnsiTheme="minorHAnsi"/>
                      <w:b w:val="0"/>
                      <w:bCs/>
                      <w:sz w:val="18"/>
                      <w:szCs w:val="18"/>
                      <w:u w:val="none"/>
                      <w:lang w:val="pl-PL" w:eastAsia="pl-PL"/>
                    </w:rPr>
                  </w:pPr>
                  <w:r w:rsidRPr="008A3B6C">
                    <w:rPr>
                      <w:rFonts w:asciiTheme="minorHAnsi" w:hAnsiTheme="minorHAnsi"/>
                      <w:b w:val="0"/>
                      <w:bCs/>
                      <w:sz w:val="18"/>
                      <w:szCs w:val="18"/>
                      <w:u w:val="none"/>
                      <w:lang w:val="pl-PL" w:eastAsia="pl-PL"/>
                    </w:rPr>
                    <w:lastRenderedPageBreak/>
                    <w:t>13</w:t>
                  </w:r>
                </w:p>
              </w:tc>
              <w:tc>
                <w:tcPr>
                  <w:tcW w:w="3313"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Portal internetowy</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1</w:t>
                  </w:r>
                </w:p>
              </w:tc>
            </w:tr>
            <w:tr w:rsidR="00BA71AB" w:rsidRPr="00174B2D" w:rsidTr="00BA71AB">
              <w:trPr>
                <w:trHeight w:val="117"/>
              </w:trPr>
              <w:tc>
                <w:tcPr>
                  <w:tcW w:w="398" w:type="pct"/>
                  <w:shd w:val="clear" w:color="auto" w:fill="auto"/>
                </w:tcPr>
                <w:p w:rsidR="00BA71AB" w:rsidRPr="008A3B6C" w:rsidRDefault="00BA71AB" w:rsidP="00344BBB">
                  <w:pPr>
                    <w:pStyle w:val="Podtytu"/>
                    <w:jc w:val="left"/>
                    <w:rPr>
                      <w:rFonts w:asciiTheme="minorHAnsi" w:hAnsiTheme="minorHAnsi"/>
                      <w:b w:val="0"/>
                      <w:bCs/>
                      <w:sz w:val="18"/>
                      <w:szCs w:val="18"/>
                      <w:u w:val="none"/>
                      <w:lang w:val="pl-PL" w:eastAsia="pl-PL"/>
                    </w:rPr>
                  </w:pPr>
                  <w:r w:rsidRPr="008A3B6C">
                    <w:rPr>
                      <w:rFonts w:asciiTheme="minorHAnsi" w:hAnsiTheme="minorHAnsi"/>
                      <w:b w:val="0"/>
                      <w:bCs/>
                      <w:sz w:val="18"/>
                      <w:szCs w:val="18"/>
                      <w:u w:val="none"/>
                      <w:lang w:val="pl-PL" w:eastAsia="pl-PL"/>
                    </w:rPr>
                    <w:t>14</w:t>
                  </w:r>
                </w:p>
              </w:tc>
              <w:tc>
                <w:tcPr>
                  <w:tcW w:w="3313"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Szkolenie e-learningowe</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1</w:t>
                  </w:r>
                </w:p>
              </w:tc>
            </w:tr>
            <w:tr w:rsidR="00BA71AB" w:rsidRPr="00174B2D" w:rsidTr="00BA71AB">
              <w:trPr>
                <w:trHeight w:val="117"/>
              </w:trPr>
              <w:tc>
                <w:tcPr>
                  <w:tcW w:w="398" w:type="pct"/>
                  <w:shd w:val="clear" w:color="auto" w:fill="auto"/>
                </w:tcPr>
                <w:p w:rsidR="00BA71AB" w:rsidRPr="008A3B6C" w:rsidRDefault="00BA71AB" w:rsidP="00344BBB">
                  <w:pPr>
                    <w:pStyle w:val="Podtytu"/>
                    <w:jc w:val="left"/>
                    <w:rPr>
                      <w:rFonts w:asciiTheme="minorHAnsi" w:hAnsiTheme="minorHAnsi"/>
                      <w:b w:val="0"/>
                      <w:bCs/>
                      <w:sz w:val="18"/>
                      <w:szCs w:val="18"/>
                      <w:u w:val="none"/>
                      <w:lang w:val="pl-PL" w:eastAsia="pl-PL"/>
                    </w:rPr>
                  </w:pPr>
                  <w:r w:rsidRPr="008A3B6C">
                    <w:rPr>
                      <w:rFonts w:asciiTheme="minorHAnsi" w:hAnsiTheme="minorHAnsi"/>
                      <w:b w:val="0"/>
                      <w:bCs/>
                      <w:sz w:val="18"/>
                      <w:szCs w:val="18"/>
                      <w:u w:val="none"/>
                      <w:lang w:val="pl-PL" w:eastAsia="pl-PL"/>
                    </w:rPr>
                    <w:t>15</w:t>
                  </w:r>
                </w:p>
              </w:tc>
              <w:tc>
                <w:tcPr>
                  <w:tcW w:w="3313"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Szkolenia specjalistyczne użytkowników ISOK</w:t>
                  </w:r>
                </w:p>
              </w:tc>
              <w:tc>
                <w:tcPr>
                  <w:tcW w:w="566" w:type="pct"/>
                  <w:shd w:val="clear" w:color="auto" w:fill="auto"/>
                </w:tcPr>
                <w:p w:rsidR="00BA71AB" w:rsidRPr="00344BBB" w:rsidRDefault="00BA71AB" w:rsidP="00344BBB">
                  <w:pPr>
                    <w:pStyle w:val="CharChar3ZnakZnakCharCharZnakZnakCharChar"/>
                    <w:spacing w:beforeLines="70" w:before="168" w:afterLines="70" w:after="168"/>
                    <w:jc w:val="left"/>
                    <w:rPr>
                      <w:rFonts w:asciiTheme="minorHAnsi" w:hAnsiTheme="minorHAnsi"/>
                      <w:sz w:val="18"/>
                      <w:szCs w:val="18"/>
                    </w:rPr>
                  </w:pPr>
                  <w:r w:rsidRPr="00344BBB">
                    <w:rPr>
                      <w:rFonts w:asciiTheme="minorHAnsi" w:hAnsiTheme="minorHAnsi"/>
                      <w:sz w:val="18"/>
                      <w:szCs w:val="18"/>
                    </w:rPr>
                    <w:t>Szt.</w:t>
                  </w:r>
                </w:p>
              </w:tc>
              <w:tc>
                <w:tcPr>
                  <w:tcW w:w="723" w:type="pct"/>
                </w:tcPr>
                <w:p w:rsidR="00BA71AB" w:rsidRPr="00344BBB" w:rsidRDefault="00BA71AB" w:rsidP="00344BBB">
                  <w:pPr>
                    <w:pStyle w:val="CharChar3ZnakZnakCharCharZnakZnakCharChar"/>
                    <w:tabs>
                      <w:tab w:val="left" w:pos="725"/>
                    </w:tabs>
                    <w:spacing w:beforeLines="70" w:before="168" w:afterLines="70" w:after="168"/>
                    <w:jc w:val="left"/>
                    <w:rPr>
                      <w:rFonts w:asciiTheme="minorHAnsi" w:hAnsiTheme="minorHAnsi"/>
                      <w:sz w:val="18"/>
                      <w:szCs w:val="18"/>
                    </w:rPr>
                  </w:pPr>
                  <w:r w:rsidRPr="00344BBB">
                    <w:rPr>
                      <w:rFonts w:asciiTheme="minorHAnsi" w:hAnsiTheme="minorHAnsi"/>
                      <w:sz w:val="18"/>
                      <w:szCs w:val="18"/>
                    </w:rPr>
                    <w:t>24</w:t>
                  </w:r>
                </w:p>
              </w:tc>
            </w:tr>
          </w:tbl>
          <w:p w:rsidR="00C93C1A" w:rsidRDefault="00C93C1A" w:rsidP="005A4344">
            <w:pPr>
              <w:jc w:val="both"/>
              <w:rPr>
                <w:i/>
                <w:sz w:val="18"/>
                <w:szCs w:val="20"/>
              </w:rPr>
            </w:pPr>
          </w:p>
          <w:p w:rsidR="00C93C1A" w:rsidRPr="00703A4F" w:rsidRDefault="00703A4F" w:rsidP="005A4344">
            <w:pPr>
              <w:jc w:val="both"/>
              <w:rPr>
                <w:sz w:val="18"/>
                <w:szCs w:val="20"/>
              </w:rPr>
            </w:pPr>
            <w:r w:rsidRPr="00703A4F">
              <w:rPr>
                <w:sz w:val="18"/>
                <w:szCs w:val="20"/>
              </w:rPr>
              <w:t>Cele Projektu „Informatyczny system osłony kraju przed nadzwyczajnymi zagrożeniami” są zgodne z celami podstawowych dokumentów strategicznych przyjętych w Polsce dotyczących rozwoju ekonomiczno-społecznego oraz informatyzacji. Ponadto Projekt jest spójny z założeniami Dyrektywy Powodziowej oraz Dyrektywy INSPIRE, a jego realizacja przyczyni się do wypełnienia zobowiązań wynikających z tych dokumentów.</w:t>
            </w:r>
          </w:p>
          <w:p w:rsidR="00703A4F" w:rsidRPr="00703A4F" w:rsidRDefault="00703A4F" w:rsidP="005A4344">
            <w:pPr>
              <w:jc w:val="both"/>
              <w:rPr>
                <w:sz w:val="18"/>
                <w:szCs w:val="20"/>
              </w:rPr>
            </w:pPr>
            <w:r w:rsidRPr="00703A4F">
              <w:rPr>
                <w:sz w:val="18"/>
                <w:szCs w:val="20"/>
              </w:rPr>
              <w:t xml:space="preserve">Osiągnięcie celów zakładanych w Projekcie pozwoli zwiększyć efektywność działań prowadzonych przez </w:t>
            </w:r>
            <w:r w:rsidR="00FB7976">
              <w:rPr>
                <w:sz w:val="18"/>
                <w:szCs w:val="20"/>
              </w:rPr>
              <w:t>instytucje publiczne</w:t>
            </w:r>
            <w:r w:rsidRPr="00703A4F">
              <w:rPr>
                <w:sz w:val="18"/>
                <w:szCs w:val="20"/>
              </w:rPr>
              <w:t xml:space="preserve"> zaangażowan</w:t>
            </w:r>
            <w:r w:rsidR="00FB7976">
              <w:rPr>
                <w:sz w:val="18"/>
                <w:szCs w:val="20"/>
              </w:rPr>
              <w:t>e</w:t>
            </w:r>
            <w:r w:rsidRPr="00703A4F">
              <w:rPr>
                <w:sz w:val="18"/>
                <w:szCs w:val="20"/>
              </w:rPr>
              <w:t xml:space="preserve"> w zarządzanie kryzysowe i dzięki poprawie koordynacji tych działań</w:t>
            </w:r>
            <w:r w:rsidR="00FB7976">
              <w:rPr>
                <w:sz w:val="18"/>
                <w:szCs w:val="20"/>
              </w:rPr>
              <w:t>,</w:t>
            </w:r>
            <w:r w:rsidRPr="00703A4F">
              <w:rPr>
                <w:sz w:val="18"/>
                <w:szCs w:val="20"/>
              </w:rPr>
              <w:t xml:space="preserve"> przy wykorzystaniu systemu opracowanego w ramach Projektu</w:t>
            </w:r>
            <w:r w:rsidR="00FB7976">
              <w:rPr>
                <w:sz w:val="18"/>
                <w:szCs w:val="20"/>
              </w:rPr>
              <w:t>,</w:t>
            </w:r>
            <w:r w:rsidRPr="00703A4F">
              <w:rPr>
                <w:sz w:val="18"/>
                <w:szCs w:val="20"/>
              </w:rPr>
              <w:t xml:space="preserve"> pozwoli także zwiększyć ich przejrzystość.</w:t>
            </w:r>
          </w:p>
          <w:p w:rsidR="00703A4F" w:rsidRDefault="00703A4F" w:rsidP="005A4344">
            <w:pPr>
              <w:jc w:val="both"/>
              <w:rPr>
                <w:sz w:val="18"/>
                <w:szCs w:val="20"/>
              </w:rPr>
            </w:pPr>
            <w:r w:rsidRPr="00703A4F">
              <w:rPr>
                <w:sz w:val="18"/>
                <w:szCs w:val="20"/>
              </w:rPr>
              <w:t>Celem Projektu jest również stworzenie systemu informatycznego, który oparty będzie na otwartych standardach, zapewniając możliwość integracji z istniejącymi oraz powstającymi</w:t>
            </w:r>
            <w:r w:rsidR="00FB7976">
              <w:rPr>
                <w:sz w:val="18"/>
                <w:szCs w:val="20"/>
              </w:rPr>
              <w:t xml:space="preserve"> systemami i</w:t>
            </w:r>
            <w:r w:rsidRPr="00703A4F">
              <w:rPr>
                <w:sz w:val="18"/>
                <w:szCs w:val="20"/>
              </w:rPr>
              <w:t xml:space="preserve"> bazami danych referencyjnych.</w:t>
            </w:r>
          </w:p>
          <w:p w:rsidR="00703A4F" w:rsidRDefault="00703A4F" w:rsidP="005A4344">
            <w:pPr>
              <w:jc w:val="both"/>
              <w:rPr>
                <w:sz w:val="18"/>
                <w:szCs w:val="20"/>
              </w:rPr>
            </w:pPr>
          </w:p>
          <w:tbl>
            <w:tblPr>
              <w:tblW w:w="6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122"/>
              <w:gridCol w:w="645"/>
              <w:gridCol w:w="831"/>
              <w:gridCol w:w="1345"/>
              <w:gridCol w:w="822"/>
            </w:tblGrid>
            <w:tr w:rsidR="00703A4F" w:rsidRPr="00174B2D" w:rsidTr="005C6044">
              <w:trPr>
                <w:trHeight w:val="196"/>
              </w:trPr>
              <w:tc>
                <w:tcPr>
                  <w:tcW w:w="352"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sz w:val="18"/>
                      <w:szCs w:val="18"/>
                      <w:u w:val="none"/>
                      <w:lang w:val="pl-PL" w:eastAsia="pl-PL"/>
                    </w:rPr>
                    <w:t>Lp.</w:t>
                  </w:r>
                </w:p>
              </w:tc>
              <w:tc>
                <w:tcPr>
                  <w:tcW w:w="1711"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sz w:val="18"/>
                      <w:szCs w:val="18"/>
                      <w:u w:val="none"/>
                      <w:lang w:val="pl-PL" w:eastAsia="pl-PL"/>
                    </w:rPr>
                    <w:t>Wskaźnik rezultatu</w:t>
                  </w:r>
                </w:p>
              </w:tc>
              <w:tc>
                <w:tcPr>
                  <w:tcW w:w="520"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sz w:val="18"/>
                      <w:szCs w:val="18"/>
                      <w:u w:val="none"/>
                      <w:lang w:val="pl-PL" w:eastAsia="pl-PL"/>
                    </w:rPr>
                    <w:t>Jedn. miary</w:t>
                  </w:r>
                </w:p>
              </w:tc>
              <w:tc>
                <w:tcPr>
                  <w:tcW w:w="670"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sz w:val="18"/>
                      <w:szCs w:val="18"/>
                      <w:u w:val="none"/>
                      <w:lang w:val="pl-PL" w:eastAsia="pl-PL"/>
                    </w:rPr>
                    <w:t>Rok</w:t>
                  </w:r>
                </w:p>
              </w:tc>
              <w:tc>
                <w:tcPr>
                  <w:tcW w:w="1747" w:type="pct"/>
                  <w:gridSpan w:val="2"/>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sz w:val="18"/>
                      <w:szCs w:val="18"/>
                      <w:u w:val="none"/>
                      <w:lang w:val="pl-PL" w:eastAsia="pl-PL"/>
                    </w:rPr>
                    <w:t>Wartość wskaźnika</w:t>
                  </w:r>
                </w:p>
              </w:tc>
            </w:tr>
            <w:tr w:rsidR="00BA71AB" w:rsidRPr="00174B2D" w:rsidTr="005C6044">
              <w:trPr>
                <w:trHeight w:val="438"/>
              </w:trPr>
              <w:tc>
                <w:tcPr>
                  <w:tcW w:w="352" w:type="pct"/>
                  <w:vMerge w:val="restar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1.</w:t>
                  </w:r>
                </w:p>
              </w:tc>
              <w:tc>
                <w:tcPr>
                  <w:tcW w:w="1711" w:type="pct"/>
                  <w:vMerge w:val="restar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Liczba jednostek sektora publicznego korzystających z aplikacji ISOK</w:t>
                  </w:r>
                </w:p>
              </w:tc>
              <w:tc>
                <w:tcPr>
                  <w:tcW w:w="520" w:type="pct"/>
                  <w:vMerge w:val="restar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Szt.</w:t>
                  </w:r>
                </w:p>
              </w:tc>
              <w:tc>
                <w:tcPr>
                  <w:tcW w:w="670"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2009</w:t>
                  </w:r>
                </w:p>
              </w:tc>
              <w:tc>
                <w:tcPr>
                  <w:tcW w:w="1084"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b w:val="0"/>
                      <w:sz w:val="18"/>
                      <w:szCs w:val="18"/>
                      <w:u w:val="none"/>
                      <w:lang w:val="pl-PL" w:eastAsia="pl-PL"/>
                    </w:rPr>
                    <w:t>Wartość bazowa</w:t>
                  </w:r>
                </w:p>
              </w:tc>
              <w:tc>
                <w:tcPr>
                  <w:tcW w:w="663"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0</w:t>
                  </w:r>
                </w:p>
              </w:tc>
            </w:tr>
            <w:tr w:rsidR="005C6044" w:rsidRPr="00174B2D" w:rsidTr="005C6044">
              <w:trPr>
                <w:trHeight w:val="113"/>
              </w:trPr>
              <w:tc>
                <w:tcPr>
                  <w:tcW w:w="352"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1711"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520"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670"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2019</w:t>
                  </w:r>
                </w:p>
              </w:tc>
              <w:tc>
                <w:tcPr>
                  <w:tcW w:w="1084"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Wartość wskaźnika osiągnięta w wyniku zrealizowania projektu</w:t>
                  </w:r>
                </w:p>
              </w:tc>
              <w:tc>
                <w:tcPr>
                  <w:tcW w:w="663"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0</w:t>
                  </w:r>
                </w:p>
              </w:tc>
            </w:tr>
            <w:tr w:rsidR="00BA71AB" w:rsidRPr="00174B2D" w:rsidTr="005C6044">
              <w:trPr>
                <w:trHeight w:val="120"/>
              </w:trPr>
              <w:tc>
                <w:tcPr>
                  <w:tcW w:w="352" w:type="pct"/>
                  <w:vMerge/>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p>
              </w:tc>
              <w:tc>
                <w:tcPr>
                  <w:tcW w:w="1711" w:type="pct"/>
                  <w:vMerge/>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p>
              </w:tc>
              <w:tc>
                <w:tcPr>
                  <w:tcW w:w="520" w:type="pct"/>
                  <w:vMerge/>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p>
              </w:tc>
              <w:tc>
                <w:tcPr>
                  <w:tcW w:w="670"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2020</w:t>
                  </w:r>
                </w:p>
              </w:tc>
              <w:tc>
                <w:tcPr>
                  <w:tcW w:w="1084"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b w:val="0"/>
                      <w:sz w:val="18"/>
                      <w:szCs w:val="18"/>
                      <w:u w:val="none"/>
                      <w:lang w:val="pl-PL" w:eastAsia="pl-PL"/>
                    </w:rPr>
                    <w:t>Wartość docelowa</w:t>
                  </w:r>
                </w:p>
              </w:tc>
              <w:tc>
                <w:tcPr>
                  <w:tcW w:w="663"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80</w:t>
                  </w:r>
                </w:p>
              </w:tc>
            </w:tr>
            <w:tr w:rsidR="005C6044" w:rsidRPr="00174B2D" w:rsidTr="005C6044">
              <w:trPr>
                <w:trHeight w:val="116"/>
              </w:trPr>
              <w:tc>
                <w:tcPr>
                  <w:tcW w:w="352" w:type="pct"/>
                  <w:vMerge w:val="restar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w:t>
                  </w:r>
                </w:p>
              </w:tc>
              <w:tc>
                <w:tcPr>
                  <w:tcW w:w="1711" w:type="pct"/>
                  <w:vMerge w:val="restar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Liczba uczestników szkoleń specjalistycznych</w:t>
                  </w:r>
                </w:p>
              </w:tc>
              <w:tc>
                <w:tcPr>
                  <w:tcW w:w="520" w:type="pct"/>
                  <w:vMerge w:val="restar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Os.</w:t>
                  </w:r>
                </w:p>
              </w:tc>
              <w:tc>
                <w:tcPr>
                  <w:tcW w:w="670"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2009</w:t>
                  </w:r>
                </w:p>
              </w:tc>
              <w:tc>
                <w:tcPr>
                  <w:tcW w:w="1084" w:type="pct"/>
                  <w:shd w:val="clear" w:color="auto" w:fill="auto"/>
                </w:tcPr>
                <w:p w:rsidR="005C6044" w:rsidRPr="00703A4F" w:rsidRDefault="005C6044" w:rsidP="0081393B">
                  <w:pPr>
                    <w:pStyle w:val="Podtytu"/>
                    <w:spacing w:before="60" w:after="60"/>
                    <w:jc w:val="both"/>
                    <w:rPr>
                      <w:rFonts w:ascii="Calibri" w:hAnsi="Calibri"/>
                      <w:sz w:val="18"/>
                      <w:szCs w:val="18"/>
                      <w:u w:val="none"/>
                      <w:lang w:val="pl-PL" w:eastAsia="pl-PL"/>
                    </w:rPr>
                  </w:pPr>
                  <w:r w:rsidRPr="00703A4F">
                    <w:rPr>
                      <w:rFonts w:ascii="Calibri" w:hAnsi="Calibri"/>
                      <w:b w:val="0"/>
                      <w:sz w:val="18"/>
                      <w:szCs w:val="18"/>
                      <w:u w:val="none"/>
                      <w:lang w:val="pl-PL" w:eastAsia="pl-PL"/>
                    </w:rPr>
                    <w:t>Wartość bazowa</w:t>
                  </w:r>
                </w:p>
              </w:tc>
              <w:tc>
                <w:tcPr>
                  <w:tcW w:w="663"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0</w:t>
                  </w:r>
                </w:p>
              </w:tc>
            </w:tr>
            <w:tr w:rsidR="005C6044" w:rsidRPr="00174B2D" w:rsidTr="005C6044">
              <w:trPr>
                <w:trHeight w:val="1289"/>
              </w:trPr>
              <w:tc>
                <w:tcPr>
                  <w:tcW w:w="352"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1711"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520"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670"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2019</w:t>
                  </w:r>
                </w:p>
              </w:tc>
              <w:tc>
                <w:tcPr>
                  <w:tcW w:w="1084"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Wartość wskaźnika osiągnięta w wyniku zrealizowania projektu</w:t>
                  </w:r>
                </w:p>
              </w:tc>
              <w:tc>
                <w:tcPr>
                  <w:tcW w:w="663"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50</w:t>
                  </w:r>
                </w:p>
              </w:tc>
            </w:tr>
            <w:tr w:rsidR="005C6044" w:rsidRPr="00174B2D" w:rsidTr="005C6044">
              <w:trPr>
                <w:trHeight w:val="138"/>
              </w:trPr>
              <w:tc>
                <w:tcPr>
                  <w:tcW w:w="352"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1711"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520"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670" w:type="pct"/>
                  <w:shd w:val="clear" w:color="auto" w:fill="auto"/>
                </w:tcPr>
                <w:p w:rsidR="005C6044"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2020</w:t>
                  </w:r>
                </w:p>
              </w:tc>
              <w:tc>
                <w:tcPr>
                  <w:tcW w:w="1084" w:type="pct"/>
                  <w:shd w:val="clear" w:color="auto" w:fill="auto"/>
                </w:tcPr>
                <w:p w:rsidR="005C6044"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Wartość docelowa</w:t>
                  </w:r>
                </w:p>
              </w:tc>
              <w:tc>
                <w:tcPr>
                  <w:tcW w:w="663" w:type="pct"/>
                  <w:shd w:val="clear" w:color="auto" w:fill="auto"/>
                </w:tcPr>
                <w:p w:rsidR="005C6044" w:rsidRDefault="005C6044"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50</w:t>
                  </w:r>
                </w:p>
              </w:tc>
            </w:tr>
            <w:tr w:rsidR="00BA71AB" w:rsidRPr="00174B2D" w:rsidTr="005C6044">
              <w:trPr>
                <w:trHeight w:val="400"/>
              </w:trPr>
              <w:tc>
                <w:tcPr>
                  <w:tcW w:w="352" w:type="pct"/>
                  <w:vMerge w:val="restar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3</w:t>
                  </w:r>
                </w:p>
              </w:tc>
              <w:tc>
                <w:tcPr>
                  <w:tcW w:w="1711" w:type="pct"/>
                  <w:vMerge w:val="restar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Liczba uczestników szkoleń e-learningowych</w:t>
                  </w:r>
                </w:p>
              </w:tc>
              <w:tc>
                <w:tcPr>
                  <w:tcW w:w="520" w:type="pct"/>
                  <w:vMerge w:val="restar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Os.</w:t>
                  </w:r>
                </w:p>
              </w:tc>
              <w:tc>
                <w:tcPr>
                  <w:tcW w:w="670"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2009</w:t>
                  </w:r>
                </w:p>
              </w:tc>
              <w:tc>
                <w:tcPr>
                  <w:tcW w:w="1084"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b w:val="0"/>
                      <w:sz w:val="18"/>
                      <w:szCs w:val="18"/>
                      <w:u w:val="none"/>
                      <w:lang w:val="pl-PL" w:eastAsia="pl-PL"/>
                    </w:rPr>
                    <w:t>Wartość bazowa</w:t>
                  </w:r>
                </w:p>
              </w:tc>
              <w:tc>
                <w:tcPr>
                  <w:tcW w:w="663"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0</w:t>
                  </w:r>
                </w:p>
              </w:tc>
            </w:tr>
            <w:tr w:rsidR="005C6044" w:rsidRPr="00174B2D" w:rsidTr="005C6044">
              <w:trPr>
                <w:trHeight w:val="146"/>
              </w:trPr>
              <w:tc>
                <w:tcPr>
                  <w:tcW w:w="352"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1711"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520" w:type="pct"/>
                  <w:vMerge/>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p>
              </w:tc>
              <w:tc>
                <w:tcPr>
                  <w:tcW w:w="670"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2019</w:t>
                  </w:r>
                </w:p>
              </w:tc>
              <w:tc>
                <w:tcPr>
                  <w:tcW w:w="1084"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Wartość wskaźnika osiągnięta w wyniku zrealizowania projektu</w:t>
                  </w:r>
                </w:p>
              </w:tc>
              <w:tc>
                <w:tcPr>
                  <w:tcW w:w="663" w:type="pct"/>
                  <w:shd w:val="clear" w:color="auto" w:fill="auto"/>
                </w:tcPr>
                <w:p w:rsidR="005C6044" w:rsidRPr="00703A4F" w:rsidRDefault="005C6044" w:rsidP="0081393B">
                  <w:pPr>
                    <w:pStyle w:val="Podtytu"/>
                    <w:spacing w:before="60" w:after="60"/>
                    <w:jc w:val="both"/>
                    <w:rPr>
                      <w:rFonts w:ascii="Calibri" w:hAnsi="Calibri"/>
                      <w:b w:val="0"/>
                      <w:sz w:val="18"/>
                      <w:szCs w:val="18"/>
                      <w:u w:val="none"/>
                      <w:lang w:val="pl-PL" w:eastAsia="pl-PL"/>
                    </w:rPr>
                  </w:pPr>
                  <w:r>
                    <w:rPr>
                      <w:rFonts w:ascii="Calibri" w:hAnsi="Calibri"/>
                      <w:b w:val="0"/>
                      <w:sz w:val="18"/>
                      <w:szCs w:val="18"/>
                      <w:u w:val="none"/>
                      <w:lang w:val="pl-PL" w:eastAsia="pl-PL"/>
                    </w:rPr>
                    <w:t>0</w:t>
                  </w:r>
                </w:p>
              </w:tc>
            </w:tr>
            <w:tr w:rsidR="00BA71AB" w:rsidRPr="00174B2D" w:rsidTr="005C6044">
              <w:trPr>
                <w:trHeight w:val="120"/>
              </w:trPr>
              <w:tc>
                <w:tcPr>
                  <w:tcW w:w="352" w:type="pct"/>
                  <w:vMerge/>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p>
              </w:tc>
              <w:tc>
                <w:tcPr>
                  <w:tcW w:w="1711" w:type="pct"/>
                  <w:vMerge/>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p>
              </w:tc>
              <w:tc>
                <w:tcPr>
                  <w:tcW w:w="520" w:type="pct"/>
                  <w:vMerge/>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p>
              </w:tc>
              <w:tc>
                <w:tcPr>
                  <w:tcW w:w="670"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2020</w:t>
                  </w:r>
                </w:p>
              </w:tc>
              <w:tc>
                <w:tcPr>
                  <w:tcW w:w="1084" w:type="pct"/>
                  <w:shd w:val="clear" w:color="auto" w:fill="auto"/>
                </w:tcPr>
                <w:p w:rsidR="00703A4F" w:rsidRPr="00703A4F" w:rsidRDefault="00703A4F" w:rsidP="0081393B">
                  <w:pPr>
                    <w:pStyle w:val="Podtytu"/>
                    <w:spacing w:before="60" w:after="60"/>
                    <w:jc w:val="both"/>
                    <w:rPr>
                      <w:rFonts w:ascii="Calibri" w:hAnsi="Calibri"/>
                      <w:sz w:val="18"/>
                      <w:szCs w:val="18"/>
                      <w:u w:val="none"/>
                      <w:lang w:val="pl-PL" w:eastAsia="pl-PL"/>
                    </w:rPr>
                  </w:pPr>
                  <w:r w:rsidRPr="00703A4F">
                    <w:rPr>
                      <w:rFonts w:ascii="Calibri" w:hAnsi="Calibri"/>
                      <w:b w:val="0"/>
                      <w:sz w:val="18"/>
                      <w:szCs w:val="18"/>
                      <w:u w:val="none"/>
                      <w:lang w:val="pl-PL" w:eastAsia="pl-PL"/>
                    </w:rPr>
                    <w:t>Wartość docelowa</w:t>
                  </w:r>
                </w:p>
              </w:tc>
              <w:tc>
                <w:tcPr>
                  <w:tcW w:w="663" w:type="pct"/>
                  <w:shd w:val="clear" w:color="auto" w:fill="auto"/>
                </w:tcPr>
                <w:p w:rsidR="00703A4F" w:rsidRPr="00703A4F" w:rsidRDefault="00703A4F" w:rsidP="0081393B">
                  <w:pPr>
                    <w:pStyle w:val="Podtytu"/>
                    <w:spacing w:before="60" w:after="60"/>
                    <w:jc w:val="both"/>
                    <w:rPr>
                      <w:rFonts w:ascii="Calibri" w:hAnsi="Calibri"/>
                      <w:b w:val="0"/>
                      <w:sz w:val="18"/>
                      <w:szCs w:val="18"/>
                      <w:u w:val="none"/>
                      <w:lang w:val="pl-PL" w:eastAsia="pl-PL"/>
                    </w:rPr>
                  </w:pPr>
                  <w:r w:rsidRPr="00703A4F">
                    <w:rPr>
                      <w:rFonts w:ascii="Calibri" w:hAnsi="Calibri"/>
                      <w:b w:val="0"/>
                      <w:sz w:val="18"/>
                      <w:szCs w:val="18"/>
                      <w:u w:val="none"/>
                      <w:lang w:val="pl-PL" w:eastAsia="pl-PL"/>
                    </w:rPr>
                    <w:t>1000</w:t>
                  </w:r>
                </w:p>
              </w:tc>
            </w:tr>
          </w:tbl>
          <w:p w:rsidR="00920CE8" w:rsidRPr="002450C4" w:rsidRDefault="00920CE8" w:rsidP="00BC120E">
            <w:pPr>
              <w:jc w:val="both"/>
              <w:rPr>
                <w:i/>
                <w:sz w:val="18"/>
                <w:szCs w:val="20"/>
              </w:rPr>
            </w:pPr>
          </w:p>
        </w:tc>
      </w:tr>
      <w:tr w:rsidR="007A0A3D" w:rsidRPr="002450C4" w:rsidTr="00920CE8">
        <w:tc>
          <w:tcPr>
            <w:tcW w:w="480" w:type="dxa"/>
          </w:tcPr>
          <w:p w:rsidR="007A0A3D" w:rsidRPr="002450C4" w:rsidRDefault="007A0A3D" w:rsidP="007A0A3D">
            <w:pPr>
              <w:pStyle w:val="Akapitzlist"/>
              <w:numPr>
                <w:ilvl w:val="0"/>
                <w:numId w:val="1"/>
              </w:numPr>
              <w:rPr>
                <w:sz w:val="18"/>
                <w:szCs w:val="20"/>
              </w:rPr>
            </w:pPr>
          </w:p>
        </w:tc>
        <w:tc>
          <w:tcPr>
            <w:tcW w:w="2350" w:type="dxa"/>
          </w:tcPr>
          <w:p w:rsidR="007A0A3D" w:rsidRPr="002450C4" w:rsidRDefault="005D4188" w:rsidP="00A6601B">
            <w:pPr>
              <w:rPr>
                <w:sz w:val="18"/>
                <w:szCs w:val="20"/>
              </w:rPr>
            </w:pPr>
            <w:r>
              <w:rPr>
                <w:sz w:val="18"/>
                <w:szCs w:val="20"/>
              </w:rPr>
              <w:t>Ryzyka i problemy</w:t>
            </w:r>
          </w:p>
        </w:tc>
        <w:tc>
          <w:tcPr>
            <w:tcW w:w="6232" w:type="dxa"/>
          </w:tcPr>
          <w:p w:rsidR="00C465DB" w:rsidRDefault="00C465DB" w:rsidP="00C465DB">
            <w:pPr>
              <w:pStyle w:val="Akapitzlist"/>
              <w:jc w:val="both"/>
              <w:rPr>
                <w:sz w:val="18"/>
                <w:szCs w:val="20"/>
              </w:rPr>
            </w:pPr>
          </w:p>
          <w:p w:rsidR="00BA71AB" w:rsidRDefault="00C465DB" w:rsidP="00BA71AB">
            <w:pPr>
              <w:pStyle w:val="Akapitzlist"/>
              <w:numPr>
                <w:ilvl w:val="0"/>
                <w:numId w:val="9"/>
              </w:numPr>
              <w:jc w:val="both"/>
              <w:rPr>
                <w:sz w:val="18"/>
                <w:szCs w:val="20"/>
              </w:rPr>
            </w:pPr>
            <w:r>
              <w:rPr>
                <w:sz w:val="18"/>
                <w:szCs w:val="20"/>
              </w:rPr>
              <w:t>Trudności ze sprawnym pozyskaniem wykonawców w rygorze zamówień publicznych;</w:t>
            </w:r>
          </w:p>
          <w:p w:rsidR="00950B11" w:rsidRDefault="00950B11" w:rsidP="00950B11">
            <w:pPr>
              <w:pStyle w:val="Akapitzlist"/>
              <w:jc w:val="both"/>
              <w:rPr>
                <w:sz w:val="18"/>
                <w:szCs w:val="20"/>
              </w:rPr>
            </w:pPr>
            <w:r>
              <w:rPr>
                <w:sz w:val="18"/>
                <w:szCs w:val="20"/>
              </w:rPr>
              <w:lastRenderedPageBreak/>
              <w:t>Wpływ ryzyka</w:t>
            </w:r>
            <w:r w:rsidR="006D455E">
              <w:rPr>
                <w:sz w:val="18"/>
                <w:szCs w:val="20"/>
              </w:rPr>
              <w:t xml:space="preserve"> na realizację projektu: Wysoki</w:t>
            </w:r>
            <w:r>
              <w:rPr>
                <w:sz w:val="18"/>
                <w:szCs w:val="20"/>
              </w:rPr>
              <w:t>;</w:t>
            </w:r>
          </w:p>
          <w:p w:rsidR="0026221C" w:rsidRDefault="0026221C" w:rsidP="0026221C">
            <w:pPr>
              <w:pStyle w:val="Akapitzlist"/>
              <w:jc w:val="both"/>
              <w:rPr>
                <w:sz w:val="18"/>
                <w:szCs w:val="20"/>
              </w:rPr>
            </w:pPr>
            <w:r>
              <w:rPr>
                <w:sz w:val="18"/>
                <w:szCs w:val="20"/>
              </w:rPr>
              <w:t xml:space="preserve">Działania: Wsparcie ekspertów z dziedziny zamówień publicznych, dzięki któremu można </w:t>
            </w:r>
            <w:r w:rsidR="00C465DB">
              <w:rPr>
                <w:sz w:val="18"/>
                <w:szCs w:val="20"/>
              </w:rPr>
              <w:t>dopracować dokumentację przetargową</w:t>
            </w:r>
            <w:r>
              <w:rPr>
                <w:sz w:val="18"/>
                <w:szCs w:val="20"/>
              </w:rPr>
              <w:t xml:space="preserve"> oraz </w:t>
            </w:r>
            <w:r w:rsidR="00C465DB">
              <w:rPr>
                <w:sz w:val="18"/>
                <w:szCs w:val="20"/>
              </w:rPr>
              <w:t xml:space="preserve">zapewnić </w:t>
            </w:r>
            <w:r>
              <w:rPr>
                <w:sz w:val="18"/>
                <w:szCs w:val="20"/>
              </w:rPr>
              <w:t xml:space="preserve">sprawną i kompleksową </w:t>
            </w:r>
            <w:r w:rsidR="00C465DB">
              <w:rPr>
                <w:sz w:val="18"/>
                <w:szCs w:val="20"/>
              </w:rPr>
              <w:t>obsługę zamówienia publicznego;</w:t>
            </w:r>
          </w:p>
          <w:p w:rsidR="00BA71AB" w:rsidRDefault="00C465DB" w:rsidP="00BA71AB">
            <w:pPr>
              <w:pStyle w:val="Akapitzlist"/>
              <w:numPr>
                <w:ilvl w:val="0"/>
                <w:numId w:val="9"/>
              </w:numPr>
              <w:jc w:val="both"/>
              <w:rPr>
                <w:sz w:val="18"/>
                <w:szCs w:val="20"/>
              </w:rPr>
            </w:pPr>
            <w:r>
              <w:rPr>
                <w:sz w:val="18"/>
                <w:szCs w:val="20"/>
              </w:rPr>
              <w:t>Długotrwały</w:t>
            </w:r>
            <w:r w:rsidR="0026221C">
              <w:rPr>
                <w:sz w:val="18"/>
                <w:szCs w:val="20"/>
              </w:rPr>
              <w:t xml:space="preserve"> proces związany z zapewnieniem finansowania oraz pozyskaniem środków</w:t>
            </w:r>
            <w:r>
              <w:rPr>
                <w:sz w:val="18"/>
                <w:szCs w:val="20"/>
              </w:rPr>
              <w:t xml:space="preserve"> publicznych</w:t>
            </w:r>
            <w:r w:rsidR="0026221C">
              <w:rPr>
                <w:sz w:val="18"/>
                <w:szCs w:val="20"/>
              </w:rPr>
              <w:t>;</w:t>
            </w:r>
          </w:p>
          <w:p w:rsidR="00950B11" w:rsidRDefault="00950B11" w:rsidP="00950B11">
            <w:pPr>
              <w:pStyle w:val="Akapitzlist"/>
              <w:jc w:val="both"/>
              <w:rPr>
                <w:sz w:val="18"/>
                <w:szCs w:val="20"/>
              </w:rPr>
            </w:pPr>
            <w:r>
              <w:rPr>
                <w:sz w:val="18"/>
                <w:szCs w:val="20"/>
              </w:rPr>
              <w:t>Wpływ ryzyka</w:t>
            </w:r>
            <w:r w:rsidR="006D455E">
              <w:rPr>
                <w:sz w:val="18"/>
                <w:szCs w:val="20"/>
              </w:rPr>
              <w:t xml:space="preserve"> na realizację projektu: Średni</w:t>
            </w:r>
            <w:r>
              <w:rPr>
                <w:sz w:val="18"/>
                <w:szCs w:val="20"/>
              </w:rPr>
              <w:t>;</w:t>
            </w:r>
          </w:p>
          <w:p w:rsidR="0026221C" w:rsidRDefault="0026221C" w:rsidP="0026221C">
            <w:pPr>
              <w:pStyle w:val="Akapitzlist"/>
              <w:jc w:val="both"/>
              <w:rPr>
                <w:sz w:val="18"/>
                <w:szCs w:val="20"/>
              </w:rPr>
            </w:pPr>
            <w:r>
              <w:rPr>
                <w:sz w:val="18"/>
                <w:szCs w:val="20"/>
              </w:rPr>
              <w:t>Działania: Stały monitoring procesu zapewnienia finansowania</w:t>
            </w:r>
            <w:r w:rsidR="00C465DB">
              <w:rPr>
                <w:sz w:val="18"/>
                <w:szCs w:val="20"/>
              </w:rPr>
              <w:t xml:space="preserve"> oraz odpowiednie planowanie wysokości wydatków i czasu ich realizacji;</w:t>
            </w:r>
          </w:p>
          <w:p w:rsidR="0026221C" w:rsidRDefault="0026221C" w:rsidP="00BA71AB">
            <w:pPr>
              <w:pStyle w:val="Akapitzlist"/>
              <w:numPr>
                <w:ilvl w:val="0"/>
                <w:numId w:val="9"/>
              </w:numPr>
              <w:jc w:val="both"/>
              <w:rPr>
                <w:sz w:val="18"/>
                <w:szCs w:val="20"/>
              </w:rPr>
            </w:pPr>
            <w:r>
              <w:rPr>
                <w:sz w:val="18"/>
                <w:szCs w:val="20"/>
              </w:rPr>
              <w:t xml:space="preserve">Niska jakość </w:t>
            </w:r>
            <w:r w:rsidR="00C465DB">
              <w:rPr>
                <w:sz w:val="18"/>
                <w:szCs w:val="20"/>
              </w:rPr>
              <w:t xml:space="preserve">produktów </w:t>
            </w:r>
            <w:r>
              <w:rPr>
                <w:sz w:val="18"/>
                <w:szCs w:val="20"/>
              </w:rPr>
              <w:t>dostarczanych przez Wykonawców;</w:t>
            </w:r>
          </w:p>
          <w:p w:rsidR="00950B11" w:rsidRDefault="00950B11" w:rsidP="00950B11">
            <w:pPr>
              <w:pStyle w:val="Akapitzlist"/>
              <w:jc w:val="both"/>
              <w:rPr>
                <w:sz w:val="18"/>
                <w:szCs w:val="20"/>
              </w:rPr>
            </w:pPr>
            <w:r>
              <w:rPr>
                <w:sz w:val="18"/>
                <w:szCs w:val="20"/>
              </w:rPr>
              <w:t>Wpływ ryzyka</w:t>
            </w:r>
            <w:r w:rsidR="006D455E">
              <w:rPr>
                <w:sz w:val="18"/>
                <w:szCs w:val="20"/>
              </w:rPr>
              <w:t xml:space="preserve"> na realizację projektu: Wysoki;</w:t>
            </w:r>
          </w:p>
          <w:p w:rsidR="0026221C" w:rsidRDefault="0026221C" w:rsidP="0026221C">
            <w:pPr>
              <w:pStyle w:val="Akapitzlist"/>
              <w:jc w:val="both"/>
              <w:rPr>
                <w:sz w:val="18"/>
                <w:szCs w:val="20"/>
              </w:rPr>
            </w:pPr>
            <w:r>
              <w:rPr>
                <w:sz w:val="18"/>
                <w:szCs w:val="20"/>
              </w:rPr>
              <w:t>Działania: Wsparcie zespołu eksperckiego</w:t>
            </w:r>
            <w:r w:rsidR="00C465DB">
              <w:rPr>
                <w:sz w:val="18"/>
                <w:szCs w:val="20"/>
              </w:rPr>
              <w:t xml:space="preserve"> po stronie zamawiającego </w:t>
            </w:r>
            <w:r>
              <w:rPr>
                <w:sz w:val="18"/>
                <w:szCs w:val="20"/>
              </w:rPr>
              <w:t>wery</w:t>
            </w:r>
            <w:r w:rsidR="00C465DB">
              <w:rPr>
                <w:sz w:val="18"/>
                <w:szCs w:val="20"/>
              </w:rPr>
              <w:t>fikującego dostarczane produkty;</w:t>
            </w:r>
          </w:p>
          <w:p w:rsidR="0026221C" w:rsidRDefault="0026221C" w:rsidP="00BA71AB">
            <w:pPr>
              <w:pStyle w:val="Akapitzlist"/>
              <w:numPr>
                <w:ilvl w:val="0"/>
                <w:numId w:val="9"/>
              </w:numPr>
              <w:jc w:val="both"/>
              <w:rPr>
                <w:sz w:val="18"/>
                <w:szCs w:val="20"/>
              </w:rPr>
            </w:pPr>
            <w:r>
              <w:rPr>
                <w:sz w:val="18"/>
                <w:szCs w:val="20"/>
              </w:rPr>
              <w:t>Współpraca pomiędzy jednostkami posiadając</w:t>
            </w:r>
            <w:r w:rsidR="00C465DB">
              <w:rPr>
                <w:sz w:val="18"/>
                <w:szCs w:val="20"/>
              </w:rPr>
              <w:t>ymi</w:t>
            </w:r>
            <w:r>
              <w:rPr>
                <w:sz w:val="18"/>
                <w:szCs w:val="20"/>
              </w:rPr>
              <w:t xml:space="preserve"> rozbieżne cele w realizacji Projektu;</w:t>
            </w:r>
          </w:p>
          <w:p w:rsidR="00950B11" w:rsidRDefault="00950B11" w:rsidP="00950B11">
            <w:pPr>
              <w:pStyle w:val="Akapitzlist"/>
              <w:jc w:val="both"/>
              <w:rPr>
                <w:sz w:val="18"/>
                <w:szCs w:val="20"/>
              </w:rPr>
            </w:pPr>
            <w:r>
              <w:rPr>
                <w:sz w:val="18"/>
                <w:szCs w:val="20"/>
              </w:rPr>
              <w:t>Wpływ ryzyka na realizację projektu: Niski;</w:t>
            </w:r>
          </w:p>
          <w:p w:rsidR="008548F4" w:rsidRDefault="008548F4" w:rsidP="008548F4">
            <w:pPr>
              <w:pStyle w:val="Akapitzlist"/>
              <w:jc w:val="both"/>
              <w:rPr>
                <w:sz w:val="18"/>
                <w:szCs w:val="20"/>
              </w:rPr>
            </w:pPr>
            <w:r>
              <w:rPr>
                <w:sz w:val="18"/>
                <w:szCs w:val="20"/>
              </w:rPr>
              <w:t xml:space="preserve">Działania: Spotkania analityczne mające na </w:t>
            </w:r>
            <w:r w:rsidR="00C465DB">
              <w:rPr>
                <w:sz w:val="18"/>
                <w:szCs w:val="20"/>
              </w:rPr>
              <w:t>celu wypracowanie kompromisów i wspólnych celów;</w:t>
            </w:r>
          </w:p>
          <w:p w:rsidR="0026221C" w:rsidRDefault="00C465DB" w:rsidP="0026221C">
            <w:pPr>
              <w:pStyle w:val="Akapitzlist"/>
              <w:numPr>
                <w:ilvl w:val="0"/>
                <w:numId w:val="9"/>
              </w:numPr>
              <w:jc w:val="both"/>
              <w:rPr>
                <w:sz w:val="18"/>
                <w:szCs w:val="20"/>
              </w:rPr>
            </w:pPr>
            <w:r>
              <w:rPr>
                <w:sz w:val="18"/>
                <w:szCs w:val="20"/>
              </w:rPr>
              <w:t>Nie</w:t>
            </w:r>
            <w:r w:rsidR="0026221C" w:rsidRPr="0026221C">
              <w:rPr>
                <w:sz w:val="18"/>
                <w:szCs w:val="20"/>
              </w:rPr>
              <w:t xml:space="preserve">wystarczające zaangażowanie przedstawicieli </w:t>
            </w:r>
            <w:r w:rsidR="0026221C">
              <w:rPr>
                <w:sz w:val="18"/>
                <w:szCs w:val="20"/>
              </w:rPr>
              <w:t>partnerów/</w:t>
            </w:r>
            <w:r w:rsidR="0026221C" w:rsidRPr="0026221C">
              <w:rPr>
                <w:sz w:val="18"/>
                <w:szCs w:val="20"/>
              </w:rPr>
              <w:t xml:space="preserve">resortów, których merytorycznie dotyczy </w:t>
            </w:r>
            <w:r w:rsidR="0026221C">
              <w:rPr>
                <w:sz w:val="18"/>
                <w:szCs w:val="20"/>
              </w:rPr>
              <w:t>projekt;</w:t>
            </w:r>
          </w:p>
          <w:p w:rsidR="00950B11" w:rsidRDefault="00950B11" w:rsidP="00950B11">
            <w:pPr>
              <w:pStyle w:val="Akapitzlist"/>
              <w:jc w:val="both"/>
              <w:rPr>
                <w:sz w:val="18"/>
                <w:szCs w:val="20"/>
              </w:rPr>
            </w:pPr>
            <w:r>
              <w:rPr>
                <w:sz w:val="18"/>
                <w:szCs w:val="20"/>
              </w:rPr>
              <w:t xml:space="preserve">Wpływ ryzyka na realizację </w:t>
            </w:r>
            <w:r w:rsidR="006D455E">
              <w:rPr>
                <w:sz w:val="18"/>
                <w:szCs w:val="20"/>
              </w:rPr>
              <w:t>projektu: Niski</w:t>
            </w:r>
            <w:r>
              <w:rPr>
                <w:sz w:val="18"/>
                <w:szCs w:val="20"/>
              </w:rPr>
              <w:t>;</w:t>
            </w:r>
          </w:p>
          <w:p w:rsidR="008548F4" w:rsidRPr="008548F4" w:rsidRDefault="008548F4" w:rsidP="008548F4">
            <w:pPr>
              <w:pStyle w:val="Akapitzlist"/>
              <w:jc w:val="both"/>
              <w:rPr>
                <w:sz w:val="18"/>
                <w:szCs w:val="20"/>
              </w:rPr>
            </w:pPr>
            <w:r>
              <w:rPr>
                <w:sz w:val="18"/>
                <w:szCs w:val="20"/>
              </w:rPr>
              <w:t>Działania: Regularne spotkania o charakterze zarządczym, mające na celu monit</w:t>
            </w:r>
            <w:r w:rsidR="00C465DB">
              <w:rPr>
                <w:sz w:val="18"/>
                <w:szCs w:val="20"/>
              </w:rPr>
              <w:t>oring postępów prac w projekcie;</w:t>
            </w:r>
          </w:p>
          <w:p w:rsidR="0026221C" w:rsidRDefault="0026221C" w:rsidP="0026221C">
            <w:pPr>
              <w:pStyle w:val="Akapitzlist"/>
              <w:numPr>
                <w:ilvl w:val="0"/>
                <w:numId w:val="9"/>
              </w:numPr>
              <w:jc w:val="both"/>
              <w:rPr>
                <w:sz w:val="18"/>
                <w:szCs w:val="20"/>
              </w:rPr>
            </w:pPr>
            <w:r w:rsidRPr="0026221C">
              <w:rPr>
                <w:sz w:val="18"/>
                <w:szCs w:val="20"/>
              </w:rPr>
              <w:t>Powiązanie z projektami realizowanymi przez inne podmioty</w:t>
            </w:r>
            <w:r w:rsidR="008548F4">
              <w:rPr>
                <w:sz w:val="18"/>
                <w:szCs w:val="20"/>
              </w:rPr>
              <w:t>;</w:t>
            </w:r>
          </w:p>
          <w:p w:rsidR="00950B11" w:rsidRDefault="00950B11" w:rsidP="00950B11">
            <w:pPr>
              <w:pStyle w:val="Akapitzlist"/>
              <w:jc w:val="both"/>
              <w:rPr>
                <w:sz w:val="18"/>
                <w:szCs w:val="20"/>
              </w:rPr>
            </w:pPr>
            <w:r>
              <w:rPr>
                <w:sz w:val="18"/>
                <w:szCs w:val="20"/>
              </w:rPr>
              <w:t>Wpływ ryzyka</w:t>
            </w:r>
            <w:r w:rsidR="006D455E">
              <w:rPr>
                <w:sz w:val="18"/>
                <w:szCs w:val="20"/>
              </w:rPr>
              <w:t xml:space="preserve"> na realizację projektu: Średni</w:t>
            </w:r>
            <w:r>
              <w:rPr>
                <w:sz w:val="18"/>
                <w:szCs w:val="20"/>
              </w:rPr>
              <w:t>;</w:t>
            </w:r>
          </w:p>
          <w:p w:rsidR="008548F4" w:rsidRPr="00BA71AB" w:rsidRDefault="008548F4" w:rsidP="008548F4">
            <w:pPr>
              <w:pStyle w:val="Akapitzlist"/>
              <w:jc w:val="both"/>
              <w:rPr>
                <w:sz w:val="18"/>
                <w:szCs w:val="20"/>
              </w:rPr>
            </w:pPr>
            <w:r>
              <w:rPr>
                <w:sz w:val="18"/>
                <w:szCs w:val="20"/>
              </w:rPr>
              <w:t>Działania: Zaangażowanie w prace przedstawicieli podmiotów, z którymi ma nastąpi</w:t>
            </w:r>
            <w:r w:rsidR="00C465DB">
              <w:rPr>
                <w:sz w:val="18"/>
                <w:szCs w:val="20"/>
              </w:rPr>
              <w:t>ć integracja usług/zasobów;</w:t>
            </w:r>
          </w:p>
          <w:p w:rsidR="007A0A3D" w:rsidRPr="002450C4" w:rsidRDefault="007A0A3D" w:rsidP="00BC120E">
            <w:pPr>
              <w:jc w:val="both"/>
              <w:rPr>
                <w:i/>
                <w:sz w:val="18"/>
                <w:szCs w:val="20"/>
              </w:rPr>
            </w:pPr>
          </w:p>
        </w:tc>
      </w:tr>
      <w:tr w:rsidR="00813FEF" w:rsidRPr="002450C4" w:rsidTr="00813FEF">
        <w:tc>
          <w:tcPr>
            <w:tcW w:w="480" w:type="dxa"/>
          </w:tcPr>
          <w:p w:rsidR="00813FEF" w:rsidRPr="002450C4" w:rsidRDefault="00813FEF" w:rsidP="0058262E">
            <w:pPr>
              <w:pStyle w:val="Akapitzlist"/>
              <w:numPr>
                <w:ilvl w:val="0"/>
                <w:numId w:val="1"/>
              </w:numPr>
              <w:rPr>
                <w:sz w:val="18"/>
                <w:szCs w:val="20"/>
              </w:rPr>
            </w:pPr>
          </w:p>
        </w:tc>
        <w:tc>
          <w:tcPr>
            <w:tcW w:w="2350" w:type="dxa"/>
          </w:tcPr>
          <w:p w:rsidR="00813FEF" w:rsidRDefault="009D3D41" w:rsidP="009D3D41">
            <w:pPr>
              <w:rPr>
                <w:sz w:val="18"/>
                <w:szCs w:val="20"/>
              </w:rPr>
            </w:pPr>
            <w:r>
              <w:rPr>
                <w:sz w:val="18"/>
                <w:szCs w:val="20"/>
              </w:rPr>
              <w:t>U</w:t>
            </w:r>
            <w:r w:rsidR="00813FEF">
              <w:rPr>
                <w:sz w:val="18"/>
                <w:szCs w:val="20"/>
              </w:rPr>
              <w:t xml:space="preserve">zyskane korzyści </w:t>
            </w:r>
          </w:p>
        </w:tc>
        <w:tc>
          <w:tcPr>
            <w:tcW w:w="6232" w:type="dxa"/>
          </w:tcPr>
          <w:p w:rsidR="009A7103" w:rsidRPr="009A7103" w:rsidRDefault="009A7103" w:rsidP="009D3D41">
            <w:pPr>
              <w:jc w:val="both"/>
              <w:rPr>
                <w:bCs/>
                <w:sz w:val="18"/>
                <w:szCs w:val="20"/>
              </w:rPr>
            </w:pPr>
            <w:r w:rsidRPr="009A7103">
              <w:rPr>
                <w:bCs/>
                <w:sz w:val="18"/>
                <w:szCs w:val="20"/>
              </w:rPr>
              <w:t>Główną i najważniejszą korzyścią z realizacji Projektu będzie poprawa bezpieczeństwa obywateli Polski oraz ograniczenie gospodarczych skutków zagrożeń. Obie korzyści oddziaływać będą długo po zakończeniu Projektu. Zastosowanie najnowocześniejszych rozwiązań teleinformatycznych i przewidywany rozwój systemu zapewni długoletnią trwałość rezultatów Projektu.</w:t>
            </w:r>
            <w:r w:rsidRPr="009A7103">
              <w:t xml:space="preserve"> </w:t>
            </w:r>
            <w:r w:rsidRPr="009A7103">
              <w:rPr>
                <w:bCs/>
                <w:sz w:val="18"/>
                <w:szCs w:val="20"/>
              </w:rPr>
              <w:t>Korzyści te zostaną osiągnięte za pomocą korzyści pośrednich tj.:</w:t>
            </w:r>
          </w:p>
          <w:p w:rsidR="009A7103" w:rsidRPr="009A7103" w:rsidRDefault="009A7103" w:rsidP="009A7103">
            <w:pPr>
              <w:pStyle w:val="Akapitzlist"/>
              <w:numPr>
                <w:ilvl w:val="0"/>
                <w:numId w:val="9"/>
              </w:numPr>
              <w:rPr>
                <w:bCs/>
                <w:sz w:val="18"/>
                <w:szCs w:val="20"/>
              </w:rPr>
            </w:pPr>
            <w:r w:rsidRPr="009A7103">
              <w:rPr>
                <w:bCs/>
                <w:sz w:val="18"/>
                <w:szCs w:val="20"/>
              </w:rPr>
              <w:t>Zbudowany system bezpieczeństwa</w:t>
            </w:r>
          </w:p>
          <w:p w:rsidR="009A7103" w:rsidRPr="009A7103" w:rsidRDefault="009A7103" w:rsidP="009A7103">
            <w:pPr>
              <w:pStyle w:val="Akapitzlist"/>
              <w:numPr>
                <w:ilvl w:val="0"/>
                <w:numId w:val="9"/>
              </w:numPr>
              <w:rPr>
                <w:bCs/>
                <w:sz w:val="18"/>
                <w:szCs w:val="20"/>
              </w:rPr>
            </w:pPr>
            <w:r w:rsidRPr="009A7103">
              <w:rPr>
                <w:bCs/>
                <w:sz w:val="18"/>
                <w:szCs w:val="20"/>
              </w:rPr>
              <w:t>Inwentaryzacja istniejących baz danych oraz poprawa jakości danych</w:t>
            </w:r>
          </w:p>
          <w:p w:rsidR="009A7103" w:rsidRPr="009A7103" w:rsidRDefault="009A7103" w:rsidP="009A7103">
            <w:pPr>
              <w:pStyle w:val="Akapitzlist"/>
              <w:numPr>
                <w:ilvl w:val="0"/>
                <w:numId w:val="9"/>
              </w:numPr>
              <w:rPr>
                <w:bCs/>
                <w:sz w:val="18"/>
                <w:szCs w:val="20"/>
              </w:rPr>
            </w:pPr>
            <w:r w:rsidRPr="009A7103">
              <w:rPr>
                <w:bCs/>
                <w:sz w:val="18"/>
                <w:szCs w:val="20"/>
              </w:rPr>
              <w:t>Integracja danych, dostęp do danych</w:t>
            </w:r>
          </w:p>
          <w:p w:rsidR="009A7103" w:rsidRPr="009A7103" w:rsidRDefault="009A7103" w:rsidP="009A7103">
            <w:pPr>
              <w:pStyle w:val="Akapitzlist"/>
              <w:numPr>
                <w:ilvl w:val="0"/>
                <w:numId w:val="9"/>
              </w:numPr>
              <w:rPr>
                <w:bCs/>
                <w:sz w:val="18"/>
                <w:szCs w:val="20"/>
              </w:rPr>
            </w:pPr>
            <w:r w:rsidRPr="009A7103">
              <w:rPr>
                <w:bCs/>
                <w:sz w:val="18"/>
                <w:szCs w:val="20"/>
              </w:rPr>
              <w:t>Bezpieczeństwo danych</w:t>
            </w:r>
          </w:p>
          <w:p w:rsidR="009A7103" w:rsidRPr="009A7103" w:rsidRDefault="009A7103" w:rsidP="009A7103">
            <w:pPr>
              <w:pStyle w:val="Akapitzlist"/>
              <w:numPr>
                <w:ilvl w:val="0"/>
                <w:numId w:val="9"/>
              </w:numPr>
              <w:rPr>
                <w:bCs/>
                <w:sz w:val="18"/>
                <w:szCs w:val="20"/>
              </w:rPr>
            </w:pPr>
            <w:r w:rsidRPr="009A7103">
              <w:rPr>
                <w:bCs/>
                <w:sz w:val="18"/>
                <w:szCs w:val="20"/>
              </w:rPr>
              <w:t xml:space="preserve">Bazy danych </w:t>
            </w:r>
            <w:proofErr w:type="spellStart"/>
            <w:r w:rsidRPr="009A7103">
              <w:rPr>
                <w:bCs/>
                <w:sz w:val="18"/>
                <w:szCs w:val="20"/>
              </w:rPr>
              <w:t>georeferencyjnych</w:t>
            </w:r>
            <w:proofErr w:type="spellEnd"/>
            <w:r w:rsidRPr="009A7103">
              <w:rPr>
                <w:bCs/>
                <w:sz w:val="18"/>
                <w:szCs w:val="20"/>
              </w:rPr>
              <w:t xml:space="preserve"> </w:t>
            </w:r>
          </w:p>
          <w:p w:rsidR="009A7103" w:rsidRPr="009A7103" w:rsidRDefault="00C465DB" w:rsidP="009A7103">
            <w:pPr>
              <w:pStyle w:val="Akapitzlist"/>
              <w:numPr>
                <w:ilvl w:val="0"/>
                <w:numId w:val="9"/>
              </w:numPr>
              <w:rPr>
                <w:bCs/>
                <w:sz w:val="18"/>
                <w:szCs w:val="20"/>
              </w:rPr>
            </w:pPr>
            <w:r>
              <w:rPr>
                <w:bCs/>
                <w:sz w:val="18"/>
                <w:szCs w:val="20"/>
              </w:rPr>
              <w:t>Wsparcie w ochronie</w:t>
            </w:r>
            <w:r w:rsidR="009A7103" w:rsidRPr="009A7103">
              <w:rPr>
                <w:bCs/>
                <w:sz w:val="18"/>
                <w:szCs w:val="20"/>
              </w:rPr>
              <w:t xml:space="preserve"> przed powodzią</w:t>
            </w:r>
          </w:p>
          <w:p w:rsidR="009A7103" w:rsidRPr="009A7103" w:rsidRDefault="009A7103" w:rsidP="009A7103">
            <w:pPr>
              <w:pStyle w:val="Akapitzlist"/>
              <w:numPr>
                <w:ilvl w:val="0"/>
                <w:numId w:val="9"/>
              </w:numPr>
              <w:rPr>
                <w:bCs/>
                <w:sz w:val="18"/>
                <w:szCs w:val="20"/>
              </w:rPr>
            </w:pPr>
            <w:r w:rsidRPr="009A7103">
              <w:rPr>
                <w:bCs/>
                <w:sz w:val="18"/>
                <w:szCs w:val="20"/>
              </w:rPr>
              <w:t>Budowanie partnerstwa służb lokalnych oraz kształtowanie świadomości społeczeństwa</w:t>
            </w:r>
          </w:p>
          <w:p w:rsidR="009A7103" w:rsidRDefault="009A7103" w:rsidP="00C465DB">
            <w:pPr>
              <w:pStyle w:val="Akapitzlist"/>
              <w:numPr>
                <w:ilvl w:val="0"/>
                <w:numId w:val="9"/>
              </w:numPr>
              <w:rPr>
                <w:bCs/>
                <w:sz w:val="18"/>
                <w:szCs w:val="20"/>
              </w:rPr>
            </w:pPr>
            <w:r w:rsidRPr="009A7103">
              <w:rPr>
                <w:bCs/>
                <w:sz w:val="18"/>
                <w:szCs w:val="20"/>
              </w:rPr>
              <w:t>Planowanie przestrzenne oraz procesy inwestycyjne</w:t>
            </w:r>
            <w:r w:rsidR="00C465DB">
              <w:rPr>
                <w:bCs/>
                <w:sz w:val="18"/>
                <w:szCs w:val="20"/>
              </w:rPr>
              <w:t>.</w:t>
            </w:r>
          </w:p>
          <w:p w:rsidR="00F22CA1" w:rsidRPr="00C465DB" w:rsidRDefault="00F22CA1" w:rsidP="00F22CA1">
            <w:pPr>
              <w:pStyle w:val="Akapitzlist"/>
              <w:rPr>
                <w:bCs/>
                <w:sz w:val="18"/>
                <w:szCs w:val="20"/>
              </w:rPr>
            </w:pPr>
          </w:p>
          <w:p w:rsidR="00813FEF" w:rsidRDefault="00E440E7" w:rsidP="00BC120E">
            <w:pPr>
              <w:jc w:val="both"/>
              <w:rPr>
                <w:sz w:val="18"/>
                <w:szCs w:val="20"/>
              </w:rPr>
            </w:pPr>
            <w:r>
              <w:rPr>
                <w:sz w:val="18"/>
                <w:szCs w:val="20"/>
              </w:rPr>
              <w:t xml:space="preserve">Istotną wartością przekładającą się na poprawę bezpieczeństwa obywateli będzie liczba instytucji korzystająca z Systemu ISOK, których </w:t>
            </w:r>
            <w:r w:rsidR="004046A4">
              <w:rPr>
                <w:sz w:val="18"/>
                <w:szCs w:val="20"/>
              </w:rPr>
              <w:t>zadania związane są z bezpieczeństwem.</w:t>
            </w:r>
          </w:p>
          <w:p w:rsidR="004046A4" w:rsidRDefault="004046A4" w:rsidP="00BC120E">
            <w:pPr>
              <w:jc w:val="both"/>
              <w:rPr>
                <w:sz w:val="18"/>
                <w:szCs w:val="20"/>
              </w:rPr>
            </w:pPr>
            <w:r>
              <w:rPr>
                <w:sz w:val="18"/>
                <w:szCs w:val="20"/>
              </w:rPr>
              <w:t xml:space="preserve">Wartością wskazującą na podniesienie świadomości społecznej będzie liczba </w:t>
            </w:r>
            <w:r w:rsidR="006D0DF6">
              <w:rPr>
                <w:sz w:val="18"/>
                <w:szCs w:val="20"/>
              </w:rPr>
              <w:t xml:space="preserve">wejść na </w:t>
            </w:r>
            <w:proofErr w:type="spellStart"/>
            <w:r w:rsidR="006D0DF6">
              <w:rPr>
                <w:sz w:val="18"/>
                <w:szCs w:val="20"/>
              </w:rPr>
              <w:t>Hydroportal</w:t>
            </w:r>
            <w:proofErr w:type="spellEnd"/>
            <w:r w:rsidR="006D0DF6">
              <w:rPr>
                <w:sz w:val="18"/>
                <w:szCs w:val="20"/>
              </w:rPr>
              <w:t xml:space="preserve"> i Krajowy Portal ISOK oraz liczba pobrań aplikacji mobilnej ISOK.</w:t>
            </w:r>
          </w:p>
          <w:p w:rsidR="006D0DF6" w:rsidRDefault="006D0DF6" w:rsidP="00BC120E">
            <w:pPr>
              <w:jc w:val="both"/>
              <w:rPr>
                <w:sz w:val="18"/>
                <w:szCs w:val="20"/>
              </w:rPr>
            </w:pPr>
            <w:r>
              <w:rPr>
                <w:sz w:val="18"/>
                <w:szCs w:val="20"/>
              </w:rPr>
              <w:t>Wymierną korzyścią z powstania Systemu ISOK, a w szczególności integracji wysokiej jakości danych będzie liczba wniosków o udostępnienie danych</w:t>
            </w:r>
            <w:r w:rsidR="00D84423">
              <w:rPr>
                <w:sz w:val="18"/>
                <w:szCs w:val="20"/>
              </w:rPr>
              <w:t xml:space="preserve"> z zakresu gospodarki wodnej</w:t>
            </w:r>
            <w:r>
              <w:rPr>
                <w:sz w:val="18"/>
                <w:szCs w:val="20"/>
              </w:rPr>
              <w:t>, z wyszczególnieniem tych złożonych drogą elektroniczną oraz liczba instytucji korzystających z Modułu Dystrybucji Danych.</w:t>
            </w:r>
          </w:p>
          <w:p w:rsidR="006D0DF6" w:rsidRDefault="006D0DF6" w:rsidP="00BC120E">
            <w:pPr>
              <w:jc w:val="both"/>
              <w:rPr>
                <w:sz w:val="18"/>
                <w:szCs w:val="20"/>
              </w:rPr>
            </w:pPr>
          </w:p>
          <w:p w:rsidR="006D0DF6" w:rsidRPr="00B032A8" w:rsidRDefault="006D0DF6" w:rsidP="00BC120E">
            <w:pPr>
              <w:jc w:val="both"/>
              <w:rPr>
                <w:sz w:val="18"/>
                <w:szCs w:val="20"/>
              </w:rPr>
            </w:pPr>
            <w:r>
              <w:rPr>
                <w:sz w:val="18"/>
                <w:szCs w:val="20"/>
              </w:rPr>
              <w:t>Informacje odnośnie korzyści wynikając</w:t>
            </w:r>
            <w:bookmarkStart w:id="0" w:name="_GoBack"/>
            <w:bookmarkEnd w:id="0"/>
            <w:r>
              <w:rPr>
                <w:sz w:val="18"/>
                <w:szCs w:val="20"/>
              </w:rPr>
              <w:t xml:space="preserve">ych z Projektu będą publikowane na stronie </w:t>
            </w:r>
            <w:hyperlink r:id="rId5" w:history="1">
              <w:r w:rsidRPr="002B7B3C">
                <w:rPr>
                  <w:rStyle w:val="Hipercze"/>
                  <w:sz w:val="18"/>
                  <w:szCs w:val="20"/>
                </w:rPr>
                <w:t>www.isok.gov.pl</w:t>
              </w:r>
            </w:hyperlink>
            <w:r w:rsidR="00D84423">
              <w:rPr>
                <w:sz w:val="18"/>
                <w:szCs w:val="20"/>
              </w:rPr>
              <w:t xml:space="preserve"> i aktualizowane</w:t>
            </w:r>
            <w:r>
              <w:rPr>
                <w:sz w:val="18"/>
                <w:szCs w:val="20"/>
              </w:rPr>
              <w:t xml:space="preserve"> w cyklu minimum rocznym.</w:t>
            </w:r>
          </w:p>
        </w:tc>
      </w:tr>
      <w:tr w:rsidR="00F82254" w:rsidRPr="002450C4" w:rsidTr="00813FEF">
        <w:tc>
          <w:tcPr>
            <w:tcW w:w="480" w:type="dxa"/>
          </w:tcPr>
          <w:p w:rsidR="00F82254" w:rsidRPr="002450C4" w:rsidRDefault="00F82254" w:rsidP="0058262E">
            <w:pPr>
              <w:pStyle w:val="Akapitzlist"/>
              <w:numPr>
                <w:ilvl w:val="0"/>
                <w:numId w:val="1"/>
              </w:numPr>
              <w:rPr>
                <w:sz w:val="18"/>
                <w:szCs w:val="20"/>
              </w:rPr>
            </w:pPr>
          </w:p>
        </w:tc>
        <w:tc>
          <w:tcPr>
            <w:tcW w:w="2350" w:type="dxa"/>
          </w:tcPr>
          <w:p w:rsidR="00F82254" w:rsidRDefault="00F82254" w:rsidP="00F82254">
            <w:pPr>
              <w:rPr>
                <w:sz w:val="18"/>
                <w:szCs w:val="20"/>
              </w:rPr>
            </w:pPr>
            <w:r>
              <w:rPr>
                <w:sz w:val="18"/>
                <w:szCs w:val="20"/>
              </w:rPr>
              <w:t>E-usługi i r</w:t>
            </w:r>
            <w:r w:rsidRPr="00F82254">
              <w:rPr>
                <w:sz w:val="18"/>
                <w:szCs w:val="20"/>
              </w:rPr>
              <w:t>ejestry z jakimi zintegrował się wytworzony system w ramach realizacji projektu</w:t>
            </w:r>
          </w:p>
        </w:tc>
        <w:tc>
          <w:tcPr>
            <w:tcW w:w="6232" w:type="dxa"/>
          </w:tcPr>
          <w:p w:rsidR="00C76FA0" w:rsidRPr="00587655" w:rsidRDefault="00C76FA0" w:rsidP="00C76FA0">
            <w:pPr>
              <w:pStyle w:val="Akapitzlist"/>
              <w:numPr>
                <w:ilvl w:val="0"/>
                <w:numId w:val="10"/>
              </w:numPr>
              <w:jc w:val="both"/>
              <w:rPr>
                <w:sz w:val="18"/>
                <w:szCs w:val="18"/>
              </w:rPr>
            </w:pPr>
            <w:r w:rsidRPr="00587655">
              <w:rPr>
                <w:sz w:val="18"/>
                <w:szCs w:val="18"/>
              </w:rPr>
              <w:t>GeoPortal2 (</w:t>
            </w:r>
            <w:proofErr w:type="spellStart"/>
            <w:r w:rsidRPr="00587655">
              <w:rPr>
                <w:sz w:val="18"/>
                <w:szCs w:val="18"/>
              </w:rPr>
              <w:t>PZGiK</w:t>
            </w:r>
            <w:proofErr w:type="spellEnd"/>
            <w:r w:rsidRPr="00587655">
              <w:rPr>
                <w:sz w:val="18"/>
                <w:szCs w:val="18"/>
              </w:rPr>
              <w:t xml:space="preserve">) – Integracja poprzez publikację usług na </w:t>
            </w:r>
            <w:proofErr w:type="spellStart"/>
            <w:r w:rsidRPr="00587655">
              <w:rPr>
                <w:sz w:val="18"/>
                <w:szCs w:val="18"/>
              </w:rPr>
              <w:t>Hydroportalu</w:t>
            </w:r>
            <w:proofErr w:type="spellEnd"/>
            <w:r w:rsidRPr="00587655">
              <w:rPr>
                <w:sz w:val="18"/>
                <w:szCs w:val="18"/>
              </w:rPr>
              <w:t xml:space="preserve"> i Portalu Krajowym </w:t>
            </w:r>
          </w:p>
          <w:p w:rsidR="00C76FA0" w:rsidRPr="00587655" w:rsidRDefault="00C76FA0" w:rsidP="00C76FA0">
            <w:pPr>
              <w:pStyle w:val="Akapitzlist"/>
              <w:numPr>
                <w:ilvl w:val="0"/>
                <w:numId w:val="10"/>
              </w:numPr>
              <w:jc w:val="both"/>
              <w:rPr>
                <w:sz w:val="18"/>
                <w:szCs w:val="18"/>
              </w:rPr>
            </w:pPr>
            <w:r w:rsidRPr="00587655">
              <w:rPr>
                <w:sz w:val="18"/>
                <w:szCs w:val="18"/>
              </w:rPr>
              <w:t xml:space="preserve">ZSIN – dostarczenie usługi do pracy w Systemie Informacyjnym  Gospodarowania Wodami </w:t>
            </w:r>
          </w:p>
          <w:p w:rsidR="00C76FA0" w:rsidRPr="00587655" w:rsidRDefault="00C76FA0" w:rsidP="00C76FA0">
            <w:pPr>
              <w:pStyle w:val="Akapitzlist"/>
              <w:numPr>
                <w:ilvl w:val="0"/>
                <w:numId w:val="10"/>
              </w:numPr>
              <w:jc w:val="both"/>
              <w:rPr>
                <w:sz w:val="18"/>
                <w:szCs w:val="18"/>
              </w:rPr>
            </w:pPr>
            <w:r w:rsidRPr="00587655">
              <w:rPr>
                <w:sz w:val="18"/>
                <w:szCs w:val="18"/>
              </w:rPr>
              <w:t xml:space="preserve">Systemy IMGW-PIB – publikacja danych na Portalu Krajowym </w:t>
            </w:r>
          </w:p>
          <w:p w:rsidR="00C76FA0" w:rsidRPr="00587655" w:rsidRDefault="00C76FA0" w:rsidP="00C76FA0">
            <w:pPr>
              <w:pStyle w:val="Akapitzlist"/>
              <w:numPr>
                <w:ilvl w:val="0"/>
                <w:numId w:val="10"/>
              </w:numPr>
              <w:jc w:val="both"/>
              <w:rPr>
                <w:sz w:val="18"/>
                <w:szCs w:val="18"/>
              </w:rPr>
            </w:pPr>
            <w:r w:rsidRPr="00587655">
              <w:rPr>
                <w:sz w:val="18"/>
                <w:szCs w:val="18"/>
              </w:rPr>
              <w:t xml:space="preserve">SIKPOŚK – publikacja danych na </w:t>
            </w:r>
            <w:proofErr w:type="spellStart"/>
            <w:r w:rsidRPr="00587655">
              <w:rPr>
                <w:sz w:val="18"/>
                <w:szCs w:val="18"/>
              </w:rPr>
              <w:t>Hydrportalu</w:t>
            </w:r>
            <w:proofErr w:type="spellEnd"/>
          </w:p>
          <w:p w:rsidR="00C76FA0" w:rsidRPr="00587655" w:rsidRDefault="00C76FA0" w:rsidP="00C76FA0">
            <w:pPr>
              <w:pStyle w:val="Akapitzlist"/>
              <w:numPr>
                <w:ilvl w:val="0"/>
                <w:numId w:val="10"/>
              </w:numPr>
              <w:jc w:val="both"/>
              <w:rPr>
                <w:sz w:val="18"/>
                <w:szCs w:val="18"/>
              </w:rPr>
            </w:pPr>
            <w:proofErr w:type="spellStart"/>
            <w:r w:rsidRPr="00587655">
              <w:rPr>
                <w:sz w:val="18"/>
                <w:szCs w:val="18"/>
              </w:rPr>
              <w:t>ePUAP</w:t>
            </w:r>
            <w:proofErr w:type="spellEnd"/>
            <w:r w:rsidRPr="00587655">
              <w:rPr>
                <w:sz w:val="18"/>
                <w:szCs w:val="18"/>
              </w:rPr>
              <w:t xml:space="preserve"> – umożliwienie podmiotom zewnętrznym i społeczeństwu złożenie </w:t>
            </w:r>
            <w:r w:rsidRPr="00587655">
              <w:rPr>
                <w:sz w:val="18"/>
                <w:szCs w:val="18"/>
              </w:rPr>
              <w:lastRenderedPageBreak/>
              <w:t xml:space="preserve">wniosków z zakresu gospodarki wodnej za pośrednictwem skrytek </w:t>
            </w:r>
            <w:proofErr w:type="spellStart"/>
            <w:r w:rsidRPr="00587655">
              <w:rPr>
                <w:sz w:val="18"/>
                <w:szCs w:val="18"/>
              </w:rPr>
              <w:t>ePUAP</w:t>
            </w:r>
            <w:proofErr w:type="spellEnd"/>
            <w:r w:rsidRPr="00587655">
              <w:rPr>
                <w:sz w:val="18"/>
                <w:szCs w:val="18"/>
              </w:rPr>
              <w:t xml:space="preserve"> oraz Profilu Zaufanego</w:t>
            </w:r>
          </w:p>
          <w:p w:rsidR="00F82254" w:rsidRPr="00384058" w:rsidRDefault="00C76FA0" w:rsidP="00DB70A5">
            <w:pPr>
              <w:pStyle w:val="Akapitzlist"/>
              <w:numPr>
                <w:ilvl w:val="0"/>
                <w:numId w:val="10"/>
              </w:numPr>
              <w:jc w:val="both"/>
              <w:rPr>
                <w:sz w:val="18"/>
                <w:szCs w:val="18"/>
              </w:rPr>
            </w:pPr>
            <w:r w:rsidRPr="00587655">
              <w:rPr>
                <w:sz w:val="18"/>
                <w:szCs w:val="18"/>
              </w:rPr>
              <w:t xml:space="preserve">MPHP 10K – publikacja danych na </w:t>
            </w:r>
            <w:proofErr w:type="spellStart"/>
            <w:r w:rsidRPr="00587655">
              <w:rPr>
                <w:sz w:val="18"/>
                <w:szCs w:val="18"/>
              </w:rPr>
              <w:t>Hydroportalu</w:t>
            </w:r>
            <w:proofErr w:type="spellEnd"/>
            <w:r w:rsidRPr="00587655">
              <w:rPr>
                <w:sz w:val="18"/>
                <w:szCs w:val="18"/>
              </w:rPr>
              <w:t xml:space="preserve"> i Portalu Krajowym</w:t>
            </w:r>
          </w:p>
        </w:tc>
      </w:tr>
      <w:tr w:rsidR="007C54F9" w:rsidRPr="002450C4" w:rsidTr="00813FEF">
        <w:tc>
          <w:tcPr>
            <w:tcW w:w="480" w:type="dxa"/>
          </w:tcPr>
          <w:p w:rsidR="007C54F9" w:rsidRPr="002450C4" w:rsidRDefault="007C54F9" w:rsidP="0058262E">
            <w:pPr>
              <w:pStyle w:val="Akapitzlist"/>
              <w:numPr>
                <w:ilvl w:val="0"/>
                <w:numId w:val="1"/>
              </w:numPr>
              <w:rPr>
                <w:sz w:val="18"/>
                <w:szCs w:val="20"/>
              </w:rPr>
            </w:pPr>
          </w:p>
        </w:tc>
        <w:tc>
          <w:tcPr>
            <w:tcW w:w="2350" w:type="dxa"/>
          </w:tcPr>
          <w:p w:rsidR="007C54F9" w:rsidRDefault="003B7BD6" w:rsidP="007C54F9">
            <w:pPr>
              <w:rPr>
                <w:sz w:val="18"/>
                <w:szCs w:val="20"/>
              </w:rPr>
            </w:pPr>
            <w:r>
              <w:rPr>
                <w:sz w:val="18"/>
                <w:szCs w:val="20"/>
              </w:rPr>
              <w:t>Zapewnienie utrzymania projektu (w okresie trwałości)</w:t>
            </w:r>
          </w:p>
        </w:tc>
        <w:tc>
          <w:tcPr>
            <w:tcW w:w="6232" w:type="dxa"/>
          </w:tcPr>
          <w:p w:rsidR="00587655" w:rsidRPr="00587655" w:rsidRDefault="00587655" w:rsidP="007C54F9">
            <w:pPr>
              <w:jc w:val="both"/>
              <w:rPr>
                <w:bCs/>
                <w:sz w:val="18"/>
                <w:szCs w:val="20"/>
              </w:rPr>
            </w:pPr>
            <w:r w:rsidRPr="00587655">
              <w:rPr>
                <w:bCs/>
                <w:sz w:val="18"/>
                <w:szCs w:val="20"/>
              </w:rPr>
              <w:t>Środki niezbędne dla utrzymania produktów projektu zostały zapewni</w:t>
            </w:r>
            <w:r w:rsidR="000D6F4E">
              <w:rPr>
                <w:bCs/>
                <w:sz w:val="18"/>
                <w:szCs w:val="20"/>
              </w:rPr>
              <w:t>one ze środków własnych jednostek oraz z budżetu państwa.</w:t>
            </w:r>
          </w:p>
          <w:p w:rsidR="007C54F9" w:rsidRDefault="007C54F9" w:rsidP="007C54F9">
            <w:pPr>
              <w:jc w:val="both"/>
              <w:rPr>
                <w:bCs/>
                <w:i/>
                <w:sz w:val="18"/>
                <w:szCs w:val="20"/>
              </w:rPr>
            </w:pPr>
          </w:p>
        </w:tc>
      </w:tr>
      <w:tr w:rsidR="009D3D41" w:rsidRPr="002450C4" w:rsidTr="00813FEF">
        <w:tc>
          <w:tcPr>
            <w:tcW w:w="480" w:type="dxa"/>
          </w:tcPr>
          <w:p w:rsidR="009D3D41" w:rsidRPr="002450C4" w:rsidRDefault="009D3D41" w:rsidP="0058262E">
            <w:pPr>
              <w:pStyle w:val="Akapitzlist"/>
              <w:numPr>
                <w:ilvl w:val="0"/>
                <w:numId w:val="1"/>
              </w:numPr>
              <w:rPr>
                <w:sz w:val="18"/>
                <w:szCs w:val="20"/>
              </w:rPr>
            </w:pPr>
          </w:p>
        </w:tc>
        <w:tc>
          <w:tcPr>
            <w:tcW w:w="2350" w:type="dxa"/>
          </w:tcPr>
          <w:p w:rsidR="009D3D41" w:rsidRDefault="009D3D41" w:rsidP="007E6098">
            <w:pPr>
              <w:rPr>
                <w:sz w:val="18"/>
                <w:szCs w:val="20"/>
              </w:rPr>
            </w:pPr>
            <w:r>
              <w:rPr>
                <w:sz w:val="18"/>
                <w:szCs w:val="20"/>
              </w:rPr>
              <w:t>Doświadczenia związane z realizacją projektu</w:t>
            </w:r>
          </w:p>
        </w:tc>
        <w:tc>
          <w:tcPr>
            <w:tcW w:w="6232" w:type="dxa"/>
          </w:tcPr>
          <w:p w:rsidR="00587655" w:rsidRPr="00587655" w:rsidRDefault="00587655" w:rsidP="009D3D41">
            <w:pPr>
              <w:jc w:val="both"/>
              <w:rPr>
                <w:bCs/>
                <w:sz w:val="18"/>
                <w:szCs w:val="20"/>
              </w:rPr>
            </w:pPr>
            <w:r w:rsidRPr="00587655">
              <w:rPr>
                <w:bCs/>
                <w:sz w:val="18"/>
                <w:szCs w:val="20"/>
              </w:rPr>
              <w:t xml:space="preserve">Podczas realizacji projektu napotkano problemy wynikające z przedłużających się procedur przetargowych, co często wiązało się z koniecznością zmiany zapewnienia finansowania. </w:t>
            </w:r>
            <w:r w:rsidR="000D6F4E">
              <w:rPr>
                <w:bCs/>
                <w:sz w:val="18"/>
                <w:szCs w:val="20"/>
              </w:rPr>
              <w:t>Beneficjent j</w:t>
            </w:r>
            <w:r w:rsidRPr="00587655">
              <w:rPr>
                <w:bCs/>
                <w:sz w:val="18"/>
                <w:szCs w:val="20"/>
              </w:rPr>
              <w:t xml:space="preserve">ako jednostka publiczna </w:t>
            </w:r>
            <w:r w:rsidR="000D6F4E">
              <w:rPr>
                <w:bCs/>
                <w:sz w:val="18"/>
                <w:szCs w:val="20"/>
              </w:rPr>
              <w:t>borykał się z problemem</w:t>
            </w:r>
            <w:r w:rsidRPr="00587655">
              <w:rPr>
                <w:bCs/>
                <w:sz w:val="18"/>
                <w:szCs w:val="20"/>
              </w:rPr>
              <w:t xml:space="preserve"> zbudowania</w:t>
            </w:r>
            <w:r w:rsidR="000D6F4E">
              <w:rPr>
                <w:bCs/>
                <w:sz w:val="18"/>
                <w:szCs w:val="20"/>
              </w:rPr>
              <w:t xml:space="preserve"> wysokiej klasy</w:t>
            </w:r>
            <w:r w:rsidRPr="00587655">
              <w:rPr>
                <w:bCs/>
                <w:sz w:val="18"/>
                <w:szCs w:val="20"/>
              </w:rPr>
              <w:t xml:space="preserve"> zespołu IT, który mógłby w pełni obsługiwać zadania związane z budową systemu.</w:t>
            </w:r>
          </w:p>
          <w:p w:rsidR="005A7DBA" w:rsidRDefault="00587655" w:rsidP="009D3D41">
            <w:pPr>
              <w:jc w:val="both"/>
              <w:rPr>
                <w:bCs/>
                <w:sz w:val="18"/>
                <w:szCs w:val="20"/>
              </w:rPr>
            </w:pPr>
            <w:r w:rsidRPr="00587655">
              <w:rPr>
                <w:bCs/>
                <w:sz w:val="18"/>
                <w:szCs w:val="20"/>
              </w:rPr>
              <w:t>Realiza</w:t>
            </w:r>
            <w:r w:rsidR="00AB06B7">
              <w:rPr>
                <w:bCs/>
                <w:sz w:val="18"/>
                <w:szCs w:val="20"/>
              </w:rPr>
              <w:t>cja projektu spowodowała wzrost</w:t>
            </w:r>
            <w:r w:rsidRPr="00587655">
              <w:rPr>
                <w:bCs/>
                <w:sz w:val="18"/>
                <w:szCs w:val="20"/>
              </w:rPr>
              <w:t xml:space="preserve"> doświadczeń w zakresie zarządzania</w:t>
            </w:r>
            <w:r w:rsidR="000D6F4E">
              <w:rPr>
                <w:bCs/>
                <w:sz w:val="18"/>
                <w:szCs w:val="20"/>
              </w:rPr>
              <w:t xml:space="preserve"> i wdrażania</w:t>
            </w:r>
            <w:r w:rsidRPr="00587655">
              <w:rPr>
                <w:bCs/>
                <w:sz w:val="18"/>
                <w:szCs w:val="20"/>
              </w:rPr>
              <w:t xml:space="preserve"> projekt</w:t>
            </w:r>
            <w:r w:rsidR="000D6F4E">
              <w:rPr>
                <w:bCs/>
                <w:sz w:val="18"/>
                <w:szCs w:val="20"/>
              </w:rPr>
              <w:t>ów</w:t>
            </w:r>
            <w:r w:rsidRPr="00587655">
              <w:rPr>
                <w:bCs/>
                <w:sz w:val="18"/>
                <w:szCs w:val="20"/>
              </w:rPr>
              <w:t xml:space="preserve"> w jednostce.</w:t>
            </w:r>
          </w:p>
          <w:p w:rsidR="005A7DBA" w:rsidRDefault="005A7DBA" w:rsidP="009D3D41">
            <w:pPr>
              <w:jc w:val="both"/>
              <w:rPr>
                <w:bCs/>
                <w:sz w:val="18"/>
                <w:szCs w:val="20"/>
              </w:rPr>
            </w:pPr>
          </w:p>
          <w:p w:rsidR="009D3D41" w:rsidRDefault="005A7DBA" w:rsidP="00262AD3">
            <w:pPr>
              <w:jc w:val="both"/>
              <w:rPr>
                <w:bCs/>
                <w:i/>
                <w:sz w:val="18"/>
                <w:szCs w:val="20"/>
              </w:rPr>
            </w:pPr>
            <w:r>
              <w:rPr>
                <w:bCs/>
                <w:sz w:val="18"/>
                <w:szCs w:val="20"/>
              </w:rPr>
              <w:t>Powodzenie projektu w dużej mierze determinuje zespół o wysokich kwalifikacjach oraz osoby odpowiedzia</w:t>
            </w:r>
            <w:r w:rsidR="00262AD3">
              <w:rPr>
                <w:bCs/>
                <w:sz w:val="18"/>
                <w:szCs w:val="20"/>
              </w:rPr>
              <w:t>l</w:t>
            </w:r>
            <w:r>
              <w:rPr>
                <w:bCs/>
                <w:sz w:val="18"/>
                <w:szCs w:val="20"/>
              </w:rPr>
              <w:t>ne za nad</w:t>
            </w:r>
            <w:r w:rsidR="00262AD3">
              <w:rPr>
                <w:bCs/>
                <w:sz w:val="18"/>
                <w:szCs w:val="20"/>
              </w:rPr>
              <w:t xml:space="preserve">zór i zarządzanie strategiczne. Na sukces projektu wpływa również wysokie zaangażowanie i rzetelność Wykonawcy oraz dobra współpraca obu stron. </w:t>
            </w:r>
          </w:p>
        </w:tc>
      </w:tr>
    </w:tbl>
    <w:p w:rsidR="007A0A3D" w:rsidRDefault="007A0A3D" w:rsidP="007A0A3D"/>
    <w:sectPr w:rsidR="007A0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095"/>
    <w:multiLevelType w:val="hybridMultilevel"/>
    <w:tmpl w:val="437678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754A9E"/>
    <w:multiLevelType w:val="hybridMultilevel"/>
    <w:tmpl w:val="C12641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C73EBA"/>
    <w:multiLevelType w:val="hybridMultilevel"/>
    <w:tmpl w:val="5F50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4116BE"/>
    <w:multiLevelType w:val="hybridMultilevel"/>
    <w:tmpl w:val="C92069AA"/>
    <w:lvl w:ilvl="0" w:tplc="5ADAE9E6">
      <w:start w:val="1"/>
      <w:numFmt w:val="decimal"/>
      <w:lvlText w:val="%1."/>
      <w:lvlJc w:val="left"/>
      <w:pPr>
        <w:ind w:left="720" w:hanging="360"/>
      </w:pPr>
      <w:rPr>
        <w:rFonts w:ascii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873D9"/>
    <w:multiLevelType w:val="hybridMultilevel"/>
    <w:tmpl w:val="140EE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7265F1"/>
    <w:multiLevelType w:val="hybridMultilevel"/>
    <w:tmpl w:val="4C60793E"/>
    <w:lvl w:ilvl="0" w:tplc="36B8817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C95DF0"/>
    <w:multiLevelType w:val="hybridMultilevel"/>
    <w:tmpl w:val="01789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D3787C"/>
    <w:multiLevelType w:val="hybridMultilevel"/>
    <w:tmpl w:val="194820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FBB07AF"/>
    <w:multiLevelType w:val="hybridMultilevel"/>
    <w:tmpl w:val="E07470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32D3C7B"/>
    <w:multiLevelType w:val="hybridMultilevel"/>
    <w:tmpl w:val="22B00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0565D7"/>
    <w:multiLevelType w:val="hybridMultilevel"/>
    <w:tmpl w:val="5464E3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2FA3282"/>
    <w:multiLevelType w:val="hybridMultilevel"/>
    <w:tmpl w:val="B04840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7"/>
  </w:num>
  <w:num w:numId="3">
    <w:abstractNumId w:val="0"/>
  </w:num>
  <w:num w:numId="4">
    <w:abstractNumId w:val="10"/>
  </w:num>
  <w:num w:numId="5">
    <w:abstractNumId w:val="8"/>
  </w:num>
  <w:num w:numId="6">
    <w:abstractNumId w:val="11"/>
  </w:num>
  <w:num w:numId="7">
    <w:abstractNumId w:val="3"/>
  </w:num>
  <w:num w:numId="8">
    <w:abstractNumId w:val="6"/>
  </w:num>
  <w:num w:numId="9">
    <w:abstractNumId w:val="2"/>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3D"/>
    <w:rsid w:val="00063E83"/>
    <w:rsid w:val="00065121"/>
    <w:rsid w:val="00077C13"/>
    <w:rsid w:val="000D3CA9"/>
    <w:rsid w:val="000D6F4E"/>
    <w:rsid w:val="000E0C6F"/>
    <w:rsid w:val="001455E8"/>
    <w:rsid w:val="00151604"/>
    <w:rsid w:val="001600BB"/>
    <w:rsid w:val="001806EC"/>
    <w:rsid w:val="001C611C"/>
    <w:rsid w:val="001C6D7D"/>
    <w:rsid w:val="0021582D"/>
    <w:rsid w:val="002450C4"/>
    <w:rsid w:val="0026221C"/>
    <w:rsid w:val="00262AD3"/>
    <w:rsid w:val="002A153C"/>
    <w:rsid w:val="002A721F"/>
    <w:rsid w:val="002A728C"/>
    <w:rsid w:val="002D3221"/>
    <w:rsid w:val="00344BBB"/>
    <w:rsid w:val="00351679"/>
    <w:rsid w:val="00384058"/>
    <w:rsid w:val="003B107D"/>
    <w:rsid w:val="003B7BD6"/>
    <w:rsid w:val="003D7919"/>
    <w:rsid w:val="003E077C"/>
    <w:rsid w:val="003E0F30"/>
    <w:rsid w:val="004046A4"/>
    <w:rsid w:val="004046DC"/>
    <w:rsid w:val="0049772A"/>
    <w:rsid w:val="004B19FE"/>
    <w:rsid w:val="004C06F0"/>
    <w:rsid w:val="004D135D"/>
    <w:rsid w:val="004E2217"/>
    <w:rsid w:val="005704B6"/>
    <w:rsid w:val="0058262E"/>
    <w:rsid w:val="00587655"/>
    <w:rsid w:val="005A4344"/>
    <w:rsid w:val="005A7DBA"/>
    <w:rsid w:val="005C6044"/>
    <w:rsid w:val="005D4188"/>
    <w:rsid w:val="00632AA0"/>
    <w:rsid w:val="00643672"/>
    <w:rsid w:val="00665CEB"/>
    <w:rsid w:val="00687AFE"/>
    <w:rsid w:val="00691234"/>
    <w:rsid w:val="006B7454"/>
    <w:rsid w:val="006C385B"/>
    <w:rsid w:val="006D0DF6"/>
    <w:rsid w:val="006D455E"/>
    <w:rsid w:val="00703A4F"/>
    <w:rsid w:val="00716201"/>
    <w:rsid w:val="007408A3"/>
    <w:rsid w:val="00743031"/>
    <w:rsid w:val="007437D9"/>
    <w:rsid w:val="007537BB"/>
    <w:rsid w:val="00773523"/>
    <w:rsid w:val="007A0A3D"/>
    <w:rsid w:val="007C54F9"/>
    <w:rsid w:val="007E2F1F"/>
    <w:rsid w:val="007E6098"/>
    <w:rsid w:val="007F17F7"/>
    <w:rsid w:val="007F63EF"/>
    <w:rsid w:val="00813FEF"/>
    <w:rsid w:val="00814C23"/>
    <w:rsid w:val="008213A6"/>
    <w:rsid w:val="008548F4"/>
    <w:rsid w:val="008632E4"/>
    <w:rsid w:val="008927DE"/>
    <w:rsid w:val="008A3B6C"/>
    <w:rsid w:val="008E0416"/>
    <w:rsid w:val="00905779"/>
    <w:rsid w:val="0092099A"/>
    <w:rsid w:val="00920CE8"/>
    <w:rsid w:val="00950B11"/>
    <w:rsid w:val="00982DC4"/>
    <w:rsid w:val="009A7103"/>
    <w:rsid w:val="009C70E8"/>
    <w:rsid w:val="009D3D41"/>
    <w:rsid w:val="009E1398"/>
    <w:rsid w:val="009E4296"/>
    <w:rsid w:val="00A12836"/>
    <w:rsid w:val="00A1534B"/>
    <w:rsid w:val="00A45A3C"/>
    <w:rsid w:val="00A51C2C"/>
    <w:rsid w:val="00A522AB"/>
    <w:rsid w:val="00A6601B"/>
    <w:rsid w:val="00A710B2"/>
    <w:rsid w:val="00AA1C73"/>
    <w:rsid w:val="00AB06B7"/>
    <w:rsid w:val="00B032A8"/>
    <w:rsid w:val="00B037E1"/>
    <w:rsid w:val="00B33C04"/>
    <w:rsid w:val="00B57299"/>
    <w:rsid w:val="00B93735"/>
    <w:rsid w:val="00BA71AB"/>
    <w:rsid w:val="00BC120E"/>
    <w:rsid w:val="00BE4D0D"/>
    <w:rsid w:val="00C37A3A"/>
    <w:rsid w:val="00C42446"/>
    <w:rsid w:val="00C42B47"/>
    <w:rsid w:val="00C465DB"/>
    <w:rsid w:val="00C546B0"/>
    <w:rsid w:val="00C56B53"/>
    <w:rsid w:val="00C67B9B"/>
    <w:rsid w:val="00C76FA0"/>
    <w:rsid w:val="00C93C1A"/>
    <w:rsid w:val="00C948E6"/>
    <w:rsid w:val="00CA79E4"/>
    <w:rsid w:val="00CB78CE"/>
    <w:rsid w:val="00CD5A97"/>
    <w:rsid w:val="00CF4111"/>
    <w:rsid w:val="00D22A05"/>
    <w:rsid w:val="00D2582C"/>
    <w:rsid w:val="00D65F79"/>
    <w:rsid w:val="00D84423"/>
    <w:rsid w:val="00DB70A5"/>
    <w:rsid w:val="00E26CE1"/>
    <w:rsid w:val="00E30008"/>
    <w:rsid w:val="00E3756F"/>
    <w:rsid w:val="00E440E7"/>
    <w:rsid w:val="00E52249"/>
    <w:rsid w:val="00E64913"/>
    <w:rsid w:val="00E92D24"/>
    <w:rsid w:val="00EA2C4F"/>
    <w:rsid w:val="00EF094D"/>
    <w:rsid w:val="00EF432D"/>
    <w:rsid w:val="00F22CA1"/>
    <w:rsid w:val="00F32CAA"/>
    <w:rsid w:val="00F35852"/>
    <w:rsid w:val="00F741B3"/>
    <w:rsid w:val="00F82254"/>
    <w:rsid w:val="00FA2C7F"/>
    <w:rsid w:val="00FB7976"/>
    <w:rsid w:val="00FD074F"/>
    <w:rsid w:val="00FE08FC"/>
    <w:rsid w:val="00FF5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41FEE-DED2-4741-B657-8AA2B15C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A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7A0A3D"/>
    <w:pPr>
      <w:ind w:left="720"/>
      <w:contextualSpacing/>
    </w:pPr>
  </w:style>
  <w:style w:type="paragraph" w:styleId="Tekstdymka">
    <w:name w:val="Balloon Text"/>
    <w:basedOn w:val="Normalny"/>
    <w:link w:val="TekstdymkaZnak"/>
    <w:uiPriority w:val="99"/>
    <w:semiHidden/>
    <w:unhideWhenUsed/>
    <w:rsid w:val="004D135D"/>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D135D"/>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813FEF"/>
    <w:rPr>
      <w:sz w:val="16"/>
      <w:szCs w:val="16"/>
    </w:rPr>
  </w:style>
  <w:style w:type="paragraph" w:styleId="Tekstkomentarza">
    <w:name w:val="annotation text"/>
    <w:basedOn w:val="Normalny"/>
    <w:link w:val="TekstkomentarzaZnak"/>
    <w:uiPriority w:val="99"/>
    <w:semiHidden/>
    <w:unhideWhenUsed/>
    <w:rsid w:val="00813F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3FEF"/>
    <w:rPr>
      <w:sz w:val="20"/>
      <w:szCs w:val="20"/>
    </w:rPr>
  </w:style>
  <w:style w:type="character" w:customStyle="1" w:styleId="AkapitzlistZnak">
    <w:name w:val="Akapit z listą Znak"/>
    <w:basedOn w:val="Domylnaczcionkaakapitu"/>
    <w:link w:val="Akapitzlist"/>
    <w:uiPriority w:val="34"/>
    <w:locked/>
    <w:rsid w:val="00691234"/>
  </w:style>
  <w:style w:type="paragraph" w:styleId="Podtytu">
    <w:name w:val="Subtitle"/>
    <w:basedOn w:val="Normalny"/>
    <w:link w:val="PodtytuZnak"/>
    <w:qFormat/>
    <w:rsid w:val="00C93C1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u w:val="single"/>
      <w:lang w:val="x-none" w:eastAsia="x-none"/>
    </w:rPr>
  </w:style>
  <w:style w:type="character" w:customStyle="1" w:styleId="PodtytuZnak">
    <w:name w:val="Podtytuł Znak"/>
    <w:basedOn w:val="Domylnaczcionkaakapitu"/>
    <w:link w:val="Podtytu"/>
    <w:rsid w:val="00C93C1A"/>
    <w:rPr>
      <w:rFonts w:ascii="Times New Roman" w:eastAsia="Times New Roman" w:hAnsi="Times New Roman" w:cs="Times New Roman"/>
      <w:b/>
      <w:sz w:val="28"/>
      <w:szCs w:val="20"/>
      <w:u w:val="single"/>
      <w:lang w:val="x-none" w:eastAsia="x-none"/>
    </w:r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footnote text"/>
    <w:basedOn w:val="Normalny"/>
    <w:link w:val="TekstprzypisudolnegoZnak"/>
    <w:semiHidden/>
    <w:rsid w:val="00C93C1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
    <w:basedOn w:val="Domylnaczcionkaakapitu"/>
    <w:link w:val="Tekstprzypisudolnego"/>
    <w:semiHidden/>
    <w:rsid w:val="00C93C1A"/>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C93C1A"/>
    <w:rPr>
      <w:vertAlign w:val="superscript"/>
    </w:rPr>
  </w:style>
  <w:style w:type="paragraph" w:customStyle="1" w:styleId="CharChar3ZnakZnakCharCharZnakZnakCharChar">
    <w:name w:val="Char Char3 Znak Znak Char Char Znak Znak Char Char"/>
    <w:basedOn w:val="Normalny"/>
    <w:rsid w:val="00C93C1A"/>
    <w:pPr>
      <w:spacing w:after="240" w:line="240" w:lineRule="auto"/>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D0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ok.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2514</Words>
  <Characters>15088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MAiC</Company>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Sankiewicz Szymon</dc:creator>
  <cp:lastModifiedBy>Ziubrzycki Marcin</cp:lastModifiedBy>
  <cp:revision>3</cp:revision>
  <dcterms:created xsi:type="dcterms:W3CDTF">2019-05-16T12:12:00Z</dcterms:created>
  <dcterms:modified xsi:type="dcterms:W3CDTF">2019-05-16T12:54:00Z</dcterms:modified>
</cp:coreProperties>
</file>