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20" w:rsidRPr="00F43954" w:rsidRDefault="0048503D">
      <w:pPr>
        <w:ind w:left="4876"/>
        <w:rPr>
          <w:rFonts w:ascii="Arial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ar-SA"/>
        </w:rPr>
        <w:t>Załącznik nr 1</w:t>
      </w:r>
      <w:bookmarkStart w:id="1" w:name="ezdPracownikAtrybut3"/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Zarządzenia </w:t>
      </w:r>
      <w:r w:rsidRPr="00F43954">
        <w:rPr>
          <w:rFonts w:ascii="Arial" w:eastAsia="Times New Roman" w:hAnsi="Arial" w:cs="Arial"/>
          <w:sz w:val="20"/>
          <w:szCs w:val="20"/>
          <w:lang w:eastAsia="ar-SA"/>
        </w:rPr>
        <w:t>Dyrektora Generalnego Łódzkiego Urzędu Wojewódzkiego w Łodzi</w:t>
      </w:r>
      <w:bookmarkEnd w:id="1"/>
      <w:r w:rsidRPr="00F43954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 dnia </w:t>
      </w:r>
      <w:bookmarkStart w:id="2" w:name="ezdDataPodpisu"/>
      <w:r w:rsidRPr="00F43954">
        <w:rPr>
          <w:rFonts w:ascii="Arial" w:eastAsia="Times New Roman" w:hAnsi="Arial" w:cs="Arial"/>
          <w:sz w:val="20"/>
          <w:szCs w:val="20"/>
          <w:lang w:eastAsia="ar-SA"/>
        </w:rPr>
        <w:t>27 czerwca 2025</w:t>
      </w:r>
      <w:bookmarkEnd w:id="2"/>
      <w:r w:rsidRPr="00F43954">
        <w:rPr>
          <w:rFonts w:ascii="Arial" w:eastAsia="Times New Roman" w:hAnsi="Arial" w:cs="Arial"/>
          <w:sz w:val="20"/>
          <w:szCs w:val="20"/>
          <w:lang w:eastAsia="ar-SA"/>
        </w:rPr>
        <w:t xml:space="preserve"> r.</w:t>
      </w:r>
    </w:p>
    <w:p w:rsidR="00C04420" w:rsidRPr="00F43954" w:rsidRDefault="0048503D">
      <w:pPr>
        <w:jc w:val="center"/>
        <w:rPr>
          <w:rFonts w:ascii="Arial" w:hAnsi="Arial" w:cs="Arial"/>
          <w:sz w:val="24"/>
          <w:szCs w:val="24"/>
        </w:rPr>
      </w:pPr>
    </w:p>
    <w:p w:rsidR="00D277F6" w:rsidRPr="009B7646" w:rsidRDefault="0048503D" w:rsidP="00D277F6">
      <w:pPr>
        <w:spacing w:before="80" w:line="276" w:lineRule="auto"/>
        <w:rPr>
          <w:color w:val="000000" w:themeColor="text1"/>
        </w:rPr>
      </w:pPr>
      <w:r>
        <w:rPr>
          <w:color w:val="000000" w:themeColor="text1"/>
        </w:rPr>
        <w:t>„</w:t>
      </w:r>
    </w:p>
    <w:p w:rsidR="00D277F6" w:rsidRPr="009B7646" w:rsidRDefault="0048503D" w:rsidP="00D277F6">
      <w:pPr>
        <w:spacing w:line="276" w:lineRule="auto"/>
        <w:ind w:left="6237"/>
        <w:rPr>
          <w:color w:val="000000" w:themeColor="text1"/>
          <w:sz w:val="20"/>
          <w:szCs w:val="20"/>
        </w:rPr>
      </w:pPr>
      <w:r w:rsidRPr="009B7646">
        <w:rPr>
          <w:color w:val="000000" w:themeColor="text1"/>
          <w:sz w:val="20"/>
          <w:szCs w:val="20"/>
        </w:rPr>
        <w:t>Załącznik nr 1</w:t>
      </w:r>
    </w:p>
    <w:p w:rsidR="00D277F6" w:rsidRPr="009B7646" w:rsidRDefault="0048503D" w:rsidP="00D277F6">
      <w:pPr>
        <w:spacing w:line="276" w:lineRule="auto"/>
        <w:ind w:left="6237"/>
        <w:rPr>
          <w:color w:val="000000" w:themeColor="text1"/>
          <w:sz w:val="20"/>
          <w:szCs w:val="20"/>
        </w:rPr>
      </w:pPr>
      <w:r w:rsidRPr="009B7646">
        <w:rPr>
          <w:color w:val="000000" w:themeColor="text1"/>
          <w:sz w:val="20"/>
          <w:szCs w:val="20"/>
        </w:rPr>
        <w:t xml:space="preserve">do Zarządzenia nr </w:t>
      </w:r>
      <w:r>
        <w:rPr>
          <w:color w:val="000000" w:themeColor="text1"/>
          <w:sz w:val="20"/>
          <w:szCs w:val="20"/>
        </w:rPr>
        <w:t>34</w:t>
      </w:r>
      <w:r w:rsidRPr="009B7646">
        <w:rPr>
          <w:color w:val="000000" w:themeColor="text1"/>
          <w:sz w:val="20"/>
          <w:szCs w:val="20"/>
        </w:rPr>
        <w:t>/202</w:t>
      </w:r>
      <w:r>
        <w:rPr>
          <w:color w:val="000000" w:themeColor="text1"/>
          <w:sz w:val="20"/>
          <w:szCs w:val="20"/>
        </w:rPr>
        <w:t>4</w:t>
      </w:r>
    </w:p>
    <w:p w:rsidR="00D277F6" w:rsidRPr="009B7646" w:rsidRDefault="0048503D" w:rsidP="00D277F6">
      <w:pPr>
        <w:spacing w:line="276" w:lineRule="auto"/>
        <w:ind w:left="6237"/>
        <w:rPr>
          <w:color w:val="000000" w:themeColor="text1"/>
          <w:sz w:val="20"/>
          <w:szCs w:val="20"/>
        </w:rPr>
      </w:pPr>
      <w:r w:rsidRPr="009B7646">
        <w:rPr>
          <w:color w:val="000000" w:themeColor="text1"/>
          <w:sz w:val="20"/>
          <w:szCs w:val="20"/>
        </w:rPr>
        <w:t>Dyrektora Generalnego Łódzkiego Urzędu Wojewódzkiego w Łodzi</w:t>
      </w:r>
    </w:p>
    <w:p w:rsidR="00D277F6" w:rsidRPr="009B7646" w:rsidRDefault="0048503D" w:rsidP="00D277F6">
      <w:pPr>
        <w:spacing w:line="276" w:lineRule="auto"/>
        <w:ind w:left="6237"/>
        <w:rPr>
          <w:color w:val="000000" w:themeColor="text1"/>
          <w:sz w:val="20"/>
          <w:szCs w:val="20"/>
        </w:rPr>
      </w:pPr>
      <w:r w:rsidRPr="009B7646">
        <w:rPr>
          <w:color w:val="000000" w:themeColor="text1"/>
          <w:sz w:val="20"/>
          <w:szCs w:val="20"/>
        </w:rPr>
        <w:t xml:space="preserve">z dnia </w:t>
      </w:r>
      <w:r>
        <w:rPr>
          <w:color w:val="000000" w:themeColor="text1"/>
          <w:sz w:val="20"/>
          <w:szCs w:val="20"/>
        </w:rPr>
        <w:t>4 listopada 2024</w:t>
      </w:r>
      <w:r w:rsidRPr="009B7646">
        <w:rPr>
          <w:color w:val="000000" w:themeColor="text1"/>
          <w:sz w:val="20"/>
          <w:szCs w:val="20"/>
        </w:rPr>
        <w:t xml:space="preserve"> r.</w:t>
      </w:r>
    </w:p>
    <w:p w:rsidR="00D277F6" w:rsidRPr="00416A5F" w:rsidRDefault="0048503D" w:rsidP="00D277F6">
      <w:pPr>
        <w:spacing w:before="80" w:line="276" w:lineRule="auto"/>
        <w:rPr>
          <w:b/>
          <w:color w:val="000000" w:themeColor="text1"/>
        </w:rPr>
      </w:pPr>
    </w:p>
    <w:p w:rsidR="00D277F6" w:rsidRPr="00AB5AAB" w:rsidRDefault="0048503D" w:rsidP="00D277F6">
      <w:pPr>
        <w:spacing w:before="80" w:line="276" w:lineRule="auto"/>
        <w:rPr>
          <w:color w:val="000000"/>
        </w:rPr>
      </w:pPr>
    </w:p>
    <w:p w:rsidR="00D277F6" w:rsidRPr="00AB5AAB" w:rsidRDefault="0048503D" w:rsidP="00D277F6">
      <w:pPr>
        <w:spacing w:before="80" w:line="276" w:lineRule="auto"/>
        <w:rPr>
          <w:b/>
          <w:color w:val="000000"/>
        </w:rPr>
      </w:pPr>
    </w:p>
    <w:p w:rsidR="00D277F6" w:rsidRPr="00AB5AAB" w:rsidRDefault="0048503D" w:rsidP="00D277F6">
      <w:pPr>
        <w:spacing w:before="80" w:line="276" w:lineRule="auto"/>
        <w:jc w:val="center"/>
        <w:rPr>
          <w:b/>
          <w:color w:val="000000"/>
        </w:rPr>
      </w:pPr>
      <w:r w:rsidRPr="00AB5AAB">
        <w:rPr>
          <w:b/>
          <w:color w:val="000000"/>
        </w:rPr>
        <w:t>Limit przydziału miejsc postojowych</w:t>
      </w:r>
    </w:p>
    <w:p w:rsidR="00D277F6" w:rsidRPr="00AB5AAB" w:rsidRDefault="0048503D" w:rsidP="00D277F6">
      <w:pPr>
        <w:spacing w:before="80" w:line="276" w:lineRule="auto"/>
        <w:rPr>
          <w:color w:val="000000"/>
        </w:rPr>
      </w:pPr>
    </w:p>
    <w:tbl>
      <w:tblPr>
        <w:tblW w:w="913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6091"/>
        <w:gridCol w:w="2409"/>
      </w:tblGrid>
      <w:tr w:rsidR="002B52DA" w:rsidTr="000F5E43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b/>
                <w:bCs/>
                <w:color w:val="000000"/>
                <w:lang w:eastAsia="pl-PL"/>
              </w:rPr>
            </w:pPr>
            <w:r w:rsidRPr="00AB5AAB"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b/>
                <w:bCs/>
                <w:color w:val="000000"/>
                <w:lang w:eastAsia="pl-PL"/>
              </w:rPr>
            </w:pPr>
            <w:r w:rsidRPr="00AB5AAB">
              <w:rPr>
                <w:b/>
                <w:bCs/>
                <w:color w:val="000000"/>
                <w:lang w:eastAsia="pl-PL"/>
              </w:rPr>
              <w:t>Nazwa wydziału/ biura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b/>
                <w:bCs/>
                <w:color w:val="000000"/>
                <w:lang w:eastAsia="pl-PL"/>
              </w:rPr>
            </w:pPr>
            <w:r w:rsidRPr="00AB5AAB">
              <w:rPr>
                <w:b/>
                <w:bCs/>
                <w:color w:val="000000"/>
                <w:lang w:eastAsia="pl-PL"/>
              </w:rPr>
              <w:t>Ilość miejsc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1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Biuro Wojewody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12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2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 xml:space="preserve">Biuro Kadr, Płac i Budżetu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14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3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Biuro Administracji i Logistyki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16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4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Wydział Prawny, Nadzoru i Kontroli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14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5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Wydział Finansów i Budżetu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20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6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 xml:space="preserve">Wydział </w:t>
            </w:r>
            <w:r w:rsidRPr="00AB5AAB">
              <w:rPr>
                <w:color w:val="000000"/>
                <w:lang w:eastAsia="pl-PL"/>
              </w:rPr>
              <w:t>Gospodarki Przestrzennej i Budownictwa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10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7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Wydział Rolnictwa i Transportu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8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202123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202123">
              <w:rPr>
                <w:color w:val="000000"/>
              </w:rPr>
              <w:t>Wojewódzka Inspekcja Geodezyjna i Kartograficzna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2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9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Wydział Spraw Obywatelskich</w:t>
            </w:r>
            <w:r>
              <w:rPr>
                <w:color w:val="000000"/>
                <w:lang w:eastAsia="pl-PL"/>
              </w:rPr>
              <w:t xml:space="preserve"> i </w:t>
            </w:r>
            <w:r w:rsidRPr="007C2462">
              <w:rPr>
                <w:color w:val="000000"/>
                <w:lang w:eastAsia="pl-PL"/>
              </w:rPr>
              <w:t>Cudzoziemców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20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0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Wydział Rodziny i Polityki Społecznej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20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 xml:space="preserve">Wydział Bezpieczeństwa i </w:t>
            </w:r>
            <w:r w:rsidRPr="007C2462">
              <w:rPr>
                <w:color w:val="000000"/>
                <w:lang w:eastAsia="pl-PL"/>
              </w:rPr>
              <w:t>Zarządzania Kryzysowego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9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Wydział Zdrowia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12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Wydział Inwestycji i Rozwoju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7C2462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7C2462">
              <w:rPr>
                <w:color w:val="000000"/>
                <w:lang w:eastAsia="pl-PL"/>
              </w:rPr>
              <w:t>6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4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Zespół ds. Ochrony Informacji Niejawnych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3</w:t>
            </w:r>
          </w:p>
        </w:tc>
      </w:tr>
      <w:tr w:rsidR="002B52DA" w:rsidTr="000F5E4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1</w:t>
            </w:r>
            <w:r>
              <w:rPr>
                <w:color w:val="000000"/>
                <w:lang w:eastAsia="pl-PL"/>
              </w:rPr>
              <w:t>5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Zespół Audytu Wewnętrznego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F6" w:rsidRPr="00AB5AAB" w:rsidRDefault="0048503D" w:rsidP="000F5E43">
            <w:pPr>
              <w:suppressAutoHyphens w:val="0"/>
              <w:spacing w:before="80" w:line="276" w:lineRule="auto"/>
              <w:jc w:val="center"/>
              <w:rPr>
                <w:color w:val="000000"/>
                <w:lang w:eastAsia="pl-PL"/>
              </w:rPr>
            </w:pPr>
            <w:r w:rsidRPr="00AB5AAB">
              <w:rPr>
                <w:color w:val="000000"/>
                <w:lang w:eastAsia="pl-PL"/>
              </w:rPr>
              <w:t>1</w:t>
            </w:r>
          </w:p>
        </w:tc>
      </w:tr>
    </w:tbl>
    <w:p w:rsidR="00D277F6" w:rsidRPr="009B7646" w:rsidRDefault="0048503D" w:rsidP="00D277F6">
      <w:pPr>
        <w:spacing w:before="80" w:line="276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 „</w:t>
      </w:r>
    </w:p>
    <w:p w:rsidR="00C04420" w:rsidRPr="00F43954" w:rsidRDefault="0048503D">
      <w:pPr>
        <w:rPr>
          <w:rFonts w:ascii="Arial" w:hAnsi="Arial" w:cs="Arial"/>
          <w:sz w:val="24"/>
          <w:szCs w:val="24"/>
        </w:rPr>
      </w:pPr>
    </w:p>
    <w:sectPr w:rsidR="00C04420" w:rsidRPr="00F43954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DA"/>
    <w:rsid w:val="002B52DA"/>
    <w:rsid w:val="0048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5D0C3-BBAB-4CD9-A598-3D415AEE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B379-827C-4898-AE31-46625B78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2025-07-01T08:11:00Z</dcterms:created>
  <dcterms:modified xsi:type="dcterms:W3CDTF">2025-07-01T08:11:00Z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