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31" w:rsidRPr="009F45F6" w:rsidRDefault="004A5B31" w:rsidP="004A5B31">
      <w:pPr>
        <w:rPr>
          <w:b/>
          <w:color w:val="000000" w:themeColor="text1"/>
          <w:sz w:val="24"/>
          <w:szCs w:val="24"/>
        </w:rPr>
      </w:pPr>
      <w:r w:rsidRPr="009F45F6">
        <w:rPr>
          <w:b/>
          <w:color w:val="000000" w:themeColor="text1"/>
          <w:sz w:val="24"/>
          <w:szCs w:val="24"/>
        </w:rPr>
        <w:t>BDG.zp.23.1.10</w:t>
      </w:r>
      <w:r w:rsidR="000459B5" w:rsidRPr="009F45F6">
        <w:rPr>
          <w:b/>
          <w:color w:val="000000" w:themeColor="text1"/>
          <w:sz w:val="24"/>
          <w:szCs w:val="24"/>
        </w:rPr>
        <w:t>1</w:t>
      </w:r>
      <w:r w:rsidRPr="009F45F6">
        <w:rPr>
          <w:b/>
          <w:color w:val="000000" w:themeColor="text1"/>
          <w:sz w:val="24"/>
          <w:szCs w:val="24"/>
        </w:rPr>
        <w:t>.2019                                                           ZAŁĄCZNIK NR 2a DO SIWZ</w:t>
      </w:r>
    </w:p>
    <w:p w:rsidR="004A5B31" w:rsidRPr="009F45F6" w:rsidRDefault="004A5B31" w:rsidP="004A5B31">
      <w:pPr>
        <w:rPr>
          <w:color w:val="000000" w:themeColor="text1"/>
          <w:sz w:val="24"/>
          <w:szCs w:val="24"/>
        </w:rPr>
      </w:pPr>
    </w:p>
    <w:p w:rsidR="004A5B31" w:rsidRPr="009F45F6" w:rsidRDefault="004A5B31" w:rsidP="004A5B31">
      <w:pPr>
        <w:jc w:val="both"/>
        <w:rPr>
          <w:color w:val="000000" w:themeColor="text1"/>
          <w:sz w:val="24"/>
          <w:szCs w:val="24"/>
        </w:rPr>
      </w:pPr>
      <w:r w:rsidRPr="009F45F6">
        <w:rPr>
          <w:color w:val="000000" w:themeColor="text1"/>
          <w:sz w:val="24"/>
          <w:szCs w:val="24"/>
        </w:rPr>
        <w:t xml:space="preserve">Wykonawca zobowiązany jest podać nazwę </w:t>
      </w:r>
      <w:r w:rsidR="000459B5" w:rsidRPr="009F45F6">
        <w:rPr>
          <w:color w:val="000000" w:themeColor="text1"/>
          <w:sz w:val="24"/>
          <w:szCs w:val="24"/>
        </w:rPr>
        <w:t xml:space="preserve">serwerów i przełączników FC </w:t>
      </w:r>
      <w:r w:rsidRPr="009F45F6">
        <w:rPr>
          <w:color w:val="000000" w:themeColor="text1"/>
          <w:sz w:val="24"/>
          <w:szCs w:val="24"/>
        </w:rPr>
        <w:t xml:space="preserve">oraz producenta </w:t>
      </w:r>
      <w:r w:rsidR="000459B5" w:rsidRPr="009F45F6">
        <w:rPr>
          <w:color w:val="000000" w:themeColor="text1"/>
          <w:sz w:val="24"/>
          <w:szCs w:val="24"/>
        </w:rPr>
        <w:t xml:space="preserve">serwerów i przełączników FC </w:t>
      </w:r>
      <w:r w:rsidRPr="009F45F6">
        <w:rPr>
          <w:color w:val="000000" w:themeColor="text1"/>
          <w:sz w:val="24"/>
          <w:szCs w:val="24"/>
        </w:rPr>
        <w:t>oraz wypełnić deklarację zgodności z opisem wymagań minimalnych określonych przez Zamawiającego w poniższej tabeli.</w:t>
      </w:r>
    </w:p>
    <w:p w:rsidR="004A5B31" w:rsidRPr="009F45F6" w:rsidRDefault="004A5B31" w:rsidP="004A5B31">
      <w:pPr>
        <w:rPr>
          <w:color w:val="000000" w:themeColor="text1"/>
        </w:rPr>
      </w:pPr>
    </w:p>
    <w:p w:rsidR="005933FA" w:rsidRPr="009F45F6" w:rsidRDefault="005933FA" w:rsidP="005933FA">
      <w:pPr>
        <w:numPr>
          <w:ilvl w:val="0"/>
          <w:numId w:val="18"/>
        </w:numPr>
        <w:contextualSpacing/>
        <w:rPr>
          <w:color w:val="000000" w:themeColor="text1"/>
          <w:sz w:val="24"/>
          <w:szCs w:val="24"/>
        </w:rPr>
      </w:pPr>
      <w:r w:rsidRPr="009F45F6">
        <w:rPr>
          <w:color w:val="000000" w:themeColor="text1"/>
          <w:sz w:val="24"/>
          <w:szCs w:val="24"/>
        </w:rPr>
        <w:t>Serwery – 2 szt., każdy w konfiguracji spełniające wymagania:</w:t>
      </w:r>
    </w:p>
    <w:p w:rsidR="005933FA" w:rsidRPr="009F45F6" w:rsidRDefault="005933FA" w:rsidP="005933FA">
      <w:pPr>
        <w:rPr>
          <w:color w:val="000000" w:themeColor="text1"/>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592"/>
        <w:gridCol w:w="6"/>
        <w:gridCol w:w="6170"/>
        <w:gridCol w:w="1559"/>
      </w:tblGrid>
      <w:tr w:rsidR="009F45F6" w:rsidRPr="009F45F6" w:rsidTr="003778CD">
        <w:tc>
          <w:tcPr>
            <w:tcW w:w="9923" w:type="dxa"/>
            <w:gridSpan w:val="5"/>
            <w:vAlign w:val="center"/>
          </w:tcPr>
          <w:p w:rsidR="00507247" w:rsidRPr="009F45F6" w:rsidRDefault="00507247" w:rsidP="005F1E83">
            <w:pPr>
              <w:rPr>
                <w:b/>
                <w:color w:val="000000" w:themeColor="text1"/>
              </w:rPr>
            </w:pPr>
          </w:p>
          <w:p w:rsidR="00507247" w:rsidRPr="009F45F6" w:rsidRDefault="00507247" w:rsidP="005F1E83">
            <w:pPr>
              <w:rPr>
                <w:b/>
                <w:color w:val="000000" w:themeColor="text1"/>
              </w:rPr>
            </w:pPr>
            <w:r w:rsidRPr="009F45F6">
              <w:rPr>
                <w:b/>
                <w:color w:val="000000" w:themeColor="text1"/>
              </w:rPr>
              <w:t xml:space="preserve">Producent serwera: </w:t>
            </w:r>
            <w:r w:rsidRPr="009F45F6">
              <w:rPr>
                <w:color w:val="000000" w:themeColor="text1"/>
              </w:rPr>
              <w:t>…………………………………</w:t>
            </w:r>
          </w:p>
          <w:p w:rsidR="00507247" w:rsidRPr="009F45F6" w:rsidRDefault="00507247" w:rsidP="005F1E83">
            <w:pPr>
              <w:jc w:val="center"/>
              <w:rPr>
                <w:b/>
                <w:color w:val="000000" w:themeColor="text1"/>
              </w:rPr>
            </w:pPr>
          </w:p>
        </w:tc>
      </w:tr>
      <w:tr w:rsidR="009F45F6" w:rsidRPr="009F45F6" w:rsidTr="00541065">
        <w:tc>
          <w:tcPr>
            <w:tcW w:w="9923" w:type="dxa"/>
            <w:gridSpan w:val="5"/>
            <w:vAlign w:val="center"/>
          </w:tcPr>
          <w:p w:rsidR="00507247" w:rsidRPr="009F45F6" w:rsidRDefault="00507247" w:rsidP="00507247">
            <w:pPr>
              <w:rPr>
                <w:b/>
                <w:color w:val="000000" w:themeColor="text1"/>
              </w:rPr>
            </w:pPr>
          </w:p>
          <w:p w:rsidR="00507247" w:rsidRPr="009F45F6" w:rsidRDefault="00306A72" w:rsidP="00507247">
            <w:pPr>
              <w:rPr>
                <w:color w:val="000000" w:themeColor="text1"/>
              </w:rPr>
            </w:pPr>
            <w:r w:rsidRPr="009F45F6">
              <w:rPr>
                <w:b/>
                <w:color w:val="000000" w:themeColor="text1"/>
              </w:rPr>
              <w:t>Model/typ</w:t>
            </w:r>
            <w:r w:rsidR="00507247" w:rsidRPr="009F45F6">
              <w:rPr>
                <w:b/>
                <w:color w:val="000000" w:themeColor="text1"/>
              </w:rPr>
              <w:t xml:space="preserve"> serwera: </w:t>
            </w:r>
            <w:r w:rsidR="00507247" w:rsidRPr="009F45F6">
              <w:rPr>
                <w:color w:val="000000" w:themeColor="text1"/>
              </w:rPr>
              <w:t>…………………………………</w:t>
            </w:r>
          </w:p>
          <w:p w:rsidR="00507247" w:rsidRPr="009F45F6" w:rsidRDefault="00507247" w:rsidP="00507247">
            <w:pPr>
              <w:rPr>
                <w:b/>
                <w:color w:val="000000" w:themeColor="text1"/>
              </w:rPr>
            </w:pPr>
          </w:p>
        </w:tc>
      </w:tr>
      <w:tr w:rsidR="009F45F6" w:rsidRPr="009F45F6" w:rsidTr="0028120F">
        <w:tc>
          <w:tcPr>
            <w:tcW w:w="596" w:type="dxa"/>
            <w:vAlign w:val="center"/>
          </w:tcPr>
          <w:p w:rsidR="009E7ABE" w:rsidRPr="009F45F6" w:rsidRDefault="009E7ABE" w:rsidP="005F1E83">
            <w:pPr>
              <w:jc w:val="center"/>
              <w:rPr>
                <w:b/>
                <w:color w:val="000000" w:themeColor="text1"/>
              </w:rPr>
            </w:pPr>
            <w:r w:rsidRPr="009F45F6">
              <w:rPr>
                <w:b/>
                <w:color w:val="000000" w:themeColor="text1"/>
              </w:rPr>
              <w:t>Lp.</w:t>
            </w:r>
          </w:p>
        </w:tc>
        <w:tc>
          <w:tcPr>
            <w:tcW w:w="1598" w:type="dxa"/>
            <w:gridSpan w:val="2"/>
            <w:vAlign w:val="center"/>
          </w:tcPr>
          <w:p w:rsidR="009E7ABE" w:rsidRPr="009F45F6" w:rsidRDefault="0028120F" w:rsidP="0028120F">
            <w:pPr>
              <w:jc w:val="center"/>
              <w:rPr>
                <w:b/>
                <w:color w:val="000000" w:themeColor="text1"/>
              </w:rPr>
            </w:pPr>
            <w:r w:rsidRPr="009F45F6">
              <w:rPr>
                <w:b/>
                <w:color w:val="000000" w:themeColor="text1"/>
              </w:rPr>
              <w:t>Parametr lub warunek</w:t>
            </w:r>
          </w:p>
        </w:tc>
        <w:tc>
          <w:tcPr>
            <w:tcW w:w="6170" w:type="dxa"/>
            <w:vAlign w:val="center"/>
          </w:tcPr>
          <w:p w:rsidR="009E7ABE" w:rsidRPr="009F45F6" w:rsidRDefault="0028120F" w:rsidP="0028120F">
            <w:pPr>
              <w:jc w:val="center"/>
              <w:rPr>
                <w:b/>
                <w:color w:val="000000" w:themeColor="text1"/>
              </w:rPr>
            </w:pPr>
            <w:r w:rsidRPr="009F45F6">
              <w:rPr>
                <w:b/>
                <w:color w:val="000000" w:themeColor="text1"/>
              </w:rPr>
              <w:t>Opis minimalnych</w:t>
            </w:r>
            <w:r w:rsidR="009E7ABE" w:rsidRPr="009F45F6">
              <w:rPr>
                <w:b/>
                <w:color w:val="000000" w:themeColor="text1"/>
              </w:rPr>
              <w:t xml:space="preserve"> wymaga</w:t>
            </w:r>
            <w:r w:rsidRPr="009F45F6">
              <w:rPr>
                <w:b/>
                <w:color w:val="000000" w:themeColor="text1"/>
              </w:rPr>
              <w:t>ń</w:t>
            </w:r>
          </w:p>
        </w:tc>
        <w:tc>
          <w:tcPr>
            <w:tcW w:w="1559" w:type="dxa"/>
          </w:tcPr>
          <w:p w:rsidR="00507247" w:rsidRPr="009F45F6" w:rsidRDefault="00507247" w:rsidP="00507247">
            <w:pPr>
              <w:jc w:val="center"/>
              <w:rPr>
                <w:b/>
                <w:color w:val="000000" w:themeColor="text1"/>
              </w:rPr>
            </w:pPr>
            <w:r w:rsidRPr="009F45F6">
              <w:rPr>
                <w:b/>
                <w:color w:val="000000" w:themeColor="text1"/>
              </w:rPr>
              <w:t xml:space="preserve">Deklaracja zgodności </w:t>
            </w:r>
            <w:r w:rsidR="0028120F" w:rsidRPr="009F45F6">
              <w:rPr>
                <w:b/>
                <w:color w:val="000000" w:themeColor="text1"/>
              </w:rPr>
              <w:br/>
            </w:r>
            <w:r w:rsidRPr="009F45F6">
              <w:rPr>
                <w:b/>
                <w:color w:val="000000" w:themeColor="text1"/>
              </w:rPr>
              <w:t>z opisem wymagań minimalnych</w:t>
            </w:r>
          </w:p>
          <w:p w:rsidR="009E7ABE" w:rsidRPr="009F45F6" w:rsidRDefault="00507247" w:rsidP="00507247">
            <w:pPr>
              <w:jc w:val="center"/>
              <w:rPr>
                <w:b/>
                <w:color w:val="000000" w:themeColor="text1"/>
              </w:rPr>
            </w:pPr>
            <w:r w:rsidRPr="009F45F6">
              <w:rPr>
                <w:b/>
                <w:color w:val="000000" w:themeColor="text1"/>
              </w:rPr>
              <w:t>(Tak / Nie)</w:t>
            </w:r>
          </w:p>
        </w:tc>
      </w:tr>
      <w:tr w:rsidR="009F45F6" w:rsidRPr="009F45F6" w:rsidTr="0028120F">
        <w:trPr>
          <w:trHeight w:val="658"/>
        </w:trPr>
        <w:tc>
          <w:tcPr>
            <w:tcW w:w="596" w:type="dxa"/>
            <w:vAlign w:val="center"/>
          </w:tcPr>
          <w:p w:rsidR="009E7ABE" w:rsidRPr="009F45F6" w:rsidRDefault="009E7ABE" w:rsidP="005933FA">
            <w:pPr>
              <w:numPr>
                <w:ilvl w:val="0"/>
                <w:numId w:val="20"/>
              </w:numPr>
              <w:contextualSpacing/>
              <w:rPr>
                <w:rFonts w:eastAsia="Calibri"/>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Obudowa</w:t>
            </w:r>
          </w:p>
        </w:tc>
        <w:tc>
          <w:tcPr>
            <w:tcW w:w="6170" w:type="dxa"/>
          </w:tcPr>
          <w:p w:rsidR="009E7ABE" w:rsidRPr="009F45F6" w:rsidRDefault="009E7ABE" w:rsidP="005F1E83">
            <w:pPr>
              <w:snapToGrid w:val="0"/>
              <w:jc w:val="both"/>
              <w:rPr>
                <w:color w:val="000000" w:themeColor="text1"/>
              </w:rPr>
            </w:pPr>
            <w:r w:rsidRPr="009F45F6">
              <w:rPr>
                <w:color w:val="000000" w:themeColor="text1"/>
              </w:rPr>
              <w:t xml:space="preserve">Typu </w:t>
            </w:r>
            <w:proofErr w:type="spellStart"/>
            <w:r w:rsidRPr="009F45F6">
              <w:rPr>
                <w:color w:val="000000" w:themeColor="text1"/>
              </w:rPr>
              <w:t>Rack</w:t>
            </w:r>
            <w:proofErr w:type="spellEnd"/>
            <w:r w:rsidRPr="009F45F6">
              <w:rPr>
                <w:color w:val="000000" w:themeColor="text1"/>
              </w:rPr>
              <w:t>, wysokość maksimum 1U.</w:t>
            </w:r>
          </w:p>
          <w:p w:rsidR="009E7ABE" w:rsidRPr="009F45F6" w:rsidRDefault="009E7ABE" w:rsidP="005F1E83">
            <w:pPr>
              <w:jc w:val="both"/>
              <w:rPr>
                <w:color w:val="000000" w:themeColor="text1"/>
              </w:rPr>
            </w:pPr>
            <w:r w:rsidRPr="009F45F6">
              <w:rPr>
                <w:color w:val="000000" w:themeColor="text1"/>
              </w:rPr>
              <w:t>Dostarczona wraz z szynami umożliwiają</w:t>
            </w:r>
            <w:r w:rsidR="0028120F" w:rsidRPr="009F45F6">
              <w:rPr>
                <w:color w:val="000000" w:themeColor="text1"/>
              </w:rPr>
              <w:t xml:space="preserve">cymi pełne wysunięcie serwera z </w:t>
            </w:r>
            <w:r w:rsidRPr="009F45F6">
              <w:rPr>
                <w:color w:val="000000" w:themeColor="text1"/>
              </w:rPr>
              <w:t xml:space="preserve">szafy </w:t>
            </w:r>
            <w:proofErr w:type="spellStart"/>
            <w:r w:rsidRPr="009F45F6">
              <w:rPr>
                <w:color w:val="000000" w:themeColor="text1"/>
              </w:rPr>
              <w:t>rack</w:t>
            </w:r>
            <w:proofErr w:type="spellEnd"/>
            <w:r w:rsidRPr="009F45F6">
              <w:rPr>
                <w:color w:val="000000" w:themeColor="text1"/>
              </w:rPr>
              <w:t xml:space="preserve"> oraz ramieniem porządkującym ułożenie przewodów </w:t>
            </w:r>
            <w:r w:rsidR="0028120F" w:rsidRPr="009F45F6">
              <w:rPr>
                <w:color w:val="000000" w:themeColor="text1"/>
              </w:rPr>
              <w:br/>
            </w:r>
            <w:r w:rsidRPr="009F45F6">
              <w:rPr>
                <w:color w:val="000000" w:themeColor="text1"/>
              </w:rPr>
              <w:t xml:space="preserve">w szafie </w:t>
            </w:r>
            <w:proofErr w:type="spellStart"/>
            <w:r w:rsidRPr="009F45F6">
              <w:rPr>
                <w:color w:val="000000" w:themeColor="text1"/>
              </w:rPr>
              <w:t>rack</w:t>
            </w:r>
            <w:proofErr w:type="spellEnd"/>
            <w:r w:rsidRPr="009F45F6">
              <w:rPr>
                <w:color w:val="000000" w:themeColor="text1"/>
              </w:rPr>
              <w:t>.</w:t>
            </w:r>
          </w:p>
        </w:tc>
        <w:tc>
          <w:tcPr>
            <w:tcW w:w="1559" w:type="dxa"/>
          </w:tcPr>
          <w:p w:rsidR="009E7ABE" w:rsidRPr="009F45F6" w:rsidRDefault="009E7ABE" w:rsidP="005F1E83">
            <w:pPr>
              <w:snapToGrid w:val="0"/>
              <w:jc w:val="both"/>
              <w:rPr>
                <w:color w:val="000000" w:themeColor="text1"/>
              </w:rPr>
            </w:pPr>
          </w:p>
        </w:tc>
      </w:tr>
      <w:tr w:rsidR="009F45F6" w:rsidRPr="009F45F6" w:rsidTr="0028120F">
        <w:trPr>
          <w:trHeight w:val="956"/>
        </w:trPr>
        <w:tc>
          <w:tcPr>
            <w:tcW w:w="596" w:type="dxa"/>
          </w:tcPr>
          <w:p w:rsidR="009E7ABE" w:rsidRPr="009F45F6" w:rsidRDefault="009E7ABE" w:rsidP="005933FA">
            <w:pPr>
              <w:numPr>
                <w:ilvl w:val="0"/>
                <w:numId w:val="20"/>
              </w:numPr>
              <w:contextualSpacing/>
              <w:rPr>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Płyta główna</w:t>
            </w:r>
          </w:p>
        </w:tc>
        <w:tc>
          <w:tcPr>
            <w:tcW w:w="6170" w:type="dxa"/>
          </w:tcPr>
          <w:p w:rsidR="009E7ABE" w:rsidRPr="009F45F6" w:rsidRDefault="009E7ABE" w:rsidP="005F1E83">
            <w:pPr>
              <w:snapToGrid w:val="0"/>
              <w:jc w:val="both"/>
              <w:rPr>
                <w:color w:val="000000" w:themeColor="text1"/>
              </w:rPr>
            </w:pPr>
            <w:r w:rsidRPr="009F45F6">
              <w:rPr>
                <w:color w:val="000000" w:themeColor="text1"/>
              </w:rPr>
              <w:t>Dwuprocesorowa, zaprojektowana i wyprodukowana przez producenta serwera, możliwość instalacji procesorów dwudziestoośmiordzeniowych.</w:t>
            </w:r>
          </w:p>
          <w:p w:rsidR="009E7ABE" w:rsidRPr="009F45F6" w:rsidRDefault="009E7ABE" w:rsidP="005F1E83">
            <w:pPr>
              <w:snapToGrid w:val="0"/>
              <w:jc w:val="both"/>
              <w:rPr>
                <w:color w:val="000000" w:themeColor="text1"/>
              </w:rPr>
            </w:pPr>
            <w:r w:rsidRPr="009F45F6">
              <w:rPr>
                <w:color w:val="000000" w:themeColor="text1"/>
              </w:rPr>
              <w:t>Wyposażona w minimum 24 gniazda pamięci RAM DDR4, obsługa minimum 3000GB pamięci RAM DDR4 29</w:t>
            </w:r>
            <w:r w:rsidR="003D0055" w:rsidRPr="009F45F6">
              <w:rPr>
                <w:color w:val="000000" w:themeColor="text1"/>
              </w:rPr>
              <w:t>33</w:t>
            </w:r>
            <w:r w:rsidRPr="009F45F6">
              <w:rPr>
                <w:color w:val="000000" w:themeColor="text1"/>
              </w:rPr>
              <w:t xml:space="preserve"> MHz.</w:t>
            </w:r>
          </w:p>
          <w:p w:rsidR="009E7ABE" w:rsidRPr="009F45F6" w:rsidRDefault="009E7ABE" w:rsidP="005F1E83">
            <w:pPr>
              <w:snapToGrid w:val="0"/>
              <w:jc w:val="both"/>
              <w:rPr>
                <w:color w:val="000000" w:themeColor="text1"/>
              </w:rPr>
            </w:pPr>
            <w:r w:rsidRPr="009F45F6">
              <w:rPr>
                <w:color w:val="000000" w:themeColor="text1"/>
              </w:rPr>
              <w:t>Oferowany model serwera musi obsługiwać pamięć nieulotną instalowaną w gniazdach pamięci RAM o pojemności sumarycznej minimum 1000GB (przez pamięć nieulotną rozumie się moduły pamięci zachowujące swój stan np. w przypadku nagłej awarii zasilania, nie dopuszcza się podtrzymania bateryjnego stanu pamięci).</w:t>
            </w:r>
          </w:p>
          <w:p w:rsidR="009E7ABE" w:rsidRPr="009F45F6" w:rsidRDefault="009E7ABE" w:rsidP="005F1E83">
            <w:pPr>
              <w:snapToGrid w:val="0"/>
              <w:jc w:val="both"/>
              <w:rPr>
                <w:color w:val="000000" w:themeColor="text1"/>
              </w:rPr>
            </w:pPr>
            <w:r w:rsidRPr="009F45F6">
              <w:rPr>
                <w:color w:val="000000" w:themeColor="text1"/>
              </w:rPr>
              <w:t xml:space="preserve">Minimum 2 </w:t>
            </w:r>
            <w:proofErr w:type="spellStart"/>
            <w:r w:rsidRPr="009F45F6">
              <w:rPr>
                <w:color w:val="000000" w:themeColor="text1"/>
              </w:rPr>
              <w:t>sloty</w:t>
            </w:r>
            <w:proofErr w:type="spellEnd"/>
            <w:r w:rsidRPr="009F45F6">
              <w:rPr>
                <w:color w:val="000000" w:themeColor="text1"/>
              </w:rPr>
              <w:t xml:space="preserve"> dla dysków M.2 na płycie głównej (lub dedykowanej karcie PCI Express) nie zajmujące klatek dla dysków hot-plug; (Możliwość integracji dedykowanej, wewnętrznej pamięci </w:t>
            </w:r>
            <w:proofErr w:type="spellStart"/>
            <w:r w:rsidRPr="009F45F6">
              <w:rPr>
                <w:color w:val="000000" w:themeColor="text1"/>
              </w:rPr>
              <w:t>flash</w:t>
            </w:r>
            <w:proofErr w:type="spellEnd"/>
            <w:r w:rsidRPr="009F45F6">
              <w:rPr>
                <w:color w:val="000000" w:themeColor="text1"/>
              </w:rPr>
              <w:t xml:space="preserve"> przeznaczonej dla </w:t>
            </w:r>
            <w:proofErr w:type="spellStart"/>
            <w:r w:rsidRPr="009F45F6">
              <w:rPr>
                <w:color w:val="000000" w:themeColor="text1"/>
              </w:rPr>
              <w:t>wirtualizatora</w:t>
            </w:r>
            <w:proofErr w:type="spellEnd"/>
            <w:r w:rsidRPr="009F45F6">
              <w:rPr>
                <w:color w:val="000000" w:themeColor="text1"/>
              </w:rPr>
              <w:t xml:space="preserve"> w slocie M.2 bez zajmowania klatek dyskowych serwera), nie zajmujące klatek dla dysków hot-plug.</w:t>
            </w:r>
          </w:p>
          <w:p w:rsidR="009E7ABE" w:rsidRPr="009F45F6" w:rsidRDefault="009E7ABE" w:rsidP="005F1E83">
            <w:pPr>
              <w:snapToGrid w:val="0"/>
              <w:jc w:val="both"/>
              <w:rPr>
                <w:color w:val="000000" w:themeColor="text1"/>
              </w:rPr>
            </w:pPr>
            <w:r w:rsidRPr="009F45F6">
              <w:rPr>
                <w:color w:val="000000" w:themeColor="text1"/>
              </w:rPr>
              <w:t xml:space="preserve">Możliwość integracji dedykowanej, wewnętrznej pamięci </w:t>
            </w:r>
            <w:proofErr w:type="spellStart"/>
            <w:r w:rsidRPr="009F45F6">
              <w:rPr>
                <w:color w:val="000000" w:themeColor="text1"/>
              </w:rPr>
              <w:t>flash</w:t>
            </w:r>
            <w:proofErr w:type="spellEnd"/>
            <w:r w:rsidRPr="009F45F6">
              <w:rPr>
                <w:color w:val="000000" w:themeColor="text1"/>
              </w:rPr>
              <w:t xml:space="preserve"> przeznaczonej dla </w:t>
            </w:r>
            <w:proofErr w:type="spellStart"/>
            <w:r w:rsidRPr="009F45F6">
              <w:rPr>
                <w:color w:val="000000" w:themeColor="text1"/>
              </w:rPr>
              <w:t>wirtualizatora</w:t>
            </w:r>
            <w:proofErr w:type="spellEnd"/>
            <w:r w:rsidRPr="009F45F6">
              <w:rPr>
                <w:color w:val="000000" w:themeColor="text1"/>
              </w:rPr>
              <w:t xml:space="preserve"> w slocie M.2 bez zajmowania klatek dyskowych serwera.</w:t>
            </w:r>
          </w:p>
        </w:tc>
        <w:tc>
          <w:tcPr>
            <w:tcW w:w="1559" w:type="dxa"/>
          </w:tcPr>
          <w:p w:rsidR="009E7ABE" w:rsidRPr="009F45F6" w:rsidRDefault="009E7ABE" w:rsidP="005F1E83">
            <w:pPr>
              <w:snapToGrid w:val="0"/>
              <w:jc w:val="both"/>
              <w:rPr>
                <w:color w:val="000000" w:themeColor="text1"/>
              </w:rPr>
            </w:pPr>
          </w:p>
        </w:tc>
      </w:tr>
      <w:tr w:rsidR="009F45F6" w:rsidRPr="009F45F6" w:rsidTr="0028120F">
        <w:tc>
          <w:tcPr>
            <w:tcW w:w="596" w:type="dxa"/>
          </w:tcPr>
          <w:p w:rsidR="009E7ABE" w:rsidRPr="009F45F6" w:rsidRDefault="009E7ABE" w:rsidP="005933FA">
            <w:pPr>
              <w:numPr>
                <w:ilvl w:val="0"/>
                <w:numId w:val="20"/>
              </w:numPr>
              <w:contextualSpacing/>
              <w:rPr>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Procesory</w:t>
            </w:r>
          </w:p>
        </w:tc>
        <w:tc>
          <w:tcPr>
            <w:tcW w:w="6170" w:type="dxa"/>
          </w:tcPr>
          <w:p w:rsidR="009E7ABE" w:rsidRPr="009F45F6" w:rsidRDefault="009E7ABE" w:rsidP="005F1E83">
            <w:pPr>
              <w:jc w:val="both"/>
              <w:rPr>
                <w:color w:val="000000" w:themeColor="text1"/>
              </w:rPr>
            </w:pPr>
            <w:r w:rsidRPr="009F45F6">
              <w:rPr>
                <w:color w:val="000000" w:themeColor="text1"/>
              </w:rPr>
              <w:t>Obsługa procesorów minimum 28-rdzeniowych.</w:t>
            </w:r>
          </w:p>
          <w:p w:rsidR="009E7ABE" w:rsidRPr="009F45F6" w:rsidRDefault="009E7ABE" w:rsidP="005F1E83">
            <w:pPr>
              <w:jc w:val="both"/>
              <w:rPr>
                <w:color w:val="000000" w:themeColor="text1"/>
              </w:rPr>
            </w:pPr>
            <w:r w:rsidRPr="009F45F6">
              <w:rPr>
                <w:color w:val="000000" w:themeColor="text1"/>
              </w:rPr>
              <w:t xml:space="preserve">Zainstalowane minimum dwa procesory 16-rdzeniowe taktowane podstawowym zegarem 2,3 GHz, </w:t>
            </w:r>
          </w:p>
        </w:tc>
        <w:tc>
          <w:tcPr>
            <w:tcW w:w="1559" w:type="dxa"/>
          </w:tcPr>
          <w:p w:rsidR="009E7ABE" w:rsidRPr="009F45F6" w:rsidRDefault="009E7ABE" w:rsidP="005F1E83">
            <w:pPr>
              <w:jc w:val="both"/>
              <w:rPr>
                <w:color w:val="000000" w:themeColor="text1"/>
              </w:rPr>
            </w:pPr>
          </w:p>
        </w:tc>
      </w:tr>
      <w:tr w:rsidR="009F45F6" w:rsidRPr="009F45F6" w:rsidTr="0028120F">
        <w:trPr>
          <w:trHeight w:val="1259"/>
        </w:trPr>
        <w:tc>
          <w:tcPr>
            <w:tcW w:w="596" w:type="dxa"/>
          </w:tcPr>
          <w:p w:rsidR="009E7ABE" w:rsidRPr="009F45F6" w:rsidRDefault="009E7ABE" w:rsidP="005933FA">
            <w:pPr>
              <w:numPr>
                <w:ilvl w:val="0"/>
                <w:numId w:val="20"/>
              </w:numPr>
              <w:contextualSpacing/>
              <w:rPr>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Pamięć RAM</w:t>
            </w:r>
          </w:p>
        </w:tc>
        <w:tc>
          <w:tcPr>
            <w:tcW w:w="6170" w:type="dxa"/>
          </w:tcPr>
          <w:p w:rsidR="009E7ABE" w:rsidRPr="009F45F6" w:rsidRDefault="009E7ABE" w:rsidP="005F1E83">
            <w:pPr>
              <w:jc w:val="both"/>
              <w:rPr>
                <w:color w:val="000000" w:themeColor="text1"/>
              </w:rPr>
            </w:pPr>
            <w:r w:rsidRPr="009F45F6">
              <w:rPr>
                <w:color w:val="000000" w:themeColor="text1"/>
              </w:rPr>
              <w:t xml:space="preserve">Zainstalowane 1024GB pamięci RAM typu DDR4 </w:t>
            </w:r>
            <w:proofErr w:type="spellStart"/>
            <w:r w:rsidRPr="009F45F6">
              <w:rPr>
                <w:color w:val="000000" w:themeColor="text1"/>
              </w:rPr>
              <w:t>Registered</w:t>
            </w:r>
            <w:proofErr w:type="spellEnd"/>
            <w:r w:rsidRPr="009F45F6">
              <w:rPr>
                <w:color w:val="000000" w:themeColor="text1"/>
              </w:rPr>
              <w:t>, 2933MHz w kościach o pojemności minimum 64GB.</w:t>
            </w:r>
          </w:p>
          <w:p w:rsidR="009E7ABE" w:rsidRPr="009F45F6" w:rsidRDefault="009E7ABE" w:rsidP="005F1E83">
            <w:pPr>
              <w:jc w:val="both"/>
              <w:rPr>
                <w:color w:val="000000" w:themeColor="text1"/>
              </w:rPr>
            </w:pPr>
            <w:r w:rsidRPr="009F45F6">
              <w:rPr>
                <w:color w:val="000000" w:themeColor="text1"/>
              </w:rPr>
              <w:t xml:space="preserve">Wsparcie dla technologii zabezpieczania pamięci Advanced ECC, Memory </w:t>
            </w:r>
            <w:proofErr w:type="spellStart"/>
            <w:r w:rsidRPr="009F45F6">
              <w:rPr>
                <w:color w:val="000000" w:themeColor="text1"/>
              </w:rPr>
              <w:t>Scrubbing</w:t>
            </w:r>
            <w:proofErr w:type="spellEnd"/>
            <w:r w:rsidRPr="009F45F6">
              <w:rPr>
                <w:color w:val="000000" w:themeColor="text1"/>
              </w:rPr>
              <w:t>, SDDC lub równoważnej.</w:t>
            </w:r>
          </w:p>
          <w:p w:rsidR="009E7ABE" w:rsidRPr="009F45F6" w:rsidRDefault="009E7ABE" w:rsidP="005F1E83">
            <w:pPr>
              <w:jc w:val="both"/>
              <w:rPr>
                <w:color w:val="000000" w:themeColor="text1"/>
                <w:highlight w:val="yellow"/>
              </w:rPr>
            </w:pPr>
            <w:r w:rsidRPr="009F45F6">
              <w:rPr>
                <w:color w:val="000000" w:themeColor="text1"/>
              </w:rPr>
              <w:t>Wsparcie serwera dla konfiguracji kopii lustrzanej pamięci RAM.</w:t>
            </w:r>
          </w:p>
        </w:tc>
        <w:tc>
          <w:tcPr>
            <w:tcW w:w="1559" w:type="dxa"/>
          </w:tcPr>
          <w:p w:rsidR="009E7ABE" w:rsidRPr="009F45F6" w:rsidRDefault="009E7ABE" w:rsidP="005F1E83">
            <w:pPr>
              <w:jc w:val="both"/>
              <w:rPr>
                <w:color w:val="000000" w:themeColor="text1"/>
              </w:rPr>
            </w:pPr>
          </w:p>
        </w:tc>
      </w:tr>
      <w:tr w:rsidR="009F45F6" w:rsidRPr="009F45F6" w:rsidTr="0028120F">
        <w:trPr>
          <w:trHeight w:val="700"/>
        </w:trPr>
        <w:tc>
          <w:tcPr>
            <w:tcW w:w="596" w:type="dxa"/>
          </w:tcPr>
          <w:p w:rsidR="009E7ABE" w:rsidRPr="009F45F6" w:rsidRDefault="009E7ABE" w:rsidP="005933FA">
            <w:pPr>
              <w:numPr>
                <w:ilvl w:val="0"/>
                <w:numId w:val="20"/>
              </w:numPr>
              <w:contextualSpacing/>
              <w:rPr>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Kontrolery dyskowe, I/O</w:t>
            </w:r>
          </w:p>
        </w:tc>
        <w:tc>
          <w:tcPr>
            <w:tcW w:w="6170" w:type="dxa"/>
          </w:tcPr>
          <w:p w:rsidR="009E7ABE" w:rsidRPr="009F45F6" w:rsidRDefault="009E7ABE" w:rsidP="005F1E83">
            <w:pPr>
              <w:jc w:val="both"/>
              <w:rPr>
                <w:color w:val="000000" w:themeColor="text1"/>
              </w:rPr>
            </w:pPr>
            <w:r w:rsidRPr="009F45F6">
              <w:rPr>
                <w:color w:val="000000" w:themeColor="text1"/>
              </w:rPr>
              <w:t xml:space="preserve">Zainstalowany kontroler SAS 3.0 12 </w:t>
            </w:r>
            <w:proofErr w:type="spellStart"/>
            <w:r w:rsidRPr="009F45F6">
              <w:rPr>
                <w:color w:val="000000" w:themeColor="text1"/>
              </w:rPr>
              <w:t>Gbps</w:t>
            </w:r>
            <w:proofErr w:type="spellEnd"/>
            <w:r w:rsidRPr="009F45F6">
              <w:rPr>
                <w:color w:val="000000" w:themeColor="text1"/>
              </w:rPr>
              <w:t xml:space="preserve">; </w:t>
            </w:r>
          </w:p>
          <w:p w:rsidR="009E7ABE" w:rsidRPr="009F45F6" w:rsidRDefault="009E7ABE" w:rsidP="005F1E83">
            <w:pPr>
              <w:jc w:val="both"/>
              <w:rPr>
                <w:color w:val="000000" w:themeColor="text1"/>
              </w:rPr>
            </w:pPr>
            <w:r w:rsidRPr="009F45F6">
              <w:rPr>
                <w:color w:val="000000" w:themeColor="text1"/>
              </w:rPr>
              <w:t>Wspierane poziomy RAID 0,1,5,6,50,60.</w:t>
            </w:r>
          </w:p>
          <w:p w:rsidR="009E7ABE" w:rsidRPr="009F45F6" w:rsidRDefault="009E7ABE" w:rsidP="005F1E83">
            <w:pPr>
              <w:jc w:val="both"/>
              <w:rPr>
                <w:color w:val="000000" w:themeColor="text1"/>
              </w:rPr>
            </w:pPr>
            <w:r w:rsidRPr="009F45F6">
              <w:rPr>
                <w:color w:val="000000" w:themeColor="text1"/>
              </w:rPr>
              <w:t>Kontroler wyposażony w 1 GB pamięci podręcznej cache.</w:t>
            </w:r>
          </w:p>
          <w:p w:rsidR="009E7ABE" w:rsidRPr="009F45F6" w:rsidRDefault="009E7ABE" w:rsidP="005F1E83">
            <w:pPr>
              <w:jc w:val="both"/>
              <w:rPr>
                <w:color w:val="000000" w:themeColor="text1"/>
              </w:rPr>
            </w:pPr>
            <w:r w:rsidRPr="009F45F6">
              <w:rPr>
                <w:color w:val="000000" w:themeColor="text1"/>
              </w:rPr>
              <w:t>Kontroler wyposażony w nieulotną pamięć cache.</w:t>
            </w:r>
          </w:p>
        </w:tc>
        <w:tc>
          <w:tcPr>
            <w:tcW w:w="1559" w:type="dxa"/>
          </w:tcPr>
          <w:p w:rsidR="009E7ABE" w:rsidRPr="009F45F6" w:rsidRDefault="009E7ABE" w:rsidP="005F1E83">
            <w:pPr>
              <w:jc w:val="both"/>
              <w:rPr>
                <w:color w:val="000000" w:themeColor="text1"/>
              </w:rPr>
            </w:pPr>
          </w:p>
        </w:tc>
      </w:tr>
      <w:tr w:rsidR="009F45F6" w:rsidRPr="009F45F6" w:rsidTr="0028120F">
        <w:trPr>
          <w:trHeight w:val="740"/>
        </w:trPr>
        <w:tc>
          <w:tcPr>
            <w:tcW w:w="596" w:type="dxa"/>
          </w:tcPr>
          <w:p w:rsidR="009E7ABE" w:rsidRPr="009F45F6" w:rsidRDefault="009E7ABE" w:rsidP="005933FA">
            <w:pPr>
              <w:numPr>
                <w:ilvl w:val="0"/>
                <w:numId w:val="20"/>
              </w:numPr>
              <w:contextualSpacing/>
              <w:rPr>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Dyski twarde</w:t>
            </w:r>
          </w:p>
        </w:tc>
        <w:tc>
          <w:tcPr>
            <w:tcW w:w="6170" w:type="dxa"/>
          </w:tcPr>
          <w:p w:rsidR="009E7ABE" w:rsidRPr="009F45F6" w:rsidRDefault="009E7ABE" w:rsidP="005F1E83">
            <w:pPr>
              <w:jc w:val="both"/>
              <w:rPr>
                <w:color w:val="000000" w:themeColor="text1"/>
              </w:rPr>
            </w:pPr>
            <w:r w:rsidRPr="009F45F6">
              <w:rPr>
                <w:color w:val="000000" w:themeColor="text1"/>
              </w:rPr>
              <w:t xml:space="preserve">Zainstalowane 2 dyski SAS 3.0 10K RPM o pojemności 600 GB każdy, dyski </w:t>
            </w:r>
            <w:proofErr w:type="spellStart"/>
            <w:r w:rsidRPr="009F45F6">
              <w:rPr>
                <w:color w:val="000000" w:themeColor="text1"/>
              </w:rPr>
              <w:t>Hotplug</w:t>
            </w:r>
            <w:proofErr w:type="spellEnd"/>
            <w:r w:rsidRPr="009F45F6">
              <w:rPr>
                <w:color w:val="000000" w:themeColor="text1"/>
              </w:rPr>
              <w:t>.</w:t>
            </w:r>
          </w:p>
          <w:p w:rsidR="009E7ABE" w:rsidRPr="009F45F6" w:rsidRDefault="009E7ABE" w:rsidP="005F1E83">
            <w:pPr>
              <w:jc w:val="both"/>
              <w:rPr>
                <w:color w:val="000000" w:themeColor="text1"/>
              </w:rPr>
            </w:pPr>
            <w:r w:rsidRPr="009F45F6">
              <w:rPr>
                <w:color w:val="000000" w:themeColor="text1"/>
              </w:rPr>
              <w:t xml:space="preserve">Minimum 8 wnęk dla dysków twardych </w:t>
            </w:r>
            <w:proofErr w:type="spellStart"/>
            <w:r w:rsidRPr="009F45F6">
              <w:rPr>
                <w:color w:val="000000" w:themeColor="text1"/>
              </w:rPr>
              <w:t>Hotplug</w:t>
            </w:r>
            <w:proofErr w:type="spellEnd"/>
            <w:r w:rsidRPr="009F45F6">
              <w:rPr>
                <w:color w:val="000000" w:themeColor="text1"/>
              </w:rPr>
              <w:t xml:space="preserve"> 2,5.</w:t>
            </w:r>
          </w:p>
        </w:tc>
        <w:tc>
          <w:tcPr>
            <w:tcW w:w="1559" w:type="dxa"/>
          </w:tcPr>
          <w:p w:rsidR="009E7ABE" w:rsidRPr="009F45F6" w:rsidRDefault="009E7ABE" w:rsidP="005F1E83">
            <w:pPr>
              <w:jc w:val="both"/>
              <w:rPr>
                <w:color w:val="000000" w:themeColor="text1"/>
              </w:rPr>
            </w:pPr>
          </w:p>
        </w:tc>
      </w:tr>
      <w:tr w:rsidR="009F45F6" w:rsidRPr="009F45F6" w:rsidTr="0028120F">
        <w:trPr>
          <w:trHeight w:val="435"/>
        </w:trPr>
        <w:tc>
          <w:tcPr>
            <w:tcW w:w="596" w:type="dxa"/>
          </w:tcPr>
          <w:p w:rsidR="009E7ABE" w:rsidRPr="009F45F6" w:rsidRDefault="009E7ABE" w:rsidP="005933FA">
            <w:pPr>
              <w:numPr>
                <w:ilvl w:val="0"/>
                <w:numId w:val="20"/>
              </w:numPr>
              <w:contextualSpacing/>
              <w:rPr>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Inne napędy zintegrowane</w:t>
            </w:r>
          </w:p>
        </w:tc>
        <w:tc>
          <w:tcPr>
            <w:tcW w:w="6170" w:type="dxa"/>
          </w:tcPr>
          <w:p w:rsidR="009E7ABE" w:rsidRPr="009F45F6" w:rsidRDefault="009E7ABE" w:rsidP="005F1E83">
            <w:pPr>
              <w:jc w:val="both"/>
              <w:rPr>
                <w:color w:val="000000" w:themeColor="text1"/>
              </w:rPr>
            </w:pPr>
            <w:r w:rsidRPr="009F45F6">
              <w:rPr>
                <w:color w:val="000000" w:themeColor="text1"/>
              </w:rPr>
              <w:t>Wbudowany fabrycznie wewnętrzny napęd Blue-</w:t>
            </w:r>
            <w:proofErr w:type="spellStart"/>
            <w:r w:rsidRPr="009F45F6">
              <w:rPr>
                <w:color w:val="000000" w:themeColor="text1"/>
              </w:rPr>
              <w:t>ray</w:t>
            </w:r>
            <w:proofErr w:type="spellEnd"/>
            <w:r w:rsidRPr="009F45F6">
              <w:rPr>
                <w:color w:val="000000" w:themeColor="text1"/>
              </w:rPr>
              <w:t xml:space="preserve"> (odczyt/zapis) / DVD-RW</w:t>
            </w:r>
            <w:r w:rsidR="00A00958" w:rsidRPr="009F45F6">
              <w:rPr>
                <w:color w:val="000000" w:themeColor="text1"/>
              </w:rPr>
              <w:t xml:space="preserve"> lub dołączony zewnętrzny napęd Blu-ray RW</w:t>
            </w:r>
            <w:r w:rsidRPr="009F45F6">
              <w:rPr>
                <w:color w:val="000000" w:themeColor="text1"/>
              </w:rPr>
              <w:t>.</w:t>
            </w:r>
          </w:p>
        </w:tc>
        <w:tc>
          <w:tcPr>
            <w:tcW w:w="1559" w:type="dxa"/>
          </w:tcPr>
          <w:p w:rsidR="009E7ABE" w:rsidRPr="009F45F6" w:rsidRDefault="009E7ABE" w:rsidP="005F1E83">
            <w:pPr>
              <w:jc w:val="both"/>
              <w:rPr>
                <w:color w:val="000000" w:themeColor="text1"/>
              </w:rPr>
            </w:pPr>
          </w:p>
        </w:tc>
      </w:tr>
      <w:tr w:rsidR="009F45F6" w:rsidRPr="009F45F6" w:rsidTr="0028120F">
        <w:trPr>
          <w:trHeight w:val="735"/>
        </w:trPr>
        <w:tc>
          <w:tcPr>
            <w:tcW w:w="596" w:type="dxa"/>
          </w:tcPr>
          <w:p w:rsidR="009E7ABE" w:rsidRPr="009F45F6" w:rsidRDefault="009E7ABE" w:rsidP="005933FA">
            <w:pPr>
              <w:numPr>
                <w:ilvl w:val="0"/>
                <w:numId w:val="20"/>
              </w:numPr>
              <w:contextualSpacing/>
              <w:rPr>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Kontrolery LAN</w:t>
            </w:r>
          </w:p>
        </w:tc>
        <w:tc>
          <w:tcPr>
            <w:tcW w:w="6170" w:type="dxa"/>
          </w:tcPr>
          <w:p w:rsidR="009E7ABE" w:rsidRPr="009F45F6" w:rsidRDefault="009E7ABE" w:rsidP="005F1E83">
            <w:pPr>
              <w:jc w:val="both"/>
              <w:rPr>
                <w:color w:val="000000" w:themeColor="text1"/>
              </w:rPr>
            </w:pPr>
            <w:r w:rsidRPr="009F45F6">
              <w:rPr>
                <w:color w:val="000000" w:themeColor="text1"/>
              </w:rPr>
              <w:t xml:space="preserve">Jedna dwuportowa karta 2x1Gbit/s ze wsparciem </w:t>
            </w:r>
            <w:proofErr w:type="spellStart"/>
            <w:r w:rsidRPr="009F45F6">
              <w:rPr>
                <w:color w:val="000000" w:themeColor="text1"/>
              </w:rPr>
              <w:t>iSCSI</w:t>
            </w:r>
            <w:proofErr w:type="spellEnd"/>
            <w:r w:rsidRPr="009F45F6">
              <w:rPr>
                <w:color w:val="000000" w:themeColor="text1"/>
              </w:rPr>
              <w:t>, niezajmująca slotu PCI Express.</w:t>
            </w:r>
          </w:p>
          <w:p w:rsidR="009E7ABE" w:rsidRPr="009F45F6" w:rsidRDefault="009E7ABE" w:rsidP="005F1E83">
            <w:pPr>
              <w:jc w:val="both"/>
              <w:rPr>
                <w:color w:val="000000" w:themeColor="text1"/>
              </w:rPr>
            </w:pPr>
            <w:r w:rsidRPr="009F45F6">
              <w:rPr>
                <w:color w:val="000000" w:themeColor="text1"/>
              </w:rPr>
              <w:t xml:space="preserve">Dodatkowa osobna karta 2x 10Gbit/s SFP+  niezajmująca slotu PCI </w:t>
            </w:r>
            <w:r w:rsidRPr="009F45F6">
              <w:rPr>
                <w:color w:val="000000" w:themeColor="text1"/>
              </w:rPr>
              <w:lastRenderedPageBreak/>
              <w:t>Express (dopuszcza się instalację w slocie PCI Express pod warunkiem dostarczenia serwera z większą niż wymagana ilości slotów PCI Express).</w:t>
            </w:r>
          </w:p>
        </w:tc>
        <w:tc>
          <w:tcPr>
            <w:tcW w:w="1559" w:type="dxa"/>
          </w:tcPr>
          <w:p w:rsidR="009E7ABE" w:rsidRPr="009F45F6" w:rsidRDefault="009E7ABE" w:rsidP="005F1E83">
            <w:pPr>
              <w:jc w:val="both"/>
              <w:rPr>
                <w:color w:val="000000" w:themeColor="text1"/>
              </w:rPr>
            </w:pPr>
          </w:p>
        </w:tc>
      </w:tr>
      <w:tr w:rsidR="009F45F6" w:rsidRPr="009F45F6" w:rsidTr="0028120F">
        <w:trPr>
          <w:trHeight w:val="213"/>
        </w:trPr>
        <w:tc>
          <w:tcPr>
            <w:tcW w:w="596" w:type="dxa"/>
          </w:tcPr>
          <w:p w:rsidR="009E7ABE" w:rsidRPr="009F45F6" w:rsidRDefault="009E7ABE" w:rsidP="005933FA">
            <w:pPr>
              <w:numPr>
                <w:ilvl w:val="0"/>
                <w:numId w:val="20"/>
              </w:numPr>
              <w:contextualSpacing/>
              <w:rPr>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Kontrolery I/O FC/SAS/Inne</w:t>
            </w:r>
          </w:p>
        </w:tc>
        <w:tc>
          <w:tcPr>
            <w:tcW w:w="6170" w:type="dxa"/>
          </w:tcPr>
          <w:p w:rsidR="009E7ABE" w:rsidRPr="009F45F6" w:rsidRDefault="009E7ABE" w:rsidP="008A210B">
            <w:pPr>
              <w:jc w:val="both"/>
              <w:rPr>
                <w:color w:val="000000" w:themeColor="text1"/>
              </w:rPr>
            </w:pPr>
            <w:r w:rsidRPr="009F45F6">
              <w:rPr>
                <w:color w:val="000000" w:themeColor="text1"/>
              </w:rPr>
              <w:t xml:space="preserve">Jedna dwuportowa karta FC </w:t>
            </w:r>
            <w:r w:rsidR="0084674E" w:rsidRPr="009F45F6">
              <w:rPr>
                <w:color w:val="000000" w:themeColor="text1"/>
              </w:rPr>
              <w:t>16Gb</w:t>
            </w:r>
            <w:r w:rsidRPr="009F45F6">
              <w:rPr>
                <w:color w:val="000000" w:themeColor="text1"/>
              </w:rPr>
              <w:t xml:space="preserve">. </w:t>
            </w:r>
          </w:p>
        </w:tc>
        <w:tc>
          <w:tcPr>
            <w:tcW w:w="1559" w:type="dxa"/>
          </w:tcPr>
          <w:p w:rsidR="009E7ABE" w:rsidRPr="009F45F6" w:rsidRDefault="009E7ABE" w:rsidP="005F1E83">
            <w:pPr>
              <w:jc w:val="both"/>
              <w:rPr>
                <w:color w:val="000000" w:themeColor="text1"/>
              </w:rPr>
            </w:pPr>
          </w:p>
        </w:tc>
      </w:tr>
      <w:tr w:rsidR="009F45F6" w:rsidRPr="009F45F6" w:rsidTr="0028120F">
        <w:trPr>
          <w:trHeight w:val="420"/>
        </w:trPr>
        <w:tc>
          <w:tcPr>
            <w:tcW w:w="596" w:type="dxa"/>
          </w:tcPr>
          <w:p w:rsidR="009E7ABE" w:rsidRPr="009F45F6" w:rsidRDefault="009E7ABE" w:rsidP="005933FA">
            <w:pPr>
              <w:numPr>
                <w:ilvl w:val="0"/>
                <w:numId w:val="20"/>
              </w:numPr>
              <w:contextualSpacing/>
              <w:rPr>
                <w:color w:val="000000" w:themeColor="text1"/>
              </w:rPr>
            </w:pPr>
          </w:p>
        </w:tc>
        <w:tc>
          <w:tcPr>
            <w:tcW w:w="1598" w:type="dxa"/>
            <w:gridSpan w:val="2"/>
          </w:tcPr>
          <w:p w:rsidR="009E7ABE" w:rsidRPr="009F45F6" w:rsidRDefault="009E7ABE" w:rsidP="005F1E83">
            <w:pPr>
              <w:rPr>
                <w:color w:val="000000" w:themeColor="text1"/>
              </w:rPr>
            </w:pPr>
            <w:r w:rsidRPr="009F45F6">
              <w:rPr>
                <w:color w:val="000000" w:themeColor="text1"/>
              </w:rPr>
              <w:t>Porty</w:t>
            </w:r>
          </w:p>
        </w:tc>
        <w:tc>
          <w:tcPr>
            <w:tcW w:w="6170" w:type="dxa"/>
          </w:tcPr>
          <w:p w:rsidR="009E7ABE" w:rsidRPr="009F45F6" w:rsidRDefault="009E7ABE" w:rsidP="005F1E83">
            <w:pPr>
              <w:jc w:val="both"/>
              <w:rPr>
                <w:color w:val="000000" w:themeColor="text1"/>
              </w:rPr>
            </w:pPr>
            <w:r w:rsidRPr="009F45F6">
              <w:rPr>
                <w:color w:val="000000" w:themeColor="text1"/>
              </w:rPr>
              <w:t>Zintegrowana karta graficzna ze złączem VGA.</w:t>
            </w:r>
          </w:p>
          <w:p w:rsidR="009E7ABE" w:rsidRPr="009F45F6" w:rsidRDefault="009E7ABE" w:rsidP="005F1E83">
            <w:pPr>
              <w:jc w:val="both"/>
              <w:rPr>
                <w:color w:val="000000" w:themeColor="text1"/>
              </w:rPr>
            </w:pPr>
            <w:r w:rsidRPr="009F45F6">
              <w:rPr>
                <w:color w:val="000000" w:themeColor="text1"/>
              </w:rPr>
              <w:t xml:space="preserve">2x USB 3.0 </w:t>
            </w:r>
            <w:r w:rsidR="00A41386" w:rsidRPr="009F45F6">
              <w:rPr>
                <w:color w:val="000000" w:themeColor="text1"/>
              </w:rPr>
              <w:t>dostępne na froncie obudowy</w:t>
            </w:r>
            <w:r w:rsidR="005E313F" w:rsidRPr="009F45F6">
              <w:rPr>
                <w:color w:val="000000" w:themeColor="text1"/>
              </w:rPr>
              <w:t>; dopuszczalne jest zastosowanie</w:t>
            </w:r>
            <w:r w:rsidR="00A41386" w:rsidRPr="009F45F6">
              <w:rPr>
                <w:color w:val="000000" w:themeColor="text1"/>
              </w:rPr>
              <w:t xml:space="preserve"> 1xUSB 3.0 i 1xUSB 2.0 dostępne na froncie obudowy</w:t>
            </w:r>
            <w:r w:rsidRPr="009F45F6">
              <w:rPr>
                <w:color w:val="000000" w:themeColor="text1"/>
              </w:rPr>
              <w:t>.</w:t>
            </w:r>
          </w:p>
          <w:p w:rsidR="009E7ABE" w:rsidRPr="009F45F6" w:rsidRDefault="009E7ABE" w:rsidP="005F1E83">
            <w:pPr>
              <w:jc w:val="both"/>
              <w:rPr>
                <w:color w:val="000000" w:themeColor="text1"/>
              </w:rPr>
            </w:pPr>
            <w:r w:rsidRPr="009F45F6">
              <w:rPr>
                <w:color w:val="000000" w:themeColor="text1"/>
              </w:rPr>
              <w:t>2x USB 3.0 dostępne z tyłu serwera.</w:t>
            </w:r>
          </w:p>
          <w:p w:rsidR="009E7ABE" w:rsidRPr="009F45F6" w:rsidRDefault="009E7ABE" w:rsidP="005F1E83">
            <w:pPr>
              <w:jc w:val="both"/>
              <w:rPr>
                <w:color w:val="000000" w:themeColor="text1"/>
              </w:rPr>
            </w:pPr>
            <w:r w:rsidRPr="009F45F6">
              <w:rPr>
                <w:color w:val="000000" w:themeColor="text1"/>
              </w:rPr>
              <w:t>1x USB 3.0 wewnątrz serwera.</w:t>
            </w:r>
          </w:p>
          <w:p w:rsidR="009E7ABE" w:rsidRPr="009F45F6" w:rsidRDefault="009E7ABE" w:rsidP="005F1E83">
            <w:pPr>
              <w:jc w:val="both"/>
              <w:rPr>
                <w:color w:val="000000" w:themeColor="text1"/>
              </w:rPr>
            </w:pPr>
            <w:r w:rsidRPr="009F45F6">
              <w:rPr>
                <w:color w:val="000000" w:themeColor="text1"/>
              </w:rPr>
              <w:t>Dodatkowe złącze VGA dostępne z przodu serwera.</w:t>
            </w:r>
          </w:p>
          <w:p w:rsidR="009E7ABE" w:rsidRPr="009F45F6" w:rsidRDefault="009E7ABE" w:rsidP="005F1E83">
            <w:pPr>
              <w:jc w:val="both"/>
              <w:rPr>
                <w:color w:val="000000" w:themeColor="text1"/>
              </w:rPr>
            </w:pPr>
            <w:r w:rsidRPr="009F45F6">
              <w:rPr>
                <w:color w:val="000000" w:themeColor="text1"/>
              </w:rPr>
              <w:t>Ilość dostępnych złącz VGA i USB nie może być osiągnięta poprzez stosowanie zewnętrznych przejściówek, rozgałęziaczy czy dodatkowych kart rozszerzeń zajmujących jakikolwiek slot PCI Express serwera.</w:t>
            </w:r>
          </w:p>
        </w:tc>
        <w:tc>
          <w:tcPr>
            <w:tcW w:w="1559" w:type="dxa"/>
          </w:tcPr>
          <w:p w:rsidR="009E7ABE" w:rsidRPr="009F45F6" w:rsidRDefault="009E7ABE" w:rsidP="005F1E83">
            <w:pPr>
              <w:jc w:val="both"/>
              <w:rPr>
                <w:color w:val="000000" w:themeColor="text1"/>
              </w:rPr>
            </w:pPr>
          </w:p>
        </w:tc>
      </w:tr>
      <w:tr w:rsidR="009F45F6" w:rsidRPr="009F45F6" w:rsidTr="0028120F">
        <w:tc>
          <w:tcPr>
            <w:tcW w:w="596" w:type="dxa"/>
          </w:tcPr>
          <w:p w:rsidR="009E7ABE" w:rsidRPr="009F45F6" w:rsidRDefault="009E7ABE" w:rsidP="005933FA">
            <w:pPr>
              <w:numPr>
                <w:ilvl w:val="0"/>
                <w:numId w:val="20"/>
              </w:numPr>
              <w:contextualSpacing/>
              <w:rPr>
                <w:color w:val="000000" w:themeColor="text1"/>
              </w:rPr>
            </w:pPr>
          </w:p>
        </w:tc>
        <w:tc>
          <w:tcPr>
            <w:tcW w:w="1592" w:type="dxa"/>
          </w:tcPr>
          <w:p w:rsidR="009E7ABE" w:rsidRPr="009F45F6" w:rsidRDefault="009E7ABE" w:rsidP="005F1E83">
            <w:pPr>
              <w:rPr>
                <w:color w:val="000000" w:themeColor="text1"/>
              </w:rPr>
            </w:pPr>
            <w:r w:rsidRPr="009F45F6">
              <w:rPr>
                <w:color w:val="000000" w:themeColor="text1"/>
              </w:rPr>
              <w:t>Zasilanie, chłodzenie</w:t>
            </w:r>
          </w:p>
        </w:tc>
        <w:tc>
          <w:tcPr>
            <w:tcW w:w="6176" w:type="dxa"/>
            <w:gridSpan w:val="2"/>
          </w:tcPr>
          <w:p w:rsidR="009E7ABE" w:rsidRPr="009F45F6" w:rsidRDefault="009E7ABE" w:rsidP="005F1E83">
            <w:pPr>
              <w:jc w:val="both"/>
              <w:rPr>
                <w:color w:val="000000" w:themeColor="text1"/>
              </w:rPr>
            </w:pPr>
            <w:r w:rsidRPr="009F45F6">
              <w:rPr>
                <w:color w:val="000000" w:themeColor="text1"/>
              </w:rPr>
              <w:t xml:space="preserve">Redundantne zasilacze </w:t>
            </w:r>
            <w:proofErr w:type="spellStart"/>
            <w:r w:rsidRPr="009F45F6">
              <w:rPr>
                <w:color w:val="000000" w:themeColor="text1"/>
              </w:rPr>
              <w:t>hotplug</w:t>
            </w:r>
            <w:proofErr w:type="spellEnd"/>
            <w:r w:rsidRPr="009F45F6">
              <w:rPr>
                <w:color w:val="000000" w:themeColor="text1"/>
              </w:rPr>
              <w:t xml:space="preserve"> o mocy maksimum </w:t>
            </w:r>
            <w:r w:rsidR="00A00958" w:rsidRPr="009F45F6">
              <w:rPr>
                <w:color w:val="000000" w:themeColor="text1"/>
              </w:rPr>
              <w:t>75</w:t>
            </w:r>
            <w:r w:rsidRPr="009F45F6">
              <w:rPr>
                <w:color w:val="000000" w:themeColor="text1"/>
              </w:rPr>
              <w:t>0W, o sprawności 94% (tzw. klasa Platinum).</w:t>
            </w:r>
          </w:p>
          <w:p w:rsidR="009E7ABE" w:rsidRPr="009F45F6" w:rsidRDefault="009E7ABE" w:rsidP="005F1E83">
            <w:pPr>
              <w:jc w:val="both"/>
              <w:rPr>
                <w:color w:val="000000" w:themeColor="text1"/>
              </w:rPr>
            </w:pPr>
            <w:r w:rsidRPr="009F45F6">
              <w:rPr>
                <w:color w:val="000000" w:themeColor="text1"/>
              </w:rPr>
              <w:t xml:space="preserve">Redundantne wentylatory </w:t>
            </w:r>
            <w:proofErr w:type="spellStart"/>
            <w:r w:rsidRPr="009F45F6">
              <w:rPr>
                <w:color w:val="000000" w:themeColor="text1"/>
              </w:rPr>
              <w:t>hotplug</w:t>
            </w:r>
            <w:proofErr w:type="spellEnd"/>
            <w:r w:rsidRPr="009F45F6">
              <w:rPr>
                <w:color w:val="000000" w:themeColor="text1"/>
              </w:rPr>
              <w:t>.</w:t>
            </w:r>
          </w:p>
        </w:tc>
        <w:tc>
          <w:tcPr>
            <w:tcW w:w="1559" w:type="dxa"/>
          </w:tcPr>
          <w:p w:rsidR="009E7ABE" w:rsidRPr="009F45F6" w:rsidRDefault="009E7ABE" w:rsidP="005F1E83">
            <w:pPr>
              <w:jc w:val="both"/>
              <w:rPr>
                <w:color w:val="000000" w:themeColor="text1"/>
              </w:rPr>
            </w:pPr>
          </w:p>
        </w:tc>
      </w:tr>
      <w:tr w:rsidR="009F45F6" w:rsidRPr="009F45F6" w:rsidTr="003A1D4D">
        <w:trPr>
          <w:trHeight w:val="4668"/>
        </w:trPr>
        <w:tc>
          <w:tcPr>
            <w:tcW w:w="596" w:type="dxa"/>
          </w:tcPr>
          <w:p w:rsidR="009E7ABE" w:rsidRPr="009F45F6" w:rsidRDefault="009E7ABE" w:rsidP="005933FA">
            <w:pPr>
              <w:numPr>
                <w:ilvl w:val="0"/>
                <w:numId w:val="20"/>
              </w:numPr>
              <w:contextualSpacing/>
              <w:rPr>
                <w:color w:val="000000" w:themeColor="text1"/>
              </w:rPr>
            </w:pPr>
          </w:p>
        </w:tc>
        <w:tc>
          <w:tcPr>
            <w:tcW w:w="1592" w:type="dxa"/>
          </w:tcPr>
          <w:p w:rsidR="009E7ABE" w:rsidRPr="009F45F6" w:rsidRDefault="009E7ABE" w:rsidP="005F1E83">
            <w:pPr>
              <w:rPr>
                <w:color w:val="000000" w:themeColor="text1"/>
              </w:rPr>
            </w:pPr>
            <w:r w:rsidRPr="009F45F6">
              <w:rPr>
                <w:color w:val="000000" w:themeColor="text1"/>
              </w:rPr>
              <w:t>Zarządzanie</w:t>
            </w:r>
          </w:p>
        </w:tc>
        <w:tc>
          <w:tcPr>
            <w:tcW w:w="6176" w:type="dxa"/>
            <w:gridSpan w:val="2"/>
          </w:tcPr>
          <w:p w:rsidR="009E7ABE" w:rsidRPr="009F45F6" w:rsidRDefault="009E7ABE" w:rsidP="005F1E83">
            <w:p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Wbudowane diody informacyjne informujące o stanie serwera.</w:t>
            </w:r>
          </w:p>
          <w:p w:rsidR="009E7ABE" w:rsidRPr="009F45F6" w:rsidRDefault="009E7ABE" w:rsidP="005F1E83">
            <w:p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Zintegrowany z płytą główną serwera kontroler sprzętowy zdalnego zarządzania zgodny z IPMI 2.0 o funkcjonalnościach:</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Niezależny od systemu operacyjnego, sprzętowy kontroler umożliwiający pełne zarządzanie, zdalny restart serwera;</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 xml:space="preserve">Dedykowana karta LAN 1 </w:t>
            </w:r>
            <w:proofErr w:type="spellStart"/>
            <w:r w:rsidRPr="009F45F6">
              <w:rPr>
                <w:rFonts w:eastAsia="MS Mincho"/>
                <w:color w:val="000000" w:themeColor="text1"/>
                <w:lang w:eastAsia="ja-JP"/>
              </w:rPr>
              <w:t>Gb</w:t>
            </w:r>
            <w:proofErr w:type="spellEnd"/>
            <w:r w:rsidRPr="009F45F6">
              <w:rPr>
                <w:rFonts w:eastAsia="MS Mincho"/>
                <w:color w:val="000000" w:themeColor="text1"/>
                <w:lang w:eastAsia="ja-JP"/>
              </w:rPr>
              <w:t>/s  (dedykowane złącze RJ-45 z tyłu obudowy) do komunikacji wyłącznie z kontrolerem zdalnego zarządzania z możliwością przeniesienia tej komunikacji na inną kartę sieciową współdzieloną z systemem operacyjnym;</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Dostęp poprzez przeglądarkę Web (także SSL, SSH)</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Zarządzanie mocą i jej zużyciem oraz monitoring zużycia energii</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Zarządzanie alarmami (zdarzenia poprzez SNMP)</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Możliwość przejęcia konsoli tekstowej</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Przekierowanie konsoli graficznej na poziomie sprzętowym oraz możliwość montowania zdalnych napędów i ich obrazów na poziomie sprzętowym (cyfrowy KVM)</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Sprzętowy monitoring serwera w tym stanu dysków twardych i kontrolera RAID (bez pośrednictwa agentów systemowych)</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bookmarkStart w:id="0" w:name="_GoBack"/>
            <w:bookmarkEnd w:id="0"/>
            <w:r w:rsidRPr="009F45F6">
              <w:rPr>
                <w:rFonts w:eastAsia="MS Mincho"/>
                <w:color w:val="000000" w:themeColor="text1"/>
                <w:lang w:eastAsia="ja-JP"/>
              </w:rPr>
              <w:t xml:space="preserve">Karta zarządzająca musi sprzętowo wspierać wirtualizację warstwy sieciowej serwera, bez wykorzystania zewnętrznego hardware - wirtualizacja MAC i WWN na wybranych kartach zainstalowanych w serwerze (co najmniej wsparcie dla technologii kart 10Gbit/s Ethernet i kart FC 8Gbit/s oferowanych przez producenta serwera) </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 itd.).</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Możliwość zdalnej naprawy systemu operacyjnego uszkodzonego przez użytkownika, działanie wirusów i szkodliwego oprogramowania;</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 xml:space="preserve">Możliwość zdalnej </w:t>
            </w:r>
            <w:proofErr w:type="spellStart"/>
            <w:r w:rsidRPr="009F45F6">
              <w:rPr>
                <w:rFonts w:eastAsia="MS Mincho"/>
                <w:color w:val="000000" w:themeColor="text1"/>
                <w:lang w:eastAsia="ja-JP"/>
              </w:rPr>
              <w:t>reinstalacji</w:t>
            </w:r>
            <w:proofErr w:type="spellEnd"/>
            <w:r w:rsidRPr="009F45F6">
              <w:rPr>
                <w:rFonts w:eastAsia="MS Mincho"/>
                <w:color w:val="000000" w:themeColor="text1"/>
                <w:lang w:eastAsia="ja-JP"/>
              </w:rPr>
              <w:t xml:space="preserve"> systemu lub aplikacji z obrazów zainstalowanych w obrębie dedykowanej pamięci </w:t>
            </w:r>
            <w:proofErr w:type="spellStart"/>
            <w:r w:rsidRPr="009F45F6">
              <w:rPr>
                <w:rFonts w:eastAsia="MS Mincho"/>
                <w:color w:val="000000" w:themeColor="text1"/>
                <w:lang w:eastAsia="ja-JP"/>
              </w:rPr>
              <w:t>flash</w:t>
            </w:r>
            <w:proofErr w:type="spellEnd"/>
            <w:r w:rsidRPr="009F45F6">
              <w:rPr>
                <w:rFonts w:eastAsia="MS Mincho"/>
                <w:color w:val="000000" w:themeColor="text1"/>
                <w:lang w:eastAsia="ja-JP"/>
              </w:rPr>
              <w:t xml:space="preserve"> bez użytkowania zewnętrznych nośników lub kopiowania danych poprzez sieć LAN; </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 xml:space="preserve">Możliwość konfiguracji i wykonania aktualizacji BIOS, </w:t>
            </w:r>
            <w:proofErr w:type="spellStart"/>
            <w:r w:rsidRPr="009F45F6">
              <w:rPr>
                <w:rFonts w:eastAsia="MS Mincho"/>
                <w:color w:val="000000" w:themeColor="text1"/>
                <w:lang w:eastAsia="ja-JP"/>
              </w:rPr>
              <w:t>Firmware</w:t>
            </w:r>
            <w:proofErr w:type="spellEnd"/>
            <w:r w:rsidRPr="009F45F6">
              <w:rPr>
                <w:rFonts w:eastAsia="MS Mincho"/>
                <w:color w:val="000000" w:themeColor="text1"/>
                <w:lang w:eastAsia="ja-JP"/>
              </w:rPr>
              <w:t>, sterowników serwer</w:t>
            </w:r>
            <w:r w:rsidRPr="009F45F6">
              <w:rPr>
                <w:rFonts w:eastAsia="MS Mincho"/>
                <w:color w:val="000000" w:themeColor="text1"/>
                <w:lang w:eastAsia="ar-SA"/>
              </w:rPr>
              <w:t>a bezpośrednio z GUI (graficzny interfejs) karty zarządzającej serwera bez pośrednictwa innych nośników zewnętrznych i wewnętrznych poza obrębem karty zarządzającej (w szczególności bez pendrive, dysków twardych wewnętrznych i zewnętrznych, itp.) – możliwość manualnego wykonania aktualizacji jak również możliwość automatyzacji;</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ar-SA"/>
              </w:rPr>
              <w:lastRenderedPageBreak/>
              <w:t xml:space="preserve">Rozwiązanie musi </w:t>
            </w:r>
            <w:r w:rsidRPr="009F45F6">
              <w:rPr>
                <w:rFonts w:eastAsia="MS Mincho"/>
                <w:color w:val="000000" w:themeColor="text1"/>
                <w:lang w:eastAsia="ja-JP"/>
              </w:rPr>
              <w:t>umożliwiać konfigurację i uruchomienie automatycznego powiadomienia serwisu o zbliżającej się lub istniejącej usterce serwera (co najmniej dyski twarde, zasilacze, pamięć RAM, procesory, wentylatory, kontrolery RAID, karty rozszerzeń);</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Możliwość zapisu i przechowywania informacji i logów o pełnym stanie maszyny, w tym usterki i sytuacje krytyczne w obrębie wbudowanej pamięci karty zarządzającej -  dostęp do tych informacji musi być niezależny od stanu włączenia serwera oraz stanu sprzętowego w tym np. usterki elementów poza kartą zarządzającą;</w:t>
            </w:r>
          </w:p>
          <w:p w:rsidR="009E7ABE" w:rsidRPr="009F45F6" w:rsidRDefault="009E7ABE" w:rsidP="005933FA">
            <w:pPr>
              <w:numPr>
                <w:ilvl w:val="0"/>
                <w:numId w:val="19"/>
              </w:numPr>
              <w:autoSpaceDE w:val="0"/>
              <w:autoSpaceDN w:val="0"/>
              <w:adjustRightInd w:val="0"/>
              <w:jc w:val="both"/>
              <w:rPr>
                <w:rFonts w:eastAsia="MS Mincho"/>
                <w:color w:val="000000" w:themeColor="text1"/>
                <w:lang w:eastAsia="ar-SA"/>
              </w:rPr>
            </w:pPr>
            <w:r w:rsidRPr="009F45F6">
              <w:rPr>
                <w:rFonts w:eastAsia="MS Mincho"/>
                <w:color w:val="000000" w:themeColor="text1"/>
                <w:lang w:eastAsia="ja-JP"/>
              </w:rPr>
              <w:t>karta zarządzająca musi umożliwiać konfigurację i uruchomienie automatycznego informowania autoryzowanego serwisu producenta serwera o zaistniałej lub zbliżającej się usterce (wymagana jest możliwość automatycznego otworzenia zgłoszenia serwisowego w systemie producenta serwera). Jeżeli są wymagane jakiekolwiek dodatkowe</w:t>
            </w:r>
            <w:r w:rsidRPr="009F45F6">
              <w:rPr>
                <w:rFonts w:eastAsia="MS Mincho"/>
                <w:color w:val="000000" w:themeColor="text1"/>
                <w:lang w:eastAsia="ar-SA"/>
              </w:rPr>
              <w:t xml:space="preserve"> licencje lub pakiety serwisowe potrzebne do uruchomienia automatycznego powiadamiania autoryzowanego serwisu o usterce należy takie elementy wliczyć do oferty – czas trwania minimum równy dla wymaganego okresu gwarancji producenta serwera;</w:t>
            </w:r>
          </w:p>
        </w:tc>
        <w:tc>
          <w:tcPr>
            <w:tcW w:w="1559" w:type="dxa"/>
          </w:tcPr>
          <w:p w:rsidR="009E7ABE" w:rsidRPr="009F45F6" w:rsidRDefault="009E7ABE" w:rsidP="005F1E83">
            <w:pPr>
              <w:autoSpaceDE w:val="0"/>
              <w:autoSpaceDN w:val="0"/>
              <w:adjustRightInd w:val="0"/>
              <w:jc w:val="both"/>
              <w:rPr>
                <w:rFonts w:eastAsia="MS Mincho"/>
                <w:color w:val="000000" w:themeColor="text1"/>
                <w:lang w:eastAsia="ja-JP"/>
              </w:rPr>
            </w:pPr>
          </w:p>
        </w:tc>
      </w:tr>
      <w:tr w:rsidR="009F45F6" w:rsidRPr="009F45F6" w:rsidTr="0028120F">
        <w:trPr>
          <w:trHeight w:val="270"/>
        </w:trPr>
        <w:tc>
          <w:tcPr>
            <w:tcW w:w="596" w:type="dxa"/>
          </w:tcPr>
          <w:p w:rsidR="009E7ABE" w:rsidRPr="009F45F6" w:rsidRDefault="009E7ABE" w:rsidP="005933FA">
            <w:pPr>
              <w:numPr>
                <w:ilvl w:val="0"/>
                <w:numId w:val="20"/>
              </w:numPr>
              <w:contextualSpacing/>
              <w:rPr>
                <w:color w:val="000000" w:themeColor="text1"/>
              </w:rPr>
            </w:pPr>
          </w:p>
        </w:tc>
        <w:tc>
          <w:tcPr>
            <w:tcW w:w="1592" w:type="dxa"/>
          </w:tcPr>
          <w:p w:rsidR="009E7ABE" w:rsidRPr="009F45F6" w:rsidRDefault="009E7ABE" w:rsidP="005F1E83">
            <w:pPr>
              <w:rPr>
                <w:color w:val="000000" w:themeColor="text1"/>
              </w:rPr>
            </w:pPr>
            <w:r w:rsidRPr="009F45F6">
              <w:rPr>
                <w:color w:val="000000" w:themeColor="text1"/>
              </w:rPr>
              <w:t>Wspierane OS</w:t>
            </w:r>
          </w:p>
        </w:tc>
        <w:tc>
          <w:tcPr>
            <w:tcW w:w="6176" w:type="dxa"/>
            <w:gridSpan w:val="2"/>
          </w:tcPr>
          <w:p w:rsidR="0007726F" w:rsidRPr="009F45F6" w:rsidRDefault="009E7ABE" w:rsidP="0007726F">
            <w:pPr>
              <w:autoSpaceDE w:val="0"/>
              <w:autoSpaceDN w:val="0"/>
              <w:adjustRightInd w:val="0"/>
              <w:jc w:val="both"/>
              <w:rPr>
                <w:rFonts w:eastAsia="MS Mincho"/>
                <w:color w:val="000000" w:themeColor="text1"/>
                <w:lang w:val="en-US" w:eastAsia="ja-JP"/>
              </w:rPr>
            </w:pPr>
            <w:r w:rsidRPr="009F45F6">
              <w:rPr>
                <w:rFonts w:eastAsia="MS Mincho"/>
                <w:color w:val="000000" w:themeColor="text1"/>
                <w:lang w:val="en-US" w:eastAsia="ja-JP"/>
              </w:rPr>
              <w:t xml:space="preserve">Windows 2016 Hyper-V,  VMWare, </w:t>
            </w:r>
            <w:proofErr w:type="spellStart"/>
            <w:r w:rsidRPr="009F45F6">
              <w:rPr>
                <w:rFonts w:eastAsia="MS Mincho"/>
                <w:color w:val="000000" w:themeColor="text1"/>
                <w:lang w:val="en-US" w:eastAsia="ja-JP"/>
              </w:rPr>
              <w:t>Suse</w:t>
            </w:r>
            <w:proofErr w:type="spellEnd"/>
            <w:r w:rsidRPr="009F45F6">
              <w:rPr>
                <w:rFonts w:eastAsia="MS Mincho"/>
                <w:color w:val="000000" w:themeColor="text1"/>
                <w:lang w:val="en-US" w:eastAsia="ja-JP"/>
              </w:rPr>
              <w:t>, RHEL</w:t>
            </w:r>
          </w:p>
        </w:tc>
        <w:tc>
          <w:tcPr>
            <w:tcW w:w="1559" w:type="dxa"/>
          </w:tcPr>
          <w:p w:rsidR="009E7ABE" w:rsidRPr="009F45F6" w:rsidRDefault="009E7ABE" w:rsidP="005F1E83">
            <w:pPr>
              <w:autoSpaceDE w:val="0"/>
              <w:autoSpaceDN w:val="0"/>
              <w:adjustRightInd w:val="0"/>
              <w:jc w:val="both"/>
              <w:rPr>
                <w:rFonts w:eastAsia="MS Mincho"/>
                <w:color w:val="000000" w:themeColor="text1"/>
                <w:lang w:val="en-US" w:eastAsia="ja-JP"/>
              </w:rPr>
            </w:pPr>
          </w:p>
        </w:tc>
      </w:tr>
      <w:tr w:rsidR="009F45F6" w:rsidRPr="009F45F6" w:rsidTr="0028120F">
        <w:trPr>
          <w:trHeight w:val="270"/>
        </w:trPr>
        <w:tc>
          <w:tcPr>
            <w:tcW w:w="596" w:type="dxa"/>
          </w:tcPr>
          <w:p w:rsidR="0007726F" w:rsidRPr="009F45F6" w:rsidRDefault="0007726F" w:rsidP="005933FA">
            <w:pPr>
              <w:numPr>
                <w:ilvl w:val="0"/>
                <w:numId w:val="20"/>
              </w:numPr>
              <w:contextualSpacing/>
              <w:rPr>
                <w:color w:val="000000" w:themeColor="text1"/>
              </w:rPr>
            </w:pPr>
          </w:p>
        </w:tc>
        <w:tc>
          <w:tcPr>
            <w:tcW w:w="1592" w:type="dxa"/>
          </w:tcPr>
          <w:p w:rsidR="0007726F" w:rsidRPr="009F45F6" w:rsidRDefault="0007726F" w:rsidP="0007726F">
            <w:pPr>
              <w:rPr>
                <w:color w:val="000000" w:themeColor="text1"/>
              </w:rPr>
            </w:pPr>
            <w:r w:rsidRPr="009F45F6">
              <w:rPr>
                <w:color w:val="000000" w:themeColor="text1"/>
              </w:rPr>
              <w:t xml:space="preserve">Wspierane OS </w:t>
            </w:r>
          </w:p>
        </w:tc>
        <w:tc>
          <w:tcPr>
            <w:tcW w:w="6176" w:type="dxa"/>
            <w:gridSpan w:val="2"/>
          </w:tcPr>
          <w:p w:rsidR="0007726F" w:rsidRPr="009F45F6" w:rsidRDefault="0007726F" w:rsidP="0007726F">
            <w:pPr>
              <w:autoSpaceDE w:val="0"/>
              <w:autoSpaceDN w:val="0"/>
              <w:adjustRightInd w:val="0"/>
              <w:jc w:val="both"/>
              <w:rPr>
                <w:rFonts w:eastAsia="MS Mincho"/>
                <w:color w:val="000000" w:themeColor="text1"/>
                <w:lang w:val="en-US" w:eastAsia="ja-JP"/>
              </w:rPr>
            </w:pPr>
            <w:r w:rsidRPr="009F45F6">
              <w:rPr>
                <w:rFonts w:eastAsia="MS Mincho"/>
                <w:color w:val="000000" w:themeColor="text1"/>
                <w:lang w:val="en-US" w:eastAsia="ja-JP"/>
              </w:rPr>
              <w:t>Windows 2012 R2 Hyper-V</w:t>
            </w:r>
          </w:p>
        </w:tc>
        <w:tc>
          <w:tcPr>
            <w:tcW w:w="1559" w:type="dxa"/>
          </w:tcPr>
          <w:p w:rsidR="0007726F" w:rsidRPr="009F45F6" w:rsidRDefault="0007726F" w:rsidP="005F1E83">
            <w:pPr>
              <w:autoSpaceDE w:val="0"/>
              <w:autoSpaceDN w:val="0"/>
              <w:adjustRightInd w:val="0"/>
              <w:jc w:val="both"/>
              <w:rPr>
                <w:rFonts w:eastAsia="MS Mincho"/>
                <w:color w:val="000000" w:themeColor="text1"/>
                <w:lang w:val="en-US" w:eastAsia="ja-JP"/>
              </w:rPr>
            </w:pPr>
          </w:p>
        </w:tc>
      </w:tr>
      <w:tr w:rsidR="009F45F6" w:rsidRPr="009F45F6" w:rsidTr="0028120F">
        <w:trPr>
          <w:trHeight w:val="419"/>
        </w:trPr>
        <w:tc>
          <w:tcPr>
            <w:tcW w:w="596" w:type="dxa"/>
          </w:tcPr>
          <w:p w:rsidR="009E7ABE" w:rsidRPr="009F45F6" w:rsidRDefault="009E7ABE" w:rsidP="005933FA">
            <w:pPr>
              <w:numPr>
                <w:ilvl w:val="0"/>
                <w:numId w:val="20"/>
              </w:numPr>
              <w:contextualSpacing/>
              <w:rPr>
                <w:color w:val="000000" w:themeColor="text1"/>
              </w:rPr>
            </w:pPr>
          </w:p>
        </w:tc>
        <w:tc>
          <w:tcPr>
            <w:tcW w:w="1592" w:type="dxa"/>
          </w:tcPr>
          <w:p w:rsidR="009E7ABE" w:rsidRPr="009F45F6" w:rsidRDefault="009E7ABE" w:rsidP="005F1E83">
            <w:pPr>
              <w:rPr>
                <w:color w:val="000000" w:themeColor="text1"/>
              </w:rPr>
            </w:pPr>
            <w:r w:rsidRPr="009F45F6">
              <w:rPr>
                <w:color w:val="000000" w:themeColor="text1"/>
              </w:rPr>
              <w:t>Gwarancja</w:t>
            </w:r>
          </w:p>
        </w:tc>
        <w:tc>
          <w:tcPr>
            <w:tcW w:w="6176" w:type="dxa"/>
            <w:gridSpan w:val="2"/>
          </w:tcPr>
          <w:p w:rsidR="009E7ABE" w:rsidRPr="009F45F6" w:rsidRDefault="009E7ABE" w:rsidP="005F1E83">
            <w:p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 xml:space="preserve">3 lata gwarancji producenta serwera w trybie </w:t>
            </w:r>
            <w:proofErr w:type="spellStart"/>
            <w:r w:rsidRPr="009F45F6">
              <w:rPr>
                <w:rFonts w:eastAsia="MS Mincho"/>
                <w:color w:val="000000" w:themeColor="text1"/>
                <w:lang w:eastAsia="ja-JP"/>
              </w:rPr>
              <w:t>onsite</w:t>
            </w:r>
            <w:proofErr w:type="spellEnd"/>
            <w:r w:rsidRPr="009F45F6">
              <w:rPr>
                <w:rFonts w:eastAsia="MS Mincho"/>
                <w:color w:val="000000" w:themeColor="text1"/>
                <w:lang w:eastAsia="ja-JP"/>
              </w:rPr>
              <w:t xml:space="preserve"> z gwarantowanym czasem skutecznej naprawy serwera najpóźniej w następnym dniu roboczym od zgłoszenia usterki (tzw. NBD </w:t>
            </w:r>
            <w:proofErr w:type="spellStart"/>
            <w:r w:rsidRPr="009F45F6">
              <w:rPr>
                <w:rFonts w:eastAsia="MS Mincho"/>
                <w:color w:val="000000" w:themeColor="text1"/>
                <w:lang w:eastAsia="ja-JP"/>
              </w:rPr>
              <w:t>Fixtime</w:t>
            </w:r>
            <w:proofErr w:type="spellEnd"/>
            <w:r w:rsidRPr="009F45F6">
              <w:rPr>
                <w:rFonts w:eastAsia="MS Mincho"/>
                <w:color w:val="000000" w:themeColor="text1"/>
                <w:lang w:eastAsia="ja-JP"/>
              </w:rPr>
              <w:t>). Uszkodzone dyski twarde pozostają w posiadaniu Zamawiającego.</w:t>
            </w:r>
          </w:p>
          <w:p w:rsidR="009E7ABE" w:rsidRPr="009F45F6" w:rsidRDefault="009E7ABE" w:rsidP="005F1E83">
            <w:pPr>
              <w:jc w:val="both"/>
              <w:rPr>
                <w:color w:val="000000" w:themeColor="text1"/>
              </w:rPr>
            </w:pPr>
            <w:r w:rsidRPr="009F45F6">
              <w:rPr>
                <w:color w:val="000000" w:themeColor="text1"/>
              </w:rPr>
              <w:t>Dostępność części zamiennych przez 5 lat od momentu zakupu serwera.</w:t>
            </w:r>
          </w:p>
          <w:p w:rsidR="009E7ABE" w:rsidRPr="009F45F6" w:rsidRDefault="009E7ABE" w:rsidP="005F1E83">
            <w:pPr>
              <w:jc w:val="both"/>
              <w:rPr>
                <w:color w:val="000000" w:themeColor="text1"/>
              </w:rPr>
            </w:pPr>
            <w:r w:rsidRPr="009F45F6">
              <w:rPr>
                <w:color w:val="000000" w:themeColor="text1"/>
              </w:rPr>
              <w:t>Wymagana jest bezpłatna dostępność poprawek i aktualizacji BIOS/</w:t>
            </w:r>
            <w:proofErr w:type="spellStart"/>
            <w:r w:rsidRPr="009F45F6">
              <w:rPr>
                <w:color w:val="000000" w:themeColor="text1"/>
              </w:rPr>
              <w:t>Firmware</w:t>
            </w:r>
            <w:proofErr w:type="spellEnd"/>
            <w:r w:rsidRPr="009F45F6">
              <w:rPr>
                <w:color w:val="000000" w:themeColor="text1"/>
              </w:rPr>
              <w:t>/sterowników dożywotnio dla oferowanego serwera – jeżeli funkcjonalność ta wymaga dodatkowego serwisu lub licencji producenta serwera takowa licencja musi być uwzględniona w konfiguracji.</w:t>
            </w:r>
          </w:p>
        </w:tc>
        <w:tc>
          <w:tcPr>
            <w:tcW w:w="1559" w:type="dxa"/>
          </w:tcPr>
          <w:p w:rsidR="009E7ABE" w:rsidRPr="009F45F6" w:rsidRDefault="009E7ABE" w:rsidP="005F1E83">
            <w:pPr>
              <w:autoSpaceDE w:val="0"/>
              <w:autoSpaceDN w:val="0"/>
              <w:adjustRightInd w:val="0"/>
              <w:jc w:val="both"/>
              <w:rPr>
                <w:rFonts w:eastAsia="MS Mincho"/>
                <w:color w:val="000000" w:themeColor="text1"/>
                <w:lang w:eastAsia="ja-JP"/>
              </w:rPr>
            </w:pPr>
          </w:p>
        </w:tc>
      </w:tr>
      <w:tr w:rsidR="009F45F6" w:rsidRPr="009F45F6" w:rsidTr="0028120F">
        <w:trPr>
          <w:trHeight w:val="1124"/>
        </w:trPr>
        <w:tc>
          <w:tcPr>
            <w:tcW w:w="596" w:type="dxa"/>
          </w:tcPr>
          <w:p w:rsidR="009E7ABE" w:rsidRPr="009F45F6" w:rsidRDefault="009E7ABE" w:rsidP="005933FA">
            <w:pPr>
              <w:numPr>
                <w:ilvl w:val="0"/>
                <w:numId w:val="20"/>
              </w:numPr>
              <w:contextualSpacing/>
              <w:rPr>
                <w:color w:val="000000" w:themeColor="text1"/>
              </w:rPr>
            </w:pPr>
          </w:p>
        </w:tc>
        <w:tc>
          <w:tcPr>
            <w:tcW w:w="1592" w:type="dxa"/>
          </w:tcPr>
          <w:p w:rsidR="009E7ABE" w:rsidRPr="009F45F6" w:rsidRDefault="009E7ABE" w:rsidP="005F1E83">
            <w:pPr>
              <w:rPr>
                <w:color w:val="000000" w:themeColor="text1"/>
              </w:rPr>
            </w:pPr>
            <w:r w:rsidRPr="009F45F6">
              <w:rPr>
                <w:color w:val="000000" w:themeColor="text1"/>
              </w:rPr>
              <w:t>Dokumentacja, inne</w:t>
            </w:r>
          </w:p>
        </w:tc>
        <w:tc>
          <w:tcPr>
            <w:tcW w:w="6176" w:type="dxa"/>
            <w:gridSpan w:val="2"/>
          </w:tcPr>
          <w:p w:rsidR="009E7ABE" w:rsidRPr="009F45F6" w:rsidRDefault="009E7ABE" w:rsidP="005F1E83">
            <w:pPr>
              <w:jc w:val="both"/>
              <w:rPr>
                <w:color w:val="000000" w:themeColor="text1"/>
              </w:rPr>
            </w:pPr>
            <w:r w:rsidRPr="009F45F6">
              <w:rPr>
                <w:color w:val="000000" w:themeColor="text1"/>
              </w:rPr>
              <w:t>Elementy, z których zbudowane są serwery muszą być produktami producenta tych serwerów lub być przez niego certyfikowane oraz całe muszą być objęte gwarancją producenta, o wymaganym w specyfikacji poziomie SLA (wymagane oświadczenie producenta serwera potwierdzające spełnienie wymagań dołączone do oferty).</w:t>
            </w:r>
          </w:p>
          <w:p w:rsidR="009E7ABE" w:rsidRPr="009F45F6" w:rsidRDefault="009E7ABE" w:rsidP="005F1E83">
            <w:pPr>
              <w:jc w:val="both"/>
              <w:rPr>
                <w:color w:val="000000" w:themeColor="text1"/>
              </w:rPr>
            </w:pPr>
            <w:r w:rsidRPr="009F45F6">
              <w:rPr>
                <w:color w:val="000000" w:themeColor="text1"/>
              </w:rPr>
              <w:t>Serwer musi być fabrycznie nowy i pochodzić z oficjalnego kanału dystrybucyjnego w Polsce - Wymagane oświadczenie producenta serwera, że oferowany do przetargu sprzęt spełnia ten wymóg.</w:t>
            </w:r>
          </w:p>
          <w:p w:rsidR="009E7ABE" w:rsidRPr="009F45F6" w:rsidRDefault="009E7ABE" w:rsidP="005F1E83">
            <w:pPr>
              <w:jc w:val="both"/>
              <w:rPr>
                <w:color w:val="000000" w:themeColor="text1"/>
              </w:rPr>
            </w:pPr>
            <w:r w:rsidRPr="009F45F6">
              <w:rPr>
                <w:color w:val="000000" w:themeColor="text1"/>
              </w:rPr>
              <w:t>Oferent zobowiązany jest dostarczyć wraz z ofertą kartę produktową oferowanego serwera umożliwiającą weryfikację parametrów oferowanego sprzętu.</w:t>
            </w:r>
          </w:p>
          <w:p w:rsidR="009E7ABE" w:rsidRPr="009F45F6" w:rsidRDefault="009E7ABE" w:rsidP="005F1E83">
            <w:pPr>
              <w:jc w:val="both"/>
              <w:rPr>
                <w:color w:val="000000" w:themeColor="text1"/>
              </w:rPr>
            </w:pPr>
            <w:r w:rsidRPr="009F45F6">
              <w:rPr>
                <w:color w:val="000000" w:themeColor="text1"/>
              </w:rPr>
              <w:t>Ogólnopolska, telefoniczna infolinia/linia techniczna producenta serwera, (ogólnopolski numer o zredukowanej odpłatności 0-800/0-801, w ofercie należy podać nr telefonu) w czasie obowiązywania gwarancji na sprzęt i umożliwiająca po podaniu numeru seryjnego urządzenia weryfikację: konfiguracji sprzętowej serwera, w tym model i typ dysków twardych, procesora, ilość fabrycznie zainstalowanej pamięci operacyjnej, czasu obowiązywania i typ udzielonej gwarancji.</w:t>
            </w:r>
          </w:p>
          <w:p w:rsidR="009E7ABE" w:rsidRPr="009F45F6" w:rsidRDefault="009E7ABE" w:rsidP="005F1E83">
            <w:pPr>
              <w:widowControl w:val="0"/>
              <w:jc w:val="both"/>
              <w:rPr>
                <w:color w:val="000000" w:themeColor="text1"/>
              </w:rPr>
            </w:pPr>
            <w:r w:rsidRPr="009F45F6">
              <w:rPr>
                <w:color w:val="000000" w:themeColor="text1"/>
              </w:rPr>
              <w:t>W celu zapewnienia odpowiedniego SLA jako element odbioru technicznego serwera wymaga się dostarczenia oświadczenia Producenta serwera iż odpowiednie dane kontaktowe uprawnionego przedstawiciela Zamawiającego zostały zgłoszone przez Wykonawcę do Producenta serwera celem możliwości konfiguracji i świadczenia proaktywnego wsparcia/kontaktu w przypadku nastąpienia usterki w Polsce. (Dane zostaną podane przez Zamawiającego z minimum 14 dniowym wyprzedzeniem przed odbiorem sprzętu).</w:t>
            </w:r>
          </w:p>
          <w:p w:rsidR="009E7ABE" w:rsidRPr="009F45F6" w:rsidRDefault="009E7ABE" w:rsidP="005F1E83">
            <w:pPr>
              <w:widowControl w:val="0"/>
              <w:jc w:val="both"/>
              <w:rPr>
                <w:color w:val="000000" w:themeColor="text1"/>
              </w:rPr>
            </w:pPr>
            <w:r w:rsidRPr="009F45F6">
              <w:rPr>
                <w:color w:val="000000" w:themeColor="text1"/>
              </w:rPr>
              <w:t>Wymagane jest oświadczenie Producenta oferowanego serwera, iż wymagany w postepowaniu poziom gwarancji i wsparcia na sprzęt i oferowane wraz z nim oprogramowanie został zaaferowany przez Producenta serwera na potrzeby oferty w niniejszym postępowaniu.</w:t>
            </w:r>
          </w:p>
          <w:p w:rsidR="009E7ABE" w:rsidRPr="009F45F6" w:rsidRDefault="009E7ABE" w:rsidP="005F1E83">
            <w:pPr>
              <w:jc w:val="both"/>
              <w:rPr>
                <w:color w:val="000000" w:themeColor="text1"/>
              </w:rPr>
            </w:pPr>
            <w:r w:rsidRPr="009F45F6">
              <w:rPr>
                <w:color w:val="000000" w:themeColor="text1"/>
              </w:rPr>
              <w:lastRenderedPageBreak/>
              <w:t>Możliwość aktualizacji i pobrania sterowników do oferowanego modelu serwera w najnowszych certyfikowanych wersjach bezpośrednio z sieci Internet za pośrednictwem strony www producenta serwera.</w:t>
            </w:r>
          </w:p>
        </w:tc>
        <w:tc>
          <w:tcPr>
            <w:tcW w:w="1559" w:type="dxa"/>
          </w:tcPr>
          <w:p w:rsidR="009E7ABE" w:rsidRPr="009F45F6" w:rsidRDefault="009E7ABE" w:rsidP="005F1E83">
            <w:pPr>
              <w:jc w:val="both"/>
              <w:rPr>
                <w:color w:val="000000" w:themeColor="text1"/>
              </w:rPr>
            </w:pPr>
          </w:p>
        </w:tc>
      </w:tr>
      <w:tr w:rsidR="009E7ABE" w:rsidRPr="009F45F6" w:rsidTr="0028120F">
        <w:trPr>
          <w:trHeight w:val="2103"/>
        </w:trPr>
        <w:tc>
          <w:tcPr>
            <w:tcW w:w="596" w:type="dxa"/>
          </w:tcPr>
          <w:p w:rsidR="009E7ABE" w:rsidRPr="009F45F6" w:rsidRDefault="009E7ABE" w:rsidP="005933FA">
            <w:pPr>
              <w:numPr>
                <w:ilvl w:val="0"/>
                <w:numId w:val="20"/>
              </w:numPr>
              <w:contextualSpacing/>
              <w:rPr>
                <w:color w:val="000000" w:themeColor="text1"/>
              </w:rPr>
            </w:pPr>
          </w:p>
        </w:tc>
        <w:tc>
          <w:tcPr>
            <w:tcW w:w="1592" w:type="dxa"/>
          </w:tcPr>
          <w:p w:rsidR="009E7ABE" w:rsidRPr="009F45F6" w:rsidRDefault="009E7ABE" w:rsidP="005F1E83">
            <w:pPr>
              <w:rPr>
                <w:color w:val="000000" w:themeColor="text1"/>
                <w:sz w:val="19"/>
                <w:szCs w:val="19"/>
              </w:rPr>
            </w:pPr>
            <w:r w:rsidRPr="009F45F6">
              <w:rPr>
                <w:color w:val="000000" w:themeColor="text1"/>
                <w:sz w:val="19"/>
                <w:szCs w:val="19"/>
              </w:rPr>
              <w:t>Oprogramowanie</w:t>
            </w:r>
          </w:p>
        </w:tc>
        <w:tc>
          <w:tcPr>
            <w:tcW w:w="6176" w:type="dxa"/>
            <w:gridSpan w:val="2"/>
          </w:tcPr>
          <w:p w:rsidR="009E7ABE" w:rsidRPr="009F45F6" w:rsidRDefault="009E7ABE" w:rsidP="005F1E83">
            <w:pPr>
              <w:rPr>
                <w:color w:val="000000" w:themeColor="text1"/>
              </w:rPr>
            </w:pPr>
            <w:r w:rsidRPr="009F45F6">
              <w:rPr>
                <w:color w:val="000000" w:themeColor="text1"/>
              </w:rPr>
              <w:t xml:space="preserve">Windows Server 2019 DC. </w:t>
            </w:r>
          </w:p>
          <w:p w:rsidR="009E7ABE" w:rsidRPr="009F45F6" w:rsidRDefault="009E7ABE" w:rsidP="005F1E83">
            <w:pPr>
              <w:jc w:val="both"/>
              <w:rPr>
                <w:color w:val="000000" w:themeColor="text1"/>
              </w:rPr>
            </w:pPr>
            <w:r w:rsidRPr="009F45F6">
              <w:rPr>
                <w:color w:val="000000" w:themeColor="text1"/>
              </w:rPr>
              <w:t>Wymagana licencja na wszystkie rdzenie procesorowe zainstalowane w serwerze.</w:t>
            </w:r>
          </w:p>
          <w:p w:rsidR="009E7ABE" w:rsidRPr="009F45F6" w:rsidRDefault="009E7ABE" w:rsidP="005F1E83">
            <w:pPr>
              <w:jc w:val="both"/>
              <w:rPr>
                <w:color w:val="000000" w:themeColor="text1"/>
              </w:rPr>
            </w:pPr>
            <w:r w:rsidRPr="009F45F6">
              <w:rPr>
                <w:color w:val="000000" w:themeColor="text1"/>
              </w:rPr>
              <w:t xml:space="preserve">Zainstalowany </w:t>
            </w:r>
            <w:proofErr w:type="spellStart"/>
            <w:r w:rsidRPr="009F45F6">
              <w:rPr>
                <w:color w:val="000000" w:themeColor="text1"/>
              </w:rPr>
              <w:t>VMware</w:t>
            </w:r>
            <w:proofErr w:type="spellEnd"/>
            <w:r w:rsidRPr="009F45F6">
              <w:rPr>
                <w:color w:val="000000" w:themeColor="text1"/>
              </w:rPr>
              <w:t xml:space="preserve"> </w:t>
            </w:r>
            <w:proofErr w:type="spellStart"/>
            <w:r w:rsidRPr="009F45F6">
              <w:rPr>
                <w:color w:val="000000" w:themeColor="text1"/>
              </w:rPr>
              <w:t>vSphere</w:t>
            </w:r>
            <w:proofErr w:type="spellEnd"/>
            <w:r w:rsidRPr="009F45F6">
              <w:rPr>
                <w:color w:val="000000" w:themeColor="text1"/>
              </w:rPr>
              <w:t xml:space="preserve"> 6 Enterprise</w:t>
            </w:r>
            <w:r w:rsidR="00AF284A" w:rsidRPr="009F45F6">
              <w:rPr>
                <w:color w:val="000000" w:themeColor="text1"/>
              </w:rPr>
              <w:t xml:space="preserve"> Plus</w:t>
            </w:r>
            <w:r w:rsidRPr="009F45F6">
              <w:rPr>
                <w:color w:val="000000" w:themeColor="text1"/>
              </w:rPr>
              <w:t xml:space="preserve"> licencja dla oferowanego serwera wraz z trzyletnim dostępem do wsparcia technicznego </w:t>
            </w:r>
            <w:r w:rsidR="00D75FB8" w:rsidRPr="009F45F6">
              <w:rPr>
                <w:color w:val="000000" w:themeColor="text1"/>
              </w:rPr>
              <w:br/>
            </w:r>
            <w:r w:rsidRPr="009F45F6">
              <w:rPr>
                <w:color w:val="000000" w:themeColor="text1"/>
              </w:rPr>
              <w:t xml:space="preserve">i aktualizacji (Basic </w:t>
            </w:r>
            <w:proofErr w:type="spellStart"/>
            <w:r w:rsidRPr="009F45F6">
              <w:rPr>
                <w:color w:val="000000" w:themeColor="text1"/>
              </w:rPr>
              <w:t>Support</w:t>
            </w:r>
            <w:proofErr w:type="spellEnd"/>
            <w:r w:rsidRPr="009F45F6">
              <w:rPr>
                <w:color w:val="000000" w:themeColor="text1"/>
              </w:rPr>
              <w:t xml:space="preserve">/Subscription </w:t>
            </w:r>
            <w:proofErr w:type="spellStart"/>
            <w:r w:rsidRPr="009F45F6">
              <w:rPr>
                <w:color w:val="000000" w:themeColor="text1"/>
              </w:rPr>
              <w:t>VMware</w:t>
            </w:r>
            <w:proofErr w:type="spellEnd"/>
            <w:r w:rsidRPr="009F45F6">
              <w:rPr>
                <w:color w:val="000000" w:themeColor="text1"/>
              </w:rPr>
              <w:t xml:space="preserve"> </w:t>
            </w:r>
            <w:proofErr w:type="spellStart"/>
            <w:r w:rsidRPr="009F45F6">
              <w:rPr>
                <w:color w:val="000000" w:themeColor="text1"/>
              </w:rPr>
              <w:t>vSphere</w:t>
            </w:r>
            <w:proofErr w:type="spellEnd"/>
            <w:r w:rsidRPr="009F45F6">
              <w:rPr>
                <w:color w:val="000000" w:themeColor="text1"/>
              </w:rPr>
              <w:t xml:space="preserve"> 6 Enterprise Plus). Należy dostarczyć dokument potwierdzający prawo do korzystania przez Kupującego z usługi wsparcia technicznego.</w:t>
            </w:r>
          </w:p>
          <w:p w:rsidR="009E7ABE" w:rsidRPr="009F45F6" w:rsidRDefault="009E7ABE" w:rsidP="005F1E83">
            <w:pPr>
              <w:jc w:val="both"/>
              <w:rPr>
                <w:color w:val="000000" w:themeColor="text1"/>
              </w:rPr>
            </w:pPr>
            <w:r w:rsidRPr="009F45F6">
              <w:rPr>
                <w:color w:val="000000" w:themeColor="text1"/>
              </w:rPr>
              <w:t xml:space="preserve">Zamawiający posiada działające środowisko </w:t>
            </w:r>
            <w:proofErr w:type="spellStart"/>
            <w:r w:rsidRPr="009F45F6">
              <w:rPr>
                <w:color w:val="000000" w:themeColor="text1"/>
              </w:rPr>
              <w:t>wirtualizacyjne</w:t>
            </w:r>
            <w:proofErr w:type="spellEnd"/>
            <w:r w:rsidRPr="009F45F6">
              <w:rPr>
                <w:color w:val="000000" w:themeColor="text1"/>
              </w:rPr>
              <w:t xml:space="preserve"> oparte na systemie </w:t>
            </w:r>
            <w:proofErr w:type="spellStart"/>
            <w:r w:rsidRPr="009F45F6">
              <w:rPr>
                <w:color w:val="000000" w:themeColor="text1"/>
              </w:rPr>
              <w:t>VMware</w:t>
            </w:r>
            <w:proofErr w:type="spellEnd"/>
            <w:r w:rsidRPr="009F45F6">
              <w:rPr>
                <w:color w:val="000000" w:themeColor="text1"/>
              </w:rPr>
              <w:t xml:space="preserve"> </w:t>
            </w:r>
            <w:proofErr w:type="spellStart"/>
            <w:r w:rsidRPr="009F45F6">
              <w:rPr>
                <w:color w:val="000000" w:themeColor="text1"/>
              </w:rPr>
              <w:t>ESXi</w:t>
            </w:r>
            <w:proofErr w:type="spellEnd"/>
            <w:r w:rsidRPr="009F45F6">
              <w:rPr>
                <w:color w:val="000000" w:themeColor="text1"/>
              </w:rPr>
              <w:t xml:space="preserve"> oraz licencjach </w:t>
            </w:r>
            <w:proofErr w:type="spellStart"/>
            <w:r w:rsidRPr="009F45F6">
              <w:rPr>
                <w:color w:val="000000" w:themeColor="text1"/>
              </w:rPr>
              <w:t>vSphere</w:t>
            </w:r>
            <w:proofErr w:type="spellEnd"/>
            <w:r w:rsidRPr="009F45F6">
              <w:rPr>
                <w:color w:val="000000" w:themeColor="text1"/>
              </w:rPr>
              <w:t xml:space="preserve"> 6 Enterprise Plus / </w:t>
            </w:r>
            <w:proofErr w:type="spellStart"/>
            <w:r w:rsidRPr="009F45F6">
              <w:rPr>
                <w:color w:val="000000" w:themeColor="text1"/>
              </w:rPr>
              <w:t>vCenter</w:t>
            </w:r>
            <w:proofErr w:type="spellEnd"/>
            <w:r w:rsidRPr="009F45F6">
              <w:rPr>
                <w:color w:val="000000" w:themeColor="text1"/>
              </w:rPr>
              <w:t xml:space="preserve"> Server 6 Standard:</w:t>
            </w:r>
          </w:p>
          <w:p w:rsidR="009E7ABE" w:rsidRPr="009F45F6" w:rsidRDefault="009E7ABE" w:rsidP="005F1E83">
            <w:pPr>
              <w:jc w:val="both"/>
              <w:rPr>
                <w:color w:val="000000" w:themeColor="text1"/>
              </w:rPr>
            </w:pPr>
            <w:proofErr w:type="spellStart"/>
            <w:r w:rsidRPr="009F45F6">
              <w:rPr>
                <w:color w:val="000000" w:themeColor="text1"/>
              </w:rPr>
              <w:t>Contract</w:t>
            </w:r>
            <w:proofErr w:type="spellEnd"/>
            <w:r w:rsidRPr="009F45F6">
              <w:rPr>
                <w:color w:val="000000" w:themeColor="text1"/>
              </w:rPr>
              <w:t xml:space="preserve"> ID: </w:t>
            </w:r>
            <w:r w:rsidRPr="009F45F6">
              <w:rPr>
                <w:color w:val="000000" w:themeColor="text1"/>
              </w:rPr>
              <w:tab/>
              <w:t>473788524, 41807191</w:t>
            </w:r>
          </w:p>
          <w:p w:rsidR="009E7ABE" w:rsidRPr="009F45F6" w:rsidRDefault="009E7ABE" w:rsidP="005F1E83">
            <w:pPr>
              <w:jc w:val="both"/>
              <w:rPr>
                <w:color w:val="000000" w:themeColor="text1"/>
              </w:rPr>
            </w:pPr>
            <w:proofErr w:type="spellStart"/>
            <w:r w:rsidRPr="009F45F6">
              <w:rPr>
                <w:color w:val="000000" w:themeColor="text1"/>
              </w:rPr>
              <w:t>Account</w:t>
            </w:r>
            <w:proofErr w:type="spellEnd"/>
            <w:r w:rsidRPr="009F45F6">
              <w:rPr>
                <w:color w:val="000000" w:themeColor="text1"/>
              </w:rPr>
              <w:t xml:space="preserve"> </w:t>
            </w:r>
            <w:proofErr w:type="spellStart"/>
            <w:r w:rsidRPr="009F45F6">
              <w:rPr>
                <w:color w:val="000000" w:themeColor="text1"/>
              </w:rPr>
              <w:t>Number</w:t>
            </w:r>
            <w:proofErr w:type="spellEnd"/>
            <w:r w:rsidRPr="009F45F6">
              <w:rPr>
                <w:color w:val="000000" w:themeColor="text1"/>
              </w:rPr>
              <w:t>: 111584363</w:t>
            </w:r>
          </w:p>
        </w:tc>
        <w:tc>
          <w:tcPr>
            <w:tcW w:w="1559" w:type="dxa"/>
          </w:tcPr>
          <w:p w:rsidR="009E7ABE" w:rsidRPr="009F45F6" w:rsidRDefault="009E7ABE" w:rsidP="005F1E83">
            <w:pPr>
              <w:rPr>
                <w:color w:val="000000" w:themeColor="text1"/>
              </w:rPr>
            </w:pPr>
          </w:p>
        </w:tc>
      </w:tr>
    </w:tbl>
    <w:p w:rsidR="005933FA" w:rsidRPr="009F45F6" w:rsidRDefault="005933FA" w:rsidP="005933FA">
      <w:pPr>
        <w:rPr>
          <w:color w:val="000000" w:themeColor="text1"/>
        </w:rPr>
      </w:pPr>
    </w:p>
    <w:p w:rsidR="005933FA" w:rsidRPr="009F45F6" w:rsidRDefault="005933FA" w:rsidP="005933FA">
      <w:pPr>
        <w:ind w:left="360"/>
        <w:contextualSpacing/>
        <w:rPr>
          <w:color w:val="000000" w:themeColor="text1"/>
        </w:rPr>
      </w:pPr>
    </w:p>
    <w:p w:rsidR="005933FA" w:rsidRPr="009F45F6" w:rsidRDefault="005933FA" w:rsidP="005933FA">
      <w:pPr>
        <w:numPr>
          <w:ilvl w:val="0"/>
          <w:numId w:val="18"/>
        </w:numPr>
        <w:contextualSpacing/>
        <w:rPr>
          <w:color w:val="000000" w:themeColor="text1"/>
        </w:rPr>
      </w:pPr>
      <w:r w:rsidRPr="009F45F6">
        <w:rPr>
          <w:color w:val="000000" w:themeColor="text1"/>
        </w:rPr>
        <w:t>Przełączniki FC – 2 szt. każdy w konfiguracji spełniające wymagania: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598"/>
        <w:gridCol w:w="51"/>
        <w:gridCol w:w="6"/>
        <w:gridCol w:w="6113"/>
        <w:gridCol w:w="1559"/>
      </w:tblGrid>
      <w:tr w:rsidR="009F45F6" w:rsidRPr="009F45F6" w:rsidTr="00F32FF6">
        <w:tc>
          <w:tcPr>
            <w:tcW w:w="9923" w:type="dxa"/>
            <w:gridSpan w:val="6"/>
            <w:vAlign w:val="center"/>
          </w:tcPr>
          <w:p w:rsidR="00F32FF6" w:rsidRPr="009F45F6" w:rsidRDefault="00F32FF6" w:rsidP="005F1E83">
            <w:pPr>
              <w:rPr>
                <w:b/>
                <w:color w:val="000000" w:themeColor="text1"/>
              </w:rPr>
            </w:pPr>
          </w:p>
          <w:p w:rsidR="00F32FF6" w:rsidRPr="009F45F6" w:rsidRDefault="00F32FF6" w:rsidP="005F1E83">
            <w:pPr>
              <w:rPr>
                <w:b/>
                <w:color w:val="000000" w:themeColor="text1"/>
              </w:rPr>
            </w:pPr>
            <w:r w:rsidRPr="009F45F6">
              <w:rPr>
                <w:b/>
                <w:color w:val="000000" w:themeColor="text1"/>
              </w:rPr>
              <w:t xml:space="preserve">Producent przełącznika: </w:t>
            </w:r>
            <w:r w:rsidRPr="009F45F6">
              <w:rPr>
                <w:color w:val="000000" w:themeColor="text1"/>
              </w:rPr>
              <w:t>…………………………………</w:t>
            </w:r>
          </w:p>
          <w:p w:rsidR="00F32FF6" w:rsidRPr="009F45F6" w:rsidRDefault="00F32FF6" w:rsidP="005F1E83">
            <w:pPr>
              <w:jc w:val="center"/>
              <w:rPr>
                <w:b/>
                <w:color w:val="000000" w:themeColor="text1"/>
              </w:rPr>
            </w:pPr>
          </w:p>
        </w:tc>
      </w:tr>
      <w:tr w:rsidR="009F45F6" w:rsidRPr="009F45F6" w:rsidTr="00F32FF6">
        <w:tc>
          <w:tcPr>
            <w:tcW w:w="9923" w:type="dxa"/>
            <w:gridSpan w:val="6"/>
            <w:vAlign w:val="center"/>
          </w:tcPr>
          <w:p w:rsidR="00F32FF6" w:rsidRPr="009F45F6" w:rsidRDefault="00F32FF6" w:rsidP="005F1E83">
            <w:pPr>
              <w:rPr>
                <w:b/>
                <w:color w:val="000000" w:themeColor="text1"/>
              </w:rPr>
            </w:pPr>
          </w:p>
          <w:p w:rsidR="00F32FF6" w:rsidRPr="009F45F6" w:rsidRDefault="00C10739" w:rsidP="005F1E83">
            <w:pPr>
              <w:rPr>
                <w:color w:val="000000" w:themeColor="text1"/>
              </w:rPr>
            </w:pPr>
            <w:r w:rsidRPr="009F45F6">
              <w:rPr>
                <w:b/>
                <w:color w:val="000000" w:themeColor="text1"/>
              </w:rPr>
              <w:t>Model/typ</w:t>
            </w:r>
            <w:r w:rsidR="00F32FF6" w:rsidRPr="009F45F6">
              <w:rPr>
                <w:b/>
                <w:color w:val="000000" w:themeColor="text1"/>
              </w:rPr>
              <w:t xml:space="preserve"> przełącznika: </w:t>
            </w:r>
            <w:r w:rsidR="00F32FF6" w:rsidRPr="009F45F6">
              <w:rPr>
                <w:color w:val="000000" w:themeColor="text1"/>
              </w:rPr>
              <w:t>…………………………………</w:t>
            </w:r>
          </w:p>
          <w:p w:rsidR="00F32FF6" w:rsidRPr="009F45F6" w:rsidRDefault="00F32FF6" w:rsidP="005F1E83">
            <w:pPr>
              <w:rPr>
                <w:b/>
                <w:color w:val="000000" w:themeColor="text1"/>
              </w:rPr>
            </w:pPr>
          </w:p>
        </w:tc>
      </w:tr>
      <w:tr w:rsidR="009F45F6" w:rsidRPr="009F45F6" w:rsidTr="00F32FF6">
        <w:tc>
          <w:tcPr>
            <w:tcW w:w="596" w:type="dxa"/>
            <w:vAlign w:val="center"/>
          </w:tcPr>
          <w:p w:rsidR="00F32FF6" w:rsidRPr="009F45F6" w:rsidRDefault="00F32FF6" w:rsidP="005F1E83">
            <w:pPr>
              <w:jc w:val="center"/>
              <w:rPr>
                <w:b/>
                <w:color w:val="000000" w:themeColor="text1"/>
              </w:rPr>
            </w:pPr>
            <w:r w:rsidRPr="009F45F6">
              <w:rPr>
                <w:b/>
                <w:color w:val="000000" w:themeColor="text1"/>
              </w:rPr>
              <w:t>Lp.</w:t>
            </w:r>
          </w:p>
        </w:tc>
        <w:tc>
          <w:tcPr>
            <w:tcW w:w="1598" w:type="dxa"/>
            <w:vAlign w:val="center"/>
          </w:tcPr>
          <w:p w:rsidR="00F32FF6" w:rsidRPr="009F45F6" w:rsidRDefault="00F32FF6" w:rsidP="005F1E83">
            <w:pPr>
              <w:jc w:val="center"/>
              <w:rPr>
                <w:b/>
                <w:color w:val="000000" w:themeColor="text1"/>
              </w:rPr>
            </w:pPr>
            <w:r w:rsidRPr="009F45F6">
              <w:rPr>
                <w:b/>
                <w:color w:val="000000" w:themeColor="text1"/>
              </w:rPr>
              <w:t>Parametr lub warunek</w:t>
            </w:r>
          </w:p>
        </w:tc>
        <w:tc>
          <w:tcPr>
            <w:tcW w:w="6170" w:type="dxa"/>
            <w:gridSpan w:val="3"/>
            <w:vAlign w:val="center"/>
          </w:tcPr>
          <w:p w:rsidR="00F32FF6" w:rsidRPr="009F45F6" w:rsidRDefault="00F32FF6" w:rsidP="005F1E83">
            <w:pPr>
              <w:jc w:val="center"/>
              <w:rPr>
                <w:b/>
                <w:color w:val="000000" w:themeColor="text1"/>
              </w:rPr>
            </w:pPr>
            <w:r w:rsidRPr="009F45F6">
              <w:rPr>
                <w:b/>
                <w:color w:val="000000" w:themeColor="text1"/>
              </w:rPr>
              <w:t>Opis minimalnych wymagań</w:t>
            </w:r>
          </w:p>
        </w:tc>
        <w:tc>
          <w:tcPr>
            <w:tcW w:w="1559" w:type="dxa"/>
          </w:tcPr>
          <w:p w:rsidR="00F32FF6" w:rsidRPr="009F45F6" w:rsidRDefault="00F32FF6" w:rsidP="005F1E83">
            <w:pPr>
              <w:jc w:val="center"/>
              <w:rPr>
                <w:b/>
                <w:color w:val="000000" w:themeColor="text1"/>
              </w:rPr>
            </w:pPr>
            <w:r w:rsidRPr="009F45F6">
              <w:rPr>
                <w:b/>
                <w:color w:val="000000" w:themeColor="text1"/>
              </w:rPr>
              <w:t xml:space="preserve">Deklaracja zgodności </w:t>
            </w:r>
            <w:r w:rsidRPr="009F45F6">
              <w:rPr>
                <w:b/>
                <w:color w:val="000000" w:themeColor="text1"/>
              </w:rPr>
              <w:br/>
              <w:t>z opisem wymagań minimalnych</w:t>
            </w:r>
          </w:p>
          <w:p w:rsidR="00F32FF6" w:rsidRPr="009F45F6" w:rsidRDefault="00F32FF6" w:rsidP="005F1E83">
            <w:pPr>
              <w:jc w:val="center"/>
              <w:rPr>
                <w:b/>
                <w:color w:val="000000" w:themeColor="text1"/>
              </w:rPr>
            </w:pPr>
            <w:r w:rsidRPr="009F45F6">
              <w:rPr>
                <w:b/>
                <w:color w:val="000000" w:themeColor="text1"/>
              </w:rPr>
              <w:t>(Tak / Nie)</w:t>
            </w:r>
          </w:p>
        </w:tc>
      </w:tr>
      <w:tr w:rsidR="009F45F6" w:rsidRPr="009F45F6" w:rsidTr="00F32FF6">
        <w:tc>
          <w:tcPr>
            <w:tcW w:w="596" w:type="dxa"/>
          </w:tcPr>
          <w:p w:rsidR="00F32FF6" w:rsidRPr="00C257DF" w:rsidRDefault="00C257DF" w:rsidP="005F1E83">
            <w:pPr>
              <w:jc w:val="center"/>
              <w:rPr>
                <w:color w:val="000000" w:themeColor="text1"/>
              </w:rPr>
            </w:pPr>
            <w:r w:rsidRPr="00C257DF">
              <w:rPr>
                <w:color w:val="000000" w:themeColor="text1"/>
              </w:rPr>
              <w:t>1.</w:t>
            </w:r>
          </w:p>
        </w:tc>
        <w:tc>
          <w:tcPr>
            <w:tcW w:w="1655" w:type="dxa"/>
            <w:gridSpan w:val="3"/>
          </w:tcPr>
          <w:p w:rsidR="00F32FF6" w:rsidRPr="009F45F6" w:rsidRDefault="00F32FF6" w:rsidP="00F32FF6">
            <w:pPr>
              <w:rPr>
                <w:b/>
                <w:color w:val="000000" w:themeColor="text1"/>
              </w:rPr>
            </w:pPr>
            <w:r w:rsidRPr="009F45F6">
              <w:rPr>
                <w:color w:val="000000" w:themeColor="text1"/>
              </w:rPr>
              <w:t>Obudowa</w:t>
            </w:r>
          </w:p>
        </w:tc>
        <w:tc>
          <w:tcPr>
            <w:tcW w:w="6113" w:type="dxa"/>
          </w:tcPr>
          <w:p w:rsidR="00F32FF6" w:rsidRPr="009F45F6" w:rsidRDefault="00F32FF6" w:rsidP="00F32FF6">
            <w:pPr>
              <w:jc w:val="both"/>
              <w:rPr>
                <w:b/>
                <w:color w:val="000000" w:themeColor="text1"/>
              </w:rPr>
            </w:pPr>
            <w:r w:rsidRPr="009F45F6">
              <w:rPr>
                <w:snapToGrid w:val="0"/>
                <w:color w:val="000000" w:themeColor="text1"/>
              </w:rPr>
              <w:t>Przełącznik FC musi mieć wysokość maksymalnie 1 RU (jednostka wysokości szafy montażowej) i szerokość 19” oraz zapewniać techniczną możliwość montażu w szafie 19”.</w:t>
            </w:r>
          </w:p>
        </w:tc>
        <w:tc>
          <w:tcPr>
            <w:tcW w:w="1559" w:type="dxa"/>
          </w:tcPr>
          <w:p w:rsidR="00F32FF6" w:rsidRPr="009F45F6" w:rsidRDefault="00F32FF6" w:rsidP="005F1E83">
            <w:pPr>
              <w:jc w:val="center"/>
              <w:rPr>
                <w:b/>
                <w:color w:val="000000" w:themeColor="text1"/>
              </w:rPr>
            </w:pPr>
          </w:p>
        </w:tc>
      </w:tr>
      <w:tr w:rsidR="009F45F6" w:rsidRPr="009F45F6" w:rsidTr="00F32FF6">
        <w:trPr>
          <w:trHeight w:val="416"/>
        </w:trPr>
        <w:tc>
          <w:tcPr>
            <w:tcW w:w="596" w:type="dxa"/>
          </w:tcPr>
          <w:p w:rsidR="00F32FF6" w:rsidRPr="009F45F6" w:rsidRDefault="00C257DF" w:rsidP="00C257DF">
            <w:pPr>
              <w:ind w:left="142"/>
              <w:contextualSpacing/>
              <w:jc w:val="center"/>
              <w:rPr>
                <w:color w:val="000000" w:themeColor="text1"/>
              </w:rPr>
            </w:pPr>
            <w:r>
              <w:rPr>
                <w:color w:val="000000" w:themeColor="text1"/>
              </w:rPr>
              <w:t>2.</w:t>
            </w:r>
          </w:p>
        </w:tc>
        <w:tc>
          <w:tcPr>
            <w:tcW w:w="1655" w:type="dxa"/>
            <w:gridSpan w:val="3"/>
          </w:tcPr>
          <w:p w:rsidR="00F32FF6" w:rsidRPr="009F45F6" w:rsidRDefault="00F32FF6" w:rsidP="005F1E83">
            <w:pPr>
              <w:rPr>
                <w:color w:val="000000" w:themeColor="text1"/>
              </w:rPr>
            </w:pPr>
            <w:r w:rsidRPr="009F45F6">
              <w:rPr>
                <w:color w:val="000000" w:themeColor="text1"/>
              </w:rPr>
              <w:t>Architektura</w:t>
            </w:r>
          </w:p>
        </w:tc>
        <w:tc>
          <w:tcPr>
            <w:tcW w:w="6113" w:type="dxa"/>
          </w:tcPr>
          <w:p w:rsidR="00F32FF6" w:rsidRPr="009F45F6" w:rsidRDefault="00F32FF6" w:rsidP="005F1E83">
            <w:pPr>
              <w:jc w:val="both"/>
              <w:rPr>
                <w:snapToGrid w:val="0"/>
                <w:color w:val="000000" w:themeColor="text1"/>
              </w:rPr>
            </w:pPr>
            <w:r w:rsidRPr="009F45F6">
              <w:rPr>
                <w:snapToGrid w:val="0"/>
                <w:color w:val="000000" w:themeColor="text1"/>
              </w:rPr>
              <w:t xml:space="preserve">Przełącznik FC musi być wykonany w technologii FC minimum 16 </w:t>
            </w:r>
            <w:proofErr w:type="spellStart"/>
            <w:r w:rsidRPr="009F45F6">
              <w:rPr>
                <w:snapToGrid w:val="0"/>
                <w:color w:val="000000" w:themeColor="text1"/>
              </w:rPr>
              <w:t>Gb</w:t>
            </w:r>
            <w:proofErr w:type="spellEnd"/>
            <w:r w:rsidRPr="009F45F6">
              <w:rPr>
                <w:snapToGrid w:val="0"/>
                <w:color w:val="000000" w:themeColor="text1"/>
              </w:rPr>
              <w:t xml:space="preserve">/s i zapewniać możliwość pracy portów FC z prędkościami 16, 8, 4, 2 </w:t>
            </w:r>
            <w:proofErr w:type="spellStart"/>
            <w:r w:rsidRPr="009F45F6">
              <w:rPr>
                <w:snapToGrid w:val="0"/>
                <w:color w:val="000000" w:themeColor="text1"/>
              </w:rPr>
              <w:t>Gb</w:t>
            </w:r>
            <w:proofErr w:type="spellEnd"/>
            <w:r w:rsidRPr="009F45F6">
              <w:rPr>
                <w:snapToGrid w:val="0"/>
                <w:color w:val="000000" w:themeColor="text1"/>
              </w:rPr>
              <w:t xml:space="preserve">/s w zależności od rodzaju zastosowanych wkładek SFP. </w:t>
            </w:r>
          </w:p>
          <w:p w:rsidR="00F32FF6" w:rsidRPr="009F45F6" w:rsidRDefault="00F32FF6" w:rsidP="005F1E83">
            <w:pPr>
              <w:jc w:val="both"/>
              <w:rPr>
                <w:snapToGrid w:val="0"/>
                <w:color w:val="000000" w:themeColor="text1"/>
              </w:rPr>
            </w:pPr>
            <w:r w:rsidRPr="009F45F6">
              <w:rPr>
                <w:snapToGrid w:val="0"/>
                <w:color w:val="000000" w:themeColor="text1"/>
              </w:rPr>
              <w:t xml:space="preserve">W przypadku obsadzenia portu FC za pomocą wkładki SFP 16Gb/s przełącznik musi umożliwiać pracę tego portu z prędkością 16, 8 lub 4 </w:t>
            </w:r>
            <w:proofErr w:type="spellStart"/>
            <w:r w:rsidRPr="009F45F6">
              <w:rPr>
                <w:snapToGrid w:val="0"/>
                <w:color w:val="000000" w:themeColor="text1"/>
              </w:rPr>
              <w:t>Gb</w:t>
            </w:r>
            <w:proofErr w:type="spellEnd"/>
            <w:r w:rsidRPr="009F45F6">
              <w:rPr>
                <w:snapToGrid w:val="0"/>
                <w:color w:val="000000" w:themeColor="text1"/>
              </w:rPr>
              <w:t xml:space="preserve">/s, przy czym wybór prędkości musi być możliwy w trybie </w:t>
            </w:r>
            <w:proofErr w:type="spellStart"/>
            <w:r w:rsidRPr="009F45F6">
              <w:rPr>
                <w:snapToGrid w:val="0"/>
                <w:color w:val="000000" w:themeColor="text1"/>
              </w:rPr>
              <w:t>autonegocjacji</w:t>
            </w:r>
            <w:proofErr w:type="spellEnd"/>
            <w:r w:rsidRPr="009F45F6">
              <w:rPr>
                <w:snapToGrid w:val="0"/>
                <w:color w:val="000000" w:themeColor="text1"/>
              </w:rPr>
              <w:t>.</w:t>
            </w:r>
          </w:p>
          <w:p w:rsidR="00F32FF6" w:rsidRPr="009F45F6" w:rsidRDefault="00F32FF6" w:rsidP="005F1E83">
            <w:pPr>
              <w:jc w:val="both"/>
              <w:rPr>
                <w:snapToGrid w:val="0"/>
                <w:color w:val="000000" w:themeColor="text1"/>
              </w:rPr>
            </w:pPr>
            <w:r w:rsidRPr="009F45F6">
              <w:rPr>
                <w:snapToGrid w:val="0"/>
                <w:color w:val="000000" w:themeColor="text1"/>
              </w:rPr>
              <w:t xml:space="preserve">W przypadku obsadzenia portu FC za pomocą wkładki SFP 8Gb/s przełącznik musi umożliwiać pracę tego portu z prędkością 8, 4 lub 2 </w:t>
            </w:r>
            <w:proofErr w:type="spellStart"/>
            <w:r w:rsidRPr="009F45F6">
              <w:rPr>
                <w:snapToGrid w:val="0"/>
                <w:color w:val="000000" w:themeColor="text1"/>
              </w:rPr>
              <w:t>Gb</w:t>
            </w:r>
            <w:proofErr w:type="spellEnd"/>
            <w:r w:rsidRPr="009F45F6">
              <w:rPr>
                <w:snapToGrid w:val="0"/>
                <w:color w:val="000000" w:themeColor="text1"/>
              </w:rPr>
              <w:t xml:space="preserve">/s, przy czym wybór prędkości musi być możliwy w trybie </w:t>
            </w:r>
            <w:proofErr w:type="spellStart"/>
            <w:r w:rsidRPr="009F45F6">
              <w:rPr>
                <w:snapToGrid w:val="0"/>
                <w:color w:val="000000" w:themeColor="text1"/>
              </w:rPr>
              <w:t>autonegocjacji</w:t>
            </w:r>
            <w:proofErr w:type="spellEnd"/>
            <w:r w:rsidRPr="009F45F6">
              <w:rPr>
                <w:snapToGrid w:val="0"/>
                <w:color w:val="000000" w:themeColor="text1"/>
              </w:rPr>
              <w:t>.</w:t>
            </w:r>
          </w:p>
          <w:p w:rsidR="00F32FF6" w:rsidRPr="009F45F6" w:rsidRDefault="00F32FF6" w:rsidP="005F1E83">
            <w:pPr>
              <w:jc w:val="both"/>
              <w:rPr>
                <w:b/>
                <w:snapToGrid w:val="0"/>
                <w:color w:val="000000" w:themeColor="text1"/>
              </w:rPr>
            </w:pPr>
            <w:r w:rsidRPr="009F45F6">
              <w:rPr>
                <w:snapToGrid w:val="0"/>
                <w:color w:val="000000" w:themeColor="text1"/>
              </w:rPr>
              <w:t xml:space="preserve">Przełącznik FC musi być wyposażony, w co najmniej </w:t>
            </w:r>
            <w:r w:rsidRPr="009F45F6">
              <w:rPr>
                <w:b/>
                <w:snapToGrid w:val="0"/>
                <w:color w:val="000000" w:themeColor="text1"/>
              </w:rPr>
              <w:t xml:space="preserve">24 aktywnych portów FC obsadzonych wkładkami SFP 16Gb/s. </w:t>
            </w:r>
          </w:p>
          <w:p w:rsidR="00F32FF6" w:rsidRPr="009F45F6" w:rsidRDefault="00F32FF6" w:rsidP="005F1E83">
            <w:pPr>
              <w:jc w:val="both"/>
              <w:rPr>
                <w:snapToGrid w:val="0"/>
                <w:color w:val="000000" w:themeColor="text1"/>
              </w:rPr>
            </w:pPr>
            <w:r w:rsidRPr="009F45F6">
              <w:rPr>
                <w:snapToGrid w:val="0"/>
                <w:color w:val="000000" w:themeColor="text1"/>
              </w:rPr>
              <w:t xml:space="preserve">Wszystkie zaoferowane porty przełącznika FC muszą umożliwiać działanie bez tzw. </w:t>
            </w:r>
            <w:proofErr w:type="spellStart"/>
            <w:r w:rsidRPr="009F45F6">
              <w:rPr>
                <w:snapToGrid w:val="0"/>
                <w:color w:val="000000" w:themeColor="text1"/>
              </w:rPr>
              <w:t>oversubscrypcji</w:t>
            </w:r>
            <w:proofErr w:type="spellEnd"/>
            <w:r w:rsidRPr="009F45F6">
              <w:rPr>
                <w:snapToGrid w:val="0"/>
                <w:color w:val="000000" w:themeColor="text1"/>
              </w:rPr>
              <w:t xml:space="preserve"> gdzie wszystkie porty w maksymalnie rozbudowanej konfiguracji przełącznika mogą pracować równocześnie z pełną prędkością 8Gb/s lub 16Gb/s w zależności do zastosowanych wkładek FC.</w:t>
            </w:r>
          </w:p>
          <w:p w:rsidR="00F32FF6" w:rsidRPr="009F45F6" w:rsidRDefault="00F32FF6" w:rsidP="005F1E83">
            <w:pPr>
              <w:jc w:val="both"/>
              <w:rPr>
                <w:snapToGrid w:val="0"/>
                <w:color w:val="000000" w:themeColor="text1"/>
              </w:rPr>
            </w:pPr>
            <w:r w:rsidRPr="009F45F6">
              <w:rPr>
                <w:snapToGrid w:val="0"/>
                <w:color w:val="000000" w:themeColor="text1"/>
              </w:rPr>
              <w:t xml:space="preserve">Całkowita przepustowość przełącznika FC dostępna dla maksymalnie rozbudowanej konfiguracji wyposażonej we wkładki 16Gb/s musi wynosić minimum 384 </w:t>
            </w:r>
            <w:proofErr w:type="spellStart"/>
            <w:r w:rsidRPr="009F45F6">
              <w:rPr>
                <w:snapToGrid w:val="0"/>
                <w:color w:val="000000" w:themeColor="text1"/>
              </w:rPr>
              <w:t>Gb</w:t>
            </w:r>
            <w:proofErr w:type="spellEnd"/>
            <w:r w:rsidRPr="009F45F6">
              <w:rPr>
                <w:snapToGrid w:val="0"/>
                <w:color w:val="000000" w:themeColor="text1"/>
              </w:rPr>
              <w:t xml:space="preserve">/s end-to-end </w:t>
            </w:r>
            <w:proofErr w:type="spellStart"/>
            <w:r w:rsidRPr="009F45F6">
              <w:rPr>
                <w:snapToGrid w:val="0"/>
                <w:color w:val="000000" w:themeColor="text1"/>
              </w:rPr>
              <w:t>full</w:t>
            </w:r>
            <w:proofErr w:type="spellEnd"/>
            <w:r w:rsidRPr="009F45F6">
              <w:rPr>
                <w:snapToGrid w:val="0"/>
                <w:color w:val="000000" w:themeColor="text1"/>
              </w:rPr>
              <w:t xml:space="preserve"> duplex.</w:t>
            </w:r>
          </w:p>
          <w:p w:rsidR="00F32FF6" w:rsidRPr="009F45F6" w:rsidRDefault="00F32FF6" w:rsidP="005F1E83">
            <w:pPr>
              <w:jc w:val="both"/>
              <w:rPr>
                <w:snapToGrid w:val="0"/>
                <w:color w:val="000000" w:themeColor="text1"/>
              </w:rPr>
            </w:pPr>
            <w:r w:rsidRPr="009F45F6">
              <w:rPr>
                <w:snapToGrid w:val="0"/>
                <w:color w:val="000000" w:themeColor="text1"/>
              </w:rPr>
              <w:t>Oczekiwana wartość opóźnienia przy przesyłaniu ramek FC między dowolnymi portami przełącznika nie może być większa niż 700ns.</w:t>
            </w:r>
          </w:p>
          <w:p w:rsidR="00F32FF6" w:rsidRPr="009F45F6" w:rsidRDefault="00F32FF6" w:rsidP="005F1E83">
            <w:pPr>
              <w:jc w:val="both"/>
              <w:rPr>
                <w:snapToGrid w:val="0"/>
                <w:color w:val="000000" w:themeColor="text1"/>
              </w:rPr>
            </w:pPr>
            <w:r w:rsidRPr="009F45F6">
              <w:rPr>
                <w:snapToGrid w:val="0"/>
                <w:color w:val="000000" w:themeColor="text1"/>
              </w:rPr>
              <w:t>Rodzaj obsługiwanych portów, co najmniej: E, D oraz F.</w:t>
            </w:r>
          </w:p>
        </w:tc>
        <w:tc>
          <w:tcPr>
            <w:tcW w:w="1559" w:type="dxa"/>
          </w:tcPr>
          <w:p w:rsidR="00F32FF6" w:rsidRPr="009F45F6" w:rsidRDefault="00F32FF6" w:rsidP="005F1E83">
            <w:pPr>
              <w:jc w:val="both"/>
              <w:rPr>
                <w:snapToGrid w:val="0"/>
                <w:color w:val="000000" w:themeColor="text1"/>
              </w:rPr>
            </w:pPr>
          </w:p>
        </w:tc>
      </w:tr>
      <w:tr w:rsidR="009F45F6" w:rsidRPr="009F45F6" w:rsidTr="00F32FF6">
        <w:trPr>
          <w:trHeight w:val="956"/>
        </w:trPr>
        <w:tc>
          <w:tcPr>
            <w:tcW w:w="596" w:type="dxa"/>
          </w:tcPr>
          <w:p w:rsidR="00F32FF6" w:rsidRPr="009F45F6" w:rsidRDefault="00C257DF" w:rsidP="005F1E83">
            <w:pPr>
              <w:rPr>
                <w:color w:val="000000" w:themeColor="text1"/>
              </w:rPr>
            </w:pPr>
            <w:r>
              <w:rPr>
                <w:color w:val="000000" w:themeColor="text1"/>
              </w:rPr>
              <w:lastRenderedPageBreak/>
              <w:t>3</w:t>
            </w:r>
            <w:r w:rsidR="00630299">
              <w:rPr>
                <w:color w:val="000000" w:themeColor="text1"/>
              </w:rPr>
              <w:t>.</w:t>
            </w:r>
          </w:p>
        </w:tc>
        <w:tc>
          <w:tcPr>
            <w:tcW w:w="1655" w:type="dxa"/>
            <w:gridSpan w:val="3"/>
          </w:tcPr>
          <w:p w:rsidR="00F32FF6" w:rsidRPr="009F45F6" w:rsidRDefault="00F32FF6" w:rsidP="005F1E83">
            <w:pPr>
              <w:rPr>
                <w:color w:val="000000" w:themeColor="text1"/>
              </w:rPr>
            </w:pPr>
            <w:r w:rsidRPr="009F45F6">
              <w:rPr>
                <w:color w:val="000000" w:themeColor="text1"/>
              </w:rPr>
              <w:t>Bezpieczeństwo</w:t>
            </w:r>
          </w:p>
        </w:tc>
        <w:tc>
          <w:tcPr>
            <w:tcW w:w="6113" w:type="dxa"/>
          </w:tcPr>
          <w:p w:rsidR="00F32FF6" w:rsidRPr="009F45F6" w:rsidRDefault="00F32FF6" w:rsidP="005F1E83">
            <w:pPr>
              <w:jc w:val="both"/>
              <w:rPr>
                <w:snapToGrid w:val="0"/>
                <w:color w:val="000000" w:themeColor="text1"/>
              </w:rPr>
            </w:pPr>
            <w:r w:rsidRPr="009F45F6">
              <w:rPr>
                <w:snapToGrid w:val="0"/>
                <w:color w:val="000000" w:themeColor="text1"/>
              </w:rPr>
              <w:t>Przełącznik FC musi posiadać nadmiarowe wentylatory, których wymiana musi być możliwa w trybie „na gorąco” bez przerywania pracy przełącznika.</w:t>
            </w:r>
          </w:p>
          <w:p w:rsidR="00F32FF6" w:rsidRPr="009F45F6" w:rsidRDefault="00F32FF6" w:rsidP="005F1E83">
            <w:pPr>
              <w:jc w:val="both"/>
              <w:rPr>
                <w:snapToGrid w:val="0"/>
                <w:color w:val="000000" w:themeColor="text1"/>
              </w:rPr>
            </w:pPr>
            <w:r w:rsidRPr="009F45F6">
              <w:rPr>
                <w:snapToGrid w:val="0"/>
                <w:color w:val="000000" w:themeColor="text1"/>
              </w:rPr>
              <w:t xml:space="preserve">Przełącznik FC musi mieć możliwość agregacji połączeń ISL między dwoma przełącznikami i tworzenia w ten sposób logicznych połączeń typu </w:t>
            </w:r>
            <w:proofErr w:type="spellStart"/>
            <w:r w:rsidRPr="009F45F6">
              <w:rPr>
                <w:snapToGrid w:val="0"/>
                <w:color w:val="000000" w:themeColor="text1"/>
              </w:rPr>
              <w:t>trunk</w:t>
            </w:r>
            <w:proofErr w:type="spellEnd"/>
            <w:r w:rsidRPr="009F45F6">
              <w:rPr>
                <w:snapToGrid w:val="0"/>
                <w:color w:val="000000" w:themeColor="text1"/>
              </w:rPr>
              <w:t xml:space="preserve"> o przepustowości minimum 128 </w:t>
            </w:r>
            <w:proofErr w:type="spellStart"/>
            <w:r w:rsidRPr="009F45F6">
              <w:rPr>
                <w:snapToGrid w:val="0"/>
                <w:color w:val="000000" w:themeColor="text1"/>
              </w:rPr>
              <w:t>Gb</w:t>
            </w:r>
            <w:proofErr w:type="spellEnd"/>
            <w:r w:rsidRPr="009F45F6">
              <w:rPr>
                <w:snapToGrid w:val="0"/>
                <w:color w:val="000000" w:themeColor="text1"/>
              </w:rPr>
              <w:t xml:space="preserve">/s half duplex dla każdego logicznego połączenia. </w:t>
            </w:r>
            <w:proofErr w:type="spellStart"/>
            <w:r w:rsidRPr="009F45F6">
              <w:rPr>
                <w:snapToGrid w:val="0"/>
                <w:color w:val="000000" w:themeColor="text1"/>
              </w:rPr>
              <w:t>Load</w:t>
            </w:r>
            <w:proofErr w:type="spellEnd"/>
            <w:r w:rsidRPr="009F45F6">
              <w:rPr>
                <w:snapToGrid w:val="0"/>
                <w:color w:val="000000" w:themeColor="text1"/>
              </w:rPr>
              <w:t xml:space="preserve"> </w:t>
            </w:r>
            <w:proofErr w:type="spellStart"/>
            <w:r w:rsidRPr="009F45F6">
              <w:rPr>
                <w:snapToGrid w:val="0"/>
                <w:color w:val="000000" w:themeColor="text1"/>
              </w:rPr>
              <w:t>balancing</w:t>
            </w:r>
            <w:proofErr w:type="spellEnd"/>
            <w:r w:rsidRPr="009F45F6">
              <w:rPr>
                <w:snapToGrid w:val="0"/>
                <w:color w:val="000000" w:themeColor="text1"/>
              </w:rPr>
              <w:t xml:space="preserve"> ruchu między fizycznymi połączeniami ISL w ramach połączenia logicznego typu </w:t>
            </w:r>
            <w:proofErr w:type="spellStart"/>
            <w:r w:rsidRPr="009F45F6">
              <w:rPr>
                <w:snapToGrid w:val="0"/>
                <w:color w:val="000000" w:themeColor="text1"/>
              </w:rPr>
              <w:t>trunk</w:t>
            </w:r>
            <w:proofErr w:type="spellEnd"/>
            <w:r w:rsidRPr="009F45F6">
              <w:rPr>
                <w:snapToGrid w:val="0"/>
                <w:color w:val="000000" w:themeColor="text1"/>
              </w:rPr>
              <w:t xml:space="preserve"> musi być realizowany na poziomie pojedynczych ramek FC a połączenie logiczne musi zachowywać kolejność przesyłanych ramek. </w:t>
            </w:r>
          </w:p>
          <w:p w:rsidR="00F32FF6" w:rsidRPr="009F45F6" w:rsidRDefault="00F32FF6" w:rsidP="005F1E83">
            <w:pPr>
              <w:jc w:val="both"/>
              <w:rPr>
                <w:snapToGrid w:val="0"/>
                <w:color w:val="000000" w:themeColor="text1"/>
              </w:rPr>
            </w:pPr>
            <w:r w:rsidRPr="009F45F6">
              <w:rPr>
                <w:snapToGrid w:val="0"/>
                <w:color w:val="000000" w:themeColor="text1"/>
              </w:rPr>
              <w:t xml:space="preserve">Przełącznik FC musi wspierać mechanizm balansowania ruchu, pomiędzy co najmniej 16 różnymi połączeniami o tym samym koszcie wewnątrz wielodomenowych sieci </w:t>
            </w:r>
            <w:proofErr w:type="spellStart"/>
            <w:r w:rsidRPr="009F45F6">
              <w:rPr>
                <w:snapToGrid w:val="0"/>
                <w:color w:val="000000" w:themeColor="text1"/>
              </w:rPr>
              <w:t>fabric</w:t>
            </w:r>
            <w:proofErr w:type="spellEnd"/>
            <w:r w:rsidRPr="009F45F6">
              <w:rPr>
                <w:snapToGrid w:val="0"/>
                <w:color w:val="000000" w:themeColor="text1"/>
              </w:rPr>
              <w:t xml:space="preserve">, przy czym balansowanie ruchu musi odbywać się w oparciu o 3 parametry nagłówka ramki FC: DID, SID i OXID. </w:t>
            </w:r>
          </w:p>
          <w:p w:rsidR="00F32FF6" w:rsidRPr="009F45F6" w:rsidRDefault="00F32FF6" w:rsidP="005F1E83">
            <w:pPr>
              <w:jc w:val="both"/>
              <w:rPr>
                <w:snapToGrid w:val="0"/>
                <w:color w:val="000000" w:themeColor="text1"/>
              </w:rPr>
            </w:pPr>
            <w:r w:rsidRPr="009F45F6">
              <w:rPr>
                <w:snapToGrid w:val="0"/>
                <w:color w:val="000000" w:themeColor="text1"/>
              </w:rPr>
              <w:t xml:space="preserve">Przełącznik FC musi zapewniać jednoczesną obsługę mechanizmów ISL </w:t>
            </w:r>
            <w:proofErr w:type="spellStart"/>
            <w:r w:rsidRPr="009F45F6">
              <w:rPr>
                <w:snapToGrid w:val="0"/>
                <w:color w:val="000000" w:themeColor="text1"/>
              </w:rPr>
              <w:t>Trunk</w:t>
            </w:r>
            <w:proofErr w:type="spellEnd"/>
            <w:r w:rsidRPr="009F45F6">
              <w:rPr>
                <w:snapToGrid w:val="0"/>
                <w:color w:val="000000" w:themeColor="text1"/>
              </w:rPr>
              <w:t xml:space="preserve"> oraz balansowania ruchu w oparciu o DID/SID/OXID. </w:t>
            </w:r>
          </w:p>
          <w:p w:rsidR="00F32FF6" w:rsidRPr="009F45F6" w:rsidRDefault="00F32FF6" w:rsidP="005F1E83">
            <w:pPr>
              <w:jc w:val="both"/>
              <w:rPr>
                <w:snapToGrid w:val="0"/>
                <w:color w:val="000000" w:themeColor="text1"/>
              </w:rPr>
            </w:pPr>
            <w:r w:rsidRPr="009F45F6">
              <w:rPr>
                <w:snapToGrid w:val="0"/>
                <w:color w:val="000000" w:themeColor="text1"/>
              </w:rPr>
              <w:t xml:space="preserve">Przełącznik FC musi realizować sprzętową obsługę </w:t>
            </w:r>
            <w:proofErr w:type="spellStart"/>
            <w:r w:rsidRPr="009F45F6">
              <w:rPr>
                <w:snapToGrid w:val="0"/>
                <w:color w:val="000000" w:themeColor="text1"/>
              </w:rPr>
              <w:t>zoningu</w:t>
            </w:r>
            <w:proofErr w:type="spellEnd"/>
            <w:r w:rsidRPr="009F45F6">
              <w:rPr>
                <w:snapToGrid w:val="0"/>
                <w:color w:val="000000" w:themeColor="text1"/>
              </w:rPr>
              <w:t xml:space="preserve"> (przez tzw. układ ASIC) na podstawie portów i adresów WWN.</w:t>
            </w:r>
          </w:p>
          <w:p w:rsidR="00F32FF6" w:rsidRPr="009F45F6" w:rsidRDefault="00F32FF6" w:rsidP="005F1E83">
            <w:pPr>
              <w:jc w:val="both"/>
              <w:rPr>
                <w:snapToGrid w:val="0"/>
                <w:color w:val="000000" w:themeColor="text1"/>
              </w:rPr>
            </w:pPr>
            <w:r w:rsidRPr="009F45F6">
              <w:rPr>
                <w:snapToGrid w:val="0"/>
                <w:color w:val="000000" w:themeColor="text1"/>
              </w:rPr>
              <w:t xml:space="preserve">Przełącznik FC musi mieć możliwość wymiany i aktywacji wersji </w:t>
            </w:r>
            <w:proofErr w:type="spellStart"/>
            <w:r w:rsidRPr="009F45F6">
              <w:rPr>
                <w:snapToGrid w:val="0"/>
                <w:color w:val="000000" w:themeColor="text1"/>
              </w:rPr>
              <w:t>firmware’u</w:t>
            </w:r>
            <w:proofErr w:type="spellEnd"/>
            <w:r w:rsidRPr="009F45F6">
              <w:rPr>
                <w:snapToGrid w:val="0"/>
                <w:color w:val="000000" w:themeColor="text1"/>
              </w:rPr>
              <w:t xml:space="preserve"> (zarówno na wersję wyższą jak i na niższą) w czasie pracy urządzenia i bez zakłócenia przesyłanego ruchu FC.</w:t>
            </w:r>
          </w:p>
          <w:p w:rsidR="00F32FF6" w:rsidRPr="009F45F6" w:rsidRDefault="00F32FF6" w:rsidP="005F1E83">
            <w:pPr>
              <w:jc w:val="both"/>
              <w:rPr>
                <w:snapToGrid w:val="0"/>
                <w:color w:val="000000" w:themeColor="text1"/>
              </w:rPr>
            </w:pPr>
            <w:r w:rsidRPr="009F45F6">
              <w:rPr>
                <w:bCs/>
                <w:color w:val="000000" w:themeColor="text1"/>
              </w:rPr>
              <w:t>Przełącznik FC musi wspierać następujące mechanizmy zwiększające poziom bezpieczeństwa:</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mechanizm szyfrowania i kompresji wybranych połączeń ISL wspierany, na co najmniej 4 portach przełącznika FC. Symetryczny klucz szyfrujący nie może być krótszy niż 256-bitów.</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 xml:space="preserve">mechanizm tzw. </w:t>
            </w:r>
            <w:proofErr w:type="spellStart"/>
            <w:r w:rsidRPr="009F45F6">
              <w:rPr>
                <w:snapToGrid w:val="0"/>
                <w:color w:val="000000" w:themeColor="text1"/>
              </w:rPr>
              <w:t>Fabric</w:t>
            </w:r>
            <w:proofErr w:type="spellEnd"/>
            <w:r w:rsidRPr="009F45F6">
              <w:rPr>
                <w:snapToGrid w:val="0"/>
                <w:color w:val="000000" w:themeColor="text1"/>
              </w:rPr>
              <w:t xml:space="preserve"> </w:t>
            </w:r>
            <w:proofErr w:type="spellStart"/>
            <w:r w:rsidRPr="009F45F6">
              <w:rPr>
                <w:snapToGrid w:val="0"/>
                <w:color w:val="000000" w:themeColor="text1"/>
              </w:rPr>
              <w:t>Binding</w:t>
            </w:r>
            <w:proofErr w:type="spellEnd"/>
            <w:r w:rsidRPr="009F45F6">
              <w:rPr>
                <w:snapToGrid w:val="0"/>
                <w:color w:val="000000" w:themeColor="text1"/>
              </w:rPr>
              <w:t xml:space="preserve">, który umożliwia zdefiniowanie listy kontroli dostępu regulującej prawa przełączników FC do uczestnictwa w sieci </w:t>
            </w:r>
            <w:proofErr w:type="spellStart"/>
            <w:r w:rsidRPr="009F45F6">
              <w:rPr>
                <w:snapToGrid w:val="0"/>
                <w:color w:val="000000" w:themeColor="text1"/>
              </w:rPr>
              <w:t>fabric</w:t>
            </w:r>
            <w:proofErr w:type="spellEnd"/>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 xml:space="preserve">uwierzytelnianie (autentykacja) przełączników w sieci </w:t>
            </w:r>
            <w:proofErr w:type="spellStart"/>
            <w:r w:rsidRPr="009F45F6">
              <w:rPr>
                <w:snapToGrid w:val="0"/>
                <w:color w:val="000000" w:themeColor="text1"/>
              </w:rPr>
              <w:t>Fabric</w:t>
            </w:r>
            <w:proofErr w:type="spellEnd"/>
            <w:r w:rsidRPr="009F45F6">
              <w:rPr>
                <w:snapToGrid w:val="0"/>
                <w:color w:val="000000" w:themeColor="text1"/>
              </w:rPr>
              <w:t xml:space="preserve"> za pomocą protokołów DH-CHAP i FCAP</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 xml:space="preserve">uwierzytelnianie (autentykacja) urządzeń końcowych w sieci </w:t>
            </w:r>
            <w:proofErr w:type="spellStart"/>
            <w:r w:rsidRPr="009F45F6">
              <w:rPr>
                <w:snapToGrid w:val="0"/>
                <w:color w:val="000000" w:themeColor="text1"/>
              </w:rPr>
              <w:t>Fabric</w:t>
            </w:r>
            <w:proofErr w:type="spellEnd"/>
            <w:r w:rsidRPr="009F45F6">
              <w:rPr>
                <w:snapToGrid w:val="0"/>
                <w:color w:val="000000" w:themeColor="text1"/>
              </w:rPr>
              <w:t xml:space="preserve"> za pomocą protokołu DH-CHAP</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szyfrowanie połączenia z konsolą administracyjną. Wsparcie dla SSHv2.</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 xml:space="preserve">definiowanie wielu kont administratorów z możliwością ograniczenia ich uprawnień za pomocą mechanizmu tzw. RBAC (Role </w:t>
            </w:r>
            <w:proofErr w:type="spellStart"/>
            <w:r w:rsidRPr="009F45F6">
              <w:rPr>
                <w:snapToGrid w:val="0"/>
                <w:color w:val="000000" w:themeColor="text1"/>
              </w:rPr>
              <w:t>Based</w:t>
            </w:r>
            <w:proofErr w:type="spellEnd"/>
            <w:r w:rsidRPr="009F45F6">
              <w:rPr>
                <w:snapToGrid w:val="0"/>
                <w:color w:val="000000" w:themeColor="text1"/>
              </w:rPr>
              <w:t xml:space="preserve"> Access Control)</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definiowane kont administratorów w środowisku RADIUS, Active Directory, Open LDAP, TACACS+</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szyfrowanie komunikacji narzędzi administracyjnych za pomocą SSL/HTTPS</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obsługa SNMP v1 oraz v3</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 xml:space="preserve">IP </w:t>
            </w:r>
            <w:proofErr w:type="spellStart"/>
            <w:r w:rsidRPr="009F45F6">
              <w:rPr>
                <w:snapToGrid w:val="0"/>
                <w:color w:val="000000" w:themeColor="text1"/>
              </w:rPr>
              <w:t>Filter</w:t>
            </w:r>
            <w:proofErr w:type="spellEnd"/>
            <w:r w:rsidRPr="009F45F6">
              <w:rPr>
                <w:snapToGrid w:val="0"/>
                <w:color w:val="000000" w:themeColor="text1"/>
              </w:rPr>
              <w:t xml:space="preserve"> dla portu administracyjnego przełącznika</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 xml:space="preserve">wgrywanie nowych wersji </w:t>
            </w:r>
            <w:proofErr w:type="spellStart"/>
            <w:r w:rsidRPr="009F45F6">
              <w:rPr>
                <w:snapToGrid w:val="0"/>
                <w:color w:val="000000" w:themeColor="text1"/>
              </w:rPr>
              <w:t>firmware</w:t>
            </w:r>
            <w:proofErr w:type="spellEnd"/>
            <w:r w:rsidRPr="009F45F6">
              <w:rPr>
                <w:snapToGrid w:val="0"/>
                <w:color w:val="000000" w:themeColor="text1"/>
              </w:rPr>
              <w:t xml:space="preserve"> przełącznika FC z wykorzystaniem bezpiecznych protokołów SCP oraz SFTP</w:t>
            </w:r>
          </w:p>
          <w:p w:rsidR="00F32FF6" w:rsidRPr="009F45F6" w:rsidRDefault="00F32FF6" w:rsidP="005F1E83">
            <w:pPr>
              <w:snapToGrid w:val="0"/>
              <w:jc w:val="both"/>
              <w:rPr>
                <w:color w:val="000000" w:themeColor="text1"/>
              </w:rPr>
            </w:pPr>
            <w:r w:rsidRPr="009F45F6">
              <w:rPr>
                <w:snapToGrid w:val="0"/>
                <w:color w:val="000000" w:themeColor="text1"/>
              </w:rPr>
              <w:t>wykonywanie kopii bezpieczeństwa konfiguracji przełącznika FC z wykorzystaniem bezpiecznych protokołów SCP oraz SFTP</w:t>
            </w:r>
          </w:p>
        </w:tc>
        <w:tc>
          <w:tcPr>
            <w:tcW w:w="1559" w:type="dxa"/>
          </w:tcPr>
          <w:p w:rsidR="00F32FF6" w:rsidRPr="009F45F6" w:rsidRDefault="00F32FF6" w:rsidP="005F1E83">
            <w:pPr>
              <w:jc w:val="both"/>
              <w:rPr>
                <w:snapToGrid w:val="0"/>
                <w:color w:val="000000" w:themeColor="text1"/>
              </w:rPr>
            </w:pPr>
          </w:p>
        </w:tc>
      </w:tr>
      <w:tr w:rsidR="009F45F6" w:rsidRPr="009F45F6" w:rsidTr="00F32FF6">
        <w:tc>
          <w:tcPr>
            <w:tcW w:w="596" w:type="dxa"/>
          </w:tcPr>
          <w:p w:rsidR="00F32FF6" w:rsidRPr="009F45F6" w:rsidRDefault="00C257DF" w:rsidP="005F1E83">
            <w:pPr>
              <w:rPr>
                <w:color w:val="000000" w:themeColor="text1"/>
              </w:rPr>
            </w:pPr>
            <w:r>
              <w:rPr>
                <w:color w:val="000000" w:themeColor="text1"/>
              </w:rPr>
              <w:t>4</w:t>
            </w:r>
            <w:r w:rsidR="00630299">
              <w:rPr>
                <w:color w:val="000000" w:themeColor="text1"/>
              </w:rPr>
              <w:t>.</w:t>
            </w:r>
          </w:p>
        </w:tc>
        <w:tc>
          <w:tcPr>
            <w:tcW w:w="1655" w:type="dxa"/>
            <w:gridSpan w:val="3"/>
          </w:tcPr>
          <w:p w:rsidR="00F32FF6" w:rsidRPr="009F45F6" w:rsidRDefault="00F32FF6" w:rsidP="005F1E83">
            <w:pPr>
              <w:rPr>
                <w:color w:val="000000" w:themeColor="text1"/>
              </w:rPr>
            </w:pPr>
            <w:r w:rsidRPr="009F45F6">
              <w:rPr>
                <w:color w:val="000000" w:themeColor="text1"/>
              </w:rPr>
              <w:t>Konfiguracja</w:t>
            </w:r>
          </w:p>
        </w:tc>
        <w:tc>
          <w:tcPr>
            <w:tcW w:w="6113" w:type="dxa"/>
          </w:tcPr>
          <w:p w:rsidR="00F32FF6" w:rsidRPr="009F45F6" w:rsidRDefault="00F32FF6" w:rsidP="005F1E83">
            <w:pPr>
              <w:jc w:val="both"/>
              <w:rPr>
                <w:snapToGrid w:val="0"/>
                <w:color w:val="000000" w:themeColor="text1"/>
              </w:rPr>
            </w:pPr>
            <w:r w:rsidRPr="009F45F6">
              <w:rPr>
                <w:snapToGrid w:val="0"/>
                <w:color w:val="000000" w:themeColor="text1"/>
              </w:rPr>
              <w:t>Przełącznik FC musi mieć możliwość konfiguracji przez:</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polecenia tekstowe w interfejsie znakowym konsoli terminala</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przeglądarkę internetową z interfejsem graficznym lub dedykowane oprogramowanie.</w:t>
            </w:r>
          </w:p>
        </w:tc>
        <w:tc>
          <w:tcPr>
            <w:tcW w:w="1559" w:type="dxa"/>
          </w:tcPr>
          <w:p w:rsidR="00F32FF6" w:rsidRPr="009F45F6" w:rsidRDefault="00F32FF6" w:rsidP="005F1E83">
            <w:pPr>
              <w:jc w:val="both"/>
              <w:rPr>
                <w:snapToGrid w:val="0"/>
                <w:color w:val="000000" w:themeColor="text1"/>
              </w:rPr>
            </w:pPr>
          </w:p>
        </w:tc>
      </w:tr>
      <w:tr w:rsidR="009F45F6" w:rsidRPr="009F45F6" w:rsidTr="00F32FF6">
        <w:trPr>
          <w:trHeight w:val="1156"/>
        </w:trPr>
        <w:tc>
          <w:tcPr>
            <w:tcW w:w="596" w:type="dxa"/>
          </w:tcPr>
          <w:p w:rsidR="00F32FF6" w:rsidRPr="009F45F6" w:rsidRDefault="00C257DF" w:rsidP="005F1E83">
            <w:pPr>
              <w:rPr>
                <w:color w:val="000000" w:themeColor="text1"/>
              </w:rPr>
            </w:pPr>
            <w:r>
              <w:rPr>
                <w:color w:val="000000" w:themeColor="text1"/>
              </w:rPr>
              <w:t>5</w:t>
            </w:r>
            <w:r w:rsidR="00630299">
              <w:rPr>
                <w:color w:val="000000" w:themeColor="text1"/>
              </w:rPr>
              <w:t>.</w:t>
            </w:r>
          </w:p>
        </w:tc>
        <w:tc>
          <w:tcPr>
            <w:tcW w:w="1655" w:type="dxa"/>
            <w:gridSpan w:val="3"/>
          </w:tcPr>
          <w:p w:rsidR="00F32FF6" w:rsidRPr="009F45F6" w:rsidRDefault="00F32FF6" w:rsidP="005F1E83">
            <w:pPr>
              <w:rPr>
                <w:color w:val="000000" w:themeColor="text1"/>
              </w:rPr>
            </w:pPr>
            <w:r w:rsidRPr="009F45F6">
              <w:rPr>
                <w:color w:val="000000" w:themeColor="text1"/>
              </w:rPr>
              <w:t xml:space="preserve">Diagnostyka </w:t>
            </w:r>
          </w:p>
        </w:tc>
        <w:tc>
          <w:tcPr>
            <w:tcW w:w="6113" w:type="dxa"/>
          </w:tcPr>
          <w:p w:rsidR="00F32FF6" w:rsidRPr="009F45F6" w:rsidRDefault="00F32FF6" w:rsidP="005F1E83">
            <w:pPr>
              <w:jc w:val="both"/>
              <w:rPr>
                <w:snapToGrid w:val="0"/>
                <w:color w:val="000000" w:themeColor="text1"/>
              </w:rPr>
            </w:pPr>
            <w:r w:rsidRPr="009F45F6">
              <w:rPr>
                <w:snapToGrid w:val="0"/>
                <w:color w:val="000000" w:themeColor="text1"/>
              </w:rPr>
              <w:t>Przełącznik FC musi być wyposażony w następujące narzędzia diagnostyczne i mechanizmy obsługi ruchu FC:</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logowanie zdarzeń poprzez mechanizm „</w:t>
            </w:r>
            <w:proofErr w:type="spellStart"/>
            <w:r w:rsidRPr="009F45F6">
              <w:rPr>
                <w:snapToGrid w:val="0"/>
                <w:color w:val="000000" w:themeColor="text1"/>
              </w:rPr>
              <w:t>syslog</w:t>
            </w:r>
            <w:proofErr w:type="spellEnd"/>
            <w:r w:rsidRPr="009F45F6">
              <w:rPr>
                <w:snapToGrid w:val="0"/>
                <w:color w:val="000000" w:themeColor="text1"/>
              </w:rPr>
              <w:t>”,</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 xml:space="preserve">monitoring wydajności end-to-end umożliwiający pomiar przepustowości między wybranymi parami komunikujących się urządzeń. </w:t>
            </w:r>
          </w:p>
          <w:p w:rsidR="00F32FF6" w:rsidRPr="009F45F6" w:rsidRDefault="00F32FF6" w:rsidP="005933FA">
            <w:pPr>
              <w:numPr>
                <w:ilvl w:val="0"/>
                <w:numId w:val="17"/>
              </w:numPr>
              <w:tabs>
                <w:tab w:val="num" w:pos="1440"/>
              </w:tabs>
              <w:jc w:val="both"/>
              <w:rPr>
                <w:snapToGrid w:val="0"/>
                <w:color w:val="000000" w:themeColor="text1"/>
              </w:rPr>
            </w:pPr>
            <w:r w:rsidRPr="009F45F6">
              <w:rPr>
                <w:snapToGrid w:val="0"/>
                <w:color w:val="000000" w:themeColor="text1"/>
              </w:rPr>
              <w:t xml:space="preserve">ciągłe monitorowanie parametrów pracy przełącznika, portów, wkładek SFP i sieci </w:t>
            </w:r>
            <w:proofErr w:type="spellStart"/>
            <w:r w:rsidRPr="009F45F6">
              <w:rPr>
                <w:snapToGrid w:val="0"/>
                <w:color w:val="000000" w:themeColor="text1"/>
              </w:rPr>
              <w:t>fabric</w:t>
            </w:r>
            <w:proofErr w:type="spellEnd"/>
            <w:r w:rsidRPr="009F45F6">
              <w:rPr>
                <w:snapToGrid w:val="0"/>
                <w:color w:val="000000" w:themeColor="text1"/>
              </w:rPr>
              <w:t xml:space="preserve"> z automatycznym powiadamianiem administratora w przypadku przekroczenia zdefiniowanych wartości </w:t>
            </w:r>
            <w:r w:rsidRPr="009F45F6">
              <w:rPr>
                <w:snapToGrid w:val="0"/>
                <w:color w:val="000000" w:themeColor="text1"/>
              </w:rPr>
              <w:lastRenderedPageBreak/>
              <w:t xml:space="preserve">granicznych. Powiadamianie administrator musi być możliwe za pomocą wysyłania wiadomości e-mail. </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 xml:space="preserve">port diagnostyczny tzw. </w:t>
            </w:r>
            <w:proofErr w:type="spellStart"/>
            <w:r w:rsidRPr="009F45F6">
              <w:rPr>
                <w:snapToGrid w:val="0"/>
                <w:color w:val="000000" w:themeColor="text1"/>
              </w:rPr>
              <w:t>D_port</w:t>
            </w:r>
            <w:proofErr w:type="spellEnd"/>
            <w:r w:rsidRPr="009F45F6">
              <w:rPr>
                <w:snapToGrid w:val="0"/>
                <w:color w:val="000000" w:themeColor="text1"/>
              </w:rPr>
              <w:t xml:space="preserve">. Port diagnostyczny musi umożliwiać wykonanie testów sprawdzających komunikację portu przełącznika z wkładką SFP, połączenie optyczne pomiędzy dwoma przełącznikami, testowe obciążenie połączenia pełną przepustowością 16Gbps oraz pomiar opóźnienia i odległości między przełącznikami z dokładnością do 5m dla wkładek SFP 16Gbps. Testy wykonywane przez port diagnostyczny nie mogą wpływać w żaden sposób na działanie pozostałych portów przełącznika i całej sieci </w:t>
            </w:r>
            <w:proofErr w:type="spellStart"/>
            <w:r w:rsidRPr="009F45F6">
              <w:rPr>
                <w:snapToGrid w:val="0"/>
                <w:color w:val="000000" w:themeColor="text1"/>
              </w:rPr>
              <w:t>fabric</w:t>
            </w:r>
            <w:proofErr w:type="spellEnd"/>
            <w:r w:rsidRPr="009F45F6">
              <w:rPr>
                <w:snapToGrid w:val="0"/>
                <w:color w:val="000000" w:themeColor="text1"/>
              </w:rPr>
              <w:t>.</w:t>
            </w:r>
          </w:p>
          <w:p w:rsidR="00F32FF6" w:rsidRPr="009F45F6" w:rsidRDefault="00F32FF6" w:rsidP="005933FA">
            <w:pPr>
              <w:numPr>
                <w:ilvl w:val="0"/>
                <w:numId w:val="17"/>
              </w:numPr>
              <w:jc w:val="both"/>
              <w:rPr>
                <w:snapToGrid w:val="0"/>
                <w:color w:val="000000" w:themeColor="text1"/>
              </w:rPr>
            </w:pPr>
            <w:proofErr w:type="spellStart"/>
            <w:r w:rsidRPr="009F45F6">
              <w:rPr>
                <w:snapToGrid w:val="0"/>
                <w:color w:val="000000" w:themeColor="text1"/>
              </w:rPr>
              <w:t>FCping</w:t>
            </w:r>
            <w:proofErr w:type="spellEnd"/>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 xml:space="preserve">FC </w:t>
            </w:r>
            <w:proofErr w:type="spellStart"/>
            <w:r w:rsidRPr="009F45F6">
              <w:rPr>
                <w:snapToGrid w:val="0"/>
                <w:color w:val="000000" w:themeColor="text1"/>
              </w:rPr>
              <w:t>traceroute</w:t>
            </w:r>
            <w:proofErr w:type="spellEnd"/>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kopiowanie danych wymienianych pomiędzy dwoma wybranymi portami na inny wybrany port przełącznika</w:t>
            </w:r>
          </w:p>
        </w:tc>
        <w:tc>
          <w:tcPr>
            <w:tcW w:w="1559" w:type="dxa"/>
          </w:tcPr>
          <w:p w:rsidR="00F32FF6" w:rsidRPr="009F45F6" w:rsidRDefault="00F32FF6" w:rsidP="005F1E83">
            <w:pPr>
              <w:jc w:val="both"/>
              <w:rPr>
                <w:snapToGrid w:val="0"/>
                <w:color w:val="000000" w:themeColor="text1"/>
              </w:rPr>
            </w:pPr>
          </w:p>
        </w:tc>
      </w:tr>
      <w:tr w:rsidR="009F45F6" w:rsidRPr="009F45F6" w:rsidTr="00F32FF6">
        <w:trPr>
          <w:trHeight w:val="700"/>
        </w:trPr>
        <w:tc>
          <w:tcPr>
            <w:tcW w:w="596" w:type="dxa"/>
          </w:tcPr>
          <w:p w:rsidR="00F32FF6" w:rsidRPr="009F45F6" w:rsidRDefault="00C257DF" w:rsidP="005F1E83">
            <w:pPr>
              <w:rPr>
                <w:color w:val="000000" w:themeColor="text1"/>
              </w:rPr>
            </w:pPr>
            <w:r>
              <w:rPr>
                <w:color w:val="000000" w:themeColor="text1"/>
              </w:rPr>
              <w:lastRenderedPageBreak/>
              <w:t>6</w:t>
            </w:r>
            <w:r w:rsidR="00630299">
              <w:rPr>
                <w:color w:val="000000" w:themeColor="text1"/>
              </w:rPr>
              <w:t>.</w:t>
            </w:r>
          </w:p>
        </w:tc>
        <w:tc>
          <w:tcPr>
            <w:tcW w:w="1655" w:type="dxa"/>
            <w:gridSpan w:val="3"/>
          </w:tcPr>
          <w:p w:rsidR="00F32FF6" w:rsidRPr="009F45F6" w:rsidRDefault="00F32FF6" w:rsidP="005F1E83">
            <w:pPr>
              <w:rPr>
                <w:color w:val="000000" w:themeColor="text1"/>
              </w:rPr>
            </w:pPr>
            <w:r w:rsidRPr="009F45F6">
              <w:rPr>
                <w:color w:val="000000" w:themeColor="text1"/>
              </w:rPr>
              <w:t>Pozostałe wymagania</w:t>
            </w:r>
          </w:p>
        </w:tc>
        <w:tc>
          <w:tcPr>
            <w:tcW w:w="6113" w:type="dxa"/>
          </w:tcPr>
          <w:p w:rsidR="00F32FF6" w:rsidRPr="009F45F6" w:rsidRDefault="00F32FF6" w:rsidP="005F1E83">
            <w:pPr>
              <w:jc w:val="both"/>
              <w:rPr>
                <w:snapToGrid w:val="0"/>
                <w:color w:val="000000" w:themeColor="text1"/>
              </w:rPr>
            </w:pPr>
            <w:r w:rsidRPr="009F45F6">
              <w:rPr>
                <w:snapToGrid w:val="0"/>
                <w:color w:val="000000" w:themeColor="text1"/>
              </w:rPr>
              <w:t>Przełącznik FC musi mieć możliwość instalacji wkładek SFP umożliwiających bezpośrednie połączenie (bez dodatkowych urządzeń pośredniczących) z innymi przełącznikami na odległość minimum 25 km z prędkością 16Gb/s.</w:t>
            </w:r>
          </w:p>
          <w:p w:rsidR="00F32FF6" w:rsidRPr="009F45F6" w:rsidRDefault="00F32FF6" w:rsidP="005F1E83">
            <w:pPr>
              <w:jc w:val="both"/>
              <w:rPr>
                <w:snapToGrid w:val="0"/>
                <w:color w:val="000000" w:themeColor="text1"/>
              </w:rPr>
            </w:pPr>
            <w:r w:rsidRPr="009F45F6">
              <w:rPr>
                <w:snapToGrid w:val="0"/>
                <w:color w:val="000000" w:themeColor="text1"/>
              </w:rPr>
              <w:t xml:space="preserve">Po zainstalowaniu dodatkowej licencji przełącznik FC musi zapewnić możliwość przydzielenia, co najmniej 7000 tzw. </w:t>
            </w:r>
            <w:proofErr w:type="spellStart"/>
            <w:r w:rsidRPr="009F45F6">
              <w:rPr>
                <w:snapToGrid w:val="0"/>
                <w:color w:val="000000" w:themeColor="text1"/>
              </w:rPr>
              <w:t>buffer</w:t>
            </w:r>
            <w:proofErr w:type="spellEnd"/>
            <w:r w:rsidRPr="009F45F6">
              <w:rPr>
                <w:snapToGrid w:val="0"/>
                <w:color w:val="000000" w:themeColor="text1"/>
              </w:rPr>
              <w:t xml:space="preserve"> </w:t>
            </w:r>
            <w:proofErr w:type="spellStart"/>
            <w:r w:rsidRPr="009F45F6">
              <w:rPr>
                <w:snapToGrid w:val="0"/>
                <w:color w:val="000000" w:themeColor="text1"/>
              </w:rPr>
              <w:t>credits</w:t>
            </w:r>
            <w:proofErr w:type="spellEnd"/>
            <w:r w:rsidRPr="009F45F6">
              <w:rPr>
                <w:snapToGrid w:val="0"/>
                <w:color w:val="000000" w:themeColor="text1"/>
              </w:rPr>
              <w:t xml:space="preserve"> do pojedynczego portu FC przełącznika. </w:t>
            </w:r>
          </w:p>
          <w:p w:rsidR="00F32FF6" w:rsidRPr="009F45F6" w:rsidRDefault="00F32FF6" w:rsidP="005F1E83">
            <w:pPr>
              <w:jc w:val="both"/>
              <w:rPr>
                <w:snapToGrid w:val="0"/>
                <w:color w:val="000000" w:themeColor="text1"/>
              </w:rPr>
            </w:pPr>
            <w:r w:rsidRPr="009F45F6">
              <w:rPr>
                <w:snapToGrid w:val="0"/>
                <w:color w:val="000000" w:themeColor="text1"/>
              </w:rPr>
              <w:t xml:space="preserve">Przełącznik FC musi zapewnić możliwość jego zarządzania przez zintegrowany port Ethernet, RS232 oraz </w:t>
            </w:r>
            <w:proofErr w:type="spellStart"/>
            <w:r w:rsidRPr="009F45F6">
              <w:rPr>
                <w:snapToGrid w:val="0"/>
                <w:color w:val="000000" w:themeColor="text1"/>
              </w:rPr>
              <w:t>inband</w:t>
            </w:r>
            <w:proofErr w:type="spellEnd"/>
            <w:r w:rsidRPr="009F45F6">
              <w:rPr>
                <w:snapToGrid w:val="0"/>
                <w:color w:val="000000" w:themeColor="text1"/>
              </w:rPr>
              <w:t xml:space="preserve"> IP-</w:t>
            </w:r>
            <w:proofErr w:type="spellStart"/>
            <w:r w:rsidRPr="009F45F6">
              <w:rPr>
                <w:snapToGrid w:val="0"/>
                <w:color w:val="000000" w:themeColor="text1"/>
              </w:rPr>
              <w:t>over</w:t>
            </w:r>
            <w:proofErr w:type="spellEnd"/>
            <w:r w:rsidRPr="009F45F6">
              <w:rPr>
                <w:snapToGrid w:val="0"/>
                <w:color w:val="000000" w:themeColor="text1"/>
              </w:rPr>
              <w:t>-FC.</w:t>
            </w:r>
          </w:p>
          <w:p w:rsidR="00F32FF6" w:rsidRPr="009F45F6" w:rsidRDefault="00F32FF6" w:rsidP="005F1E83">
            <w:pPr>
              <w:jc w:val="both"/>
              <w:rPr>
                <w:snapToGrid w:val="0"/>
                <w:color w:val="000000" w:themeColor="text1"/>
              </w:rPr>
            </w:pPr>
            <w:r w:rsidRPr="009F45F6">
              <w:rPr>
                <w:snapToGrid w:val="0"/>
                <w:color w:val="000000" w:themeColor="text1"/>
              </w:rPr>
              <w:t>Przełącznik FC musi zapewniać wsparcie dla standardu zarządzającego SMI-S.</w:t>
            </w:r>
          </w:p>
          <w:p w:rsidR="00F32FF6" w:rsidRPr="009F45F6" w:rsidRDefault="00F32FF6" w:rsidP="005F1E83">
            <w:pPr>
              <w:jc w:val="both"/>
              <w:rPr>
                <w:snapToGrid w:val="0"/>
                <w:color w:val="000000" w:themeColor="text1"/>
              </w:rPr>
            </w:pPr>
            <w:r w:rsidRPr="009F45F6">
              <w:rPr>
                <w:snapToGrid w:val="0"/>
                <w:color w:val="000000" w:themeColor="text1"/>
              </w:rPr>
              <w:t xml:space="preserve">W przełączniku FC musi istnieć możliwość wydzielenia logicznych, izolowanych od siebie przełączników. Każdy z logicznych przełączników musi mieć własny </w:t>
            </w:r>
            <w:proofErr w:type="spellStart"/>
            <w:r w:rsidRPr="009F45F6">
              <w:rPr>
                <w:snapToGrid w:val="0"/>
                <w:color w:val="000000" w:themeColor="text1"/>
              </w:rPr>
              <w:t>Domain</w:t>
            </w:r>
            <w:proofErr w:type="spellEnd"/>
            <w:r w:rsidRPr="009F45F6">
              <w:rPr>
                <w:snapToGrid w:val="0"/>
                <w:color w:val="000000" w:themeColor="text1"/>
              </w:rPr>
              <w:t xml:space="preserve"> ID, własne usługi </w:t>
            </w:r>
            <w:proofErr w:type="spellStart"/>
            <w:r w:rsidRPr="009F45F6">
              <w:rPr>
                <w:snapToGrid w:val="0"/>
                <w:color w:val="000000" w:themeColor="text1"/>
              </w:rPr>
              <w:t>fabric</w:t>
            </w:r>
            <w:proofErr w:type="spellEnd"/>
            <w:r w:rsidRPr="009F45F6">
              <w:rPr>
                <w:snapToGrid w:val="0"/>
                <w:color w:val="000000" w:themeColor="text1"/>
              </w:rPr>
              <w:t xml:space="preserve"> (tzw. </w:t>
            </w:r>
            <w:proofErr w:type="spellStart"/>
            <w:r w:rsidRPr="009F45F6">
              <w:rPr>
                <w:snapToGrid w:val="0"/>
                <w:color w:val="000000" w:themeColor="text1"/>
              </w:rPr>
              <w:t>fabric</w:t>
            </w:r>
            <w:proofErr w:type="spellEnd"/>
            <w:r w:rsidRPr="009F45F6">
              <w:rPr>
                <w:snapToGrid w:val="0"/>
                <w:color w:val="000000" w:themeColor="text1"/>
              </w:rPr>
              <w:t xml:space="preserve"> services), niezależną bazę </w:t>
            </w:r>
            <w:proofErr w:type="spellStart"/>
            <w:r w:rsidRPr="009F45F6">
              <w:rPr>
                <w:snapToGrid w:val="0"/>
                <w:color w:val="000000" w:themeColor="text1"/>
              </w:rPr>
              <w:t>zoningu</w:t>
            </w:r>
            <w:proofErr w:type="spellEnd"/>
            <w:r w:rsidRPr="009F45F6">
              <w:rPr>
                <w:snapToGrid w:val="0"/>
                <w:color w:val="000000" w:themeColor="text1"/>
              </w:rPr>
              <w:t xml:space="preserve"> oraz możliwość przypisanie dedykowanego administratora.</w:t>
            </w:r>
          </w:p>
          <w:p w:rsidR="00F32FF6" w:rsidRPr="009F45F6" w:rsidRDefault="00F32FF6" w:rsidP="005F1E83">
            <w:pPr>
              <w:jc w:val="both"/>
              <w:rPr>
                <w:snapToGrid w:val="0"/>
                <w:color w:val="000000" w:themeColor="text1"/>
              </w:rPr>
            </w:pPr>
            <w:r w:rsidRPr="009F45F6">
              <w:rPr>
                <w:snapToGrid w:val="0"/>
                <w:color w:val="000000" w:themeColor="text1"/>
              </w:rPr>
              <w:t xml:space="preserve">Musi istnieć możliwość połączenia wybranych logicznych przełączników wydzielonych w różnych fizycznych przełącznikach FC za pomocą dedykowanych połączeń ISL. Połączone w ten sposób przełączniki muszą tworzyć pojedynczą sieć </w:t>
            </w:r>
            <w:proofErr w:type="spellStart"/>
            <w:r w:rsidRPr="009F45F6">
              <w:rPr>
                <w:snapToGrid w:val="0"/>
                <w:color w:val="000000" w:themeColor="text1"/>
              </w:rPr>
              <w:t>fabric</w:t>
            </w:r>
            <w:proofErr w:type="spellEnd"/>
            <w:r w:rsidRPr="009F45F6">
              <w:rPr>
                <w:snapToGrid w:val="0"/>
                <w:color w:val="000000" w:themeColor="text1"/>
              </w:rPr>
              <w:t>.</w:t>
            </w:r>
          </w:p>
          <w:p w:rsidR="00F32FF6" w:rsidRPr="009F45F6" w:rsidRDefault="00F32FF6" w:rsidP="005F1E83">
            <w:pPr>
              <w:jc w:val="both"/>
              <w:rPr>
                <w:snapToGrid w:val="0"/>
                <w:color w:val="000000" w:themeColor="text1"/>
              </w:rPr>
            </w:pPr>
            <w:r w:rsidRPr="009F45F6">
              <w:rPr>
                <w:snapToGrid w:val="0"/>
                <w:color w:val="000000" w:themeColor="text1"/>
              </w:rPr>
              <w:t>Przełącznik FC musi realizować kategoryzację ruchu między parami urządzeń (</w:t>
            </w:r>
            <w:proofErr w:type="spellStart"/>
            <w:r w:rsidRPr="009F45F6">
              <w:rPr>
                <w:snapToGrid w:val="0"/>
                <w:color w:val="000000" w:themeColor="text1"/>
              </w:rPr>
              <w:t>initiator</w:t>
            </w:r>
            <w:proofErr w:type="spellEnd"/>
            <w:r w:rsidRPr="009F45F6">
              <w:rPr>
                <w:snapToGrid w:val="0"/>
                <w:color w:val="000000" w:themeColor="text1"/>
              </w:rPr>
              <w:t xml:space="preserve"> - target) oraz przydzielenie takich par urządzeń do kategorii o wysokim, średnim lub niskim priorytecie. Konfiguracja przydziału do różnych klas priorytetów musi się odbywać za pomocą standardowych narzędzi do konfiguracji </w:t>
            </w:r>
            <w:proofErr w:type="spellStart"/>
            <w:r w:rsidRPr="009F45F6">
              <w:rPr>
                <w:snapToGrid w:val="0"/>
                <w:color w:val="000000" w:themeColor="text1"/>
              </w:rPr>
              <w:t>zoningu</w:t>
            </w:r>
            <w:proofErr w:type="spellEnd"/>
            <w:r w:rsidRPr="009F45F6">
              <w:rPr>
                <w:snapToGrid w:val="0"/>
                <w:color w:val="000000" w:themeColor="text1"/>
              </w:rPr>
              <w:t>.</w:t>
            </w:r>
          </w:p>
          <w:p w:rsidR="00F32FF6" w:rsidRPr="009F45F6" w:rsidRDefault="00F32FF6" w:rsidP="005F1E83">
            <w:pPr>
              <w:jc w:val="both"/>
              <w:rPr>
                <w:snapToGrid w:val="0"/>
                <w:color w:val="000000" w:themeColor="text1"/>
              </w:rPr>
            </w:pPr>
            <w:r w:rsidRPr="009F45F6">
              <w:rPr>
                <w:snapToGrid w:val="0"/>
                <w:color w:val="000000" w:themeColor="text1"/>
              </w:rPr>
              <w:t>Przełącznik FC musi realizować kategoryzację ruchu na podstawie wartości parametru CS_CTL w nagłówku ramki FC oraz odpowiednie przydzielenie ramki do kategorii o wysokim, średnim lub niskim priorytecie.</w:t>
            </w:r>
          </w:p>
          <w:p w:rsidR="00F32FF6" w:rsidRPr="009F45F6" w:rsidRDefault="00F32FF6" w:rsidP="005F1E83">
            <w:pPr>
              <w:jc w:val="both"/>
              <w:rPr>
                <w:snapToGrid w:val="0"/>
                <w:color w:val="000000" w:themeColor="text1"/>
              </w:rPr>
            </w:pPr>
            <w:r w:rsidRPr="009F45F6">
              <w:rPr>
                <w:snapToGrid w:val="0"/>
                <w:color w:val="000000" w:themeColor="text1"/>
              </w:rPr>
              <w:t xml:space="preserve">Przełącznik FC musi umożliwiać wprowadzenie ograniczenia prędkości dla danych wchodzących dla dowolnego portu lub portów. Musi być możliwość określenia wartości limitu przepustowości danych wchodzących niższej niż wynegocjowana prędkość portu. </w:t>
            </w:r>
          </w:p>
          <w:p w:rsidR="00F32FF6" w:rsidRPr="009F45F6" w:rsidRDefault="00F32FF6" w:rsidP="005F1E83">
            <w:pPr>
              <w:jc w:val="both"/>
              <w:rPr>
                <w:snapToGrid w:val="0"/>
                <w:color w:val="000000" w:themeColor="text1"/>
              </w:rPr>
            </w:pPr>
            <w:r w:rsidRPr="009F45F6">
              <w:rPr>
                <w:snapToGrid w:val="0"/>
                <w:color w:val="000000" w:themeColor="text1"/>
              </w:rPr>
              <w:t xml:space="preserve">Wsparcie dla </w:t>
            </w:r>
            <w:proofErr w:type="spellStart"/>
            <w:r w:rsidRPr="009F45F6">
              <w:rPr>
                <w:snapToGrid w:val="0"/>
                <w:color w:val="000000" w:themeColor="text1"/>
              </w:rPr>
              <w:t>N_Port</w:t>
            </w:r>
            <w:proofErr w:type="spellEnd"/>
            <w:r w:rsidRPr="009F45F6">
              <w:rPr>
                <w:snapToGrid w:val="0"/>
                <w:color w:val="000000" w:themeColor="text1"/>
              </w:rPr>
              <w:t xml:space="preserve"> ID </w:t>
            </w:r>
            <w:proofErr w:type="spellStart"/>
            <w:r w:rsidRPr="009F45F6">
              <w:rPr>
                <w:snapToGrid w:val="0"/>
                <w:color w:val="000000" w:themeColor="text1"/>
              </w:rPr>
              <w:t>Virtualization</w:t>
            </w:r>
            <w:proofErr w:type="spellEnd"/>
            <w:r w:rsidRPr="009F45F6">
              <w:rPr>
                <w:snapToGrid w:val="0"/>
                <w:color w:val="000000" w:themeColor="text1"/>
              </w:rPr>
              <w:t xml:space="preserve"> (NPIV). Obsługa, co najmniej 255 wirtualnych urządzeń na pojedynczym porcie przełącznika.</w:t>
            </w:r>
          </w:p>
          <w:p w:rsidR="00F32FF6" w:rsidRPr="009F45F6" w:rsidRDefault="00F32FF6" w:rsidP="005F1E83">
            <w:pPr>
              <w:jc w:val="both"/>
              <w:rPr>
                <w:snapToGrid w:val="0"/>
                <w:color w:val="000000" w:themeColor="text1"/>
              </w:rPr>
            </w:pPr>
            <w:r w:rsidRPr="009F45F6">
              <w:rPr>
                <w:snapToGrid w:val="0"/>
                <w:color w:val="000000" w:themeColor="text1"/>
              </w:rPr>
              <w:t>Przełącznik FC musi obsługiwać protokoły FCP i FICON na dowolnych portach przełącznika.</w:t>
            </w:r>
          </w:p>
          <w:p w:rsidR="00F32FF6" w:rsidRPr="009F45F6" w:rsidRDefault="00F32FF6" w:rsidP="005F1E83">
            <w:pPr>
              <w:jc w:val="both"/>
              <w:rPr>
                <w:snapToGrid w:val="0"/>
                <w:color w:val="000000" w:themeColor="text1"/>
              </w:rPr>
            </w:pPr>
            <w:r w:rsidRPr="009F45F6">
              <w:rPr>
                <w:snapToGrid w:val="0"/>
                <w:color w:val="000000" w:themeColor="text1"/>
              </w:rPr>
              <w:t>Wsparcie dla jednoczesnego podłączania systemów otwartych (FCP) i </w:t>
            </w:r>
            <w:proofErr w:type="spellStart"/>
            <w:r w:rsidRPr="009F45F6">
              <w:rPr>
                <w:snapToGrid w:val="0"/>
                <w:color w:val="000000" w:themeColor="text1"/>
              </w:rPr>
              <w:t>mainframe</w:t>
            </w:r>
            <w:proofErr w:type="spellEnd"/>
            <w:r w:rsidRPr="009F45F6">
              <w:rPr>
                <w:snapToGrid w:val="0"/>
                <w:color w:val="000000" w:themeColor="text1"/>
              </w:rPr>
              <w:t xml:space="preserve"> (FICON) do tej samej fizycznej sieci </w:t>
            </w:r>
            <w:proofErr w:type="spellStart"/>
            <w:r w:rsidRPr="009F45F6">
              <w:rPr>
                <w:snapToGrid w:val="0"/>
                <w:color w:val="000000" w:themeColor="text1"/>
              </w:rPr>
              <w:t>fabric</w:t>
            </w:r>
            <w:proofErr w:type="spellEnd"/>
            <w:r w:rsidRPr="009F45F6">
              <w:rPr>
                <w:snapToGrid w:val="0"/>
                <w:color w:val="000000" w:themeColor="text1"/>
              </w:rPr>
              <w:t xml:space="preserve"> zarówno w konfiguracji pojedynczego przełącznika jak i w konfiguracji kaskadowej, tzw. INTERMIX MODE.</w:t>
            </w:r>
          </w:p>
          <w:p w:rsidR="00F32FF6" w:rsidRPr="009F45F6" w:rsidRDefault="00F32FF6" w:rsidP="005F1E83">
            <w:pPr>
              <w:jc w:val="both"/>
              <w:rPr>
                <w:snapToGrid w:val="0"/>
                <w:color w:val="000000" w:themeColor="text1"/>
              </w:rPr>
            </w:pPr>
            <w:r w:rsidRPr="009F45F6">
              <w:rPr>
                <w:snapToGrid w:val="0"/>
                <w:color w:val="000000" w:themeColor="text1"/>
              </w:rPr>
              <w:t xml:space="preserve">Przełącznik musi być wyposażony w mechanizm sprzętowego monitorowania przepływów danych dla wskazanych jak i automatycznie wykrywanych par urządzeń komunikujących się przez dany port przełącznika. Dla każdego monitorowanego przepływu muszą być gromadzone statystyki dotyczące, co najmniej liczby wysłanych i odebranych ramek, przepustowości, liczby zapisów i odczytów SCSI, przy czym musi istnieć możliwość zawężenia zakresu monitorowania do </w:t>
            </w:r>
            <w:r w:rsidRPr="009F45F6">
              <w:rPr>
                <w:snapToGrid w:val="0"/>
                <w:color w:val="000000" w:themeColor="text1"/>
              </w:rPr>
              <w:lastRenderedPageBreak/>
              <w:t xml:space="preserve">następujących typów ramek: SCSI </w:t>
            </w:r>
            <w:proofErr w:type="spellStart"/>
            <w:r w:rsidRPr="009F45F6">
              <w:rPr>
                <w:snapToGrid w:val="0"/>
                <w:color w:val="000000" w:themeColor="text1"/>
              </w:rPr>
              <w:t>Reserve</w:t>
            </w:r>
            <w:proofErr w:type="spellEnd"/>
            <w:r w:rsidRPr="009F45F6">
              <w:rPr>
                <w:snapToGrid w:val="0"/>
                <w:color w:val="000000" w:themeColor="text1"/>
              </w:rPr>
              <w:t xml:space="preserve">, SCSI </w:t>
            </w:r>
            <w:proofErr w:type="spellStart"/>
            <w:r w:rsidRPr="009F45F6">
              <w:rPr>
                <w:snapToGrid w:val="0"/>
                <w:color w:val="000000" w:themeColor="text1"/>
              </w:rPr>
              <w:t>Aborts</w:t>
            </w:r>
            <w:proofErr w:type="spellEnd"/>
            <w:r w:rsidRPr="009F45F6">
              <w:rPr>
                <w:snapToGrid w:val="0"/>
                <w:color w:val="000000" w:themeColor="text1"/>
              </w:rPr>
              <w:t xml:space="preserve">, SCSI Read, SCSI Write, </w:t>
            </w:r>
            <w:proofErr w:type="spellStart"/>
            <w:r w:rsidRPr="009F45F6">
              <w:rPr>
                <w:snapToGrid w:val="0"/>
                <w:color w:val="000000" w:themeColor="text1"/>
              </w:rPr>
              <w:t>rejected</w:t>
            </w:r>
            <w:proofErr w:type="spellEnd"/>
            <w:r w:rsidRPr="009F45F6">
              <w:rPr>
                <w:snapToGrid w:val="0"/>
                <w:color w:val="000000" w:themeColor="text1"/>
              </w:rPr>
              <w:t xml:space="preserve"> </w:t>
            </w:r>
            <w:proofErr w:type="spellStart"/>
            <w:r w:rsidRPr="009F45F6">
              <w:rPr>
                <w:snapToGrid w:val="0"/>
                <w:color w:val="000000" w:themeColor="text1"/>
              </w:rPr>
              <w:t>frames</w:t>
            </w:r>
            <w:proofErr w:type="spellEnd"/>
            <w:r w:rsidRPr="009F45F6">
              <w:rPr>
                <w:snapToGrid w:val="0"/>
                <w:color w:val="000000" w:themeColor="text1"/>
              </w:rPr>
              <w:t xml:space="preserve">. </w:t>
            </w:r>
          </w:p>
          <w:p w:rsidR="00F32FF6" w:rsidRPr="009F45F6" w:rsidRDefault="00F32FF6" w:rsidP="005F1E83">
            <w:pPr>
              <w:jc w:val="both"/>
              <w:rPr>
                <w:snapToGrid w:val="0"/>
                <w:color w:val="000000" w:themeColor="text1"/>
              </w:rPr>
            </w:pPr>
            <w:r w:rsidRPr="009F45F6">
              <w:rPr>
                <w:snapToGrid w:val="0"/>
                <w:color w:val="000000" w:themeColor="text1"/>
              </w:rPr>
              <w:t xml:space="preserve">Przełącznik musi być wyposażony w mechanizm sprzętowego generatora ruchu umożliwiającego symulowanie komunikacji w wielodomenowych sieciach SAN bez konieczności angażowania fizycznych urządzeń takich jak serwery lub macierze dyskowe. </w:t>
            </w:r>
          </w:p>
          <w:p w:rsidR="00F32FF6" w:rsidRPr="009F45F6" w:rsidRDefault="00F32FF6" w:rsidP="005933FA">
            <w:pPr>
              <w:numPr>
                <w:ilvl w:val="0"/>
                <w:numId w:val="17"/>
              </w:numPr>
              <w:jc w:val="both"/>
              <w:rPr>
                <w:snapToGrid w:val="0"/>
                <w:color w:val="000000" w:themeColor="text1"/>
              </w:rPr>
            </w:pPr>
            <w:r w:rsidRPr="009F45F6">
              <w:rPr>
                <w:snapToGrid w:val="0"/>
                <w:color w:val="000000" w:themeColor="text1"/>
              </w:rPr>
              <w:t>Przełącznik musi być wyposażony w mechanizm umożliwiający kopiowanie pierwszych 64 bajtów ramek dla wybranych przepływów danych do pamięci lokalnej przełącznika w celu dalszej analizy.</w:t>
            </w:r>
          </w:p>
        </w:tc>
        <w:tc>
          <w:tcPr>
            <w:tcW w:w="1559" w:type="dxa"/>
          </w:tcPr>
          <w:p w:rsidR="00F32FF6" w:rsidRPr="009F45F6" w:rsidRDefault="00F32FF6" w:rsidP="005F1E83">
            <w:pPr>
              <w:jc w:val="both"/>
              <w:rPr>
                <w:snapToGrid w:val="0"/>
                <w:color w:val="000000" w:themeColor="text1"/>
              </w:rPr>
            </w:pPr>
          </w:p>
        </w:tc>
      </w:tr>
      <w:tr w:rsidR="009F45F6" w:rsidRPr="009F45F6" w:rsidTr="00F32FF6">
        <w:trPr>
          <w:trHeight w:val="740"/>
        </w:trPr>
        <w:tc>
          <w:tcPr>
            <w:tcW w:w="596" w:type="dxa"/>
          </w:tcPr>
          <w:p w:rsidR="00F32FF6" w:rsidRPr="009F45F6" w:rsidRDefault="00C257DF" w:rsidP="005F1E83">
            <w:pPr>
              <w:rPr>
                <w:color w:val="000000" w:themeColor="text1"/>
              </w:rPr>
            </w:pPr>
            <w:r>
              <w:rPr>
                <w:color w:val="000000" w:themeColor="text1"/>
              </w:rPr>
              <w:lastRenderedPageBreak/>
              <w:t>7</w:t>
            </w:r>
            <w:r w:rsidR="00630299">
              <w:rPr>
                <w:color w:val="000000" w:themeColor="text1"/>
              </w:rPr>
              <w:t>.</w:t>
            </w:r>
          </w:p>
        </w:tc>
        <w:tc>
          <w:tcPr>
            <w:tcW w:w="1655" w:type="dxa"/>
            <w:gridSpan w:val="3"/>
          </w:tcPr>
          <w:p w:rsidR="00F32FF6" w:rsidRPr="009F45F6" w:rsidRDefault="00F32FF6" w:rsidP="005F1E83">
            <w:pPr>
              <w:rPr>
                <w:color w:val="000000" w:themeColor="text1"/>
              </w:rPr>
            </w:pPr>
            <w:r w:rsidRPr="009F45F6">
              <w:rPr>
                <w:color w:val="000000" w:themeColor="text1"/>
              </w:rPr>
              <w:t>Gwarancja</w:t>
            </w:r>
          </w:p>
          <w:p w:rsidR="00F32FF6" w:rsidRPr="009F45F6" w:rsidRDefault="00F32FF6" w:rsidP="005F1E83">
            <w:pPr>
              <w:rPr>
                <w:color w:val="000000" w:themeColor="text1"/>
              </w:rPr>
            </w:pPr>
          </w:p>
        </w:tc>
        <w:tc>
          <w:tcPr>
            <w:tcW w:w="6113" w:type="dxa"/>
          </w:tcPr>
          <w:p w:rsidR="00F32FF6" w:rsidRPr="009F45F6" w:rsidRDefault="00F32FF6" w:rsidP="005F1E83">
            <w:pPr>
              <w:autoSpaceDE w:val="0"/>
              <w:autoSpaceDN w:val="0"/>
              <w:adjustRightInd w:val="0"/>
              <w:jc w:val="both"/>
              <w:rPr>
                <w:rFonts w:eastAsia="MS Mincho"/>
                <w:color w:val="000000" w:themeColor="text1"/>
                <w:lang w:eastAsia="ja-JP"/>
              </w:rPr>
            </w:pPr>
            <w:r w:rsidRPr="009F45F6">
              <w:rPr>
                <w:rFonts w:eastAsia="MS Mincho"/>
                <w:color w:val="000000" w:themeColor="text1"/>
                <w:lang w:eastAsia="ja-JP"/>
              </w:rPr>
              <w:t xml:space="preserve">3 lata gwarancji producenta serwera w trybie </w:t>
            </w:r>
            <w:proofErr w:type="spellStart"/>
            <w:r w:rsidRPr="009F45F6">
              <w:rPr>
                <w:rFonts w:eastAsia="MS Mincho"/>
                <w:color w:val="000000" w:themeColor="text1"/>
                <w:lang w:eastAsia="ja-JP"/>
              </w:rPr>
              <w:t>onsite</w:t>
            </w:r>
            <w:proofErr w:type="spellEnd"/>
            <w:r w:rsidRPr="009F45F6">
              <w:rPr>
                <w:rFonts w:eastAsia="MS Mincho"/>
                <w:color w:val="000000" w:themeColor="text1"/>
                <w:lang w:eastAsia="ja-JP"/>
              </w:rPr>
              <w:t xml:space="preserve"> z gwarantowanym czasem skutecznej naprawy serwera najpóźniej w następnym dniu roboczym od zgłoszenia usterki (tzw. NBD </w:t>
            </w:r>
            <w:proofErr w:type="spellStart"/>
            <w:r w:rsidRPr="009F45F6">
              <w:rPr>
                <w:rFonts w:eastAsia="MS Mincho"/>
                <w:color w:val="000000" w:themeColor="text1"/>
                <w:lang w:eastAsia="ja-JP"/>
              </w:rPr>
              <w:t>Fixtime</w:t>
            </w:r>
            <w:proofErr w:type="spellEnd"/>
            <w:r w:rsidRPr="009F45F6">
              <w:rPr>
                <w:rFonts w:eastAsia="MS Mincho"/>
                <w:color w:val="000000" w:themeColor="text1"/>
                <w:lang w:eastAsia="ja-JP"/>
              </w:rPr>
              <w:t>).</w:t>
            </w:r>
          </w:p>
          <w:p w:rsidR="00F32FF6" w:rsidRPr="009F45F6" w:rsidRDefault="00F32FF6" w:rsidP="005F1E83">
            <w:pPr>
              <w:rPr>
                <w:color w:val="000000" w:themeColor="text1"/>
              </w:rPr>
            </w:pPr>
            <w:r w:rsidRPr="009F45F6">
              <w:rPr>
                <w:color w:val="000000" w:themeColor="text1"/>
              </w:rPr>
              <w:t>Wymagana jest bezpłatna dostępność poprawek i aktualizacji</w:t>
            </w:r>
          </w:p>
        </w:tc>
        <w:tc>
          <w:tcPr>
            <w:tcW w:w="1559" w:type="dxa"/>
          </w:tcPr>
          <w:p w:rsidR="00F32FF6" w:rsidRPr="009F45F6" w:rsidRDefault="00F32FF6" w:rsidP="005F1E83">
            <w:pPr>
              <w:jc w:val="both"/>
              <w:rPr>
                <w:snapToGrid w:val="0"/>
                <w:color w:val="000000" w:themeColor="text1"/>
              </w:rPr>
            </w:pPr>
          </w:p>
        </w:tc>
      </w:tr>
      <w:tr w:rsidR="00F32FF6" w:rsidRPr="009F45F6" w:rsidTr="00F32FF6">
        <w:trPr>
          <w:trHeight w:val="419"/>
        </w:trPr>
        <w:tc>
          <w:tcPr>
            <w:tcW w:w="596" w:type="dxa"/>
          </w:tcPr>
          <w:p w:rsidR="00F32FF6" w:rsidRPr="009F45F6" w:rsidRDefault="00C257DF" w:rsidP="005F1E83">
            <w:pPr>
              <w:rPr>
                <w:color w:val="000000" w:themeColor="text1"/>
                <w:lang w:val="en-US"/>
              </w:rPr>
            </w:pPr>
            <w:r>
              <w:rPr>
                <w:color w:val="000000" w:themeColor="text1"/>
                <w:lang w:val="en-US"/>
              </w:rPr>
              <w:t>8</w:t>
            </w:r>
            <w:r w:rsidR="00630299">
              <w:rPr>
                <w:color w:val="000000" w:themeColor="text1"/>
                <w:lang w:val="en-US"/>
              </w:rPr>
              <w:t>.</w:t>
            </w:r>
          </w:p>
        </w:tc>
        <w:tc>
          <w:tcPr>
            <w:tcW w:w="1649" w:type="dxa"/>
            <w:gridSpan w:val="2"/>
          </w:tcPr>
          <w:p w:rsidR="00F32FF6" w:rsidRPr="009F45F6" w:rsidRDefault="00F32FF6" w:rsidP="005F1E83">
            <w:pPr>
              <w:rPr>
                <w:color w:val="000000" w:themeColor="text1"/>
              </w:rPr>
            </w:pPr>
            <w:r w:rsidRPr="009F45F6">
              <w:rPr>
                <w:color w:val="000000" w:themeColor="text1"/>
              </w:rPr>
              <w:t xml:space="preserve">Dokumentacja, inne </w:t>
            </w:r>
          </w:p>
        </w:tc>
        <w:tc>
          <w:tcPr>
            <w:tcW w:w="6119" w:type="dxa"/>
            <w:gridSpan w:val="2"/>
          </w:tcPr>
          <w:p w:rsidR="00F32FF6" w:rsidRPr="009F45F6" w:rsidRDefault="00F32FF6" w:rsidP="005F1E83">
            <w:pPr>
              <w:jc w:val="both"/>
              <w:rPr>
                <w:color w:val="000000" w:themeColor="text1"/>
              </w:rPr>
            </w:pPr>
            <w:r w:rsidRPr="009F45F6">
              <w:rPr>
                <w:color w:val="000000" w:themeColor="text1"/>
              </w:rPr>
              <w:t>Przełącznik musi być fabrycznie nowy i pochodzić z oficjalnego kanału dystrybucyjnego w Polsce - Wymagane oświadczenie producenta, że oferowany do przetargu sprzęt spełnia ten wymóg.</w:t>
            </w:r>
          </w:p>
          <w:p w:rsidR="00F32FF6" w:rsidRPr="009F45F6" w:rsidRDefault="00F32FF6" w:rsidP="005F1E83">
            <w:pPr>
              <w:jc w:val="both"/>
              <w:rPr>
                <w:color w:val="000000" w:themeColor="text1"/>
              </w:rPr>
            </w:pPr>
            <w:r w:rsidRPr="009F45F6">
              <w:rPr>
                <w:color w:val="000000" w:themeColor="text1"/>
              </w:rPr>
              <w:t>Oferent zobowiązany jest dostarczyć wraz z ofertą kartę produktową oferowanego przełącznika umożliwiającą weryfikację parametrów oferowanego sprzętu.</w:t>
            </w:r>
          </w:p>
        </w:tc>
        <w:tc>
          <w:tcPr>
            <w:tcW w:w="1559" w:type="dxa"/>
          </w:tcPr>
          <w:p w:rsidR="00F32FF6" w:rsidRPr="009F45F6" w:rsidRDefault="00F32FF6" w:rsidP="005F1E83">
            <w:pPr>
              <w:autoSpaceDE w:val="0"/>
              <w:autoSpaceDN w:val="0"/>
              <w:adjustRightInd w:val="0"/>
              <w:jc w:val="both"/>
              <w:rPr>
                <w:rFonts w:eastAsia="MS Mincho"/>
                <w:color w:val="000000" w:themeColor="text1"/>
                <w:lang w:eastAsia="ja-JP"/>
              </w:rPr>
            </w:pPr>
          </w:p>
        </w:tc>
      </w:tr>
    </w:tbl>
    <w:p w:rsidR="005933FA" w:rsidRPr="009F45F6" w:rsidRDefault="005933FA" w:rsidP="005933FA">
      <w:pPr>
        <w:rPr>
          <w:color w:val="000000" w:themeColor="text1"/>
        </w:rPr>
      </w:pPr>
    </w:p>
    <w:p w:rsidR="004A5B31" w:rsidRPr="009F45F6" w:rsidRDefault="004A5B31" w:rsidP="00F32FF6">
      <w:pPr>
        <w:contextualSpacing/>
        <w:jc w:val="both"/>
        <w:rPr>
          <w:color w:val="000000" w:themeColor="text1"/>
        </w:rPr>
      </w:pPr>
    </w:p>
    <w:p w:rsidR="004A5B31" w:rsidRPr="009F45F6" w:rsidRDefault="004A5B31" w:rsidP="004A5B31">
      <w:pPr>
        <w:rPr>
          <w:color w:val="000000" w:themeColor="text1"/>
          <w:sz w:val="24"/>
          <w:szCs w:val="24"/>
        </w:rPr>
      </w:pPr>
    </w:p>
    <w:p w:rsidR="004A5B31" w:rsidRPr="009F45F6" w:rsidRDefault="004A5B31" w:rsidP="004A5B31">
      <w:pPr>
        <w:rPr>
          <w:color w:val="000000" w:themeColor="text1"/>
          <w:sz w:val="24"/>
          <w:szCs w:val="24"/>
        </w:rPr>
      </w:pPr>
    </w:p>
    <w:p w:rsidR="00EC1FD8" w:rsidRPr="009F45F6" w:rsidRDefault="00EC1FD8" w:rsidP="00EC1FD8">
      <w:pPr>
        <w:spacing w:after="200" w:line="276" w:lineRule="auto"/>
        <w:rPr>
          <w:color w:val="000000" w:themeColor="text1"/>
        </w:rPr>
      </w:pPr>
    </w:p>
    <w:p w:rsidR="00EC1FD8" w:rsidRPr="009F45F6" w:rsidRDefault="00EC1FD8" w:rsidP="00EC1FD8">
      <w:pPr>
        <w:tabs>
          <w:tab w:val="left" w:pos="5670"/>
        </w:tabs>
        <w:spacing w:line="240" w:lineRule="exact"/>
        <w:jc w:val="both"/>
        <w:rPr>
          <w:color w:val="000000" w:themeColor="text1"/>
          <w:sz w:val="24"/>
          <w:szCs w:val="24"/>
        </w:rPr>
      </w:pPr>
      <w:r w:rsidRPr="009F45F6">
        <w:rPr>
          <w:color w:val="000000" w:themeColor="text1"/>
          <w:sz w:val="24"/>
          <w:szCs w:val="24"/>
        </w:rPr>
        <w:t>.............................., dn. ............ 2019 r.                   .....................................................................</w:t>
      </w:r>
    </w:p>
    <w:p w:rsidR="00EC1FD8" w:rsidRPr="009F45F6" w:rsidRDefault="00EC1FD8" w:rsidP="00EC1FD8">
      <w:pPr>
        <w:ind w:left="4962"/>
        <w:jc w:val="center"/>
        <w:rPr>
          <w:i/>
          <w:color w:val="000000" w:themeColor="text1"/>
        </w:rPr>
      </w:pPr>
      <w:r w:rsidRPr="009F45F6">
        <w:rPr>
          <w:i/>
          <w:color w:val="000000" w:themeColor="text1"/>
        </w:rPr>
        <w:t>(podpis/y osoby/osób uprawnionej/</w:t>
      </w:r>
      <w:proofErr w:type="spellStart"/>
      <w:r w:rsidRPr="009F45F6">
        <w:rPr>
          <w:i/>
          <w:color w:val="000000" w:themeColor="text1"/>
        </w:rPr>
        <w:t>ych</w:t>
      </w:r>
      <w:proofErr w:type="spellEnd"/>
      <w:r w:rsidRPr="009F45F6">
        <w:rPr>
          <w:i/>
          <w:color w:val="000000" w:themeColor="text1"/>
        </w:rPr>
        <w:t>)</w:t>
      </w:r>
    </w:p>
    <w:p w:rsidR="00F32FF6" w:rsidRPr="009F45F6" w:rsidRDefault="00F32FF6" w:rsidP="00EC1FD8">
      <w:pPr>
        <w:ind w:left="4962"/>
        <w:jc w:val="center"/>
        <w:rPr>
          <w:i/>
          <w:color w:val="000000" w:themeColor="text1"/>
        </w:rPr>
      </w:pPr>
    </w:p>
    <w:p w:rsidR="00F32FF6" w:rsidRPr="009F45F6" w:rsidRDefault="00F32FF6">
      <w:pPr>
        <w:spacing w:after="200" w:line="276" w:lineRule="auto"/>
        <w:rPr>
          <w:i/>
          <w:color w:val="000000" w:themeColor="text1"/>
        </w:rPr>
      </w:pPr>
    </w:p>
    <w:sectPr w:rsidR="00F32FF6" w:rsidRPr="009F45F6" w:rsidSect="006B5953">
      <w:footerReference w:type="even" r:id="rId9"/>
      <w:footerReference w:type="default" r:id="rId10"/>
      <w:pgSz w:w="11906" w:h="16838"/>
      <w:pgMar w:top="993" w:right="1418" w:bottom="113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E1A" w:rsidRDefault="008D6E1A" w:rsidP="00555E78">
      <w:r>
        <w:separator/>
      </w:r>
    </w:p>
  </w:endnote>
  <w:endnote w:type="continuationSeparator" w:id="0">
    <w:p w:rsidR="008D6E1A" w:rsidRDefault="008D6E1A" w:rsidP="0055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9B5" w:rsidRDefault="000459B5" w:rsidP="000459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459B5" w:rsidRDefault="000459B5" w:rsidP="000459B5">
    <w:pPr>
      <w:pStyle w:val="Stopka"/>
      <w:ind w:right="360"/>
    </w:pPr>
  </w:p>
  <w:p w:rsidR="000459B5" w:rsidRDefault="000459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512074"/>
      <w:docPartObj>
        <w:docPartGallery w:val="Page Numbers (Bottom of Page)"/>
        <w:docPartUnique/>
      </w:docPartObj>
    </w:sdtPr>
    <w:sdtEndPr/>
    <w:sdtContent>
      <w:p w:rsidR="000459B5" w:rsidRDefault="000459B5">
        <w:pPr>
          <w:pStyle w:val="Stopka"/>
          <w:jc w:val="right"/>
        </w:pPr>
        <w:r>
          <w:fldChar w:fldCharType="begin"/>
        </w:r>
        <w:r>
          <w:instrText xml:space="preserve"> PAGE   \* MERGEFORMAT </w:instrText>
        </w:r>
        <w:r>
          <w:fldChar w:fldCharType="separate"/>
        </w:r>
        <w:r w:rsidR="003A1D4D">
          <w:rPr>
            <w:noProof/>
          </w:rPr>
          <w:t>3</w:t>
        </w:r>
        <w:r>
          <w:rPr>
            <w:noProof/>
          </w:rPr>
          <w:fldChar w:fldCharType="end"/>
        </w:r>
      </w:p>
    </w:sdtContent>
  </w:sdt>
  <w:p w:rsidR="000459B5" w:rsidRDefault="000459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E1A" w:rsidRDefault="008D6E1A" w:rsidP="00555E78">
      <w:r>
        <w:separator/>
      </w:r>
    </w:p>
  </w:footnote>
  <w:footnote w:type="continuationSeparator" w:id="0">
    <w:p w:rsidR="008D6E1A" w:rsidRDefault="008D6E1A" w:rsidP="00555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DE6"/>
    <w:multiLevelType w:val="hybridMultilevel"/>
    <w:tmpl w:val="A15239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1D0156"/>
    <w:multiLevelType w:val="hybridMultilevel"/>
    <w:tmpl w:val="A15239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2123E0"/>
    <w:multiLevelType w:val="hybridMultilevel"/>
    <w:tmpl w:val="4104A88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06A21"/>
    <w:multiLevelType w:val="hybridMultilevel"/>
    <w:tmpl w:val="E36645A4"/>
    <w:lvl w:ilvl="0" w:tplc="F0DA891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402069"/>
    <w:multiLevelType w:val="hybridMultilevel"/>
    <w:tmpl w:val="A15239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96354C7"/>
    <w:multiLevelType w:val="hybridMultilevel"/>
    <w:tmpl w:val="0B54F3EC"/>
    <w:lvl w:ilvl="0" w:tplc="43604476">
      <w:start w:val="1"/>
      <w:numFmt w:val="decimal"/>
      <w:lvlText w:val="%1."/>
      <w:lvlJc w:val="left"/>
      <w:pPr>
        <w:ind w:left="360" w:hanging="360"/>
      </w:pPr>
      <w:rPr>
        <w:rFonts w:hint="default"/>
        <w:sz w:val="24"/>
        <w:szCs w:val="24"/>
      </w:rPr>
    </w:lvl>
    <w:lvl w:ilvl="1" w:tplc="FDF899F8">
      <w:start w:val="1"/>
      <w:numFmt w:val="decimal"/>
      <w:lvlText w:val="%2."/>
      <w:lvlJc w:val="left"/>
      <w:pPr>
        <w:ind w:left="1080" w:hanging="360"/>
      </w:pPr>
      <w:rPr>
        <w:rFonts w:hint="default"/>
        <w:b w:val="0"/>
        <w:sz w:val="24"/>
        <w:szCs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6892EB7"/>
    <w:multiLevelType w:val="hybridMultilevel"/>
    <w:tmpl w:val="A47EFD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252B12"/>
    <w:multiLevelType w:val="hybridMultilevel"/>
    <w:tmpl w:val="A15239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2670F4B"/>
    <w:multiLevelType w:val="hybridMultilevel"/>
    <w:tmpl w:val="B9F2F410"/>
    <w:lvl w:ilvl="0" w:tplc="CDBC5DE2">
      <w:start w:val="1"/>
      <w:numFmt w:val="decimal"/>
      <w:lvlText w:val="%1."/>
      <w:lvlJc w:val="left"/>
      <w:pPr>
        <w:ind w:left="502" w:hanging="360"/>
      </w:pPr>
      <w:rPr>
        <w:rFonts w:ascii="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9D0F95"/>
    <w:multiLevelType w:val="hybridMultilevel"/>
    <w:tmpl w:val="9A8EC7FC"/>
    <w:lvl w:ilvl="0" w:tplc="BCAE18C4">
      <w:start w:val="1"/>
      <w:numFmt w:val="decimal"/>
      <w:lvlText w:val="%1."/>
      <w:lvlJc w:val="left"/>
      <w:pPr>
        <w:tabs>
          <w:tab w:val="num" w:pos="720"/>
        </w:tabs>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73767A"/>
    <w:multiLevelType w:val="hybridMultilevel"/>
    <w:tmpl w:val="DBCCD8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99D2EAE"/>
    <w:multiLevelType w:val="hybridMultilevel"/>
    <w:tmpl w:val="A15239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7DF2D4D"/>
    <w:multiLevelType w:val="hybridMultilevel"/>
    <w:tmpl w:val="927AC604"/>
    <w:lvl w:ilvl="0" w:tplc="39FE4D3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97D2437"/>
    <w:multiLevelType w:val="hybridMultilevel"/>
    <w:tmpl w:val="A15239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B864F76"/>
    <w:multiLevelType w:val="hybridMultilevel"/>
    <w:tmpl w:val="BE2E5C6C"/>
    <w:lvl w:ilvl="0" w:tplc="D07CB58E">
      <w:numFmt w:val="bullet"/>
      <w:lvlText w:val=""/>
      <w:lvlJc w:val="left"/>
      <w:pPr>
        <w:ind w:left="1920" w:hanging="360"/>
      </w:pPr>
      <w:rPr>
        <w:rFonts w:ascii="Symbol" w:eastAsia="Times New Roman" w:hAnsi="Symbol" w:cs="Times New Roman"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5">
    <w:nsid w:val="3F684647"/>
    <w:multiLevelType w:val="hybridMultilevel"/>
    <w:tmpl w:val="CBB46044"/>
    <w:lvl w:ilvl="0" w:tplc="9142285E">
      <w:start w:val="1"/>
      <w:numFmt w:val="decimal"/>
      <w:lvlText w:val="%1."/>
      <w:lvlJc w:val="left"/>
      <w:pPr>
        <w:tabs>
          <w:tab w:val="num" w:pos="360"/>
        </w:tabs>
        <w:ind w:left="360" w:hanging="360"/>
      </w:pPr>
      <w:rPr>
        <w:rFonts w:ascii="Times New Roman" w:hAnsi="Times New Roman" w:cs="Times New Roman" w:hint="default"/>
        <w:color w:val="auto"/>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0507535"/>
    <w:multiLevelType w:val="hybridMultilevel"/>
    <w:tmpl w:val="53A44198"/>
    <w:lvl w:ilvl="0" w:tplc="0CD6D15C">
      <w:start w:val="1"/>
      <w:numFmt w:val="decimal"/>
      <w:lvlText w:val="%1."/>
      <w:lvlJc w:val="left"/>
      <w:pPr>
        <w:ind w:left="720" w:hanging="360"/>
      </w:pPr>
      <w:rPr>
        <w:b w:val="0"/>
      </w:rPr>
    </w:lvl>
    <w:lvl w:ilvl="1" w:tplc="E3DAD1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013F2C"/>
    <w:multiLevelType w:val="hybridMultilevel"/>
    <w:tmpl w:val="7EE810D8"/>
    <w:lvl w:ilvl="0" w:tplc="B91878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56A7AB0"/>
    <w:multiLevelType w:val="hybridMultilevel"/>
    <w:tmpl w:val="A15239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AD32852"/>
    <w:multiLevelType w:val="hybridMultilevel"/>
    <w:tmpl w:val="F45C04C0"/>
    <w:lvl w:ilvl="0" w:tplc="B91878E4">
      <w:start w:val="1"/>
      <w:numFmt w:val="bullet"/>
      <w:lvlText w:val=""/>
      <w:lvlJc w:val="left"/>
      <w:pPr>
        <w:tabs>
          <w:tab w:val="num" w:pos="360"/>
        </w:tabs>
        <w:ind w:left="360" w:hanging="360"/>
      </w:pPr>
      <w:rPr>
        <w:rFonts w:ascii="Symbol" w:hAnsi="Symbol" w:hint="default"/>
        <w:color w:val="auto"/>
        <w:sz w:val="20"/>
        <w:szCs w:val="20"/>
      </w:rPr>
    </w:lvl>
    <w:lvl w:ilvl="1" w:tplc="B91878E4">
      <w:start w:val="1"/>
      <w:numFmt w:val="bullet"/>
      <w:lvlText w:val=""/>
      <w:lvlJc w:val="left"/>
      <w:pPr>
        <w:tabs>
          <w:tab w:val="num" w:pos="1080"/>
        </w:tabs>
        <w:ind w:left="1080" w:hanging="360"/>
      </w:pPr>
      <w:rPr>
        <w:rFonts w:ascii="Symbol" w:hAnsi="Symbol" w:hint="default"/>
        <w:color w:val="auto"/>
        <w:sz w:val="24"/>
      </w:rPr>
    </w:lvl>
    <w:lvl w:ilvl="2" w:tplc="925A2422">
      <w:start w:val="1"/>
      <w:numFmt w:val="bullet"/>
      <w:lvlText w:val="-"/>
      <w:lvlJc w:val="left"/>
      <w:pPr>
        <w:tabs>
          <w:tab w:val="num" w:pos="1980"/>
        </w:tabs>
        <w:ind w:left="1980" w:hanging="360"/>
      </w:pPr>
      <w:rPr>
        <w:rFonts w:ascii="Arial" w:eastAsia="Times New Roman" w:hAnsi="Arial" w:cs="Arial" w:hint="default"/>
        <w:color w:val="auto"/>
        <w:sz w:val="24"/>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6FC52CD7"/>
    <w:multiLevelType w:val="hybridMultilevel"/>
    <w:tmpl w:val="42FE6FE2"/>
    <w:lvl w:ilvl="0" w:tplc="C28630A4">
      <w:start w:val="1"/>
      <w:numFmt w:val="decimal"/>
      <w:lvlText w:val="%1."/>
      <w:lvlJc w:val="left"/>
      <w:pPr>
        <w:tabs>
          <w:tab w:val="num" w:pos="1068"/>
        </w:tabs>
        <w:ind w:left="1068"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75A22A3A"/>
    <w:multiLevelType w:val="hybridMultilevel"/>
    <w:tmpl w:val="66A2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B136580"/>
    <w:multiLevelType w:val="hybridMultilevel"/>
    <w:tmpl w:val="534878D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6"/>
  </w:num>
  <w:num w:numId="5">
    <w:abstractNumId w:val="5"/>
  </w:num>
  <w:num w:numId="6">
    <w:abstractNumId w:val="9"/>
  </w:num>
  <w:num w:numId="7">
    <w:abstractNumId w:val="3"/>
  </w:num>
  <w:num w:numId="8">
    <w:abstractNumId w:val="16"/>
  </w:num>
  <w:num w:numId="9">
    <w:abstractNumId w:val="0"/>
  </w:num>
  <w:num w:numId="10">
    <w:abstractNumId w:val="7"/>
  </w:num>
  <w:num w:numId="11">
    <w:abstractNumId w:val="13"/>
  </w:num>
  <w:num w:numId="12">
    <w:abstractNumId w:val="11"/>
  </w:num>
  <w:num w:numId="13">
    <w:abstractNumId w:val="4"/>
  </w:num>
  <w:num w:numId="14">
    <w:abstractNumId w:val="18"/>
  </w:num>
  <w:num w:numId="15">
    <w:abstractNumId w:val="12"/>
  </w:num>
  <w:num w:numId="16">
    <w:abstractNumId w:val="1"/>
  </w:num>
  <w:num w:numId="17">
    <w:abstractNumId w:val="19"/>
  </w:num>
  <w:num w:numId="18">
    <w:abstractNumId w:val="15"/>
  </w:num>
  <w:num w:numId="19">
    <w:abstractNumId w:val="17"/>
  </w:num>
  <w:num w:numId="20">
    <w:abstractNumId w:val="2"/>
  </w:num>
  <w:num w:numId="21">
    <w:abstractNumId w:val="8"/>
  </w:num>
  <w:num w:numId="22">
    <w:abstractNumId w:val="10"/>
  </w:num>
  <w:num w:numId="2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78"/>
    <w:rsid w:val="00002DF7"/>
    <w:rsid w:val="00005200"/>
    <w:rsid w:val="00005C0C"/>
    <w:rsid w:val="00006576"/>
    <w:rsid w:val="000106D9"/>
    <w:rsid w:val="000127D6"/>
    <w:rsid w:val="00014A9B"/>
    <w:rsid w:val="00014D64"/>
    <w:rsid w:val="00015B45"/>
    <w:rsid w:val="00016335"/>
    <w:rsid w:val="00020287"/>
    <w:rsid w:val="0002104B"/>
    <w:rsid w:val="00034D31"/>
    <w:rsid w:val="00036F13"/>
    <w:rsid w:val="0004092B"/>
    <w:rsid w:val="00040E69"/>
    <w:rsid w:val="00040FEA"/>
    <w:rsid w:val="000459B5"/>
    <w:rsid w:val="00046D6F"/>
    <w:rsid w:val="0005358E"/>
    <w:rsid w:val="000535C5"/>
    <w:rsid w:val="00057D4E"/>
    <w:rsid w:val="00062EEC"/>
    <w:rsid w:val="00070578"/>
    <w:rsid w:val="00070B72"/>
    <w:rsid w:val="000720FD"/>
    <w:rsid w:val="00072498"/>
    <w:rsid w:val="000725CE"/>
    <w:rsid w:val="000733FF"/>
    <w:rsid w:val="000742C9"/>
    <w:rsid w:val="0007548D"/>
    <w:rsid w:val="0007726F"/>
    <w:rsid w:val="0007778E"/>
    <w:rsid w:val="00081EBE"/>
    <w:rsid w:val="00082A82"/>
    <w:rsid w:val="00082BC3"/>
    <w:rsid w:val="0008640C"/>
    <w:rsid w:val="0009473F"/>
    <w:rsid w:val="00095B22"/>
    <w:rsid w:val="000A0548"/>
    <w:rsid w:val="000A24F2"/>
    <w:rsid w:val="000B0595"/>
    <w:rsid w:val="000B319D"/>
    <w:rsid w:val="000B68F0"/>
    <w:rsid w:val="000B7207"/>
    <w:rsid w:val="000C0C50"/>
    <w:rsid w:val="000C2502"/>
    <w:rsid w:val="000C2F68"/>
    <w:rsid w:val="000C4BE8"/>
    <w:rsid w:val="000C531C"/>
    <w:rsid w:val="000C5543"/>
    <w:rsid w:val="000C55CD"/>
    <w:rsid w:val="000C7096"/>
    <w:rsid w:val="000D0813"/>
    <w:rsid w:val="000D0A66"/>
    <w:rsid w:val="000D5F27"/>
    <w:rsid w:val="000E4A26"/>
    <w:rsid w:val="000F0D80"/>
    <w:rsid w:val="000F2D90"/>
    <w:rsid w:val="000F4F90"/>
    <w:rsid w:val="000F5654"/>
    <w:rsid w:val="001003A3"/>
    <w:rsid w:val="00101EAB"/>
    <w:rsid w:val="0010274A"/>
    <w:rsid w:val="00107F95"/>
    <w:rsid w:val="00111953"/>
    <w:rsid w:val="00114E1D"/>
    <w:rsid w:val="00117302"/>
    <w:rsid w:val="0011751C"/>
    <w:rsid w:val="00117DFD"/>
    <w:rsid w:val="00120E34"/>
    <w:rsid w:val="00124E4E"/>
    <w:rsid w:val="00126BD0"/>
    <w:rsid w:val="001270E5"/>
    <w:rsid w:val="00127D0A"/>
    <w:rsid w:val="00131EE0"/>
    <w:rsid w:val="00143F12"/>
    <w:rsid w:val="001461F9"/>
    <w:rsid w:val="00146A87"/>
    <w:rsid w:val="00150791"/>
    <w:rsid w:val="00151FBB"/>
    <w:rsid w:val="00153246"/>
    <w:rsid w:val="00153DD7"/>
    <w:rsid w:val="0015619D"/>
    <w:rsid w:val="00161F0D"/>
    <w:rsid w:val="001656BF"/>
    <w:rsid w:val="001674F5"/>
    <w:rsid w:val="00171698"/>
    <w:rsid w:val="00174D9F"/>
    <w:rsid w:val="00176313"/>
    <w:rsid w:val="0018670F"/>
    <w:rsid w:val="001879EB"/>
    <w:rsid w:val="00191F9F"/>
    <w:rsid w:val="00197B36"/>
    <w:rsid w:val="00197CE0"/>
    <w:rsid w:val="001A03C6"/>
    <w:rsid w:val="001A2D5B"/>
    <w:rsid w:val="001A5035"/>
    <w:rsid w:val="001A59EF"/>
    <w:rsid w:val="001B0F56"/>
    <w:rsid w:val="001B5939"/>
    <w:rsid w:val="001B6301"/>
    <w:rsid w:val="001B6603"/>
    <w:rsid w:val="001D021F"/>
    <w:rsid w:val="001D1130"/>
    <w:rsid w:val="001D332C"/>
    <w:rsid w:val="001D55CE"/>
    <w:rsid w:val="001D574C"/>
    <w:rsid w:val="001D6AEE"/>
    <w:rsid w:val="001D6FCB"/>
    <w:rsid w:val="001D7650"/>
    <w:rsid w:val="001E05CA"/>
    <w:rsid w:val="001E10B2"/>
    <w:rsid w:val="001E1EFA"/>
    <w:rsid w:val="001F11BA"/>
    <w:rsid w:val="001F12C3"/>
    <w:rsid w:val="001F1D36"/>
    <w:rsid w:val="001F3CDC"/>
    <w:rsid w:val="002033C3"/>
    <w:rsid w:val="00203571"/>
    <w:rsid w:val="00204338"/>
    <w:rsid w:val="002126D6"/>
    <w:rsid w:val="002147DC"/>
    <w:rsid w:val="00216A4F"/>
    <w:rsid w:val="00217905"/>
    <w:rsid w:val="0022244F"/>
    <w:rsid w:val="0022279C"/>
    <w:rsid w:val="00224664"/>
    <w:rsid w:val="0022498E"/>
    <w:rsid w:val="002273D3"/>
    <w:rsid w:val="00235209"/>
    <w:rsid w:val="0024633E"/>
    <w:rsid w:val="00251D85"/>
    <w:rsid w:val="00253240"/>
    <w:rsid w:val="00260C09"/>
    <w:rsid w:val="00275FD8"/>
    <w:rsid w:val="00277E1A"/>
    <w:rsid w:val="0028120F"/>
    <w:rsid w:val="0028262E"/>
    <w:rsid w:val="00283550"/>
    <w:rsid w:val="00283F86"/>
    <w:rsid w:val="0029097A"/>
    <w:rsid w:val="0029155B"/>
    <w:rsid w:val="00293049"/>
    <w:rsid w:val="002A1E05"/>
    <w:rsid w:val="002A3B9C"/>
    <w:rsid w:val="002A461F"/>
    <w:rsid w:val="002A5723"/>
    <w:rsid w:val="002A65AC"/>
    <w:rsid w:val="002A6C42"/>
    <w:rsid w:val="002C1FFB"/>
    <w:rsid w:val="002C26EE"/>
    <w:rsid w:val="002C5D94"/>
    <w:rsid w:val="002C7DE9"/>
    <w:rsid w:val="002D0248"/>
    <w:rsid w:val="002D2D30"/>
    <w:rsid w:val="002D4181"/>
    <w:rsid w:val="002D63F8"/>
    <w:rsid w:val="002E799B"/>
    <w:rsid w:val="002F57EA"/>
    <w:rsid w:val="002F7FC2"/>
    <w:rsid w:val="00302667"/>
    <w:rsid w:val="00306A72"/>
    <w:rsid w:val="00306EE0"/>
    <w:rsid w:val="003074B1"/>
    <w:rsid w:val="00307C4B"/>
    <w:rsid w:val="0031081F"/>
    <w:rsid w:val="003113EB"/>
    <w:rsid w:val="003208C3"/>
    <w:rsid w:val="0032598E"/>
    <w:rsid w:val="00327401"/>
    <w:rsid w:val="00330D67"/>
    <w:rsid w:val="0033259A"/>
    <w:rsid w:val="00335E9F"/>
    <w:rsid w:val="0033601C"/>
    <w:rsid w:val="0033703B"/>
    <w:rsid w:val="00345779"/>
    <w:rsid w:val="00347DDC"/>
    <w:rsid w:val="00351203"/>
    <w:rsid w:val="00355F8B"/>
    <w:rsid w:val="00360080"/>
    <w:rsid w:val="00361A8B"/>
    <w:rsid w:val="0036320C"/>
    <w:rsid w:val="00365CDF"/>
    <w:rsid w:val="00371287"/>
    <w:rsid w:val="0037189A"/>
    <w:rsid w:val="003722A1"/>
    <w:rsid w:val="00373E07"/>
    <w:rsid w:val="00374E5E"/>
    <w:rsid w:val="003824E1"/>
    <w:rsid w:val="00382530"/>
    <w:rsid w:val="00390F1B"/>
    <w:rsid w:val="00391FBA"/>
    <w:rsid w:val="00391FC3"/>
    <w:rsid w:val="003943E3"/>
    <w:rsid w:val="003A1D4D"/>
    <w:rsid w:val="003A4050"/>
    <w:rsid w:val="003A7B3F"/>
    <w:rsid w:val="003B2E54"/>
    <w:rsid w:val="003C20A4"/>
    <w:rsid w:val="003C76F2"/>
    <w:rsid w:val="003D0055"/>
    <w:rsid w:val="003D19C1"/>
    <w:rsid w:val="003D2C89"/>
    <w:rsid w:val="003E223E"/>
    <w:rsid w:val="003E3F7A"/>
    <w:rsid w:val="003F316A"/>
    <w:rsid w:val="003F4926"/>
    <w:rsid w:val="003F7503"/>
    <w:rsid w:val="004023A0"/>
    <w:rsid w:val="00403DAF"/>
    <w:rsid w:val="00410FF0"/>
    <w:rsid w:val="0041579F"/>
    <w:rsid w:val="00416200"/>
    <w:rsid w:val="00420DFF"/>
    <w:rsid w:val="004216E9"/>
    <w:rsid w:val="004242B2"/>
    <w:rsid w:val="0042584D"/>
    <w:rsid w:val="00425FE5"/>
    <w:rsid w:val="00433653"/>
    <w:rsid w:val="004336CF"/>
    <w:rsid w:val="00433C53"/>
    <w:rsid w:val="00440A40"/>
    <w:rsid w:val="00441720"/>
    <w:rsid w:val="004425F8"/>
    <w:rsid w:val="0044361D"/>
    <w:rsid w:val="00467718"/>
    <w:rsid w:val="00471C2B"/>
    <w:rsid w:val="004738F7"/>
    <w:rsid w:val="004748AA"/>
    <w:rsid w:val="00474BC4"/>
    <w:rsid w:val="00474CBA"/>
    <w:rsid w:val="00476065"/>
    <w:rsid w:val="00496474"/>
    <w:rsid w:val="004978B0"/>
    <w:rsid w:val="004A0BB1"/>
    <w:rsid w:val="004A17EA"/>
    <w:rsid w:val="004A5B31"/>
    <w:rsid w:val="004B0677"/>
    <w:rsid w:val="004B1B65"/>
    <w:rsid w:val="004B1EBB"/>
    <w:rsid w:val="004B5208"/>
    <w:rsid w:val="004C0B42"/>
    <w:rsid w:val="004C16A5"/>
    <w:rsid w:val="004C3215"/>
    <w:rsid w:val="004C40F7"/>
    <w:rsid w:val="004C6A35"/>
    <w:rsid w:val="004D33BA"/>
    <w:rsid w:val="004D525A"/>
    <w:rsid w:val="004D5343"/>
    <w:rsid w:val="004D5421"/>
    <w:rsid w:val="004E11EF"/>
    <w:rsid w:val="004E33D7"/>
    <w:rsid w:val="004E7CF9"/>
    <w:rsid w:val="004E7D16"/>
    <w:rsid w:val="004F2837"/>
    <w:rsid w:val="00500E3E"/>
    <w:rsid w:val="0050348B"/>
    <w:rsid w:val="00503755"/>
    <w:rsid w:val="00503887"/>
    <w:rsid w:val="00506774"/>
    <w:rsid w:val="00507247"/>
    <w:rsid w:val="00510780"/>
    <w:rsid w:val="00512649"/>
    <w:rsid w:val="00514B1B"/>
    <w:rsid w:val="0051564C"/>
    <w:rsid w:val="00517268"/>
    <w:rsid w:val="005177AC"/>
    <w:rsid w:val="00517E79"/>
    <w:rsid w:val="005225B3"/>
    <w:rsid w:val="005347A2"/>
    <w:rsid w:val="005357B6"/>
    <w:rsid w:val="005367A2"/>
    <w:rsid w:val="00537FF4"/>
    <w:rsid w:val="00541538"/>
    <w:rsid w:val="00544592"/>
    <w:rsid w:val="005459CF"/>
    <w:rsid w:val="00551D82"/>
    <w:rsid w:val="00552634"/>
    <w:rsid w:val="00555261"/>
    <w:rsid w:val="00555AD4"/>
    <w:rsid w:val="00555D56"/>
    <w:rsid w:val="00555E78"/>
    <w:rsid w:val="00560975"/>
    <w:rsid w:val="0056471D"/>
    <w:rsid w:val="00564760"/>
    <w:rsid w:val="0057295F"/>
    <w:rsid w:val="0057505C"/>
    <w:rsid w:val="00576191"/>
    <w:rsid w:val="0058054B"/>
    <w:rsid w:val="00580E25"/>
    <w:rsid w:val="00583DDD"/>
    <w:rsid w:val="00586421"/>
    <w:rsid w:val="00586E3A"/>
    <w:rsid w:val="0058724D"/>
    <w:rsid w:val="00587522"/>
    <w:rsid w:val="005933FA"/>
    <w:rsid w:val="005954E5"/>
    <w:rsid w:val="00596822"/>
    <w:rsid w:val="005A223D"/>
    <w:rsid w:val="005A5D2D"/>
    <w:rsid w:val="005B2956"/>
    <w:rsid w:val="005B6789"/>
    <w:rsid w:val="005C3320"/>
    <w:rsid w:val="005C3515"/>
    <w:rsid w:val="005C4227"/>
    <w:rsid w:val="005C47FC"/>
    <w:rsid w:val="005C503B"/>
    <w:rsid w:val="005C6BEA"/>
    <w:rsid w:val="005D307D"/>
    <w:rsid w:val="005E3072"/>
    <w:rsid w:val="005E313F"/>
    <w:rsid w:val="005E4813"/>
    <w:rsid w:val="005E749C"/>
    <w:rsid w:val="005F216D"/>
    <w:rsid w:val="005F2A1A"/>
    <w:rsid w:val="00600170"/>
    <w:rsid w:val="00603CA8"/>
    <w:rsid w:val="00607585"/>
    <w:rsid w:val="00607BD3"/>
    <w:rsid w:val="006114C8"/>
    <w:rsid w:val="00615764"/>
    <w:rsid w:val="00615B65"/>
    <w:rsid w:val="0062593C"/>
    <w:rsid w:val="00630299"/>
    <w:rsid w:val="00631259"/>
    <w:rsid w:val="00632F59"/>
    <w:rsid w:val="006366DB"/>
    <w:rsid w:val="00654A26"/>
    <w:rsid w:val="00656120"/>
    <w:rsid w:val="00657526"/>
    <w:rsid w:val="00657D6C"/>
    <w:rsid w:val="00664BE3"/>
    <w:rsid w:val="0066654A"/>
    <w:rsid w:val="00666D35"/>
    <w:rsid w:val="00670EA1"/>
    <w:rsid w:val="0067445A"/>
    <w:rsid w:val="0067691A"/>
    <w:rsid w:val="00676D0B"/>
    <w:rsid w:val="006875C6"/>
    <w:rsid w:val="0069155F"/>
    <w:rsid w:val="0069664D"/>
    <w:rsid w:val="00696A0C"/>
    <w:rsid w:val="00696B3C"/>
    <w:rsid w:val="006A1F9C"/>
    <w:rsid w:val="006A2B31"/>
    <w:rsid w:val="006A4C31"/>
    <w:rsid w:val="006A74EA"/>
    <w:rsid w:val="006B3809"/>
    <w:rsid w:val="006B3FE7"/>
    <w:rsid w:val="006B4990"/>
    <w:rsid w:val="006B552C"/>
    <w:rsid w:val="006B5953"/>
    <w:rsid w:val="006C080A"/>
    <w:rsid w:val="006C4406"/>
    <w:rsid w:val="006C5288"/>
    <w:rsid w:val="006C667E"/>
    <w:rsid w:val="006C7981"/>
    <w:rsid w:val="006C7C6E"/>
    <w:rsid w:val="006D24CC"/>
    <w:rsid w:val="006D69AF"/>
    <w:rsid w:val="006D6B48"/>
    <w:rsid w:val="006D78D6"/>
    <w:rsid w:val="006E61F6"/>
    <w:rsid w:val="006F003D"/>
    <w:rsid w:val="006F00ED"/>
    <w:rsid w:val="006F0969"/>
    <w:rsid w:val="006F0D02"/>
    <w:rsid w:val="006F557D"/>
    <w:rsid w:val="00702253"/>
    <w:rsid w:val="00705456"/>
    <w:rsid w:val="00706341"/>
    <w:rsid w:val="007102E7"/>
    <w:rsid w:val="00714430"/>
    <w:rsid w:val="0072620A"/>
    <w:rsid w:val="00730695"/>
    <w:rsid w:val="00730F8B"/>
    <w:rsid w:val="0073328C"/>
    <w:rsid w:val="00735509"/>
    <w:rsid w:val="00736810"/>
    <w:rsid w:val="00736F2E"/>
    <w:rsid w:val="00740074"/>
    <w:rsid w:val="00743E9F"/>
    <w:rsid w:val="00744135"/>
    <w:rsid w:val="007444DE"/>
    <w:rsid w:val="00745AB1"/>
    <w:rsid w:val="00751052"/>
    <w:rsid w:val="00751D7A"/>
    <w:rsid w:val="00752349"/>
    <w:rsid w:val="007542B2"/>
    <w:rsid w:val="00755E84"/>
    <w:rsid w:val="00761272"/>
    <w:rsid w:val="00764EDF"/>
    <w:rsid w:val="00765823"/>
    <w:rsid w:val="00765AF1"/>
    <w:rsid w:val="00765B59"/>
    <w:rsid w:val="00765DC2"/>
    <w:rsid w:val="00766903"/>
    <w:rsid w:val="007676E2"/>
    <w:rsid w:val="00770275"/>
    <w:rsid w:val="007708A5"/>
    <w:rsid w:val="00772724"/>
    <w:rsid w:val="00776D01"/>
    <w:rsid w:val="00777D9D"/>
    <w:rsid w:val="0078406C"/>
    <w:rsid w:val="00785C3A"/>
    <w:rsid w:val="0078648F"/>
    <w:rsid w:val="0079092F"/>
    <w:rsid w:val="0079120C"/>
    <w:rsid w:val="00793752"/>
    <w:rsid w:val="00795B0F"/>
    <w:rsid w:val="00797292"/>
    <w:rsid w:val="007A2944"/>
    <w:rsid w:val="007A5F96"/>
    <w:rsid w:val="007A6D80"/>
    <w:rsid w:val="007A6FFC"/>
    <w:rsid w:val="007C07A9"/>
    <w:rsid w:val="007C5A60"/>
    <w:rsid w:val="007C6DAB"/>
    <w:rsid w:val="007C6F42"/>
    <w:rsid w:val="007E236B"/>
    <w:rsid w:val="007E5077"/>
    <w:rsid w:val="007E6ABA"/>
    <w:rsid w:val="007F0C0D"/>
    <w:rsid w:val="007F118B"/>
    <w:rsid w:val="008004AB"/>
    <w:rsid w:val="0080089A"/>
    <w:rsid w:val="00806910"/>
    <w:rsid w:val="00813037"/>
    <w:rsid w:val="008150E7"/>
    <w:rsid w:val="00817BFC"/>
    <w:rsid w:val="00817D99"/>
    <w:rsid w:val="008257B9"/>
    <w:rsid w:val="0082656D"/>
    <w:rsid w:val="008267A1"/>
    <w:rsid w:val="00826C01"/>
    <w:rsid w:val="008300F6"/>
    <w:rsid w:val="00830605"/>
    <w:rsid w:val="00833F37"/>
    <w:rsid w:val="00834300"/>
    <w:rsid w:val="00835017"/>
    <w:rsid w:val="00837716"/>
    <w:rsid w:val="00840E51"/>
    <w:rsid w:val="00841291"/>
    <w:rsid w:val="00842438"/>
    <w:rsid w:val="008424FF"/>
    <w:rsid w:val="00846689"/>
    <w:rsid w:val="0084674E"/>
    <w:rsid w:val="00846C05"/>
    <w:rsid w:val="00847258"/>
    <w:rsid w:val="008479B9"/>
    <w:rsid w:val="0085136C"/>
    <w:rsid w:val="0085464E"/>
    <w:rsid w:val="00854AA6"/>
    <w:rsid w:val="00856E43"/>
    <w:rsid w:val="00857883"/>
    <w:rsid w:val="00861DBA"/>
    <w:rsid w:val="00861E6A"/>
    <w:rsid w:val="0086628C"/>
    <w:rsid w:val="00866D2B"/>
    <w:rsid w:val="00866DAC"/>
    <w:rsid w:val="0087383D"/>
    <w:rsid w:val="008763E4"/>
    <w:rsid w:val="008769A8"/>
    <w:rsid w:val="008904E2"/>
    <w:rsid w:val="0089059F"/>
    <w:rsid w:val="008915F7"/>
    <w:rsid w:val="00892413"/>
    <w:rsid w:val="00893EAD"/>
    <w:rsid w:val="0089508A"/>
    <w:rsid w:val="008950CC"/>
    <w:rsid w:val="008A210B"/>
    <w:rsid w:val="008B2B11"/>
    <w:rsid w:val="008B616F"/>
    <w:rsid w:val="008B617B"/>
    <w:rsid w:val="008C2E3E"/>
    <w:rsid w:val="008C75AA"/>
    <w:rsid w:val="008D0F91"/>
    <w:rsid w:val="008D42E4"/>
    <w:rsid w:val="008D6E1A"/>
    <w:rsid w:val="008E194D"/>
    <w:rsid w:val="008E48EF"/>
    <w:rsid w:val="008E661A"/>
    <w:rsid w:val="008F112F"/>
    <w:rsid w:val="008F236F"/>
    <w:rsid w:val="008F4378"/>
    <w:rsid w:val="008F54CC"/>
    <w:rsid w:val="00903B28"/>
    <w:rsid w:val="00905A95"/>
    <w:rsid w:val="00911ACA"/>
    <w:rsid w:val="00913A14"/>
    <w:rsid w:val="00915211"/>
    <w:rsid w:val="0091565B"/>
    <w:rsid w:val="0091636D"/>
    <w:rsid w:val="00922D24"/>
    <w:rsid w:val="00925414"/>
    <w:rsid w:val="009305D6"/>
    <w:rsid w:val="00930F5C"/>
    <w:rsid w:val="00936A6D"/>
    <w:rsid w:val="009454EA"/>
    <w:rsid w:val="00950C6A"/>
    <w:rsid w:val="009526E7"/>
    <w:rsid w:val="009532AE"/>
    <w:rsid w:val="00954AD9"/>
    <w:rsid w:val="0095533C"/>
    <w:rsid w:val="00956706"/>
    <w:rsid w:val="00960CA9"/>
    <w:rsid w:val="009642F3"/>
    <w:rsid w:val="0096750C"/>
    <w:rsid w:val="00971024"/>
    <w:rsid w:val="00972152"/>
    <w:rsid w:val="00972F9A"/>
    <w:rsid w:val="00982543"/>
    <w:rsid w:val="00982BA3"/>
    <w:rsid w:val="00986442"/>
    <w:rsid w:val="009928A3"/>
    <w:rsid w:val="00992B09"/>
    <w:rsid w:val="009969A7"/>
    <w:rsid w:val="00997B52"/>
    <w:rsid w:val="00997FD9"/>
    <w:rsid w:val="009A662F"/>
    <w:rsid w:val="009A74A2"/>
    <w:rsid w:val="009B1B88"/>
    <w:rsid w:val="009B47EA"/>
    <w:rsid w:val="009B50E5"/>
    <w:rsid w:val="009B5F40"/>
    <w:rsid w:val="009C1DD6"/>
    <w:rsid w:val="009C587F"/>
    <w:rsid w:val="009C591C"/>
    <w:rsid w:val="009C7F4B"/>
    <w:rsid w:val="009D14FF"/>
    <w:rsid w:val="009D7435"/>
    <w:rsid w:val="009E0CAC"/>
    <w:rsid w:val="009E20F7"/>
    <w:rsid w:val="009E42F9"/>
    <w:rsid w:val="009E695C"/>
    <w:rsid w:val="009E7ABE"/>
    <w:rsid w:val="009F24F4"/>
    <w:rsid w:val="009F252C"/>
    <w:rsid w:val="009F45F6"/>
    <w:rsid w:val="009F5344"/>
    <w:rsid w:val="009F7843"/>
    <w:rsid w:val="00A00958"/>
    <w:rsid w:val="00A0281F"/>
    <w:rsid w:val="00A045BC"/>
    <w:rsid w:val="00A051CC"/>
    <w:rsid w:val="00A05CA1"/>
    <w:rsid w:val="00A116A7"/>
    <w:rsid w:val="00A14AA0"/>
    <w:rsid w:val="00A15478"/>
    <w:rsid w:val="00A1612D"/>
    <w:rsid w:val="00A1653A"/>
    <w:rsid w:val="00A1665C"/>
    <w:rsid w:val="00A168A5"/>
    <w:rsid w:val="00A17456"/>
    <w:rsid w:val="00A177AA"/>
    <w:rsid w:val="00A208C0"/>
    <w:rsid w:val="00A260D3"/>
    <w:rsid w:val="00A27DA5"/>
    <w:rsid w:val="00A30D34"/>
    <w:rsid w:val="00A3130B"/>
    <w:rsid w:val="00A315D9"/>
    <w:rsid w:val="00A35403"/>
    <w:rsid w:val="00A41386"/>
    <w:rsid w:val="00A4402B"/>
    <w:rsid w:val="00A443AD"/>
    <w:rsid w:val="00A46BB0"/>
    <w:rsid w:val="00A47B66"/>
    <w:rsid w:val="00A510DE"/>
    <w:rsid w:val="00A51A86"/>
    <w:rsid w:val="00A526DA"/>
    <w:rsid w:val="00A52F88"/>
    <w:rsid w:val="00A53291"/>
    <w:rsid w:val="00A55F3A"/>
    <w:rsid w:val="00A56BEF"/>
    <w:rsid w:val="00A579BE"/>
    <w:rsid w:val="00A60E11"/>
    <w:rsid w:val="00A66DD8"/>
    <w:rsid w:val="00A70640"/>
    <w:rsid w:val="00A73515"/>
    <w:rsid w:val="00A73CF1"/>
    <w:rsid w:val="00A75ECA"/>
    <w:rsid w:val="00A803DD"/>
    <w:rsid w:val="00A81426"/>
    <w:rsid w:val="00A83192"/>
    <w:rsid w:val="00A87DA3"/>
    <w:rsid w:val="00A87DFE"/>
    <w:rsid w:val="00A96149"/>
    <w:rsid w:val="00A9776F"/>
    <w:rsid w:val="00AA039D"/>
    <w:rsid w:val="00AA1E60"/>
    <w:rsid w:val="00AA25B1"/>
    <w:rsid w:val="00AA45F3"/>
    <w:rsid w:val="00AA56B1"/>
    <w:rsid w:val="00AB087B"/>
    <w:rsid w:val="00AB1955"/>
    <w:rsid w:val="00AB2895"/>
    <w:rsid w:val="00AB3FCE"/>
    <w:rsid w:val="00AB51C1"/>
    <w:rsid w:val="00AC4440"/>
    <w:rsid w:val="00AD1C44"/>
    <w:rsid w:val="00AD3074"/>
    <w:rsid w:val="00AE7EB1"/>
    <w:rsid w:val="00AF0839"/>
    <w:rsid w:val="00AF284A"/>
    <w:rsid w:val="00AF3C07"/>
    <w:rsid w:val="00AF7470"/>
    <w:rsid w:val="00B045C6"/>
    <w:rsid w:val="00B05244"/>
    <w:rsid w:val="00B05EA8"/>
    <w:rsid w:val="00B065C1"/>
    <w:rsid w:val="00B113FE"/>
    <w:rsid w:val="00B13594"/>
    <w:rsid w:val="00B13D46"/>
    <w:rsid w:val="00B15D4D"/>
    <w:rsid w:val="00B2094A"/>
    <w:rsid w:val="00B21958"/>
    <w:rsid w:val="00B21D90"/>
    <w:rsid w:val="00B22B95"/>
    <w:rsid w:val="00B2666E"/>
    <w:rsid w:val="00B33B7E"/>
    <w:rsid w:val="00B41EA7"/>
    <w:rsid w:val="00B43B01"/>
    <w:rsid w:val="00B507BD"/>
    <w:rsid w:val="00B55A59"/>
    <w:rsid w:val="00B63280"/>
    <w:rsid w:val="00B6469F"/>
    <w:rsid w:val="00B65CA4"/>
    <w:rsid w:val="00B662FD"/>
    <w:rsid w:val="00B72683"/>
    <w:rsid w:val="00B729DA"/>
    <w:rsid w:val="00B7647E"/>
    <w:rsid w:val="00B7692D"/>
    <w:rsid w:val="00B77224"/>
    <w:rsid w:val="00B7760A"/>
    <w:rsid w:val="00B90438"/>
    <w:rsid w:val="00B913FB"/>
    <w:rsid w:val="00B9313A"/>
    <w:rsid w:val="00B94C85"/>
    <w:rsid w:val="00B962AF"/>
    <w:rsid w:val="00B976DE"/>
    <w:rsid w:val="00BA3659"/>
    <w:rsid w:val="00BA665C"/>
    <w:rsid w:val="00BA71C4"/>
    <w:rsid w:val="00BA7ECA"/>
    <w:rsid w:val="00BA7F35"/>
    <w:rsid w:val="00BB0E17"/>
    <w:rsid w:val="00BB217A"/>
    <w:rsid w:val="00BB6C44"/>
    <w:rsid w:val="00BC1FD3"/>
    <w:rsid w:val="00BD11AF"/>
    <w:rsid w:val="00BE087B"/>
    <w:rsid w:val="00BE2664"/>
    <w:rsid w:val="00BE6B8C"/>
    <w:rsid w:val="00BF5A27"/>
    <w:rsid w:val="00C005FA"/>
    <w:rsid w:val="00C015FD"/>
    <w:rsid w:val="00C071DA"/>
    <w:rsid w:val="00C10183"/>
    <w:rsid w:val="00C10739"/>
    <w:rsid w:val="00C11E6A"/>
    <w:rsid w:val="00C21742"/>
    <w:rsid w:val="00C220B7"/>
    <w:rsid w:val="00C23731"/>
    <w:rsid w:val="00C257DF"/>
    <w:rsid w:val="00C265DC"/>
    <w:rsid w:val="00C27D92"/>
    <w:rsid w:val="00C32590"/>
    <w:rsid w:val="00C32CA5"/>
    <w:rsid w:val="00C33380"/>
    <w:rsid w:val="00C37AFD"/>
    <w:rsid w:val="00C51AEB"/>
    <w:rsid w:val="00C60A3E"/>
    <w:rsid w:val="00C61E00"/>
    <w:rsid w:val="00C62022"/>
    <w:rsid w:val="00C71C6D"/>
    <w:rsid w:val="00C7267A"/>
    <w:rsid w:val="00C7392D"/>
    <w:rsid w:val="00C81053"/>
    <w:rsid w:val="00C84D18"/>
    <w:rsid w:val="00C85EAA"/>
    <w:rsid w:val="00C92308"/>
    <w:rsid w:val="00C93D68"/>
    <w:rsid w:val="00C94E76"/>
    <w:rsid w:val="00CA0934"/>
    <w:rsid w:val="00CA74F9"/>
    <w:rsid w:val="00CA7D35"/>
    <w:rsid w:val="00CB123B"/>
    <w:rsid w:val="00CB4CE3"/>
    <w:rsid w:val="00CB661A"/>
    <w:rsid w:val="00CB6B9F"/>
    <w:rsid w:val="00CC0219"/>
    <w:rsid w:val="00CC0C26"/>
    <w:rsid w:val="00CC1635"/>
    <w:rsid w:val="00CC1DE9"/>
    <w:rsid w:val="00CC2853"/>
    <w:rsid w:val="00CC470F"/>
    <w:rsid w:val="00CD0898"/>
    <w:rsid w:val="00CD7235"/>
    <w:rsid w:val="00CD7ADE"/>
    <w:rsid w:val="00CE1637"/>
    <w:rsid w:val="00CE249E"/>
    <w:rsid w:val="00CE5343"/>
    <w:rsid w:val="00CE7BC5"/>
    <w:rsid w:val="00CF4FA8"/>
    <w:rsid w:val="00D03DB3"/>
    <w:rsid w:val="00D04E32"/>
    <w:rsid w:val="00D052AA"/>
    <w:rsid w:val="00D1030F"/>
    <w:rsid w:val="00D1207B"/>
    <w:rsid w:val="00D142A7"/>
    <w:rsid w:val="00D1444B"/>
    <w:rsid w:val="00D20BD4"/>
    <w:rsid w:val="00D229A8"/>
    <w:rsid w:val="00D22BA6"/>
    <w:rsid w:val="00D235D5"/>
    <w:rsid w:val="00D32558"/>
    <w:rsid w:val="00D33933"/>
    <w:rsid w:val="00D34545"/>
    <w:rsid w:val="00D40862"/>
    <w:rsid w:val="00D40B44"/>
    <w:rsid w:val="00D46A17"/>
    <w:rsid w:val="00D47B21"/>
    <w:rsid w:val="00D47E4F"/>
    <w:rsid w:val="00D53EC5"/>
    <w:rsid w:val="00D555AE"/>
    <w:rsid w:val="00D564DB"/>
    <w:rsid w:val="00D602C4"/>
    <w:rsid w:val="00D62352"/>
    <w:rsid w:val="00D6462C"/>
    <w:rsid w:val="00D64C22"/>
    <w:rsid w:val="00D72B36"/>
    <w:rsid w:val="00D75FB8"/>
    <w:rsid w:val="00D8194A"/>
    <w:rsid w:val="00D83639"/>
    <w:rsid w:val="00D84A79"/>
    <w:rsid w:val="00D915E2"/>
    <w:rsid w:val="00D92AAC"/>
    <w:rsid w:val="00D942DA"/>
    <w:rsid w:val="00D95B4E"/>
    <w:rsid w:val="00DA1377"/>
    <w:rsid w:val="00DA4AA8"/>
    <w:rsid w:val="00DA72E3"/>
    <w:rsid w:val="00DB02BB"/>
    <w:rsid w:val="00DB170D"/>
    <w:rsid w:val="00DB3988"/>
    <w:rsid w:val="00DB4D6B"/>
    <w:rsid w:val="00DB4E63"/>
    <w:rsid w:val="00DB5B13"/>
    <w:rsid w:val="00DB6070"/>
    <w:rsid w:val="00DB7EE9"/>
    <w:rsid w:val="00DC05EE"/>
    <w:rsid w:val="00DC4443"/>
    <w:rsid w:val="00DC569D"/>
    <w:rsid w:val="00DD1D77"/>
    <w:rsid w:val="00DD49B9"/>
    <w:rsid w:val="00DD5819"/>
    <w:rsid w:val="00DE6B3B"/>
    <w:rsid w:val="00DF21E2"/>
    <w:rsid w:val="00DF68BD"/>
    <w:rsid w:val="00E000B6"/>
    <w:rsid w:val="00E00BC9"/>
    <w:rsid w:val="00E07319"/>
    <w:rsid w:val="00E1080C"/>
    <w:rsid w:val="00E1348C"/>
    <w:rsid w:val="00E15E7F"/>
    <w:rsid w:val="00E16D68"/>
    <w:rsid w:val="00E26176"/>
    <w:rsid w:val="00E3040C"/>
    <w:rsid w:val="00E325F7"/>
    <w:rsid w:val="00E326EB"/>
    <w:rsid w:val="00E42905"/>
    <w:rsid w:val="00E478E5"/>
    <w:rsid w:val="00E5186F"/>
    <w:rsid w:val="00E53A6D"/>
    <w:rsid w:val="00E53B61"/>
    <w:rsid w:val="00E60C52"/>
    <w:rsid w:val="00E62204"/>
    <w:rsid w:val="00E6732A"/>
    <w:rsid w:val="00E7048D"/>
    <w:rsid w:val="00E70512"/>
    <w:rsid w:val="00E77BE3"/>
    <w:rsid w:val="00E80131"/>
    <w:rsid w:val="00E80C2C"/>
    <w:rsid w:val="00E80E46"/>
    <w:rsid w:val="00E81500"/>
    <w:rsid w:val="00E86092"/>
    <w:rsid w:val="00E87B7E"/>
    <w:rsid w:val="00E934A3"/>
    <w:rsid w:val="00E9584C"/>
    <w:rsid w:val="00EA21B9"/>
    <w:rsid w:val="00EA5BAC"/>
    <w:rsid w:val="00EB082A"/>
    <w:rsid w:val="00EB3009"/>
    <w:rsid w:val="00EB79CC"/>
    <w:rsid w:val="00EC1FD8"/>
    <w:rsid w:val="00EC5A03"/>
    <w:rsid w:val="00EC7D11"/>
    <w:rsid w:val="00EE08C9"/>
    <w:rsid w:val="00EE48BC"/>
    <w:rsid w:val="00EF0147"/>
    <w:rsid w:val="00EF5576"/>
    <w:rsid w:val="00EF7F90"/>
    <w:rsid w:val="00F0006C"/>
    <w:rsid w:val="00F01B01"/>
    <w:rsid w:val="00F02353"/>
    <w:rsid w:val="00F0265F"/>
    <w:rsid w:val="00F05AEA"/>
    <w:rsid w:val="00F07A26"/>
    <w:rsid w:val="00F15B95"/>
    <w:rsid w:val="00F169A6"/>
    <w:rsid w:val="00F26531"/>
    <w:rsid w:val="00F26ECB"/>
    <w:rsid w:val="00F324B2"/>
    <w:rsid w:val="00F32FF6"/>
    <w:rsid w:val="00F36618"/>
    <w:rsid w:val="00F37FEB"/>
    <w:rsid w:val="00F445CF"/>
    <w:rsid w:val="00F44B28"/>
    <w:rsid w:val="00F54E07"/>
    <w:rsid w:val="00F577E1"/>
    <w:rsid w:val="00F601B6"/>
    <w:rsid w:val="00F602EB"/>
    <w:rsid w:val="00F61D72"/>
    <w:rsid w:val="00F62D5C"/>
    <w:rsid w:val="00F640A1"/>
    <w:rsid w:val="00F6410D"/>
    <w:rsid w:val="00F64A92"/>
    <w:rsid w:val="00F655AB"/>
    <w:rsid w:val="00F70505"/>
    <w:rsid w:val="00F706DB"/>
    <w:rsid w:val="00F714B9"/>
    <w:rsid w:val="00F73DCB"/>
    <w:rsid w:val="00F741BE"/>
    <w:rsid w:val="00F86C92"/>
    <w:rsid w:val="00F912FC"/>
    <w:rsid w:val="00F91CA1"/>
    <w:rsid w:val="00F92FCC"/>
    <w:rsid w:val="00FA2BD4"/>
    <w:rsid w:val="00FA6B04"/>
    <w:rsid w:val="00FA6BDB"/>
    <w:rsid w:val="00FB03BB"/>
    <w:rsid w:val="00FC7125"/>
    <w:rsid w:val="00FD4948"/>
    <w:rsid w:val="00FD7591"/>
    <w:rsid w:val="00FE1221"/>
    <w:rsid w:val="00FE22C2"/>
    <w:rsid w:val="00FE2AB0"/>
    <w:rsid w:val="00FE7282"/>
    <w:rsid w:val="00FE7B91"/>
    <w:rsid w:val="00FF0AC1"/>
    <w:rsid w:val="00FF1F5F"/>
    <w:rsid w:val="00FF3D81"/>
    <w:rsid w:val="00FF6665"/>
    <w:rsid w:val="00FF70E1"/>
    <w:rsid w:val="00FF7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5E78"/>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555E78"/>
    <w:pPr>
      <w:keepNext/>
      <w:jc w:val="center"/>
      <w:outlineLvl w:val="0"/>
    </w:pPr>
    <w:rPr>
      <w:sz w:val="24"/>
    </w:rPr>
  </w:style>
  <w:style w:type="paragraph" w:styleId="Nagwek2">
    <w:name w:val="heading 2"/>
    <w:basedOn w:val="Normalny"/>
    <w:next w:val="Normalny"/>
    <w:link w:val="Nagwek2Znak"/>
    <w:uiPriority w:val="9"/>
    <w:unhideWhenUsed/>
    <w:qFormat/>
    <w:rsid w:val="00D20B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555E78"/>
    <w:pPr>
      <w:keepNext/>
      <w:jc w:val="both"/>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
    <w:rsid w:val="00555E78"/>
    <w:rPr>
      <w:rFonts w:asciiTheme="majorHAnsi" w:eastAsiaTheme="majorEastAsia" w:hAnsiTheme="majorHAnsi" w:cstheme="majorBidi"/>
      <w:b/>
      <w:bCs/>
      <w:color w:val="365F91" w:themeColor="accent1" w:themeShade="BF"/>
      <w:sz w:val="28"/>
      <w:szCs w:val="28"/>
      <w:lang w:eastAsia="pl-PL"/>
    </w:rPr>
  </w:style>
  <w:style w:type="character" w:customStyle="1" w:styleId="Nagwek3Znak">
    <w:name w:val="Nagłówek 3 Znak"/>
    <w:basedOn w:val="Domylnaczcionkaakapitu"/>
    <w:link w:val="Nagwek3"/>
    <w:rsid w:val="00555E78"/>
    <w:rPr>
      <w:rFonts w:ascii="Times New Roman" w:eastAsia="Times New Roman" w:hAnsi="Times New Roman" w:cs="Times New Roman"/>
      <w:sz w:val="24"/>
      <w:szCs w:val="20"/>
      <w:lang w:eastAsia="pl-PL"/>
    </w:rPr>
  </w:style>
  <w:style w:type="character" w:customStyle="1" w:styleId="Nagwek1Znak1">
    <w:name w:val="Nagłówek 1 Znak1"/>
    <w:aliases w:val="H1 Znak Znak,h1 Znak Znak,II+ Znak Znak,I Znak Znak,Kurstitel Znak Znak,1 ghost Znak Znak,g Znak Znak,ghost Znak Znak,1 h3 Znak Znak,Capitolo Znak Znak,H11 Znak Znak,H12 Znak Znak,H13 Znak Znak,H14 Znak Znak,H15 Znak Znak,H16 Znak Znak"/>
    <w:link w:val="Nagwek1"/>
    <w:locked/>
    <w:rsid w:val="00555E78"/>
    <w:rPr>
      <w:rFonts w:ascii="Times New Roman" w:eastAsia="Times New Roman" w:hAnsi="Times New Roman" w:cs="Times New Roman"/>
      <w:sz w:val="24"/>
      <w:szCs w:val="20"/>
    </w:rPr>
  </w:style>
  <w:style w:type="paragraph" w:styleId="Tekstprzypisudolnego">
    <w:name w:val="footnote text"/>
    <w:basedOn w:val="Normalny"/>
    <w:link w:val="TekstprzypisudolnegoZnak"/>
    <w:unhideWhenUsed/>
    <w:rsid w:val="00555E78"/>
  </w:style>
  <w:style w:type="character" w:customStyle="1" w:styleId="TekstprzypisudolnegoZnak">
    <w:name w:val="Tekst przypisu dolnego Znak"/>
    <w:basedOn w:val="Domylnaczcionkaakapitu"/>
    <w:link w:val="Tekstprzypisudolnego"/>
    <w:rsid w:val="00555E78"/>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nhideWhenUsed/>
    <w:rsid w:val="00555E78"/>
    <w:pPr>
      <w:jc w:val="both"/>
    </w:pPr>
    <w:rPr>
      <w:sz w:val="24"/>
    </w:rPr>
  </w:style>
  <w:style w:type="character" w:customStyle="1" w:styleId="TekstpodstawowywcityZnak">
    <w:name w:val="Tekst podstawowy wcięty Znak"/>
    <w:basedOn w:val="Domylnaczcionkaakapitu"/>
    <w:link w:val="Tekstpodstawowywcity"/>
    <w:rsid w:val="00555E78"/>
    <w:rPr>
      <w:rFonts w:ascii="Times New Roman" w:eastAsia="Times New Roman" w:hAnsi="Times New Roman" w:cs="Times New Roman"/>
      <w:sz w:val="24"/>
      <w:szCs w:val="20"/>
    </w:rPr>
  </w:style>
  <w:style w:type="paragraph" w:styleId="Tekstpodstawowywcity2">
    <w:name w:val="Body Text Indent 2"/>
    <w:basedOn w:val="Normalny"/>
    <w:link w:val="Tekstpodstawowywcity2Znak"/>
    <w:unhideWhenUsed/>
    <w:rsid w:val="00555E78"/>
    <w:pPr>
      <w:spacing w:after="120" w:line="480" w:lineRule="auto"/>
      <w:ind w:left="283"/>
    </w:pPr>
  </w:style>
  <w:style w:type="character" w:customStyle="1" w:styleId="Tekstpodstawowywcity2Znak">
    <w:name w:val="Tekst podstawowy wcięty 2 Znak"/>
    <w:basedOn w:val="Domylnaczcionkaakapitu"/>
    <w:link w:val="Tekstpodstawowywcity2"/>
    <w:rsid w:val="00555E78"/>
    <w:rPr>
      <w:rFonts w:ascii="Times New Roman" w:eastAsia="Times New Roman" w:hAnsi="Times New Roman" w:cs="Times New Roman"/>
      <w:sz w:val="20"/>
      <w:szCs w:val="20"/>
      <w:lang w:eastAsia="pl-PL"/>
    </w:rPr>
  </w:style>
  <w:style w:type="paragraph" w:customStyle="1" w:styleId="BodyText21">
    <w:name w:val="Body Text 21"/>
    <w:basedOn w:val="Normalny"/>
    <w:uiPriority w:val="99"/>
    <w:rsid w:val="00555E78"/>
    <w:pPr>
      <w:spacing w:line="360" w:lineRule="auto"/>
    </w:pPr>
    <w:rPr>
      <w:sz w:val="24"/>
    </w:rPr>
  </w:style>
  <w:style w:type="character" w:styleId="Odwoanieprzypisudolnego">
    <w:name w:val="footnote reference"/>
    <w:unhideWhenUsed/>
    <w:qFormat/>
    <w:rsid w:val="00555E78"/>
    <w:rPr>
      <w:vertAlign w:val="superscript"/>
    </w:rPr>
  </w:style>
  <w:style w:type="paragraph" w:styleId="Akapitzlist">
    <w:name w:val="List Paragraph"/>
    <w:basedOn w:val="Normalny"/>
    <w:uiPriority w:val="34"/>
    <w:qFormat/>
    <w:rsid w:val="00A73515"/>
    <w:pPr>
      <w:ind w:left="720"/>
      <w:contextualSpacing/>
    </w:pPr>
  </w:style>
  <w:style w:type="table" w:styleId="Tabela-Siatka">
    <w:name w:val="Table Grid"/>
    <w:basedOn w:val="Standardowy"/>
    <w:rsid w:val="00A735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16200"/>
    <w:rPr>
      <w:sz w:val="16"/>
      <w:szCs w:val="16"/>
    </w:rPr>
  </w:style>
  <w:style w:type="paragraph" w:styleId="Tekstkomentarza">
    <w:name w:val="annotation text"/>
    <w:basedOn w:val="Normalny"/>
    <w:link w:val="TekstkomentarzaZnak"/>
    <w:uiPriority w:val="99"/>
    <w:semiHidden/>
    <w:unhideWhenUsed/>
    <w:rsid w:val="00416200"/>
  </w:style>
  <w:style w:type="character" w:customStyle="1" w:styleId="TekstkomentarzaZnak">
    <w:name w:val="Tekst komentarza Znak"/>
    <w:basedOn w:val="Domylnaczcionkaakapitu"/>
    <w:link w:val="Tekstkomentarza"/>
    <w:uiPriority w:val="99"/>
    <w:semiHidden/>
    <w:rsid w:val="0041620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16200"/>
    <w:rPr>
      <w:b/>
      <w:bCs/>
    </w:rPr>
  </w:style>
  <w:style w:type="character" w:customStyle="1" w:styleId="TematkomentarzaZnak">
    <w:name w:val="Temat komentarza Znak"/>
    <w:basedOn w:val="TekstkomentarzaZnak"/>
    <w:link w:val="Tematkomentarza"/>
    <w:uiPriority w:val="99"/>
    <w:semiHidden/>
    <w:rsid w:val="0041620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416200"/>
    <w:rPr>
      <w:rFonts w:ascii="Tahoma" w:hAnsi="Tahoma" w:cs="Tahoma"/>
      <w:sz w:val="16"/>
      <w:szCs w:val="16"/>
    </w:rPr>
  </w:style>
  <w:style w:type="character" w:customStyle="1" w:styleId="TekstdymkaZnak">
    <w:name w:val="Tekst dymka Znak"/>
    <w:basedOn w:val="Domylnaczcionkaakapitu"/>
    <w:link w:val="Tekstdymka"/>
    <w:uiPriority w:val="99"/>
    <w:semiHidden/>
    <w:rsid w:val="00416200"/>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6D78D6"/>
    <w:pPr>
      <w:spacing w:after="120"/>
    </w:pPr>
  </w:style>
  <w:style w:type="character" w:customStyle="1" w:styleId="TekstpodstawowyZnak">
    <w:name w:val="Tekst podstawowy Znak"/>
    <w:basedOn w:val="Domylnaczcionkaakapitu"/>
    <w:link w:val="Tekstpodstawowy"/>
    <w:uiPriority w:val="99"/>
    <w:rsid w:val="006D78D6"/>
    <w:rPr>
      <w:rFonts w:ascii="Times New Roman" w:eastAsia="Times New Roman" w:hAnsi="Times New Roman" w:cs="Times New Roman"/>
      <w:sz w:val="20"/>
      <w:szCs w:val="20"/>
      <w:lang w:eastAsia="pl-PL"/>
    </w:rPr>
  </w:style>
  <w:style w:type="character" w:customStyle="1" w:styleId="FontStyle32">
    <w:name w:val="Font Style32"/>
    <w:basedOn w:val="Domylnaczcionkaakapitu"/>
    <w:uiPriority w:val="99"/>
    <w:rsid w:val="006D78D6"/>
    <w:rPr>
      <w:rFonts w:ascii="Times New Roman" w:hAnsi="Times New Roman" w:cs="Times New Roman"/>
      <w:i/>
      <w:iCs/>
      <w:sz w:val="22"/>
      <w:szCs w:val="22"/>
    </w:rPr>
  </w:style>
  <w:style w:type="paragraph" w:customStyle="1" w:styleId="Style13">
    <w:name w:val="Style13"/>
    <w:basedOn w:val="Normalny"/>
    <w:uiPriority w:val="99"/>
    <w:rsid w:val="006D78D6"/>
    <w:pPr>
      <w:widowControl w:val="0"/>
      <w:autoSpaceDE w:val="0"/>
      <w:autoSpaceDN w:val="0"/>
      <w:adjustRightInd w:val="0"/>
      <w:spacing w:line="276" w:lineRule="exact"/>
      <w:ind w:hanging="427"/>
    </w:pPr>
    <w:rPr>
      <w:sz w:val="24"/>
      <w:szCs w:val="24"/>
    </w:rPr>
  </w:style>
  <w:style w:type="character" w:customStyle="1" w:styleId="Nagwek2Znak">
    <w:name w:val="Nagłówek 2 Znak"/>
    <w:basedOn w:val="Domylnaczcionkaakapitu"/>
    <w:link w:val="Nagwek2"/>
    <w:uiPriority w:val="9"/>
    <w:rsid w:val="00D20BD4"/>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semiHidden/>
    <w:unhideWhenUsed/>
    <w:rsid w:val="00D20BD4"/>
    <w:pPr>
      <w:spacing w:after="120"/>
    </w:pPr>
    <w:rPr>
      <w:sz w:val="16"/>
      <w:szCs w:val="16"/>
    </w:rPr>
  </w:style>
  <w:style w:type="character" w:customStyle="1" w:styleId="Tekstpodstawowy3Znak">
    <w:name w:val="Tekst podstawowy 3 Znak"/>
    <w:basedOn w:val="Domylnaczcionkaakapitu"/>
    <w:link w:val="Tekstpodstawowy3"/>
    <w:uiPriority w:val="99"/>
    <w:semiHidden/>
    <w:rsid w:val="00D20BD4"/>
    <w:rPr>
      <w:rFonts w:ascii="Times New Roman" w:eastAsia="Times New Roman" w:hAnsi="Times New Roman" w:cs="Times New Roman"/>
      <w:sz w:val="16"/>
      <w:szCs w:val="16"/>
      <w:lang w:eastAsia="pl-PL"/>
    </w:rPr>
  </w:style>
  <w:style w:type="character" w:styleId="Numerstrony">
    <w:name w:val="page number"/>
    <w:basedOn w:val="Domylnaczcionkaakapitu"/>
    <w:rsid w:val="00D20BD4"/>
    <w:rPr>
      <w:rFonts w:cs="Times New Roman"/>
    </w:rPr>
  </w:style>
  <w:style w:type="paragraph" w:customStyle="1" w:styleId="Tekstpodstawowy21">
    <w:name w:val="Tekst podstawowy 21"/>
    <w:basedOn w:val="Normalny"/>
    <w:rsid w:val="00D20BD4"/>
    <w:pPr>
      <w:jc w:val="both"/>
    </w:pPr>
    <w:rPr>
      <w:b/>
      <w:sz w:val="24"/>
    </w:rPr>
  </w:style>
  <w:style w:type="paragraph" w:styleId="Stopka">
    <w:name w:val="footer"/>
    <w:basedOn w:val="Normalny"/>
    <w:link w:val="StopkaZnak"/>
    <w:uiPriority w:val="99"/>
    <w:rsid w:val="00D20BD4"/>
    <w:pPr>
      <w:tabs>
        <w:tab w:val="center" w:pos="4536"/>
        <w:tab w:val="right" w:pos="9072"/>
      </w:tabs>
    </w:pPr>
    <w:rPr>
      <w:sz w:val="24"/>
    </w:rPr>
  </w:style>
  <w:style w:type="character" w:customStyle="1" w:styleId="StopkaZnak">
    <w:name w:val="Stopka Znak"/>
    <w:basedOn w:val="Domylnaczcionkaakapitu"/>
    <w:link w:val="Stopka"/>
    <w:uiPriority w:val="99"/>
    <w:rsid w:val="00D20BD4"/>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355F8B"/>
    <w:pPr>
      <w:tabs>
        <w:tab w:val="center" w:pos="4536"/>
        <w:tab w:val="right" w:pos="9072"/>
      </w:tabs>
    </w:pPr>
  </w:style>
  <w:style w:type="character" w:customStyle="1" w:styleId="NagwekZnak">
    <w:name w:val="Nagłówek Znak"/>
    <w:basedOn w:val="Domylnaczcionkaakapitu"/>
    <w:link w:val="Nagwek"/>
    <w:uiPriority w:val="99"/>
    <w:rsid w:val="00355F8B"/>
    <w:rPr>
      <w:rFonts w:ascii="Times New Roman" w:eastAsia="Times New Roman" w:hAnsi="Times New Roman" w:cs="Times New Roman"/>
      <w:sz w:val="20"/>
      <w:szCs w:val="20"/>
      <w:lang w:eastAsia="pl-PL"/>
    </w:rPr>
  </w:style>
  <w:style w:type="character" w:customStyle="1" w:styleId="FontStyle52">
    <w:name w:val="Font Style52"/>
    <w:uiPriority w:val="99"/>
    <w:rsid w:val="000C2F68"/>
    <w:rPr>
      <w:rFonts w:ascii="Times New Roman" w:hAnsi="Times New Roman" w:cs="Times New Roman" w:hint="default"/>
      <w:sz w:val="20"/>
      <w:szCs w:val="20"/>
    </w:rPr>
  </w:style>
  <w:style w:type="character" w:styleId="Hipercze">
    <w:name w:val="Hyperlink"/>
    <w:basedOn w:val="Domylnaczcionkaakapitu"/>
    <w:uiPriority w:val="99"/>
    <w:unhideWhenUsed/>
    <w:rsid w:val="00930F5C"/>
    <w:rPr>
      <w:color w:val="0000FF" w:themeColor="hyperlink"/>
      <w:u w:val="single"/>
    </w:rPr>
  </w:style>
  <w:style w:type="character" w:customStyle="1" w:styleId="DeltaViewInsertion">
    <w:name w:val="DeltaView Insertion"/>
    <w:rsid w:val="009F7843"/>
    <w:rPr>
      <w:b/>
      <w:i/>
      <w:spacing w:val="0"/>
    </w:rPr>
  </w:style>
  <w:style w:type="paragraph" w:styleId="NormalnyWeb">
    <w:name w:val="Normal (Web)"/>
    <w:basedOn w:val="Normalny"/>
    <w:uiPriority w:val="99"/>
    <w:unhideWhenUsed/>
    <w:rsid w:val="00E53A6D"/>
    <w:rPr>
      <w:rFonts w:eastAsiaTheme="minorHAnsi"/>
      <w:sz w:val="24"/>
      <w:szCs w:val="24"/>
    </w:rPr>
  </w:style>
  <w:style w:type="table" w:customStyle="1" w:styleId="Tabela-Siatka1">
    <w:name w:val="Tabela - Siatka1"/>
    <w:basedOn w:val="Standardowy"/>
    <w:next w:val="Tabela-Siatka"/>
    <w:rsid w:val="0007778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alny"/>
    <w:uiPriority w:val="99"/>
    <w:rsid w:val="005225B3"/>
    <w:pPr>
      <w:widowControl w:val="0"/>
      <w:autoSpaceDE w:val="0"/>
      <w:autoSpaceDN w:val="0"/>
      <w:adjustRightInd w:val="0"/>
      <w:spacing w:line="259" w:lineRule="exact"/>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5E78"/>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555E78"/>
    <w:pPr>
      <w:keepNext/>
      <w:jc w:val="center"/>
      <w:outlineLvl w:val="0"/>
    </w:pPr>
    <w:rPr>
      <w:sz w:val="24"/>
    </w:rPr>
  </w:style>
  <w:style w:type="paragraph" w:styleId="Nagwek2">
    <w:name w:val="heading 2"/>
    <w:basedOn w:val="Normalny"/>
    <w:next w:val="Normalny"/>
    <w:link w:val="Nagwek2Znak"/>
    <w:uiPriority w:val="9"/>
    <w:unhideWhenUsed/>
    <w:qFormat/>
    <w:rsid w:val="00D20B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555E78"/>
    <w:pPr>
      <w:keepNext/>
      <w:jc w:val="both"/>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
    <w:rsid w:val="00555E78"/>
    <w:rPr>
      <w:rFonts w:asciiTheme="majorHAnsi" w:eastAsiaTheme="majorEastAsia" w:hAnsiTheme="majorHAnsi" w:cstheme="majorBidi"/>
      <w:b/>
      <w:bCs/>
      <w:color w:val="365F91" w:themeColor="accent1" w:themeShade="BF"/>
      <w:sz w:val="28"/>
      <w:szCs w:val="28"/>
      <w:lang w:eastAsia="pl-PL"/>
    </w:rPr>
  </w:style>
  <w:style w:type="character" w:customStyle="1" w:styleId="Nagwek3Znak">
    <w:name w:val="Nagłówek 3 Znak"/>
    <w:basedOn w:val="Domylnaczcionkaakapitu"/>
    <w:link w:val="Nagwek3"/>
    <w:rsid w:val="00555E78"/>
    <w:rPr>
      <w:rFonts w:ascii="Times New Roman" w:eastAsia="Times New Roman" w:hAnsi="Times New Roman" w:cs="Times New Roman"/>
      <w:sz w:val="24"/>
      <w:szCs w:val="20"/>
      <w:lang w:eastAsia="pl-PL"/>
    </w:rPr>
  </w:style>
  <w:style w:type="character" w:customStyle="1" w:styleId="Nagwek1Znak1">
    <w:name w:val="Nagłówek 1 Znak1"/>
    <w:aliases w:val="H1 Znak Znak,h1 Znak Znak,II+ Znak Znak,I Znak Znak,Kurstitel Znak Znak,1 ghost Znak Znak,g Znak Znak,ghost Znak Znak,1 h3 Znak Znak,Capitolo Znak Znak,H11 Znak Znak,H12 Znak Znak,H13 Znak Znak,H14 Znak Znak,H15 Znak Znak,H16 Znak Znak"/>
    <w:link w:val="Nagwek1"/>
    <w:locked/>
    <w:rsid w:val="00555E78"/>
    <w:rPr>
      <w:rFonts w:ascii="Times New Roman" w:eastAsia="Times New Roman" w:hAnsi="Times New Roman" w:cs="Times New Roman"/>
      <w:sz w:val="24"/>
      <w:szCs w:val="20"/>
    </w:rPr>
  </w:style>
  <w:style w:type="paragraph" w:styleId="Tekstprzypisudolnego">
    <w:name w:val="footnote text"/>
    <w:basedOn w:val="Normalny"/>
    <w:link w:val="TekstprzypisudolnegoZnak"/>
    <w:unhideWhenUsed/>
    <w:rsid w:val="00555E78"/>
  </w:style>
  <w:style w:type="character" w:customStyle="1" w:styleId="TekstprzypisudolnegoZnak">
    <w:name w:val="Tekst przypisu dolnego Znak"/>
    <w:basedOn w:val="Domylnaczcionkaakapitu"/>
    <w:link w:val="Tekstprzypisudolnego"/>
    <w:rsid w:val="00555E78"/>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nhideWhenUsed/>
    <w:rsid w:val="00555E78"/>
    <w:pPr>
      <w:jc w:val="both"/>
    </w:pPr>
    <w:rPr>
      <w:sz w:val="24"/>
    </w:rPr>
  </w:style>
  <w:style w:type="character" w:customStyle="1" w:styleId="TekstpodstawowywcityZnak">
    <w:name w:val="Tekst podstawowy wcięty Znak"/>
    <w:basedOn w:val="Domylnaczcionkaakapitu"/>
    <w:link w:val="Tekstpodstawowywcity"/>
    <w:rsid w:val="00555E78"/>
    <w:rPr>
      <w:rFonts w:ascii="Times New Roman" w:eastAsia="Times New Roman" w:hAnsi="Times New Roman" w:cs="Times New Roman"/>
      <w:sz w:val="24"/>
      <w:szCs w:val="20"/>
    </w:rPr>
  </w:style>
  <w:style w:type="paragraph" w:styleId="Tekstpodstawowywcity2">
    <w:name w:val="Body Text Indent 2"/>
    <w:basedOn w:val="Normalny"/>
    <w:link w:val="Tekstpodstawowywcity2Znak"/>
    <w:unhideWhenUsed/>
    <w:rsid w:val="00555E78"/>
    <w:pPr>
      <w:spacing w:after="120" w:line="480" w:lineRule="auto"/>
      <w:ind w:left="283"/>
    </w:pPr>
  </w:style>
  <w:style w:type="character" w:customStyle="1" w:styleId="Tekstpodstawowywcity2Znak">
    <w:name w:val="Tekst podstawowy wcięty 2 Znak"/>
    <w:basedOn w:val="Domylnaczcionkaakapitu"/>
    <w:link w:val="Tekstpodstawowywcity2"/>
    <w:rsid w:val="00555E78"/>
    <w:rPr>
      <w:rFonts w:ascii="Times New Roman" w:eastAsia="Times New Roman" w:hAnsi="Times New Roman" w:cs="Times New Roman"/>
      <w:sz w:val="20"/>
      <w:szCs w:val="20"/>
      <w:lang w:eastAsia="pl-PL"/>
    </w:rPr>
  </w:style>
  <w:style w:type="paragraph" w:customStyle="1" w:styleId="BodyText21">
    <w:name w:val="Body Text 21"/>
    <w:basedOn w:val="Normalny"/>
    <w:uiPriority w:val="99"/>
    <w:rsid w:val="00555E78"/>
    <w:pPr>
      <w:spacing w:line="360" w:lineRule="auto"/>
    </w:pPr>
    <w:rPr>
      <w:sz w:val="24"/>
    </w:rPr>
  </w:style>
  <w:style w:type="character" w:styleId="Odwoanieprzypisudolnego">
    <w:name w:val="footnote reference"/>
    <w:unhideWhenUsed/>
    <w:qFormat/>
    <w:rsid w:val="00555E78"/>
    <w:rPr>
      <w:vertAlign w:val="superscript"/>
    </w:rPr>
  </w:style>
  <w:style w:type="paragraph" w:styleId="Akapitzlist">
    <w:name w:val="List Paragraph"/>
    <w:basedOn w:val="Normalny"/>
    <w:uiPriority w:val="34"/>
    <w:qFormat/>
    <w:rsid w:val="00A73515"/>
    <w:pPr>
      <w:ind w:left="720"/>
      <w:contextualSpacing/>
    </w:pPr>
  </w:style>
  <w:style w:type="table" w:styleId="Tabela-Siatka">
    <w:name w:val="Table Grid"/>
    <w:basedOn w:val="Standardowy"/>
    <w:rsid w:val="00A735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16200"/>
    <w:rPr>
      <w:sz w:val="16"/>
      <w:szCs w:val="16"/>
    </w:rPr>
  </w:style>
  <w:style w:type="paragraph" w:styleId="Tekstkomentarza">
    <w:name w:val="annotation text"/>
    <w:basedOn w:val="Normalny"/>
    <w:link w:val="TekstkomentarzaZnak"/>
    <w:uiPriority w:val="99"/>
    <w:semiHidden/>
    <w:unhideWhenUsed/>
    <w:rsid w:val="00416200"/>
  </w:style>
  <w:style w:type="character" w:customStyle="1" w:styleId="TekstkomentarzaZnak">
    <w:name w:val="Tekst komentarza Znak"/>
    <w:basedOn w:val="Domylnaczcionkaakapitu"/>
    <w:link w:val="Tekstkomentarza"/>
    <w:uiPriority w:val="99"/>
    <w:semiHidden/>
    <w:rsid w:val="0041620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16200"/>
    <w:rPr>
      <w:b/>
      <w:bCs/>
    </w:rPr>
  </w:style>
  <w:style w:type="character" w:customStyle="1" w:styleId="TematkomentarzaZnak">
    <w:name w:val="Temat komentarza Znak"/>
    <w:basedOn w:val="TekstkomentarzaZnak"/>
    <w:link w:val="Tematkomentarza"/>
    <w:uiPriority w:val="99"/>
    <w:semiHidden/>
    <w:rsid w:val="0041620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416200"/>
    <w:rPr>
      <w:rFonts w:ascii="Tahoma" w:hAnsi="Tahoma" w:cs="Tahoma"/>
      <w:sz w:val="16"/>
      <w:szCs w:val="16"/>
    </w:rPr>
  </w:style>
  <w:style w:type="character" w:customStyle="1" w:styleId="TekstdymkaZnak">
    <w:name w:val="Tekst dymka Znak"/>
    <w:basedOn w:val="Domylnaczcionkaakapitu"/>
    <w:link w:val="Tekstdymka"/>
    <w:uiPriority w:val="99"/>
    <w:semiHidden/>
    <w:rsid w:val="00416200"/>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6D78D6"/>
    <w:pPr>
      <w:spacing w:after="120"/>
    </w:pPr>
  </w:style>
  <w:style w:type="character" w:customStyle="1" w:styleId="TekstpodstawowyZnak">
    <w:name w:val="Tekst podstawowy Znak"/>
    <w:basedOn w:val="Domylnaczcionkaakapitu"/>
    <w:link w:val="Tekstpodstawowy"/>
    <w:uiPriority w:val="99"/>
    <w:rsid w:val="006D78D6"/>
    <w:rPr>
      <w:rFonts w:ascii="Times New Roman" w:eastAsia="Times New Roman" w:hAnsi="Times New Roman" w:cs="Times New Roman"/>
      <w:sz w:val="20"/>
      <w:szCs w:val="20"/>
      <w:lang w:eastAsia="pl-PL"/>
    </w:rPr>
  </w:style>
  <w:style w:type="character" w:customStyle="1" w:styleId="FontStyle32">
    <w:name w:val="Font Style32"/>
    <w:basedOn w:val="Domylnaczcionkaakapitu"/>
    <w:uiPriority w:val="99"/>
    <w:rsid w:val="006D78D6"/>
    <w:rPr>
      <w:rFonts w:ascii="Times New Roman" w:hAnsi="Times New Roman" w:cs="Times New Roman"/>
      <w:i/>
      <w:iCs/>
      <w:sz w:val="22"/>
      <w:szCs w:val="22"/>
    </w:rPr>
  </w:style>
  <w:style w:type="paragraph" w:customStyle="1" w:styleId="Style13">
    <w:name w:val="Style13"/>
    <w:basedOn w:val="Normalny"/>
    <w:uiPriority w:val="99"/>
    <w:rsid w:val="006D78D6"/>
    <w:pPr>
      <w:widowControl w:val="0"/>
      <w:autoSpaceDE w:val="0"/>
      <w:autoSpaceDN w:val="0"/>
      <w:adjustRightInd w:val="0"/>
      <w:spacing w:line="276" w:lineRule="exact"/>
      <w:ind w:hanging="427"/>
    </w:pPr>
    <w:rPr>
      <w:sz w:val="24"/>
      <w:szCs w:val="24"/>
    </w:rPr>
  </w:style>
  <w:style w:type="character" w:customStyle="1" w:styleId="Nagwek2Znak">
    <w:name w:val="Nagłówek 2 Znak"/>
    <w:basedOn w:val="Domylnaczcionkaakapitu"/>
    <w:link w:val="Nagwek2"/>
    <w:uiPriority w:val="9"/>
    <w:rsid w:val="00D20BD4"/>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semiHidden/>
    <w:unhideWhenUsed/>
    <w:rsid w:val="00D20BD4"/>
    <w:pPr>
      <w:spacing w:after="120"/>
    </w:pPr>
    <w:rPr>
      <w:sz w:val="16"/>
      <w:szCs w:val="16"/>
    </w:rPr>
  </w:style>
  <w:style w:type="character" w:customStyle="1" w:styleId="Tekstpodstawowy3Znak">
    <w:name w:val="Tekst podstawowy 3 Znak"/>
    <w:basedOn w:val="Domylnaczcionkaakapitu"/>
    <w:link w:val="Tekstpodstawowy3"/>
    <w:uiPriority w:val="99"/>
    <w:semiHidden/>
    <w:rsid w:val="00D20BD4"/>
    <w:rPr>
      <w:rFonts w:ascii="Times New Roman" w:eastAsia="Times New Roman" w:hAnsi="Times New Roman" w:cs="Times New Roman"/>
      <w:sz w:val="16"/>
      <w:szCs w:val="16"/>
      <w:lang w:eastAsia="pl-PL"/>
    </w:rPr>
  </w:style>
  <w:style w:type="character" w:styleId="Numerstrony">
    <w:name w:val="page number"/>
    <w:basedOn w:val="Domylnaczcionkaakapitu"/>
    <w:rsid w:val="00D20BD4"/>
    <w:rPr>
      <w:rFonts w:cs="Times New Roman"/>
    </w:rPr>
  </w:style>
  <w:style w:type="paragraph" w:customStyle="1" w:styleId="Tekstpodstawowy21">
    <w:name w:val="Tekst podstawowy 21"/>
    <w:basedOn w:val="Normalny"/>
    <w:rsid w:val="00D20BD4"/>
    <w:pPr>
      <w:jc w:val="both"/>
    </w:pPr>
    <w:rPr>
      <w:b/>
      <w:sz w:val="24"/>
    </w:rPr>
  </w:style>
  <w:style w:type="paragraph" w:styleId="Stopka">
    <w:name w:val="footer"/>
    <w:basedOn w:val="Normalny"/>
    <w:link w:val="StopkaZnak"/>
    <w:uiPriority w:val="99"/>
    <w:rsid w:val="00D20BD4"/>
    <w:pPr>
      <w:tabs>
        <w:tab w:val="center" w:pos="4536"/>
        <w:tab w:val="right" w:pos="9072"/>
      </w:tabs>
    </w:pPr>
    <w:rPr>
      <w:sz w:val="24"/>
    </w:rPr>
  </w:style>
  <w:style w:type="character" w:customStyle="1" w:styleId="StopkaZnak">
    <w:name w:val="Stopka Znak"/>
    <w:basedOn w:val="Domylnaczcionkaakapitu"/>
    <w:link w:val="Stopka"/>
    <w:uiPriority w:val="99"/>
    <w:rsid w:val="00D20BD4"/>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355F8B"/>
    <w:pPr>
      <w:tabs>
        <w:tab w:val="center" w:pos="4536"/>
        <w:tab w:val="right" w:pos="9072"/>
      </w:tabs>
    </w:pPr>
  </w:style>
  <w:style w:type="character" w:customStyle="1" w:styleId="NagwekZnak">
    <w:name w:val="Nagłówek Znak"/>
    <w:basedOn w:val="Domylnaczcionkaakapitu"/>
    <w:link w:val="Nagwek"/>
    <w:uiPriority w:val="99"/>
    <w:rsid w:val="00355F8B"/>
    <w:rPr>
      <w:rFonts w:ascii="Times New Roman" w:eastAsia="Times New Roman" w:hAnsi="Times New Roman" w:cs="Times New Roman"/>
      <w:sz w:val="20"/>
      <w:szCs w:val="20"/>
      <w:lang w:eastAsia="pl-PL"/>
    </w:rPr>
  </w:style>
  <w:style w:type="character" w:customStyle="1" w:styleId="FontStyle52">
    <w:name w:val="Font Style52"/>
    <w:uiPriority w:val="99"/>
    <w:rsid w:val="000C2F68"/>
    <w:rPr>
      <w:rFonts w:ascii="Times New Roman" w:hAnsi="Times New Roman" w:cs="Times New Roman" w:hint="default"/>
      <w:sz w:val="20"/>
      <w:szCs w:val="20"/>
    </w:rPr>
  </w:style>
  <w:style w:type="character" w:styleId="Hipercze">
    <w:name w:val="Hyperlink"/>
    <w:basedOn w:val="Domylnaczcionkaakapitu"/>
    <w:uiPriority w:val="99"/>
    <w:unhideWhenUsed/>
    <w:rsid w:val="00930F5C"/>
    <w:rPr>
      <w:color w:val="0000FF" w:themeColor="hyperlink"/>
      <w:u w:val="single"/>
    </w:rPr>
  </w:style>
  <w:style w:type="character" w:customStyle="1" w:styleId="DeltaViewInsertion">
    <w:name w:val="DeltaView Insertion"/>
    <w:rsid w:val="009F7843"/>
    <w:rPr>
      <w:b/>
      <w:i/>
      <w:spacing w:val="0"/>
    </w:rPr>
  </w:style>
  <w:style w:type="paragraph" w:styleId="NormalnyWeb">
    <w:name w:val="Normal (Web)"/>
    <w:basedOn w:val="Normalny"/>
    <w:uiPriority w:val="99"/>
    <w:unhideWhenUsed/>
    <w:rsid w:val="00E53A6D"/>
    <w:rPr>
      <w:rFonts w:eastAsiaTheme="minorHAnsi"/>
      <w:sz w:val="24"/>
      <w:szCs w:val="24"/>
    </w:rPr>
  </w:style>
  <w:style w:type="table" w:customStyle="1" w:styleId="Tabela-Siatka1">
    <w:name w:val="Tabela - Siatka1"/>
    <w:basedOn w:val="Standardowy"/>
    <w:next w:val="Tabela-Siatka"/>
    <w:rsid w:val="0007778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alny"/>
    <w:uiPriority w:val="99"/>
    <w:rsid w:val="005225B3"/>
    <w:pPr>
      <w:widowControl w:val="0"/>
      <w:autoSpaceDE w:val="0"/>
      <w:autoSpaceDN w:val="0"/>
      <w:adjustRightInd w:val="0"/>
      <w:spacing w:line="259" w:lineRule="exac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4308">
      <w:bodyDiv w:val="1"/>
      <w:marLeft w:val="0"/>
      <w:marRight w:val="0"/>
      <w:marTop w:val="0"/>
      <w:marBottom w:val="0"/>
      <w:divBdr>
        <w:top w:val="none" w:sz="0" w:space="0" w:color="auto"/>
        <w:left w:val="none" w:sz="0" w:space="0" w:color="auto"/>
        <w:bottom w:val="none" w:sz="0" w:space="0" w:color="auto"/>
        <w:right w:val="none" w:sz="0" w:space="0" w:color="auto"/>
      </w:divBdr>
    </w:div>
    <w:div w:id="570040857">
      <w:bodyDiv w:val="1"/>
      <w:marLeft w:val="0"/>
      <w:marRight w:val="0"/>
      <w:marTop w:val="0"/>
      <w:marBottom w:val="0"/>
      <w:divBdr>
        <w:top w:val="none" w:sz="0" w:space="0" w:color="auto"/>
        <w:left w:val="none" w:sz="0" w:space="0" w:color="auto"/>
        <w:bottom w:val="none" w:sz="0" w:space="0" w:color="auto"/>
        <w:right w:val="none" w:sz="0" w:space="0" w:color="auto"/>
      </w:divBdr>
    </w:div>
    <w:div w:id="930548391">
      <w:bodyDiv w:val="1"/>
      <w:marLeft w:val="0"/>
      <w:marRight w:val="0"/>
      <w:marTop w:val="0"/>
      <w:marBottom w:val="0"/>
      <w:divBdr>
        <w:top w:val="none" w:sz="0" w:space="0" w:color="auto"/>
        <w:left w:val="none" w:sz="0" w:space="0" w:color="auto"/>
        <w:bottom w:val="none" w:sz="0" w:space="0" w:color="auto"/>
        <w:right w:val="none" w:sz="0" w:space="0" w:color="auto"/>
      </w:divBdr>
    </w:div>
    <w:div w:id="1232037573">
      <w:bodyDiv w:val="1"/>
      <w:marLeft w:val="0"/>
      <w:marRight w:val="0"/>
      <w:marTop w:val="0"/>
      <w:marBottom w:val="0"/>
      <w:divBdr>
        <w:top w:val="none" w:sz="0" w:space="0" w:color="auto"/>
        <w:left w:val="none" w:sz="0" w:space="0" w:color="auto"/>
        <w:bottom w:val="none" w:sz="0" w:space="0" w:color="auto"/>
        <w:right w:val="none" w:sz="0" w:space="0" w:color="auto"/>
      </w:divBdr>
    </w:div>
    <w:div w:id="1364552717">
      <w:bodyDiv w:val="1"/>
      <w:marLeft w:val="0"/>
      <w:marRight w:val="0"/>
      <w:marTop w:val="0"/>
      <w:marBottom w:val="0"/>
      <w:divBdr>
        <w:top w:val="none" w:sz="0" w:space="0" w:color="auto"/>
        <w:left w:val="none" w:sz="0" w:space="0" w:color="auto"/>
        <w:bottom w:val="none" w:sz="0" w:space="0" w:color="auto"/>
        <w:right w:val="none" w:sz="0" w:space="0" w:color="auto"/>
      </w:divBdr>
    </w:div>
    <w:div w:id="1809201581">
      <w:bodyDiv w:val="1"/>
      <w:marLeft w:val="0"/>
      <w:marRight w:val="0"/>
      <w:marTop w:val="0"/>
      <w:marBottom w:val="0"/>
      <w:divBdr>
        <w:top w:val="none" w:sz="0" w:space="0" w:color="auto"/>
        <w:left w:val="none" w:sz="0" w:space="0" w:color="auto"/>
        <w:bottom w:val="none" w:sz="0" w:space="0" w:color="auto"/>
        <w:right w:val="none" w:sz="0" w:space="0" w:color="auto"/>
      </w:divBdr>
    </w:div>
    <w:div w:id="2041474307">
      <w:bodyDiv w:val="1"/>
      <w:marLeft w:val="0"/>
      <w:marRight w:val="0"/>
      <w:marTop w:val="0"/>
      <w:marBottom w:val="0"/>
      <w:divBdr>
        <w:top w:val="none" w:sz="0" w:space="0" w:color="auto"/>
        <w:left w:val="none" w:sz="0" w:space="0" w:color="auto"/>
        <w:bottom w:val="none" w:sz="0" w:space="0" w:color="auto"/>
        <w:right w:val="none" w:sz="0" w:space="0" w:color="auto"/>
      </w:divBdr>
    </w:div>
    <w:div w:id="21247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DCB7A-AA11-4461-80E4-33FE3F66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2940</Words>
  <Characters>17645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20544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estru</dc:creator>
  <cp:lastModifiedBy>Fidler Agnieszka</cp:lastModifiedBy>
  <cp:revision>15</cp:revision>
  <cp:lastPrinted>2019-10-29T12:48:00Z</cp:lastPrinted>
  <dcterms:created xsi:type="dcterms:W3CDTF">2019-10-29T10:31:00Z</dcterms:created>
  <dcterms:modified xsi:type="dcterms:W3CDTF">2019-10-29T13:12:00Z</dcterms:modified>
</cp:coreProperties>
</file>