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A67" w14:textId="4277ABB2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B779FD">
        <w:rPr>
          <w:rFonts w:asciiTheme="majorHAnsi" w:hAnsiTheme="majorHAnsi" w:cs="Calibri"/>
          <w:kern w:val="28"/>
          <w:sz w:val="22"/>
          <w:szCs w:val="22"/>
        </w:rPr>
        <w:t>7 czerwca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3CBB6B22" w14:textId="27742486" w:rsidR="00FB6493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7777777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76260245" w14:textId="3CB3C3B2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="006633E8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FB6493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31FC0C0" w14:textId="77777777" w:rsidR="00384D0E" w:rsidRPr="00250D12" w:rsidRDefault="00384D0E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3A351FDE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185A23">
        <w:rPr>
          <w:rFonts w:asciiTheme="majorHAnsi" w:hAnsiTheme="majorHAnsi" w:cs="Calibri"/>
          <w:b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4AA71EA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7C0A05">
        <w:rPr>
          <w:rFonts w:asciiTheme="majorHAnsi" w:hAnsiTheme="majorHAnsi" w:cs="Calibri"/>
          <w:bCs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7606E6D9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ie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ym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 nr 1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</w:t>
      </w:r>
      <w:r w:rsidR="00FB6493" w:rsidRP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 dnia 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7 czerwca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2023 r., znak: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WSS.082.2.202</w:t>
      </w:r>
      <w:r w:rsidR="006633E8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.MW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0BDB1B0F" w:rsidR="00ED15EA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nie później niż </w:t>
      </w:r>
      <w:r w:rsidR="00212BF0">
        <w:rPr>
          <w:rFonts w:asciiTheme="majorHAnsi" w:hAnsiTheme="majorHAnsi" w:cs="Calibri"/>
          <w:kern w:val="28"/>
          <w:sz w:val="22"/>
          <w:szCs w:val="22"/>
        </w:rPr>
        <w:t xml:space="preserve">45 </w:t>
      </w:r>
      <w:r w:rsidR="008E3E73" w:rsidRPr="005F22A6">
        <w:rPr>
          <w:rFonts w:asciiTheme="majorHAnsi" w:hAnsiTheme="majorHAnsi" w:cs="Calibri"/>
          <w:kern w:val="28"/>
          <w:sz w:val="22"/>
          <w:szCs w:val="22"/>
        </w:rPr>
        <w:t>dni od dnia podpisania umowy na </w:t>
      </w:r>
      <w:r w:rsidRPr="005F22A6">
        <w:rPr>
          <w:rFonts w:asciiTheme="majorHAnsi" w:hAnsiTheme="majorHAnsi" w:cs="Calibri"/>
          <w:kern w:val="28"/>
          <w:sz w:val="22"/>
          <w:szCs w:val="22"/>
        </w:rPr>
        <w:t>realizację zadania.</w:t>
      </w:r>
    </w:p>
    <w:p w14:paraId="7CAF2855" w14:textId="77777777" w:rsidR="00384D0E" w:rsidRPr="00250D12" w:rsidRDefault="00384D0E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2EC4B1E1" w14:textId="4193E849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ED15EA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ED15EA">
        <w:rPr>
          <w:rFonts w:asciiTheme="majorHAnsi" w:hAnsiTheme="majorHAnsi"/>
          <w:b/>
          <w:sz w:val="22"/>
          <w:szCs w:val="22"/>
        </w:rPr>
        <w:t>.</w:t>
      </w:r>
      <w:r w:rsidR="00ED15EA" w:rsidRPr="00ED15EA">
        <w:rPr>
          <w:rFonts w:asciiTheme="majorHAnsi" w:hAnsiTheme="majorHAnsi"/>
          <w:b/>
          <w:sz w:val="22"/>
          <w:szCs w:val="22"/>
        </w:rPr>
        <w:t>stezewska</w:t>
      </w:r>
      <w:r w:rsidR="007B443E" w:rsidRPr="00250D12">
        <w:rPr>
          <w:rFonts w:asciiTheme="majorHAnsi" w:hAnsiTheme="majorHAnsi"/>
          <w:b/>
          <w:sz w:val="22"/>
          <w:szCs w:val="22"/>
        </w:rPr>
        <w:t>@</w:t>
      </w:r>
      <w:r w:rsidR="008E3E73">
        <w:rPr>
          <w:rFonts w:asciiTheme="majorHAnsi" w:hAnsiTheme="majorHAnsi"/>
          <w:b/>
          <w:sz w:val="22"/>
          <w:szCs w:val="22"/>
        </w:rPr>
        <w:t>bydgoszcz.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B779FD">
        <w:rPr>
          <w:rFonts w:asciiTheme="majorHAnsi" w:hAnsiTheme="majorHAnsi"/>
          <w:b/>
          <w:sz w:val="22"/>
          <w:szCs w:val="22"/>
        </w:rPr>
        <w:t>14 czerwca</w:t>
      </w:r>
      <w:r w:rsidR="00FB6493">
        <w:rPr>
          <w:rFonts w:asciiTheme="majorHAnsi" w:hAnsiTheme="majorHAnsi"/>
          <w:b/>
          <w:sz w:val="22"/>
          <w:szCs w:val="22"/>
        </w:rPr>
        <w:t xml:space="preserve"> 2023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51472758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lastRenderedPageBreak/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404073E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Starszy</w:t>
      </w:r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47C66314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54C27AB3" w14:textId="6D775180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Opis przedmiotu zamówienia – Rzutnik/projektor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5E45" w14:textId="77777777" w:rsidR="008A28CD" w:rsidRDefault="008A28CD" w:rsidP="00831872">
      <w:pPr>
        <w:spacing w:line="240" w:lineRule="auto"/>
      </w:pPr>
      <w:r>
        <w:separator/>
      </w:r>
    </w:p>
  </w:endnote>
  <w:endnote w:type="continuationSeparator" w:id="0">
    <w:p w14:paraId="4ABB5DFD" w14:textId="77777777" w:rsidR="008A28CD" w:rsidRDefault="008A28CD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Content>
      <w:p w14:paraId="7AF5DC3C" w14:textId="542B5BD1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Content>
      <w:p w14:paraId="4123A168" w14:textId="4A774019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9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91FF" w14:textId="77777777" w:rsidR="008A28CD" w:rsidRDefault="008A28CD" w:rsidP="00831872">
      <w:pPr>
        <w:spacing w:line="240" w:lineRule="auto"/>
      </w:pPr>
      <w:r>
        <w:separator/>
      </w:r>
    </w:p>
  </w:footnote>
  <w:footnote w:type="continuationSeparator" w:id="0">
    <w:p w14:paraId="4DEB394E" w14:textId="77777777" w:rsidR="008A28CD" w:rsidRDefault="008A28CD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632671">
    <w:abstractNumId w:val="43"/>
  </w:num>
  <w:num w:numId="2" w16cid:durableId="1296646276">
    <w:abstractNumId w:val="29"/>
  </w:num>
  <w:num w:numId="3" w16cid:durableId="1480070613">
    <w:abstractNumId w:val="24"/>
  </w:num>
  <w:num w:numId="4" w16cid:durableId="1862664361">
    <w:abstractNumId w:val="23"/>
  </w:num>
  <w:num w:numId="5" w16cid:durableId="18513198">
    <w:abstractNumId w:val="34"/>
  </w:num>
  <w:num w:numId="6" w16cid:durableId="312681787">
    <w:abstractNumId w:val="25"/>
  </w:num>
  <w:num w:numId="7" w16cid:durableId="1128351621">
    <w:abstractNumId w:val="3"/>
  </w:num>
  <w:num w:numId="8" w16cid:durableId="677660099">
    <w:abstractNumId w:val="26"/>
  </w:num>
  <w:num w:numId="9" w16cid:durableId="1442265214">
    <w:abstractNumId w:val="21"/>
  </w:num>
  <w:num w:numId="10" w16cid:durableId="1460101808">
    <w:abstractNumId w:val="17"/>
  </w:num>
  <w:num w:numId="11" w16cid:durableId="259027329">
    <w:abstractNumId w:val="0"/>
  </w:num>
  <w:num w:numId="12" w16cid:durableId="1678845270">
    <w:abstractNumId w:val="33"/>
  </w:num>
  <w:num w:numId="13" w16cid:durableId="1908874844">
    <w:abstractNumId w:val="13"/>
  </w:num>
  <w:num w:numId="14" w16cid:durableId="984355060">
    <w:abstractNumId w:val="10"/>
  </w:num>
  <w:num w:numId="15" w16cid:durableId="128520706">
    <w:abstractNumId w:val="38"/>
  </w:num>
  <w:num w:numId="16" w16cid:durableId="1696073668">
    <w:abstractNumId w:val="11"/>
  </w:num>
  <w:num w:numId="17" w16cid:durableId="2781566">
    <w:abstractNumId w:val="18"/>
  </w:num>
  <w:num w:numId="18" w16cid:durableId="1464155794">
    <w:abstractNumId w:val="27"/>
  </w:num>
  <w:num w:numId="19" w16cid:durableId="2016109285">
    <w:abstractNumId w:val="16"/>
  </w:num>
  <w:num w:numId="20" w16cid:durableId="777221164">
    <w:abstractNumId w:val="14"/>
  </w:num>
  <w:num w:numId="21" w16cid:durableId="1234967239">
    <w:abstractNumId w:val="39"/>
  </w:num>
  <w:num w:numId="22" w16cid:durableId="650257331">
    <w:abstractNumId w:val="42"/>
  </w:num>
  <w:num w:numId="23" w16cid:durableId="662122815">
    <w:abstractNumId w:val="28"/>
  </w:num>
  <w:num w:numId="24" w16cid:durableId="1690718121">
    <w:abstractNumId w:val="19"/>
  </w:num>
  <w:num w:numId="25" w16cid:durableId="958877423">
    <w:abstractNumId w:val="40"/>
  </w:num>
  <w:num w:numId="26" w16cid:durableId="1569072965">
    <w:abstractNumId w:val="41"/>
  </w:num>
  <w:num w:numId="27" w16cid:durableId="414131272">
    <w:abstractNumId w:val="5"/>
  </w:num>
  <w:num w:numId="28" w16cid:durableId="928655827">
    <w:abstractNumId w:val="37"/>
  </w:num>
  <w:num w:numId="29" w16cid:durableId="24716450">
    <w:abstractNumId w:val="2"/>
  </w:num>
  <w:num w:numId="30" w16cid:durableId="420954545">
    <w:abstractNumId w:val="20"/>
  </w:num>
  <w:num w:numId="31" w16cid:durableId="1607925784">
    <w:abstractNumId w:val="15"/>
  </w:num>
  <w:num w:numId="32" w16cid:durableId="1070154248">
    <w:abstractNumId w:val="31"/>
  </w:num>
  <w:num w:numId="33" w16cid:durableId="1575894949">
    <w:abstractNumId w:val="22"/>
  </w:num>
  <w:num w:numId="34" w16cid:durableId="2105370366">
    <w:abstractNumId w:val="30"/>
  </w:num>
  <w:num w:numId="35" w16cid:durableId="1975479175">
    <w:abstractNumId w:val="9"/>
  </w:num>
  <w:num w:numId="36" w16cid:durableId="1352729525">
    <w:abstractNumId w:val="44"/>
  </w:num>
  <w:num w:numId="37" w16cid:durableId="692075746">
    <w:abstractNumId w:val="35"/>
  </w:num>
  <w:num w:numId="38" w16cid:durableId="1953856602">
    <w:abstractNumId w:val="32"/>
  </w:num>
  <w:num w:numId="39" w16cid:durableId="1890023416">
    <w:abstractNumId w:val="6"/>
  </w:num>
  <w:num w:numId="40" w16cid:durableId="814643526">
    <w:abstractNumId w:val="1"/>
  </w:num>
  <w:num w:numId="41" w16cid:durableId="403719403">
    <w:abstractNumId w:val="12"/>
  </w:num>
  <w:num w:numId="42" w16cid:durableId="1330062072">
    <w:abstractNumId w:val="7"/>
  </w:num>
  <w:num w:numId="43" w16cid:durableId="2144616165">
    <w:abstractNumId w:val="36"/>
  </w:num>
  <w:num w:numId="44" w16cid:durableId="1116364418">
    <w:abstractNumId w:val="8"/>
  </w:num>
  <w:num w:numId="45" w16cid:durableId="64581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84D0E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E6CB2"/>
    <w:rsid w:val="005F22A6"/>
    <w:rsid w:val="006001EC"/>
    <w:rsid w:val="0060265F"/>
    <w:rsid w:val="0062105D"/>
    <w:rsid w:val="00641744"/>
    <w:rsid w:val="00651B71"/>
    <w:rsid w:val="00654B87"/>
    <w:rsid w:val="006633E8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A28C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779FD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03F-16F8-4852-AFCE-BC31567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2023-06-07T07:25:00Z</dcterms:created>
  <dcterms:modified xsi:type="dcterms:W3CDTF">2023-06-07T07:25:00Z</dcterms:modified>
</cp:coreProperties>
</file>