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D61726" w:rsidRDefault="009276B2" w:rsidP="00D61726">
      <w:pPr>
        <w:spacing w:line="260" w:lineRule="exact"/>
        <w:rPr>
          <w:rFonts w:ascii="Lato" w:hAnsi="Lato"/>
        </w:rPr>
      </w:pPr>
    </w:p>
    <w:p w14:paraId="14F117F9" w14:textId="3C8E9C3A" w:rsidR="00350165" w:rsidRPr="00350165" w:rsidRDefault="00350165" w:rsidP="007752C1">
      <w:pPr>
        <w:tabs>
          <w:tab w:val="left" w:pos="1418"/>
        </w:tabs>
        <w:rPr>
          <w:rFonts w:ascii="Lato" w:hAnsi="Lato"/>
          <w:spacing w:val="4"/>
          <w:sz w:val="22"/>
          <w:szCs w:val="22"/>
        </w:rPr>
      </w:pPr>
      <w:r w:rsidRPr="007D72E3">
        <w:rPr>
          <w:rFonts w:ascii="Lato" w:hAnsi="Lato"/>
          <w:spacing w:val="4"/>
          <w:sz w:val="22"/>
          <w:szCs w:val="22"/>
        </w:rPr>
        <w:t xml:space="preserve">Znak sprawy: </w:t>
      </w:r>
      <w:bookmarkStart w:id="0" w:name="_Hlk122433712"/>
      <w:r w:rsidR="00173BB2" w:rsidRPr="007D72E3">
        <w:rPr>
          <w:rFonts w:ascii="Lato" w:hAnsi="Lato"/>
          <w:spacing w:val="4"/>
          <w:sz w:val="22"/>
          <w:szCs w:val="22"/>
        </w:rPr>
        <w:t>DLI-II.7620.</w:t>
      </w:r>
      <w:r w:rsidR="00DB3C54">
        <w:rPr>
          <w:rFonts w:ascii="Lato" w:hAnsi="Lato"/>
          <w:spacing w:val="4"/>
          <w:sz w:val="22"/>
          <w:szCs w:val="22"/>
        </w:rPr>
        <w:t>2</w:t>
      </w:r>
      <w:r w:rsidR="00173BB2" w:rsidRPr="007D72E3">
        <w:rPr>
          <w:rFonts w:ascii="Lato" w:hAnsi="Lato"/>
          <w:spacing w:val="4"/>
          <w:sz w:val="22"/>
          <w:szCs w:val="22"/>
        </w:rPr>
        <w:t>.202</w:t>
      </w:r>
      <w:r w:rsidR="00BE2624">
        <w:rPr>
          <w:rFonts w:ascii="Lato" w:hAnsi="Lato"/>
          <w:spacing w:val="4"/>
          <w:sz w:val="22"/>
          <w:szCs w:val="22"/>
        </w:rPr>
        <w:t>2</w:t>
      </w:r>
      <w:r w:rsidR="007444D4">
        <w:rPr>
          <w:rFonts w:ascii="Lato" w:hAnsi="Lato"/>
          <w:spacing w:val="4"/>
          <w:sz w:val="22"/>
          <w:szCs w:val="22"/>
        </w:rPr>
        <w:t>.</w:t>
      </w:r>
      <w:bookmarkEnd w:id="0"/>
      <w:r w:rsidR="00F301A0">
        <w:rPr>
          <w:rFonts w:ascii="Lato" w:hAnsi="Lato"/>
          <w:spacing w:val="4"/>
          <w:sz w:val="22"/>
          <w:szCs w:val="22"/>
        </w:rPr>
        <w:t>BW.</w:t>
      </w:r>
      <w:r w:rsidR="00A71E2C">
        <w:rPr>
          <w:rFonts w:ascii="Lato" w:hAnsi="Lato"/>
          <w:spacing w:val="4"/>
          <w:sz w:val="22"/>
          <w:szCs w:val="22"/>
        </w:rPr>
        <w:t>2</w:t>
      </w:r>
      <w:r w:rsidR="00992FCD">
        <w:rPr>
          <w:rFonts w:ascii="Lato" w:hAnsi="Lato"/>
          <w:spacing w:val="4"/>
          <w:sz w:val="22"/>
          <w:szCs w:val="22"/>
        </w:rPr>
        <w:t>3</w:t>
      </w:r>
      <w:r w:rsidR="00AF5138">
        <w:rPr>
          <w:rFonts w:ascii="Lato" w:hAnsi="Lato"/>
          <w:spacing w:val="4"/>
          <w:sz w:val="22"/>
          <w:szCs w:val="22"/>
        </w:rPr>
        <w:t xml:space="preserve"> (DLI-III)</w:t>
      </w:r>
    </w:p>
    <w:p w14:paraId="003177D0" w14:textId="51557BEE" w:rsidR="00350165" w:rsidRPr="00350165" w:rsidRDefault="00350165" w:rsidP="007752C1">
      <w:pPr>
        <w:tabs>
          <w:tab w:val="left" w:pos="1418"/>
        </w:tabs>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992FCD">
        <w:rPr>
          <w:rFonts w:ascii="Lato" w:hAnsi="Lato"/>
          <w:spacing w:val="4"/>
          <w:sz w:val="22"/>
          <w:szCs w:val="22"/>
        </w:rPr>
        <w:t xml:space="preserve">28 </w:t>
      </w:r>
      <w:r w:rsidR="003C328E">
        <w:rPr>
          <w:rFonts w:ascii="Lato" w:hAnsi="Lato"/>
          <w:spacing w:val="4"/>
          <w:sz w:val="22"/>
          <w:szCs w:val="22"/>
        </w:rPr>
        <w:t>lutego 2025</w:t>
      </w:r>
      <w:r w:rsidR="00C82F34">
        <w:rPr>
          <w:rFonts w:ascii="Lato" w:hAnsi="Lato"/>
          <w:spacing w:val="4"/>
          <w:sz w:val="22"/>
          <w:szCs w:val="22"/>
        </w:rPr>
        <w:t xml:space="preserve"> r.</w:t>
      </w:r>
      <w:r w:rsidR="003C328E">
        <w:rPr>
          <w:rFonts w:ascii="Lato" w:hAnsi="Lato"/>
          <w:spacing w:val="4"/>
          <w:sz w:val="22"/>
          <w:szCs w:val="22"/>
        </w:rPr>
        <w:t xml:space="preserve"> </w:t>
      </w:r>
    </w:p>
    <w:p w14:paraId="4A3B9B7A" w14:textId="137BBECD" w:rsidR="004116FD" w:rsidRDefault="004116FD"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313DDDAD" w14:textId="77777777" w:rsidR="00F24C6D" w:rsidRDefault="00F24C6D"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7EBE471E" w14:textId="3999C72D" w:rsidR="00636951" w:rsidRPr="00532197" w:rsidRDefault="00173BB2" w:rsidP="00532197">
      <w:pPr>
        <w:spacing w:after="240" w:line="240" w:lineRule="exact"/>
        <w:jc w:val="both"/>
        <w:rPr>
          <w:rFonts w:ascii="Lato" w:hAnsi="Lato" w:cs="Arial"/>
          <w:spacing w:val="4"/>
          <w:sz w:val="22"/>
          <w:szCs w:val="22"/>
        </w:rPr>
      </w:pPr>
      <w:r w:rsidRPr="00570174">
        <w:rPr>
          <w:rFonts w:ascii="Lato" w:hAnsi="Lato" w:cs="Arial"/>
          <w:spacing w:val="4"/>
          <w:sz w:val="22"/>
          <w:szCs w:val="22"/>
        </w:rPr>
        <w:t xml:space="preserve">Na podstawie art. 138 § 1 pkt </w:t>
      </w:r>
      <w:r w:rsidR="009673DD">
        <w:rPr>
          <w:rFonts w:ascii="Lato" w:hAnsi="Lato" w:cs="Arial"/>
          <w:spacing w:val="4"/>
          <w:sz w:val="22"/>
          <w:szCs w:val="22"/>
        </w:rPr>
        <w:t>2</w:t>
      </w:r>
      <w:r w:rsidRPr="00570174">
        <w:rPr>
          <w:rFonts w:ascii="Lato" w:hAnsi="Lato" w:cs="Arial"/>
          <w:spacing w:val="4"/>
          <w:sz w:val="22"/>
          <w:szCs w:val="22"/>
        </w:rPr>
        <w:t xml:space="preserve"> ustawy z dnia 14 czerwca 1960 r. Kodeks postępowania administracyjnego (t.j. Dz. U. z 202</w:t>
      </w:r>
      <w:r w:rsidR="00D906A5">
        <w:rPr>
          <w:rFonts w:ascii="Lato" w:hAnsi="Lato" w:cs="Arial"/>
          <w:spacing w:val="4"/>
          <w:sz w:val="22"/>
          <w:szCs w:val="22"/>
        </w:rPr>
        <w:t>4</w:t>
      </w:r>
      <w:r w:rsidRPr="00570174">
        <w:rPr>
          <w:rFonts w:ascii="Lato" w:hAnsi="Lato" w:cs="Arial"/>
          <w:spacing w:val="4"/>
          <w:sz w:val="22"/>
          <w:szCs w:val="22"/>
        </w:rPr>
        <w:t xml:space="preserve"> r. poz. </w:t>
      </w:r>
      <w:r w:rsidR="00D906A5">
        <w:rPr>
          <w:rFonts w:ascii="Lato" w:hAnsi="Lato" w:cs="Arial"/>
          <w:spacing w:val="4"/>
          <w:sz w:val="22"/>
          <w:szCs w:val="22"/>
        </w:rPr>
        <w:t>572</w:t>
      </w:r>
      <w:r w:rsidRPr="00570174">
        <w:rPr>
          <w:rFonts w:ascii="Lato" w:hAnsi="Lato" w:cs="Arial"/>
          <w:spacing w:val="4"/>
          <w:sz w:val="22"/>
          <w:szCs w:val="22"/>
        </w:rPr>
        <w:t xml:space="preserve">), zwanej dalej </w:t>
      </w:r>
      <w:r w:rsidRPr="00570174">
        <w:rPr>
          <w:rFonts w:ascii="Lato" w:hAnsi="Lato" w:cs="Arial"/>
          <w:i/>
          <w:spacing w:val="4"/>
          <w:sz w:val="22"/>
          <w:szCs w:val="22"/>
        </w:rPr>
        <w:t>„kpa”</w:t>
      </w:r>
      <w:r w:rsidRPr="00570174">
        <w:rPr>
          <w:rFonts w:ascii="Lato" w:hAnsi="Lato" w:cs="Arial"/>
          <w:spacing w:val="4"/>
          <w:sz w:val="22"/>
          <w:szCs w:val="22"/>
        </w:rPr>
        <w:t xml:space="preserve">, </w:t>
      </w:r>
      <w:r w:rsidR="00A95767" w:rsidRPr="00A95767">
        <w:rPr>
          <w:rFonts w:ascii="Lato" w:hAnsi="Lato" w:cs="Arial"/>
          <w:spacing w:val="4"/>
          <w:sz w:val="22"/>
          <w:szCs w:val="22"/>
        </w:rPr>
        <w:t xml:space="preserve">oraz art. 3 ust. 3 ustawy z dnia 22 lutego 2019 r. o przygotowaniu i realizacji strategicznych inwestycji </w:t>
      </w:r>
      <w:r w:rsidR="00D906A5">
        <w:rPr>
          <w:rFonts w:ascii="Lato" w:hAnsi="Lato" w:cs="Arial"/>
          <w:spacing w:val="4"/>
          <w:sz w:val="22"/>
          <w:szCs w:val="22"/>
        </w:rPr>
        <w:br/>
      </w:r>
      <w:r w:rsidR="00A95767" w:rsidRPr="00A95767">
        <w:rPr>
          <w:rFonts w:ascii="Lato" w:hAnsi="Lato" w:cs="Arial"/>
          <w:spacing w:val="4"/>
          <w:sz w:val="22"/>
          <w:szCs w:val="22"/>
        </w:rPr>
        <w:t xml:space="preserve">w sektorze naftowym </w:t>
      </w:r>
      <w:r w:rsidR="00A95767">
        <w:rPr>
          <w:rFonts w:ascii="Lato" w:hAnsi="Lato" w:cs="Arial"/>
          <w:spacing w:val="4"/>
          <w:sz w:val="22"/>
          <w:szCs w:val="22"/>
        </w:rPr>
        <w:t xml:space="preserve"> </w:t>
      </w:r>
      <w:r w:rsidR="00A95767" w:rsidRPr="00A95767">
        <w:rPr>
          <w:rFonts w:ascii="Lato" w:hAnsi="Lato" w:cs="Arial"/>
          <w:spacing w:val="4"/>
          <w:sz w:val="22"/>
          <w:szCs w:val="22"/>
        </w:rPr>
        <w:t>(Dz. U. z 2</w:t>
      </w:r>
      <w:r w:rsidR="00A95767">
        <w:rPr>
          <w:rFonts w:ascii="Lato" w:hAnsi="Lato" w:cs="Arial"/>
          <w:spacing w:val="4"/>
          <w:sz w:val="22"/>
          <w:szCs w:val="22"/>
        </w:rPr>
        <w:t>02</w:t>
      </w:r>
      <w:r w:rsidR="00D906A5">
        <w:rPr>
          <w:rFonts w:ascii="Lato" w:hAnsi="Lato" w:cs="Arial"/>
          <w:spacing w:val="4"/>
          <w:sz w:val="22"/>
          <w:szCs w:val="22"/>
        </w:rPr>
        <w:t>4</w:t>
      </w:r>
      <w:r w:rsidR="00A95767" w:rsidRPr="00A95767">
        <w:rPr>
          <w:rFonts w:ascii="Lato" w:hAnsi="Lato" w:cs="Arial"/>
          <w:spacing w:val="4"/>
          <w:sz w:val="22"/>
          <w:szCs w:val="22"/>
        </w:rPr>
        <w:t xml:space="preserve"> r. poz. </w:t>
      </w:r>
      <w:r w:rsidR="00D906A5">
        <w:rPr>
          <w:rFonts w:ascii="Lato" w:hAnsi="Lato" w:cs="Arial"/>
          <w:spacing w:val="4"/>
          <w:sz w:val="22"/>
          <w:szCs w:val="22"/>
        </w:rPr>
        <w:t>405</w:t>
      </w:r>
      <w:r w:rsidR="00A95767" w:rsidRPr="00A95767">
        <w:rPr>
          <w:rFonts w:ascii="Lato" w:hAnsi="Lato" w:cs="Arial"/>
          <w:spacing w:val="4"/>
          <w:sz w:val="22"/>
          <w:szCs w:val="22"/>
        </w:rPr>
        <w:t xml:space="preserve">), zwanej dalej </w:t>
      </w:r>
      <w:r w:rsidR="00A95767" w:rsidRPr="00A95767">
        <w:rPr>
          <w:rFonts w:ascii="Lato" w:hAnsi="Lato" w:cs="Arial"/>
          <w:i/>
          <w:iCs/>
          <w:spacing w:val="4"/>
          <w:sz w:val="22"/>
          <w:szCs w:val="22"/>
        </w:rPr>
        <w:t>„specustawą naftową”,</w:t>
      </w:r>
      <w:r w:rsidR="00A95767" w:rsidRPr="00A95767">
        <w:rPr>
          <w:rFonts w:ascii="Lato" w:hAnsi="Lato" w:cs="Arial"/>
          <w:spacing w:val="4"/>
          <w:sz w:val="22"/>
          <w:szCs w:val="22"/>
        </w:rPr>
        <w:t xml:space="preserve"> </w:t>
      </w:r>
      <w:r w:rsidR="00D906A5">
        <w:rPr>
          <w:rFonts w:ascii="Lato" w:hAnsi="Lato" w:cs="Arial"/>
          <w:spacing w:val="4"/>
          <w:sz w:val="22"/>
          <w:szCs w:val="22"/>
        </w:rPr>
        <w:br/>
      </w:r>
      <w:r w:rsidR="00A95767" w:rsidRPr="00A95767">
        <w:rPr>
          <w:rFonts w:ascii="Lato" w:hAnsi="Lato" w:cs="Arial"/>
          <w:spacing w:val="4"/>
          <w:sz w:val="22"/>
          <w:szCs w:val="22"/>
        </w:rPr>
        <w:t xml:space="preserve">po rozpatrzeniu </w:t>
      </w:r>
      <w:proofErr w:type="spellStart"/>
      <w:r w:rsidRPr="00570174">
        <w:rPr>
          <w:rFonts w:ascii="Lato" w:hAnsi="Lato" w:cs="Arial"/>
          <w:spacing w:val="4"/>
          <w:sz w:val="22"/>
          <w:szCs w:val="22"/>
        </w:rPr>
        <w:t>odwołań</w:t>
      </w:r>
      <w:proofErr w:type="spellEnd"/>
      <w:r w:rsidR="00206466">
        <w:rPr>
          <w:rFonts w:ascii="Lato" w:hAnsi="Lato" w:cs="Arial"/>
          <w:spacing w:val="4"/>
          <w:sz w:val="22"/>
          <w:szCs w:val="22"/>
        </w:rPr>
        <w:t xml:space="preserve"> </w:t>
      </w:r>
      <w:bookmarkStart w:id="1" w:name="_Hlk122432681"/>
      <w:bookmarkStart w:id="2" w:name="_Hlk132810143"/>
      <w:r w:rsidR="00A95767">
        <w:rPr>
          <w:rFonts w:ascii="Lato" w:hAnsi="Lato" w:cs="Arial"/>
          <w:spacing w:val="4"/>
          <w:sz w:val="22"/>
          <w:szCs w:val="22"/>
        </w:rPr>
        <w:t xml:space="preserve">Pani </w:t>
      </w:r>
      <w:r w:rsidR="004A7ACC">
        <w:rPr>
          <w:rFonts w:ascii="Lato" w:hAnsi="Lato" w:cs="Arial"/>
          <w:spacing w:val="4"/>
          <w:sz w:val="22"/>
          <w:szCs w:val="22"/>
        </w:rPr>
        <w:t>A.</w:t>
      </w:r>
      <w:r w:rsidR="00A95767">
        <w:rPr>
          <w:rFonts w:ascii="Lato" w:hAnsi="Lato" w:cs="Arial"/>
          <w:spacing w:val="4"/>
          <w:sz w:val="22"/>
          <w:szCs w:val="22"/>
        </w:rPr>
        <w:t xml:space="preserve"> </w:t>
      </w:r>
      <w:r w:rsidR="004A7ACC">
        <w:rPr>
          <w:rFonts w:ascii="Lato" w:hAnsi="Lato" w:cs="Arial"/>
          <w:spacing w:val="4"/>
          <w:sz w:val="22"/>
          <w:szCs w:val="22"/>
        </w:rPr>
        <w:t>S.</w:t>
      </w:r>
      <w:r w:rsidR="00A95767">
        <w:rPr>
          <w:rFonts w:ascii="Lato" w:hAnsi="Lato" w:cs="Arial"/>
          <w:spacing w:val="4"/>
          <w:sz w:val="22"/>
          <w:szCs w:val="22"/>
        </w:rPr>
        <w:t xml:space="preserve">, Pana </w:t>
      </w:r>
      <w:r w:rsidR="004A7ACC">
        <w:rPr>
          <w:rFonts w:ascii="Lato" w:hAnsi="Lato" w:cs="Arial"/>
          <w:spacing w:val="4"/>
          <w:sz w:val="22"/>
          <w:szCs w:val="22"/>
        </w:rPr>
        <w:t>L.</w:t>
      </w:r>
      <w:r w:rsidR="00A95767">
        <w:rPr>
          <w:rFonts w:ascii="Lato" w:hAnsi="Lato" w:cs="Arial"/>
          <w:spacing w:val="4"/>
          <w:sz w:val="22"/>
          <w:szCs w:val="22"/>
        </w:rPr>
        <w:t xml:space="preserve"> </w:t>
      </w:r>
      <w:r w:rsidR="004A7ACC">
        <w:rPr>
          <w:rFonts w:ascii="Lato" w:hAnsi="Lato" w:cs="Arial"/>
          <w:spacing w:val="4"/>
          <w:sz w:val="22"/>
          <w:szCs w:val="22"/>
        </w:rPr>
        <w:t>B.</w:t>
      </w:r>
      <w:r w:rsidR="00A95767">
        <w:rPr>
          <w:rFonts w:ascii="Lato" w:hAnsi="Lato" w:cs="Arial"/>
          <w:spacing w:val="4"/>
          <w:sz w:val="22"/>
          <w:szCs w:val="22"/>
        </w:rPr>
        <w:t xml:space="preserve">, Pani </w:t>
      </w:r>
      <w:r w:rsidR="004A7ACC">
        <w:rPr>
          <w:rFonts w:ascii="Lato" w:hAnsi="Lato" w:cs="Arial"/>
          <w:spacing w:val="4"/>
          <w:sz w:val="22"/>
          <w:szCs w:val="22"/>
        </w:rPr>
        <w:t>E.</w:t>
      </w:r>
      <w:r w:rsidR="00A95767">
        <w:rPr>
          <w:rFonts w:ascii="Lato" w:hAnsi="Lato" w:cs="Arial"/>
          <w:spacing w:val="4"/>
          <w:sz w:val="22"/>
          <w:szCs w:val="22"/>
        </w:rPr>
        <w:t xml:space="preserve"> </w:t>
      </w:r>
      <w:r w:rsidR="004A7ACC">
        <w:rPr>
          <w:rFonts w:ascii="Lato" w:hAnsi="Lato" w:cs="Arial"/>
          <w:spacing w:val="4"/>
          <w:sz w:val="22"/>
          <w:szCs w:val="22"/>
        </w:rPr>
        <w:t>L.</w:t>
      </w:r>
      <w:r w:rsidR="00A95767">
        <w:rPr>
          <w:rFonts w:ascii="Lato" w:hAnsi="Lato" w:cs="Arial"/>
          <w:spacing w:val="4"/>
          <w:sz w:val="22"/>
          <w:szCs w:val="22"/>
        </w:rPr>
        <w:t xml:space="preserve"> i Pana </w:t>
      </w:r>
      <w:r w:rsidR="004A7ACC">
        <w:rPr>
          <w:rFonts w:ascii="Lato" w:hAnsi="Lato" w:cs="Arial"/>
          <w:spacing w:val="4"/>
          <w:sz w:val="22"/>
          <w:szCs w:val="22"/>
        </w:rPr>
        <w:t>S.</w:t>
      </w:r>
      <w:r w:rsidR="00A95767">
        <w:rPr>
          <w:rFonts w:ascii="Lato" w:hAnsi="Lato" w:cs="Arial"/>
          <w:spacing w:val="4"/>
          <w:sz w:val="22"/>
          <w:szCs w:val="22"/>
        </w:rPr>
        <w:t xml:space="preserve"> </w:t>
      </w:r>
      <w:bookmarkStart w:id="3" w:name="_Hlk122420533"/>
      <w:bookmarkEnd w:id="1"/>
      <w:r w:rsidR="004A7ACC">
        <w:rPr>
          <w:rFonts w:ascii="Lato" w:hAnsi="Lato" w:cs="Arial"/>
          <w:spacing w:val="4"/>
          <w:sz w:val="22"/>
          <w:szCs w:val="22"/>
        </w:rPr>
        <w:t>L.</w:t>
      </w:r>
      <w:r w:rsidR="00A95767">
        <w:rPr>
          <w:rFonts w:ascii="Lato" w:hAnsi="Lato" w:cs="Arial"/>
          <w:spacing w:val="4"/>
          <w:sz w:val="22"/>
          <w:szCs w:val="22"/>
        </w:rPr>
        <w:t xml:space="preserve"> od </w:t>
      </w:r>
      <w:r w:rsidR="00A95767" w:rsidRPr="00A95767">
        <w:rPr>
          <w:rFonts w:ascii="Lato" w:hAnsi="Lato" w:cs="Arial"/>
          <w:spacing w:val="4"/>
          <w:sz w:val="22"/>
          <w:szCs w:val="22"/>
        </w:rPr>
        <w:t>decyzji Wojewody</w:t>
      </w:r>
      <w:r w:rsidR="001871FB">
        <w:rPr>
          <w:rFonts w:ascii="Lato" w:hAnsi="Lato" w:cs="Arial"/>
          <w:spacing w:val="4"/>
          <w:sz w:val="22"/>
          <w:szCs w:val="22"/>
        </w:rPr>
        <w:t xml:space="preserve"> </w:t>
      </w:r>
      <w:r w:rsidR="00A95767" w:rsidRPr="00A95767">
        <w:rPr>
          <w:rFonts w:ascii="Lato" w:hAnsi="Lato" w:cs="Arial"/>
          <w:spacing w:val="4"/>
          <w:sz w:val="22"/>
          <w:szCs w:val="22"/>
        </w:rPr>
        <w:t>Mazowieckiego Nr 116/SPEC/2021 z dnia 16 listopada 2021 r., znak:</w:t>
      </w:r>
      <w:r w:rsidR="00A95767">
        <w:rPr>
          <w:rFonts w:ascii="Lato" w:hAnsi="Lato" w:cs="Arial"/>
          <w:spacing w:val="4"/>
          <w:sz w:val="22"/>
          <w:szCs w:val="22"/>
        </w:rPr>
        <w:t xml:space="preserve"> </w:t>
      </w:r>
      <w:r w:rsidR="001871FB">
        <w:rPr>
          <w:rFonts w:ascii="Lato" w:hAnsi="Lato" w:cs="Arial"/>
          <w:spacing w:val="4"/>
          <w:sz w:val="22"/>
          <w:szCs w:val="22"/>
        </w:rPr>
        <w:br/>
      </w:r>
      <w:r w:rsidR="00A95767" w:rsidRPr="00A95767">
        <w:rPr>
          <w:rFonts w:ascii="Lato" w:hAnsi="Lato" w:cs="Arial"/>
          <w:spacing w:val="4"/>
          <w:sz w:val="22"/>
          <w:szCs w:val="22"/>
        </w:rPr>
        <w:t>WI-I.747.5.7.2021.JK, o ustaleniu lokalizacji strategicznej inwestycji w sektorze</w:t>
      </w:r>
      <w:r w:rsidR="00A95767">
        <w:rPr>
          <w:rFonts w:ascii="Lato" w:hAnsi="Lato" w:cs="Arial"/>
          <w:spacing w:val="4"/>
          <w:sz w:val="22"/>
          <w:szCs w:val="22"/>
        </w:rPr>
        <w:t xml:space="preserve"> </w:t>
      </w:r>
      <w:r w:rsidR="00A95767" w:rsidRPr="00A95767">
        <w:rPr>
          <w:rFonts w:ascii="Lato" w:hAnsi="Lato" w:cs="Arial"/>
          <w:spacing w:val="4"/>
          <w:sz w:val="22"/>
          <w:szCs w:val="22"/>
        </w:rPr>
        <w:t>naftowym pn.: „budowa rurociągu ropy naftowej Gdańsk-Płock wraz infrastrukturą</w:t>
      </w:r>
      <w:r w:rsidR="00A95767">
        <w:rPr>
          <w:rFonts w:ascii="Lato" w:hAnsi="Lato" w:cs="Arial"/>
          <w:spacing w:val="4"/>
          <w:sz w:val="22"/>
          <w:szCs w:val="22"/>
        </w:rPr>
        <w:t xml:space="preserve"> </w:t>
      </w:r>
      <w:r w:rsidR="00A95767" w:rsidRPr="00A95767">
        <w:rPr>
          <w:rFonts w:ascii="Lato" w:hAnsi="Lato" w:cs="Arial"/>
          <w:spacing w:val="4"/>
          <w:sz w:val="22"/>
          <w:szCs w:val="22"/>
        </w:rPr>
        <w:t>niezbędną do jego obsługi”, sprostowanej postanowieniem z dnia 23 grudnia 2021 r.,</w:t>
      </w:r>
      <w:r w:rsidR="00A95767">
        <w:rPr>
          <w:rFonts w:ascii="Lato" w:hAnsi="Lato" w:cs="Arial"/>
          <w:spacing w:val="4"/>
          <w:sz w:val="22"/>
          <w:szCs w:val="22"/>
        </w:rPr>
        <w:t xml:space="preserve"> </w:t>
      </w:r>
      <w:r w:rsidR="00A95767" w:rsidRPr="00A95767">
        <w:rPr>
          <w:rFonts w:ascii="Lato" w:hAnsi="Lato" w:cs="Arial"/>
          <w:spacing w:val="4"/>
          <w:sz w:val="22"/>
          <w:szCs w:val="22"/>
        </w:rPr>
        <w:t>znak: WI-I.747.5.7.2021.JK,</w:t>
      </w:r>
      <w:r w:rsidR="00135F54">
        <w:rPr>
          <w:rFonts w:ascii="Lato" w:hAnsi="Lato" w:cs="Arial"/>
          <w:bCs/>
          <w:iCs/>
          <w:spacing w:val="4"/>
          <w:sz w:val="22"/>
          <w:szCs w:val="22"/>
        </w:rPr>
        <w:t xml:space="preserve"> </w:t>
      </w:r>
      <w:bookmarkEnd w:id="2"/>
      <w:bookmarkEnd w:id="3"/>
    </w:p>
    <w:p w14:paraId="4186F593" w14:textId="34A41E67" w:rsidR="009673DD" w:rsidRDefault="009673DD" w:rsidP="005F4256">
      <w:pPr>
        <w:pStyle w:val="Akapitzlist"/>
        <w:numPr>
          <w:ilvl w:val="0"/>
          <w:numId w:val="5"/>
        </w:numPr>
        <w:spacing w:after="240" w:line="240" w:lineRule="exact"/>
        <w:ind w:left="426" w:hanging="284"/>
        <w:contextualSpacing w:val="0"/>
        <w:jc w:val="both"/>
        <w:rPr>
          <w:rFonts w:ascii="Lato" w:hAnsi="Lato"/>
          <w:b/>
          <w:sz w:val="22"/>
          <w:szCs w:val="22"/>
        </w:rPr>
      </w:pPr>
      <w:r w:rsidRPr="009673DD">
        <w:rPr>
          <w:rFonts w:ascii="Lato" w:hAnsi="Lato"/>
          <w:b/>
          <w:sz w:val="22"/>
          <w:szCs w:val="22"/>
        </w:rPr>
        <w:t>Uchylam:</w:t>
      </w:r>
    </w:p>
    <w:p w14:paraId="7AE6FE6B" w14:textId="5380C065" w:rsidR="009673DD" w:rsidRPr="00532197" w:rsidRDefault="00B574B6" w:rsidP="005F4256">
      <w:pPr>
        <w:pStyle w:val="Akapitzlist"/>
        <w:numPr>
          <w:ilvl w:val="0"/>
          <w:numId w:val="6"/>
        </w:numPr>
        <w:spacing w:after="240" w:line="240" w:lineRule="exact"/>
        <w:ind w:left="426" w:hanging="284"/>
        <w:contextualSpacing w:val="0"/>
        <w:jc w:val="both"/>
        <w:rPr>
          <w:rFonts w:ascii="Lato" w:hAnsi="Lato"/>
          <w:bCs/>
          <w:sz w:val="22"/>
          <w:szCs w:val="22"/>
        </w:rPr>
      </w:pPr>
      <w:r w:rsidRPr="00B574B6">
        <w:rPr>
          <w:rFonts w:ascii="Lato" w:hAnsi="Lato"/>
          <w:bCs/>
          <w:sz w:val="22"/>
          <w:szCs w:val="22"/>
        </w:rPr>
        <w:t>w rozstrzygnięciu zaskarżonej decyzji</w:t>
      </w:r>
      <w:r w:rsidR="006649E2">
        <w:rPr>
          <w:rFonts w:ascii="Lato" w:hAnsi="Lato"/>
          <w:bCs/>
          <w:sz w:val="22"/>
          <w:szCs w:val="22"/>
        </w:rPr>
        <w:t>,</w:t>
      </w:r>
      <w:r w:rsidRPr="00B574B6">
        <w:rPr>
          <w:rFonts w:ascii="Lato" w:hAnsi="Lato"/>
          <w:bCs/>
          <w:sz w:val="22"/>
          <w:szCs w:val="22"/>
        </w:rPr>
        <w:t xml:space="preserve"> </w:t>
      </w:r>
      <w:r w:rsidR="00532197" w:rsidRPr="00532197">
        <w:rPr>
          <w:rFonts w:ascii="Lato" w:hAnsi="Lato"/>
          <w:bCs/>
          <w:sz w:val="22"/>
          <w:szCs w:val="22"/>
        </w:rPr>
        <w:t xml:space="preserve">pkt I określający teren objęty inwestycją </w:t>
      </w:r>
      <w:r w:rsidR="00B22111">
        <w:rPr>
          <w:rFonts w:ascii="Lato" w:hAnsi="Lato"/>
          <w:bCs/>
          <w:sz w:val="22"/>
          <w:szCs w:val="22"/>
        </w:rPr>
        <w:br/>
      </w:r>
      <w:r w:rsidR="00532197" w:rsidRPr="00532197">
        <w:rPr>
          <w:rFonts w:ascii="Lato" w:hAnsi="Lato"/>
          <w:bCs/>
          <w:sz w:val="22"/>
          <w:szCs w:val="22"/>
        </w:rPr>
        <w:t>w zakresie terminalu, w tym lini</w:t>
      </w:r>
      <w:r w:rsidR="006649E2">
        <w:rPr>
          <w:rFonts w:ascii="Lato" w:hAnsi="Lato"/>
          <w:bCs/>
          <w:sz w:val="22"/>
          <w:szCs w:val="22"/>
        </w:rPr>
        <w:t xml:space="preserve">e </w:t>
      </w:r>
      <w:r w:rsidR="00532197" w:rsidRPr="00532197">
        <w:rPr>
          <w:rFonts w:ascii="Lato" w:hAnsi="Lato"/>
          <w:bCs/>
          <w:sz w:val="22"/>
          <w:szCs w:val="22"/>
        </w:rPr>
        <w:t>rozgraniczających teren inwestycji, znajdujący się na stronie 3</w:t>
      </w:r>
      <w:r w:rsidR="00532197">
        <w:rPr>
          <w:rFonts w:ascii="Lato" w:hAnsi="Lato"/>
          <w:bCs/>
          <w:sz w:val="22"/>
          <w:szCs w:val="22"/>
        </w:rPr>
        <w:t>,</w:t>
      </w:r>
    </w:p>
    <w:p w14:paraId="0DD56C3E" w14:textId="575111BE" w:rsidR="009673DD" w:rsidRPr="00A500D6" w:rsidRDefault="009673DD" w:rsidP="00A07591">
      <w:pPr>
        <w:spacing w:after="240" w:line="240" w:lineRule="exact"/>
        <w:ind w:firstLine="142"/>
        <w:rPr>
          <w:rFonts w:ascii="Lato" w:hAnsi="Lato"/>
          <w:b/>
          <w:bCs/>
          <w:sz w:val="22"/>
          <w:szCs w:val="22"/>
        </w:rPr>
      </w:pPr>
      <w:r w:rsidRPr="009673DD">
        <w:rPr>
          <w:rFonts w:ascii="Lato" w:hAnsi="Lato"/>
          <w:b/>
          <w:bCs/>
          <w:sz w:val="22"/>
          <w:szCs w:val="22"/>
        </w:rPr>
        <w:t xml:space="preserve">i orzekam w tym zakresie </w:t>
      </w:r>
      <w:r w:rsidRPr="00A500D6">
        <w:rPr>
          <w:rFonts w:ascii="Lato" w:hAnsi="Lato"/>
          <w:b/>
          <w:bCs/>
          <w:sz w:val="22"/>
          <w:szCs w:val="22"/>
        </w:rPr>
        <w:t>poprzez:</w:t>
      </w:r>
    </w:p>
    <w:p w14:paraId="55D135B3" w14:textId="260395F8" w:rsidR="00532197" w:rsidRDefault="00B22111" w:rsidP="005F4256">
      <w:pPr>
        <w:numPr>
          <w:ilvl w:val="0"/>
          <w:numId w:val="7"/>
        </w:numPr>
        <w:spacing w:after="240" w:line="240" w:lineRule="exact"/>
        <w:ind w:left="426" w:hanging="284"/>
        <w:jc w:val="both"/>
        <w:rPr>
          <w:rFonts w:ascii="Lato" w:hAnsi="Lato"/>
          <w:sz w:val="22"/>
          <w:szCs w:val="22"/>
        </w:rPr>
      </w:pPr>
      <w:r w:rsidRPr="00B22111">
        <w:rPr>
          <w:rFonts w:ascii="Lato" w:hAnsi="Lato"/>
          <w:sz w:val="22"/>
          <w:szCs w:val="22"/>
        </w:rPr>
        <w:t>ustalenie, w rozstrzygnięciu zaskarżonej decyzji</w:t>
      </w:r>
      <w:r>
        <w:rPr>
          <w:rFonts w:ascii="Lato" w:hAnsi="Lato"/>
          <w:sz w:val="22"/>
          <w:szCs w:val="22"/>
        </w:rPr>
        <w:t xml:space="preserve">, </w:t>
      </w:r>
      <w:r w:rsidR="00532197" w:rsidRPr="00532197">
        <w:rPr>
          <w:rFonts w:ascii="Lato" w:hAnsi="Lato"/>
          <w:sz w:val="22"/>
          <w:szCs w:val="22"/>
        </w:rPr>
        <w:t xml:space="preserve">w miejsce uchylenia na stronie </w:t>
      </w:r>
      <w:r w:rsidR="00041B79">
        <w:rPr>
          <w:rFonts w:ascii="Lato" w:hAnsi="Lato"/>
          <w:sz w:val="22"/>
          <w:szCs w:val="22"/>
        </w:rPr>
        <w:t>3</w:t>
      </w:r>
      <w:r w:rsidR="00532197" w:rsidRPr="00532197">
        <w:rPr>
          <w:rFonts w:ascii="Lato" w:hAnsi="Lato"/>
          <w:sz w:val="22"/>
          <w:szCs w:val="22"/>
        </w:rPr>
        <w:t>,</w:t>
      </w:r>
      <w:r>
        <w:rPr>
          <w:rFonts w:ascii="Lato" w:hAnsi="Lato"/>
          <w:sz w:val="22"/>
          <w:szCs w:val="22"/>
        </w:rPr>
        <w:t xml:space="preserve"> nowej treści</w:t>
      </w:r>
      <w:r w:rsidR="00532197" w:rsidRPr="00532197">
        <w:rPr>
          <w:rFonts w:ascii="Lato" w:hAnsi="Lato"/>
          <w:sz w:val="22"/>
          <w:szCs w:val="22"/>
        </w:rPr>
        <w:t xml:space="preserve"> pkt </w:t>
      </w:r>
      <w:r w:rsidR="00041B79">
        <w:rPr>
          <w:rFonts w:ascii="Lato" w:hAnsi="Lato"/>
          <w:sz w:val="22"/>
          <w:szCs w:val="22"/>
        </w:rPr>
        <w:t>I</w:t>
      </w:r>
      <w:r w:rsidR="00532197" w:rsidRPr="00532197">
        <w:rPr>
          <w:rFonts w:ascii="Lato" w:hAnsi="Lato"/>
          <w:sz w:val="22"/>
          <w:szCs w:val="22"/>
        </w:rPr>
        <w:t xml:space="preserve">: </w:t>
      </w:r>
    </w:p>
    <w:p w14:paraId="4CA82ED2" w14:textId="51272C86" w:rsidR="00041B79" w:rsidRPr="00926270" w:rsidRDefault="00041B79" w:rsidP="00041B79">
      <w:pPr>
        <w:spacing w:after="240" w:line="240" w:lineRule="exact"/>
        <w:ind w:left="426"/>
        <w:jc w:val="both"/>
        <w:rPr>
          <w:rFonts w:ascii="Lato" w:hAnsi="Lato"/>
          <w:b/>
          <w:bCs/>
          <w:sz w:val="22"/>
          <w:szCs w:val="22"/>
        </w:rPr>
      </w:pPr>
      <w:r w:rsidRPr="00926270">
        <w:rPr>
          <w:rFonts w:ascii="Lato" w:hAnsi="Lato"/>
          <w:b/>
          <w:bCs/>
          <w:sz w:val="22"/>
          <w:szCs w:val="22"/>
        </w:rPr>
        <w:t>„I. Określenie granic terenu objętego strategiczną inwestycją w sektorze naftowym</w:t>
      </w:r>
      <w:r w:rsidR="00401B27" w:rsidRPr="00926270">
        <w:rPr>
          <w:rFonts w:ascii="Lato" w:hAnsi="Lato"/>
          <w:b/>
          <w:bCs/>
          <w:sz w:val="22"/>
          <w:szCs w:val="22"/>
        </w:rPr>
        <w:t>:</w:t>
      </w:r>
    </w:p>
    <w:p w14:paraId="6B191CF5" w14:textId="7A104B3C" w:rsidR="00041B79" w:rsidRPr="00041B79" w:rsidRDefault="00041B79" w:rsidP="00041B79">
      <w:pPr>
        <w:spacing w:after="240" w:line="240" w:lineRule="exact"/>
        <w:ind w:left="426"/>
        <w:jc w:val="both"/>
        <w:rPr>
          <w:rFonts w:ascii="Lato" w:hAnsi="Lato"/>
          <w:sz w:val="22"/>
          <w:szCs w:val="22"/>
        </w:rPr>
      </w:pPr>
      <w:r w:rsidRPr="00041B79">
        <w:rPr>
          <w:rFonts w:ascii="Lato" w:hAnsi="Lato"/>
          <w:sz w:val="22"/>
          <w:szCs w:val="22"/>
        </w:rPr>
        <w:t>Granice terenu objętego inwestycją oznaczono na mapach w skali 1:1000</w:t>
      </w:r>
      <w:r>
        <w:rPr>
          <w:rFonts w:ascii="Lato" w:hAnsi="Lato"/>
          <w:sz w:val="22"/>
          <w:szCs w:val="22"/>
        </w:rPr>
        <w:t xml:space="preserve"> </w:t>
      </w:r>
      <w:r w:rsidRPr="00041B79">
        <w:rPr>
          <w:rFonts w:ascii="Lato" w:hAnsi="Lato"/>
          <w:sz w:val="22"/>
          <w:szCs w:val="22"/>
        </w:rPr>
        <w:t>stanowiących załączniki nr 1-</w:t>
      </w:r>
      <w:r>
        <w:rPr>
          <w:rFonts w:ascii="Lato" w:hAnsi="Lato"/>
          <w:sz w:val="22"/>
          <w:szCs w:val="22"/>
        </w:rPr>
        <w:t>59</w:t>
      </w:r>
      <w:r w:rsidRPr="00041B79">
        <w:rPr>
          <w:rFonts w:ascii="Lato" w:hAnsi="Lato"/>
          <w:sz w:val="22"/>
          <w:szCs w:val="22"/>
        </w:rPr>
        <w:t xml:space="preserve"> do decyzji</w:t>
      </w:r>
      <w:r w:rsidR="00645452" w:rsidRPr="00645452">
        <w:rPr>
          <w:rFonts w:ascii="Lato" w:hAnsi="Lato" w:cs="Arial"/>
          <w:spacing w:val="4"/>
          <w:sz w:val="22"/>
          <w:szCs w:val="22"/>
        </w:rPr>
        <w:t xml:space="preserve"> </w:t>
      </w:r>
      <w:r w:rsidR="00645452" w:rsidRPr="00645452">
        <w:rPr>
          <w:rFonts w:ascii="Lato" w:hAnsi="Lato"/>
          <w:sz w:val="22"/>
          <w:szCs w:val="22"/>
        </w:rPr>
        <w:t>o ustaleniu lokalizacji strategicznej inwestycji w sektorze naftowym</w:t>
      </w:r>
      <w:r w:rsidRPr="00041B79">
        <w:rPr>
          <w:rFonts w:ascii="Lato" w:hAnsi="Lato"/>
          <w:sz w:val="22"/>
          <w:szCs w:val="22"/>
        </w:rPr>
        <w:t>, w następujący sposób:</w:t>
      </w:r>
    </w:p>
    <w:p w14:paraId="0030C609" w14:textId="77777777" w:rsidR="00041B79" w:rsidRDefault="00041B79" w:rsidP="005F4256">
      <w:pPr>
        <w:pStyle w:val="Akapitzlist"/>
        <w:numPr>
          <w:ilvl w:val="0"/>
          <w:numId w:val="8"/>
        </w:numPr>
        <w:spacing w:after="240" w:line="240" w:lineRule="exact"/>
        <w:ind w:left="850" w:hanging="425"/>
        <w:contextualSpacing w:val="0"/>
        <w:jc w:val="both"/>
        <w:rPr>
          <w:rFonts w:ascii="Lato" w:hAnsi="Lato"/>
          <w:sz w:val="22"/>
          <w:szCs w:val="22"/>
        </w:rPr>
      </w:pPr>
      <w:r w:rsidRPr="00041B79">
        <w:rPr>
          <w:rFonts w:ascii="Lato" w:hAnsi="Lato"/>
          <w:sz w:val="22"/>
          <w:szCs w:val="22"/>
        </w:rPr>
        <w:t xml:space="preserve">linią przerywaną koloru </w:t>
      </w:r>
      <w:r>
        <w:rPr>
          <w:rFonts w:ascii="Lato" w:hAnsi="Lato"/>
          <w:sz w:val="22"/>
          <w:szCs w:val="22"/>
        </w:rPr>
        <w:t>różowego</w:t>
      </w:r>
      <w:r w:rsidRPr="00041B79">
        <w:rPr>
          <w:rFonts w:ascii="Lato" w:hAnsi="Lato"/>
          <w:sz w:val="22"/>
          <w:szCs w:val="22"/>
        </w:rPr>
        <w:t xml:space="preserve"> – oznaczono granice terenu objętego inwestycją,</w:t>
      </w:r>
    </w:p>
    <w:p w14:paraId="443AF9EF" w14:textId="7800B0CB" w:rsidR="00041B79" w:rsidRDefault="00041B79" w:rsidP="005F4256">
      <w:pPr>
        <w:pStyle w:val="Akapitzlist"/>
        <w:numPr>
          <w:ilvl w:val="0"/>
          <w:numId w:val="8"/>
        </w:numPr>
        <w:spacing w:after="240" w:line="240" w:lineRule="exact"/>
        <w:ind w:left="850" w:hanging="425"/>
        <w:contextualSpacing w:val="0"/>
        <w:jc w:val="both"/>
        <w:rPr>
          <w:rFonts w:ascii="Lato" w:hAnsi="Lato"/>
          <w:sz w:val="22"/>
          <w:szCs w:val="22"/>
        </w:rPr>
      </w:pPr>
      <w:r>
        <w:rPr>
          <w:rFonts w:ascii="Lato" w:hAnsi="Lato"/>
          <w:sz w:val="22"/>
          <w:szCs w:val="22"/>
        </w:rPr>
        <w:t xml:space="preserve">linią ciągłą koloru czerwonego – oznaczono linie rozgraniczające teren </w:t>
      </w:r>
      <w:r w:rsidR="002F53DC" w:rsidRPr="002F53DC">
        <w:rPr>
          <w:rFonts w:ascii="Lato" w:hAnsi="Lato"/>
          <w:sz w:val="22"/>
          <w:szCs w:val="22"/>
        </w:rPr>
        <w:t>inwestycji stanowią</w:t>
      </w:r>
      <w:r w:rsidR="002F53DC">
        <w:rPr>
          <w:rFonts w:ascii="Lato" w:hAnsi="Lato"/>
          <w:sz w:val="22"/>
          <w:szCs w:val="22"/>
        </w:rPr>
        <w:t>ce</w:t>
      </w:r>
      <w:r w:rsidR="002F53DC" w:rsidRPr="002F53DC">
        <w:rPr>
          <w:rFonts w:ascii="Lato" w:hAnsi="Lato"/>
          <w:sz w:val="22"/>
          <w:szCs w:val="22"/>
        </w:rPr>
        <w:t xml:space="preserve"> linie podziału nieruchomości </w:t>
      </w:r>
      <w:r w:rsidR="002F53DC">
        <w:rPr>
          <w:rFonts w:ascii="Lato" w:hAnsi="Lato"/>
          <w:sz w:val="22"/>
          <w:szCs w:val="22"/>
        </w:rPr>
        <w:t>wymienion</w:t>
      </w:r>
      <w:r w:rsidR="00000374">
        <w:rPr>
          <w:rFonts w:ascii="Lato" w:hAnsi="Lato"/>
          <w:sz w:val="22"/>
          <w:szCs w:val="22"/>
        </w:rPr>
        <w:t>ych</w:t>
      </w:r>
      <w:r w:rsidR="002F53DC">
        <w:rPr>
          <w:rFonts w:ascii="Lato" w:hAnsi="Lato"/>
          <w:sz w:val="22"/>
          <w:szCs w:val="22"/>
        </w:rPr>
        <w:t xml:space="preserve"> w tabeli nr 1</w:t>
      </w:r>
      <w:r w:rsidR="00177629">
        <w:rPr>
          <w:rFonts w:ascii="Lato" w:hAnsi="Lato"/>
          <w:sz w:val="22"/>
          <w:szCs w:val="22"/>
        </w:rPr>
        <w:t xml:space="preserve"> (</w:t>
      </w:r>
      <w:r w:rsidR="009456F3">
        <w:rPr>
          <w:rFonts w:ascii="Lato" w:hAnsi="Lato"/>
          <w:sz w:val="22"/>
          <w:szCs w:val="22"/>
        </w:rPr>
        <w:t>skutek,</w:t>
      </w:r>
      <w:r w:rsidR="00177629">
        <w:rPr>
          <w:rFonts w:ascii="Lato" w:hAnsi="Lato"/>
          <w:sz w:val="22"/>
          <w:szCs w:val="22"/>
        </w:rPr>
        <w:t xml:space="preserve"> </w:t>
      </w:r>
      <w:r w:rsidR="009456F3">
        <w:rPr>
          <w:rFonts w:ascii="Lato" w:hAnsi="Lato"/>
          <w:sz w:val="22"/>
          <w:szCs w:val="22"/>
        </w:rPr>
        <w:br/>
      </w:r>
      <w:r w:rsidR="00177629">
        <w:rPr>
          <w:rFonts w:ascii="Lato" w:hAnsi="Lato"/>
          <w:sz w:val="22"/>
          <w:szCs w:val="22"/>
        </w:rPr>
        <w:t>o którym mowa w art. 26 ust. 1)</w:t>
      </w:r>
      <w:r w:rsidR="002F53DC">
        <w:rPr>
          <w:rFonts w:ascii="Lato" w:hAnsi="Lato"/>
          <w:sz w:val="22"/>
          <w:szCs w:val="22"/>
        </w:rPr>
        <w:t>,</w:t>
      </w:r>
    </w:p>
    <w:p w14:paraId="6B81548E" w14:textId="68E6B02D" w:rsidR="00177629" w:rsidRDefault="00177629" w:rsidP="005F4256">
      <w:pPr>
        <w:pStyle w:val="Akapitzlist"/>
        <w:numPr>
          <w:ilvl w:val="0"/>
          <w:numId w:val="8"/>
        </w:numPr>
        <w:spacing w:after="240" w:line="240" w:lineRule="exact"/>
        <w:ind w:left="851" w:hanging="425"/>
        <w:contextualSpacing w:val="0"/>
        <w:jc w:val="both"/>
        <w:rPr>
          <w:rFonts w:ascii="Lato" w:hAnsi="Lato"/>
          <w:sz w:val="22"/>
          <w:szCs w:val="22"/>
        </w:rPr>
      </w:pPr>
      <w:r w:rsidRPr="00177629">
        <w:rPr>
          <w:rFonts w:ascii="Lato" w:hAnsi="Lato"/>
          <w:sz w:val="22"/>
          <w:szCs w:val="22"/>
        </w:rPr>
        <w:t>szrafem koloru jasnopomarańczowego – oznaczono nieruchomości, które stają się z mocy prawa własnością Skarbu Państwa</w:t>
      </w:r>
      <w:r w:rsidR="00EC316C">
        <w:rPr>
          <w:rFonts w:ascii="Lato" w:hAnsi="Lato"/>
          <w:sz w:val="22"/>
          <w:szCs w:val="22"/>
        </w:rPr>
        <w:t>,</w:t>
      </w:r>
      <w:r w:rsidRPr="00177629">
        <w:rPr>
          <w:rFonts w:ascii="Lato" w:hAnsi="Lato"/>
          <w:sz w:val="22"/>
          <w:szCs w:val="22"/>
        </w:rPr>
        <w:t xml:space="preserve"> wymienion</w:t>
      </w:r>
      <w:r w:rsidR="006649E2">
        <w:rPr>
          <w:rFonts w:ascii="Lato" w:hAnsi="Lato"/>
          <w:sz w:val="22"/>
          <w:szCs w:val="22"/>
        </w:rPr>
        <w:t>e</w:t>
      </w:r>
      <w:r w:rsidRPr="00177629">
        <w:rPr>
          <w:rFonts w:ascii="Lato" w:hAnsi="Lato"/>
          <w:sz w:val="22"/>
          <w:szCs w:val="22"/>
        </w:rPr>
        <w:t xml:space="preserve"> w tabeli nr 2 (skutek</w:t>
      </w:r>
      <w:r w:rsidR="00EC316C">
        <w:rPr>
          <w:rFonts w:ascii="Lato" w:hAnsi="Lato"/>
          <w:sz w:val="22"/>
          <w:szCs w:val="22"/>
        </w:rPr>
        <w:t>,</w:t>
      </w:r>
      <w:r w:rsidRPr="00177629">
        <w:rPr>
          <w:rFonts w:ascii="Lato" w:hAnsi="Lato"/>
          <w:sz w:val="22"/>
          <w:szCs w:val="22"/>
        </w:rPr>
        <w:t xml:space="preserve"> </w:t>
      </w:r>
      <w:r w:rsidR="00675FC9">
        <w:rPr>
          <w:rFonts w:ascii="Lato" w:hAnsi="Lato"/>
          <w:sz w:val="22"/>
          <w:szCs w:val="22"/>
        </w:rPr>
        <w:br/>
      </w:r>
      <w:r w:rsidRPr="00177629">
        <w:rPr>
          <w:rFonts w:ascii="Lato" w:hAnsi="Lato"/>
          <w:sz w:val="22"/>
          <w:szCs w:val="22"/>
        </w:rPr>
        <w:t>o którym mowa w art. 26 ust. 3 i ust. 6)</w:t>
      </w:r>
      <w:r w:rsidR="00675FC9">
        <w:rPr>
          <w:rFonts w:ascii="Lato" w:hAnsi="Lato"/>
          <w:sz w:val="22"/>
          <w:szCs w:val="22"/>
        </w:rPr>
        <w:t>,</w:t>
      </w:r>
    </w:p>
    <w:p w14:paraId="52BD42EB" w14:textId="138847B3" w:rsidR="00EC316C" w:rsidRPr="00177629" w:rsidRDefault="00EC316C" w:rsidP="005F4256">
      <w:pPr>
        <w:pStyle w:val="Akapitzlist"/>
        <w:numPr>
          <w:ilvl w:val="0"/>
          <w:numId w:val="8"/>
        </w:numPr>
        <w:spacing w:after="240" w:line="240" w:lineRule="exact"/>
        <w:ind w:left="851" w:hanging="425"/>
        <w:contextualSpacing w:val="0"/>
        <w:jc w:val="both"/>
        <w:rPr>
          <w:rFonts w:ascii="Lato" w:hAnsi="Lato"/>
          <w:sz w:val="22"/>
          <w:szCs w:val="22"/>
        </w:rPr>
      </w:pPr>
      <w:r>
        <w:rPr>
          <w:rFonts w:ascii="Lato" w:hAnsi="Lato"/>
          <w:sz w:val="22"/>
          <w:szCs w:val="22"/>
        </w:rPr>
        <w:t xml:space="preserve">szrafem koloru różowego – </w:t>
      </w:r>
      <w:r w:rsidR="00000374" w:rsidRPr="00000374">
        <w:rPr>
          <w:rFonts w:ascii="Lato" w:hAnsi="Lato"/>
          <w:sz w:val="22"/>
          <w:szCs w:val="22"/>
        </w:rPr>
        <w:t>oznaczono nieruchomości, które podlegają skutkom decyzji o ustaleniu lokalizacji strategicznej inwestycji w sektorze naftowym, określonym w art. 26 ust. 7</w:t>
      </w:r>
      <w:r w:rsidR="00000374">
        <w:rPr>
          <w:rFonts w:ascii="Lato" w:hAnsi="Lato"/>
          <w:sz w:val="22"/>
          <w:szCs w:val="22"/>
        </w:rPr>
        <w:t>, wymienione</w:t>
      </w:r>
      <w:r>
        <w:rPr>
          <w:rFonts w:ascii="Lato" w:hAnsi="Lato"/>
          <w:sz w:val="22"/>
          <w:szCs w:val="22"/>
        </w:rPr>
        <w:t xml:space="preserve"> w tabeli nr 3</w:t>
      </w:r>
      <w:r w:rsidR="006649E2">
        <w:rPr>
          <w:rFonts w:ascii="Lato" w:hAnsi="Lato"/>
          <w:sz w:val="22"/>
          <w:szCs w:val="22"/>
        </w:rPr>
        <w:t>,</w:t>
      </w:r>
      <w:r>
        <w:rPr>
          <w:rFonts w:ascii="Lato" w:hAnsi="Lato"/>
          <w:sz w:val="22"/>
          <w:szCs w:val="22"/>
        </w:rPr>
        <w:t xml:space="preserve"> </w:t>
      </w:r>
    </w:p>
    <w:p w14:paraId="24497B55" w14:textId="750190E0" w:rsidR="00944E9F" w:rsidRDefault="00041B79" w:rsidP="005F4256">
      <w:pPr>
        <w:pStyle w:val="Akapitzlist"/>
        <w:numPr>
          <w:ilvl w:val="0"/>
          <w:numId w:val="8"/>
        </w:numPr>
        <w:spacing w:after="240" w:line="240" w:lineRule="exact"/>
        <w:ind w:left="850" w:hanging="425"/>
        <w:contextualSpacing w:val="0"/>
        <w:jc w:val="both"/>
        <w:rPr>
          <w:rFonts w:ascii="Lato" w:hAnsi="Lato"/>
          <w:sz w:val="22"/>
          <w:szCs w:val="22"/>
        </w:rPr>
      </w:pPr>
      <w:r w:rsidRPr="00041B79">
        <w:rPr>
          <w:rFonts w:ascii="Lato" w:hAnsi="Lato"/>
          <w:sz w:val="22"/>
          <w:szCs w:val="22"/>
        </w:rPr>
        <w:t xml:space="preserve">szrafem w postaci </w:t>
      </w:r>
      <w:r w:rsidR="00944E9F">
        <w:rPr>
          <w:rFonts w:ascii="Lato" w:hAnsi="Lato"/>
          <w:sz w:val="22"/>
          <w:szCs w:val="22"/>
        </w:rPr>
        <w:t>kratkowanej</w:t>
      </w:r>
      <w:r w:rsidRPr="00041B79">
        <w:rPr>
          <w:rFonts w:ascii="Lato" w:hAnsi="Lato"/>
          <w:sz w:val="22"/>
          <w:szCs w:val="22"/>
        </w:rPr>
        <w:t xml:space="preserve"> linii </w:t>
      </w:r>
      <w:r w:rsidR="00AF56BD">
        <w:rPr>
          <w:rFonts w:ascii="Lato" w:hAnsi="Lato"/>
          <w:sz w:val="22"/>
          <w:szCs w:val="22"/>
        </w:rPr>
        <w:t xml:space="preserve">koloru </w:t>
      </w:r>
      <w:r w:rsidRPr="00041B79">
        <w:rPr>
          <w:rFonts w:ascii="Lato" w:hAnsi="Lato"/>
          <w:sz w:val="22"/>
          <w:szCs w:val="22"/>
        </w:rPr>
        <w:t xml:space="preserve">niebieskiej – oznaczono obszar objęty trwałym ograniczeniem sposobu korzystania z nieruchomości wymienionych </w:t>
      </w:r>
      <w:r w:rsidR="00AF56BD">
        <w:rPr>
          <w:rFonts w:ascii="Lato" w:hAnsi="Lato"/>
          <w:sz w:val="22"/>
          <w:szCs w:val="22"/>
        </w:rPr>
        <w:br/>
      </w:r>
      <w:r w:rsidRPr="00041B79">
        <w:rPr>
          <w:rFonts w:ascii="Lato" w:hAnsi="Lato"/>
          <w:sz w:val="22"/>
          <w:szCs w:val="22"/>
        </w:rPr>
        <w:t xml:space="preserve">w tabeli nr </w:t>
      </w:r>
      <w:r w:rsidR="00944E9F">
        <w:rPr>
          <w:rFonts w:ascii="Lato" w:hAnsi="Lato"/>
          <w:sz w:val="22"/>
          <w:szCs w:val="22"/>
        </w:rPr>
        <w:t>4</w:t>
      </w:r>
      <w:r w:rsidR="00675FC9">
        <w:rPr>
          <w:rFonts w:ascii="Lato" w:hAnsi="Lato"/>
          <w:sz w:val="22"/>
          <w:szCs w:val="22"/>
        </w:rPr>
        <w:t xml:space="preserve"> (</w:t>
      </w:r>
      <w:r w:rsidR="00EC316C">
        <w:rPr>
          <w:rFonts w:ascii="Lato" w:hAnsi="Lato"/>
          <w:sz w:val="22"/>
          <w:szCs w:val="22"/>
        </w:rPr>
        <w:t>skutki,</w:t>
      </w:r>
      <w:r w:rsidR="00675FC9">
        <w:rPr>
          <w:rFonts w:ascii="Lato" w:hAnsi="Lato"/>
          <w:sz w:val="22"/>
          <w:szCs w:val="22"/>
        </w:rPr>
        <w:t xml:space="preserve"> o których mowa w art. 30 ust. 1)</w:t>
      </w:r>
      <w:r w:rsidRPr="00041B79">
        <w:rPr>
          <w:rFonts w:ascii="Lato" w:hAnsi="Lato"/>
          <w:sz w:val="22"/>
          <w:szCs w:val="22"/>
        </w:rPr>
        <w:t>,</w:t>
      </w:r>
    </w:p>
    <w:p w14:paraId="7390D573" w14:textId="581FDC1B" w:rsidR="00041B79" w:rsidRDefault="00041B79" w:rsidP="005F4256">
      <w:pPr>
        <w:pStyle w:val="Akapitzlist"/>
        <w:numPr>
          <w:ilvl w:val="0"/>
          <w:numId w:val="8"/>
        </w:numPr>
        <w:spacing w:after="240" w:line="240" w:lineRule="exact"/>
        <w:ind w:left="850" w:hanging="425"/>
        <w:contextualSpacing w:val="0"/>
        <w:jc w:val="both"/>
        <w:rPr>
          <w:rFonts w:ascii="Lato" w:hAnsi="Lato"/>
          <w:sz w:val="22"/>
          <w:szCs w:val="22"/>
        </w:rPr>
      </w:pPr>
      <w:r w:rsidRPr="00AF56BD">
        <w:rPr>
          <w:rFonts w:ascii="Lato" w:hAnsi="Lato"/>
          <w:sz w:val="22"/>
          <w:szCs w:val="22"/>
        </w:rPr>
        <w:lastRenderedPageBreak/>
        <w:t xml:space="preserve">szrafem w postaci kreskowanej linii </w:t>
      </w:r>
      <w:r w:rsidR="00AF56BD" w:rsidRPr="00AF56BD">
        <w:rPr>
          <w:rFonts w:ascii="Lato" w:hAnsi="Lato"/>
          <w:sz w:val="22"/>
          <w:szCs w:val="22"/>
        </w:rPr>
        <w:t xml:space="preserve">koloru </w:t>
      </w:r>
      <w:r w:rsidR="00AF56BD" w:rsidRPr="00AF56BD">
        <w:rPr>
          <w:rFonts w:ascii="Lato" w:hAnsi="Lato"/>
          <w:bCs/>
          <w:iCs/>
          <w:sz w:val="22"/>
          <w:szCs w:val="22"/>
          <w:lang w:bidi="pl-PL"/>
        </w:rPr>
        <w:t>ciemnoniebieskiego</w:t>
      </w:r>
      <w:r w:rsidRPr="00AF56BD">
        <w:rPr>
          <w:rFonts w:ascii="Lato" w:hAnsi="Lato"/>
          <w:sz w:val="22"/>
          <w:szCs w:val="22"/>
        </w:rPr>
        <w:t>–</w:t>
      </w:r>
      <w:r w:rsidRPr="00944E9F">
        <w:rPr>
          <w:rFonts w:ascii="Lato" w:hAnsi="Lato"/>
          <w:sz w:val="22"/>
          <w:szCs w:val="22"/>
        </w:rPr>
        <w:t xml:space="preserve"> oznaczono obszar objęty czasowym ograniczeniem sposobu korzystania z nieruchomości wymienionych w tabeli nr </w:t>
      </w:r>
      <w:r w:rsidR="00944E9F">
        <w:rPr>
          <w:rFonts w:ascii="Lato" w:hAnsi="Lato"/>
          <w:sz w:val="22"/>
          <w:szCs w:val="22"/>
        </w:rPr>
        <w:t>5</w:t>
      </w:r>
      <w:r w:rsidR="00675FC9">
        <w:rPr>
          <w:rFonts w:ascii="Lato" w:hAnsi="Lato"/>
          <w:sz w:val="22"/>
          <w:szCs w:val="22"/>
        </w:rPr>
        <w:t xml:space="preserve"> (</w:t>
      </w:r>
      <w:r w:rsidR="00EC316C">
        <w:rPr>
          <w:rFonts w:ascii="Lato" w:hAnsi="Lato"/>
          <w:sz w:val="22"/>
          <w:szCs w:val="22"/>
        </w:rPr>
        <w:t>skutki,</w:t>
      </w:r>
      <w:r w:rsidR="00675FC9">
        <w:rPr>
          <w:rFonts w:ascii="Lato" w:hAnsi="Lato"/>
          <w:sz w:val="22"/>
          <w:szCs w:val="22"/>
        </w:rPr>
        <w:t xml:space="preserve"> o których mowa w art. 30 ust. 3)</w:t>
      </w:r>
      <w:r w:rsidRPr="00944E9F">
        <w:rPr>
          <w:rFonts w:ascii="Lato" w:hAnsi="Lato"/>
          <w:sz w:val="22"/>
          <w:szCs w:val="22"/>
        </w:rPr>
        <w:t>,</w:t>
      </w:r>
    </w:p>
    <w:p w14:paraId="0F233C69" w14:textId="65593AFE" w:rsidR="00532197" w:rsidRPr="00675FC9" w:rsidRDefault="00D72472" w:rsidP="005F4256">
      <w:pPr>
        <w:pStyle w:val="Akapitzlist"/>
        <w:numPr>
          <w:ilvl w:val="0"/>
          <w:numId w:val="8"/>
        </w:numPr>
        <w:spacing w:after="240" w:line="240" w:lineRule="exact"/>
        <w:ind w:left="850" w:hanging="425"/>
        <w:contextualSpacing w:val="0"/>
        <w:jc w:val="both"/>
        <w:rPr>
          <w:rFonts w:ascii="Lato" w:hAnsi="Lato"/>
          <w:sz w:val="22"/>
          <w:szCs w:val="22"/>
        </w:rPr>
      </w:pPr>
      <w:r>
        <w:rPr>
          <w:rFonts w:ascii="Lato" w:hAnsi="Lato"/>
          <w:sz w:val="22"/>
          <w:szCs w:val="22"/>
        </w:rPr>
        <w:t xml:space="preserve">szrafem koloru zielonego – oznaczono obszar objęty trwałym ograniczeniem sposobu korzystania z nieruchomości wymienionych w tabeli </w:t>
      </w:r>
      <w:r w:rsidR="001A75F6">
        <w:rPr>
          <w:rFonts w:ascii="Lato" w:hAnsi="Lato"/>
          <w:sz w:val="22"/>
          <w:szCs w:val="22"/>
        </w:rPr>
        <w:t xml:space="preserve">nr </w:t>
      </w:r>
      <w:r w:rsidR="00D773D6">
        <w:rPr>
          <w:rFonts w:ascii="Lato" w:hAnsi="Lato"/>
          <w:sz w:val="22"/>
          <w:szCs w:val="22"/>
        </w:rPr>
        <w:t xml:space="preserve">6 </w:t>
      </w:r>
      <w:r w:rsidR="006649E2">
        <w:rPr>
          <w:rFonts w:ascii="Lato" w:hAnsi="Lato"/>
          <w:sz w:val="22"/>
          <w:szCs w:val="22"/>
        </w:rPr>
        <w:t>na rzecz innych podmiotów</w:t>
      </w:r>
      <w:r w:rsidR="00675FC9">
        <w:rPr>
          <w:rFonts w:ascii="Lato" w:hAnsi="Lato"/>
          <w:sz w:val="22"/>
          <w:szCs w:val="22"/>
        </w:rPr>
        <w:t xml:space="preserve"> (</w:t>
      </w:r>
      <w:r w:rsidR="00EC316C">
        <w:rPr>
          <w:rFonts w:ascii="Lato" w:hAnsi="Lato"/>
          <w:sz w:val="22"/>
          <w:szCs w:val="22"/>
        </w:rPr>
        <w:t>skutki,</w:t>
      </w:r>
      <w:r w:rsidR="00675FC9">
        <w:rPr>
          <w:rFonts w:ascii="Lato" w:hAnsi="Lato"/>
          <w:sz w:val="22"/>
          <w:szCs w:val="22"/>
        </w:rPr>
        <w:t xml:space="preserve"> o których mowa w art. 30 ust. 2)</w:t>
      </w:r>
      <w:r w:rsidR="001A75F6">
        <w:rPr>
          <w:rFonts w:ascii="Lato" w:hAnsi="Lato"/>
          <w:sz w:val="22"/>
          <w:szCs w:val="22"/>
        </w:rPr>
        <w:t>,</w:t>
      </w:r>
    </w:p>
    <w:p w14:paraId="6E75E10F" w14:textId="5F06C4ED" w:rsidR="009673DD" w:rsidRPr="009673DD" w:rsidRDefault="009673DD" w:rsidP="005F4256">
      <w:pPr>
        <w:pStyle w:val="Akapitzlist"/>
        <w:numPr>
          <w:ilvl w:val="0"/>
          <w:numId w:val="5"/>
        </w:numPr>
        <w:spacing w:after="240" w:line="240" w:lineRule="exact"/>
        <w:ind w:left="426" w:hanging="284"/>
        <w:rPr>
          <w:rFonts w:ascii="Lato" w:hAnsi="Lato"/>
          <w:b/>
          <w:bCs/>
          <w:sz w:val="22"/>
          <w:szCs w:val="22"/>
        </w:rPr>
      </w:pPr>
      <w:r w:rsidRPr="009673DD">
        <w:rPr>
          <w:rFonts w:ascii="Lato" w:hAnsi="Lato"/>
          <w:b/>
          <w:bCs/>
          <w:sz w:val="22"/>
          <w:szCs w:val="22"/>
        </w:rPr>
        <w:t>W pozostałej części zaskarżoną decyzję utrzymuję w mocy.</w:t>
      </w:r>
    </w:p>
    <w:p w14:paraId="2733EB45" w14:textId="77777777" w:rsidR="009673DD" w:rsidRDefault="009673DD" w:rsidP="009673DD">
      <w:pPr>
        <w:pStyle w:val="Akapitzlist"/>
        <w:ind w:left="426"/>
        <w:jc w:val="both"/>
        <w:rPr>
          <w:rFonts w:ascii="Lato" w:hAnsi="Lato"/>
          <w:bCs/>
          <w:sz w:val="22"/>
          <w:szCs w:val="22"/>
        </w:rPr>
      </w:pPr>
    </w:p>
    <w:p w14:paraId="2C15FC81" w14:textId="77777777" w:rsidR="009673DD" w:rsidRPr="009673DD" w:rsidRDefault="009673DD" w:rsidP="009673DD">
      <w:pPr>
        <w:pStyle w:val="Akapitzlist"/>
        <w:ind w:left="426"/>
        <w:jc w:val="both"/>
        <w:rPr>
          <w:rFonts w:ascii="Lato" w:hAnsi="Lato"/>
          <w:bCs/>
          <w:sz w:val="22"/>
          <w:szCs w:val="22"/>
        </w:rPr>
      </w:pPr>
    </w:p>
    <w:p w14:paraId="4719FDFA" w14:textId="77777777" w:rsidR="00150DC6" w:rsidRPr="00636951" w:rsidRDefault="00150DC6" w:rsidP="00111E70">
      <w:pPr>
        <w:rPr>
          <w:rFonts w:ascii="Lato" w:hAnsi="Lato"/>
          <w:bCs/>
          <w:sz w:val="22"/>
          <w:szCs w:val="22"/>
        </w:rPr>
      </w:pPr>
    </w:p>
    <w:p w14:paraId="09D77B02" w14:textId="7FCD8A51"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0C01D6E3" w14:textId="1EFA7E67" w:rsidR="00A95767" w:rsidRDefault="00A95767" w:rsidP="00F24C6D">
      <w:pPr>
        <w:spacing w:after="240" w:line="240" w:lineRule="exact"/>
        <w:jc w:val="both"/>
        <w:rPr>
          <w:rFonts w:ascii="Lato" w:hAnsi="Lato" w:cs="Arial"/>
          <w:spacing w:val="4"/>
          <w:sz w:val="22"/>
          <w:szCs w:val="22"/>
        </w:rPr>
      </w:pPr>
      <w:r w:rsidRPr="00A95767">
        <w:rPr>
          <w:rFonts w:ascii="Lato" w:hAnsi="Lato" w:cs="Arial"/>
          <w:spacing w:val="4"/>
          <w:sz w:val="22"/>
          <w:szCs w:val="22"/>
        </w:rPr>
        <w:t xml:space="preserve">PERN Spółka Akcyjna z siedzibą w Płocku, zwana dalej </w:t>
      </w:r>
      <w:r w:rsidRPr="007231E2">
        <w:rPr>
          <w:rFonts w:ascii="Lato" w:hAnsi="Lato" w:cs="Arial"/>
          <w:i/>
          <w:iCs/>
          <w:spacing w:val="4"/>
          <w:sz w:val="22"/>
          <w:szCs w:val="22"/>
        </w:rPr>
        <w:t>„inwestorem”,</w:t>
      </w:r>
      <w:r>
        <w:rPr>
          <w:rFonts w:ascii="Lato" w:hAnsi="Lato" w:cs="Arial"/>
          <w:spacing w:val="4"/>
          <w:sz w:val="22"/>
          <w:szCs w:val="22"/>
        </w:rPr>
        <w:t xml:space="preserve"> </w:t>
      </w:r>
      <w:r w:rsidR="00B66591" w:rsidRPr="00F24C6D">
        <w:rPr>
          <w:rFonts w:ascii="Lato" w:hAnsi="Lato" w:cs="Arial"/>
          <w:spacing w:val="4"/>
          <w:sz w:val="22"/>
          <w:szCs w:val="22"/>
        </w:rPr>
        <w:t xml:space="preserve">reprezentowana przez ustanowionego w sprawie pełnomocnika, </w:t>
      </w:r>
      <w:r w:rsidR="000058A3" w:rsidRPr="00F24C6D">
        <w:rPr>
          <w:rFonts w:ascii="Lato" w:hAnsi="Lato" w:cs="Arial"/>
          <w:spacing w:val="4"/>
          <w:sz w:val="22"/>
          <w:szCs w:val="22"/>
        </w:rPr>
        <w:t xml:space="preserve">wnioskiem z dnia </w:t>
      </w:r>
      <w:r w:rsidR="007231E2">
        <w:rPr>
          <w:rFonts w:ascii="Lato" w:hAnsi="Lato" w:cs="Arial"/>
          <w:spacing w:val="4"/>
          <w:sz w:val="22"/>
          <w:szCs w:val="22"/>
        </w:rPr>
        <w:t>13</w:t>
      </w:r>
      <w:r w:rsidR="000058A3" w:rsidRPr="00F24C6D">
        <w:rPr>
          <w:rFonts w:ascii="Lato" w:hAnsi="Lato" w:cs="Arial"/>
          <w:spacing w:val="4"/>
          <w:sz w:val="22"/>
          <w:szCs w:val="22"/>
        </w:rPr>
        <w:t xml:space="preserve"> </w:t>
      </w:r>
      <w:r>
        <w:rPr>
          <w:rFonts w:ascii="Lato" w:hAnsi="Lato" w:cs="Arial"/>
          <w:spacing w:val="4"/>
          <w:sz w:val="22"/>
          <w:szCs w:val="22"/>
        </w:rPr>
        <w:t>lipca</w:t>
      </w:r>
      <w:r w:rsidR="000058A3" w:rsidRPr="00F24C6D">
        <w:rPr>
          <w:rFonts w:ascii="Lato" w:hAnsi="Lato" w:cs="Arial"/>
          <w:spacing w:val="4"/>
          <w:sz w:val="22"/>
          <w:szCs w:val="22"/>
        </w:rPr>
        <w:t xml:space="preserve"> 202</w:t>
      </w:r>
      <w:r>
        <w:rPr>
          <w:rFonts w:ascii="Lato" w:hAnsi="Lato" w:cs="Arial"/>
          <w:spacing w:val="4"/>
          <w:sz w:val="22"/>
          <w:szCs w:val="22"/>
        </w:rPr>
        <w:t>1</w:t>
      </w:r>
      <w:r w:rsidR="000058A3" w:rsidRPr="00F24C6D">
        <w:rPr>
          <w:rFonts w:ascii="Lato" w:hAnsi="Lato" w:cs="Arial"/>
          <w:spacing w:val="4"/>
          <w:sz w:val="22"/>
          <w:szCs w:val="22"/>
        </w:rPr>
        <w:t xml:space="preserve"> r</w:t>
      </w:r>
      <w:r>
        <w:rPr>
          <w:rFonts w:ascii="Lato" w:hAnsi="Lato" w:cs="Arial"/>
          <w:spacing w:val="4"/>
          <w:sz w:val="22"/>
          <w:szCs w:val="22"/>
        </w:rPr>
        <w:t>.</w:t>
      </w:r>
      <w:r w:rsidR="001871FB" w:rsidRPr="001871FB">
        <w:rPr>
          <w:rFonts w:ascii="Lato" w:hAnsi="Lato" w:cs="Arial"/>
          <w:spacing w:val="4"/>
          <w:sz w:val="22"/>
          <w:szCs w:val="22"/>
        </w:rPr>
        <w:t xml:space="preserve">, </w:t>
      </w:r>
      <w:r w:rsidR="001871FB">
        <w:rPr>
          <w:rFonts w:ascii="Lato" w:hAnsi="Lato" w:cs="Arial"/>
          <w:spacing w:val="4"/>
          <w:sz w:val="22"/>
          <w:szCs w:val="22"/>
        </w:rPr>
        <w:t>uzupełnionym</w:t>
      </w:r>
      <w:r w:rsidR="001871FB" w:rsidRPr="001871FB">
        <w:rPr>
          <w:rFonts w:ascii="Lato" w:hAnsi="Lato" w:cs="Arial"/>
          <w:spacing w:val="4"/>
          <w:sz w:val="22"/>
          <w:szCs w:val="22"/>
        </w:rPr>
        <w:t xml:space="preserve"> w trakcie prowadzonego postępowania,</w:t>
      </w:r>
      <w:r w:rsidR="000058A3" w:rsidRPr="00F24C6D">
        <w:rPr>
          <w:rFonts w:ascii="Lato" w:hAnsi="Lato" w:cs="Arial"/>
          <w:spacing w:val="4"/>
          <w:sz w:val="22"/>
          <w:szCs w:val="22"/>
        </w:rPr>
        <w:t xml:space="preserve"> wystąpił</w:t>
      </w:r>
      <w:r w:rsidR="00992B5B">
        <w:rPr>
          <w:rFonts w:ascii="Lato" w:hAnsi="Lato" w:cs="Arial"/>
          <w:spacing w:val="4"/>
          <w:sz w:val="22"/>
          <w:szCs w:val="22"/>
        </w:rPr>
        <w:t>a</w:t>
      </w:r>
      <w:r w:rsidR="000058A3" w:rsidRPr="00F24C6D">
        <w:rPr>
          <w:rFonts w:ascii="Lato" w:hAnsi="Lato" w:cs="Arial"/>
          <w:spacing w:val="4"/>
          <w:sz w:val="22"/>
          <w:szCs w:val="22"/>
        </w:rPr>
        <w:t xml:space="preserve"> do Wojewody </w:t>
      </w:r>
      <w:r>
        <w:rPr>
          <w:rFonts w:ascii="Lato" w:hAnsi="Lato" w:cs="Arial"/>
          <w:spacing w:val="4"/>
          <w:sz w:val="22"/>
          <w:szCs w:val="22"/>
        </w:rPr>
        <w:t>Mazowieckiego</w:t>
      </w:r>
      <w:r w:rsidR="000058A3" w:rsidRPr="00F24C6D">
        <w:rPr>
          <w:rFonts w:ascii="Lato" w:eastAsia="Arial Unicode MS" w:hAnsi="Lato" w:cs="Arial"/>
          <w:spacing w:val="4"/>
          <w:sz w:val="22"/>
          <w:szCs w:val="22"/>
        </w:rPr>
        <w:t xml:space="preserve"> </w:t>
      </w:r>
      <w:r w:rsidR="000058A3" w:rsidRPr="00F24C6D">
        <w:rPr>
          <w:rFonts w:ascii="Lato" w:hAnsi="Lato" w:cs="Arial"/>
          <w:spacing w:val="4"/>
          <w:sz w:val="22"/>
          <w:szCs w:val="22"/>
        </w:rPr>
        <w:t xml:space="preserve">o wydanie decyzji o ustaleniu lokalizacji ww. </w:t>
      </w:r>
      <w:r w:rsidRPr="00A95767">
        <w:rPr>
          <w:rFonts w:ascii="Lato" w:hAnsi="Lato" w:cs="Arial"/>
          <w:spacing w:val="4"/>
          <w:sz w:val="22"/>
          <w:szCs w:val="22"/>
        </w:rPr>
        <w:t xml:space="preserve">strategicznej inwestycji </w:t>
      </w:r>
      <w:r w:rsidR="00AB12FA">
        <w:rPr>
          <w:rFonts w:ascii="Lato" w:hAnsi="Lato" w:cs="Arial"/>
          <w:spacing w:val="4"/>
          <w:sz w:val="22"/>
          <w:szCs w:val="22"/>
        </w:rPr>
        <w:br/>
      </w:r>
      <w:r w:rsidRPr="00A95767">
        <w:rPr>
          <w:rFonts w:ascii="Lato" w:hAnsi="Lato" w:cs="Arial"/>
          <w:spacing w:val="4"/>
          <w:sz w:val="22"/>
          <w:szCs w:val="22"/>
        </w:rPr>
        <w:t>w sektorze naftowym</w:t>
      </w:r>
      <w:r w:rsidR="00AB49C5">
        <w:rPr>
          <w:rFonts w:ascii="Lato" w:hAnsi="Lato" w:cs="Arial"/>
          <w:spacing w:val="4"/>
          <w:sz w:val="22"/>
          <w:szCs w:val="22"/>
        </w:rPr>
        <w:t>.</w:t>
      </w:r>
      <w:r w:rsidRPr="00A95767">
        <w:rPr>
          <w:rFonts w:ascii="Lato" w:hAnsi="Lato" w:cs="Arial"/>
          <w:spacing w:val="4"/>
          <w:sz w:val="22"/>
          <w:szCs w:val="22"/>
        </w:rPr>
        <w:t xml:space="preserve"> </w:t>
      </w:r>
    </w:p>
    <w:p w14:paraId="4E5DD648" w14:textId="38A560FF" w:rsidR="00111E70" w:rsidRPr="00F24C6D" w:rsidRDefault="009A4320" w:rsidP="00F24C6D">
      <w:pPr>
        <w:spacing w:after="240" w:line="240" w:lineRule="exact"/>
        <w:jc w:val="both"/>
        <w:rPr>
          <w:rFonts w:ascii="Lato" w:hAnsi="Lato" w:cs="Arial"/>
          <w:spacing w:val="4"/>
          <w:sz w:val="22"/>
          <w:szCs w:val="22"/>
        </w:rPr>
      </w:pPr>
      <w:r w:rsidRPr="00F24C6D">
        <w:rPr>
          <w:rFonts w:ascii="Lato" w:hAnsi="Lato" w:cs="Arial"/>
          <w:spacing w:val="4"/>
          <w:sz w:val="22"/>
          <w:szCs w:val="22"/>
        </w:rPr>
        <w:t xml:space="preserve">Po przeprowadzeniu postępowania w sprawie ww. wniosku, Wojewoda </w:t>
      </w:r>
      <w:r w:rsidR="00AB49C5">
        <w:rPr>
          <w:rFonts w:ascii="Lato" w:hAnsi="Lato" w:cs="Arial"/>
          <w:spacing w:val="4"/>
          <w:sz w:val="22"/>
          <w:szCs w:val="22"/>
        </w:rPr>
        <w:t>Mazowiecki</w:t>
      </w:r>
      <w:r w:rsidRPr="00F24C6D">
        <w:rPr>
          <w:rFonts w:ascii="Lato" w:hAnsi="Lato" w:cs="Arial"/>
          <w:spacing w:val="4"/>
          <w:sz w:val="22"/>
          <w:szCs w:val="22"/>
        </w:rPr>
        <w:t xml:space="preserve"> wydał decyzję </w:t>
      </w:r>
      <w:r w:rsidR="00992B5B">
        <w:rPr>
          <w:rFonts w:ascii="Lato" w:hAnsi="Lato" w:cs="Arial"/>
          <w:spacing w:val="4"/>
          <w:sz w:val="22"/>
          <w:szCs w:val="22"/>
        </w:rPr>
        <w:t>n</w:t>
      </w:r>
      <w:r w:rsidRPr="00F24C6D">
        <w:rPr>
          <w:rFonts w:ascii="Lato" w:hAnsi="Lato" w:cs="Arial"/>
          <w:spacing w:val="4"/>
          <w:sz w:val="22"/>
          <w:szCs w:val="22"/>
        </w:rPr>
        <w:t xml:space="preserve">r </w:t>
      </w:r>
      <w:r w:rsidR="00AB49C5">
        <w:rPr>
          <w:rFonts w:ascii="Lato" w:hAnsi="Lato" w:cs="Arial"/>
          <w:spacing w:val="4"/>
          <w:sz w:val="22"/>
          <w:szCs w:val="22"/>
        </w:rPr>
        <w:t>116</w:t>
      </w:r>
      <w:r w:rsidRPr="00F24C6D">
        <w:rPr>
          <w:rFonts w:ascii="Lato" w:hAnsi="Lato" w:cs="Arial"/>
          <w:spacing w:val="4"/>
          <w:sz w:val="22"/>
          <w:szCs w:val="22"/>
        </w:rPr>
        <w:t>/</w:t>
      </w:r>
      <w:r w:rsidR="00AB49C5">
        <w:rPr>
          <w:rFonts w:ascii="Lato" w:hAnsi="Lato" w:cs="Arial"/>
          <w:spacing w:val="4"/>
          <w:sz w:val="22"/>
          <w:szCs w:val="22"/>
        </w:rPr>
        <w:t>SPEC/</w:t>
      </w:r>
      <w:r w:rsidRPr="00F24C6D">
        <w:rPr>
          <w:rFonts w:ascii="Lato" w:hAnsi="Lato" w:cs="Arial"/>
          <w:spacing w:val="4"/>
          <w:sz w:val="22"/>
          <w:szCs w:val="22"/>
        </w:rPr>
        <w:t>202</w:t>
      </w:r>
      <w:r w:rsidR="00AB49C5">
        <w:rPr>
          <w:rFonts w:ascii="Lato" w:hAnsi="Lato" w:cs="Arial"/>
          <w:spacing w:val="4"/>
          <w:sz w:val="22"/>
          <w:szCs w:val="22"/>
        </w:rPr>
        <w:t>1</w:t>
      </w:r>
      <w:r w:rsidRPr="00F24C6D">
        <w:rPr>
          <w:rFonts w:ascii="Lato" w:hAnsi="Lato" w:cs="Arial"/>
          <w:spacing w:val="4"/>
          <w:sz w:val="22"/>
          <w:szCs w:val="22"/>
        </w:rPr>
        <w:t xml:space="preserve">, </w:t>
      </w:r>
      <w:r w:rsidR="00E953DB" w:rsidRPr="00F24C6D">
        <w:rPr>
          <w:rFonts w:ascii="Lato" w:hAnsi="Lato" w:cs="Arial"/>
          <w:spacing w:val="4"/>
          <w:sz w:val="22"/>
          <w:szCs w:val="22"/>
        </w:rPr>
        <w:t xml:space="preserve">znak: </w:t>
      </w:r>
      <w:r w:rsidR="00AB49C5">
        <w:rPr>
          <w:rFonts w:ascii="Lato" w:hAnsi="Lato" w:cs="Arial"/>
          <w:spacing w:val="4"/>
          <w:sz w:val="22"/>
          <w:szCs w:val="22"/>
        </w:rPr>
        <w:t>WI-I.747.5.7.2021.JK</w:t>
      </w:r>
      <w:r w:rsidR="00AB49C5" w:rsidRPr="00AB49C5">
        <w:t xml:space="preserve"> </w:t>
      </w:r>
      <w:r w:rsidR="00AB49C5" w:rsidRPr="00AB49C5">
        <w:rPr>
          <w:rFonts w:ascii="Lato" w:hAnsi="Lato" w:cs="Arial"/>
          <w:spacing w:val="4"/>
          <w:sz w:val="22"/>
          <w:szCs w:val="22"/>
        </w:rPr>
        <w:t xml:space="preserve">o ustaleniu lokalizacji strategicznej inwestycji w sektorze naftowym pn.: „budowa rurociągu ropy naftowej Gdańsk-Płock wraz infrastrukturą niezbędną do jego obsługi”, </w:t>
      </w:r>
      <w:r w:rsidR="00C510B2" w:rsidRPr="00F24C6D">
        <w:rPr>
          <w:rFonts w:ascii="Lato" w:hAnsi="Lato" w:cs="Arial"/>
          <w:spacing w:val="4"/>
          <w:sz w:val="22"/>
          <w:szCs w:val="22"/>
        </w:rPr>
        <w:t>zwan</w:t>
      </w:r>
      <w:r w:rsidR="00992B5B">
        <w:rPr>
          <w:rFonts w:ascii="Lato" w:hAnsi="Lato" w:cs="Arial"/>
          <w:spacing w:val="4"/>
          <w:sz w:val="22"/>
          <w:szCs w:val="22"/>
        </w:rPr>
        <w:t xml:space="preserve">ą </w:t>
      </w:r>
      <w:r w:rsidR="00C510B2" w:rsidRPr="00F24C6D">
        <w:rPr>
          <w:rFonts w:ascii="Lato" w:hAnsi="Lato" w:cs="Arial"/>
          <w:spacing w:val="4"/>
          <w:sz w:val="22"/>
          <w:szCs w:val="22"/>
        </w:rPr>
        <w:t xml:space="preserve">dalej </w:t>
      </w:r>
      <w:r w:rsidR="00C510B2" w:rsidRPr="00F24C6D">
        <w:rPr>
          <w:rFonts w:ascii="Lato" w:hAnsi="Lato" w:cs="Arial"/>
          <w:i/>
          <w:iCs/>
          <w:spacing w:val="4"/>
          <w:sz w:val="22"/>
          <w:szCs w:val="22"/>
        </w:rPr>
        <w:t xml:space="preserve">„decyzją Wojewody </w:t>
      </w:r>
      <w:r w:rsidR="00AB49C5">
        <w:rPr>
          <w:rFonts w:ascii="Lato" w:hAnsi="Lato" w:cs="Arial"/>
          <w:i/>
          <w:iCs/>
          <w:spacing w:val="4"/>
          <w:sz w:val="22"/>
          <w:szCs w:val="22"/>
        </w:rPr>
        <w:t>Mazowieckiego</w:t>
      </w:r>
      <w:r w:rsidR="00C510B2" w:rsidRPr="00F24C6D">
        <w:rPr>
          <w:rFonts w:ascii="Lato" w:hAnsi="Lato" w:cs="Arial"/>
          <w:i/>
          <w:iCs/>
          <w:spacing w:val="4"/>
          <w:sz w:val="22"/>
          <w:szCs w:val="22"/>
        </w:rPr>
        <w:t>”.</w:t>
      </w:r>
      <w:r w:rsidR="00C510B2" w:rsidRPr="00F24C6D">
        <w:rPr>
          <w:rFonts w:ascii="Lato" w:hAnsi="Lato" w:cs="Arial"/>
          <w:spacing w:val="4"/>
          <w:sz w:val="22"/>
          <w:szCs w:val="22"/>
        </w:rPr>
        <w:t xml:space="preserve"> </w:t>
      </w:r>
    </w:p>
    <w:p w14:paraId="323FCFDD" w14:textId="77777777" w:rsidR="005E6E77" w:rsidRDefault="009A4320" w:rsidP="00FF01B3">
      <w:pPr>
        <w:spacing w:after="240" w:line="240" w:lineRule="exact"/>
        <w:jc w:val="both"/>
        <w:rPr>
          <w:rFonts w:ascii="Lato" w:hAnsi="Lato" w:cstheme="minorHAnsi"/>
          <w:spacing w:val="4"/>
          <w:sz w:val="22"/>
          <w:szCs w:val="22"/>
        </w:rPr>
      </w:pPr>
      <w:r w:rsidRPr="00F24C6D">
        <w:rPr>
          <w:rFonts w:ascii="Lato" w:hAnsi="Lato" w:cstheme="minorHAnsi"/>
          <w:spacing w:val="4"/>
          <w:sz w:val="22"/>
          <w:szCs w:val="22"/>
        </w:rPr>
        <w:t xml:space="preserve">Od </w:t>
      </w:r>
      <w:r w:rsidRPr="00F24C6D">
        <w:rPr>
          <w:rFonts w:ascii="Lato" w:hAnsi="Lato" w:cstheme="minorHAnsi"/>
          <w:i/>
          <w:iCs/>
          <w:spacing w:val="4"/>
          <w:sz w:val="22"/>
          <w:szCs w:val="22"/>
        </w:rPr>
        <w:t xml:space="preserve">decyzji Wojewody </w:t>
      </w:r>
      <w:r w:rsidR="00AB49C5">
        <w:rPr>
          <w:rFonts w:ascii="Lato" w:hAnsi="Lato" w:cstheme="minorHAnsi"/>
          <w:i/>
          <w:iCs/>
          <w:spacing w:val="4"/>
          <w:sz w:val="22"/>
          <w:szCs w:val="22"/>
        </w:rPr>
        <w:t>Mazowieckiego</w:t>
      </w:r>
      <w:r w:rsidRPr="00F24C6D">
        <w:rPr>
          <w:rFonts w:ascii="Lato" w:hAnsi="Lato" w:cstheme="minorHAnsi"/>
          <w:spacing w:val="4"/>
          <w:sz w:val="22"/>
          <w:szCs w:val="22"/>
        </w:rPr>
        <w:t xml:space="preserve"> odwołani</w:t>
      </w:r>
      <w:r w:rsidR="00B66591" w:rsidRPr="00F24C6D">
        <w:rPr>
          <w:rFonts w:ascii="Lato" w:hAnsi="Lato" w:cstheme="minorHAnsi"/>
          <w:spacing w:val="4"/>
          <w:sz w:val="22"/>
          <w:szCs w:val="22"/>
        </w:rPr>
        <w:t>a</w:t>
      </w:r>
      <w:r w:rsidRPr="00F24C6D">
        <w:rPr>
          <w:rFonts w:ascii="Lato" w:hAnsi="Lato" w:cstheme="minorHAnsi"/>
          <w:spacing w:val="4"/>
          <w:sz w:val="22"/>
          <w:szCs w:val="22"/>
        </w:rPr>
        <w:t xml:space="preserve">, za pośrednictwem organu pierwszej instancji, </w:t>
      </w:r>
      <w:r w:rsidR="005E6E77">
        <w:rPr>
          <w:rFonts w:ascii="Lato" w:hAnsi="Lato" w:cstheme="minorHAnsi"/>
          <w:spacing w:val="4"/>
          <w:sz w:val="22"/>
          <w:szCs w:val="22"/>
        </w:rPr>
        <w:t>wnieśli:</w:t>
      </w:r>
    </w:p>
    <w:p w14:paraId="26CC7FFF" w14:textId="24657131" w:rsidR="005E6E77" w:rsidRPr="005E6E77" w:rsidRDefault="00ED19E6" w:rsidP="005F4256">
      <w:pPr>
        <w:pStyle w:val="Akapitzlist"/>
        <w:numPr>
          <w:ilvl w:val="0"/>
          <w:numId w:val="4"/>
        </w:numPr>
        <w:spacing w:after="240" w:line="240" w:lineRule="exact"/>
        <w:ind w:left="425" w:hanging="357"/>
        <w:contextualSpacing w:val="0"/>
        <w:jc w:val="both"/>
        <w:rPr>
          <w:rFonts w:ascii="Lato" w:hAnsi="Lato" w:cstheme="minorHAnsi"/>
          <w:spacing w:val="4"/>
          <w:sz w:val="22"/>
          <w:szCs w:val="22"/>
        </w:rPr>
      </w:pPr>
      <w:r w:rsidRPr="005E6E77">
        <w:rPr>
          <w:rFonts w:ascii="Lato" w:hAnsi="Lato" w:cstheme="minorHAnsi"/>
          <w:spacing w:val="4"/>
          <w:sz w:val="22"/>
          <w:szCs w:val="22"/>
        </w:rPr>
        <w:t>Pan</w:t>
      </w:r>
      <w:r w:rsidR="005E6E77" w:rsidRPr="005E6E77">
        <w:rPr>
          <w:rFonts w:ascii="Lato" w:hAnsi="Lato" w:cstheme="minorHAnsi"/>
          <w:spacing w:val="4"/>
          <w:sz w:val="22"/>
          <w:szCs w:val="22"/>
        </w:rPr>
        <w:t>i</w:t>
      </w:r>
      <w:r w:rsidRPr="005E6E77">
        <w:rPr>
          <w:rFonts w:ascii="Lato" w:hAnsi="Lato" w:cstheme="minorHAnsi"/>
          <w:spacing w:val="4"/>
          <w:sz w:val="22"/>
          <w:szCs w:val="22"/>
        </w:rPr>
        <w:t xml:space="preserve"> </w:t>
      </w:r>
      <w:r w:rsidR="004A7ACC">
        <w:rPr>
          <w:rFonts w:ascii="Lato" w:hAnsi="Lato" w:cstheme="minorHAnsi"/>
          <w:spacing w:val="4"/>
          <w:sz w:val="22"/>
          <w:szCs w:val="22"/>
        </w:rPr>
        <w:t>A.</w:t>
      </w:r>
      <w:r w:rsidR="005E6E77" w:rsidRPr="005E6E77">
        <w:rPr>
          <w:rFonts w:ascii="Lato" w:hAnsi="Lato" w:cstheme="minorHAnsi"/>
          <w:spacing w:val="4"/>
          <w:sz w:val="22"/>
          <w:szCs w:val="22"/>
        </w:rPr>
        <w:t xml:space="preserve"> </w:t>
      </w:r>
      <w:r w:rsidR="004A7ACC">
        <w:rPr>
          <w:rFonts w:ascii="Lato" w:hAnsi="Lato" w:cstheme="minorHAnsi"/>
          <w:spacing w:val="4"/>
          <w:sz w:val="22"/>
          <w:szCs w:val="22"/>
        </w:rPr>
        <w:t>S.</w:t>
      </w:r>
      <w:r w:rsidR="002D34AA" w:rsidRPr="005E6E77">
        <w:rPr>
          <w:rFonts w:ascii="Lato" w:hAnsi="Lato" w:cstheme="minorHAnsi"/>
          <w:spacing w:val="4"/>
          <w:sz w:val="22"/>
          <w:szCs w:val="22"/>
        </w:rPr>
        <w:t>,</w:t>
      </w:r>
      <w:r w:rsidRPr="005E6E77">
        <w:rPr>
          <w:rFonts w:ascii="Lato" w:hAnsi="Lato" w:cstheme="minorHAnsi"/>
          <w:spacing w:val="4"/>
          <w:sz w:val="22"/>
          <w:szCs w:val="22"/>
        </w:rPr>
        <w:t xml:space="preserve"> </w:t>
      </w:r>
      <w:r w:rsidR="007763FB" w:rsidRPr="005E6E77">
        <w:rPr>
          <w:rFonts w:ascii="Lato" w:hAnsi="Lato" w:cstheme="minorHAnsi"/>
          <w:spacing w:val="4"/>
          <w:sz w:val="22"/>
          <w:szCs w:val="22"/>
        </w:rPr>
        <w:t>pismem</w:t>
      </w:r>
      <w:r w:rsidRPr="005E6E77">
        <w:rPr>
          <w:rFonts w:ascii="Lato" w:hAnsi="Lato" w:cstheme="minorHAnsi"/>
          <w:spacing w:val="4"/>
          <w:sz w:val="22"/>
          <w:szCs w:val="22"/>
        </w:rPr>
        <w:t xml:space="preserve"> z dnia</w:t>
      </w:r>
      <w:r w:rsidR="00793CBF" w:rsidRPr="005E6E77">
        <w:rPr>
          <w:rFonts w:ascii="Lato" w:hAnsi="Lato" w:cstheme="minorHAnsi"/>
          <w:spacing w:val="4"/>
          <w:sz w:val="22"/>
          <w:szCs w:val="22"/>
        </w:rPr>
        <w:t xml:space="preserve"> </w:t>
      </w:r>
      <w:r w:rsidR="005E6E77" w:rsidRPr="005E6E77">
        <w:rPr>
          <w:rFonts w:ascii="Lato" w:hAnsi="Lato" w:cstheme="minorHAnsi"/>
          <w:spacing w:val="4"/>
          <w:sz w:val="22"/>
          <w:szCs w:val="22"/>
        </w:rPr>
        <w:t>20</w:t>
      </w:r>
      <w:r w:rsidR="00793CBF" w:rsidRPr="005E6E77">
        <w:rPr>
          <w:rFonts w:ascii="Lato" w:hAnsi="Lato" w:cstheme="minorHAnsi"/>
          <w:spacing w:val="4"/>
          <w:sz w:val="22"/>
          <w:szCs w:val="22"/>
        </w:rPr>
        <w:t xml:space="preserve"> grudnia 202</w:t>
      </w:r>
      <w:r w:rsidR="005E6E77" w:rsidRPr="005E6E77">
        <w:rPr>
          <w:rFonts w:ascii="Lato" w:hAnsi="Lato" w:cstheme="minorHAnsi"/>
          <w:spacing w:val="4"/>
          <w:sz w:val="22"/>
          <w:szCs w:val="22"/>
        </w:rPr>
        <w:t>1</w:t>
      </w:r>
      <w:r w:rsidR="00793CBF" w:rsidRPr="005E6E77">
        <w:rPr>
          <w:rFonts w:ascii="Lato" w:hAnsi="Lato" w:cstheme="minorHAnsi"/>
          <w:spacing w:val="4"/>
          <w:sz w:val="22"/>
          <w:szCs w:val="22"/>
        </w:rPr>
        <w:t xml:space="preserve"> r.</w:t>
      </w:r>
      <w:r w:rsidR="007231E2">
        <w:rPr>
          <w:rFonts w:ascii="Lato" w:hAnsi="Lato" w:cstheme="minorHAnsi"/>
          <w:spacing w:val="4"/>
          <w:sz w:val="22"/>
          <w:szCs w:val="22"/>
        </w:rPr>
        <w:t xml:space="preserve">, uzupełnionym pismem </w:t>
      </w:r>
      <w:r w:rsidR="00470295">
        <w:rPr>
          <w:rFonts w:ascii="Lato" w:hAnsi="Lato" w:cstheme="minorHAnsi"/>
          <w:spacing w:val="4"/>
          <w:sz w:val="22"/>
          <w:szCs w:val="22"/>
        </w:rPr>
        <w:br/>
      </w:r>
      <w:r w:rsidR="007231E2">
        <w:rPr>
          <w:rFonts w:ascii="Lato" w:hAnsi="Lato" w:cstheme="minorHAnsi"/>
          <w:spacing w:val="4"/>
          <w:sz w:val="22"/>
          <w:szCs w:val="22"/>
        </w:rPr>
        <w:t>z dnia 4 kwietnia 2022 r.,</w:t>
      </w:r>
    </w:p>
    <w:p w14:paraId="194C8CFF" w14:textId="7ACC9CCA" w:rsidR="005E6E77" w:rsidRDefault="005E6E77" w:rsidP="005F4256">
      <w:pPr>
        <w:pStyle w:val="Akapitzlist"/>
        <w:numPr>
          <w:ilvl w:val="0"/>
          <w:numId w:val="4"/>
        </w:numPr>
        <w:spacing w:after="240" w:line="240" w:lineRule="exact"/>
        <w:ind w:left="425" w:hanging="357"/>
        <w:contextualSpacing w:val="0"/>
        <w:jc w:val="both"/>
        <w:rPr>
          <w:rFonts w:ascii="Lato" w:hAnsi="Lato" w:cs="Arial"/>
          <w:spacing w:val="4"/>
          <w:sz w:val="22"/>
          <w:szCs w:val="22"/>
        </w:rPr>
      </w:pPr>
      <w:r w:rsidRPr="005E6E77">
        <w:rPr>
          <w:rFonts w:ascii="Lato" w:hAnsi="Lato" w:cs="Arial"/>
          <w:spacing w:val="4"/>
          <w:sz w:val="22"/>
          <w:szCs w:val="22"/>
        </w:rPr>
        <w:t xml:space="preserve">Pan </w:t>
      </w:r>
      <w:r w:rsidR="004A7ACC">
        <w:rPr>
          <w:rFonts w:ascii="Lato" w:hAnsi="Lato" w:cs="Arial"/>
          <w:spacing w:val="4"/>
          <w:sz w:val="22"/>
          <w:szCs w:val="22"/>
        </w:rPr>
        <w:t>L.</w:t>
      </w:r>
      <w:r w:rsidRPr="005E6E77">
        <w:rPr>
          <w:rFonts w:ascii="Lato" w:hAnsi="Lato" w:cs="Arial"/>
          <w:spacing w:val="4"/>
          <w:sz w:val="22"/>
          <w:szCs w:val="22"/>
        </w:rPr>
        <w:t xml:space="preserve"> </w:t>
      </w:r>
      <w:r w:rsidR="004A7ACC">
        <w:rPr>
          <w:rFonts w:ascii="Lato" w:hAnsi="Lato" w:cs="Arial"/>
          <w:spacing w:val="4"/>
          <w:sz w:val="22"/>
          <w:szCs w:val="22"/>
        </w:rPr>
        <w:t>B.</w:t>
      </w:r>
      <w:r>
        <w:rPr>
          <w:rFonts w:ascii="Lato" w:hAnsi="Lato" w:cs="Arial"/>
          <w:spacing w:val="4"/>
          <w:sz w:val="22"/>
          <w:szCs w:val="22"/>
        </w:rPr>
        <w:t xml:space="preserve">, </w:t>
      </w:r>
      <w:r w:rsidR="007763FB" w:rsidRPr="005E6E77">
        <w:rPr>
          <w:rFonts w:ascii="Lato" w:hAnsi="Lato" w:cstheme="minorHAnsi"/>
          <w:spacing w:val="4"/>
          <w:sz w:val="22"/>
          <w:szCs w:val="22"/>
        </w:rPr>
        <w:t>pism</w:t>
      </w:r>
      <w:r w:rsidRPr="005E6E77">
        <w:rPr>
          <w:rFonts w:ascii="Lato" w:hAnsi="Lato" w:cstheme="minorHAnsi"/>
          <w:spacing w:val="4"/>
          <w:sz w:val="22"/>
          <w:szCs w:val="22"/>
        </w:rPr>
        <w:t xml:space="preserve">em </w:t>
      </w:r>
      <w:r w:rsidR="007763FB" w:rsidRPr="005E6E77">
        <w:rPr>
          <w:rFonts w:ascii="Lato" w:hAnsi="Lato" w:cstheme="minorHAnsi"/>
          <w:spacing w:val="4"/>
          <w:sz w:val="22"/>
          <w:szCs w:val="22"/>
        </w:rPr>
        <w:t xml:space="preserve">z dnia </w:t>
      </w:r>
      <w:r w:rsidRPr="005E6E77">
        <w:rPr>
          <w:rFonts w:ascii="Lato" w:hAnsi="Lato" w:cs="Arial"/>
          <w:spacing w:val="4"/>
          <w:sz w:val="22"/>
          <w:szCs w:val="22"/>
        </w:rPr>
        <w:t>20</w:t>
      </w:r>
      <w:r w:rsidR="007763FB" w:rsidRPr="005E6E77">
        <w:rPr>
          <w:rFonts w:ascii="Lato" w:hAnsi="Lato" w:cs="Arial"/>
          <w:spacing w:val="4"/>
          <w:sz w:val="22"/>
          <w:szCs w:val="22"/>
        </w:rPr>
        <w:t xml:space="preserve"> grudnia 202</w:t>
      </w:r>
      <w:r w:rsidR="00010B8F">
        <w:rPr>
          <w:rFonts w:ascii="Lato" w:hAnsi="Lato" w:cs="Arial"/>
          <w:spacing w:val="4"/>
          <w:sz w:val="22"/>
          <w:szCs w:val="22"/>
        </w:rPr>
        <w:t>1</w:t>
      </w:r>
      <w:r w:rsidR="007763FB" w:rsidRPr="005E6E77">
        <w:rPr>
          <w:rFonts w:ascii="Lato" w:hAnsi="Lato" w:cs="Arial"/>
          <w:spacing w:val="4"/>
          <w:sz w:val="22"/>
          <w:szCs w:val="22"/>
        </w:rPr>
        <w:t xml:space="preserve"> r.</w:t>
      </w:r>
      <w:r w:rsidR="007231E2">
        <w:rPr>
          <w:rFonts w:ascii="Lato" w:hAnsi="Lato" w:cs="Arial"/>
          <w:spacing w:val="4"/>
          <w:sz w:val="22"/>
          <w:szCs w:val="22"/>
        </w:rPr>
        <w:t xml:space="preserve"> uzupełnionym pismem z dnia </w:t>
      </w:r>
      <w:r w:rsidR="00470295">
        <w:rPr>
          <w:rFonts w:ascii="Lato" w:hAnsi="Lato" w:cs="Arial"/>
          <w:spacing w:val="4"/>
          <w:sz w:val="22"/>
          <w:szCs w:val="22"/>
        </w:rPr>
        <w:br/>
      </w:r>
      <w:r w:rsidR="007231E2">
        <w:rPr>
          <w:rFonts w:ascii="Lato" w:hAnsi="Lato" w:cs="Arial"/>
          <w:spacing w:val="4"/>
          <w:sz w:val="22"/>
          <w:szCs w:val="22"/>
        </w:rPr>
        <w:t>4 kwietnia 2022 r.,</w:t>
      </w:r>
    </w:p>
    <w:p w14:paraId="4A253AFF" w14:textId="0E2F80CD" w:rsidR="005E6E77" w:rsidRPr="005E6E77" w:rsidRDefault="005E6E77" w:rsidP="005F4256">
      <w:pPr>
        <w:pStyle w:val="Akapitzlist"/>
        <w:numPr>
          <w:ilvl w:val="0"/>
          <w:numId w:val="4"/>
        </w:numPr>
        <w:spacing w:after="240" w:line="240" w:lineRule="exact"/>
        <w:ind w:left="425" w:hanging="357"/>
        <w:contextualSpacing w:val="0"/>
        <w:jc w:val="both"/>
        <w:rPr>
          <w:rFonts w:ascii="Lato" w:hAnsi="Lato" w:cs="Arial"/>
          <w:spacing w:val="4"/>
          <w:sz w:val="22"/>
          <w:szCs w:val="22"/>
        </w:rPr>
      </w:pPr>
      <w:r w:rsidRPr="005E6E77">
        <w:rPr>
          <w:rFonts w:ascii="Lato" w:hAnsi="Lato" w:cstheme="minorHAnsi"/>
          <w:spacing w:val="4"/>
          <w:sz w:val="22"/>
          <w:szCs w:val="22"/>
        </w:rPr>
        <w:t xml:space="preserve">Pani </w:t>
      </w:r>
      <w:r w:rsidR="004A7ACC">
        <w:rPr>
          <w:rFonts w:ascii="Lato" w:hAnsi="Lato" w:cstheme="minorHAnsi"/>
          <w:spacing w:val="4"/>
          <w:sz w:val="22"/>
          <w:szCs w:val="22"/>
        </w:rPr>
        <w:t>E.</w:t>
      </w:r>
      <w:r w:rsidRPr="005E6E77">
        <w:rPr>
          <w:rFonts w:ascii="Lato" w:hAnsi="Lato" w:cstheme="minorHAnsi"/>
          <w:spacing w:val="4"/>
          <w:sz w:val="22"/>
          <w:szCs w:val="22"/>
        </w:rPr>
        <w:t xml:space="preserve"> </w:t>
      </w:r>
      <w:r w:rsidR="004A7ACC">
        <w:rPr>
          <w:rFonts w:ascii="Lato" w:hAnsi="Lato" w:cstheme="minorHAnsi"/>
          <w:spacing w:val="4"/>
          <w:sz w:val="22"/>
          <w:szCs w:val="22"/>
        </w:rPr>
        <w:t>L.</w:t>
      </w:r>
      <w:r>
        <w:rPr>
          <w:rFonts w:ascii="Lato" w:hAnsi="Lato" w:cstheme="minorHAnsi"/>
          <w:spacing w:val="4"/>
          <w:sz w:val="22"/>
          <w:szCs w:val="22"/>
        </w:rPr>
        <w:t xml:space="preserve"> i Pan </w:t>
      </w:r>
      <w:r w:rsidR="004A7ACC">
        <w:rPr>
          <w:rFonts w:ascii="Lato" w:hAnsi="Lato" w:cstheme="minorHAnsi"/>
          <w:spacing w:val="4"/>
          <w:sz w:val="22"/>
          <w:szCs w:val="22"/>
        </w:rPr>
        <w:t>S.</w:t>
      </w:r>
      <w:r>
        <w:rPr>
          <w:rFonts w:ascii="Lato" w:hAnsi="Lato" w:cstheme="minorHAnsi"/>
          <w:spacing w:val="4"/>
          <w:sz w:val="22"/>
          <w:szCs w:val="22"/>
        </w:rPr>
        <w:t xml:space="preserve"> </w:t>
      </w:r>
      <w:r w:rsidR="004A7ACC">
        <w:rPr>
          <w:rFonts w:ascii="Lato" w:hAnsi="Lato" w:cstheme="minorHAnsi"/>
          <w:spacing w:val="4"/>
          <w:sz w:val="22"/>
          <w:szCs w:val="22"/>
        </w:rPr>
        <w:t>L.</w:t>
      </w:r>
      <w:r>
        <w:rPr>
          <w:rFonts w:ascii="Lato" w:hAnsi="Lato" w:cstheme="minorHAnsi"/>
          <w:spacing w:val="4"/>
          <w:sz w:val="22"/>
          <w:szCs w:val="22"/>
        </w:rPr>
        <w:t>, pismem z dnia 13 grudnia 2021 r.</w:t>
      </w:r>
      <w:r w:rsidR="007231E2">
        <w:rPr>
          <w:rFonts w:ascii="Lato" w:hAnsi="Lato" w:cstheme="minorHAnsi"/>
          <w:spacing w:val="4"/>
          <w:sz w:val="22"/>
          <w:szCs w:val="22"/>
        </w:rPr>
        <w:t>, uzupełnionym pismem z dnia 31 marca 2022 r.</w:t>
      </w:r>
    </w:p>
    <w:p w14:paraId="100FDED1" w14:textId="006EABC6" w:rsidR="001871FB" w:rsidRDefault="001871FB" w:rsidP="00AB12FA">
      <w:pPr>
        <w:spacing w:after="240" w:line="240" w:lineRule="exact"/>
        <w:jc w:val="both"/>
        <w:rPr>
          <w:rFonts w:ascii="Lato" w:hAnsi="Lato" w:cs="Arial"/>
          <w:spacing w:val="4"/>
          <w:sz w:val="22"/>
          <w:szCs w:val="22"/>
        </w:rPr>
      </w:pPr>
      <w:bookmarkStart w:id="4" w:name="_Hlk188442685"/>
      <w:bookmarkStart w:id="5" w:name="_Hlk122421231"/>
      <w:r w:rsidRPr="001871FB">
        <w:rPr>
          <w:rFonts w:ascii="Lato" w:hAnsi="Lato" w:cs="Arial"/>
          <w:spacing w:val="4"/>
          <w:sz w:val="22"/>
          <w:szCs w:val="22"/>
        </w:rPr>
        <w:t>W odwołani</w:t>
      </w:r>
      <w:r>
        <w:rPr>
          <w:rFonts w:ascii="Lato" w:hAnsi="Lato" w:cs="Arial"/>
          <w:spacing w:val="4"/>
          <w:sz w:val="22"/>
          <w:szCs w:val="22"/>
        </w:rPr>
        <w:t>ach</w:t>
      </w:r>
      <w:r w:rsidRPr="001871FB">
        <w:rPr>
          <w:rFonts w:ascii="Lato" w:hAnsi="Lato" w:cs="Arial"/>
          <w:spacing w:val="4"/>
          <w:sz w:val="22"/>
          <w:szCs w:val="22"/>
        </w:rPr>
        <w:t>,</w:t>
      </w:r>
      <w:r>
        <w:rPr>
          <w:rFonts w:ascii="Lato" w:hAnsi="Lato" w:cs="Arial"/>
          <w:spacing w:val="4"/>
          <w:sz w:val="22"/>
          <w:szCs w:val="22"/>
        </w:rPr>
        <w:t xml:space="preserve"> uzupełnionych i</w:t>
      </w:r>
      <w:r w:rsidRPr="001871FB">
        <w:rPr>
          <w:rFonts w:ascii="Lato" w:hAnsi="Lato" w:cs="Arial"/>
          <w:spacing w:val="4"/>
          <w:sz w:val="22"/>
          <w:szCs w:val="22"/>
        </w:rPr>
        <w:t xml:space="preserve"> wniesion</w:t>
      </w:r>
      <w:r>
        <w:rPr>
          <w:rFonts w:ascii="Lato" w:hAnsi="Lato" w:cs="Arial"/>
          <w:spacing w:val="4"/>
          <w:sz w:val="22"/>
          <w:szCs w:val="22"/>
        </w:rPr>
        <w:t>ych</w:t>
      </w:r>
      <w:r w:rsidRPr="001871FB">
        <w:rPr>
          <w:rFonts w:ascii="Lato" w:hAnsi="Lato" w:cs="Arial"/>
          <w:spacing w:val="4"/>
          <w:sz w:val="22"/>
          <w:szCs w:val="22"/>
        </w:rPr>
        <w:t xml:space="preserve"> w terminie, </w:t>
      </w:r>
      <w:r>
        <w:rPr>
          <w:rFonts w:ascii="Lato" w:hAnsi="Lato" w:cs="Arial"/>
          <w:spacing w:val="4"/>
          <w:sz w:val="22"/>
          <w:szCs w:val="22"/>
        </w:rPr>
        <w:t>skarżący</w:t>
      </w:r>
      <w:r w:rsidRPr="001871FB">
        <w:rPr>
          <w:rFonts w:ascii="Lato" w:hAnsi="Lato" w:cs="Arial"/>
          <w:spacing w:val="4"/>
          <w:sz w:val="22"/>
          <w:szCs w:val="22"/>
        </w:rPr>
        <w:t xml:space="preserve"> </w:t>
      </w:r>
      <w:r>
        <w:rPr>
          <w:rFonts w:ascii="Lato" w:hAnsi="Lato" w:cs="Arial"/>
          <w:spacing w:val="4"/>
          <w:sz w:val="22"/>
          <w:szCs w:val="22"/>
        </w:rPr>
        <w:t>wskazali</w:t>
      </w:r>
      <w:r w:rsidRPr="001871FB">
        <w:rPr>
          <w:rFonts w:ascii="Lato" w:hAnsi="Lato" w:cs="Arial"/>
          <w:spacing w:val="4"/>
          <w:sz w:val="22"/>
          <w:szCs w:val="22"/>
        </w:rPr>
        <w:t xml:space="preserve"> zarzuty odnoszące się do </w:t>
      </w:r>
      <w:r w:rsidRPr="0016490B">
        <w:rPr>
          <w:rFonts w:ascii="Lato" w:hAnsi="Lato" w:cs="Arial"/>
          <w:i/>
          <w:iCs/>
          <w:spacing w:val="4"/>
          <w:sz w:val="22"/>
          <w:szCs w:val="22"/>
        </w:rPr>
        <w:t>decyzji Wojewody Mazowieckiego</w:t>
      </w:r>
      <w:r w:rsidRPr="001871FB">
        <w:rPr>
          <w:rFonts w:ascii="Lato" w:hAnsi="Lato" w:cs="Arial"/>
          <w:spacing w:val="4"/>
          <w:sz w:val="22"/>
          <w:szCs w:val="22"/>
        </w:rPr>
        <w:t>, określi</w:t>
      </w:r>
      <w:r w:rsidR="0016490B">
        <w:rPr>
          <w:rFonts w:ascii="Lato" w:hAnsi="Lato" w:cs="Arial"/>
          <w:spacing w:val="4"/>
          <w:sz w:val="22"/>
          <w:szCs w:val="22"/>
        </w:rPr>
        <w:t>li</w:t>
      </w:r>
      <w:r w:rsidRPr="001871FB">
        <w:rPr>
          <w:rFonts w:ascii="Lato" w:hAnsi="Lato" w:cs="Arial"/>
          <w:spacing w:val="4"/>
          <w:sz w:val="22"/>
          <w:szCs w:val="22"/>
        </w:rPr>
        <w:t xml:space="preserve"> istotę i zakres żądania będącego przedmiotem odwoła</w:t>
      </w:r>
      <w:r w:rsidR="00AB12FA">
        <w:rPr>
          <w:rFonts w:ascii="Lato" w:hAnsi="Lato" w:cs="Arial"/>
          <w:spacing w:val="4"/>
          <w:sz w:val="22"/>
          <w:szCs w:val="22"/>
        </w:rPr>
        <w:t>nia</w:t>
      </w:r>
      <w:r w:rsidRPr="001871FB">
        <w:rPr>
          <w:rFonts w:ascii="Lato" w:hAnsi="Lato" w:cs="Arial"/>
          <w:spacing w:val="4"/>
          <w:sz w:val="22"/>
          <w:szCs w:val="22"/>
        </w:rPr>
        <w:t xml:space="preserve"> oraz wskaza</w:t>
      </w:r>
      <w:r w:rsidR="0016490B">
        <w:rPr>
          <w:rFonts w:ascii="Lato" w:hAnsi="Lato" w:cs="Arial"/>
          <w:spacing w:val="4"/>
          <w:sz w:val="22"/>
          <w:szCs w:val="22"/>
        </w:rPr>
        <w:t>li</w:t>
      </w:r>
      <w:r w:rsidRPr="001871FB">
        <w:rPr>
          <w:rFonts w:ascii="Lato" w:hAnsi="Lato" w:cs="Arial"/>
          <w:spacing w:val="4"/>
          <w:sz w:val="22"/>
          <w:szCs w:val="22"/>
        </w:rPr>
        <w:t xml:space="preserve"> na dowody uzasadniające to żądanie.</w:t>
      </w:r>
    </w:p>
    <w:bookmarkEnd w:id="4"/>
    <w:bookmarkEnd w:id="5"/>
    <w:p w14:paraId="494CC3BC" w14:textId="255666DA" w:rsidR="006B6B99" w:rsidRPr="006B6B99" w:rsidRDefault="006B6B99" w:rsidP="006B6B99">
      <w:pPr>
        <w:spacing w:after="240" w:line="240" w:lineRule="exact"/>
        <w:jc w:val="both"/>
        <w:outlineLvl w:val="0"/>
        <w:rPr>
          <w:rFonts w:ascii="Lato" w:eastAsiaTheme="minorHAnsi" w:hAnsi="Lato" w:cs="Arial"/>
          <w:spacing w:val="4"/>
          <w:sz w:val="22"/>
          <w:szCs w:val="22"/>
          <w:lang w:eastAsia="en-US"/>
        </w:rPr>
      </w:pPr>
      <w:r w:rsidRPr="006B6B99">
        <w:rPr>
          <w:rFonts w:ascii="Lato" w:eastAsiaTheme="minorHAnsi" w:hAnsi="Lato" w:cs="Arial"/>
          <w:spacing w:val="4"/>
          <w:sz w:val="22"/>
          <w:szCs w:val="22"/>
          <w:lang w:eastAsia="en-US"/>
        </w:rPr>
        <w:t xml:space="preserve">Uwzględniając fakt, iż właściwym w przedmiotowej sprawie - stosownie do treści rozporządzenia Prezesa Rady Ministrów z dnia </w:t>
      </w:r>
      <w:r w:rsidR="00470295">
        <w:rPr>
          <w:rFonts w:ascii="Lato" w:eastAsiaTheme="minorHAnsi" w:hAnsi="Lato" w:cs="Arial"/>
          <w:spacing w:val="4"/>
          <w:sz w:val="22"/>
          <w:szCs w:val="22"/>
          <w:lang w:eastAsia="en-US"/>
        </w:rPr>
        <w:t>16</w:t>
      </w:r>
      <w:r w:rsidRPr="006B6B99">
        <w:rPr>
          <w:rFonts w:ascii="Lato" w:eastAsiaTheme="minorHAnsi" w:hAnsi="Lato" w:cs="Arial"/>
          <w:spacing w:val="4"/>
          <w:sz w:val="22"/>
          <w:szCs w:val="22"/>
          <w:lang w:eastAsia="en-US"/>
        </w:rPr>
        <w:t xml:space="preserve"> </w:t>
      </w:r>
      <w:r w:rsidR="00470295">
        <w:rPr>
          <w:rFonts w:ascii="Lato" w:eastAsiaTheme="minorHAnsi" w:hAnsi="Lato" w:cs="Arial"/>
          <w:spacing w:val="4"/>
          <w:sz w:val="22"/>
          <w:szCs w:val="22"/>
          <w:lang w:eastAsia="en-US"/>
        </w:rPr>
        <w:t>maja</w:t>
      </w:r>
      <w:r w:rsidRPr="006B6B99">
        <w:rPr>
          <w:rFonts w:ascii="Lato" w:eastAsiaTheme="minorHAnsi" w:hAnsi="Lato" w:cs="Arial"/>
          <w:spacing w:val="4"/>
          <w:sz w:val="22"/>
          <w:szCs w:val="22"/>
          <w:lang w:eastAsia="en-US"/>
        </w:rPr>
        <w:t xml:space="preserve"> 202</w:t>
      </w:r>
      <w:r w:rsidR="00470295">
        <w:rPr>
          <w:rFonts w:ascii="Lato" w:eastAsiaTheme="minorHAnsi" w:hAnsi="Lato" w:cs="Arial"/>
          <w:spacing w:val="4"/>
          <w:sz w:val="22"/>
          <w:szCs w:val="22"/>
          <w:lang w:eastAsia="en-US"/>
        </w:rPr>
        <w:t>4</w:t>
      </w:r>
      <w:r w:rsidRPr="006B6B99">
        <w:rPr>
          <w:rFonts w:ascii="Lato" w:eastAsiaTheme="minorHAnsi" w:hAnsi="Lato" w:cs="Arial"/>
          <w:spacing w:val="4"/>
          <w:sz w:val="22"/>
          <w:szCs w:val="22"/>
          <w:lang w:eastAsia="en-US"/>
        </w:rPr>
        <w:t xml:space="preserve"> r. w sprawie szczegółowego zakresu działania Ministra Rozwoju i Technologii (</w:t>
      </w:r>
      <w:r w:rsidR="00010B8F">
        <w:rPr>
          <w:rFonts w:ascii="Lato" w:eastAsiaTheme="minorHAnsi" w:hAnsi="Lato" w:cs="Arial"/>
          <w:spacing w:val="4"/>
          <w:sz w:val="22"/>
          <w:szCs w:val="22"/>
          <w:lang w:eastAsia="en-US"/>
        </w:rPr>
        <w:t xml:space="preserve">t.j. </w:t>
      </w:r>
      <w:r w:rsidRPr="006B6B99">
        <w:rPr>
          <w:rFonts w:ascii="Lato" w:eastAsiaTheme="minorHAnsi" w:hAnsi="Lato" w:cs="Arial"/>
          <w:spacing w:val="4"/>
          <w:sz w:val="22"/>
          <w:szCs w:val="22"/>
          <w:lang w:eastAsia="en-US"/>
        </w:rPr>
        <w:t>Dz. U. z 202</w:t>
      </w:r>
      <w:r w:rsidR="00470295">
        <w:rPr>
          <w:rFonts w:ascii="Lato" w:eastAsiaTheme="minorHAnsi" w:hAnsi="Lato" w:cs="Arial"/>
          <w:spacing w:val="4"/>
          <w:sz w:val="22"/>
          <w:szCs w:val="22"/>
          <w:lang w:eastAsia="en-US"/>
        </w:rPr>
        <w:t>4</w:t>
      </w:r>
      <w:r w:rsidRPr="006B6B99">
        <w:rPr>
          <w:rFonts w:ascii="Lato" w:eastAsiaTheme="minorHAnsi" w:hAnsi="Lato" w:cs="Arial"/>
          <w:spacing w:val="4"/>
          <w:sz w:val="22"/>
          <w:szCs w:val="22"/>
          <w:lang w:eastAsia="en-US"/>
        </w:rPr>
        <w:t xml:space="preserve"> r. poz. </w:t>
      </w:r>
      <w:r w:rsidR="00470295">
        <w:rPr>
          <w:rFonts w:ascii="Lato" w:eastAsiaTheme="minorHAnsi" w:hAnsi="Lato" w:cs="Arial"/>
          <w:spacing w:val="4"/>
          <w:sz w:val="22"/>
          <w:szCs w:val="22"/>
          <w:lang w:eastAsia="en-US"/>
        </w:rPr>
        <w:t>739</w:t>
      </w:r>
      <w:r w:rsidRPr="006B6B99">
        <w:rPr>
          <w:rFonts w:ascii="Lato" w:eastAsiaTheme="minorHAnsi" w:hAnsi="Lato" w:cs="Arial"/>
          <w:spacing w:val="4"/>
          <w:sz w:val="22"/>
          <w:szCs w:val="22"/>
          <w:lang w:eastAsia="en-US"/>
        </w:rPr>
        <w:t>)</w:t>
      </w:r>
      <w:r w:rsidR="00470295">
        <w:rPr>
          <w:rFonts w:ascii="Lato" w:eastAsiaTheme="minorHAnsi" w:hAnsi="Lato" w:cs="Arial"/>
          <w:spacing w:val="4"/>
          <w:sz w:val="22"/>
          <w:szCs w:val="22"/>
          <w:lang w:eastAsia="en-US"/>
        </w:rPr>
        <w:t xml:space="preserve"> </w:t>
      </w:r>
      <w:r w:rsidRPr="006B6B99">
        <w:rPr>
          <w:rFonts w:ascii="Lato" w:eastAsiaTheme="minorHAnsi" w:hAnsi="Lato" w:cs="Arial"/>
          <w:spacing w:val="4"/>
          <w:sz w:val="22"/>
          <w:szCs w:val="22"/>
          <w:lang w:eastAsia="en-US"/>
        </w:rPr>
        <w:t xml:space="preserve">- jest Minister Rozwoju i Technologii, zwany dalej </w:t>
      </w:r>
      <w:r w:rsidRPr="006B6B99">
        <w:rPr>
          <w:rFonts w:ascii="Lato" w:eastAsiaTheme="minorHAnsi" w:hAnsi="Lato" w:cs="Arial"/>
          <w:i/>
          <w:iCs/>
          <w:spacing w:val="4"/>
          <w:sz w:val="22"/>
          <w:szCs w:val="22"/>
          <w:lang w:eastAsia="en-US"/>
        </w:rPr>
        <w:t>„Ministrem”,</w:t>
      </w:r>
      <w:r w:rsidRPr="006B6B99">
        <w:rPr>
          <w:rFonts w:ascii="Lato" w:eastAsiaTheme="minorHAnsi" w:hAnsi="Lato" w:cs="Arial"/>
          <w:spacing w:val="4"/>
          <w:sz w:val="22"/>
          <w:szCs w:val="22"/>
          <w:lang w:eastAsia="en-US"/>
        </w:rPr>
        <w:t xml:space="preserve"> stwierdzono, </w:t>
      </w:r>
      <w:r w:rsidR="00010B8F">
        <w:rPr>
          <w:rFonts w:ascii="Lato" w:eastAsiaTheme="minorHAnsi" w:hAnsi="Lato" w:cs="Arial"/>
          <w:spacing w:val="4"/>
          <w:sz w:val="22"/>
          <w:szCs w:val="22"/>
          <w:lang w:eastAsia="en-US"/>
        </w:rPr>
        <w:t>co następuje.</w:t>
      </w:r>
    </w:p>
    <w:p w14:paraId="6B02A7A5" w14:textId="43FCF1B3" w:rsidR="00E215B9" w:rsidRPr="00F24C6D" w:rsidRDefault="00E215B9" w:rsidP="006B6B99">
      <w:pPr>
        <w:spacing w:after="240" w:line="240" w:lineRule="exact"/>
        <w:jc w:val="both"/>
        <w:outlineLvl w:val="0"/>
        <w:rPr>
          <w:rFonts w:ascii="Lato" w:eastAsiaTheme="minorHAnsi" w:hAnsi="Lato" w:cs="Arial"/>
          <w:spacing w:val="4"/>
          <w:sz w:val="22"/>
          <w:szCs w:val="22"/>
          <w:lang w:eastAsia="en-US"/>
        </w:rPr>
      </w:pPr>
      <w:r w:rsidRPr="00F24C6D">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F30D6" w:rsidRPr="00F24C6D">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na niewłaściwej ocenie okoliczności faktycznych. </w:t>
      </w:r>
      <w:bookmarkStart w:id="6" w:name="_Hlk144798035"/>
      <w:r w:rsidRPr="00F24C6D">
        <w:rPr>
          <w:rFonts w:ascii="Lato" w:eastAsiaTheme="minorHAnsi" w:hAnsi="Lato" w:cs="Arial"/>
          <w:spacing w:val="4"/>
          <w:sz w:val="22"/>
          <w:szCs w:val="22"/>
          <w:lang w:eastAsia="en-US"/>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w:t>
      </w:r>
      <w:r w:rsidRPr="00F24C6D">
        <w:rPr>
          <w:rFonts w:ascii="Lato" w:eastAsiaTheme="minorHAnsi" w:hAnsi="Lato" w:cs="Arial"/>
          <w:spacing w:val="4"/>
          <w:sz w:val="22"/>
          <w:szCs w:val="22"/>
          <w:lang w:eastAsia="en-US"/>
        </w:rPr>
        <w:lastRenderedPageBreak/>
        <w:t xml:space="preserve">Obowiązek ten wynika z art. 7 i art. 77 </w:t>
      </w:r>
      <w:r w:rsidRPr="00F24C6D">
        <w:rPr>
          <w:rFonts w:ascii="Lato" w:eastAsiaTheme="minorHAnsi" w:hAnsi="Lato" w:cs="Arial"/>
          <w:i/>
          <w:spacing w:val="4"/>
          <w:sz w:val="22"/>
          <w:szCs w:val="22"/>
          <w:lang w:eastAsia="en-US"/>
        </w:rPr>
        <w:t>kpa</w:t>
      </w:r>
      <w:r w:rsidRPr="00F24C6D">
        <w:rPr>
          <w:rFonts w:ascii="Lato" w:eastAsiaTheme="minorHAnsi" w:hAnsi="Lato" w:cs="Arial"/>
          <w:spacing w:val="4"/>
          <w:sz w:val="22"/>
          <w:szCs w:val="22"/>
          <w:lang w:eastAsia="en-US"/>
        </w:rPr>
        <w:t xml:space="preserve">. Dlatego też trafność rozstrzygnięcia </w:t>
      </w:r>
      <w:r w:rsidR="007F30D6" w:rsidRPr="00F24C6D">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F24C6D">
        <w:rPr>
          <w:rFonts w:ascii="Lato" w:eastAsiaTheme="minorHAnsi" w:hAnsi="Lato" w:cs="Arial"/>
          <w:i/>
          <w:spacing w:val="4"/>
          <w:sz w:val="22"/>
          <w:szCs w:val="22"/>
          <w:lang w:eastAsia="en-US"/>
        </w:rPr>
        <w:t>kpa</w:t>
      </w:r>
      <w:r w:rsidRPr="00F24C6D">
        <w:rPr>
          <w:rFonts w:ascii="Lato" w:eastAsiaTheme="minorHAnsi" w:hAnsi="Lato" w:cs="Arial"/>
          <w:spacing w:val="4"/>
          <w:sz w:val="22"/>
          <w:szCs w:val="22"/>
          <w:lang w:eastAsia="en-US"/>
        </w:rPr>
        <w:t>, a przede wszystkim do podejmowania wszelkich kroków niezbędnych do dokładnego wyjaśnienia stanu faktycznego.</w:t>
      </w:r>
    </w:p>
    <w:bookmarkEnd w:id="6"/>
    <w:p w14:paraId="5FE65867" w14:textId="370BED54" w:rsidR="00E215B9"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spacing w:val="4"/>
          <w:sz w:val="22"/>
          <w:szCs w:val="22"/>
          <w:lang w:eastAsia="en-US"/>
        </w:rPr>
        <w:t xml:space="preserve">Mając na uwadze powyższe, w trakcie przeprowadzonego postępowania odwoławczego </w:t>
      </w:r>
      <w:r w:rsidRPr="00F24C6D">
        <w:rPr>
          <w:rFonts w:ascii="Lato" w:eastAsiaTheme="minorHAnsi" w:hAnsi="Lato" w:cs="Arial"/>
          <w:i/>
          <w:spacing w:val="4"/>
          <w:sz w:val="22"/>
          <w:szCs w:val="22"/>
          <w:lang w:eastAsia="en-US"/>
        </w:rPr>
        <w:t>Minister</w:t>
      </w:r>
      <w:r w:rsidRPr="00F24C6D">
        <w:rPr>
          <w:rFonts w:ascii="Lato" w:eastAsiaTheme="minorHAnsi" w:hAnsi="Lato" w:cs="Arial"/>
          <w:spacing w:val="4"/>
          <w:sz w:val="22"/>
          <w:szCs w:val="22"/>
          <w:lang w:eastAsia="en-US"/>
        </w:rPr>
        <w:t xml:space="preserve"> rozpatrzył ponownie wniosek </w:t>
      </w:r>
      <w:r w:rsidRPr="00F24C6D">
        <w:rPr>
          <w:rFonts w:ascii="Lato" w:eastAsiaTheme="minorHAnsi" w:hAnsi="Lato" w:cs="Arial"/>
          <w:i/>
          <w:spacing w:val="4"/>
          <w:sz w:val="22"/>
          <w:szCs w:val="22"/>
          <w:lang w:eastAsia="en-US"/>
        </w:rPr>
        <w:t>inwestora</w:t>
      </w:r>
      <w:r w:rsidRPr="00F24C6D">
        <w:rPr>
          <w:rFonts w:ascii="Lato" w:eastAsiaTheme="minorHAnsi" w:hAnsi="Lato" w:cs="Arial"/>
          <w:spacing w:val="4"/>
          <w:sz w:val="22"/>
          <w:szCs w:val="22"/>
          <w:lang w:eastAsia="en-US"/>
        </w:rPr>
        <w:t xml:space="preserve"> o wydanie przedmiotowej decyzji, przeanalizował materiał dowodowy zgromadzony przez Wojewodę </w:t>
      </w:r>
      <w:r w:rsidR="00FB5003">
        <w:rPr>
          <w:rFonts w:ascii="Lato" w:eastAsiaTheme="minorHAnsi" w:hAnsi="Lato" w:cs="Arial"/>
          <w:spacing w:val="4"/>
          <w:sz w:val="22"/>
          <w:szCs w:val="22"/>
          <w:lang w:eastAsia="en-US"/>
        </w:rPr>
        <w:t>Mazowieckiego</w:t>
      </w:r>
      <w:r w:rsidRPr="00F24C6D">
        <w:rPr>
          <w:rFonts w:ascii="Lato" w:eastAsiaTheme="minorHAnsi" w:hAnsi="Lato" w:cs="Arial"/>
          <w:spacing w:val="4"/>
          <w:sz w:val="22"/>
          <w:szCs w:val="22"/>
          <w:lang w:eastAsia="en-US"/>
        </w:rPr>
        <w:t xml:space="preserve">, </w:t>
      </w:r>
      <w:r w:rsidR="00FB5003">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w tym zbadał poprawność postępowania organu pierwszej instancji oraz poprawność kończącej to postępowanie </w:t>
      </w:r>
      <w:r w:rsidRPr="00F24C6D">
        <w:rPr>
          <w:rFonts w:ascii="Lato" w:eastAsiaTheme="minorHAnsi" w:hAnsi="Lato" w:cs="Arial"/>
          <w:i/>
          <w:spacing w:val="4"/>
          <w:sz w:val="22"/>
          <w:szCs w:val="22"/>
          <w:lang w:eastAsia="en-US"/>
        </w:rPr>
        <w:t xml:space="preserve">decyzji Wojewody </w:t>
      </w:r>
      <w:r w:rsidR="00470295">
        <w:rPr>
          <w:rFonts w:ascii="Lato" w:eastAsiaTheme="minorHAnsi" w:hAnsi="Lato" w:cs="Arial"/>
          <w:i/>
          <w:spacing w:val="4"/>
          <w:sz w:val="22"/>
          <w:szCs w:val="22"/>
          <w:lang w:eastAsia="en-US"/>
        </w:rPr>
        <w:t>Mazowieckiego</w:t>
      </w:r>
      <w:r w:rsidRPr="00F24C6D">
        <w:rPr>
          <w:rFonts w:ascii="Lato" w:eastAsiaTheme="minorHAnsi" w:hAnsi="Lato" w:cs="Arial"/>
          <w:iCs/>
          <w:spacing w:val="4"/>
          <w:sz w:val="22"/>
          <w:szCs w:val="22"/>
          <w:lang w:eastAsia="en-US"/>
        </w:rPr>
        <w:t>, jak również rozpatrzył zarzuty skarżących stron.</w:t>
      </w:r>
    </w:p>
    <w:p w14:paraId="7D756848" w14:textId="58013A46" w:rsidR="00470295" w:rsidRDefault="00470295" w:rsidP="00470295">
      <w:pPr>
        <w:spacing w:after="240" w:line="240" w:lineRule="exact"/>
        <w:jc w:val="both"/>
        <w:outlineLvl w:val="0"/>
        <w:rPr>
          <w:rFonts w:ascii="Lato" w:eastAsia="Calibri" w:hAnsi="Lato" w:cs="Arial"/>
          <w:iCs/>
          <w:spacing w:val="4"/>
          <w:sz w:val="22"/>
          <w:szCs w:val="22"/>
          <w:lang w:eastAsia="en-US"/>
        </w:rPr>
      </w:pPr>
      <w:r>
        <w:rPr>
          <w:rFonts w:ascii="Lato" w:eastAsia="Calibri" w:hAnsi="Lato" w:cs="Arial"/>
          <w:iCs/>
          <w:spacing w:val="4"/>
          <w:sz w:val="22"/>
          <w:szCs w:val="22"/>
          <w:lang w:eastAsia="en-US"/>
        </w:rPr>
        <w:t xml:space="preserve">Stosownie do treści art. 3 ust. 1 w zw. z art. 1 ust. 2 pkt 2 </w:t>
      </w:r>
      <w:r>
        <w:rPr>
          <w:rFonts w:ascii="Lato" w:eastAsia="Calibri" w:hAnsi="Lato" w:cs="Arial"/>
          <w:i/>
          <w:spacing w:val="4"/>
          <w:sz w:val="22"/>
          <w:szCs w:val="22"/>
          <w:lang w:eastAsia="en-US"/>
        </w:rPr>
        <w:t xml:space="preserve">specustawy naftowej </w:t>
      </w:r>
      <w:r>
        <w:rPr>
          <w:rFonts w:ascii="Lato" w:eastAsia="Calibri" w:hAnsi="Lato" w:cs="Arial"/>
          <w:i/>
          <w:spacing w:val="4"/>
          <w:sz w:val="22"/>
          <w:szCs w:val="22"/>
          <w:lang w:eastAsia="en-US"/>
        </w:rPr>
        <w:br/>
      </w:r>
      <w:r>
        <w:rPr>
          <w:rFonts w:ascii="Lato" w:eastAsia="Calibri" w:hAnsi="Lato" w:cs="Arial"/>
          <w:iCs/>
          <w:spacing w:val="4"/>
          <w:sz w:val="22"/>
          <w:szCs w:val="22"/>
          <w:lang w:eastAsia="en-US"/>
        </w:rPr>
        <w:t xml:space="preserve">(w brzmieniu mającym zastosowanie w niniejszej sprawie), z wnioskiem do Wojewody Mazowieckiego o wydanie decyzji o ustaleniu lokalizacji strategicznej inwestycji </w:t>
      </w:r>
      <w:r>
        <w:rPr>
          <w:rFonts w:ascii="Lato" w:eastAsia="Calibri" w:hAnsi="Lato" w:cs="Arial"/>
          <w:iCs/>
          <w:spacing w:val="4"/>
          <w:sz w:val="22"/>
          <w:szCs w:val="22"/>
          <w:lang w:eastAsia="en-US"/>
        </w:rPr>
        <w:br/>
        <w:t xml:space="preserve">w sektorze naftowym wystąpił uprawniony do tego podmiot, tj. PERN Spółka Akcyjna </w:t>
      </w:r>
      <w:r>
        <w:rPr>
          <w:rFonts w:ascii="Lato" w:eastAsia="Calibri" w:hAnsi="Lato" w:cs="Arial"/>
          <w:iCs/>
          <w:spacing w:val="4"/>
          <w:sz w:val="22"/>
          <w:szCs w:val="22"/>
          <w:lang w:eastAsia="en-US"/>
        </w:rPr>
        <w:br/>
        <w:t xml:space="preserve">z siedzibą w Płocku. Projektowana inwestycja mieści się w wykazie strategicznych inwestycji w sektorze naftowym, w pkt I.1. załącznika do </w:t>
      </w:r>
      <w:r>
        <w:rPr>
          <w:rFonts w:ascii="Lato" w:eastAsia="Calibri" w:hAnsi="Lato" w:cs="Arial"/>
          <w:i/>
          <w:spacing w:val="4"/>
          <w:sz w:val="22"/>
          <w:szCs w:val="22"/>
          <w:lang w:eastAsia="en-US"/>
        </w:rPr>
        <w:t xml:space="preserve">specustawy </w:t>
      </w:r>
      <w:r>
        <w:rPr>
          <w:rFonts w:ascii="Lato" w:eastAsia="Calibri" w:hAnsi="Lato" w:cs="Arial"/>
          <w:iCs/>
          <w:spacing w:val="4"/>
          <w:sz w:val="22"/>
          <w:szCs w:val="22"/>
          <w:lang w:eastAsia="en-US"/>
        </w:rPr>
        <w:t xml:space="preserve">naftowej. </w:t>
      </w:r>
    </w:p>
    <w:p w14:paraId="2FFE8D5D" w14:textId="1298BE04" w:rsidR="006312A6" w:rsidRDefault="006312A6" w:rsidP="006312A6">
      <w:pPr>
        <w:spacing w:after="240" w:line="240" w:lineRule="exact"/>
        <w:jc w:val="both"/>
        <w:outlineLvl w:val="0"/>
        <w:rPr>
          <w:rFonts w:ascii="Lato" w:eastAsiaTheme="minorHAnsi" w:hAnsi="Lato" w:cs="Arial"/>
          <w:i/>
          <w:spacing w:val="4"/>
          <w:sz w:val="22"/>
          <w:szCs w:val="22"/>
          <w:lang w:eastAsia="en-US"/>
        </w:rPr>
      </w:pPr>
      <w:r w:rsidRPr="006312A6">
        <w:rPr>
          <w:rFonts w:ascii="Lato" w:eastAsiaTheme="minorHAnsi" w:hAnsi="Lato" w:cs="Arial"/>
          <w:iCs/>
          <w:spacing w:val="4"/>
          <w:sz w:val="22"/>
          <w:szCs w:val="22"/>
          <w:lang w:eastAsia="en-US"/>
        </w:rPr>
        <w:t xml:space="preserve">Analizując złożony przez </w:t>
      </w:r>
      <w:r w:rsidRPr="006312A6">
        <w:rPr>
          <w:rFonts w:ascii="Lato" w:eastAsiaTheme="minorHAnsi" w:hAnsi="Lato" w:cs="Arial"/>
          <w:i/>
          <w:spacing w:val="4"/>
          <w:sz w:val="22"/>
          <w:szCs w:val="22"/>
          <w:lang w:eastAsia="en-US"/>
        </w:rPr>
        <w:t>inwestora</w:t>
      </w:r>
      <w:r w:rsidRPr="006312A6">
        <w:rPr>
          <w:rFonts w:ascii="Lato" w:eastAsiaTheme="minorHAnsi" w:hAnsi="Lato" w:cs="Arial"/>
          <w:iCs/>
          <w:spacing w:val="4"/>
          <w:sz w:val="22"/>
          <w:szCs w:val="22"/>
          <w:lang w:eastAsia="en-US"/>
        </w:rPr>
        <w:t xml:space="preserve"> wniosek</w:t>
      </w:r>
      <w:r w:rsidR="00D906A5">
        <w:rPr>
          <w:rFonts w:ascii="Lato" w:eastAsiaTheme="minorHAnsi" w:hAnsi="Lato" w:cs="Arial"/>
          <w:iCs/>
          <w:spacing w:val="4"/>
          <w:sz w:val="22"/>
          <w:szCs w:val="22"/>
          <w:lang w:eastAsia="en-US"/>
        </w:rPr>
        <w:t>,</w:t>
      </w:r>
      <w:r w:rsidRPr="006312A6">
        <w:rPr>
          <w:rFonts w:ascii="Lato" w:eastAsiaTheme="minorHAnsi" w:hAnsi="Lato" w:cs="Arial"/>
          <w:iCs/>
          <w:spacing w:val="4"/>
          <w:sz w:val="22"/>
          <w:szCs w:val="22"/>
          <w:lang w:eastAsia="en-US"/>
        </w:rPr>
        <w:t xml:space="preserve"> </w:t>
      </w:r>
      <w:r w:rsidRPr="006312A6">
        <w:rPr>
          <w:rFonts w:ascii="Lato" w:eastAsiaTheme="minorHAnsi" w:hAnsi="Lato" w:cs="Arial"/>
          <w:i/>
          <w:spacing w:val="4"/>
          <w:sz w:val="22"/>
          <w:szCs w:val="22"/>
          <w:lang w:eastAsia="en-US"/>
        </w:rPr>
        <w:t>Minister</w:t>
      </w:r>
      <w:r w:rsidRPr="006312A6">
        <w:rPr>
          <w:rFonts w:ascii="Lato" w:eastAsiaTheme="minorHAnsi" w:hAnsi="Lato" w:cs="Arial"/>
          <w:iCs/>
          <w:spacing w:val="4"/>
          <w:sz w:val="22"/>
          <w:szCs w:val="22"/>
          <w:lang w:eastAsia="en-US"/>
        </w:rPr>
        <w:t xml:space="preserve"> uznał, że zawiera on wszystkie niezbędne w okolicznościach niniejszej sprawy elementy wymagane na podstawie przepisu art. 4 ust. 1 </w:t>
      </w:r>
      <w:r w:rsidRPr="006312A6">
        <w:rPr>
          <w:rFonts w:ascii="Lato" w:eastAsiaTheme="minorHAnsi" w:hAnsi="Lato" w:cs="Arial"/>
          <w:i/>
          <w:spacing w:val="4"/>
          <w:sz w:val="22"/>
          <w:szCs w:val="22"/>
          <w:lang w:eastAsia="en-US"/>
        </w:rPr>
        <w:t>specustawy naftowej.</w:t>
      </w:r>
    </w:p>
    <w:p w14:paraId="2406B775" w14:textId="63A16EBF" w:rsidR="00470295" w:rsidRDefault="006312A6" w:rsidP="00470295">
      <w:pPr>
        <w:spacing w:after="240" w:line="240" w:lineRule="exact"/>
        <w:jc w:val="both"/>
        <w:outlineLvl w:val="0"/>
        <w:rPr>
          <w:rFonts w:ascii="Lato" w:eastAsia="Calibri" w:hAnsi="Lato" w:cs="Arial"/>
          <w:i/>
          <w:spacing w:val="4"/>
          <w:sz w:val="22"/>
          <w:szCs w:val="22"/>
          <w:lang w:eastAsia="en-US"/>
        </w:rPr>
      </w:pPr>
      <w:r w:rsidRPr="006312A6">
        <w:rPr>
          <w:rFonts w:ascii="Lato" w:eastAsiaTheme="minorHAnsi" w:hAnsi="Lato" w:cs="Arial"/>
          <w:i/>
          <w:spacing w:val="4"/>
          <w:sz w:val="22"/>
          <w:szCs w:val="22"/>
          <w:lang w:eastAsia="en-US"/>
        </w:rPr>
        <w:t>Inwestor</w:t>
      </w:r>
      <w:r w:rsidRPr="006312A6">
        <w:rPr>
          <w:rFonts w:ascii="Lato" w:eastAsiaTheme="minorHAnsi" w:hAnsi="Lato" w:cs="Arial"/>
          <w:iCs/>
          <w:spacing w:val="4"/>
          <w:sz w:val="22"/>
          <w:szCs w:val="22"/>
          <w:lang w:eastAsia="en-US"/>
        </w:rPr>
        <w:t xml:space="preserve"> dołączył do wniosku także decyzję Regionalnego Dyrektora Ochrony Środowiska w </w:t>
      </w:r>
      <w:r>
        <w:rPr>
          <w:rFonts w:ascii="Lato" w:eastAsiaTheme="minorHAnsi" w:hAnsi="Lato" w:cs="Arial"/>
          <w:iCs/>
          <w:spacing w:val="4"/>
          <w:sz w:val="22"/>
          <w:szCs w:val="22"/>
          <w:lang w:eastAsia="en-US"/>
        </w:rPr>
        <w:t>Gdańsku</w:t>
      </w:r>
      <w:r w:rsidRPr="006312A6">
        <w:rPr>
          <w:rFonts w:ascii="Lato" w:eastAsiaTheme="minorHAnsi" w:hAnsi="Lato" w:cs="Arial"/>
          <w:iCs/>
          <w:spacing w:val="4"/>
          <w:sz w:val="22"/>
          <w:szCs w:val="22"/>
          <w:lang w:eastAsia="en-US"/>
        </w:rPr>
        <w:t xml:space="preserve"> z dnia </w:t>
      </w:r>
      <w:r>
        <w:rPr>
          <w:rFonts w:ascii="Lato" w:eastAsiaTheme="minorHAnsi" w:hAnsi="Lato" w:cs="Arial"/>
          <w:iCs/>
          <w:spacing w:val="4"/>
          <w:sz w:val="22"/>
          <w:szCs w:val="22"/>
          <w:lang w:eastAsia="en-US"/>
        </w:rPr>
        <w:t>12</w:t>
      </w:r>
      <w:r w:rsidRPr="006312A6">
        <w:rPr>
          <w:rFonts w:ascii="Lato" w:eastAsiaTheme="minorHAnsi" w:hAnsi="Lato" w:cs="Arial"/>
          <w:iCs/>
          <w:spacing w:val="4"/>
          <w:sz w:val="22"/>
          <w:szCs w:val="22"/>
          <w:lang w:eastAsia="en-US"/>
        </w:rPr>
        <w:t xml:space="preserve"> </w:t>
      </w:r>
      <w:r>
        <w:rPr>
          <w:rFonts w:ascii="Lato" w:eastAsiaTheme="minorHAnsi" w:hAnsi="Lato" w:cs="Arial"/>
          <w:iCs/>
          <w:spacing w:val="4"/>
          <w:sz w:val="22"/>
          <w:szCs w:val="22"/>
          <w:lang w:eastAsia="en-US"/>
        </w:rPr>
        <w:t>lipca</w:t>
      </w:r>
      <w:r w:rsidRPr="006312A6">
        <w:rPr>
          <w:rFonts w:ascii="Lato" w:eastAsiaTheme="minorHAnsi" w:hAnsi="Lato" w:cs="Arial"/>
          <w:iCs/>
          <w:spacing w:val="4"/>
          <w:sz w:val="22"/>
          <w:szCs w:val="22"/>
          <w:lang w:eastAsia="en-US"/>
        </w:rPr>
        <w:t xml:space="preserve"> 202</w:t>
      </w:r>
      <w:r>
        <w:rPr>
          <w:rFonts w:ascii="Lato" w:eastAsiaTheme="minorHAnsi" w:hAnsi="Lato" w:cs="Arial"/>
          <w:iCs/>
          <w:spacing w:val="4"/>
          <w:sz w:val="22"/>
          <w:szCs w:val="22"/>
          <w:lang w:eastAsia="en-US"/>
        </w:rPr>
        <w:t>1</w:t>
      </w:r>
      <w:r w:rsidRPr="006312A6">
        <w:rPr>
          <w:rFonts w:ascii="Lato" w:eastAsiaTheme="minorHAnsi" w:hAnsi="Lato" w:cs="Arial"/>
          <w:iCs/>
          <w:spacing w:val="4"/>
          <w:sz w:val="22"/>
          <w:szCs w:val="22"/>
          <w:lang w:eastAsia="en-US"/>
        </w:rPr>
        <w:t xml:space="preserve"> r., znak: </w:t>
      </w:r>
      <w:r w:rsidR="00AB12FA">
        <w:rPr>
          <w:rFonts w:ascii="Lato" w:eastAsiaTheme="minorHAnsi" w:hAnsi="Lato" w:cs="Arial"/>
          <w:iCs/>
          <w:spacing w:val="4"/>
          <w:sz w:val="22"/>
          <w:szCs w:val="22"/>
          <w:lang w:eastAsia="en-US"/>
        </w:rPr>
        <w:br/>
      </w:r>
      <w:r>
        <w:rPr>
          <w:rFonts w:ascii="Lato" w:eastAsiaTheme="minorHAnsi" w:hAnsi="Lato" w:cs="Arial"/>
          <w:iCs/>
          <w:spacing w:val="4"/>
          <w:sz w:val="22"/>
          <w:szCs w:val="22"/>
          <w:lang w:eastAsia="en-US"/>
        </w:rPr>
        <w:t>RDOŚ-Gd-WOO.420.75.2020.KSZ.24</w:t>
      </w:r>
      <w:r w:rsidR="00470295">
        <w:rPr>
          <w:rFonts w:ascii="Lato" w:eastAsiaTheme="minorHAnsi" w:hAnsi="Lato" w:cs="Arial"/>
          <w:iCs/>
          <w:spacing w:val="4"/>
          <w:sz w:val="22"/>
          <w:szCs w:val="22"/>
          <w:lang w:eastAsia="en-US"/>
        </w:rPr>
        <w:t>,</w:t>
      </w:r>
      <w:r w:rsidR="00F93925" w:rsidRPr="00F93925">
        <w:t xml:space="preserve"> </w:t>
      </w:r>
      <w:bookmarkStart w:id="7" w:name="_Hlk174977094"/>
      <w:r w:rsidR="00470295">
        <w:rPr>
          <w:rFonts w:ascii="Lato" w:eastAsia="Calibri" w:hAnsi="Lato" w:cs="Arial"/>
          <w:iCs/>
          <w:spacing w:val="4"/>
          <w:sz w:val="22"/>
          <w:szCs w:val="22"/>
          <w:lang w:eastAsia="en-US"/>
        </w:rPr>
        <w:t xml:space="preserve">określającą środowiskowe uwarunkowania dla przedsięwzięcia pn.: „Budowa rurociągu ropy naftowej Gdańsk-Płock wraz </w:t>
      </w:r>
      <w:r w:rsidR="005C3212">
        <w:rPr>
          <w:rFonts w:ascii="Lato" w:eastAsia="Calibri" w:hAnsi="Lato" w:cs="Arial"/>
          <w:iCs/>
          <w:spacing w:val="4"/>
          <w:sz w:val="22"/>
          <w:szCs w:val="22"/>
          <w:lang w:eastAsia="en-US"/>
        </w:rPr>
        <w:br/>
      </w:r>
      <w:r w:rsidR="00470295">
        <w:rPr>
          <w:rFonts w:ascii="Lato" w:eastAsia="Calibri" w:hAnsi="Lato" w:cs="Arial"/>
          <w:iCs/>
          <w:spacing w:val="4"/>
          <w:sz w:val="22"/>
          <w:szCs w:val="22"/>
          <w:lang w:eastAsia="en-US"/>
        </w:rPr>
        <w:t>z infrastrukturą niezbędną do jego obsługi</w:t>
      </w:r>
      <w:bookmarkEnd w:id="7"/>
      <w:r w:rsidR="00470295">
        <w:rPr>
          <w:rFonts w:ascii="Lato" w:eastAsia="Calibri" w:hAnsi="Lato" w:cs="Arial"/>
          <w:iCs/>
          <w:spacing w:val="4"/>
          <w:sz w:val="22"/>
          <w:szCs w:val="22"/>
          <w:lang w:eastAsia="en-US"/>
        </w:rPr>
        <w:t>”</w:t>
      </w:r>
      <w:r w:rsidR="00594BA0">
        <w:rPr>
          <w:rFonts w:ascii="Lato" w:eastAsia="Calibri" w:hAnsi="Lato" w:cs="Arial"/>
          <w:iCs/>
          <w:spacing w:val="4"/>
          <w:sz w:val="22"/>
          <w:szCs w:val="22"/>
          <w:lang w:eastAsia="en-US"/>
        </w:rPr>
        <w:t xml:space="preserve"> zwana dalej </w:t>
      </w:r>
      <w:r w:rsidR="00594BA0" w:rsidRPr="00594BA0">
        <w:rPr>
          <w:rFonts w:ascii="Lato" w:eastAsia="Calibri" w:hAnsi="Lato" w:cs="Arial"/>
          <w:iCs/>
          <w:spacing w:val="4"/>
          <w:sz w:val="22"/>
          <w:szCs w:val="22"/>
          <w:lang w:eastAsia="en-US"/>
        </w:rPr>
        <w:t>„</w:t>
      </w:r>
      <w:r w:rsidR="00594BA0" w:rsidRPr="00594BA0">
        <w:rPr>
          <w:rFonts w:ascii="Lato" w:eastAsia="Calibri" w:hAnsi="Lato" w:cs="Arial"/>
          <w:i/>
          <w:iCs/>
          <w:spacing w:val="4"/>
          <w:sz w:val="22"/>
          <w:szCs w:val="22"/>
          <w:lang w:eastAsia="en-US" w:bidi="pl-PL"/>
        </w:rPr>
        <w:t>decyzją RDOŚ o środowiskowych uwarunkowaniach”.</w:t>
      </w:r>
    </w:p>
    <w:p w14:paraId="30B8C7B1" w14:textId="34C80A7D" w:rsidR="00470295" w:rsidRDefault="00470295" w:rsidP="00470295">
      <w:pPr>
        <w:pStyle w:val="Tekstpodstawowywcity2"/>
        <w:tabs>
          <w:tab w:val="left" w:pos="7560"/>
        </w:tabs>
        <w:spacing w:after="240" w:line="240" w:lineRule="exact"/>
        <w:ind w:left="0"/>
        <w:jc w:val="both"/>
        <w:rPr>
          <w:rFonts w:ascii="Lato" w:eastAsia="Calibri" w:hAnsi="Lato" w:cs="Arial"/>
          <w:iCs/>
          <w:spacing w:val="4"/>
          <w:sz w:val="22"/>
          <w:szCs w:val="22"/>
          <w:lang w:eastAsia="en-US"/>
        </w:rPr>
      </w:pPr>
      <w:r>
        <w:rPr>
          <w:rFonts w:ascii="Lato" w:eastAsia="Calibri" w:hAnsi="Lato" w:cs="Arial"/>
          <w:iCs/>
          <w:spacing w:val="4"/>
          <w:sz w:val="22"/>
          <w:szCs w:val="22"/>
          <w:lang w:eastAsia="en-US"/>
        </w:rPr>
        <w:t xml:space="preserve">Następnie organ odwoławczy poddał kontroli przeprowadzone przez Wojewodę </w:t>
      </w:r>
      <w:r w:rsidR="00D771A0">
        <w:rPr>
          <w:rFonts w:ascii="Lato" w:eastAsia="Calibri" w:hAnsi="Lato" w:cs="Arial"/>
          <w:iCs/>
          <w:spacing w:val="4"/>
          <w:sz w:val="22"/>
          <w:szCs w:val="22"/>
          <w:lang w:eastAsia="en-US"/>
        </w:rPr>
        <w:t>Mazowieckiego</w:t>
      </w:r>
      <w:r>
        <w:rPr>
          <w:rFonts w:ascii="Lato" w:eastAsia="Calibri" w:hAnsi="Lato" w:cs="Arial"/>
          <w:iCs/>
          <w:spacing w:val="4"/>
          <w:sz w:val="22"/>
          <w:szCs w:val="22"/>
          <w:lang w:eastAsia="en-US"/>
        </w:rPr>
        <w:t xml:space="preserve"> postępowanie o wydanie decyzji o ustaleniu lokalizacji </w:t>
      </w:r>
      <w:r w:rsidR="0004209B">
        <w:rPr>
          <w:rFonts w:ascii="Lato" w:eastAsia="Calibri" w:hAnsi="Lato" w:cs="Arial"/>
          <w:iCs/>
          <w:spacing w:val="4"/>
          <w:sz w:val="22"/>
          <w:szCs w:val="22"/>
          <w:lang w:eastAsia="en-US"/>
        </w:rPr>
        <w:br/>
      </w:r>
      <w:r>
        <w:rPr>
          <w:rFonts w:ascii="Lato" w:eastAsia="Calibri" w:hAnsi="Lato" w:cs="Arial"/>
          <w:iCs/>
          <w:spacing w:val="4"/>
          <w:sz w:val="22"/>
          <w:szCs w:val="22"/>
          <w:lang w:eastAsia="en-US"/>
        </w:rPr>
        <w:t>ww. przedsięwzięcia i stwierdził co następuje.</w:t>
      </w:r>
      <w:r>
        <w:rPr>
          <w:rFonts w:ascii="Lato" w:eastAsia="Calibri" w:hAnsi="Lato" w:cs="Arial"/>
          <w:i/>
          <w:spacing w:val="4"/>
          <w:sz w:val="22"/>
          <w:szCs w:val="22"/>
          <w:lang w:eastAsia="en-US"/>
        </w:rPr>
        <w:t xml:space="preserve"> </w:t>
      </w:r>
      <w:r>
        <w:rPr>
          <w:rFonts w:ascii="Lato" w:eastAsia="Calibri" w:hAnsi="Lato" w:cs="Arial"/>
          <w:iCs/>
          <w:spacing w:val="4"/>
          <w:sz w:val="22"/>
          <w:szCs w:val="22"/>
          <w:lang w:eastAsia="en-US"/>
        </w:rPr>
        <w:t xml:space="preserve">Organ pierwszej instancji poinformował strony o wszczętym postępowaniu, podał jego podstawę prawną, pouczył o prawie </w:t>
      </w:r>
      <w:r w:rsidR="00D771A0">
        <w:rPr>
          <w:rFonts w:ascii="Lato" w:eastAsia="Calibri" w:hAnsi="Lato" w:cs="Arial"/>
          <w:iCs/>
          <w:spacing w:val="4"/>
          <w:sz w:val="22"/>
          <w:szCs w:val="22"/>
          <w:lang w:eastAsia="en-US"/>
        </w:rPr>
        <w:br/>
      </w:r>
      <w:r>
        <w:rPr>
          <w:rFonts w:ascii="Lato" w:eastAsia="Calibri" w:hAnsi="Lato" w:cs="Arial"/>
          <w:iCs/>
          <w:spacing w:val="4"/>
          <w:sz w:val="22"/>
          <w:szCs w:val="22"/>
          <w:lang w:eastAsia="en-US"/>
        </w:rPr>
        <w:t xml:space="preserve">do składania wniosków, uwag i zastrzeżeń, a zatem należycie i wyczerpująco poinformował strony o okolicznościach faktycznych i prawnych, będących przedmiotem postępowania administracyjnego, które mogły mieć wpływ na ustalenie ich praw </w:t>
      </w:r>
      <w:r w:rsidR="00010B8F">
        <w:rPr>
          <w:rFonts w:ascii="Lato" w:eastAsia="Calibri" w:hAnsi="Lato" w:cs="Arial"/>
          <w:iCs/>
          <w:spacing w:val="4"/>
          <w:sz w:val="22"/>
          <w:szCs w:val="22"/>
          <w:lang w:eastAsia="en-US"/>
        </w:rPr>
        <w:br/>
      </w:r>
      <w:r>
        <w:rPr>
          <w:rFonts w:ascii="Lato" w:eastAsia="Calibri" w:hAnsi="Lato" w:cs="Arial"/>
          <w:iCs/>
          <w:spacing w:val="4"/>
          <w:sz w:val="22"/>
          <w:szCs w:val="22"/>
          <w:lang w:eastAsia="en-US"/>
        </w:rPr>
        <w:t>i obowiązków.</w:t>
      </w:r>
    </w:p>
    <w:p w14:paraId="718EC490" w14:textId="3B9E09BE" w:rsidR="00470295" w:rsidRDefault="00470295" w:rsidP="00470295">
      <w:pPr>
        <w:pStyle w:val="Tekstpodstawowywcity2"/>
        <w:tabs>
          <w:tab w:val="left" w:pos="7560"/>
        </w:tabs>
        <w:spacing w:after="240" w:line="240" w:lineRule="exact"/>
        <w:ind w:left="0"/>
        <w:jc w:val="both"/>
        <w:rPr>
          <w:rFonts w:ascii="Lato" w:eastAsia="Calibri" w:hAnsi="Lato" w:cs="Arial"/>
          <w:iCs/>
          <w:spacing w:val="4"/>
          <w:sz w:val="22"/>
          <w:szCs w:val="22"/>
          <w:lang w:eastAsia="en-US"/>
        </w:rPr>
      </w:pPr>
      <w:r>
        <w:rPr>
          <w:rFonts w:ascii="Lato" w:eastAsia="Calibri" w:hAnsi="Lato" w:cs="Arial"/>
          <w:iCs/>
          <w:spacing w:val="4"/>
          <w:sz w:val="22"/>
          <w:szCs w:val="22"/>
          <w:lang w:eastAsia="en-US"/>
        </w:rPr>
        <w:t xml:space="preserve">Wojewoda </w:t>
      </w:r>
      <w:r w:rsidR="00D771A0">
        <w:rPr>
          <w:rFonts w:ascii="Lato" w:eastAsia="Calibri" w:hAnsi="Lato" w:cs="Arial"/>
          <w:iCs/>
          <w:spacing w:val="4"/>
          <w:sz w:val="22"/>
          <w:szCs w:val="22"/>
          <w:lang w:eastAsia="en-US"/>
        </w:rPr>
        <w:t>Mazowiecki</w:t>
      </w:r>
      <w:r>
        <w:rPr>
          <w:rFonts w:ascii="Lato" w:eastAsia="Calibri" w:hAnsi="Lato" w:cs="Arial"/>
          <w:iCs/>
          <w:spacing w:val="4"/>
          <w:sz w:val="22"/>
          <w:szCs w:val="22"/>
          <w:lang w:eastAsia="en-US"/>
        </w:rPr>
        <w:t xml:space="preserve">, pismem z dnia </w:t>
      </w:r>
      <w:r w:rsidR="00295D0C">
        <w:rPr>
          <w:rFonts w:ascii="Lato" w:eastAsia="Calibri" w:hAnsi="Lato" w:cs="Arial"/>
          <w:iCs/>
          <w:spacing w:val="4"/>
          <w:sz w:val="22"/>
          <w:szCs w:val="22"/>
          <w:lang w:eastAsia="en-US"/>
        </w:rPr>
        <w:t>8</w:t>
      </w:r>
      <w:r>
        <w:rPr>
          <w:rFonts w:ascii="Lato" w:eastAsia="Calibri" w:hAnsi="Lato" w:cs="Arial"/>
          <w:iCs/>
          <w:spacing w:val="4"/>
          <w:sz w:val="22"/>
          <w:szCs w:val="22"/>
          <w:lang w:eastAsia="en-US"/>
        </w:rPr>
        <w:t xml:space="preserve"> </w:t>
      </w:r>
      <w:r w:rsidR="00295D0C">
        <w:rPr>
          <w:rFonts w:ascii="Lato" w:eastAsia="Calibri" w:hAnsi="Lato" w:cs="Arial"/>
          <w:iCs/>
          <w:spacing w:val="4"/>
          <w:sz w:val="22"/>
          <w:szCs w:val="22"/>
          <w:lang w:eastAsia="en-US"/>
        </w:rPr>
        <w:t>września</w:t>
      </w:r>
      <w:r>
        <w:rPr>
          <w:rFonts w:ascii="Lato" w:eastAsia="Calibri" w:hAnsi="Lato" w:cs="Arial"/>
          <w:iCs/>
          <w:spacing w:val="4"/>
          <w:sz w:val="22"/>
          <w:szCs w:val="22"/>
          <w:lang w:eastAsia="en-US"/>
        </w:rPr>
        <w:t xml:space="preserve"> 2021 r., znak: </w:t>
      </w:r>
      <w:r w:rsidR="00295D0C">
        <w:rPr>
          <w:rFonts w:ascii="Lato" w:eastAsia="Calibri" w:hAnsi="Lato" w:cs="Arial"/>
          <w:iCs/>
          <w:spacing w:val="4"/>
          <w:sz w:val="22"/>
          <w:szCs w:val="22"/>
          <w:lang w:eastAsia="en-US"/>
        </w:rPr>
        <w:t>WI</w:t>
      </w:r>
      <w:r>
        <w:rPr>
          <w:rFonts w:ascii="Lato" w:eastAsia="Calibri" w:hAnsi="Lato" w:cs="Arial"/>
          <w:iCs/>
          <w:spacing w:val="4"/>
          <w:sz w:val="22"/>
          <w:szCs w:val="22"/>
          <w:lang w:eastAsia="en-US"/>
        </w:rPr>
        <w:t>.I.747.</w:t>
      </w:r>
      <w:r w:rsidR="00295D0C">
        <w:rPr>
          <w:rFonts w:ascii="Lato" w:eastAsia="Calibri" w:hAnsi="Lato" w:cs="Arial"/>
          <w:iCs/>
          <w:spacing w:val="4"/>
          <w:sz w:val="22"/>
          <w:szCs w:val="22"/>
          <w:lang w:eastAsia="en-US"/>
        </w:rPr>
        <w:t>5</w:t>
      </w:r>
      <w:r>
        <w:rPr>
          <w:rFonts w:ascii="Lato" w:eastAsia="Calibri" w:hAnsi="Lato" w:cs="Arial"/>
          <w:iCs/>
          <w:spacing w:val="4"/>
          <w:sz w:val="22"/>
          <w:szCs w:val="22"/>
          <w:lang w:eastAsia="en-US"/>
        </w:rPr>
        <w:t>.</w:t>
      </w:r>
      <w:r w:rsidR="00295D0C">
        <w:rPr>
          <w:rFonts w:ascii="Lato" w:eastAsia="Calibri" w:hAnsi="Lato" w:cs="Arial"/>
          <w:iCs/>
          <w:spacing w:val="4"/>
          <w:sz w:val="22"/>
          <w:szCs w:val="22"/>
          <w:lang w:eastAsia="en-US"/>
        </w:rPr>
        <w:t>7</w:t>
      </w:r>
      <w:r>
        <w:rPr>
          <w:rFonts w:ascii="Lato" w:eastAsia="Calibri" w:hAnsi="Lato" w:cs="Arial"/>
          <w:iCs/>
          <w:spacing w:val="4"/>
          <w:sz w:val="22"/>
          <w:szCs w:val="22"/>
          <w:lang w:eastAsia="en-US"/>
        </w:rPr>
        <w:t>.2021.</w:t>
      </w:r>
      <w:r w:rsidR="00295D0C">
        <w:rPr>
          <w:rFonts w:ascii="Lato" w:eastAsia="Calibri" w:hAnsi="Lato" w:cs="Arial"/>
          <w:iCs/>
          <w:spacing w:val="4"/>
          <w:sz w:val="22"/>
          <w:szCs w:val="22"/>
          <w:lang w:eastAsia="en-US"/>
        </w:rPr>
        <w:t>JK</w:t>
      </w:r>
      <w:r>
        <w:rPr>
          <w:rFonts w:ascii="Lato" w:eastAsia="Calibri" w:hAnsi="Lato" w:cs="Arial"/>
          <w:iCs/>
          <w:spacing w:val="4"/>
          <w:sz w:val="22"/>
          <w:szCs w:val="22"/>
          <w:lang w:eastAsia="en-US"/>
        </w:rPr>
        <w:t>, zawiadomił o wszczęciu postępowania w sprawie wydania decyzji o ustaleniu lokalizacji strategicznej inwestycji w sektorze naftowym wnioskodawcę, właścicieli nieruchomości i użytkowników wieczystych nieruchomości objętych wnioskiem, wysyłając</w:t>
      </w:r>
      <w:r w:rsidR="0004209B">
        <w:rPr>
          <w:rFonts w:ascii="Lato" w:eastAsia="Calibri" w:hAnsi="Lato" w:cs="Arial"/>
          <w:iCs/>
          <w:spacing w:val="4"/>
          <w:sz w:val="22"/>
          <w:szCs w:val="22"/>
          <w:lang w:eastAsia="en-US"/>
        </w:rPr>
        <w:t xml:space="preserve"> </w:t>
      </w:r>
      <w:r>
        <w:rPr>
          <w:rFonts w:ascii="Lato" w:eastAsia="Calibri" w:hAnsi="Lato" w:cs="Arial"/>
          <w:iCs/>
          <w:spacing w:val="4"/>
          <w:sz w:val="22"/>
          <w:szCs w:val="22"/>
          <w:lang w:eastAsia="en-US"/>
        </w:rPr>
        <w:t xml:space="preserve">zawiadomienie na adresy wskazane w katastrze nieruchomości. Pozostałe strony postępowania zostały poinformowane o jego wszczęciu w drodze obwieszczeń. </w:t>
      </w:r>
      <w:r w:rsidR="00295D0C">
        <w:rPr>
          <w:rFonts w:ascii="Lato" w:eastAsia="Calibri" w:hAnsi="Lato" w:cs="Arial"/>
          <w:iCs/>
          <w:spacing w:val="4"/>
          <w:sz w:val="22"/>
          <w:szCs w:val="22"/>
          <w:lang w:eastAsia="en-US"/>
        </w:rPr>
        <w:br/>
      </w:r>
      <w:r>
        <w:rPr>
          <w:rFonts w:ascii="Lato" w:eastAsia="Calibri" w:hAnsi="Lato" w:cs="Arial"/>
          <w:iCs/>
          <w:spacing w:val="4"/>
          <w:sz w:val="22"/>
          <w:szCs w:val="22"/>
          <w:lang w:eastAsia="en-US"/>
        </w:rPr>
        <w:t>W zawiadomieniu i obwieszczeniu organ I instancji poinformował o miejscu, gdzie strony mogą zapoznać się z dokumentacją dotyczącą inwestycji</w:t>
      </w:r>
      <w:r w:rsidRPr="00010B8F">
        <w:rPr>
          <w:rFonts w:ascii="Lato" w:eastAsia="Calibri" w:hAnsi="Lato" w:cs="Arial"/>
          <w:iCs/>
          <w:spacing w:val="4"/>
          <w:sz w:val="22"/>
          <w:szCs w:val="22"/>
          <w:lang w:eastAsia="en-US"/>
        </w:rPr>
        <w:t xml:space="preserve">, a także oznaczone zostały nieruchomości objęte wnioskiem. </w:t>
      </w:r>
      <w:r w:rsidR="00295D0C" w:rsidRPr="00010B8F">
        <w:rPr>
          <w:rFonts w:ascii="Lato" w:eastAsia="Calibri" w:hAnsi="Lato" w:cs="Arial"/>
          <w:iCs/>
          <w:spacing w:val="4"/>
          <w:sz w:val="22"/>
          <w:szCs w:val="22"/>
          <w:lang w:eastAsia="en-US"/>
        </w:rPr>
        <w:t>W</w:t>
      </w:r>
      <w:r w:rsidR="00295D0C" w:rsidRPr="00295D0C">
        <w:rPr>
          <w:rFonts w:ascii="Lato" w:eastAsia="Calibri" w:hAnsi="Lato" w:cs="Arial"/>
          <w:iCs/>
          <w:spacing w:val="4"/>
          <w:sz w:val="22"/>
          <w:szCs w:val="22"/>
          <w:lang w:eastAsia="en-US"/>
        </w:rPr>
        <w:t xml:space="preserve"> toku postępowania przed Wojewodą </w:t>
      </w:r>
      <w:r w:rsidR="00A13288">
        <w:rPr>
          <w:rFonts w:ascii="Lato" w:eastAsia="Calibri" w:hAnsi="Lato" w:cs="Arial"/>
          <w:iCs/>
          <w:spacing w:val="4"/>
          <w:sz w:val="22"/>
          <w:szCs w:val="22"/>
          <w:lang w:eastAsia="en-US"/>
        </w:rPr>
        <w:t>Mazowieckim</w:t>
      </w:r>
      <w:r w:rsidR="00295D0C" w:rsidRPr="00295D0C">
        <w:rPr>
          <w:rFonts w:ascii="Lato" w:eastAsia="Calibri" w:hAnsi="Lato" w:cs="Arial"/>
          <w:iCs/>
          <w:spacing w:val="4"/>
          <w:sz w:val="22"/>
          <w:szCs w:val="22"/>
          <w:lang w:eastAsia="en-US"/>
        </w:rPr>
        <w:t xml:space="preserve"> nie wniesiono zastrzeżeń dotyczących inwestycji.</w:t>
      </w:r>
    </w:p>
    <w:p w14:paraId="0D17C3B9" w14:textId="219A4A75" w:rsidR="00470295" w:rsidRDefault="00470295" w:rsidP="00470295">
      <w:pPr>
        <w:pStyle w:val="Tekstpodstawowywcity2"/>
        <w:tabs>
          <w:tab w:val="left" w:pos="7560"/>
        </w:tabs>
        <w:spacing w:after="240" w:line="240" w:lineRule="exact"/>
        <w:ind w:left="0"/>
        <w:jc w:val="both"/>
        <w:rPr>
          <w:rFonts w:ascii="Lato" w:eastAsia="Calibri" w:hAnsi="Lato" w:cs="Arial"/>
          <w:iCs/>
          <w:spacing w:val="4"/>
          <w:sz w:val="22"/>
          <w:szCs w:val="22"/>
          <w:lang w:eastAsia="en-US"/>
        </w:rPr>
      </w:pPr>
      <w:r>
        <w:rPr>
          <w:rFonts w:ascii="Lato" w:eastAsia="Calibri" w:hAnsi="Lato" w:cs="Arial"/>
          <w:iCs/>
          <w:spacing w:val="4"/>
          <w:sz w:val="22"/>
          <w:szCs w:val="22"/>
          <w:lang w:eastAsia="en-US"/>
        </w:rPr>
        <w:t xml:space="preserve">Uznając, że zebrany w sprawie materiał dowodowy pozwala na wydanie rozstrzygnięcia, Wojewoda </w:t>
      </w:r>
      <w:r w:rsidR="00A13288">
        <w:rPr>
          <w:rFonts w:ascii="Lato" w:eastAsia="Calibri" w:hAnsi="Lato" w:cs="Arial"/>
          <w:iCs/>
          <w:spacing w:val="4"/>
          <w:sz w:val="22"/>
          <w:szCs w:val="22"/>
          <w:lang w:eastAsia="en-US"/>
        </w:rPr>
        <w:t>Mazowiecki</w:t>
      </w:r>
      <w:r>
        <w:rPr>
          <w:rFonts w:ascii="Lato" w:eastAsia="Calibri" w:hAnsi="Lato" w:cs="Arial"/>
          <w:iCs/>
          <w:spacing w:val="4"/>
          <w:sz w:val="22"/>
          <w:szCs w:val="22"/>
          <w:lang w:eastAsia="en-US"/>
        </w:rPr>
        <w:t xml:space="preserve"> wydał w dniu </w:t>
      </w:r>
      <w:r w:rsidR="00A13288">
        <w:rPr>
          <w:rFonts w:ascii="Lato" w:eastAsia="Calibri" w:hAnsi="Lato" w:cs="Arial"/>
          <w:iCs/>
          <w:spacing w:val="4"/>
          <w:sz w:val="22"/>
          <w:szCs w:val="22"/>
          <w:lang w:eastAsia="en-US"/>
        </w:rPr>
        <w:t>16</w:t>
      </w:r>
      <w:r>
        <w:rPr>
          <w:rFonts w:ascii="Lato" w:eastAsia="Calibri" w:hAnsi="Lato" w:cs="Arial"/>
          <w:iCs/>
          <w:spacing w:val="4"/>
          <w:sz w:val="22"/>
          <w:szCs w:val="22"/>
          <w:lang w:eastAsia="en-US"/>
        </w:rPr>
        <w:t xml:space="preserve"> </w:t>
      </w:r>
      <w:r w:rsidR="00A13288">
        <w:rPr>
          <w:rFonts w:ascii="Lato" w:eastAsia="Calibri" w:hAnsi="Lato" w:cs="Arial"/>
          <w:iCs/>
          <w:spacing w:val="4"/>
          <w:sz w:val="22"/>
          <w:szCs w:val="22"/>
          <w:lang w:eastAsia="en-US"/>
        </w:rPr>
        <w:t>listopada</w:t>
      </w:r>
      <w:r>
        <w:rPr>
          <w:rFonts w:ascii="Lato" w:eastAsia="Calibri" w:hAnsi="Lato" w:cs="Arial"/>
          <w:iCs/>
          <w:spacing w:val="4"/>
          <w:sz w:val="22"/>
          <w:szCs w:val="22"/>
          <w:lang w:eastAsia="en-US"/>
        </w:rPr>
        <w:t xml:space="preserve"> 202</w:t>
      </w:r>
      <w:r w:rsidR="00A13288">
        <w:rPr>
          <w:rFonts w:ascii="Lato" w:eastAsia="Calibri" w:hAnsi="Lato" w:cs="Arial"/>
          <w:iCs/>
          <w:spacing w:val="4"/>
          <w:sz w:val="22"/>
          <w:szCs w:val="22"/>
          <w:lang w:eastAsia="en-US"/>
        </w:rPr>
        <w:t>1</w:t>
      </w:r>
      <w:r>
        <w:rPr>
          <w:rFonts w:ascii="Lato" w:eastAsia="Calibri" w:hAnsi="Lato" w:cs="Arial"/>
          <w:iCs/>
          <w:spacing w:val="4"/>
          <w:sz w:val="22"/>
          <w:szCs w:val="22"/>
          <w:lang w:eastAsia="en-US"/>
        </w:rPr>
        <w:t xml:space="preserve"> r. decyzję o ustaleniu lokalizacji </w:t>
      </w:r>
      <w:r>
        <w:rPr>
          <w:rFonts w:ascii="Lato" w:eastAsia="Calibri" w:hAnsi="Lato" w:cs="Arial"/>
          <w:iCs/>
          <w:spacing w:val="4"/>
          <w:sz w:val="22"/>
          <w:szCs w:val="22"/>
          <w:lang w:eastAsia="en-US"/>
        </w:rPr>
        <w:lastRenderedPageBreak/>
        <w:t xml:space="preserve">ww. strategicznej inwestycji w sektorze naftowym. Stosownie do art. 35 ust. 1 </w:t>
      </w:r>
      <w:r>
        <w:rPr>
          <w:rFonts w:ascii="Lato" w:eastAsia="Calibri" w:hAnsi="Lato" w:cs="Arial"/>
          <w:i/>
          <w:spacing w:val="4"/>
          <w:sz w:val="22"/>
          <w:szCs w:val="22"/>
          <w:lang w:eastAsia="en-US"/>
        </w:rPr>
        <w:t>specustawy naftowej</w:t>
      </w:r>
      <w:r>
        <w:rPr>
          <w:rFonts w:ascii="Lato" w:eastAsia="Calibri" w:hAnsi="Lato" w:cs="Arial"/>
          <w:iCs/>
          <w:spacing w:val="4"/>
          <w:sz w:val="22"/>
          <w:szCs w:val="22"/>
          <w:lang w:eastAsia="en-US"/>
        </w:rPr>
        <w:t xml:space="preserve"> decyzja podlega natychmiastowemu wykonaniu. </w:t>
      </w:r>
    </w:p>
    <w:p w14:paraId="63BC49FA" w14:textId="5E1ABE58" w:rsidR="00470295" w:rsidRDefault="00470295" w:rsidP="00470295">
      <w:pPr>
        <w:pStyle w:val="Tekstpodstawowywcity2"/>
        <w:tabs>
          <w:tab w:val="left" w:pos="7560"/>
        </w:tabs>
        <w:spacing w:after="240" w:line="240" w:lineRule="exact"/>
        <w:ind w:left="0"/>
        <w:jc w:val="both"/>
        <w:rPr>
          <w:rFonts w:ascii="Lato" w:eastAsia="Calibri" w:hAnsi="Lato" w:cs="Arial"/>
          <w:iCs/>
          <w:spacing w:val="4"/>
          <w:sz w:val="22"/>
          <w:szCs w:val="22"/>
          <w:lang w:eastAsia="en-US"/>
        </w:rPr>
      </w:pPr>
      <w:r>
        <w:rPr>
          <w:rFonts w:ascii="Lato" w:eastAsia="Calibri" w:hAnsi="Lato" w:cs="Arial"/>
          <w:iCs/>
          <w:spacing w:val="4"/>
          <w:sz w:val="22"/>
          <w:szCs w:val="22"/>
          <w:lang w:eastAsia="en-US"/>
        </w:rPr>
        <w:t xml:space="preserve">W myśl art. 10 ust. 1 </w:t>
      </w:r>
      <w:r>
        <w:rPr>
          <w:rFonts w:ascii="Lato" w:eastAsia="Calibri" w:hAnsi="Lato" w:cs="Arial"/>
          <w:i/>
          <w:spacing w:val="4"/>
          <w:sz w:val="22"/>
          <w:szCs w:val="22"/>
          <w:lang w:eastAsia="en-US"/>
        </w:rPr>
        <w:t xml:space="preserve">specustawy naftowe </w:t>
      </w:r>
      <w:r>
        <w:rPr>
          <w:rFonts w:ascii="Lato" w:eastAsia="Calibri" w:hAnsi="Lato" w:cs="Arial"/>
          <w:iCs/>
          <w:spacing w:val="4"/>
          <w:sz w:val="22"/>
          <w:szCs w:val="22"/>
          <w:lang w:eastAsia="en-US"/>
        </w:rPr>
        <w:t>(w</w:t>
      </w:r>
      <w:r>
        <w:rPr>
          <w:rFonts w:ascii="Lato" w:eastAsia="Calibri" w:hAnsi="Lato" w:cs="Arial"/>
          <w:i/>
          <w:spacing w:val="4"/>
          <w:sz w:val="22"/>
          <w:szCs w:val="22"/>
          <w:lang w:eastAsia="en-US"/>
        </w:rPr>
        <w:t xml:space="preserve"> </w:t>
      </w:r>
      <w:r>
        <w:rPr>
          <w:rFonts w:ascii="Lato" w:eastAsia="Calibri" w:hAnsi="Lato" w:cs="Arial"/>
          <w:iCs/>
          <w:spacing w:val="4"/>
          <w:sz w:val="22"/>
          <w:szCs w:val="22"/>
          <w:lang w:eastAsia="en-US"/>
        </w:rPr>
        <w:t xml:space="preserve">brzmieniu mającym zastosowanie </w:t>
      </w:r>
      <w:r>
        <w:rPr>
          <w:rFonts w:ascii="Lato" w:eastAsia="Calibri" w:hAnsi="Lato" w:cs="Arial"/>
          <w:iCs/>
          <w:spacing w:val="4"/>
          <w:sz w:val="22"/>
          <w:szCs w:val="22"/>
          <w:lang w:eastAsia="en-US"/>
        </w:rPr>
        <w:br/>
        <w:t>w niniejszej sprawie)</w:t>
      </w:r>
      <w:r>
        <w:rPr>
          <w:rFonts w:ascii="Lato" w:eastAsia="Calibri" w:hAnsi="Lato" w:cs="Arial"/>
          <w:i/>
          <w:spacing w:val="4"/>
          <w:sz w:val="22"/>
          <w:szCs w:val="22"/>
          <w:lang w:eastAsia="en-US"/>
        </w:rPr>
        <w:t>,</w:t>
      </w:r>
      <w:r>
        <w:rPr>
          <w:rFonts w:ascii="Lato" w:eastAsia="Calibri" w:hAnsi="Lato" w:cs="Arial"/>
          <w:iCs/>
          <w:spacing w:val="4"/>
          <w:sz w:val="22"/>
          <w:szCs w:val="22"/>
          <w:lang w:eastAsia="en-US"/>
        </w:rPr>
        <w:t xml:space="preserve"> Wojewoda </w:t>
      </w:r>
      <w:r w:rsidR="00A13288">
        <w:rPr>
          <w:rFonts w:ascii="Lato" w:eastAsia="Calibri" w:hAnsi="Lato" w:cs="Arial"/>
          <w:iCs/>
          <w:spacing w:val="4"/>
          <w:sz w:val="22"/>
          <w:szCs w:val="22"/>
          <w:lang w:eastAsia="en-US"/>
        </w:rPr>
        <w:t>Mazowiecki</w:t>
      </w:r>
      <w:r>
        <w:rPr>
          <w:rFonts w:ascii="Lato" w:eastAsia="Calibri" w:hAnsi="Lato" w:cs="Arial"/>
          <w:iCs/>
          <w:spacing w:val="4"/>
          <w:sz w:val="22"/>
          <w:szCs w:val="22"/>
          <w:lang w:eastAsia="en-US"/>
        </w:rPr>
        <w:t xml:space="preserve"> doręczył ww. decyzję wnioskodawcy oraz zawiadomił o jej wydaniu pozostałe strony w drodze obwieszczenia w urzędzie wojewódzkim i w urzędach gmin właściwych ze względu na lokalizację inwestycji,</w:t>
      </w:r>
      <w:r w:rsidR="00A13288">
        <w:rPr>
          <w:rFonts w:ascii="Lato" w:eastAsia="Calibri" w:hAnsi="Lato" w:cs="Arial"/>
          <w:iCs/>
          <w:spacing w:val="4"/>
          <w:sz w:val="22"/>
          <w:szCs w:val="22"/>
          <w:lang w:eastAsia="en-US"/>
        </w:rPr>
        <w:br/>
      </w:r>
      <w:r>
        <w:rPr>
          <w:rFonts w:ascii="Lato" w:eastAsia="Calibri" w:hAnsi="Lato" w:cs="Arial"/>
          <w:iCs/>
          <w:spacing w:val="4"/>
          <w:sz w:val="22"/>
          <w:szCs w:val="22"/>
          <w:lang w:eastAsia="en-US"/>
        </w:rPr>
        <w:t xml:space="preserve">w Biuletynie Informacji Publicznej, na stronach podmiotowych urzędów gmin oraz urzędu wojewódzkiego, a także w prasie o zasięgu ogólnopolskim. Właścicieli </w:t>
      </w:r>
      <w:r>
        <w:rPr>
          <w:rFonts w:ascii="Lato" w:eastAsia="Calibri" w:hAnsi="Lato" w:cs="Arial"/>
          <w:iCs/>
          <w:spacing w:val="4"/>
          <w:sz w:val="22"/>
          <w:szCs w:val="22"/>
          <w:lang w:eastAsia="en-US"/>
        </w:rPr>
        <w:br/>
        <w:t xml:space="preserve">i użytkowników wieczystych nieruchomości objętej </w:t>
      </w:r>
      <w:r>
        <w:rPr>
          <w:rFonts w:ascii="Lato" w:eastAsia="Calibri" w:hAnsi="Lato" w:cs="Arial"/>
          <w:i/>
          <w:spacing w:val="4"/>
          <w:sz w:val="22"/>
          <w:szCs w:val="22"/>
          <w:lang w:eastAsia="en-US"/>
        </w:rPr>
        <w:t xml:space="preserve">decyzją Wojewody </w:t>
      </w:r>
      <w:r w:rsidR="00A13288">
        <w:rPr>
          <w:rFonts w:ascii="Lato" w:eastAsia="Calibri" w:hAnsi="Lato" w:cs="Arial"/>
          <w:i/>
          <w:spacing w:val="4"/>
          <w:sz w:val="22"/>
          <w:szCs w:val="22"/>
          <w:lang w:eastAsia="en-US"/>
        </w:rPr>
        <w:t>Mazowieckiego</w:t>
      </w:r>
      <w:r>
        <w:rPr>
          <w:rFonts w:ascii="Lato" w:eastAsia="Calibri" w:hAnsi="Lato" w:cs="Arial"/>
          <w:iCs/>
          <w:spacing w:val="4"/>
          <w:sz w:val="22"/>
          <w:szCs w:val="22"/>
          <w:lang w:eastAsia="en-US"/>
        </w:rPr>
        <w:t xml:space="preserve">, organ pierwszej instancji poinformował o wydaniu decyzji w drodze zawiadomienia </w:t>
      </w:r>
      <w:r w:rsidR="00A13288">
        <w:rPr>
          <w:rFonts w:ascii="Lato" w:eastAsia="Calibri" w:hAnsi="Lato" w:cs="Arial"/>
          <w:iCs/>
          <w:spacing w:val="4"/>
          <w:sz w:val="22"/>
          <w:szCs w:val="22"/>
          <w:lang w:eastAsia="en-US"/>
        </w:rPr>
        <w:br/>
      </w:r>
      <w:r>
        <w:rPr>
          <w:rFonts w:ascii="Lato" w:eastAsia="Calibri" w:hAnsi="Lato" w:cs="Arial"/>
          <w:iCs/>
          <w:spacing w:val="4"/>
          <w:sz w:val="22"/>
          <w:szCs w:val="22"/>
          <w:lang w:eastAsia="en-US"/>
        </w:rPr>
        <w:t xml:space="preserve">z dnia </w:t>
      </w:r>
      <w:r w:rsidR="00A13288">
        <w:rPr>
          <w:rFonts w:ascii="Lato" w:eastAsia="Calibri" w:hAnsi="Lato" w:cs="Arial"/>
          <w:iCs/>
          <w:spacing w:val="4"/>
          <w:sz w:val="22"/>
          <w:szCs w:val="22"/>
          <w:lang w:eastAsia="en-US"/>
        </w:rPr>
        <w:t>23</w:t>
      </w:r>
      <w:r>
        <w:rPr>
          <w:rFonts w:ascii="Lato" w:eastAsia="Calibri" w:hAnsi="Lato" w:cs="Arial"/>
          <w:iCs/>
          <w:spacing w:val="4"/>
          <w:sz w:val="22"/>
          <w:szCs w:val="22"/>
          <w:lang w:eastAsia="en-US"/>
        </w:rPr>
        <w:t xml:space="preserve"> </w:t>
      </w:r>
      <w:r w:rsidR="00A13288">
        <w:rPr>
          <w:rFonts w:ascii="Lato" w:eastAsia="Calibri" w:hAnsi="Lato" w:cs="Arial"/>
          <w:iCs/>
          <w:spacing w:val="4"/>
          <w:sz w:val="22"/>
          <w:szCs w:val="22"/>
          <w:lang w:eastAsia="en-US"/>
        </w:rPr>
        <w:t>listopada</w:t>
      </w:r>
      <w:r>
        <w:rPr>
          <w:rFonts w:ascii="Lato" w:eastAsia="Calibri" w:hAnsi="Lato" w:cs="Arial"/>
          <w:iCs/>
          <w:spacing w:val="4"/>
          <w:sz w:val="22"/>
          <w:szCs w:val="22"/>
          <w:lang w:eastAsia="en-US"/>
        </w:rPr>
        <w:t xml:space="preserve"> 202</w:t>
      </w:r>
      <w:r w:rsidR="00A13288">
        <w:rPr>
          <w:rFonts w:ascii="Lato" w:eastAsia="Calibri" w:hAnsi="Lato" w:cs="Arial"/>
          <w:iCs/>
          <w:spacing w:val="4"/>
          <w:sz w:val="22"/>
          <w:szCs w:val="22"/>
          <w:lang w:eastAsia="en-US"/>
        </w:rPr>
        <w:t>1</w:t>
      </w:r>
      <w:r>
        <w:rPr>
          <w:rFonts w:ascii="Lato" w:eastAsia="Calibri" w:hAnsi="Lato" w:cs="Arial"/>
          <w:iCs/>
          <w:spacing w:val="4"/>
          <w:sz w:val="22"/>
          <w:szCs w:val="22"/>
          <w:lang w:eastAsia="en-US"/>
        </w:rPr>
        <w:t xml:space="preserve"> r., znak: </w:t>
      </w:r>
      <w:r w:rsidR="00A13288">
        <w:rPr>
          <w:rFonts w:ascii="Lato" w:eastAsia="Calibri" w:hAnsi="Lato" w:cs="Arial"/>
          <w:iCs/>
          <w:spacing w:val="4"/>
          <w:sz w:val="22"/>
          <w:szCs w:val="22"/>
          <w:lang w:eastAsia="en-US"/>
        </w:rPr>
        <w:t>WI-</w:t>
      </w:r>
      <w:r>
        <w:rPr>
          <w:rFonts w:ascii="Lato" w:eastAsia="Calibri" w:hAnsi="Lato" w:cs="Arial"/>
          <w:iCs/>
          <w:spacing w:val="4"/>
          <w:sz w:val="22"/>
          <w:szCs w:val="22"/>
          <w:lang w:eastAsia="en-US"/>
        </w:rPr>
        <w:t>I.747.</w:t>
      </w:r>
      <w:r w:rsidR="00A13288">
        <w:rPr>
          <w:rFonts w:ascii="Lato" w:eastAsia="Calibri" w:hAnsi="Lato" w:cs="Arial"/>
          <w:iCs/>
          <w:spacing w:val="4"/>
          <w:sz w:val="22"/>
          <w:szCs w:val="22"/>
          <w:lang w:eastAsia="en-US"/>
        </w:rPr>
        <w:t>5</w:t>
      </w:r>
      <w:r>
        <w:rPr>
          <w:rFonts w:ascii="Lato" w:eastAsia="Calibri" w:hAnsi="Lato" w:cs="Arial"/>
          <w:iCs/>
          <w:spacing w:val="4"/>
          <w:sz w:val="22"/>
          <w:szCs w:val="22"/>
          <w:lang w:eastAsia="en-US"/>
        </w:rPr>
        <w:t>.</w:t>
      </w:r>
      <w:r w:rsidR="00A13288">
        <w:rPr>
          <w:rFonts w:ascii="Lato" w:eastAsia="Calibri" w:hAnsi="Lato" w:cs="Arial"/>
          <w:iCs/>
          <w:spacing w:val="4"/>
          <w:sz w:val="22"/>
          <w:szCs w:val="22"/>
          <w:lang w:eastAsia="en-US"/>
        </w:rPr>
        <w:t>7</w:t>
      </w:r>
      <w:r>
        <w:rPr>
          <w:rFonts w:ascii="Lato" w:eastAsia="Calibri" w:hAnsi="Lato" w:cs="Arial"/>
          <w:iCs/>
          <w:spacing w:val="4"/>
          <w:sz w:val="22"/>
          <w:szCs w:val="22"/>
          <w:lang w:eastAsia="en-US"/>
        </w:rPr>
        <w:t>.2021.</w:t>
      </w:r>
      <w:r w:rsidR="00A13288">
        <w:rPr>
          <w:rFonts w:ascii="Lato" w:eastAsia="Calibri" w:hAnsi="Lato" w:cs="Arial"/>
          <w:iCs/>
          <w:spacing w:val="4"/>
          <w:sz w:val="22"/>
          <w:szCs w:val="22"/>
          <w:lang w:eastAsia="en-US"/>
        </w:rPr>
        <w:t>JK</w:t>
      </w:r>
      <w:r>
        <w:rPr>
          <w:rFonts w:ascii="Lato" w:eastAsia="Calibri" w:hAnsi="Lato" w:cs="Arial"/>
          <w:iCs/>
          <w:spacing w:val="4"/>
          <w:sz w:val="22"/>
          <w:szCs w:val="22"/>
          <w:lang w:eastAsia="en-US"/>
        </w:rPr>
        <w:t>, wysyłanego na adres wskazany w katastrze nieruchomości. W zawiadomieniu oraz w obwieszczeniu zamieszczono, informację o miejscu, w którym strony mogą zapoznać się z treścią decyzji.</w:t>
      </w:r>
    </w:p>
    <w:p w14:paraId="496ED762" w14:textId="11617BEF" w:rsidR="00470295" w:rsidRPr="006A2191" w:rsidRDefault="006A2191" w:rsidP="006A2191">
      <w:pPr>
        <w:pStyle w:val="Tekstpodstawowywcity2"/>
        <w:tabs>
          <w:tab w:val="left" w:pos="7560"/>
        </w:tabs>
        <w:spacing w:after="240" w:line="240" w:lineRule="exact"/>
        <w:ind w:left="0"/>
        <w:jc w:val="both"/>
        <w:rPr>
          <w:rFonts w:ascii="Lato" w:eastAsia="Calibri" w:hAnsi="Lato" w:cs="Arial"/>
          <w:i/>
          <w:iCs/>
          <w:spacing w:val="4"/>
          <w:sz w:val="22"/>
          <w:szCs w:val="22"/>
          <w:lang w:eastAsia="en-US"/>
        </w:rPr>
      </w:pPr>
      <w:r w:rsidRPr="006A2191">
        <w:rPr>
          <w:rFonts w:ascii="Lato" w:eastAsia="Calibri" w:hAnsi="Lato" w:cs="Arial"/>
          <w:iCs/>
          <w:spacing w:val="4"/>
          <w:sz w:val="22"/>
          <w:szCs w:val="22"/>
          <w:lang w:eastAsia="en-US"/>
        </w:rPr>
        <w:t xml:space="preserve">Kontrolowana </w:t>
      </w:r>
      <w:r w:rsidRPr="006A2191">
        <w:rPr>
          <w:rFonts w:ascii="Lato" w:eastAsia="Calibri" w:hAnsi="Lato" w:cs="Arial"/>
          <w:i/>
          <w:iCs/>
          <w:spacing w:val="4"/>
          <w:sz w:val="22"/>
          <w:szCs w:val="22"/>
          <w:lang w:eastAsia="en-US"/>
        </w:rPr>
        <w:t>decyzja Wojewody</w:t>
      </w:r>
      <w:r>
        <w:rPr>
          <w:rFonts w:ascii="Lato" w:eastAsia="Calibri" w:hAnsi="Lato" w:cs="Arial"/>
          <w:i/>
          <w:iCs/>
          <w:spacing w:val="4"/>
          <w:sz w:val="22"/>
          <w:szCs w:val="22"/>
          <w:lang w:eastAsia="en-US"/>
        </w:rPr>
        <w:t xml:space="preserve"> </w:t>
      </w:r>
      <w:r w:rsidRPr="006A2191">
        <w:rPr>
          <w:rFonts w:ascii="Lato" w:eastAsia="Calibri" w:hAnsi="Lato" w:cs="Arial"/>
          <w:i/>
          <w:iCs/>
          <w:spacing w:val="4"/>
          <w:sz w:val="22"/>
          <w:szCs w:val="22"/>
          <w:lang w:eastAsia="en-US"/>
        </w:rPr>
        <w:t>Mazowieckiego</w:t>
      </w:r>
      <w:r w:rsidRPr="006A2191">
        <w:rPr>
          <w:rFonts w:ascii="Lato" w:eastAsia="Calibri" w:hAnsi="Lato" w:cs="Arial"/>
          <w:iCs/>
          <w:spacing w:val="4"/>
          <w:sz w:val="22"/>
          <w:szCs w:val="22"/>
          <w:lang w:eastAsia="en-US"/>
        </w:rPr>
        <w:t>, z wyjątkiem uchybień omówionych poniżej, czyni zadość wymogom przedstawionym</w:t>
      </w:r>
      <w:r>
        <w:rPr>
          <w:rFonts w:ascii="Lato" w:eastAsia="Calibri" w:hAnsi="Lato" w:cs="Arial"/>
          <w:i/>
          <w:iCs/>
          <w:spacing w:val="4"/>
          <w:sz w:val="22"/>
          <w:szCs w:val="22"/>
          <w:lang w:eastAsia="en-US"/>
        </w:rPr>
        <w:t xml:space="preserve"> </w:t>
      </w:r>
      <w:r w:rsidRPr="006A2191">
        <w:rPr>
          <w:rFonts w:ascii="Lato" w:eastAsia="Calibri" w:hAnsi="Lato" w:cs="Arial"/>
          <w:iCs/>
          <w:spacing w:val="4"/>
          <w:sz w:val="22"/>
          <w:szCs w:val="22"/>
          <w:lang w:eastAsia="en-US"/>
        </w:rPr>
        <w:t xml:space="preserve">w art. 8 ust. 1 </w:t>
      </w:r>
      <w:r w:rsidRPr="006A2191">
        <w:rPr>
          <w:rFonts w:ascii="Lato" w:eastAsia="Calibri" w:hAnsi="Lato" w:cs="Arial"/>
          <w:i/>
          <w:iCs/>
          <w:spacing w:val="4"/>
          <w:sz w:val="22"/>
          <w:szCs w:val="22"/>
          <w:lang w:eastAsia="en-US"/>
        </w:rPr>
        <w:t xml:space="preserve">specustawy </w:t>
      </w:r>
      <w:r w:rsidR="00675FC9">
        <w:rPr>
          <w:rFonts w:ascii="Lato" w:eastAsia="Calibri" w:hAnsi="Lato" w:cs="Arial"/>
          <w:i/>
          <w:iCs/>
          <w:spacing w:val="4"/>
          <w:sz w:val="22"/>
          <w:szCs w:val="22"/>
          <w:lang w:eastAsia="en-US"/>
        </w:rPr>
        <w:t>naftowej</w:t>
      </w:r>
      <w:r w:rsidRPr="006A2191">
        <w:rPr>
          <w:rFonts w:ascii="Lato" w:eastAsia="Calibri" w:hAnsi="Lato" w:cs="Arial"/>
          <w:iCs/>
          <w:spacing w:val="4"/>
          <w:sz w:val="22"/>
          <w:szCs w:val="22"/>
          <w:lang w:eastAsia="en-US"/>
        </w:rPr>
        <w:t>, zawiera bowiem wszystkie niezbędne w okolicznościach</w:t>
      </w:r>
      <w:r>
        <w:rPr>
          <w:rFonts w:ascii="Lato" w:eastAsia="Calibri" w:hAnsi="Lato" w:cs="Arial"/>
          <w:i/>
          <w:iCs/>
          <w:spacing w:val="4"/>
          <w:sz w:val="22"/>
          <w:szCs w:val="22"/>
          <w:lang w:eastAsia="en-US"/>
        </w:rPr>
        <w:t xml:space="preserve"> </w:t>
      </w:r>
      <w:r w:rsidRPr="006A2191">
        <w:rPr>
          <w:rFonts w:ascii="Lato" w:eastAsia="Calibri" w:hAnsi="Lato" w:cs="Arial"/>
          <w:iCs/>
          <w:spacing w:val="4"/>
          <w:sz w:val="22"/>
          <w:szCs w:val="22"/>
          <w:lang w:eastAsia="en-US"/>
        </w:rPr>
        <w:t>niniejszej sprawy elementy określone w tym przepisie.</w:t>
      </w:r>
      <w:r>
        <w:rPr>
          <w:rFonts w:ascii="Lato" w:eastAsia="Calibri" w:hAnsi="Lato" w:cs="Arial"/>
          <w:iCs/>
          <w:spacing w:val="4"/>
          <w:sz w:val="22"/>
          <w:szCs w:val="22"/>
          <w:lang w:eastAsia="en-US"/>
        </w:rPr>
        <w:t xml:space="preserve"> </w:t>
      </w:r>
      <w:r w:rsidR="00470295">
        <w:rPr>
          <w:rFonts w:ascii="Lato" w:eastAsia="Calibri" w:hAnsi="Lato" w:cs="Arial"/>
          <w:iCs/>
          <w:spacing w:val="4"/>
          <w:sz w:val="22"/>
          <w:szCs w:val="22"/>
          <w:lang w:eastAsia="en-US"/>
        </w:rPr>
        <w:t xml:space="preserve">Zgodnie z art. 8 ust. 2 </w:t>
      </w:r>
      <w:r w:rsidR="00470295">
        <w:rPr>
          <w:rFonts w:ascii="Lato" w:eastAsia="Calibri" w:hAnsi="Lato" w:cs="Arial"/>
          <w:i/>
          <w:spacing w:val="4"/>
          <w:sz w:val="22"/>
          <w:szCs w:val="22"/>
          <w:lang w:eastAsia="en-US"/>
        </w:rPr>
        <w:t>specustawy naftowej,</w:t>
      </w:r>
      <w:r w:rsidR="00470295">
        <w:rPr>
          <w:rFonts w:ascii="Lato" w:eastAsia="Calibri" w:hAnsi="Lato" w:cs="Arial"/>
          <w:iCs/>
          <w:spacing w:val="4"/>
          <w:sz w:val="22"/>
          <w:szCs w:val="22"/>
          <w:lang w:eastAsia="en-US"/>
        </w:rPr>
        <w:t xml:space="preserve"> projekt powyższej decyzji został sporządzony przez osobę, o której mowa w art. 5 ustawy z dnia 27 marca 2003 r. o planowaniu i zagospodarowaniu przestrzennym (t.j. Dz. U. z 202</w:t>
      </w:r>
      <w:r w:rsidR="00CB7CC8">
        <w:rPr>
          <w:rFonts w:ascii="Lato" w:eastAsia="Calibri" w:hAnsi="Lato" w:cs="Arial"/>
          <w:iCs/>
          <w:spacing w:val="4"/>
          <w:sz w:val="22"/>
          <w:szCs w:val="22"/>
          <w:lang w:eastAsia="en-US"/>
        </w:rPr>
        <w:t>4</w:t>
      </w:r>
      <w:r w:rsidR="00470295">
        <w:rPr>
          <w:rFonts w:ascii="Lato" w:eastAsia="Calibri" w:hAnsi="Lato" w:cs="Arial"/>
          <w:iCs/>
          <w:spacing w:val="4"/>
          <w:sz w:val="22"/>
          <w:szCs w:val="22"/>
          <w:lang w:eastAsia="en-US"/>
        </w:rPr>
        <w:t xml:space="preserve"> r. poz. </w:t>
      </w:r>
      <w:r w:rsidR="00CB7CC8">
        <w:rPr>
          <w:rFonts w:ascii="Lato" w:eastAsia="Calibri" w:hAnsi="Lato" w:cs="Arial"/>
          <w:iCs/>
          <w:spacing w:val="4"/>
          <w:sz w:val="22"/>
          <w:szCs w:val="22"/>
          <w:lang w:eastAsia="en-US"/>
        </w:rPr>
        <w:t>1130</w:t>
      </w:r>
      <w:r w:rsidR="00470295">
        <w:rPr>
          <w:rFonts w:ascii="Lato" w:eastAsia="Calibri" w:hAnsi="Lato" w:cs="Arial"/>
          <w:iCs/>
          <w:spacing w:val="4"/>
          <w:sz w:val="22"/>
          <w:szCs w:val="22"/>
          <w:lang w:eastAsia="en-US"/>
        </w:rPr>
        <w:t xml:space="preserve">) dalej zwanej </w:t>
      </w:r>
      <w:r w:rsidR="00470295">
        <w:rPr>
          <w:rFonts w:ascii="Lato" w:eastAsia="Calibri" w:hAnsi="Lato" w:cs="Arial"/>
          <w:i/>
          <w:spacing w:val="4"/>
          <w:sz w:val="22"/>
          <w:szCs w:val="22"/>
          <w:lang w:eastAsia="en-US"/>
        </w:rPr>
        <w:t>„ustawą o planowaniu i zagospodarowaniu przestrzennym”.</w:t>
      </w:r>
    </w:p>
    <w:p w14:paraId="45B7848C" w14:textId="77777777" w:rsidR="00675FC9" w:rsidRPr="00675FC9" w:rsidRDefault="00675FC9" w:rsidP="00675FC9">
      <w:pPr>
        <w:spacing w:after="240" w:line="240" w:lineRule="exact"/>
        <w:jc w:val="both"/>
        <w:outlineLvl w:val="0"/>
        <w:rPr>
          <w:rFonts w:ascii="Lato" w:eastAsia="Calibri" w:hAnsi="Lato" w:cs="Arial"/>
          <w:iCs/>
          <w:spacing w:val="4"/>
          <w:sz w:val="22"/>
          <w:szCs w:val="22"/>
          <w:lang w:eastAsia="en-US"/>
        </w:rPr>
      </w:pPr>
      <w:r w:rsidRPr="00675FC9">
        <w:rPr>
          <w:rFonts w:ascii="Lato" w:eastAsia="Calibri" w:hAnsi="Lato" w:cs="Arial"/>
          <w:iCs/>
          <w:spacing w:val="4"/>
          <w:sz w:val="22"/>
          <w:szCs w:val="22"/>
          <w:lang w:eastAsia="en-US"/>
        </w:rPr>
        <w:t xml:space="preserve">Po zapoznaniu się ze zgromadzonym materiałem dowodowym, organ II instancji stwierdził, iż wydana decyzja wymaga dokonania korekty merytoryczno-reformacyjnej. Należy zauważyć, iż przepisy art. 138 § 1 pkt 2 </w:t>
      </w:r>
      <w:r w:rsidRPr="00675FC9">
        <w:rPr>
          <w:rFonts w:ascii="Lato" w:eastAsia="Calibri" w:hAnsi="Lato" w:cs="Arial"/>
          <w:i/>
          <w:iCs/>
          <w:spacing w:val="4"/>
          <w:sz w:val="22"/>
          <w:szCs w:val="22"/>
          <w:lang w:eastAsia="en-US"/>
        </w:rPr>
        <w:t>kpa</w:t>
      </w:r>
      <w:r w:rsidRPr="00675FC9">
        <w:rPr>
          <w:rFonts w:ascii="Lato" w:eastAsia="Calibri" w:hAnsi="Lato" w:cs="Arial"/>
          <w:iCs/>
          <w:spacing w:val="4"/>
          <w:sz w:val="22"/>
          <w:szCs w:val="22"/>
          <w:lang w:eastAsia="en-US"/>
        </w:rPr>
        <w:t xml:space="preserve"> umożliwiają organowi odwoławczemu korektę zaskarżonej decyzji przez jej uchylenie i orzeczenie w tym zakresie, co do istoty sprawy.</w:t>
      </w:r>
    </w:p>
    <w:p w14:paraId="0C974D8C" w14:textId="0D62E7A4" w:rsidR="00675FC9" w:rsidRPr="00675FC9" w:rsidRDefault="00BF552A" w:rsidP="00675FC9">
      <w:pPr>
        <w:spacing w:after="240" w:line="240" w:lineRule="exact"/>
        <w:jc w:val="both"/>
        <w:outlineLvl w:val="0"/>
        <w:rPr>
          <w:rFonts w:ascii="Lato" w:eastAsia="Calibri" w:hAnsi="Lato" w:cs="Arial"/>
          <w:iCs/>
          <w:spacing w:val="4"/>
          <w:sz w:val="22"/>
          <w:szCs w:val="22"/>
          <w:lang w:eastAsia="en-US"/>
        </w:rPr>
      </w:pPr>
      <w:r w:rsidRPr="00BF552A">
        <w:rPr>
          <w:rFonts w:ascii="Lato" w:eastAsia="Calibri" w:hAnsi="Lato" w:cs="Arial"/>
          <w:iCs/>
          <w:spacing w:val="4"/>
          <w:sz w:val="22"/>
          <w:szCs w:val="22"/>
          <w:lang w:eastAsia="en-US"/>
        </w:rPr>
        <w:t>Z</w:t>
      </w:r>
      <w:r w:rsidR="00675FC9" w:rsidRPr="00675FC9">
        <w:rPr>
          <w:rFonts w:ascii="Lato" w:eastAsia="Calibri" w:hAnsi="Lato" w:cs="Arial"/>
          <w:iCs/>
          <w:spacing w:val="4"/>
          <w:sz w:val="22"/>
          <w:szCs w:val="22"/>
          <w:lang w:eastAsia="en-US"/>
        </w:rPr>
        <w:t>auważenia wymaga, iż w dniu 27 maja 2021 r. weszła w życie ustawa z dnia 20 kwietnia 2021 r. o zmianie ustaw regulujących przygotowanie i realizację kluczowych inwestycji w zakresie strategicznej infrastruktury energetycznej (</w:t>
      </w:r>
      <w:r w:rsidRPr="00BF552A">
        <w:rPr>
          <w:rFonts w:ascii="Lato" w:eastAsia="Calibri" w:hAnsi="Lato" w:cs="Arial"/>
          <w:iCs/>
          <w:spacing w:val="4"/>
          <w:sz w:val="22"/>
          <w:szCs w:val="22"/>
          <w:lang w:eastAsia="en-US"/>
        </w:rPr>
        <w:t xml:space="preserve">t.j. </w:t>
      </w:r>
      <w:r w:rsidR="00675FC9" w:rsidRPr="00675FC9">
        <w:rPr>
          <w:rFonts w:ascii="Lato" w:eastAsia="Calibri" w:hAnsi="Lato" w:cs="Arial"/>
          <w:iCs/>
          <w:spacing w:val="4"/>
          <w:sz w:val="22"/>
          <w:szCs w:val="22"/>
          <w:lang w:eastAsia="en-US"/>
        </w:rPr>
        <w:t>Dz. U. z 2021 r. poz. 922), zwana dalej „</w:t>
      </w:r>
      <w:r w:rsidR="00675FC9" w:rsidRPr="00675FC9">
        <w:rPr>
          <w:rFonts w:ascii="Lato" w:eastAsia="Calibri" w:hAnsi="Lato" w:cs="Arial"/>
          <w:i/>
          <w:iCs/>
          <w:spacing w:val="4"/>
          <w:sz w:val="22"/>
          <w:szCs w:val="22"/>
          <w:lang w:eastAsia="en-US"/>
        </w:rPr>
        <w:t>ustawą nowelizującą</w:t>
      </w:r>
      <w:r w:rsidR="00675FC9" w:rsidRPr="00675FC9">
        <w:rPr>
          <w:rFonts w:ascii="Lato" w:eastAsia="Calibri" w:hAnsi="Lato" w:cs="Arial"/>
          <w:iCs/>
          <w:spacing w:val="4"/>
          <w:sz w:val="22"/>
          <w:szCs w:val="22"/>
          <w:lang w:eastAsia="en-US"/>
        </w:rPr>
        <w:t xml:space="preserve">”. </w:t>
      </w:r>
      <w:r w:rsidR="00675FC9" w:rsidRPr="00675FC9">
        <w:rPr>
          <w:rFonts w:ascii="Lato" w:eastAsia="Calibri" w:hAnsi="Lato" w:cs="Arial"/>
          <w:i/>
          <w:iCs/>
          <w:spacing w:val="4"/>
          <w:sz w:val="22"/>
          <w:szCs w:val="22"/>
          <w:lang w:eastAsia="en-US"/>
        </w:rPr>
        <w:t>Inwestor</w:t>
      </w:r>
      <w:r w:rsidR="00675FC9" w:rsidRPr="00675FC9">
        <w:rPr>
          <w:rFonts w:ascii="Lato" w:eastAsia="Calibri" w:hAnsi="Lato" w:cs="Arial"/>
          <w:iCs/>
          <w:spacing w:val="4"/>
          <w:sz w:val="22"/>
          <w:szCs w:val="22"/>
          <w:lang w:eastAsia="en-US"/>
        </w:rPr>
        <w:t xml:space="preserve"> wystąpił z wnioskiem o ustalenie lokalizacji przedmiotowej strategicznej inwestycji w </w:t>
      </w:r>
      <w:r>
        <w:rPr>
          <w:rFonts w:ascii="Lato" w:eastAsia="Calibri" w:hAnsi="Lato" w:cs="Arial"/>
          <w:iCs/>
          <w:spacing w:val="4"/>
          <w:sz w:val="22"/>
          <w:szCs w:val="22"/>
          <w:lang w:eastAsia="en-US"/>
        </w:rPr>
        <w:t>sektorze naftowym</w:t>
      </w:r>
      <w:r w:rsidR="00675FC9" w:rsidRPr="00675FC9">
        <w:rPr>
          <w:rFonts w:ascii="Lato" w:eastAsia="Calibri" w:hAnsi="Lato" w:cs="Arial"/>
          <w:iCs/>
          <w:spacing w:val="4"/>
          <w:sz w:val="22"/>
          <w:szCs w:val="22"/>
          <w:lang w:eastAsia="en-US"/>
        </w:rPr>
        <w:t xml:space="preserve"> w dniu </w:t>
      </w:r>
      <w:r>
        <w:rPr>
          <w:rFonts w:ascii="Lato" w:eastAsia="Calibri" w:hAnsi="Lato" w:cs="Arial"/>
          <w:iCs/>
          <w:spacing w:val="4"/>
          <w:sz w:val="22"/>
          <w:szCs w:val="22"/>
          <w:lang w:eastAsia="en-US"/>
        </w:rPr>
        <w:t>13</w:t>
      </w:r>
      <w:r w:rsidR="00675FC9" w:rsidRPr="00675FC9">
        <w:rPr>
          <w:rFonts w:ascii="Lato" w:eastAsia="Calibri" w:hAnsi="Lato" w:cs="Arial"/>
          <w:iCs/>
          <w:spacing w:val="4"/>
          <w:sz w:val="22"/>
          <w:szCs w:val="22"/>
          <w:lang w:eastAsia="en-US"/>
        </w:rPr>
        <w:t xml:space="preserve"> </w:t>
      </w:r>
      <w:r>
        <w:rPr>
          <w:rFonts w:ascii="Lato" w:eastAsia="Calibri" w:hAnsi="Lato" w:cs="Arial"/>
          <w:iCs/>
          <w:spacing w:val="4"/>
          <w:sz w:val="22"/>
          <w:szCs w:val="22"/>
          <w:lang w:eastAsia="en-US"/>
        </w:rPr>
        <w:t>lipca</w:t>
      </w:r>
      <w:r w:rsidR="00675FC9" w:rsidRPr="00675FC9">
        <w:rPr>
          <w:rFonts w:ascii="Lato" w:eastAsia="Calibri" w:hAnsi="Lato" w:cs="Arial"/>
          <w:iCs/>
          <w:spacing w:val="4"/>
          <w:sz w:val="22"/>
          <w:szCs w:val="22"/>
          <w:lang w:eastAsia="en-US"/>
        </w:rPr>
        <w:t xml:space="preserve"> 2021 r. </w:t>
      </w:r>
      <w:r w:rsidR="00960835">
        <w:rPr>
          <w:rFonts w:ascii="Lato" w:eastAsia="Calibri" w:hAnsi="Lato" w:cs="Arial"/>
          <w:iCs/>
          <w:spacing w:val="4"/>
          <w:sz w:val="22"/>
          <w:szCs w:val="22"/>
          <w:lang w:eastAsia="en-US"/>
        </w:rPr>
        <w:br/>
      </w:r>
      <w:r w:rsidR="00675FC9" w:rsidRPr="00675FC9">
        <w:rPr>
          <w:rFonts w:ascii="Lato" w:eastAsia="Calibri" w:hAnsi="Lato" w:cs="Arial"/>
          <w:iCs/>
          <w:spacing w:val="4"/>
          <w:sz w:val="22"/>
          <w:szCs w:val="22"/>
          <w:lang w:eastAsia="en-US"/>
        </w:rPr>
        <w:t xml:space="preserve">W związku z powyższym, w niniejszej sprawie zastosowanie znajdą przepisy </w:t>
      </w:r>
      <w:r w:rsidR="00675FC9" w:rsidRPr="00675FC9">
        <w:rPr>
          <w:rFonts w:ascii="Lato" w:eastAsia="Calibri" w:hAnsi="Lato" w:cs="Arial"/>
          <w:i/>
          <w:iCs/>
          <w:spacing w:val="4"/>
          <w:sz w:val="22"/>
          <w:szCs w:val="22"/>
          <w:lang w:eastAsia="en-US"/>
        </w:rPr>
        <w:t xml:space="preserve">specustawy </w:t>
      </w:r>
      <w:r>
        <w:rPr>
          <w:rFonts w:ascii="Lato" w:eastAsia="Calibri" w:hAnsi="Lato" w:cs="Arial"/>
          <w:i/>
          <w:iCs/>
          <w:spacing w:val="4"/>
          <w:sz w:val="22"/>
          <w:szCs w:val="22"/>
          <w:lang w:eastAsia="en-US"/>
        </w:rPr>
        <w:t>naftowej</w:t>
      </w:r>
      <w:r w:rsidR="00675FC9" w:rsidRPr="00675FC9">
        <w:rPr>
          <w:rFonts w:ascii="Lato" w:eastAsia="Calibri" w:hAnsi="Lato" w:cs="Arial"/>
          <w:iCs/>
          <w:spacing w:val="4"/>
          <w:sz w:val="22"/>
          <w:szCs w:val="22"/>
          <w:lang w:eastAsia="en-US"/>
        </w:rPr>
        <w:t xml:space="preserve"> w brzmieniu obowiązującym od dnia 27 maja 2021 r., tj. po wejściu w życie </w:t>
      </w:r>
      <w:r w:rsidR="00675FC9" w:rsidRPr="00675FC9">
        <w:rPr>
          <w:rFonts w:ascii="Lato" w:eastAsia="Calibri" w:hAnsi="Lato" w:cs="Arial"/>
          <w:i/>
          <w:iCs/>
          <w:spacing w:val="4"/>
          <w:sz w:val="22"/>
          <w:szCs w:val="22"/>
          <w:lang w:eastAsia="en-US"/>
        </w:rPr>
        <w:t>ustawy nowelizującej</w:t>
      </w:r>
      <w:r w:rsidR="00675FC9" w:rsidRPr="00675FC9">
        <w:rPr>
          <w:rFonts w:ascii="Lato" w:eastAsia="Calibri" w:hAnsi="Lato" w:cs="Arial"/>
          <w:iCs/>
          <w:spacing w:val="4"/>
          <w:sz w:val="22"/>
          <w:szCs w:val="22"/>
          <w:lang w:eastAsia="en-US"/>
        </w:rPr>
        <w:t xml:space="preserve">. </w:t>
      </w:r>
    </w:p>
    <w:p w14:paraId="71B2482F" w14:textId="47FE0A3C" w:rsidR="00BF552A" w:rsidRPr="00BF552A" w:rsidRDefault="00675FC9" w:rsidP="00BF552A">
      <w:pPr>
        <w:spacing w:after="240" w:line="240" w:lineRule="exact"/>
        <w:jc w:val="both"/>
        <w:outlineLvl w:val="0"/>
        <w:rPr>
          <w:rFonts w:ascii="Lato" w:eastAsia="Calibri" w:hAnsi="Lato" w:cs="Arial"/>
          <w:iCs/>
          <w:spacing w:val="4"/>
          <w:sz w:val="22"/>
          <w:szCs w:val="22"/>
          <w:lang w:eastAsia="en-US"/>
        </w:rPr>
      </w:pPr>
      <w:r w:rsidRPr="00675FC9">
        <w:rPr>
          <w:rFonts w:ascii="Lato" w:eastAsia="Calibri" w:hAnsi="Lato" w:cs="Arial"/>
          <w:iCs/>
          <w:spacing w:val="4"/>
          <w:sz w:val="22"/>
          <w:szCs w:val="22"/>
          <w:lang w:eastAsia="en-US"/>
        </w:rPr>
        <w:t xml:space="preserve">W myśl art. 8 ust. 1 pkt 1 </w:t>
      </w:r>
      <w:r w:rsidRPr="00675FC9">
        <w:rPr>
          <w:rFonts w:ascii="Lato" w:eastAsia="Calibri" w:hAnsi="Lato" w:cs="Arial"/>
          <w:i/>
          <w:iCs/>
          <w:spacing w:val="4"/>
          <w:sz w:val="22"/>
          <w:szCs w:val="22"/>
          <w:lang w:eastAsia="en-US"/>
        </w:rPr>
        <w:t xml:space="preserve">specustawy </w:t>
      </w:r>
      <w:r w:rsidR="00C92871">
        <w:rPr>
          <w:rFonts w:ascii="Lato" w:eastAsia="Calibri" w:hAnsi="Lato" w:cs="Arial"/>
          <w:i/>
          <w:iCs/>
          <w:spacing w:val="4"/>
          <w:sz w:val="22"/>
          <w:szCs w:val="22"/>
          <w:lang w:eastAsia="en-US"/>
        </w:rPr>
        <w:t xml:space="preserve">naftowej </w:t>
      </w:r>
      <w:r w:rsidRPr="00675FC9">
        <w:rPr>
          <w:rFonts w:ascii="Lato" w:eastAsia="Calibri" w:hAnsi="Lato" w:cs="Arial"/>
          <w:iCs/>
          <w:spacing w:val="4"/>
          <w:sz w:val="22"/>
          <w:szCs w:val="22"/>
          <w:lang w:eastAsia="en-US"/>
        </w:rPr>
        <w:t xml:space="preserve">(w brzmieniu obowiązującym od dnia 27 maja 2021 r.), decyzja o ustaleniu lokalizacji strategicznej inwestycji w </w:t>
      </w:r>
      <w:r w:rsidR="00BF552A" w:rsidRPr="00BF552A">
        <w:rPr>
          <w:rFonts w:ascii="Lato" w:eastAsia="Calibri" w:hAnsi="Lato" w:cs="Arial"/>
          <w:iCs/>
          <w:spacing w:val="4"/>
          <w:sz w:val="22"/>
          <w:szCs w:val="22"/>
          <w:lang w:eastAsia="en-US"/>
        </w:rPr>
        <w:t>sektorze naftowym</w:t>
      </w:r>
      <w:r w:rsidRPr="00675FC9">
        <w:rPr>
          <w:rFonts w:ascii="Lato" w:eastAsia="Calibri" w:hAnsi="Lato" w:cs="Arial"/>
          <w:iCs/>
          <w:spacing w:val="4"/>
          <w:sz w:val="22"/>
          <w:szCs w:val="22"/>
          <w:lang w:eastAsia="en-US"/>
        </w:rPr>
        <w:t xml:space="preserve"> zawiera określenie granic terenu objętego strategiczną inwestycją w </w:t>
      </w:r>
      <w:r w:rsidR="00BF552A" w:rsidRPr="00BF552A">
        <w:rPr>
          <w:rFonts w:ascii="Lato" w:eastAsia="Calibri" w:hAnsi="Lato" w:cs="Arial"/>
          <w:iCs/>
          <w:spacing w:val="4"/>
          <w:sz w:val="22"/>
          <w:szCs w:val="22"/>
          <w:lang w:eastAsia="en-US"/>
        </w:rPr>
        <w:t>sektorze naftowym</w:t>
      </w:r>
      <w:r w:rsidRPr="00675FC9">
        <w:rPr>
          <w:rFonts w:ascii="Lato" w:eastAsia="Calibri" w:hAnsi="Lato" w:cs="Arial"/>
          <w:iCs/>
          <w:spacing w:val="4"/>
          <w:sz w:val="22"/>
          <w:szCs w:val="22"/>
          <w:lang w:eastAsia="en-US"/>
        </w:rPr>
        <w:t xml:space="preserve"> w tym określenie: a) linii rozgraniczających teren inwestycji, </w:t>
      </w:r>
      <w:r w:rsidR="00BF552A" w:rsidRPr="00BF552A">
        <w:rPr>
          <w:rFonts w:ascii="Lato" w:eastAsia="Calibri" w:hAnsi="Lato" w:cs="Arial"/>
          <w:iCs/>
          <w:spacing w:val="4"/>
          <w:sz w:val="22"/>
          <w:szCs w:val="22"/>
          <w:lang w:eastAsia="en-US"/>
        </w:rPr>
        <w:t xml:space="preserve">b) granic obszaru, w stosunku do którego decyzja o ustaleniu lokalizacji strategicznej inwestycji w sektorze naftowym ma wywołać skutek, o którym mowa w </w:t>
      </w:r>
      <w:hyperlink r:id="rId8" w:history="1">
        <w:r w:rsidR="00BF552A" w:rsidRPr="00BF552A">
          <w:rPr>
            <w:rStyle w:val="Hipercze"/>
            <w:rFonts w:ascii="Lato" w:eastAsia="Calibri" w:hAnsi="Lato" w:cs="Arial"/>
            <w:iCs/>
            <w:color w:val="auto"/>
            <w:spacing w:val="4"/>
            <w:sz w:val="22"/>
            <w:szCs w:val="22"/>
            <w:u w:val="none"/>
            <w:lang w:eastAsia="en-US"/>
          </w:rPr>
          <w:t>art. 26 ust. 3, 6 i 7</w:t>
        </w:r>
      </w:hyperlink>
      <w:r w:rsidR="00BF552A" w:rsidRPr="00BF552A">
        <w:rPr>
          <w:rFonts w:ascii="Lato" w:eastAsia="Calibri" w:hAnsi="Lato" w:cs="Arial"/>
          <w:iCs/>
          <w:spacing w:val="4"/>
          <w:sz w:val="22"/>
          <w:szCs w:val="22"/>
          <w:lang w:eastAsia="en-US"/>
        </w:rPr>
        <w:t xml:space="preserve">, c) granic obszaru, w stosunku do którego decyzja o ustaleniu lokalizacji strategicznej inwestycji w sektorze naftowym ma wywołać skutek, o którym mowa w </w:t>
      </w:r>
      <w:hyperlink r:id="rId9" w:history="1">
        <w:r w:rsidR="00BF552A" w:rsidRPr="00BF552A">
          <w:rPr>
            <w:rStyle w:val="Hipercze"/>
            <w:rFonts w:ascii="Lato" w:eastAsia="Calibri" w:hAnsi="Lato" w:cs="Arial"/>
            <w:iCs/>
            <w:color w:val="auto"/>
            <w:spacing w:val="4"/>
            <w:sz w:val="22"/>
            <w:szCs w:val="22"/>
            <w:u w:val="none"/>
            <w:lang w:eastAsia="en-US"/>
          </w:rPr>
          <w:t>art. 30 ust. 1</w:t>
        </w:r>
      </w:hyperlink>
      <w:r w:rsidR="00B22E3F">
        <w:rPr>
          <w:rFonts w:ascii="Lato" w:eastAsia="Calibri" w:hAnsi="Lato" w:cs="Arial"/>
          <w:iCs/>
          <w:spacing w:val="4"/>
          <w:sz w:val="22"/>
          <w:szCs w:val="22"/>
          <w:lang w:eastAsia="en-US"/>
        </w:rPr>
        <w:t>.</w:t>
      </w:r>
    </w:p>
    <w:p w14:paraId="32EC0FDE" w14:textId="77777777" w:rsidR="00B22E3F" w:rsidRDefault="00675FC9" w:rsidP="00675FC9">
      <w:pPr>
        <w:spacing w:after="240" w:line="240" w:lineRule="exact"/>
        <w:jc w:val="both"/>
        <w:outlineLvl w:val="0"/>
        <w:rPr>
          <w:rFonts w:ascii="Lato" w:eastAsia="Calibri" w:hAnsi="Lato" w:cs="Arial"/>
          <w:iCs/>
          <w:spacing w:val="4"/>
          <w:sz w:val="22"/>
          <w:szCs w:val="22"/>
          <w:lang w:eastAsia="en-US"/>
        </w:rPr>
      </w:pPr>
      <w:r w:rsidRPr="00675FC9">
        <w:rPr>
          <w:rFonts w:ascii="Lato" w:eastAsia="Calibri" w:hAnsi="Lato" w:cs="Arial"/>
          <w:iCs/>
          <w:spacing w:val="4"/>
          <w:sz w:val="22"/>
          <w:szCs w:val="22"/>
          <w:lang w:eastAsia="en-US"/>
        </w:rPr>
        <w:t>Przepis art. 8 ust. 1 pkt 1</w:t>
      </w:r>
      <w:r w:rsidRPr="00675FC9">
        <w:rPr>
          <w:rFonts w:ascii="Lato" w:eastAsia="Calibri" w:hAnsi="Lato" w:cs="Arial"/>
          <w:i/>
          <w:iCs/>
          <w:spacing w:val="4"/>
          <w:sz w:val="22"/>
          <w:szCs w:val="22"/>
          <w:lang w:eastAsia="en-US"/>
        </w:rPr>
        <w:t xml:space="preserve"> specustawy </w:t>
      </w:r>
      <w:r w:rsidR="00B22E3F" w:rsidRPr="00B22E3F">
        <w:rPr>
          <w:rFonts w:ascii="Lato" w:eastAsia="Calibri" w:hAnsi="Lato" w:cs="Arial"/>
          <w:i/>
          <w:iCs/>
          <w:spacing w:val="4"/>
          <w:sz w:val="22"/>
          <w:szCs w:val="22"/>
          <w:lang w:eastAsia="en-US"/>
        </w:rPr>
        <w:t>naftowej</w:t>
      </w:r>
      <w:r w:rsidRPr="00675FC9">
        <w:rPr>
          <w:rFonts w:ascii="Lato" w:eastAsia="Calibri" w:hAnsi="Lato" w:cs="Arial"/>
          <w:iCs/>
          <w:spacing w:val="4"/>
          <w:sz w:val="22"/>
          <w:szCs w:val="22"/>
          <w:lang w:eastAsia="en-US"/>
        </w:rPr>
        <w:t xml:space="preserve"> w brzmieniu poprzedzającym </w:t>
      </w:r>
      <w:r w:rsidRPr="00675FC9">
        <w:rPr>
          <w:rFonts w:ascii="Lato" w:eastAsia="Calibri" w:hAnsi="Lato" w:cs="Arial"/>
          <w:i/>
          <w:iCs/>
          <w:spacing w:val="4"/>
          <w:sz w:val="22"/>
          <w:szCs w:val="22"/>
          <w:lang w:eastAsia="en-US"/>
        </w:rPr>
        <w:t>ustawę nowelizującą</w:t>
      </w:r>
      <w:r w:rsidRPr="00675FC9">
        <w:rPr>
          <w:rFonts w:ascii="Lato" w:eastAsia="Calibri" w:hAnsi="Lato" w:cs="Arial"/>
          <w:iCs/>
          <w:spacing w:val="4"/>
          <w:sz w:val="22"/>
          <w:szCs w:val="22"/>
          <w:lang w:eastAsia="en-US"/>
        </w:rPr>
        <w:t xml:space="preserve"> wskazywał na to, że decyzja o ustaleniu lokalizacji strategicznej inwestycji w </w:t>
      </w:r>
      <w:r w:rsidR="00B22E3F" w:rsidRPr="00B22E3F">
        <w:rPr>
          <w:rFonts w:ascii="Lato" w:eastAsia="Calibri" w:hAnsi="Lato" w:cs="Arial"/>
          <w:iCs/>
          <w:spacing w:val="4"/>
          <w:sz w:val="22"/>
          <w:szCs w:val="22"/>
          <w:lang w:eastAsia="en-US"/>
        </w:rPr>
        <w:t>sektorze naftowym</w:t>
      </w:r>
      <w:r w:rsidRPr="00675FC9">
        <w:rPr>
          <w:rFonts w:ascii="Lato" w:eastAsia="Calibri" w:hAnsi="Lato" w:cs="Arial"/>
          <w:iCs/>
          <w:spacing w:val="4"/>
          <w:sz w:val="22"/>
          <w:szCs w:val="22"/>
          <w:lang w:eastAsia="en-US"/>
        </w:rPr>
        <w:t xml:space="preserve"> </w:t>
      </w:r>
      <w:r w:rsidR="00B22E3F" w:rsidRPr="00B22E3F">
        <w:rPr>
          <w:rFonts w:ascii="Lato" w:eastAsia="Calibri" w:hAnsi="Lato" w:cs="Arial"/>
          <w:iCs/>
          <w:spacing w:val="4"/>
          <w:sz w:val="22"/>
          <w:szCs w:val="22"/>
          <w:lang w:eastAsia="en-US"/>
        </w:rPr>
        <w:t>zawiera</w:t>
      </w:r>
      <w:bookmarkStart w:id="8" w:name="mip56997640"/>
      <w:bookmarkEnd w:id="8"/>
      <w:r w:rsidR="00B22E3F">
        <w:rPr>
          <w:rFonts w:ascii="Lato" w:eastAsia="Calibri" w:hAnsi="Lato" w:cs="Arial"/>
          <w:iCs/>
          <w:spacing w:val="4"/>
          <w:sz w:val="22"/>
          <w:szCs w:val="22"/>
          <w:lang w:eastAsia="en-US"/>
        </w:rPr>
        <w:t xml:space="preserve"> </w:t>
      </w:r>
      <w:r w:rsidR="00B22E3F" w:rsidRPr="00B22E3F">
        <w:rPr>
          <w:rFonts w:ascii="Lato" w:eastAsia="Calibri" w:hAnsi="Lato" w:cs="Arial"/>
          <w:iCs/>
          <w:spacing w:val="4"/>
          <w:sz w:val="22"/>
          <w:szCs w:val="22"/>
          <w:lang w:eastAsia="en-US"/>
        </w:rPr>
        <w:t>określenie terenu objętego inwestycją, w tym linii rozgraniczających teren inwestycji</w:t>
      </w:r>
      <w:r w:rsidR="00B22E3F">
        <w:rPr>
          <w:rFonts w:ascii="Lato" w:eastAsia="Calibri" w:hAnsi="Lato" w:cs="Arial"/>
          <w:iCs/>
          <w:spacing w:val="4"/>
          <w:sz w:val="22"/>
          <w:szCs w:val="22"/>
          <w:lang w:eastAsia="en-US"/>
        </w:rPr>
        <w:t>.</w:t>
      </w:r>
    </w:p>
    <w:p w14:paraId="5E6D1EF8" w14:textId="2AE7203A" w:rsidR="00BF24BF" w:rsidRPr="001E3C5D" w:rsidRDefault="00675FC9" w:rsidP="00675FC9">
      <w:pPr>
        <w:spacing w:after="240" w:line="240" w:lineRule="exact"/>
        <w:jc w:val="both"/>
        <w:outlineLvl w:val="0"/>
        <w:rPr>
          <w:rFonts w:ascii="Lato" w:eastAsia="Calibri" w:hAnsi="Lato" w:cs="Arial"/>
          <w:iCs/>
          <w:spacing w:val="4"/>
          <w:sz w:val="22"/>
          <w:szCs w:val="22"/>
          <w:lang w:eastAsia="en-US"/>
        </w:rPr>
      </w:pPr>
      <w:r w:rsidRPr="00675FC9">
        <w:rPr>
          <w:rFonts w:ascii="Lato" w:eastAsia="Calibri" w:hAnsi="Lato" w:cs="Arial"/>
          <w:iCs/>
          <w:spacing w:val="4"/>
          <w:sz w:val="22"/>
          <w:szCs w:val="22"/>
          <w:lang w:eastAsia="en-US"/>
        </w:rPr>
        <w:t xml:space="preserve">Wskazać należy, iż organ I instancji w pkt I zaskarżonego rozstrzygnięcia posłużył się dotychczasowym brzmieniem art. 8 ust. 1 pkt 1 </w:t>
      </w:r>
      <w:r w:rsidRPr="00675FC9">
        <w:rPr>
          <w:rFonts w:ascii="Lato" w:eastAsia="Calibri" w:hAnsi="Lato" w:cs="Arial"/>
          <w:i/>
          <w:iCs/>
          <w:spacing w:val="4"/>
          <w:sz w:val="22"/>
          <w:szCs w:val="22"/>
          <w:lang w:eastAsia="en-US"/>
        </w:rPr>
        <w:t>specustawy przesyłowej</w:t>
      </w:r>
      <w:r w:rsidRPr="00675FC9">
        <w:rPr>
          <w:rFonts w:ascii="Lato" w:eastAsia="Calibri" w:hAnsi="Lato" w:cs="Arial"/>
          <w:iCs/>
          <w:spacing w:val="4"/>
          <w:sz w:val="22"/>
          <w:szCs w:val="22"/>
          <w:lang w:eastAsia="en-US"/>
        </w:rPr>
        <w:t xml:space="preserve">, tj. sprzed jej </w:t>
      </w:r>
      <w:r w:rsidRPr="00675FC9">
        <w:rPr>
          <w:rFonts w:ascii="Lato" w:eastAsia="Calibri" w:hAnsi="Lato" w:cs="Arial"/>
          <w:iCs/>
          <w:spacing w:val="4"/>
          <w:sz w:val="22"/>
          <w:szCs w:val="22"/>
          <w:lang w:eastAsia="en-US"/>
        </w:rPr>
        <w:lastRenderedPageBreak/>
        <w:t xml:space="preserve">nowelizacji, stąd też zatwierdził linie rozgraniczające teren strategicznej inwestycji </w:t>
      </w:r>
      <w:r w:rsidR="004E4A8A">
        <w:rPr>
          <w:rFonts w:ascii="Lato" w:eastAsia="Calibri" w:hAnsi="Lato" w:cs="Arial"/>
          <w:iCs/>
          <w:spacing w:val="4"/>
          <w:sz w:val="22"/>
          <w:szCs w:val="22"/>
          <w:lang w:eastAsia="en-US"/>
        </w:rPr>
        <w:br/>
      </w:r>
      <w:r w:rsidRPr="00675FC9">
        <w:rPr>
          <w:rFonts w:ascii="Lato" w:eastAsia="Calibri" w:hAnsi="Lato" w:cs="Arial"/>
          <w:iCs/>
          <w:spacing w:val="4"/>
          <w:sz w:val="22"/>
          <w:szCs w:val="22"/>
          <w:lang w:eastAsia="en-US"/>
        </w:rPr>
        <w:t xml:space="preserve">w </w:t>
      </w:r>
      <w:r w:rsidR="00B22E3F" w:rsidRPr="001E3C5D">
        <w:rPr>
          <w:rFonts w:ascii="Lato" w:eastAsia="Calibri" w:hAnsi="Lato" w:cs="Arial"/>
          <w:iCs/>
          <w:spacing w:val="4"/>
          <w:sz w:val="22"/>
          <w:szCs w:val="22"/>
          <w:lang w:eastAsia="en-US"/>
        </w:rPr>
        <w:t>sektorze naftowym</w:t>
      </w:r>
      <w:r w:rsidRPr="00675FC9">
        <w:rPr>
          <w:rFonts w:ascii="Lato" w:eastAsia="Calibri" w:hAnsi="Lato" w:cs="Arial"/>
          <w:iCs/>
          <w:spacing w:val="4"/>
          <w:sz w:val="22"/>
          <w:szCs w:val="22"/>
          <w:lang w:eastAsia="en-US"/>
        </w:rPr>
        <w:t xml:space="preserve">. Jednakże, biorąc pod uwagę fakt, że omawiany przepis </w:t>
      </w:r>
      <w:r w:rsidR="004E4A8A">
        <w:rPr>
          <w:rFonts w:ascii="Lato" w:eastAsia="Calibri" w:hAnsi="Lato" w:cs="Arial"/>
          <w:iCs/>
          <w:spacing w:val="4"/>
          <w:sz w:val="22"/>
          <w:szCs w:val="22"/>
          <w:lang w:eastAsia="en-US"/>
        </w:rPr>
        <w:br/>
      </w:r>
      <w:r w:rsidRPr="00675FC9">
        <w:rPr>
          <w:rFonts w:ascii="Lato" w:eastAsia="Calibri" w:hAnsi="Lato" w:cs="Arial"/>
          <w:iCs/>
          <w:spacing w:val="4"/>
          <w:sz w:val="22"/>
          <w:szCs w:val="22"/>
          <w:lang w:eastAsia="en-US"/>
        </w:rPr>
        <w:t xml:space="preserve">w brzmieniu nadanym </w:t>
      </w:r>
      <w:r w:rsidRPr="00675FC9">
        <w:rPr>
          <w:rFonts w:ascii="Lato" w:eastAsia="Calibri" w:hAnsi="Lato" w:cs="Arial"/>
          <w:i/>
          <w:iCs/>
          <w:spacing w:val="4"/>
          <w:sz w:val="22"/>
          <w:szCs w:val="22"/>
          <w:lang w:eastAsia="en-US"/>
        </w:rPr>
        <w:t>ustawą nowelizującą</w:t>
      </w:r>
      <w:r w:rsidRPr="00675FC9">
        <w:rPr>
          <w:rFonts w:ascii="Lato" w:eastAsia="Calibri" w:hAnsi="Lato" w:cs="Arial"/>
          <w:iCs/>
          <w:spacing w:val="4"/>
          <w:sz w:val="22"/>
          <w:szCs w:val="22"/>
          <w:lang w:eastAsia="en-US"/>
        </w:rPr>
        <w:t xml:space="preserve"> wyróżnia wśród określenia granic terenu objętego inwestycją określenie odrębnie linii rozgraniczających teren inwestycji, jak </w:t>
      </w:r>
      <w:r w:rsidR="004E4A8A">
        <w:rPr>
          <w:rFonts w:ascii="Lato" w:eastAsia="Calibri" w:hAnsi="Lato" w:cs="Arial"/>
          <w:iCs/>
          <w:spacing w:val="4"/>
          <w:sz w:val="22"/>
          <w:szCs w:val="22"/>
          <w:lang w:eastAsia="en-US"/>
        </w:rPr>
        <w:br/>
      </w:r>
      <w:r w:rsidRPr="00675FC9">
        <w:rPr>
          <w:rFonts w:ascii="Lato" w:eastAsia="Calibri" w:hAnsi="Lato" w:cs="Arial"/>
          <w:iCs/>
          <w:spacing w:val="4"/>
          <w:sz w:val="22"/>
          <w:szCs w:val="22"/>
          <w:lang w:eastAsia="en-US"/>
        </w:rPr>
        <w:t xml:space="preserve">i granic obszaru, w </w:t>
      </w:r>
      <w:r w:rsidR="00955F46" w:rsidRPr="00675FC9">
        <w:rPr>
          <w:rFonts w:ascii="Lato" w:eastAsia="Calibri" w:hAnsi="Lato" w:cs="Arial"/>
          <w:iCs/>
          <w:spacing w:val="4"/>
          <w:sz w:val="22"/>
          <w:szCs w:val="22"/>
          <w:lang w:eastAsia="en-US"/>
        </w:rPr>
        <w:t>stosunku,</w:t>
      </w:r>
      <w:r w:rsidRPr="00675FC9">
        <w:rPr>
          <w:rFonts w:ascii="Lato" w:eastAsia="Calibri" w:hAnsi="Lato" w:cs="Arial"/>
          <w:iCs/>
          <w:spacing w:val="4"/>
          <w:sz w:val="22"/>
          <w:szCs w:val="22"/>
          <w:lang w:eastAsia="en-US"/>
        </w:rPr>
        <w:t xml:space="preserve"> do którego decyzja o ustaleniu lokalizacji strategicznej inwestycji w </w:t>
      </w:r>
      <w:r w:rsidR="00B22E3F" w:rsidRPr="001E3C5D">
        <w:rPr>
          <w:rFonts w:ascii="Lato" w:eastAsia="Calibri" w:hAnsi="Lato" w:cs="Arial"/>
          <w:iCs/>
          <w:spacing w:val="4"/>
          <w:sz w:val="22"/>
          <w:szCs w:val="22"/>
          <w:lang w:eastAsia="en-US"/>
        </w:rPr>
        <w:t>sektorze naftowym</w:t>
      </w:r>
      <w:r w:rsidRPr="00675FC9">
        <w:rPr>
          <w:rFonts w:ascii="Lato" w:eastAsia="Calibri" w:hAnsi="Lato" w:cs="Arial"/>
          <w:iCs/>
          <w:spacing w:val="4"/>
          <w:sz w:val="22"/>
          <w:szCs w:val="22"/>
          <w:lang w:eastAsia="en-US"/>
        </w:rPr>
        <w:t xml:space="preserve"> wywołuje skutek w postaci ograniczenia sposobu korzystania z nieruchomości, </w:t>
      </w:r>
      <w:r w:rsidR="00BF24BF" w:rsidRPr="001E3C5D">
        <w:rPr>
          <w:rFonts w:ascii="Lato" w:eastAsia="Calibri" w:hAnsi="Lato" w:cs="Arial"/>
          <w:iCs/>
          <w:spacing w:val="4"/>
          <w:sz w:val="22"/>
          <w:szCs w:val="22"/>
          <w:lang w:eastAsia="en-US"/>
        </w:rPr>
        <w:t>jak i</w:t>
      </w:r>
      <w:r w:rsidRPr="00675FC9">
        <w:rPr>
          <w:rFonts w:ascii="Lato" w:eastAsia="Calibri" w:hAnsi="Lato" w:cs="Arial"/>
          <w:iCs/>
          <w:spacing w:val="4"/>
          <w:sz w:val="22"/>
          <w:szCs w:val="22"/>
          <w:lang w:eastAsia="en-US"/>
        </w:rPr>
        <w:t xml:space="preserve"> wymaga zajęcia nieruchomości i dokonania ich podziału</w:t>
      </w:r>
      <w:r w:rsidR="00BF24BF" w:rsidRPr="00960835">
        <w:rPr>
          <w:rFonts w:ascii="Lato" w:eastAsia="Calibri" w:hAnsi="Lato" w:cs="Arial"/>
          <w:iCs/>
          <w:spacing w:val="4"/>
          <w:sz w:val="22"/>
          <w:szCs w:val="22"/>
          <w:lang w:eastAsia="en-US"/>
        </w:rPr>
        <w:t>.</w:t>
      </w:r>
    </w:p>
    <w:p w14:paraId="6F964D9E" w14:textId="0DA1A64B" w:rsidR="00123D18" w:rsidRPr="00123D18" w:rsidRDefault="00123D18" w:rsidP="00123D18">
      <w:pPr>
        <w:spacing w:after="240" w:line="240" w:lineRule="exact"/>
        <w:jc w:val="both"/>
        <w:outlineLvl w:val="0"/>
        <w:rPr>
          <w:rFonts w:ascii="Lato" w:eastAsia="Calibri" w:hAnsi="Lato" w:cs="Arial"/>
          <w:bCs/>
          <w:iCs/>
          <w:spacing w:val="4"/>
          <w:sz w:val="22"/>
          <w:szCs w:val="22"/>
          <w:lang w:eastAsia="en-US"/>
        </w:rPr>
      </w:pPr>
      <w:r w:rsidRPr="00123D18">
        <w:rPr>
          <w:rFonts w:ascii="Lato" w:eastAsia="Calibri" w:hAnsi="Lato" w:cs="Arial"/>
          <w:bCs/>
          <w:iCs/>
          <w:spacing w:val="4"/>
          <w:sz w:val="22"/>
          <w:szCs w:val="22"/>
          <w:lang w:eastAsia="en-US"/>
        </w:rPr>
        <w:t xml:space="preserve">W konsekwencji powyższego, po dokonaniu analizy treści pkt I </w:t>
      </w:r>
      <w:r w:rsidRPr="00123D18">
        <w:rPr>
          <w:rFonts w:ascii="Lato" w:eastAsia="Calibri" w:hAnsi="Lato" w:cs="Arial"/>
          <w:bCs/>
          <w:i/>
          <w:iCs/>
          <w:spacing w:val="4"/>
          <w:sz w:val="22"/>
          <w:szCs w:val="22"/>
          <w:lang w:eastAsia="en-US"/>
        </w:rPr>
        <w:t>decyzji Wojewody Mazowieckiego</w:t>
      </w:r>
      <w:r w:rsidRPr="00123D18">
        <w:rPr>
          <w:rFonts w:ascii="Lato" w:eastAsia="Calibri" w:hAnsi="Lato" w:cs="Arial"/>
          <w:bCs/>
          <w:iCs/>
          <w:spacing w:val="4"/>
          <w:sz w:val="22"/>
          <w:szCs w:val="22"/>
          <w:lang w:eastAsia="en-US"/>
        </w:rPr>
        <w:t xml:space="preserve">, zawierającego określenie granic terenu objętego inwestycją w zakresie terminalu (w tym linii rozgraniczających teren inwestycji), oraz </w:t>
      </w:r>
      <w:r w:rsidR="00516D3D">
        <w:rPr>
          <w:rFonts w:ascii="Lato" w:eastAsia="Calibri" w:hAnsi="Lato" w:cs="Arial"/>
          <w:bCs/>
          <w:iCs/>
          <w:spacing w:val="4"/>
          <w:sz w:val="22"/>
          <w:szCs w:val="22"/>
          <w:lang w:eastAsia="en-US"/>
        </w:rPr>
        <w:t xml:space="preserve">analizy </w:t>
      </w:r>
      <w:r w:rsidRPr="00123D18">
        <w:rPr>
          <w:rFonts w:ascii="Lato" w:eastAsia="Calibri" w:hAnsi="Lato" w:cs="Arial"/>
          <w:bCs/>
          <w:iCs/>
          <w:spacing w:val="4"/>
          <w:sz w:val="22"/>
          <w:szCs w:val="22"/>
          <w:lang w:eastAsia="en-US"/>
        </w:rPr>
        <w:t>map terenu objętego wnioskiem o wydanie decyzji o ustaleniu lokalizacji przedmiotowej inwestycji, stanowiącej załączniki nr 1-5</w:t>
      </w:r>
      <w:r>
        <w:rPr>
          <w:rFonts w:ascii="Lato" w:eastAsia="Calibri" w:hAnsi="Lato" w:cs="Arial"/>
          <w:bCs/>
          <w:iCs/>
          <w:spacing w:val="4"/>
          <w:sz w:val="22"/>
          <w:szCs w:val="22"/>
          <w:lang w:eastAsia="en-US"/>
        </w:rPr>
        <w:t>9</w:t>
      </w:r>
      <w:r w:rsidRPr="00123D18">
        <w:rPr>
          <w:rFonts w:ascii="Lato" w:eastAsia="Calibri" w:hAnsi="Lato" w:cs="Arial"/>
          <w:bCs/>
          <w:iCs/>
          <w:spacing w:val="4"/>
          <w:sz w:val="22"/>
          <w:szCs w:val="22"/>
          <w:lang w:eastAsia="en-US"/>
        </w:rPr>
        <w:t xml:space="preserve"> do ww. rozstrzygnięcia, </w:t>
      </w:r>
      <w:r w:rsidRPr="00123D18">
        <w:rPr>
          <w:rFonts w:ascii="Lato" w:eastAsia="Calibri" w:hAnsi="Lato" w:cs="Arial"/>
          <w:bCs/>
          <w:i/>
          <w:iCs/>
          <w:spacing w:val="4"/>
          <w:sz w:val="22"/>
          <w:szCs w:val="22"/>
          <w:lang w:eastAsia="en-US"/>
        </w:rPr>
        <w:t>Minister</w:t>
      </w:r>
      <w:r w:rsidRPr="00123D18">
        <w:rPr>
          <w:rFonts w:ascii="Lato" w:eastAsia="Calibri" w:hAnsi="Lato" w:cs="Arial"/>
          <w:bCs/>
          <w:iCs/>
          <w:spacing w:val="4"/>
          <w:sz w:val="22"/>
          <w:szCs w:val="22"/>
          <w:lang w:eastAsia="en-US"/>
        </w:rPr>
        <w:t xml:space="preserve"> uznał</w:t>
      </w:r>
      <w:r w:rsidR="00516D3D">
        <w:rPr>
          <w:rFonts w:ascii="Lato" w:eastAsia="Calibri" w:hAnsi="Lato" w:cs="Arial"/>
          <w:bCs/>
          <w:iCs/>
          <w:spacing w:val="4"/>
          <w:sz w:val="22"/>
          <w:szCs w:val="22"/>
          <w:lang w:eastAsia="en-US"/>
        </w:rPr>
        <w:t xml:space="preserve">, że </w:t>
      </w:r>
      <w:r w:rsidRPr="00123D18">
        <w:rPr>
          <w:rFonts w:ascii="Lato" w:eastAsia="Calibri" w:hAnsi="Lato" w:cs="Arial"/>
          <w:bCs/>
          <w:iCs/>
          <w:spacing w:val="4"/>
          <w:sz w:val="22"/>
          <w:szCs w:val="22"/>
          <w:lang w:eastAsia="en-US"/>
        </w:rPr>
        <w:t xml:space="preserve">zapisy pkt I </w:t>
      </w:r>
      <w:r w:rsidRPr="00123D18">
        <w:rPr>
          <w:rFonts w:ascii="Lato" w:eastAsia="Calibri" w:hAnsi="Lato" w:cs="Arial"/>
          <w:bCs/>
          <w:i/>
          <w:iCs/>
          <w:spacing w:val="4"/>
          <w:sz w:val="22"/>
          <w:szCs w:val="22"/>
          <w:lang w:eastAsia="en-US"/>
        </w:rPr>
        <w:t>decyzji Wojewody Mazowieckiego</w:t>
      </w:r>
      <w:r w:rsidR="00516D3D">
        <w:rPr>
          <w:rFonts w:ascii="Lato" w:eastAsia="Calibri" w:hAnsi="Lato" w:cs="Arial"/>
          <w:bCs/>
          <w:i/>
          <w:iCs/>
          <w:spacing w:val="4"/>
          <w:sz w:val="22"/>
          <w:szCs w:val="22"/>
          <w:lang w:eastAsia="en-US"/>
        </w:rPr>
        <w:t xml:space="preserve"> </w:t>
      </w:r>
      <w:r w:rsidR="00516D3D" w:rsidRPr="0056514E">
        <w:rPr>
          <w:rFonts w:ascii="Lato" w:eastAsia="Calibri" w:hAnsi="Lato" w:cs="Arial"/>
          <w:bCs/>
          <w:spacing w:val="4"/>
          <w:sz w:val="22"/>
          <w:szCs w:val="22"/>
          <w:lang w:eastAsia="en-US"/>
        </w:rPr>
        <w:t>są błędne.</w:t>
      </w:r>
      <w:r w:rsidRPr="00123D18">
        <w:rPr>
          <w:rFonts w:ascii="Lato" w:eastAsia="Calibri" w:hAnsi="Lato" w:cs="Arial"/>
          <w:bCs/>
          <w:iCs/>
          <w:spacing w:val="4"/>
          <w:sz w:val="22"/>
          <w:szCs w:val="22"/>
          <w:lang w:eastAsia="en-US"/>
        </w:rPr>
        <w:t xml:space="preserve"> </w:t>
      </w:r>
      <w:r w:rsidR="00516D3D">
        <w:rPr>
          <w:rFonts w:ascii="Lato" w:eastAsia="Calibri" w:hAnsi="Lato" w:cs="Arial"/>
          <w:bCs/>
          <w:iCs/>
          <w:spacing w:val="4"/>
          <w:sz w:val="22"/>
          <w:szCs w:val="22"/>
          <w:lang w:eastAsia="en-US"/>
        </w:rPr>
        <w:t>Wskazana w nich</w:t>
      </w:r>
      <w:r w:rsidRPr="00123D18">
        <w:rPr>
          <w:rFonts w:ascii="Lato" w:eastAsia="Calibri" w:hAnsi="Lato" w:cs="Arial"/>
          <w:bCs/>
          <w:iCs/>
          <w:spacing w:val="4"/>
          <w:sz w:val="22"/>
          <w:szCs w:val="22"/>
          <w:lang w:eastAsia="en-US"/>
        </w:rPr>
        <w:t xml:space="preserve"> linia przerywana koloru </w:t>
      </w:r>
      <w:r>
        <w:rPr>
          <w:rFonts w:ascii="Lato" w:eastAsia="Calibri" w:hAnsi="Lato" w:cs="Arial"/>
          <w:bCs/>
          <w:iCs/>
          <w:spacing w:val="4"/>
          <w:sz w:val="22"/>
          <w:szCs w:val="22"/>
          <w:lang w:eastAsia="en-US"/>
        </w:rPr>
        <w:t>różowego</w:t>
      </w:r>
      <w:r w:rsidR="00516D3D">
        <w:rPr>
          <w:rFonts w:ascii="Lato" w:eastAsia="Calibri" w:hAnsi="Lato" w:cs="Arial"/>
          <w:bCs/>
          <w:iCs/>
          <w:spacing w:val="4"/>
          <w:sz w:val="22"/>
          <w:szCs w:val="22"/>
          <w:lang w:eastAsia="en-US"/>
        </w:rPr>
        <w:t>,</w:t>
      </w:r>
      <w:r w:rsidRPr="00123D18">
        <w:rPr>
          <w:rFonts w:ascii="Lato" w:eastAsia="Calibri" w:hAnsi="Lato" w:cs="Arial"/>
          <w:bCs/>
          <w:iCs/>
          <w:spacing w:val="4"/>
          <w:sz w:val="22"/>
          <w:szCs w:val="22"/>
          <w:lang w:eastAsia="en-US"/>
        </w:rPr>
        <w:t xml:space="preserve"> określająca granice terenu objętego inwestycją,</w:t>
      </w:r>
      <w:r w:rsidR="00516D3D">
        <w:rPr>
          <w:rFonts w:ascii="Lato" w:eastAsia="Calibri" w:hAnsi="Lato" w:cs="Arial"/>
          <w:bCs/>
          <w:iCs/>
          <w:spacing w:val="4"/>
          <w:sz w:val="22"/>
          <w:szCs w:val="22"/>
          <w:lang w:eastAsia="en-US"/>
        </w:rPr>
        <w:t xml:space="preserve"> nie może jednocześnie</w:t>
      </w:r>
      <w:r w:rsidRPr="00123D18">
        <w:rPr>
          <w:rFonts w:ascii="Lato" w:eastAsia="Calibri" w:hAnsi="Lato" w:cs="Arial"/>
          <w:bCs/>
          <w:iCs/>
          <w:spacing w:val="4"/>
          <w:sz w:val="22"/>
          <w:szCs w:val="22"/>
          <w:lang w:eastAsia="en-US"/>
        </w:rPr>
        <w:t xml:space="preserve"> stanowi</w:t>
      </w:r>
      <w:r w:rsidR="00516D3D">
        <w:rPr>
          <w:rFonts w:ascii="Lato" w:eastAsia="Calibri" w:hAnsi="Lato" w:cs="Arial"/>
          <w:bCs/>
          <w:iCs/>
          <w:spacing w:val="4"/>
          <w:sz w:val="22"/>
          <w:szCs w:val="22"/>
          <w:lang w:eastAsia="en-US"/>
        </w:rPr>
        <w:t>ć</w:t>
      </w:r>
      <w:r w:rsidRPr="00123D18">
        <w:rPr>
          <w:rFonts w:ascii="Lato" w:eastAsia="Calibri" w:hAnsi="Lato" w:cs="Arial"/>
          <w:bCs/>
          <w:iCs/>
          <w:spacing w:val="4"/>
          <w:sz w:val="22"/>
          <w:szCs w:val="22"/>
          <w:lang w:eastAsia="en-US"/>
        </w:rPr>
        <w:t xml:space="preserve"> lini</w:t>
      </w:r>
      <w:r w:rsidR="00516D3D">
        <w:rPr>
          <w:rFonts w:ascii="Lato" w:eastAsia="Calibri" w:hAnsi="Lato" w:cs="Arial"/>
          <w:bCs/>
          <w:iCs/>
          <w:spacing w:val="4"/>
          <w:sz w:val="22"/>
          <w:szCs w:val="22"/>
          <w:lang w:eastAsia="en-US"/>
        </w:rPr>
        <w:t>i</w:t>
      </w:r>
      <w:r w:rsidRPr="00123D18">
        <w:rPr>
          <w:rFonts w:ascii="Lato" w:eastAsia="Calibri" w:hAnsi="Lato" w:cs="Arial"/>
          <w:bCs/>
          <w:iCs/>
          <w:spacing w:val="4"/>
          <w:sz w:val="22"/>
          <w:szCs w:val="22"/>
          <w:lang w:eastAsia="en-US"/>
        </w:rPr>
        <w:t xml:space="preserve"> rozgraniczając</w:t>
      </w:r>
      <w:r w:rsidR="00516D3D">
        <w:rPr>
          <w:rFonts w:ascii="Lato" w:eastAsia="Calibri" w:hAnsi="Lato" w:cs="Arial"/>
          <w:bCs/>
          <w:iCs/>
          <w:spacing w:val="4"/>
          <w:sz w:val="22"/>
          <w:szCs w:val="22"/>
          <w:lang w:eastAsia="en-US"/>
        </w:rPr>
        <w:t>ej</w:t>
      </w:r>
      <w:r w:rsidRPr="00123D18">
        <w:rPr>
          <w:rFonts w:ascii="Lato" w:eastAsia="Calibri" w:hAnsi="Lato" w:cs="Arial"/>
          <w:bCs/>
          <w:iCs/>
          <w:spacing w:val="4"/>
          <w:sz w:val="22"/>
          <w:szCs w:val="22"/>
          <w:lang w:eastAsia="en-US"/>
        </w:rPr>
        <w:t xml:space="preserve"> teren planowanego przedsięwzięcia.</w:t>
      </w:r>
    </w:p>
    <w:p w14:paraId="5E0F21E0" w14:textId="7A963705" w:rsidR="005E1C0A" w:rsidRDefault="00123D18" w:rsidP="00123D18">
      <w:pPr>
        <w:spacing w:after="240" w:line="240" w:lineRule="exact"/>
        <w:jc w:val="both"/>
        <w:outlineLvl w:val="0"/>
        <w:rPr>
          <w:rFonts w:ascii="Lato" w:eastAsia="Calibri" w:hAnsi="Lato" w:cs="Arial"/>
          <w:bCs/>
          <w:iCs/>
          <w:spacing w:val="4"/>
          <w:sz w:val="22"/>
          <w:szCs w:val="22"/>
          <w:lang w:eastAsia="en-US"/>
        </w:rPr>
      </w:pPr>
      <w:r w:rsidRPr="00123D18">
        <w:rPr>
          <w:rFonts w:ascii="Lato" w:eastAsia="Calibri" w:hAnsi="Lato" w:cs="Arial"/>
          <w:bCs/>
          <w:iCs/>
          <w:spacing w:val="4"/>
          <w:sz w:val="22"/>
          <w:szCs w:val="22"/>
          <w:lang w:eastAsia="en-US"/>
        </w:rPr>
        <w:t xml:space="preserve">Zgodnie z art. </w:t>
      </w:r>
      <w:r w:rsidR="005E1C0A">
        <w:rPr>
          <w:rFonts w:ascii="Lato" w:eastAsia="Calibri" w:hAnsi="Lato" w:cs="Arial"/>
          <w:bCs/>
          <w:iCs/>
          <w:spacing w:val="4"/>
          <w:sz w:val="22"/>
          <w:szCs w:val="22"/>
          <w:lang w:eastAsia="en-US"/>
        </w:rPr>
        <w:t>8</w:t>
      </w:r>
      <w:r w:rsidRPr="00123D18">
        <w:rPr>
          <w:rFonts w:ascii="Lato" w:eastAsia="Calibri" w:hAnsi="Lato" w:cs="Arial"/>
          <w:bCs/>
          <w:iCs/>
          <w:spacing w:val="4"/>
          <w:sz w:val="22"/>
          <w:szCs w:val="22"/>
          <w:lang w:eastAsia="en-US"/>
        </w:rPr>
        <w:t xml:space="preserve"> ust. 1</w:t>
      </w:r>
      <w:r w:rsidR="005E1C0A">
        <w:rPr>
          <w:rFonts w:ascii="Lato" w:eastAsia="Calibri" w:hAnsi="Lato" w:cs="Arial"/>
          <w:bCs/>
          <w:iCs/>
          <w:spacing w:val="4"/>
          <w:sz w:val="22"/>
          <w:szCs w:val="22"/>
          <w:lang w:eastAsia="en-US"/>
        </w:rPr>
        <w:t xml:space="preserve"> pkt 1</w:t>
      </w:r>
      <w:r w:rsidRPr="00123D18">
        <w:rPr>
          <w:rFonts w:ascii="Lato" w:eastAsia="Calibri" w:hAnsi="Lato" w:cs="Arial"/>
          <w:bCs/>
          <w:iCs/>
          <w:spacing w:val="4"/>
          <w:sz w:val="22"/>
          <w:szCs w:val="22"/>
          <w:lang w:eastAsia="en-US"/>
        </w:rPr>
        <w:t xml:space="preserve"> </w:t>
      </w:r>
      <w:r w:rsidRPr="00123D18">
        <w:rPr>
          <w:rFonts w:ascii="Lato" w:eastAsia="Calibri" w:hAnsi="Lato" w:cs="Arial"/>
          <w:bCs/>
          <w:i/>
          <w:iCs/>
          <w:spacing w:val="4"/>
          <w:sz w:val="22"/>
          <w:szCs w:val="22"/>
          <w:lang w:eastAsia="en-US"/>
        </w:rPr>
        <w:t xml:space="preserve">specustawy </w:t>
      </w:r>
      <w:r w:rsidR="005E1C0A">
        <w:rPr>
          <w:rFonts w:ascii="Lato" w:eastAsia="Calibri" w:hAnsi="Lato" w:cs="Arial"/>
          <w:bCs/>
          <w:i/>
          <w:iCs/>
          <w:spacing w:val="4"/>
          <w:sz w:val="22"/>
          <w:szCs w:val="22"/>
          <w:lang w:eastAsia="en-US"/>
        </w:rPr>
        <w:t>naftowej</w:t>
      </w:r>
      <w:r w:rsidRPr="00123D18">
        <w:rPr>
          <w:rFonts w:ascii="Lato" w:eastAsia="Calibri" w:hAnsi="Lato" w:cs="Arial"/>
          <w:bCs/>
          <w:iCs/>
          <w:spacing w:val="4"/>
          <w:sz w:val="22"/>
          <w:szCs w:val="22"/>
          <w:lang w:eastAsia="en-US"/>
        </w:rPr>
        <w:t xml:space="preserve"> (w brzmieniu mającym zastosowanie </w:t>
      </w:r>
      <w:r w:rsidR="0056514E">
        <w:rPr>
          <w:rFonts w:ascii="Lato" w:eastAsia="Calibri" w:hAnsi="Lato" w:cs="Arial"/>
          <w:bCs/>
          <w:iCs/>
          <w:spacing w:val="4"/>
          <w:sz w:val="22"/>
          <w:szCs w:val="22"/>
          <w:lang w:eastAsia="en-US"/>
        </w:rPr>
        <w:br/>
      </w:r>
      <w:r w:rsidRPr="00123D18">
        <w:rPr>
          <w:rFonts w:ascii="Lato" w:eastAsia="Calibri" w:hAnsi="Lato" w:cs="Arial"/>
          <w:bCs/>
          <w:iCs/>
          <w:spacing w:val="4"/>
          <w:sz w:val="22"/>
          <w:szCs w:val="22"/>
          <w:lang w:eastAsia="en-US"/>
        </w:rPr>
        <w:t xml:space="preserve">w niniejszej sprawie), decyzja o ustaleniu lokalizacji inwestycji w </w:t>
      </w:r>
      <w:r w:rsidR="005E1C0A">
        <w:rPr>
          <w:rFonts w:ascii="Lato" w:eastAsia="Calibri" w:hAnsi="Lato" w:cs="Arial"/>
          <w:bCs/>
          <w:iCs/>
          <w:spacing w:val="4"/>
          <w:sz w:val="22"/>
          <w:szCs w:val="22"/>
          <w:lang w:eastAsia="en-US"/>
        </w:rPr>
        <w:t>sektorze naftowym</w:t>
      </w:r>
      <w:r w:rsidRPr="00123D18">
        <w:rPr>
          <w:rFonts w:ascii="Lato" w:eastAsia="Calibri" w:hAnsi="Lato" w:cs="Arial"/>
          <w:bCs/>
          <w:iCs/>
          <w:spacing w:val="4"/>
          <w:sz w:val="22"/>
          <w:szCs w:val="22"/>
          <w:lang w:eastAsia="en-US"/>
        </w:rPr>
        <w:t xml:space="preserve"> zawiera określenie terenu objętego inwestycją w zakresie terminalu, w tym linii rozgraniczających teren inwestycji. </w:t>
      </w:r>
      <w:r w:rsidR="005E1C0A">
        <w:rPr>
          <w:rFonts w:ascii="Lato" w:eastAsia="Calibri" w:hAnsi="Lato" w:cs="Arial"/>
          <w:bCs/>
          <w:iCs/>
          <w:spacing w:val="4"/>
          <w:sz w:val="22"/>
          <w:szCs w:val="22"/>
          <w:lang w:eastAsia="en-US"/>
        </w:rPr>
        <w:t xml:space="preserve">Natomiast zgodnie z art. 26 ust 1 </w:t>
      </w:r>
      <w:r w:rsidR="005E1C0A" w:rsidRPr="005E1C0A">
        <w:rPr>
          <w:rFonts w:ascii="Lato" w:eastAsia="Calibri" w:hAnsi="Lato" w:cs="Arial"/>
          <w:bCs/>
          <w:i/>
          <w:spacing w:val="4"/>
          <w:sz w:val="22"/>
          <w:szCs w:val="22"/>
          <w:lang w:eastAsia="en-US"/>
        </w:rPr>
        <w:t>specustawy naftowej,</w:t>
      </w:r>
      <w:r w:rsidR="005E1C0A">
        <w:rPr>
          <w:rFonts w:ascii="Lato" w:eastAsia="Calibri" w:hAnsi="Lato" w:cs="Arial"/>
          <w:bCs/>
          <w:iCs/>
          <w:spacing w:val="4"/>
          <w:sz w:val="22"/>
          <w:szCs w:val="22"/>
          <w:lang w:eastAsia="en-US"/>
        </w:rPr>
        <w:t xml:space="preserve"> linie rozgraniczające teren </w:t>
      </w:r>
      <w:r w:rsidR="005E1C0A" w:rsidRPr="005E1C0A">
        <w:rPr>
          <w:rFonts w:ascii="Lato" w:eastAsia="Calibri" w:hAnsi="Lato" w:cs="Arial"/>
          <w:bCs/>
          <w:iCs/>
          <w:spacing w:val="4"/>
          <w:sz w:val="22"/>
          <w:szCs w:val="22"/>
          <w:lang w:eastAsia="en-US"/>
        </w:rPr>
        <w:t xml:space="preserve">inwestycji ustalone decyzją o ustaleniu lokalizacji strategicznej inwestycji w sektorze naftowym stanowią linie podziału nieruchomości </w:t>
      </w:r>
      <w:r w:rsidR="0056514E">
        <w:rPr>
          <w:rFonts w:ascii="Lato" w:eastAsia="Calibri" w:hAnsi="Lato" w:cs="Arial"/>
          <w:bCs/>
          <w:iCs/>
          <w:spacing w:val="4"/>
          <w:sz w:val="22"/>
          <w:szCs w:val="22"/>
          <w:lang w:eastAsia="en-US"/>
        </w:rPr>
        <w:br/>
      </w:r>
      <w:r w:rsidR="005E1C0A" w:rsidRPr="005E1C0A">
        <w:rPr>
          <w:rFonts w:ascii="Lato" w:eastAsia="Calibri" w:hAnsi="Lato" w:cs="Arial"/>
          <w:bCs/>
          <w:iCs/>
          <w:spacing w:val="4"/>
          <w:sz w:val="22"/>
          <w:szCs w:val="22"/>
          <w:lang w:eastAsia="en-US"/>
        </w:rPr>
        <w:t xml:space="preserve">w zakresie, w jakim </w:t>
      </w:r>
      <w:r w:rsidR="005E1C0A" w:rsidRPr="0056514E">
        <w:rPr>
          <w:rFonts w:ascii="Lato" w:eastAsia="Calibri" w:hAnsi="Lato" w:cs="Arial"/>
          <w:bCs/>
          <w:i/>
          <w:spacing w:val="4"/>
          <w:sz w:val="22"/>
          <w:szCs w:val="22"/>
          <w:lang w:eastAsia="en-US"/>
        </w:rPr>
        <w:t>inwestor</w:t>
      </w:r>
      <w:r w:rsidR="005E1C0A" w:rsidRPr="005E1C0A">
        <w:rPr>
          <w:rFonts w:ascii="Lato" w:eastAsia="Calibri" w:hAnsi="Lato" w:cs="Arial"/>
          <w:bCs/>
          <w:iCs/>
          <w:spacing w:val="4"/>
          <w:sz w:val="22"/>
          <w:szCs w:val="22"/>
          <w:lang w:eastAsia="en-US"/>
        </w:rPr>
        <w:t xml:space="preserve"> wystąpił o zatwierdzenie podziału nieruchomości, przedstawiając mapy, o których mowa w </w:t>
      </w:r>
      <w:hyperlink r:id="rId10" w:history="1">
        <w:r w:rsidR="005E1C0A" w:rsidRPr="005E1C0A">
          <w:rPr>
            <w:rStyle w:val="Hipercze"/>
            <w:rFonts w:ascii="Lato" w:eastAsia="Calibri" w:hAnsi="Lato" w:cs="Arial"/>
            <w:bCs/>
            <w:iCs/>
            <w:color w:val="auto"/>
            <w:spacing w:val="4"/>
            <w:sz w:val="22"/>
            <w:szCs w:val="22"/>
            <w:u w:val="none"/>
            <w:lang w:eastAsia="en-US"/>
          </w:rPr>
          <w:t>art. 4 ust. 1 pkt 7</w:t>
        </w:r>
      </w:hyperlink>
      <w:r w:rsidR="005E1C0A" w:rsidRPr="005E1C0A">
        <w:rPr>
          <w:rFonts w:ascii="Lato" w:eastAsia="Calibri" w:hAnsi="Lato" w:cs="Arial"/>
          <w:bCs/>
          <w:iCs/>
          <w:spacing w:val="4"/>
          <w:sz w:val="22"/>
          <w:szCs w:val="22"/>
          <w:lang w:eastAsia="en-US"/>
        </w:rPr>
        <w:t xml:space="preserve"> </w:t>
      </w:r>
      <w:r w:rsidR="005E1C0A" w:rsidRPr="005E1C0A">
        <w:rPr>
          <w:rFonts w:ascii="Lato" w:eastAsia="Calibri" w:hAnsi="Lato" w:cs="Arial"/>
          <w:bCs/>
          <w:i/>
          <w:spacing w:val="4"/>
          <w:sz w:val="22"/>
          <w:szCs w:val="22"/>
          <w:lang w:eastAsia="en-US"/>
        </w:rPr>
        <w:t>specustawy naftowej.</w:t>
      </w:r>
    </w:p>
    <w:p w14:paraId="20483C9A" w14:textId="66B52824" w:rsidR="00882CB0" w:rsidRDefault="00123D18" w:rsidP="00123D18">
      <w:pPr>
        <w:spacing w:after="240" w:line="240" w:lineRule="exact"/>
        <w:jc w:val="both"/>
        <w:outlineLvl w:val="0"/>
        <w:rPr>
          <w:rFonts w:ascii="Lato" w:eastAsia="Calibri" w:hAnsi="Lato" w:cs="Arial"/>
          <w:bCs/>
          <w:iCs/>
          <w:spacing w:val="4"/>
          <w:sz w:val="22"/>
          <w:szCs w:val="22"/>
          <w:lang w:eastAsia="en-US"/>
        </w:rPr>
      </w:pPr>
      <w:r w:rsidRPr="00123D18">
        <w:rPr>
          <w:rFonts w:ascii="Lato" w:eastAsia="Calibri" w:hAnsi="Lato" w:cs="Arial"/>
          <w:bCs/>
          <w:iCs/>
          <w:spacing w:val="4"/>
          <w:sz w:val="22"/>
          <w:szCs w:val="22"/>
          <w:lang w:eastAsia="en-US"/>
        </w:rPr>
        <w:t xml:space="preserve">Jak wynika z legendy ww. mapy, linia przerywana koloru </w:t>
      </w:r>
      <w:r w:rsidR="00F94C69">
        <w:rPr>
          <w:rFonts w:ascii="Lato" w:eastAsia="Calibri" w:hAnsi="Lato" w:cs="Arial"/>
          <w:bCs/>
          <w:iCs/>
          <w:spacing w:val="4"/>
          <w:sz w:val="22"/>
          <w:szCs w:val="22"/>
          <w:lang w:eastAsia="en-US"/>
        </w:rPr>
        <w:t>różowego</w:t>
      </w:r>
      <w:r w:rsidRPr="00123D18">
        <w:rPr>
          <w:rFonts w:ascii="Lato" w:eastAsia="Calibri" w:hAnsi="Lato" w:cs="Arial"/>
          <w:bCs/>
          <w:iCs/>
          <w:spacing w:val="4"/>
          <w:sz w:val="22"/>
          <w:szCs w:val="22"/>
          <w:lang w:eastAsia="en-US"/>
        </w:rPr>
        <w:t xml:space="preserve"> oznaczona granice terenu objętego inwestycją, </w:t>
      </w:r>
      <w:r w:rsidR="00882CB0">
        <w:rPr>
          <w:rFonts w:ascii="Lato" w:eastAsia="Calibri" w:hAnsi="Lato" w:cs="Arial"/>
          <w:bCs/>
          <w:iCs/>
          <w:spacing w:val="4"/>
          <w:sz w:val="22"/>
          <w:szCs w:val="22"/>
          <w:lang w:eastAsia="en-US"/>
        </w:rPr>
        <w:t>natomiast nie stanowi</w:t>
      </w:r>
      <w:r w:rsidRPr="00123D18">
        <w:rPr>
          <w:rFonts w:ascii="Lato" w:eastAsia="Calibri" w:hAnsi="Lato" w:cs="Arial"/>
          <w:bCs/>
          <w:iCs/>
          <w:spacing w:val="4"/>
          <w:sz w:val="22"/>
          <w:szCs w:val="22"/>
          <w:lang w:eastAsia="en-US"/>
        </w:rPr>
        <w:t xml:space="preserve"> lini</w:t>
      </w:r>
      <w:r w:rsidR="00882CB0">
        <w:rPr>
          <w:rFonts w:ascii="Lato" w:eastAsia="Calibri" w:hAnsi="Lato" w:cs="Arial"/>
          <w:bCs/>
          <w:iCs/>
          <w:spacing w:val="4"/>
          <w:sz w:val="22"/>
          <w:szCs w:val="22"/>
          <w:lang w:eastAsia="en-US"/>
        </w:rPr>
        <w:t>i</w:t>
      </w:r>
      <w:r w:rsidRPr="00123D18">
        <w:rPr>
          <w:rFonts w:ascii="Lato" w:eastAsia="Calibri" w:hAnsi="Lato" w:cs="Arial"/>
          <w:bCs/>
          <w:iCs/>
          <w:spacing w:val="4"/>
          <w:sz w:val="22"/>
          <w:szCs w:val="22"/>
          <w:lang w:eastAsia="en-US"/>
        </w:rPr>
        <w:t xml:space="preserve"> rozgraniczając</w:t>
      </w:r>
      <w:r w:rsidR="00882CB0">
        <w:rPr>
          <w:rFonts w:ascii="Lato" w:eastAsia="Calibri" w:hAnsi="Lato" w:cs="Arial"/>
          <w:bCs/>
          <w:iCs/>
          <w:spacing w:val="4"/>
          <w:sz w:val="22"/>
          <w:szCs w:val="22"/>
          <w:lang w:eastAsia="en-US"/>
        </w:rPr>
        <w:t>ej</w:t>
      </w:r>
      <w:r w:rsidRPr="00123D18">
        <w:rPr>
          <w:rFonts w:ascii="Lato" w:eastAsia="Calibri" w:hAnsi="Lato" w:cs="Arial"/>
          <w:bCs/>
          <w:iCs/>
          <w:spacing w:val="4"/>
          <w:sz w:val="22"/>
          <w:szCs w:val="22"/>
          <w:lang w:eastAsia="en-US"/>
        </w:rPr>
        <w:t xml:space="preserve"> teren inwestycji</w:t>
      </w:r>
      <w:r w:rsidR="00882CB0">
        <w:rPr>
          <w:rFonts w:ascii="Lato" w:eastAsia="Calibri" w:hAnsi="Lato" w:cs="Arial"/>
          <w:bCs/>
          <w:iCs/>
          <w:spacing w:val="4"/>
          <w:sz w:val="22"/>
          <w:szCs w:val="22"/>
          <w:lang w:eastAsia="en-US"/>
        </w:rPr>
        <w:t xml:space="preserve">. Zgodnie z </w:t>
      </w:r>
      <w:r w:rsidRPr="00123D18">
        <w:rPr>
          <w:rFonts w:ascii="Lato" w:eastAsia="Calibri" w:hAnsi="Lato" w:cs="Arial"/>
          <w:bCs/>
          <w:iCs/>
          <w:spacing w:val="4"/>
          <w:sz w:val="22"/>
          <w:szCs w:val="22"/>
          <w:lang w:eastAsia="en-US"/>
        </w:rPr>
        <w:t xml:space="preserve">art. </w:t>
      </w:r>
      <w:r w:rsidR="00F94C69">
        <w:rPr>
          <w:rFonts w:ascii="Lato" w:eastAsia="Calibri" w:hAnsi="Lato" w:cs="Arial"/>
          <w:bCs/>
          <w:iCs/>
          <w:spacing w:val="4"/>
          <w:sz w:val="22"/>
          <w:szCs w:val="22"/>
          <w:lang w:eastAsia="en-US"/>
        </w:rPr>
        <w:t>26</w:t>
      </w:r>
      <w:r w:rsidRPr="00123D18">
        <w:rPr>
          <w:rFonts w:ascii="Lato" w:eastAsia="Calibri" w:hAnsi="Lato" w:cs="Arial"/>
          <w:bCs/>
          <w:iCs/>
          <w:spacing w:val="4"/>
          <w:sz w:val="22"/>
          <w:szCs w:val="22"/>
          <w:lang w:eastAsia="en-US"/>
        </w:rPr>
        <w:t xml:space="preserve"> ust. </w:t>
      </w:r>
      <w:r w:rsidR="00F94C69">
        <w:rPr>
          <w:rFonts w:ascii="Lato" w:eastAsia="Calibri" w:hAnsi="Lato" w:cs="Arial"/>
          <w:bCs/>
          <w:iCs/>
          <w:spacing w:val="4"/>
          <w:sz w:val="22"/>
          <w:szCs w:val="22"/>
          <w:lang w:eastAsia="en-US"/>
        </w:rPr>
        <w:t>1</w:t>
      </w:r>
      <w:r w:rsidRPr="00123D18">
        <w:rPr>
          <w:rFonts w:ascii="Lato" w:eastAsia="Calibri" w:hAnsi="Lato" w:cs="Arial"/>
          <w:bCs/>
          <w:iCs/>
          <w:spacing w:val="4"/>
          <w:sz w:val="22"/>
          <w:szCs w:val="22"/>
          <w:lang w:eastAsia="en-US"/>
        </w:rPr>
        <w:t xml:space="preserve"> </w:t>
      </w:r>
      <w:r w:rsidRPr="00123D18">
        <w:rPr>
          <w:rFonts w:ascii="Lato" w:eastAsia="Calibri" w:hAnsi="Lato" w:cs="Arial"/>
          <w:bCs/>
          <w:i/>
          <w:iCs/>
          <w:spacing w:val="4"/>
          <w:sz w:val="22"/>
          <w:szCs w:val="22"/>
          <w:lang w:eastAsia="en-US"/>
        </w:rPr>
        <w:t xml:space="preserve">specustawy </w:t>
      </w:r>
      <w:r w:rsidR="00F94C69">
        <w:rPr>
          <w:rFonts w:ascii="Lato" w:eastAsia="Calibri" w:hAnsi="Lato" w:cs="Arial"/>
          <w:bCs/>
          <w:i/>
          <w:iCs/>
          <w:spacing w:val="4"/>
          <w:sz w:val="22"/>
          <w:szCs w:val="22"/>
          <w:lang w:eastAsia="en-US"/>
        </w:rPr>
        <w:t>naftowej</w:t>
      </w:r>
      <w:r w:rsidRPr="00123D18">
        <w:rPr>
          <w:rFonts w:ascii="Lato" w:eastAsia="Calibri" w:hAnsi="Lato" w:cs="Arial"/>
          <w:bCs/>
          <w:iCs/>
          <w:spacing w:val="4"/>
          <w:sz w:val="22"/>
          <w:szCs w:val="22"/>
          <w:lang w:eastAsia="en-US"/>
        </w:rPr>
        <w:t xml:space="preserve">, </w:t>
      </w:r>
      <w:r w:rsidR="00882CB0">
        <w:rPr>
          <w:rFonts w:ascii="Lato" w:eastAsia="Calibri" w:hAnsi="Lato" w:cs="Arial"/>
          <w:bCs/>
          <w:iCs/>
          <w:spacing w:val="4"/>
          <w:sz w:val="22"/>
          <w:szCs w:val="22"/>
          <w:lang w:eastAsia="en-US"/>
        </w:rPr>
        <w:t xml:space="preserve">linia rozgraniczająca teren inwestycji </w:t>
      </w:r>
      <w:r w:rsidRPr="00123D18">
        <w:rPr>
          <w:rFonts w:ascii="Lato" w:eastAsia="Calibri" w:hAnsi="Lato" w:cs="Arial"/>
          <w:bCs/>
          <w:iCs/>
          <w:spacing w:val="4"/>
          <w:sz w:val="22"/>
          <w:szCs w:val="22"/>
          <w:lang w:eastAsia="en-US"/>
        </w:rPr>
        <w:t>stanowi lini</w:t>
      </w:r>
      <w:r w:rsidR="00882CB0">
        <w:rPr>
          <w:rFonts w:ascii="Lato" w:eastAsia="Calibri" w:hAnsi="Lato" w:cs="Arial"/>
          <w:bCs/>
          <w:iCs/>
          <w:spacing w:val="4"/>
          <w:sz w:val="22"/>
          <w:szCs w:val="22"/>
          <w:lang w:eastAsia="en-US"/>
        </w:rPr>
        <w:t>ę</w:t>
      </w:r>
      <w:r w:rsidRPr="00123D18">
        <w:rPr>
          <w:rFonts w:ascii="Lato" w:eastAsia="Calibri" w:hAnsi="Lato" w:cs="Arial"/>
          <w:bCs/>
          <w:iCs/>
          <w:spacing w:val="4"/>
          <w:sz w:val="22"/>
          <w:szCs w:val="22"/>
          <w:lang w:eastAsia="en-US"/>
        </w:rPr>
        <w:t xml:space="preserve"> podziału nieruchomości. </w:t>
      </w:r>
      <w:r w:rsidR="00882CB0">
        <w:rPr>
          <w:rFonts w:ascii="Lato" w:eastAsia="Calibri" w:hAnsi="Lato" w:cs="Arial"/>
          <w:bCs/>
          <w:iCs/>
          <w:spacing w:val="4"/>
          <w:sz w:val="22"/>
          <w:szCs w:val="22"/>
          <w:lang w:eastAsia="en-US"/>
        </w:rPr>
        <w:t xml:space="preserve">Analiza map terenu objętego wnioskiem o wydanie decyzji o ustaleniu lokalizacji przedmiotowej inwestycji (załączniki nr 1-59 do </w:t>
      </w:r>
      <w:r w:rsidR="00882CB0" w:rsidRPr="000B5191">
        <w:rPr>
          <w:rFonts w:ascii="Lato" w:eastAsia="Calibri" w:hAnsi="Lato" w:cs="Arial"/>
          <w:bCs/>
          <w:i/>
          <w:spacing w:val="4"/>
          <w:sz w:val="22"/>
          <w:szCs w:val="22"/>
          <w:lang w:eastAsia="en-US"/>
        </w:rPr>
        <w:t>decyzji Wojewody Mazowieckiego</w:t>
      </w:r>
      <w:r w:rsidR="00882CB0">
        <w:rPr>
          <w:rFonts w:ascii="Lato" w:eastAsia="Calibri" w:hAnsi="Lato" w:cs="Arial"/>
          <w:bCs/>
          <w:iCs/>
          <w:spacing w:val="4"/>
          <w:sz w:val="22"/>
          <w:szCs w:val="22"/>
          <w:lang w:eastAsia="en-US"/>
        </w:rPr>
        <w:t>) wskazały, że oprócz linii przerywanej koloru różowego uwidoczniono także linię ciągłą koloru czerwonego, opisaną w legendzie jako „linia podziału geodezyjnego nieruchomości”.</w:t>
      </w:r>
      <w:r w:rsidR="000B5191">
        <w:rPr>
          <w:rFonts w:ascii="Lato" w:eastAsia="Calibri" w:hAnsi="Lato" w:cs="Arial"/>
          <w:bCs/>
          <w:iCs/>
          <w:spacing w:val="4"/>
          <w:sz w:val="22"/>
          <w:szCs w:val="22"/>
          <w:lang w:eastAsia="en-US"/>
        </w:rPr>
        <w:t xml:space="preserve"> </w:t>
      </w:r>
      <w:r w:rsidR="00882CB0">
        <w:rPr>
          <w:rFonts w:ascii="Lato" w:eastAsia="Calibri" w:hAnsi="Lato" w:cs="Arial"/>
          <w:bCs/>
          <w:iCs/>
          <w:spacing w:val="4"/>
          <w:sz w:val="22"/>
          <w:szCs w:val="22"/>
          <w:lang w:eastAsia="en-US"/>
        </w:rPr>
        <w:t xml:space="preserve">Wskazującą granice nieruchomości podlegających podziałowi zgodnie z art. 26 ust. 1 </w:t>
      </w:r>
      <w:r w:rsidR="00882CB0" w:rsidRPr="00BB0C59">
        <w:rPr>
          <w:rFonts w:ascii="Lato" w:eastAsia="Calibri" w:hAnsi="Lato" w:cs="Arial"/>
          <w:bCs/>
          <w:i/>
          <w:spacing w:val="4"/>
          <w:sz w:val="22"/>
          <w:szCs w:val="22"/>
          <w:lang w:eastAsia="en-US"/>
        </w:rPr>
        <w:t>specustawy naftowej.</w:t>
      </w:r>
    </w:p>
    <w:p w14:paraId="7777C3F3" w14:textId="0904B0D4" w:rsidR="0056514E" w:rsidRDefault="0056514E" w:rsidP="00174614">
      <w:pPr>
        <w:spacing w:after="240" w:line="240" w:lineRule="exact"/>
        <w:jc w:val="both"/>
        <w:outlineLvl w:val="0"/>
        <w:rPr>
          <w:rFonts w:ascii="Lato" w:eastAsia="Calibri" w:hAnsi="Lato" w:cs="Arial"/>
          <w:bCs/>
          <w:iCs/>
          <w:spacing w:val="4"/>
          <w:sz w:val="22"/>
          <w:szCs w:val="22"/>
          <w:lang w:eastAsia="en-US"/>
        </w:rPr>
      </w:pPr>
      <w:r>
        <w:rPr>
          <w:rFonts w:ascii="Lato" w:eastAsia="Calibri" w:hAnsi="Lato" w:cs="Arial"/>
          <w:bCs/>
          <w:iCs/>
          <w:spacing w:val="4"/>
          <w:sz w:val="22"/>
          <w:szCs w:val="22"/>
          <w:lang w:eastAsia="en-US"/>
        </w:rPr>
        <w:t xml:space="preserve">Ponadto, analiza materiału dowodowego wskazała, że w treści </w:t>
      </w:r>
      <w:r w:rsidRPr="00BB0C59">
        <w:rPr>
          <w:rFonts w:ascii="Lato" w:eastAsia="Calibri" w:hAnsi="Lato" w:cs="Arial"/>
          <w:bCs/>
          <w:i/>
          <w:spacing w:val="4"/>
          <w:sz w:val="22"/>
          <w:szCs w:val="22"/>
          <w:lang w:eastAsia="en-US"/>
        </w:rPr>
        <w:t>decyzji Wojewody Mazowieckiego</w:t>
      </w:r>
      <w:r>
        <w:rPr>
          <w:rFonts w:ascii="Lato" w:eastAsia="Calibri" w:hAnsi="Lato" w:cs="Arial"/>
          <w:bCs/>
          <w:iCs/>
          <w:spacing w:val="4"/>
          <w:sz w:val="22"/>
          <w:szCs w:val="22"/>
          <w:lang w:eastAsia="en-US"/>
        </w:rPr>
        <w:t xml:space="preserve"> nie uwzględniono terenów objętych trwałym ograniczeniem sposobu korzystania z nieruchomości na rzecz innych podmiotów</w:t>
      </w:r>
      <w:r w:rsidR="005C749E">
        <w:rPr>
          <w:rFonts w:ascii="Lato" w:eastAsia="Calibri" w:hAnsi="Lato" w:cs="Arial"/>
          <w:bCs/>
          <w:iCs/>
          <w:spacing w:val="4"/>
          <w:sz w:val="22"/>
          <w:szCs w:val="22"/>
          <w:lang w:eastAsia="en-US"/>
        </w:rPr>
        <w:t>,</w:t>
      </w:r>
      <w:r>
        <w:rPr>
          <w:rFonts w:ascii="Lato" w:eastAsia="Calibri" w:hAnsi="Lato" w:cs="Arial"/>
          <w:bCs/>
          <w:iCs/>
          <w:spacing w:val="4"/>
          <w:sz w:val="22"/>
          <w:szCs w:val="22"/>
          <w:lang w:eastAsia="en-US"/>
        </w:rPr>
        <w:t xml:space="preserve"> ani terenów objętych czasowym ograniczeniem sposobu korzystania z nieruchomości. Zgodnie z art. 30 ust. 1 i </w:t>
      </w:r>
      <w:r w:rsidR="00024A88">
        <w:rPr>
          <w:rFonts w:ascii="Lato" w:eastAsia="Calibri" w:hAnsi="Lato" w:cs="Arial"/>
          <w:bCs/>
          <w:iCs/>
          <w:spacing w:val="4"/>
          <w:sz w:val="22"/>
          <w:szCs w:val="22"/>
          <w:lang w:eastAsia="en-US"/>
        </w:rPr>
        <w:t>3 specustawy</w:t>
      </w:r>
      <w:r w:rsidRPr="005C749E">
        <w:rPr>
          <w:rFonts w:ascii="Lato" w:eastAsia="Calibri" w:hAnsi="Lato" w:cs="Arial"/>
          <w:bCs/>
          <w:i/>
          <w:spacing w:val="4"/>
          <w:sz w:val="22"/>
          <w:szCs w:val="22"/>
          <w:lang w:eastAsia="en-US"/>
        </w:rPr>
        <w:t xml:space="preserve"> naftowej</w:t>
      </w:r>
      <w:r>
        <w:rPr>
          <w:rFonts w:ascii="Lato" w:eastAsia="Calibri" w:hAnsi="Lato" w:cs="Arial"/>
          <w:bCs/>
          <w:iCs/>
          <w:spacing w:val="4"/>
          <w:sz w:val="22"/>
          <w:szCs w:val="22"/>
          <w:lang w:eastAsia="en-US"/>
        </w:rPr>
        <w:t xml:space="preserve"> </w:t>
      </w:r>
      <w:r w:rsidR="005C749E">
        <w:rPr>
          <w:rFonts w:ascii="Lato" w:eastAsia="Calibri" w:hAnsi="Lato" w:cs="Arial"/>
          <w:bCs/>
          <w:iCs/>
          <w:spacing w:val="4"/>
          <w:sz w:val="22"/>
          <w:szCs w:val="22"/>
          <w:lang w:eastAsia="en-US"/>
        </w:rPr>
        <w:t>(</w:t>
      </w:r>
      <w:r>
        <w:rPr>
          <w:rFonts w:ascii="Lato" w:eastAsia="Calibri" w:hAnsi="Lato" w:cs="Arial"/>
          <w:bCs/>
          <w:iCs/>
          <w:spacing w:val="4"/>
          <w:sz w:val="22"/>
          <w:szCs w:val="22"/>
          <w:lang w:eastAsia="en-US"/>
        </w:rPr>
        <w:t>w brzmieniu obowiązującym od 27 maja 2021 r.</w:t>
      </w:r>
      <w:r w:rsidR="005C749E">
        <w:rPr>
          <w:rFonts w:ascii="Lato" w:eastAsia="Calibri" w:hAnsi="Lato" w:cs="Arial"/>
          <w:bCs/>
          <w:iCs/>
          <w:spacing w:val="4"/>
          <w:sz w:val="22"/>
          <w:szCs w:val="22"/>
          <w:lang w:eastAsia="en-US"/>
        </w:rPr>
        <w:t>)</w:t>
      </w:r>
      <w:r>
        <w:rPr>
          <w:rFonts w:ascii="Lato" w:eastAsia="Calibri" w:hAnsi="Lato" w:cs="Arial"/>
          <w:bCs/>
          <w:iCs/>
          <w:spacing w:val="4"/>
          <w:sz w:val="22"/>
          <w:szCs w:val="22"/>
          <w:lang w:eastAsia="en-US"/>
        </w:rPr>
        <w:t xml:space="preserve">, decyzja  </w:t>
      </w:r>
      <w:r w:rsidR="00BB0C59">
        <w:rPr>
          <w:rFonts w:ascii="Lato" w:eastAsia="Calibri" w:hAnsi="Lato" w:cs="Arial"/>
          <w:bCs/>
          <w:iCs/>
          <w:spacing w:val="4"/>
          <w:sz w:val="22"/>
          <w:szCs w:val="22"/>
          <w:lang w:eastAsia="en-US"/>
        </w:rPr>
        <w:br/>
      </w:r>
      <w:r>
        <w:rPr>
          <w:rFonts w:ascii="Lato" w:eastAsia="Calibri" w:hAnsi="Lato" w:cs="Arial"/>
          <w:bCs/>
          <w:iCs/>
          <w:spacing w:val="4"/>
          <w:sz w:val="22"/>
          <w:szCs w:val="22"/>
          <w:lang w:eastAsia="en-US"/>
        </w:rPr>
        <w:t>o ustaleniu lokalizacji strategicznej inwestycji powinna zawierać precyzyjne wskazanie takich obszarów. Brak ich jednoznacznego określenia</w:t>
      </w:r>
      <w:r w:rsidR="00BB0C59">
        <w:rPr>
          <w:rFonts w:ascii="Lato" w:eastAsia="Calibri" w:hAnsi="Lato" w:cs="Arial"/>
          <w:bCs/>
          <w:iCs/>
          <w:spacing w:val="4"/>
          <w:sz w:val="22"/>
          <w:szCs w:val="22"/>
          <w:lang w:eastAsia="en-US"/>
        </w:rPr>
        <w:t xml:space="preserve"> w treści zaskarżonej decyzji. Dodatkowo organ odwoławczy stwierdził, że w treści </w:t>
      </w:r>
      <w:r w:rsidR="00BB0C59" w:rsidRPr="005C749E">
        <w:rPr>
          <w:rFonts w:ascii="Lato" w:eastAsia="Calibri" w:hAnsi="Lato" w:cs="Arial"/>
          <w:bCs/>
          <w:i/>
          <w:spacing w:val="4"/>
          <w:sz w:val="22"/>
          <w:szCs w:val="22"/>
          <w:lang w:eastAsia="en-US"/>
        </w:rPr>
        <w:t>decyzji Wojewody Mazowieckiego</w:t>
      </w:r>
      <w:r w:rsidR="00BB0C59">
        <w:rPr>
          <w:rFonts w:ascii="Lato" w:eastAsia="Calibri" w:hAnsi="Lato" w:cs="Arial"/>
          <w:bCs/>
          <w:iCs/>
          <w:spacing w:val="4"/>
          <w:sz w:val="22"/>
          <w:szCs w:val="22"/>
          <w:lang w:eastAsia="en-US"/>
        </w:rPr>
        <w:t>,</w:t>
      </w:r>
      <w:r w:rsidR="005C749E">
        <w:rPr>
          <w:rFonts w:ascii="Lato" w:eastAsia="Calibri" w:hAnsi="Lato" w:cs="Arial"/>
          <w:bCs/>
          <w:iCs/>
          <w:spacing w:val="4"/>
          <w:sz w:val="22"/>
          <w:szCs w:val="22"/>
          <w:lang w:eastAsia="en-US"/>
        </w:rPr>
        <w:t xml:space="preserve"> należy precyzyjne wskazać</w:t>
      </w:r>
      <w:r w:rsidR="00BB0C59">
        <w:rPr>
          <w:rFonts w:ascii="Lato" w:eastAsia="Calibri" w:hAnsi="Lato" w:cs="Arial"/>
          <w:bCs/>
          <w:iCs/>
          <w:spacing w:val="4"/>
          <w:sz w:val="22"/>
          <w:szCs w:val="22"/>
          <w:lang w:eastAsia="en-US"/>
        </w:rPr>
        <w:t xml:space="preserve"> nieruchomości, które -</w:t>
      </w:r>
      <w:r w:rsidR="005C749E">
        <w:rPr>
          <w:rFonts w:ascii="Lato" w:eastAsia="Calibri" w:hAnsi="Lato" w:cs="Arial"/>
          <w:bCs/>
          <w:iCs/>
          <w:spacing w:val="4"/>
          <w:sz w:val="22"/>
          <w:szCs w:val="22"/>
          <w:lang w:eastAsia="en-US"/>
        </w:rPr>
        <w:t xml:space="preserve"> </w:t>
      </w:r>
      <w:r w:rsidR="00BB0C59">
        <w:rPr>
          <w:rFonts w:ascii="Lato" w:eastAsia="Calibri" w:hAnsi="Lato" w:cs="Arial"/>
          <w:bCs/>
          <w:iCs/>
          <w:spacing w:val="4"/>
          <w:sz w:val="22"/>
          <w:szCs w:val="22"/>
          <w:lang w:eastAsia="en-US"/>
        </w:rPr>
        <w:t xml:space="preserve">zgodnie z art. 26 ust. 3 </w:t>
      </w:r>
      <w:r w:rsidR="00BB0C59" w:rsidRPr="005C749E">
        <w:rPr>
          <w:rFonts w:ascii="Lato" w:eastAsia="Calibri" w:hAnsi="Lato" w:cs="Arial"/>
          <w:bCs/>
          <w:i/>
          <w:spacing w:val="4"/>
          <w:sz w:val="22"/>
          <w:szCs w:val="22"/>
          <w:lang w:eastAsia="en-US"/>
        </w:rPr>
        <w:t>specustawy naftowej</w:t>
      </w:r>
      <w:r w:rsidR="00BB0C59">
        <w:rPr>
          <w:rFonts w:ascii="Lato" w:eastAsia="Calibri" w:hAnsi="Lato" w:cs="Arial"/>
          <w:bCs/>
          <w:iCs/>
          <w:spacing w:val="4"/>
          <w:sz w:val="22"/>
          <w:szCs w:val="22"/>
          <w:lang w:eastAsia="en-US"/>
        </w:rPr>
        <w:t xml:space="preserve"> – stają prawa własnością Skarbu Państwa</w:t>
      </w:r>
      <w:r w:rsidR="009E4999">
        <w:rPr>
          <w:rFonts w:ascii="Lato" w:eastAsia="Calibri" w:hAnsi="Lato" w:cs="Arial"/>
          <w:bCs/>
          <w:iCs/>
          <w:spacing w:val="4"/>
          <w:sz w:val="22"/>
          <w:szCs w:val="22"/>
          <w:lang w:eastAsia="en-US"/>
        </w:rPr>
        <w:t xml:space="preserve"> oraz tereny, które inwestor nabywa w użytkowanie wieczyste zgodnie z art. 26 ust. 7</w:t>
      </w:r>
      <w:r w:rsidR="00BB0C59">
        <w:rPr>
          <w:rFonts w:ascii="Lato" w:eastAsia="Calibri" w:hAnsi="Lato" w:cs="Arial"/>
          <w:bCs/>
          <w:iCs/>
          <w:spacing w:val="4"/>
          <w:sz w:val="22"/>
          <w:szCs w:val="22"/>
          <w:lang w:eastAsia="en-US"/>
        </w:rPr>
        <w:t xml:space="preserve"> </w:t>
      </w:r>
      <w:r w:rsidR="009E4999" w:rsidRPr="005C749E">
        <w:rPr>
          <w:rFonts w:ascii="Lato" w:eastAsia="Calibri" w:hAnsi="Lato" w:cs="Arial"/>
          <w:bCs/>
          <w:i/>
          <w:spacing w:val="4"/>
          <w:sz w:val="22"/>
          <w:szCs w:val="22"/>
          <w:lang w:eastAsia="en-US"/>
        </w:rPr>
        <w:t>specustawy naftowej</w:t>
      </w:r>
      <w:r w:rsidR="009E4999">
        <w:rPr>
          <w:rFonts w:ascii="Lato" w:eastAsia="Calibri" w:hAnsi="Lato" w:cs="Arial"/>
          <w:bCs/>
          <w:iCs/>
          <w:spacing w:val="4"/>
          <w:sz w:val="22"/>
          <w:szCs w:val="22"/>
          <w:lang w:eastAsia="en-US"/>
        </w:rPr>
        <w:t>.</w:t>
      </w:r>
    </w:p>
    <w:p w14:paraId="0F0016E8" w14:textId="4270DE43" w:rsidR="00174614" w:rsidRPr="00123D18" w:rsidRDefault="00123D18" w:rsidP="00174614">
      <w:pPr>
        <w:spacing w:after="240" w:line="240" w:lineRule="exact"/>
        <w:jc w:val="both"/>
        <w:outlineLvl w:val="0"/>
        <w:rPr>
          <w:rFonts w:ascii="Lato" w:eastAsia="Calibri" w:hAnsi="Lato" w:cs="Arial"/>
          <w:bCs/>
          <w:iCs/>
          <w:spacing w:val="4"/>
          <w:sz w:val="22"/>
          <w:szCs w:val="22"/>
          <w:lang w:eastAsia="en-US"/>
        </w:rPr>
      </w:pPr>
      <w:r w:rsidRPr="00123D18">
        <w:rPr>
          <w:rFonts w:ascii="Lato" w:eastAsia="Calibri" w:hAnsi="Lato" w:cs="Arial"/>
          <w:bCs/>
          <w:iCs/>
          <w:spacing w:val="4"/>
          <w:sz w:val="22"/>
          <w:szCs w:val="22"/>
          <w:lang w:eastAsia="en-US"/>
        </w:rPr>
        <w:t>Z dokonanej przez organ odwoławczy analizy ww. mapy wynika, że lini</w:t>
      </w:r>
      <w:r w:rsidR="004B5B58">
        <w:rPr>
          <w:rFonts w:ascii="Lato" w:eastAsia="Calibri" w:hAnsi="Lato" w:cs="Arial"/>
          <w:bCs/>
          <w:iCs/>
          <w:spacing w:val="4"/>
          <w:sz w:val="22"/>
          <w:szCs w:val="22"/>
          <w:lang w:eastAsia="en-US"/>
        </w:rPr>
        <w:t>a</w:t>
      </w:r>
      <w:r w:rsidRPr="00123D18">
        <w:rPr>
          <w:rFonts w:ascii="Lato" w:eastAsia="Calibri" w:hAnsi="Lato" w:cs="Arial"/>
          <w:bCs/>
          <w:iCs/>
          <w:spacing w:val="4"/>
          <w:sz w:val="22"/>
          <w:szCs w:val="22"/>
          <w:lang w:eastAsia="en-US"/>
        </w:rPr>
        <w:t xml:space="preserve"> </w:t>
      </w:r>
      <w:r w:rsidR="00174614" w:rsidRPr="00174614">
        <w:rPr>
          <w:rFonts w:ascii="Lato" w:eastAsia="Calibri" w:hAnsi="Lato" w:cs="Arial"/>
          <w:iCs/>
          <w:spacing w:val="4"/>
          <w:sz w:val="22"/>
          <w:szCs w:val="22"/>
          <w:lang w:eastAsia="en-US"/>
        </w:rPr>
        <w:t>przerywan</w:t>
      </w:r>
      <w:r w:rsidR="00174614">
        <w:rPr>
          <w:rFonts w:ascii="Lato" w:eastAsia="Calibri" w:hAnsi="Lato" w:cs="Arial"/>
          <w:iCs/>
          <w:spacing w:val="4"/>
          <w:sz w:val="22"/>
          <w:szCs w:val="22"/>
          <w:lang w:eastAsia="en-US"/>
        </w:rPr>
        <w:t>a</w:t>
      </w:r>
      <w:r w:rsidR="00174614" w:rsidRPr="00174614">
        <w:rPr>
          <w:rFonts w:ascii="Lato" w:eastAsia="Calibri" w:hAnsi="Lato" w:cs="Arial"/>
          <w:iCs/>
          <w:spacing w:val="4"/>
          <w:sz w:val="22"/>
          <w:szCs w:val="22"/>
          <w:lang w:eastAsia="en-US"/>
        </w:rPr>
        <w:t xml:space="preserve"> koloru różowego</w:t>
      </w:r>
      <w:r w:rsidR="00174614">
        <w:rPr>
          <w:rFonts w:ascii="Lato" w:eastAsia="Calibri" w:hAnsi="Lato" w:cs="Arial"/>
          <w:iCs/>
          <w:spacing w:val="4"/>
          <w:sz w:val="22"/>
          <w:szCs w:val="22"/>
          <w:lang w:eastAsia="en-US"/>
        </w:rPr>
        <w:t xml:space="preserve"> winna</w:t>
      </w:r>
      <w:r w:rsidR="00174614" w:rsidRPr="00174614">
        <w:rPr>
          <w:rFonts w:ascii="Lato" w:eastAsia="Calibri" w:hAnsi="Lato" w:cs="Arial"/>
          <w:iCs/>
          <w:spacing w:val="4"/>
          <w:sz w:val="22"/>
          <w:szCs w:val="22"/>
          <w:lang w:eastAsia="en-US"/>
        </w:rPr>
        <w:t xml:space="preserve"> oznacz</w:t>
      </w:r>
      <w:r w:rsidR="00174614">
        <w:rPr>
          <w:rFonts w:ascii="Lato" w:eastAsia="Calibri" w:hAnsi="Lato" w:cs="Arial"/>
          <w:iCs/>
          <w:spacing w:val="4"/>
          <w:sz w:val="22"/>
          <w:szCs w:val="22"/>
          <w:lang w:eastAsia="en-US"/>
        </w:rPr>
        <w:t>ać</w:t>
      </w:r>
      <w:r w:rsidR="00174614" w:rsidRPr="00174614">
        <w:rPr>
          <w:rFonts w:ascii="Lato" w:eastAsia="Calibri" w:hAnsi="Lato" w:cs="Arial"/>
          <w:iCs/>
          <w:spacing w:val="4"/>
          <w:sz w:val="22"/>
          <w:szCs w:val="22"/>
          <w:lang w:eastAsia="en-US"/>
        </w:rPr>
        <w:t xml:space="preserve"> granice terenu objętego inwestycją</w:t>
      </w:r>
      <w:r w:rsidR="00174614">
        <w:rPr>
          <w:rFonts w:ascii="Lato" w:eastAsia="Calibri" w:hAnsi="Lato" w:cs="Arial"/>
          <w:iCs/>
          <w:spacing w:val="4"/>
          <w:sz w:val="22"/>
          <w:szCs w:val="22"/>
          <w:lang w:eastAsia="en-US"/>
        </w:rPr>
        <w:t>, a linia ciągła koloru czerwonego winna określ</w:t>
      </w:r>
      <w:r w:rsidR="00174614" w:rsidRPr="00174614">
        <w:rPr>
          <w:rFonts w:ascii="Lato" w:eastAsia="Calibri" w:hAnsi="Lato" w:cs="Arial"/>
          <w:iCs/>
          <w:spacing w:val="4"/>
          <w:sz w:val="22"/>
          <w:szCs w:val="22"/>
          <w:lang w:eastAsia="en-US"/>
        </w:rPr>
        <w:t>ać</w:t>
      </w:r>
      <w:r w:rsidR="00174614" w:rsidRPr="00174614">
        <w:rPr>
          <w:rFonts w:ascii="Lato" w:eastAsia="Calibri" w:hAnsi="Lato" w:cs="Arial"/>
          <w:bCs/>
          <w:iCs/>
          <w:spacing w:val="4"/>
          <w:sz w:val="22"/>
          <w:szCs w:val="22"/>
          <w:lang w:eastAsia="en-US"/>
        </w:rPr>
        <w:t xml:space="preserve"> </w:t>
      </w:r>
      <w:r w:rsidR="00174614">
        <w:rPr>
          <w:rFonts w:ascii="Lato" w:eastAsia="Calibri" w:hAnsi="Lato" w:cs="Arial"/>
          <w:bCs/>
          <w:iCs/>
          <w:spacing w:val="4"/>
          <w:sz w:val="22"/>
          <w:szCs w:val="22"/>
          <w:lang w:eastAsia="en-US"/>
        </w:rPr>
        <w:t>l</w:t>
      </w:r>
      <w:r w:rsidR="00174614" w:rsidRPr="00123D18">
        <w:rPr>
          <w:rFonts w:ascii="Lato" w:eastAsia="Calibri" w:hAnsi="Lato" w:cs="Arial"/>
          <w:bCs/>
          <w:iCs/>
          <w:spacing w:val="4"/>
          <w:sz w:val="22"/>
          <w:szCs w:val="22"/>
          <w:lang w:eastAsia="en-US"/>
        </w:rPr>
        <w:t xml:space="preserve">inie rozgraniczającą teren inwestycji stanowiącą linię podziału nieruchomości zgodnie z </w:t>
      </w:r>
      <w:r w:rsidR="00174614" w:rsidRPr="00675FC9">
        <w:rPr>
          <w:rFonts w:ascii="Lato" w:eastAsia="Calibri" w:hAnsi="Lato" w:cs="Arial"/>
          <w:bCs/>
          <w:iCs/>
          <w:spacing w:val="4"/>
          <w:sz w:val="22"/>
          <w:szCs w:val="22"/>
          <w:lang w:eastAsia="en-US"/>
        </w:rPr>
        <w:t>przepis</w:t>
      </w:r>
      <w:r w:rsidR="00174614">
        <w:rPr>
          <w:rFonts w:ascii="Lato" w:eastAsia="Calibri" w:hAnsi="Lato" w:cs="Arial"/>
          <w:bCs/>
          <w:iCs/>
          <w:spacing w:val="4"/>
          <w:sz w:val="22"/>
          <w:szCs w:val="22"/>
          <w:lang w:eastAsia="en-US"/>
        </w:rPr>
        <w:t>ami</w:t>
      </w:r>
      <w:r w:rsidR="00174614" w:rsidRPr="00675FC9">
        <w:rPr>
          <w:rFonts w:ascii="Lato" w:eastAsia="Calibri" w:hAnsi="Lato" w:cs="Arial"/>
          <w:bCs/>
          <w:iCs/>
          <w:spacing w:val="4"/>
          <w:sz w:val="22"/>
          <w:szCs w:val="22"/>
          <w:lang w:eastAsia="en-US"/>
        </w:rPr>
        <w:t xml:space="preserve"> </w:t>
      </w:r>
      <w:r w:rsidR="00174614" w:rsidRPr="00675FC9">
        <w:rPr>
          <w:rFonts w:ascii="Lato" w:eastAsia="Calibri" w:hAnsi="Lato" w:cs="Arial"/>
          <w:bCs/>
          <w:i/>
          <w:iCs/>
          <w:spacing w:val="4"/>
          <w:sz w:val="22"/>
          <w:szCs w:val="22"/>
          <w:lang w:eastAsia="en-US"/>
        </w:rPr>
        <w:t xml:space="preserve">specustawy </w:t>
      </w:r>
      <w:r w:rsidR="00174614" w:rsidRPr="00174614">
        <w:rPr>
          <w:rFonts w:ascii="Lato" w:eastAsia="Calibri" w:hAnsi="Lato" w:cs="Arial"/>
          <w:bCs/>
          <w:i/>
          <w:iCs/>
          <w:spacing w:val="4"/>
          <w:sz w:val="22"/>
          <w:szCs w:val="22"/>
          <w:lang w:eastAsia="en-US"/>
        </w:rPr>
        <w:t>naftowej</w:t>
      </w:r>
      <w:r w:rsidR="00174614" w:rsidRPr="00675FC9">
        <w:rPr>
          <w:rFonts w:ascii="Lato" w:eastAsia="Calibri" w:hAnsi="Lato" w:cs="Arial"/>
          <w:bCs/>
          <w:iCs/>
          <w:spacing w:val="4"/>
          <w:sz w:val="22"/>
          <w:szCs w:val="22"/>
          <w:lang w:eastAsia="en-US"/>
        </w:rPr>
        <w:t xml:space="preserve"> w brzmieniu obowiązującym od dnia 27 maja 2021 r.</w:t>
      </w:r>
    </w:p>
    <w:p w14:paraId="1A769668" w14:textId="3C96A231" w:rsidR="00675FC9" w:rsidRDefault="00675FC9" w:rsidP="00675FC9">
      <w:pPr>
        <w:spacing w:after="240" w:line="240" w:lineRule="exact"/>
        <w:jc w:val="both"/>
        <w:outlineLvl w:val="0"/>
        <w:rPr>
          <w:rFonts w:ascii="Lato" w:eastAsia="Calibri" w:hAnsi="Lato" w:cs="Arial"/>
          <w:iCs/>
          <w:spacing w:val="4"/>
          <w:sz w:val="22"/>
          <w:szCs w:val="22"/>
          <w:lang w:eastAsia="en-US"/>
        </w:rPr>
      </w:pPr>
      <w:r w:rsidRPr="00675FC9">
        <w:rPr>
          <w:rFonts w:ascii="Lato" w:eastAsia="Calibri" w:hAnsi="Lato" w:cs="Arial"/>
          <w:iCs/>
          <w:spacing w:val="4"/>
          <w:sz w:val="22"/>
          <w:szCs w:val="22"/>
          <w:lang w:eastAsia="en-US"/>
        </w:rPr>
        <w:lastRenderedPageBreak/>
        <w:t xml:space="preserve">Wobec powyższego, </w:t>
      </w:r>
      <w:r w:rsidRPr="00675FC9">
        <w:rPr>
          <w:rFonts w:ascii="Lato" w:eastAsia="Calibri" w:hAnsi="Lato" w:cs="Arial"/>
          <w:i/>
          <w:iCs/>
          <w:spacing w:val="4"/>
          <w:sz w:val="22"/>
          <w:szCs w:val="22"/>
          <w:lang w:eastAsia="en-US"/>
        </w:rPr>
        <w:t>Minister</w:t>
      </w:r>
      <w:r w:rsidRPr="00675FC9">
        <w:rPr>
          <w:rFonts w:ascii="Lato" w:eastAsia="Calibri" w:hAnsi="Lato" w:cs="Arial"/>
          <w:iCs/>
          <w:spacing w:val="4"/>
          <w:sz w:val="22"/>
          <w:szCs w:val="22"/>
          <w:lang w:eastAsia="en-US"/>
        </w:rPr>
        <w:t xml:space="preserve"> – korzystając z uprawnień reformatoryjnych wynikających z art. 138 § 1 pkt 2 </w:t>
      </w:r>
      <w:r w:rsidRPr="00675FC9">
        <w:rPr>
          <w:rFonts w:ascii="Lato" w:eastAsia="Calibri" w:hAnsi="Lato" w:cs="Arial"/>
          <w:i/>
          <w:iCs/>
          <w:spacing w:val="4"/>
          <w:sz w:val="22"/>
          <w:szCs w:val="22"/>
          <w:lang w:eastAsia="en-US"/>
        </w:rPr>
        <w:t>kpa</w:t>
      </w:r>
      <w:r w:rsidRPr="00675FC9">
        <w:rPr>
          <w:rFonts w:ascii="Lato" w:eastAsia="Calibri" w:hAnsi="Lato" w:cs="Arial"/>
          <w:iCs/>
          <w:spacing w:val="4"/>
          <w:sz w:val="22"/>
          <w:szCs w:val="22"/>
          <w:lang w:eastAsia="en-US"/>
        </w:rPr>
        <w:t xml:space="preserve"> – dokonał korekty pkt I </w:t>
      </w:r>
      <w:r w:rsidRPr="00675FC9">
        <w:rPr>
          <w:rFonts w:ascii="Lato" w:eastAsia="Calibri" w:hAnsi="Lato" w:cs="Arial"/>
          <w:i/>
          <w:iCs/>
          <w:spacing w:val="4"/>
          <w:sz w:val="22"/>
          <w:szCs w:val="22"/>
          <w:lang w:eastAsia="en-US"/>
        </w:rPr>
        <w:t>decyzji Wojewody Mazowieckiego</w:t>
      </w:r>
      <w:r w:rsidRPr="00675FC9">
        <w:rPr>
          <w:rFonts w:ascii="Lato" w:eastAsia="Calibri" w:hAnsi="Lato" w:cs="Arial"/>
          <w:iCs/>
          <w:spacing w:val="4"/>
          <w:sz w:val="22"/>
          <w:szCs w:val="22"/>
          <w:lang w:eastAsia="en-US"/>
        </w:rPr>
        <w:t xml:space="preserve">, szczegółowo opisanej w pkt I niniejszej decyzji, tak aby omawiany punkt zaskarżonej decyzji obejmował prawidłowe określenie granic terenu objętego strategiczną inwestycją w </w:t>
      </w:r>
      <w:r w:rsidR="00174614" w:rsidRPr="00174614">
        <w:rPr>
          <w:rFonts w:ascii="Lato" w:eastAsia="Calibri" w:hAnsi="Lato" w:cs="Arial"/>
          <w:iCs/>
          <w:spacing w:val="4"/>
          <w:sz w:val="22"/>
          <w:szCs w:val="22"/>
          <w:lang w:eastAsia="en-US"/>
        </w:rPr>
        <w:t>sektorze naftowym</w:t>
      </w:r>
      <w:r w:rsidR="00BB0C59">
        <w:rPr>
          <w:rFonts w:ascii="Lato" w:eastAsia="Calibri" w:hAnsi="Lato" w:cs="Arial"/>
          <w:iCs/>
          <w:spacing w:val="4"/>
          <w:sz w:val="22"/>
          <w:szCs w:val="22"/>
          <w:lang w:eastAsia="en-US"/>
        </w:rPr>
        <w:t xml:space="preserve">,  jak również terenów objętych trwałym i czasowym ograniczeniem sposobu korzystania z nieruchomości oraz terenów przeznaczonych </w:t>
      </w:r>
      <w:r w:rsidR="005C749E">
        <w:rPr>
          <w:rFonts w:ascii="Lato" w:eastAsia="Calibri" w:hAnsi="Lato" w:cs="Arial"/>
          <w:iCs/>
          <w:spacing w:val="4"/>
          <w:sz w:val="22"/>
          <w:szCs w:val="22"/>
          <w:lang w:eastAsia="en-US"/>
        </w:rPr>
        <w:br/>
      </w:r>
      <w:r w:rsidR="00BB0C59">
        <w:rPr>
          <w:rFonts w:ascii="Lato" w:eastAsia="Calibri" w:hAnsi="Lato" w:cs="Arial"/>
          <w:iCs/>
          <w:spacing w:val="4"/>
          <w:sz w:val="22"/>
          <w:szCs w:val="22"/>
          <w:lang w:eastAsia="en-US"/>
        </w:rPr>
        <w:t>do nabycia na rzecz Skarbu Państwa.</w:t>
      </w:r>
    </w:p>
    <w:p w14:paraId="08A7623C" w14:textId="41DC7B5B" w:rsidR="00174614" w:rsidRPr="00174614" w:rsidRDefault="00174614" w:rsidP="00174614">
      <w:pPr>
        <w:spacing w:after="240" w:line="240" w:lineRule="exact"/>
        <w:jc w:val="both"/>
        <w:outlineLvl w:val="0"/>
        <w:rPr>
          <w:rFonts w:ascii="Lato" w:eastAsia="Calibri" w:hAnsi="Lato" w:cs="Arial"/>
          <w:bCs/>
          <w:iCs/>
          <w:spacing w:val="4"/>
          <w:sz w:val="22"/>
          <w:szCs w:val="22"/>
          <w:lang w:eastAsia="en-US"/>
        </w:rPr>
      </w:pPr>
      <w:r w:rsidRPr="00174614">
        <w:rPr>
          <w:rFonts w:ascii="Lato" w:eastAsia="Calibri" w:hAnsi="Lato" w:cs="Arial"/>
          <w:bCs/>
          <w:iCs/>
          <w:spacing w:val="4"/>
          <w:sz w:val="22"/>
          <w:szCs w:val="22"/>
          <w:lang w:eastAsia="en-US"/>
        </w:rPr>
        <w:t xml:space="preserve">Badając zgodność z prawem pozostałej części zaskarżonej decyzji (poza częścią, o której mowa </w:t>
      </w:r>
      <w:r>
        <w:rPr>
          <w:rFonts w:ascii="Lato" w:eastAsia="Calibri" w:hAnsi="Lato" w:cs="Arial"/>
          <w:bCs/>
          <w:iCs/>
          <w:spacing w:val="4"/>
          <w:sz w:val="22"/>
          <w:szCs w:val="22"/>
          <w:lang w:eastAsia="en-US"/>
        </w:rPr>
        <w:t>była powyżej</w:t>
      </w:r>
      <w:r w:rsidRPr="00174614">
        <w:rPr>
          <w:rFonts w:ascii="Lato" w:eastAsia="Calibri" w:hAnsi="Lato" w:cs="Arial"/>
          <w:bCs/>
          <w:iCs/>
          <w:spacing w:val="4"/>
          <w:sz w:val="22"/>
          <w:szCs w:val="22"/>
          <w:lang w:eastAsia="en-US"/>
        </w:rPr>
        <w:t xml:space="preserve">), organ odwoławczy stwierdził, że czyni ona zadość innym wymogom </w:t>
      </w:r>
      <w:r w:rsidRPr="00174614">
        <w:rPr>
          <w:rFonts w:ascii="Lato" w:eastAsia="Calibri" w:hAnsi="Lato" w:cs="Arial"/>
          <w:bCs/>
          <w:i/>
          <w:iCs/>
          <w:spacing w:val="4"/>
          <w:sz w:val="22"/>
          <w:szCs w:val="22"/>
          <w:lang w:eastAsia="en-US"/>
        </w:rPr>
        <w:t>specustawy naftowej</w:t>
      </w:r>
      <w:r w:rsidRPr="00174614">
        <w:rPr>
          <w:rFonts w:ascii="Lato" w:eastAsia="Calibri" w:hAnsi="Lato" w:cs="Arial"/>
          <w:bCs/>
          <w:iCs/>
          <w:spacing w:val="4"/>
          <w:sz w:val="22"/>
          <w:szCs w:val="22"/>
          <w:lang w:eastAsia="en-US"/>
        </w:rPr>
        <w:t xml:space="preserve"> </w:t>
      </w:r>
      <w:r w:rsidR="00AF4BC5" w:rsidRPr="00174614">
        <w:rPr>
          <w:rFonts w:ascii="Lato" w:eastAsia="Calibri" w:hAnsi="Lato" w:cs="Arial"/>
          <w:bCs/>
          <w:iCs/>
          <w:spacing w:val="4"/>
          <w:sz w:val="22"/>
          <w:szCs w:val="22"/>
          <w:lang w:eastAsia="en-US"/>
        </w:rPr>
        <w:t>oraz</w:t>
      </w:r>
      <w:r w:rsidRPr="00174614">
        <w:rPr>
          <w:rFonts w:ascii="Lato" w:eastAsia="Calibri" w:hAnsi="Lato" w:cs="Arial"/>
          <w:bCs/>
          <w:iCs/>
          <w:spacing w:val="4"/>
          <w:sz w:val="22"/>
          <w:szCs w:val="22"/>
          <w:lang w:eastAsia="en-US"/>
        </w:rPr>
        <w:t xml:space="preserve"> że brak było podstaw do zakwestionowania decyzji poza częścią uchyloną i orzeczoną w niniejszej decyzji. W związku z powyższym, w pkt II niniejszej decyzji </w:t>
      </w:r>
      <w:r w:rsidRPr="00174614">
        <w:rPr>
          <w:rFonts w:ascii="Lato" w:eastAsia="Calibri" w:hAnsi="Lato" w:cs="Arial"/>
          <w:bCs/>
          <w:i/>
          <w:iCs/>
          <w:spacing w:val="4"/>
          <w:sz w:val="22"/>
          <w:szCs w:val="22"/>
          <w:lang w:eastAsia="en-US"/>
        </w:rPr>
        <w:t>Minister</w:t>
      </w:r>
      <w:r w:rsidRPr="00174614">
        <w:rPr>
          <w:rFonts w:ascii="Lato" w:eastAsia="Calibri" w:hAnsi="Lato" w:cs="Arial"/>
          <w:bCs/>
          <w:iCs/>
          <w:spacing w:val="4"/>
          <w:sz w:val="22"/>
          <w:szCs w:val="22"/>
          <w:lang w:eastAsia="en-US"/>
        </w:rPr>
        <w:t xml:space="preserve"> utrzymał w mocy zaskarżoną decyzję w pozostałym zakresie.</w:t>
      </w:r>
    </w:p>
    <w:p w14:paraId="0911BDB4" w14:textId="187041FC" w:rsidR="00174614" w:rsidRPr="00675FC9" w:rsidRDefault="00174614" w:rsidP="00174614">
      <w:pPr>
        <w:spacing w:after="240" w:line="240" w:lineRule="exact"/>
        <w:jc w:val="both"/>
        <w:outlineLvl w:val="0"/>
        <w:rPr>
          <w:rFonts w:ascii="Lato" w:eastAsia="Calibri" w:hAnsi="Lato" w:cs="Arial"/>
          <w:iCs/>
          <w:spacing w:val="4"/>
          <w:sz w:val="22"/>
          <w:szCs w:val="22"/>
          <w:lang w:eastAsia="en-US"/>
        </w:rPr>
      </w:pPr>
      <w:r w:rsidRPr="00174614">
        <w:rPr>
          <w:rFonts w:ascii="Lato" w:eastAsia="Calibri" w:hAnsi="Lato" w:cs="Arial"/>
          <w:bCs/>
          <w:iCs/>
          <w:spacing w:val="4"/>
          <w:sz w:val="22"/>
          <w:szCs w:val="22"/>
          <w:lang w:eastAsia="en-US"/>
        </w:rPr>
        <w:t xml:space="preserve">Organ odwoławczy dokonując rozstrzygnięcia, o którym mowa w pkt I przedmiotowej decyzji, uznał, że nie narusza ono zasady dwuinstancyjności postępowania, o której mowa w art. 15 </w:t>
      </w:r>
      <w:r w:rsidRPr="00174614">
        <w:rPr>
          <w:rFonts w:ascii="Lato" w:eastAsia="Calibri" w:hAnsi="Lato" w:cs="Arial"/>
          <w:bCs/>
          <w:i/>
          <w:iCs/>
          <w:spacing w:val="4"/>
          <w:sz w:val="22"/>
          <w:szCs w:val="22"/>
          <w:lang w:eastAsia="en-US"/>
        </w:rPr>
        <w:t>kpa</w:t>
      </w:r>
    </w:p>
    <w:p w14:paraId="619C46A1" w14:textId="3D681B44" w:rsidR="0026700A" w:rsidRPr="0026700A" w:rsidRDefault="002D367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Rozpatrując odwołania</w:t>
      </w:r>
      <w:r w:rsidR="006B6B99">
        <w:rPr>
          <w:rFonts w:ascii="Lato" w:hAnsi="Lato" w:cs="Arial"/>
          <w:color w:val="FF0000"/>
          <w:spacing w:val="4"/>
          <w:sz w:val="22"/>
          <w:szCs w:val="22"/>
        </w:rPr>
        <w:t xml:space="preserve"> </w:t>
      </w:r>
      <w:r w:rsidR="0026700A" w:rsidRPr="0026700A">
        <w:rPr>
          <w:rFonts w:ascii="Lato" w:eastAsiaTheme="minorHAnsi" w:hAnsi="Lato" w:cs="Arial"/>
          <w:bCs/>
          <w:iCs/>
          <w:spacing w:val="4"/>
          <w:sz w:val="22"/>
          <w:szCs w:val="22"/>
          <w:lang w:eastAsia="en-US"/>
        </w:rPr>
        <w:t xml:space="preserve">Pani </w:t>
      </w:r>
      <w:r w:rsidR="004A7ACC">
        <w:rPr>
          <w:rFonts w:ascii="Lato" w:eastAsiaTheme="minorHAnsi" w:hAnsi="Lato" w:cs="Arial"/>
          <w:bCs/>
          <w:iCs/>
          <w:spacing w:val="4"/>
          <w:sz w:val="22"/>
          <w:szCs w:val="22"/>
          <w:lang w:eastAsia="en-US"/>
        </w:rPr>
        <w:t>A.</w:t>
      </w:r>
      <w:r w:rsidR="0026700A" w:rsidRPr="0026700A">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S.</w:t>
      </w:r>
      <w:r w:rsidR="009E4833">
        <w:rPr>
          <w:rFonts w:ascii="Lato" w:eastAsiaTheme="minorHAnsi" w:hAnsi="Lato" w:cs="Arial"/>
          <w:bCs/>
          <w:iCs/>
          <w:spacing w:val="4"/>
          <w:sz w:val="22"/>
          <w:szCs w:val="22"/>
          <w:lang w:eastAsia="en-US"/>
        </w:rPr>
        <w:t xml:space="preserve"> i</w:t>
      </w:r>
      <w:r w:rsidR="0026700A" w:rsidRPr="0026700A">
        <w:rPr>
          <w:rFonts w:ascii="Lato" w:eastAsiaTheme="minorHAnsi" w:hAnsi="Lato" w:cs="Arial"/>
          <w:bCs/>
          <w:iCs/>
          <w:spacing w:val="4"/>
          <w:sz w:val="22"/>
          <w:szCs w:val="22"/>
          <w:lang w:eastAsia="en-US"/>
        </w:rPr>
        <w:t xml:space="preserve"> Pana </w:t>
      </w:r>
      <w:r w:rsidR="004A7ACC">
        <w:rPr>
          <w:rFonts w:ascii="Lato" w:eastAsiaTheme="minorHAnsi" w:hAnsi="Lato" w:cs="Arial"/>
          <w:bCs/>
          <w:iCs/>
          <w:spacing w:val="4"/>
          <w:sz w:val="22"/>
          <w:szCs w:val="22"/>
          <w:lang w:eastAsia="en-US"/>
        </w:rPr>
        <w:t>L.</w:t>
      </w:r>
      <w:r w:rsidR="0026700A" w:rsidRPr="0026700A">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B.</w:t>
      </w:r>
      <w:r w:rsidR="0026700A" w:rsidRPr="0026700A">
        <w:rPr>
          <w:rFonts w:ascii="Lato" w:eastAsiaTheme="minorHAnsi" w:hAnsi="Lato" w:cs="Arial"/>
          <w:bCs/>
          <w:iCs/>
          <w:spacing w:val="4"/>
          <w:sz w:val="22"/>
          <w:szCs w:val="22"/>
          <w:lang w:eastAsia="en-US"/>
        </w:rPr>
        <w:t xml:space="preserve">, Pani </w:t>
      </w:r>
      <w:r w:rsidR="004A7ACC">
        <w:rPr>
          <w:rFonts w:ascii="Lato" w:eastAsiaTheme="minorHAnsi" w:hAnsi="Lato" w:cs="Arial"/>
          <w:bCs/>
          <w:iCs/>
          <w:spacing w:val="4"/>
          <w:sz w:val="22"/>
          <w:szCs w:val="22"/>
          <w:lang w:eastAsia="en-US"/>
        </w:rPr>
        <w:t>E.</w:t>
      </w:r>
      <w:r w:rsidR="0026700A" w:rsidRPr="0026700A">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L.</w:t>
      </w:r>
      <w:r w:rsidR="0026700A" w:rsidRPr="0026700A">
        <w:rPr>
          <w:rFonts w:ascii="Lato" w:eastAsiaTheme="minorHAnsi" w:hAnsi="Lato" w:cs="Arial"/>
          <w:bCs/>
          <w:iCs/>
          <w:spacing w:val="4"/>
          <w:sz w:val="22"/>
          <w:szCs w:val="22"/>
          <w:lang w:eastAsia="en-US"/>
        </w:rPr>
        <w:t xml:space="preserve"> </w:t>
      </w:r>
      <w:r w:rsidR="009E4833">
        <w:rPr>
          <w:rFonts w:ascii="Lato" w:eastAsiaTheme="minorHAnsi" w:hAnsi="Lato" w:cs="Arial"/>
          <w:bCs/>
          <w:iCs/>
          <w:spacing w:val="4"/>
          <w:sz w:val="22"/>
          <w:szCs w:val="22"/>
          <w:lang w:eastAsia="en-US"/>
        </w:rPr>
        <w:t>oraz</w:t>
      </w:r>
      <w:r w:rsidR="0026700A" w:rsidRPr="0026700A">
        <w:rPr>
          <w:rFonts w:ascii="Lato" w:eastAsiaTheme="minorHAnsi" w:hAnsi="Lato" w:cs="Arial"/>
          <w:bCs/>
          <w:iCs/>
          <w:spacing w:val="4"/>
          <w:sz w:val="22"/>
          <w:szCs w:val="22"/>
          <w:lang w:eastAsia="en-US"/>
        </w:rPr>
        <w:t xml:space="preserve"> Pana </w:t>
      </w:r>
      <w:r w:rsidR="004A7ACC">
        <w:rPr>
          <w:rFonts w:ascii="Lato" w:eastAsiaTheme="minorHAnsi" w:hAnsi="Lato" w:cs="Arial"/>
          <w:bCs/>
          <w:iCs/>
          <w:spacing w:val="4"/>
          <w:sz w:val="22"/>
          <w:szCs w:val="22"/>
          <w:lang w:eastAsia="en-US"/>
        </w:rPr>
        <w:t>S.</w:t>
      </w:r>
      <w:r w:rsidR="0026700A" w:rsidRPr="0026700A">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L.</w:t>
      </w:r>
      <w:r w:rsidR="00DF1DED" w:rsidRPr="0026700A">
        <w:rPr>
          <w:rFonts w:ascii="Lato" w:eastAsiaTheme="minorHAnsi" w:hAnsi="Lato" w:cs="Arial"/>
          <w:bCs/>
          <w:iCs/>
          <w:spacing w:val="4"/>
          <w:sz w:val="22"/>
          <w:szCs w:val="22"/>
          <w:lang w:eastAsia="en-US"/>
        </w:rPr>
        <w:t xml:space="preserve"> </w:t>
      </w:r>
      <w:r w:rsidRPr="0026700A">
        <w:rPr>
          <w:rFonts w:ascii="Lato" w:eastAsiaTheme="minorHAnsi" w:hAnsi="Lato" w:cs="Arial"/>
          <w:bCs/>
          <w:iCs/>
          <w:spacing w:val="4"/>
          <w:sz w:val="22"/>
          <w:szCs w:val="22"/>
          <w:lang w:eastAsia="en-US"/>
        </w:rPr>
        <w:t>w pierwszej kolejności wskazać należy, że zarówno wojewoda</w:t>
      </w:r>
      <w:r w:rsidRPr="00F24C6D">
        <w:rPr>
          <w:rFonts w:ascii="Lato" w:eastAsiaTheme="minorHAnsi" w:hAnsi="Lato" w:cs="Arial"/>
          <w:bCs/>
          <w:iCs/>
          <w:spacing w:val="4"/>
          <w:sz w:val="22"/>
          <w:szCs w:val="22"/>
          <w:lang w:eastAsia="en-US"/>
        </w:rPr>
        <w:t xml:space="preserve"> orzekający w sprawie jako organ </w:t>
      </w:r>
      <w:r w:rsidR="004A7ACC">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I instancji, jak i </w:t>
      </w:r>
      <w:r w:rsidRPr="00F24C6D">
        <w:rPr>
          <w:rFonts w:ascii="Lato" w:eastAsiaTheme="minorHAnsi" w:hAnsi="Lato" w:cs="Arial"/>
          <w:bCs/>
          <w:i/>
          <w:iCs/>
          <w:spacing w:val="4"/>
          <w:sz w:val="22"/>
          <w:szCs w:val="22"/>
          <w:lang w:eastAsia="en-US"/>
        </w:rPr>
        <w:t xml:space="preserve">Minister </w:t>
      </w:r>
      <w:r w:rsidRPr="00F24C6D">
        <w:rPr>
          <w:rFonts w:ascii="Lato" w:eastAsiaTheme="minorHAnsi" w:hAnsi="Lato" w:cs="Arial"/>
          <w:bCs/>
          <w:iCs/>
          <w:spacing w:val="4"/>
          <w:sz w:val="22"/>
          <w:szCs w:val="22"/>
          <w:lang w:eastAsia="en-US"/>
        </w:rPr>
        <w:t xml:space="preserve">działający jako organ odwoławczy, pełnią w procesie inwestycyjnym funkcję organów, które będąc właściwe do wydania decyzji </w:t>
      </w:r>
      <w:r w:rsidR="004A7ACC">
        <w:rPr>
          <w:rFonts w:ascii="Lato" w:eastAsiaTheme="minorHAnsi" w:hAnsi="Lato" w:cs="Arial"/>
          <w:bCs/>
          <w:iCs/>
          <w:spacing w:val="4"/>
          <w:sz w:val="22"/>
          <w:szCs w:val="22"/>
          <w:lang w:eastAsia="en-US"/>
        </w:rPr>
        <w:br/>
      </w:r>
      <w:r w:rsidR="0026700A" w:rsidRPr="0026700A">
        <w:rPr>
          <w:rFonts w:ascii="Lato" w:eastAsiaTheme="minorHAnsi" w:hAnsi="Lato" w:cs="Arial"/>
          <w:bCs/>
          <w:iCs/>
          <w:spacing w:val="4"/>
          <w:sz w:val="22"/>
          <w:szCs w:val="22"/>
          <w:lang w:eastAsia="en-US"/>
        </w:rPr>
        <w:t>w przedmiocie ustalenia lokalizacji strategicznej inwestycji w sektorze naftowym, nie są jednocześnie uprawnione do wyznaczania i korygowania trasy tych inwestycji, ani do zmiany proponowanych we wniosku rozwiązań.</w:t>
      </w:r>
    </w:p>
    <w:p w14:paraId="345DF529" w14:textId="22BAA7B3"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 xml:space="preserve">To </w:t>
      </w:r>
      <w:r w:rsidRPr="0026700A">
        <w:rPr>
          <w:rFonts w:ascii="Lato" w:eastAsiaTheme="minorHAnsi" w:hAnsi="Lato" w:cs="Arial"/>
          <w:bCs/>
          <w:i/>
          <w:spacing w:val="4"/>
          <w:sz w:val="22"/>
          <w:szCs w:val="22"/>
          <w:lang w:eastAsia="en-US"/>
        </w:rPr>
        <w:t>inwestor</w:t>
      </w:r>
      <w:r w:rsidRPr="0026700A">
        <w:rPr>
          <w:rFonts w:ascii="Lato" w:eastAsiaTheme="minorHAnsi" w:hAnsi="Lato" w:cs="Arial"/>
          <w:bCs/>
          <w:iCs/>
          <w:spacing w:val="4"/>
          <w:sz w:val="22"/>
          <w:szCs w:val="22"/>
          <w:lang w:eastAsia="en-US"/>
        </w:rPr>
        <w:t xml:space="preserve"> we wniosku o wydanie decyzji o ustalenia lokalizacji strategicznej inwestycji w sektorze naftowym decyduje o przebiegu inwestycji oraz o wielkości terenu niezbędnego dla jej realizacji. </w:t>
      </w:r>
      <w:r w:rsidRPr="0026700A">
        <w:rPr>
          <w:rFonts w:ascii="Lato" w:eastAsiaTheme="minorHAnsi" w:hAnsi="Lato" w:cs="Arial"/>
          <w:bCs/>
          <w:i/>
          <w:spacing w:val="4"/>
          <w:sz w:val="22"/>
          <w:szCs w:val="22"/>
          <w:lang w:eastAsia="en-US"/>
        </w:rPr>
        <w:t>Inwestor</w:t>
      </w:r>
      <w:r w:rsidRPr="0026700A">
        <w:rPr>
          <w:rFonts w:ascii="Lato" w:eastAsiaTheme="minorHAnsi" w:hAnsi="Lato" w:cs="Arial"/>
          <w:bCs/>
          <w:iCs/>
          <w:spacing w:val="4"/>
          <w:sz w:val="22"/>
          <w:szCs w:val="22"/>
          <w:lang w:eastAsia="en-US"/>
        </w:rPr>
        <w:t xml:space="preserve"> samodzielnie dokonuje wyboru najbardziej korzystnych rozwiązań lokalizacyjnych. Zarówno wojewoda, jak i organ odwoławczy, mogą działać tylko w granicach tego wniosku i nie mają możliwości ingerowania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lokalizację inwestycji. Ocenie dokonanej przez organy I i II instancji podlega zgodność z prawem planowanego przedsięwzięcia, w szczególności spełnienie warunków zawartych w przepisach </w:t>
      </w:r>
      <w:r w:rsidRPr="0026700A">
        <w:rPr>
          <w:rFonts w:ascii="Lato" w:eastAsiaTheme="minorHAnsi" w:hAnsi="Lato" w:cs="Arial"/>
          <w:bCs/>
          <w:i/>
          <w:spacing w:val="4"/>
          <w:sz w:val="22"/>
          <w:szCs w:val="22"/>
          <w:lang w:eastAsia="en-US"/>
        </w:rPr>
        <w:t>specustawy naftowej</w:t>
      </w:r>
      <w:r w:rsidRPr="0026700A">
        <w:rPr>
          <w:rFonts w:ascii="Lato" w:eastAsiaTheme="minorHAnsi" w:hAnsi="Lato" w:cs="Arial"/>
          <w:bCs/>
          <w:iCs/>
          <w:spacing w:val="4"/>
          <w:sz w:val="22"/>
          <w:szCs w:val="22"/>
          <w:lang w:eastAsia="en-US"/>
        </w:rPr>
        <w:t xml:space="preserve">. </w:t>
      </w:r>
      <w:r w:rsidRPr="0026700A">
        <w:rPr>
          <w:rFonts w:ascii="Lato" w:eastAsiaTheme="minorHAnsi" w:hAnsi="Lato" w:cs="Arial"/>
          <w:bCs/>
          <w:i/>
          <w:spacing w:val="4"/>
          <w:sz w:val="22"/>
          <w:szCs w:val="22"/>
          <w:lang w:eastAsia="en-US"/>
        </w:rPr>
        <w:t>Inwestor</w:t>
      </w:r>
      <w:r w:rsidRPr="0026700A">
        <w:rPr>
          <w:rFonts w:ascii="Lato" w:eastAsiaTheme="minorHAnsi" w:hAnsi="Lato" w:cs="Arial"/>
          <w:bCs/>
          <w:iCs/>
          <w:spacing w:val="4"/>
          <w:sz w:val="22"/>
          <w:szCs w:val="22"/>
          <w:lang w:eastAsia="en-US"/>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w:t>
      </w:r>
    </w:p>
    <w:p w14:paraId="1A24DA38" w14:textId="1C6ADE6E"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Stanowisko to jest ugruntowane i jednolite w orzecznictwie sądów administracyjnych dotyczących ustawy z dnia 24 kwietnia 2009 r. o inwestycjach w zakresie terminalu regazyfikacyjnego skroplonego gazu ziemnego w Świnoujściu (t.j. Dz. U. z 202</w:t>
      </w:r>
      <w:r w:rsidR="00CB7CC8">
        <w:rPr>
          <w:rFonts w:ascii="Lato" w:eastAsiaTheme="minorHAnsi" w:hAnsi="Lato" w:cs="Arial"/>
          <w:bCs/>
          <w:iCs/>
          <w:spacing w:val="4"/>
          <w:sz w:val="22"/>
          <w:szCs w:val="22"/>
          <w:lang w:eastAsia="en-US"/>
        </w:rPr>
        <w:t>4</w:t>
      </w:r>
      <w:r w:rsidRPr="0026700A">
        <w:rPr>
          <w:rFonts w:ascii="Lato" w:eastAsiaTheme="minorHAnsi" w:hAnsi="Lato" w:cs="Arial"/>
          <w:bCs/>
          <w:iCs/>
          <w:spacing w:val="4"/>
          <w:sz w:val="22"/>
          <w:szCs w:val="22"/>
          <w:lang w:eastAsia="en-US"/>
        </w:rPr>
        <w:t xml:space="preserve"> r. </w:t>
      </w:r>
      <w:r w:rsidR="00CB7CC8">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poz. </w:t>
      </w:r>
      <w:r w:rsidR="00CB7CC8">
        <w:rPr>
          <w:rFonts w:ascii="Lato" w:eastAsiaTheme="minorHAnsi" w:hAnsi="Lato" w:cs="Arial"/>
          <w:bCs/>
          <w:iCs/>
          <w:spacing w:val="4"/>
          <w:sz w:val="22"/>
          <w:szCs w:val="22"/>
          <w:lang w:eastAsia="en-US"/>
        </w:rPr>
        <w:t>551</w:t>
      </w:r>
      <w:r w:rsidRPr="0026700A">
        <w:rPr>
          <w:rFonts w:ascii="Lato" w:eastAsiaTheme="minorHAnsi" w:hAnsi="Lato" w:cs="Arial"/>
          <w:bCs/>
          <w:iCs/>
          <w:spacing w:val="4"/>
          <w:sz w:val="22"/>
          <w:szCs w:val="22"/>
          <w:lang w:eastAsia="en-US"/>
        </w:rPr>
        <w:t xml:space="preserve">), zwanej dalej </w:t>
      </w:r>
      <w:r w:rsidRPr="0026700A">
        <w:rPr>
          <w:rFonts w:ascii="Lato" w:eastAsiaTheme="minorHAnsi" w:hAnsi="Lato" w:cs="Arial"/>
          <w:bCs/>
          <w:i/>
          <w:spacing w:val="4"/>
          <w:sz w:val="22"/>
          <w:szCs w:val="22"/>
          <w:lang w:eastAsia="en-US"/>
        </w:rPr>
        <w:t>„specustawą gazową”</w:t>
      </w:r>
      <w:r w:rsidRPr="0026700A">
        <w:rPr>
          <w:rFonts w:ascii="Lato" w:eastAsiaTheme="minorHAnsi" w:hAnsi="Lato" w:cs="Arial"/>
          <w:bCs/>
          <w:iCs/>
          <w:spacing w:val="4"/>
          <w:sz w:val="22"/>
          <w:szCs w:val="22"/>
          <w:lang w:eastAsia="en-US"/>
        </w:rPr>
        <w:t xml:space="preserve"> i ustawy z dnia 24 lipca 2015 r.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o przygotowaniu i realizacji strategicznych inwestycji w zakresie sieci przesyłowych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w:t>
      </w:r>
      <w:r w:rsidR="00CB7CC8">
        <w:rPr>
          <w:rFonts w:ascii="Lato" w:eastAsiaTheme="minorHAnsi" w:hAnsi="Lato" w:cs="Arial"/>
          <w:bCs/>
          <w:iCs/>
          <w:spacing w:val="4"/>
          <w:sz w:val="22"/>
          <w:szCs w:val="22"/>
          <w:lang w:eastAsia="en-US"/>
        </w:rPr>
        <w:t xml:space="preserve">t.j. </w:t>
      </w:r>
      <w:r w:rsidRPr="0026700A">
        <w:rPr>
          <w:rFonts w:ascii="Lato" w:eastAsiaTheme="minorHAnsi" w:hAnsi="Lato" w:cs="Arial"/>
          <w:bCs/>
          <w:iCs/>
          <w:spacing w:val="4"/>
          <w:sz w:val="22"/>
          <w:szCs w:val="22"/>
          <w:lang w:eastAsia="en-US"/>
        </w:rPr>
        <w:t>Dz. U. z 20</w:t>
      </w:r>
      <w:r>
        <w:rPr>
          <w:rFonts w:ascii="Lato" w:eastAsiaTheme="minorHAnsi" w:hAnsi="Lato" w:cs="Arial"/>
          <w:bCs/>
          <w:iCs/>
          <w:spacing w:val="4"/>
          <w:sz w:val="22"/>
          <w:szCs w:val="22"/>
          <w:lang w:eastAsia="en-US"/>
        </w:rPr>
        <w:t>2</w:t>
      </w:r>
      <w:r w:rsidR="00CB7CC8">
        <w:rPr>
          <w:rFonts w:ascii="Lato" w:eastAsiaTheme="minorHAnsi" w:hAnsi="Lato" w:cs="Arial"/>
          <w:bCs/>
          <w:iCs/>
          <w:spacing w:val="4"/>
          <w:sz w:val="22"/>
          <w:szCs w:val="22"/>
          <w:lang w:eastAsia="en-US"/>
        </w:rPr>
        <w:t>4</w:t>
      </w:r>
      <w:r w:rsidRPr="0026700A">
        <w:rPr>
          <w:rFonts w:ascii="Lato" w:eastAsiaTheme="minorHAnsi" w:hAnsi="Lato" w:cs="Arial"/>
          <w:bCs/>
          <w:iCs/>
          <w:spacing w:val="4"/>
          <w:sz w:val="22"/>
          <w:szCs w:val="22"/>
          <w:lang w:eastAsia="en-US"/>
        </w:rPr>
        <w:t xml:space="preserve"> r. poz. </w:t>
      </w:r>
      <w:r w:rsidR="0004209B">
        <w:rPr>
          <w:rFonts w:ascii="Lato" w:eastAsiaTheme="minorHAnsi" w:hAnsi="Lato" w:cs="Arial"/>
          <w:bCs/>
          <w:iCs/>
          <w:spacing w:val="4"/>
          <w:sz w:val="22"/>
          <w:szCs w:val="22"/>
          <w:lang w:eastAsia="en-US"/>
        </w:rPr>
        <w:t>1199</w:t>
      </w:r>
      <w:r w:rsidRPr="0026700A">
        <w:rPr>
          <w:rFonts w:ascii="Lato" w:eastAsiaTheme="minorHAnsi" w:hAnsi="Lato" w:cs="Arial"/>
          <w:bCs/>
          <w:iCs/>
          <w:spacing w:val="4"/>
          <w:sz w:val="22"/>
          <w:szCs w:val="22"/>
          <w:lang w:eastAsia="en-US"/>
        </w:rPr>
        <w:t xml:space="preserve">), zwanej dalej </w:t>
      </w:r>
      <w:r w:rsidRPr="0026700A">
        <w:rPr>
          <w:rFonts w:ascii="Lato" w:eastAsiaTheme="minorHAnsi" w:hAnsi="Lato" w:cs="Arial"/>
          <w:bCs/>
          <w:i/>
          <w:spacing w:val="4"/>
          <w:sz w:val="22"/>
          <w:szCs w:val="22"/>
          <w:lang w:eastAsia="en-US"/>
        </w:rPr>
        <w:t>„specustawą przesyłową</w:t>
      </w:r>
      <w:r>
        <w:rPr>
          <w:rFonts w:ascii="Lato" w:eastAsiaTheme="minorHAnsi" w:hAnsi="Lato" w:cs="Arial"/>
          <w:bCs/>
          <w:i/>
          <w:spacing w:val="4"/>
          <w:sz w:val="22"/>
          <w:szCs w:val="22"/>
          <w:lang w:eastAsia="en-US"/>
        </w:rPr>
        <w:t>”</w:t>
      </w:r>
      <w:r w:rsidRPr="0026700A">
        <w:rPr>
          <w:rFonts w:ascii="Lato" w:eastAsiaTheme="minorHAnsi" w:hAnsi="Lato" w:cs="Arial"/>
          <w:bCs/>
          <w:iCs/>
          <w:spacing w:val="4"/>
          <w:sz w:val="22"/>
          <w:szCs w:val="22"/>
          <w:lang w:eastAsia="en-US"/>
        </w:rPr>
        <w:t xml:space="preserve">, które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istotnym zakresie są w pełni analogiczne i na których wzorowana była </w:t>
      </w:r>
      <w:r w:rsidRPr="0026700A">
        <w:rPr>
          <w:rFonts w:ascii="Lato" w:eastAsiaTheme="minorHAnsi" w:hAnsi="Lato" w:cs="Arial"/>
          <w:bCs/>
          <w:i/>
          <w:spacing w:val="4"/>
          <w:sz w:val="22"/>
          <w:szCs w:val="22"/>
          <w:lang w:eastAsia="en-US"/>
        </w:rPr>
        <w:t>specustawa naftowa</w:t>
      </w:r>
      <w:r w:rsidRPr="0026700A">
        <w:rPr>
          <w:rFonts w:ascii="Lato" w:eastAsiaTheme="minorHAnsi" w:hAnsi="Lato" w:cs="Arial"/>
          <w:bCs/>
          <w:iCs/>
          <w:spacing w:val="4"/>
          <w:sz w:val="22"/>
          <w:szCs w:val="22"/>
          <w:lang w:eastAsia="en-US"/>
        </w:rPr>
        <w:t xml:space="preserve"> (por. wyroki Wojewódzkiego Sądu Administracyjnego w Warszawie z dnia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10 października 2018 r., sygn. akt IV SA/Wa 2480/17, z dnia 9 lutego 2018 r., sygn. akt IV SA/Wa 2780/17 i z dnia 7 września 2017 r., sygn. akt IV SA/Wa 1749/17, wyroki Wojewódzkiego Sądu Administracyjnego w Warszawie z dnia 19 listopada 2019 r., sygn. akt IV SA/Wa 1496/19, z dnia 31 sierpnia 2018 r., sygn. akt IV SA/Wa 3345/17, z dnia 19 września 2018 r., sygn. akt IV SA/Wa 510/18, opubl. Centralna Baza Orzeczeń Sądów Administracyjnych). </w:t>
      </w:r>
    </w:p>
    <w:p w14:paraId="4E67150D" w14:textId="4AE3F19C"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lastRenderedPageBreak/>
        <w:t xml:space="preserve">Również orzecznictwo sądowoadministracyjne – zapadłe wprawdzie w odniesieniu </w:t>
      </w:r>
      <w:r w:rsidR="0004209B">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do regulacji ustawy z dnia 10 kwietnia 2003 r. o szczególnych zasadach przygotowania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i realizacji inwestycji w zakresie dróg publicznych (</w:t>
      </w:r>
      <w:r w:rsidR="00CB7CC8">
        <w:rPr>
          <w:rFonts w:ascii="Lato" w:eastAsiaTheme="minorHAnsi" w:hAnsi="Lato" w:cs="Arial"/>
          <w:bCs/>
          <w:iCs/>
          <w:spacing w:val="4"/>
          <w:sz w:val="22"/>
          <w:szCs w:val="22"/>
          <w:lang w:eastAsia="en-US"/>
        </w:rPr>
        <w:t xml:space="preserve">t.j. </w:t>
      </w:r>
      <w:r w:rsidRPr="0026700A">
        <w:rPr>
          <w:rFonts w:ascii="Lato" w:eastAsiaTheme="minorHAnsi" w:hAnsi="Lato" w:cs="Arial"/>
          <w:bCs/>
          <w:iCs/>
          <w:spacing w:val="4"/>
          <w:sz w:val="22"/>
          <w:szCs w:val="22"/>
          <w:lang w:eastAsia="en-US"/>
        </w:rPr>
        <w:t>Dz. U. z 202</w:t>
      </w:r>
      <w:r w:rsidR="00CB7CC8">
        <w:rPr>
          <w:rFonts w:ascii="Lato" w:eastAsiaTheme="minorHAnsi" w:hAnsi="Lato" w:cs="Arial"/>
          <w:bCs/>
          <w:iCs/>
          <w:spacing w:val="4"/>
          <w:sz w:val="22"/>
          <w:szCs w:val="22"/>
          <w:lang w:eastAsia="en-US"/>
        </w:rPr>
        <w:t>4</w:t>
      </w:r>
      <w:r w:rsidRPr="0026700A">
        <w:rPr>
          <w:rFonts w:ascii="Lato" w:eastAsiaTheme="minorHAnsi" w:hAnsi="Lato" w:cs="Arial"/>
          <w:bCs/>
          <w:iCs/>
          <w:spacing w:val="4"/>
          <w:sz w:val="22"/>
          <w:szCs w:val="22"/>
          <w:lang w:eastAsia="en-US"/>
        </w:rPr>
        <w:t xml:space="preserve"> r. poz. </w:t>
      </w:r>
      <w:r w:rsidR="00CB7CC8">
        <w:rPr>
          <w:rFonts w:ascii="Lato" w:eastAsiaTheme="minorHAnsi" w:hAnsi="Lato" w:cs="Arial"/>
          <w:bCs/>
          <w:iCs/>
          <w:spacing w:val="4"/>
          <w:sz w:val="22"/>
          <w:szCs w:val="22"/>
          <w:lang w:eastAsia="en-US"/>
        </w:rPr>
        <w:t>311</w:t>
      </w:r>
      <w:r w:rsidRPr="0026700A">
        <w:rPr>
          <w:rFonts w:ascii="Lato" w:eastAsiaTheme="minorHAnsi" w:hAnsi="Lato" w:cs="Arial"/>
          <w:bCs/>
          <w:iCs/>
          <w:spacing w:val="4"/>
          <w:sz w:val="22"/>
          <w:szCs w:val="22"/>
          <w:lang w:eastAsia="en-US"/>
        </w:rPr>
        <w:t xml:space="preserve">), zwanej dalej </w:t>
      </w:r>
      <w:r w:rsidRPr="0026700A">
        <w:rPr>
          <w:rFonts w:ascii="Lato" w:eastAsiaTheme="minorHAnsi" w:hAnsi="Lato" w:cs="Arial"/>
          <w:bCs/>
          <w:i/>
          <w:spacing w:val="4"/>
          <w:sz w:val="22"/>
          <w:szCs w:val="22"/>
          <w:lang w:eastAsia="en-US"/>
        </w:rPr>
        <w:t xml:space="preserve">„specustawą drogową”, </w:t>
      </w:r>
      <w:r w:rsidRPr="0026700A">
        <w:rPr>
          <w:rFonts w:ascii="Lato" w:eastAsiaTheme="minorHAnsi" w:hAnsi="Lato" w:cs="Arial"/>
          <w:bCs/>
          <w:iCs/>
          <w:spacing w:val="4"/>
          <w:sz w:val="22"/>
          <w:szCs w:val="22"/>
          <w:lang w:eastAsia="en-US"/>
        </w:rPr>
        <w:t xml:space="preserve">ale aktualne w pełni w świetle rozwiązań przyjętych </w:t>
      </w:r>
      <w:r w:rsidR="00CB7CC8">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w:t>
      </w:r>
      <w:r w:rsidRPr="0026700A">
        <w:rPr>
          <w:rFonts w:ascii="Lato" w:eastAsiaTheme="minorHAnsi" w:hAnsi="Lato" w:cs="Arial"/>
          <w:bCs/>
          <w:i/>
          <w:spacing w:val="4"/>
          <w:sz w:val="22"/>
          <w:szCs w:val="22"/>
          <w:lang w:eastAsia="en-US"/>
        </w:rPr>
        <w:t>specustawie naftowej</w:t>
      </w:r>
      <w:r w:rsidRPr="0026700A">
        <w:rPr>
          <w:rFonts w:ascii="Lato" w:eastAsiaTheme="minorHAnsi" w:hAnsi="Lato" w:cs="Arial"/>
          <w:bCs/>
          <w:iCs/>
          <w:spacing w:val="4"/>
          <w:sz w:val="22"/>
          <w:szCs w:val="22"/>
          <w:lang w:eastAsia="en-US"/>
        </w:rPr>
        <w:t xml:space="preserve"> – nie pozostawia co do ww. zagadnienia jakichkolwiek wątpliwości (zob. wyroki Naczelnego Sądu Administracyjnego: z 13 września 2017 r., sygn. akt II OSK 1705/17, z 8 czerwca 2017 r., sygn. akt II OSK 2572/15, z 19 lipca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2016 r., sygn. akt II OSK 1373/16, z 25 maja 2016 r., sygn. akt II OSK 524/16, z 1 marca 2016 r., sygn. akt II OSK 2334/15, z 1 kwietnia 2015 r., sygn. akt II OSK 106/15, </w:t>
      </w:r>
      <w:r w:rsidR="00CB7CC8">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Centralna Baza Orzeczeń Sądów Administracyjnych). </w:t>
      </w:r>
    </w:p>
    <w:p w14:paraId="785486CC" w14:textId="6B371BFD"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 xml:space="preserve">Wynika z powyższego, że decyzja o ustaleniu lokalizacji strategicznej inwestycji </w:t>
      </w:r>
      <w:r w:rsidR="001C2B37">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sektorze naftowym, nie ma charakteru uznaniowego i w razie spełnienia przez </w:t>
      </w:r>
      <w:r w:rsidRPr="00C14BD9">
        <w:rPr>
          <w:rFonts w:ascii="Lato" w:eastAsiaTheme="minorHAnsi" w:hAnsi="Lato" w:cs="Arial"/>
          <w:bCs/>
          <w:i/>
          <w:spacing w:val="4"/>
          <w:sz w:val="22"/>
          <w:szCs w:val="22"/>
          <w:lang w:eastAsia="en-US"/>
        </w:rPr>
        <w:t>inwestora</w:t>
      </w:r>
      <w:r w:rsidRPr="0026700A">
        <w:rPr>
          <w:rFonts w:ascii="Lato" w:eastAsiaTheme="minorHAnsi" w:hAnsi="Lato" w:cs="Arial"/>
          <w:bCs/>
          <w:iCs/>
          <w:spacing w:val="4"/>
          <w:sz w:val="22"/>
          <w:szCs w:val="22"/>
          <w:lang w:eastAsia="en-US"/>
        </w:rPr>
        <w:t xml:space="preserve"> wymagań określonych w przepisach </w:t>
      </w:r>
      <w:r w:rsidRPr="0026700A">
        <w:rPr>
          <w:rFonts w:ascii="Lato" w:eastAsiaTheme="minorHAnsi" w:hAnsi="Lato" w:cs="Arial"/>
          <w:bCs/>
          <w:i/>
          <w:spacing w:val="4"/>
          <w:sz w:val="22"/>
          <w:szCs w:val="22"/>
          <w:lang w:eastAsia="en-US"/>
        </w:rPr>
        <w:t>specustawy naftowej</w:t>
      </w:r>
      <w:r w:rsidRPr="0026700A">
        <w:rPr>
          <w:rFonts w:ascii="Lato" w:eastAsiaTheme="minorHAnsi" w:hAnsi="Lato" w:cs="Arial"/>
          <w:bCs/>
          <w:iCs/>
          <w:spacing w:val="4"/>
          <w:sz w:val="22"/>
          <w:szCs w:val="22"/>
          <w:lang w:eastAsia="en-US"/>
        </w:rPr>
        <w:t xml:space="preserve"> organ jest zobligowany ustalić lokalizację inwestycji w wersji zgodnej z wnioskiem </w:t>
      </w:r>
      <w:r w:rsidRPr="0026700A">
        <w:rPr>
          <w:rFonts w:ascii="Lato" w:eastAsiaTheme="minorHAnsi" w:hAnsi="Lato" w:cs="Arial"/>
          <w:bCs/>
          <w:i/>
          <w:spacing w:val="4"/>
          <w:sz w:val="22"/>
          <w:szCs w:val="22"/>
          <w:lang w:eastAsia="en-US"/>
        </w:rPr>
        <w:t>inwestora</w:t>
      </w:r>
      <w:r w:rsidRPr="0026700A">
        <w:rPr>
          <w:rFonts w:ascii="Lato" w:eastAsiaTheme="minorHAnsi" w:hAnsi="Lato" w:cs="Arial"/>
          <w:bCs/>
          <w:iCs/>
          <w:spacing w:val="4"/>
          <w:sz w:val="22"/>
          <w:szCs w:val="22"/>
          <w:lang w:eastAsia="en-US"/>
        </w:rPr>
        <w:t xml:space="preserve">. </w:t>
      </w:r>
    </w:p>
    <w:p w14:paraId="03621845" w14:textId="4971190B"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 xml:space="preserve">W tym miejscu zasadnym jest także przywołanie stanowiska Trybunału Konstytucyjnego, który w uzasadnieniu wyroku z dnia 16 października 2012 r., K 4/10 – dotyczącym </w:t>
      </w:r>
      <w:r w:rsidRPr="0026700A">
        <w:rPr>
          <w:rFonts w:ascii="Lato" w:eastAsiaTheme="minorHAnsi" w:hAnsi="Lato" w:cs="Arial"/>
          <w:bCs/>
          <w:i/>
          <w:spacing w:val="4"/>
          <w:sz w:val="22"/>
          <w:szCs w:val="22"/>
          <w:lang w:eastAsia="en-US"/>
        </w:rPr>
        <w:t>specustawy drogowej</w:t>
      </w:r>
      <w:r w:rsidRPr="0026700A">
        <w:rPr>
          <w:rFonts w:ascii="Lato" w:eastAsiaTheme="minorHAnsi" w:hAnsi="Lato" w:cs="Arial"/>
          <w:bCs/>
          <w:iCs/>
          <w:spacing w:val="4"/>
          <w:sz w:val="22"/>
          <w:szCs w:val="22"/>
          <w:lang w:eastAsia="en-US"/>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interesie państwa, jednostki samorządu terytorialnego czy zarządcy drogi, lecz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Pr>
          <w:rFonts w:ascii="Lato" w:eastAsiaTheme="minorHAnsi" w:hAnsi="Lato" w:cs="Arial"/>
          <w:bCs/>
          <w:iCs/>
          <w:spacing w:val="4"/>
          <w:sz w:val="22"/>
          <w:szCs w:val="22"/>
          <w:lang w:eastAsia="en-US"/>
        </w:rPr>
        <w:br/>
      </w:r>
      <w:r w:rsidRPr="0026700A">
        <w:rPr>
          <w:rFonts w:ascii="Lato" w:eastAsiaTheme="minorHAnsi" w:hAnsi="Lato" w:cs="Arial"/>
          <w:bCs/>
          <w:iCs/>
          <w:spacing w:val="4"/>
          <w:sz w:val="22"/>
          <w:szCs w:val="22"/>
          <w:lang w:eastAsia="en-US"/>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p>
    <w:p w14:paraId="6549CAB5" w14:textId="77777777" w:rsidR="0026700A" w:rsidRPr="0026700A" w:rsidRDefault="0026700A" w:rsidP="0026700A">
      <w:pPr>
        <w:tabs>
          <w:tab w:val="left" w:pos="2977"/>
        </w:tabs>
        <w:spacing w:after="240" w:line="240" w:lineRule="exact"/>
        <w:jc w:val="both"/>
        <w:outlineLvl w:val="0"/>
        <w:rPr>
          <w:rFonts w:ascii="Lato" w:eastAsiaTheme="minorHAnsi" w:hAnsi="Lato" w:cs="Arial"/>
          <w:bCs/>
          <w:iCs/>
          <w:spacing w:val="4"/>
          <w:sz w:val="22"/>
          <w:szCs w:val="22"/>
          <w:lang w:eastAsia="en-US"/>
        </w:rPr>
      </w:pPr>
      <w:r w:rsidRPr="0026700A">
        <w:rPr>
          <w:rFonts w:ascii="Lato" w:eastAsiaTheme="minorHAnsi" w:hAnsi="Lato" w:cs="Arial"/>
          <w:bCs/>
          <w:iCs/>
          <w:spacing w:val="4"/>
          <w:sz w:val="22"/>
          <w:szCs w:val="22"/>
          <w:lang w:eastAsia="en-US"/>
        </w:rPr>
        <w:t>W ocenie organu odwoławczego przedstawiony powyżej pogląd Trybunału Konstytucyjnego znajduje zastosowanie również w zakresie zasad ustalania lokalizacji strategicznej inwestycji w sektorze naftowym.</w:t>
      </w:r>
    </w:p>
    <w:p w14:paraId="7AAFE38F" w14:textId="13EE1E2F" w:rsidR="0026700A" w:rsidRPr="00C14BD9" w:rsidRDefault="00C14BD9" w:rsidP="0026700A">
      <w:pPr>
        <w:tabs>
          <w:tab w:val="left" w:pos="2977"/>
        </w:tabs>
        <w:spacing w:after="240" w:line="240" w:lineRule="exact"/>
        <w:jc w:val="both"/>
        <w:outlineLvl w:val="0"/>
        <w:rPr>
          <w:rFonts w:ascii="Lato" w:hAnsi="Lato" w:cs="Arial"/>
          <w:spacing w:val="4"/>
        </w:rPr>
      </w:pPr>
      <w:r>
        <w:rPr>
          <w:rFonts w:ascii="Lato" w:eastAsia="Calibri" w:hAnsi="Lato" w:cs="Arial"/>
          <w:bCs/>
          <w:iCs/>
          <w:spacing w:val="4"/>
          <w:sz w:val="22"/>
          <w:szCs w:val="22"/>
          <w:lang w:eastAsia="en-US"/>
        </w:rPr>
        <w:t xml:space="preserve">Wobec powyższego, organ odwoławczy wezwał </w:t>
      </w:r>
      <w:r>
        <w:rPr>
          <w:rFonts w:ascii="Lato" w:eastAsia="Calibri" w:hAnsi="Lato" w:cs="Arial"/>
          <w:bCs/>
          <w:i/>
          <w:spacing w:val="4"/>
          <w:sz w:val="22"/>
          <w:szCs w:val="22"/>
          <w:lang w:eastAsia="en-US"/>
        </w:rPr>
        <w:t>inwestora</w:t>
      </w:r>
      <w:r>
        <w:rPr>
          <w:rFonts w:ascii="Lato" w:eastAsia="Calibri" w:hAnsi="Lato" w:cs="Arial"/>
          <w:bCs/>
          <w:iCs/>
          <w:spacing w:val="4"/>
          <w:sz w:val="22"/>
          <w:szCs w:val="22"/>
          <w:lang w:eastAsia="en-US"/>
        </w:rPr>
        <w:t xml:space="preserve"> do wypowiedzenia </w:t>
      </w:r>
      <w:r>
        <w:rPr>
          <w:rFonts w:ascii="Lato" w:eastAsia="Calibri" w:hAnsi="Lato" w:cs="Arial"/>
          <w:bCs/>
          <w:iCs/>
          <w:spacing w:val="4"/>
          <w:sz w:val="22"/>
          <w:szCs w:val="22"/>
          <w:lang w:eastAsia="en-US"/>
        </w:rPr>
        <w:br/>
        <w:t xml:space="preserve">się w sprawie zarzutów podniesionych przez skarżących w przedmiocie lokalizacji </w:t>
      </w:r>
      <w:r>
        <w:rPr>
          <w:rFonts w:ascii="Lato" w:eastAsia="Calibri" w:hAnsi="Lato" w:cs="Arial"/>
          <w:bCs/>
          <w:iCs/>
          <w:spacing w:val="4"/>
          <w:sz w:val="22"/>
          <w:szCs w:val="22"/>
          <w:lang w:eastAsia="en-US"/>
        </w:rPr>
        <w:br/>
        <w:t xml:space="preserve">ww. inwestycji. </w:t>
      </w:r>
      <w:r>
        <w:rPr>
          <w:rFonts w:ascii="Lato" w:hAnsi="Lato" w:cs="Arial"/>
          <w:i/>
          <w:iCs/>
          <w:spacing w:val="4"/>
          <w:sz w:val="22"/>
          <w:szCs w:val="22"/>
        </w:rPr>
        <w:t>Inwestor</w:t>
      </w:r>
      <w:r>
        <w:rPr>
          <w:rFonts w:ascii="Lato" w:hAnsi="Lato" w:cs="Arial"/>
          <w:spacing w:val="4"/>
          <w:sz w:val="22"/>
          <w:szCs w:val="22"/>
        </w:rPr>
        <w:t xml:space="preserve">, stosownie do wezwania organu odwoławczego, odniósł </w:t>
      </w:r>
      <w:r>
        <w:rPr>
          <w:rFonts w:ascii="Lato" w:hAnsi="Lato" w:cs="Arial"/>
          <w:spacing w:val="4"/>
          <w:sz w:val="22"/>
          <w:szCs w:val="22"/>
        </w:rPr>
        <w:br/>
        <w:t xml:space="preserve">się do zarzutów wskazanych w odwołaniu i </w:t>
      </w:r>
      <w:r w:rsidR="0026700A" w:rsidRPr="006B6B99">
        <w:rPr>
          <w:rFonts w:ascii="Lato" w:eastAsiaTheme="minorHAnsi" w:hAnsi="Lato" w:cs="Arial"/>
          <w:bCs/>
          <w:iCs/>
          <w:spacing w:val="4"/>
          <w:sz w:val="22"/>
          <w:szCs w:val="22"/>
          <w:lang w:eastAsia="en-US"/>
        </w:rPr>
        <w:t>uzna</w:t>
      </w:r>
      <w:r>
        <w:rPr>
          <w:rFonts w:ascii="Lato" w:eastAsiaTheme="minorHAnsi" w:hAnsi="Lato" w:cs="Arial"/>
          <w:bCs/>
          <w:iCs/>
          <w:spacing w:val="4"/>
          <w:sz w:val="22"/>
          <w:szCs w:val="22"/>
          <w:lang w:eastAsia="en-US"/>
        </w:rPr>
        <w:t>ł</w:t>
      </w:r>
      <w:r w:rsidR="0026700A" w:rsidRPr="006B6B99">
        <w:rPr>
          <w:rFonts w:ascii="Lato" w:eastAsiaTheme="minorHAnsi" w:hAnsi="Lato" w:cs="Arial"/>
          <w:bCs/>
          <w:iCs/>
          <w:spacing w:val="4"/>
          <w:sz w:val="22"/>
          <w:szCs w:val="22"/>
          <w:lang w:eastAsia="en-US"/>
        </w:rPr>
        <w:t xml:space="preserve"> je za niezasadne.</w:t>
      </w:r>
    </w:p>
    <w:p w14:paraId="68D39422" w14:textId="4FC63935" w:rsidR="00BB67EC" w:rsidRPr="00D070E0" w:rsidRDefault="006B6B99" w:rsidP="00BB67EC">
      <w:pPr>
        <w:tabs>
          <w:tab w:val="left" w:pos="2977"/>
        </w:tabs>
        <w:spacing w:after="240" w:line="240" w:lineRule="exact"/>
        <w:jc w:val="both"/>
        <w:outlineLvl w:val="0"/>
        <w:rPr>
          <w:rFonts w:ascii="Lato" w:eastAsiaTheme="minorHAnsi" w:hAnsi="Lato" w:cs="Arial"/>
          <w:bCs/>
          <w:i/>
          <w:iCs/>
          <w:spacing w:val="4"/>
          <w:sz w:val="22"/>
          <w:szCs w:val="22"/>
          <w:lang w:eastAsia="en-US"/>
        </w:rPr>
      </w:pPr>
      <w:r w:rsidRPr="006B6B99">
        <w:rPr>
          <w:rFonts w:ascii="Lato" w:eastAsiaTheme="minorHAnsi" w:hAnsi="Lato" w:cs="Arial"/>
          <w:bCs/>
          <w:iCs/>
          <w:spacing w:val="4"/>
          <w:sz w:val="22"/>
          <w:szCs w:val="22"/>
          <w:lang w:eastAsia="en-US"/>
        </w:rPr>
        <w:lastRenderedPageBreak/>
        <w:t xml:space="preserve">Powyższe stanowisko </w:t>
      </w:r>
      <w:r w:rsidRPr="006B6B99">
        <w:rPr>
          <w:rFonts w:ascii="Lato" w:eastAsiaTheme="minorHAnsi" w:hAnsi="Lato" w:cs="Arial"/>
          <w:bCs/>
          <w:i/>
          <w:spacing w:val="4"/>
          <w:sz w:val="22"/>
          <w:szCs w:val="22"/>
          <w:lang w:eastAsia="en-US"/>
        </w:rPr>
        <w:t>inwestora</w:t>
      </w:r>
      <w:r w:rsidRPr="006B6B99">
        <w:rPr>
          <w:rFonts w:ascii="Lato" w:eastAsiaTheme="minorHAnsi" w:hAnsi="Lato" w:cs="Arial"/>
          <w:bCs/>
          <w:iCs/>
          <w:spacing w:val="4"/>
          <w:sz w:val="22"/>
          <w:szCs w:val="22"/>
          <w:lang w:eastAsia="en-US"/>
        </w:rPr>
        <w:t xml:space="preserve"> organ odwoławczy, </w:t>
      </w:r>
      <w:r w:rsidR="00D070E0" w:rsidRPr="00D070E0">
        <w:rPr>
          <w:rFonts w:ascii="Lato" w:eastAsiaTheme="minorHAnsi" w:hAnsi="Lato" w:cs="Arial"/>
          <w:bCs/>
          <w:iCs/>
          <w:spacing w:val="4"/>
          <w:sz w:val="22"/>
          <w:szCs w:val="22"/>
          <w:lang w:eastAsia="en-US"/>
        </w:rPr>
        <w:t xml:space="preserve">działając w oparciu o art. 9 </w:t>
      </w:r>
      <w:r w:rsidR="00D070E0" w:rsidRPr="00D070E0">
        <w:rPr>
          <w:rFonts w:ascii="Lato" w:eastAsiaTheme="minorHAnsi" w:hAnsi="Lato" w:cs="Arial"/>
          <w:bCs/>
          <w:i/>
          <w:iCs/>
          <w:spacing w:val="4"/>
          <w:sz w:val="22"/>
          <w:szCs w:val="22"/>
          <w:lang w:eastAsia="en-US"/>
        </w:rPr>
        <w:t>kpa</w:t>
      </w:r>
      <w:r w:rsidR="00D070E0" w:rsidRPr="00D070E0">
        <w:rPr>
          <w:rFonts w:ascii="Lato" w:eastAsiaTheme="minorHAnsi" w:hAnsi="Lato" w:cs="Arial"/>
          <w:bCs/>
          <w:iCs/>
          <w:spacing w:val="4"/>
          <w:sz w:val="22"/>
          <w:szCs w:val="22"/>
          <w:lang w:eastAsia="en-US"/>
        </w:rPr>
        <w:t>, przesłał</w:t>
      </w:r>
      <w:r w:rsidR="00D070E0">
        <w:rPr>
          <w:rFonts w:ascii="Lato" w:eastAsiaTheme="minorHAnsi" w:hAnsi="Lato" w:cs="Arial"/>
          <w:bCs/>
          <w:iCs/>
          <w:spacing w:val="4"/>
          <w:sz w:val="22"/>
          <w:szCs w:val="22"/>
          <w:lang w:eastAsia="en-US"/>
        </w:rPr>
        <w:t xml:space="preserve"> skarżącym </w:t>
      </w:r>
      <w:r w:rsidR="00D070E0" w:rsidRPr="00D070E0">
        <w:rPr>
          <w:rFonts w:ascii="Lato" w:eastAsiaTheme="minorHAnsi" w:hAnsi="Lato" w:cs="Arial"/>
          <w:bCs/>
          <w:iCs/>
          <w:spacing w:val="4"/>
          <w:sz w:val="22"/>
          <w:szCs w:val="22"/>
          <w:lang w:eastAsia="en-US"/>
        </w:rPr>
        <w:t xml:space="preserve">zawiadamiając jednocześnie, stosownie do art. 10 </w:t>
      </w:r>
      <w:r w:rsidR="00D070E0" w:rsidRPr="00D070E0">
        <w:rPr>
          <w:rFonts w:ascii="Lato" w:eastAsiaTheme="minorHAnsi" w:hAnsi="Lato" w:cs="Arial"/>
          <w:bCs/>
          <w:i/>
          <w:iCs/>
          <w:spacing w:val="4"/>
          <w:sz w:val="22"/>
          <w:szCs w:val="22"/>
          <w:lang w:eastAsia="en-US"/>
        </w:rPr>
        <w:t>kpa</w:t>
      </w:r>
      <w:r w:rsidR="00D070E0" w:rsidRPr="00D070E0">
        <w:rPr>
          <w:rFonts w:ascii="Lato" w:eastAsiaTheme="minorHAnsi" w:hAnsi="Lato" w:cs="Arial"/>
          <w:bCs/>
          <w:iCs/>
          <w:spacing w:val="4"/>
          <w:sz w:val="22"/>
          <w:szCs w:val="22"/>
          <w:lang w:eastAsia="en-US"/>
        </w:rPr>
        <w:t xml:space="preserve">, o prawie </w:t>
      </w:r>
      <w:r w:rsidR="00D070E0" w:rsidRPr="00D070E0">
        <w:rPr>
          <w:rFonts w:ascii="Lato" w:eastAsiaTheme="minorHAnsi" w:hAnsi="Lato" w:cs="Arial"/>
          <w:bCs/>
          <w:iCs/>
          <w:spacing w:val="4"/>
          <w:sz w:val="22"/>
          <w:szCs w:val="22"/>
          <w:lang w:eastAsia="en-US"/>
        </w:rPr>
        <w:br/>
        <w:t xml:space="preserve">do wypowiedzenia się, co do zebranych dowodów i materiałów. </w:t>
      </w:r>
      <w:r w:rsidR="00BB67EC">
        <w:rPr>
          <w:rFonts w:ascii="Lato" w:eastAsiaTheme="minorHAnsi" w:hAnsi="Lato" w:cs="Arial"/>
          <w:bCs/>
          <w:iCs/>
          <w:spacing w:val="4"/>
          <w:sz w:val="22"/>
          <w:szCs w:val="22"/>
          <w:lang w:eastAsia="en-US"/>
        </w:rPr>
        <w:t xml:space="preserve">Strony skarżące nie </w:t>
      </w:r>
      <w:r w:rsidR="00D3617C">
        <w:rPr>
          <w:rFonts w:ascii="Lato" w:eastAsiaTheme="minorHAnsi" w:hAnsi="Lato" w:cs="Arial"/>
          <w:bCs/>
          <w:iCs/>
          <w:spacing w:val="4"/>
          <w:sz w:val="22"/>
          <w:szCs w:val="22"/>
          <w:lang w:eastAsia="en-US"/>
        </w:rPr>
        <w:t>odniosły</w:t>
      </w:r>
      <w:r w:rsidR="00BB67EC" w:rsidRPr="00BB67EC">
        <w:rPr>
          <w:rFonts w:ascii="Lato" w:eastAsiaTheme="minorHAnsi" w:hAnsi="Lato" w:cs="Arial"/>
          <w:bCs/>
          <w:iCs/>
          <w:spacing w:val="4"/>
          <w:sz w:val="22"/>
          <w:szCs w:val="22"/>
          <w:lang w:eastAsia="en-US"/>
        </w:rPr>
        <w:t xml:space="preserve"> się do przesłanego im stanowiska </w:t>
      </w:r>
      <w:r w:rsidR="00BB67EC" w:rsidRPr="00BB67EC">
        <w:rPr>
          <w:rFonts w:ascii="Lato" w:eastAsiaTheme="minorHAnsi" w:hAnsi="Lato" w:cs="Arial"/>
          <w:bCs/>
          <w:i/>
          <w:iCs/>
          <w:spacing w:val="4"/>
          <w:sz w:val="22"/>
          <w:szCs w:val="22"/>
          <w:lang w:eastAsia="en-US"/>
        </w:rPr>
        <w:t>inwestora</w:t>
      </w:r>
      <w:r w:rsidR="00BB67EC" w:rsidRPr="00BB67EC">
        <w:rPr>
          <w:rFonts w:ascii="Lato" w:eastAsiaTheme="minorHAnsi" w:hAnsi="Lato" w:cs="Arial"/>
          <w:bCs/>
          <w:iCs/>
          <w:spacing w:val="4"/>
          <w:sz w:val="22"/>
          <w:szCs w:val="22"/>
          <w:lang w:eastAsia="en-US"/>
        </w:rPr>
        <w:t xml:space="preserve">. </w:t>
      </w:r>
      <w:r w:rsidR="006068BD">
        <w:rPr>
          <w:rFonts w:ascii="Lato" w:eastAsiaTheme="minorHAnsi" w:hAnsi="Lato" w:cs="Arial"/>
          <w:bCs/>
          <w:iCs/>
          <w:spacing w:val="4"/>
          <w:sz w:val="22"/>
          <w:szCs w:val="22"/>
          <w:lang w:eastAsia="en-US"/>
        </w:rPr>
        <w:t xml:space="preserve">Jednocześnie </w:t>
      </w:r>
      <w:r w:rsidR="006068BD" w:rsidRPr="006068BD">
        <w:rPr>
          <w:rFonts w:ascii="Lato" w:eastAsiaTheme="minorHAnsi" w:hAnsi="Lato" w:cs="Arial"/>
          <w:bCs/>
          <w:iCs/>
          <w:spacing w:val="4"/>
          <w:sz w:val="22"/>
          <w:szCs w:val="22"/>
          <w:lang w:eastAsia="en-US"/>
        </w:rPr>
        <w:t xml:space="preserve">do dnia wydania niniejszej decyzji </w:t>
      </w:r>
      <w:r w:rsidR="006068BD">
        <w:rPr>
          <w:rFonts w:ascii="Lato" w:eastAsiaTheme="minorHAnsi" w:hAnsi="Lato" w:cs="Arial"/>
          <w:bCs/>
          <w:iCs/>
          <w:spacing w:val="4"/>
          <w:sz w:val="22"/>
          <w:szCs w:val="22"/>
          <w:lang w:eastAsia="en-US"/>
        </w:rPr>
        <w:t xml:space="preserve">skarżący </w:t>
      </w:r>
      <w:r w:rsidR="006068BD" w:rsidRPr="006068BD">
        <w:rPr>
          <w:rFonts w:ascii="Lato" w:eastAsiaTheme="minorHAnsi" w:hAnsi="Lato" w:cs="Arial"/>
          <w:bCs/>
          <w:iCs/>
          <w:spacing w:val="4"/>
          <w:sz w:val="22"/>
          <w:szCs w:val="22"/>
          <w:lang w:eastAsia="en-US"/>
        </w:rPr>
        <w:t>nie złoży</w:t>
      </w:r>
      <w:r w:rsidR="006068BD">
        <w:rPr>
          <w:rFonts w:ascii="Lato" w:eastAsiaTheme="minorHAnsi" w:hAnsi="Lato" w:cs="Arial"/>
          <w:bCs/>
          <w:iCs/>
          <w:spacing w:val="4"/>
          <w:sz w:val="22"/>
          <w:szCs w:val="22"/>
          <w:lang w:eastAsia="en-US"/>
        </w:rPr>
        <w:t>li</w:t>
      </w:r>
      <w:r w:rsidR="006068BD" w:rsidRPr="006068BD">
        <w:rPr>
          <w:rFonts w:ascii="Lato" w:eastAsiaTheme="minorHAnsi" w:hAnsi="Lato" w:cs="Arial"/>
          <w:bCs/>
          <w:iCs/>
          <w:spacing w:val="4"/>
          <w:sz w:val="22"/>
          <w:szCs w:val="22"/>
          <w:lang w:eastAsia="en-US"/>
        </w:rPr>
        <w:t xml:space="preserve"> dodatkowych wyjaśnień ani nowych zarzutów.</w:t>
      </w:r>
    </w:p>
    <w:p w14:paraId="4F0D8EEF" w14:textId="7886D352" w:rsidR="0065078B"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Po przeanalizowaniu zebranego w sprawie materiału dowodowego, w tym stanowisk</w:t>
      </w:r>
      <w:r w:rsidR="004C5CB7" w:rsidRPr="00F24C6D">
        <w:rPr>
          <w:rFonts w:ascii="Lato" w:eastAsiaTheme="minorHAnsi" w:hAnsi="Lato" w:cs="Arial"/>
          <w:bCs/>
          <w:iCs/>
          <w:spacing w:val="4"/>
          <w:sz w:val="22"/>
          <w:szCs w:val="22"/>
          <w:lang w:eastAsia="en-US"/>
        </w:rPr>
        <w:t>a</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jak również zarzutów stron składających odwołanie od </w:t>
      </w:r>
      <w:r w:rsidRPr="00F24C6D">
        <w:rPr>
          <w:rFonts w:ascii="Lato" w:eastAsiaTheme="minorHAnsi" w:hAnsi="Lato" w:cs="Arial"/>
          <w:bCs/>
          <w:i/>
          <w:iCs/>
          <w:spacing w:val="4"/>
          <w:sz w:val="22"/>
          <w:szCs w:val="22"/>
          <w:lang w:eastAsia="en-US"/>
        </w:rPr>
        <w:t xml:space="preserve">decyzji Wojewody </w:t>
      </w:r>
      <w:r w:rsidR="008B2C0E">
        <w:rPr>
          <w:rFonts w:ascii="Lato" w:eastAsiaTheme="minorHAnsi" w:hAnsi="Lato" w:cs="Arial"/>
          <w:bCs/>
          <w:i/>
          <w:iCs/>
          <w:spacing w:val="4"/>
          <w:sz w:val="22"/>
          <w:szCs w:val="22"/>
          <w:lang w:eastAsia="en-US"/>
        </w:rPr>
        <w:t>Mazowieckiego</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
          <w:iCs/>
          <w:spacing w:val="4"/>
          <w:sz w:val="22"/>
          <w:szCs w:val="22"/>
          <w:lang w:eastAsia="en-US"/>
        </w:rPr>
        <w:t>Minister</w:t>
      </w:r>
      <w:r w:rsidRPr="00F24C6D">
        <w:rPr>
          <w:rFonts w:ascii="Lato" w:eastAsiaTheme="minorHAnsi" w:hAnsi="Lato" w:cs="Arial"/>
          <w:bCs/>
          <w:iCs/>
          <w:spacing w:val="4"/>
          <w:sz w:val="22"/>
          <w:szCs w:val="22"/>
          <w:lang w:eastAsia="en-US"/>
        </w:rPr>
        <w:t xml:space="preserve"> stwierdza, że objęcie zakresem przedmiotowej inwestycji dział</w:t>
      </w:r>
      <w:r w:rsidR="0065078B" w:rsidRPr="00F24C6D">
        <w:rPr>
          <w:rFonts w:ascii="Lato" w:eastAsiaTheme="minorHAnsi" w:hAnsi="Lato" w:cs="Arial"/>
          <w:bCs/>
          <w:iCs/>
          <w:spacing w:val="4"/>
          <w:sz w:val="22"/>
          <w:szCs w:val="22"/>
          <w:lang w:eastAsia="en-US"/>
        </w:rPr>
        <w:t>ek skarżących</w:t>
      </w:r>
      <w:r w:rsidRPr="00F24C6D">
        <w:rPr>
          <w:rFonts w:ascii="Lato" w:eastAsiaTheme="minorHAnsi" w:hAnsi="Lato" w:cs="Arial"/>
          <w:bCs/>
          <w:iCs/>
          <w:spacing w:val="4"/>
          <w:sz w:val="22"/>
          <w:szCs w:val="22"/>
          <w:lang w:eastAsia="en-US"/>
        </w:rPr>
        <w:t xml:space="preserve">, w sposób wskazany we wniosku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a następnie w </w:t>
      </w:r>
      <w:r w:rsidRPr="00F24C6D">
        <w:rPr>
          <w:rFonts w:ascii="Lato" w:eastAsiaTheme="minorHAnsi" w:hAnsi="Lato" w:cs="Arial"/>
          <w:bCs/>
          <w:i/>
          <w:iCs/>
          <w:spacing w:val="4"/>
          <w:sz w:val="22"/>
          <w:szCs w:val="22"/>
          <w:lang w:eastAsia="en-US"/>
        </w:rPr>
        <w:t xml:space="preserve">decyzji Wojewody </w:t>
      </w:r>
      <w:r w:rsidR="008B2C0E">
        <w:rPr>
          <w:rFonts w:ascii="Lato" w:eastAsiaTheme="minorHAnsi" w:hAnsi="Lato" w:cs="Arial"/>
          <w:bCs/>
          <w:i/>
          <w:iCs/>
          <w:spacing w:val="4"/>
          <w:sz w:val="22"/>
          <w:szCs w:val="22"/>
          <w:lang w:eastAsia="en-US"/>
        </w:rPr>
        <w:t>Mazowieckiego</w:t>
      </w:r>
      <w:r w:rsidRPr="00F24C6D">
        <w:rPr>
          <w:rFonts w:ascii="Lato" w:eastAsiaTheme="minorHAnsi" w:hAnsi="Lato" w:cs="Arial"/>
          <w:bCs/>
          <w:iCs/>
          <w:spacing w:val="4"/>
          <w:sz w:val="22"/>
          <w:szCs w:val="22"/>
          <w:lang w:eastAsia="en-US"/>
        </w:rPr>
        <w:t xml:space="preserve">, nie narusza prawa. </w:t>
      </w:r>
      <w:r w:rsidR="0065078B" w:rsidRPr="00F24C6D">
        <w:rPr>
          <w:rFonts w:ascii="Lato" w:eastAsiaTheme="minorHAnsi" w:hAnsi="Lato" w:cs="Arial"/>
          <w:bCs/>
          <w:iCs/>
          <w:spacing w:val="4"/>
          <w:sz w:val="22"/>
          <w:szCs w:val="22"/>
          <w:lang w:eastAsia="en-US"/>
        </w:rPr>
        <w:t xml:space="preserve">Stanowisko to znajduje potwierdzenie </w:t>
      </w:r>
      <w:r w:rsidR="00842198">
        <w:rPr>
          <w:rFonts w:ascii="Lato" w:eastAsiaTheme="minorHAnsi" w:hAnsi="Lato" w:cs="Arial"/>
          <w:bCs/>
          <w:iCs/>
          <w:spacing w:val="4"/>
          <w:sz w:val="22"/>
          <w:szCs w:val="22"/>
          <w:lang w:eastAsia="en-US"/>
        </w:rPr>
        <w:br/>
      </w:r>
      <w:r w:rsidR="0065078B" w:rsidRPr="00F24C6D">
        <w:rPr>
          <w:rFonts w:ascii="Lato" w:eastAsiaTheme="minorHAnsi" w:hAnsi="Lato" w:cs="Arial"/>
          <w:bCs/>
          <w:iCs/>
          <w:spacing w:val="4"/>
          <w:sz w:val="22"/>
          <w:szCs w:val="22"/>
          <w:lang w:eastAsia="en-US"/>
        </w:rPr>
        <w:t xml:space="preserve">w przedstawionej poniżej argumentacji. </w:t>
      </w:r>
    </w:p>
    <w:p w14:paraId="71843EAD" w14:textId="3C4A92E8" w:rsidR="009F1DC3" w:rsidRDefault="00CF102A" w:rsidP="008B2C0E">
      <w:pPr>
        <w:tabs>
          <w:tab w:val="left" w:pos="2977"/>
        </w:tabs>
        <w:spacing w:after="240" w:line="240" w:lineRule="exact"/>
        <w:jc w:val="both"/>
        <w:outlineLvl w:val="0"/>
        <w:rPr>
          <w:rFonts w:ascii="Lato" w:eastAsiaTheme="minorHAnsi" w:hAnsi="Lato"/>
          <w:spacing w:val="4"/>
          <w:sz w:val="22"/>
          <w:szCs w:val="22"/>
          <w:lang w:eastAsia="en-US"/>
        </w:rPr>
      </w:pPr>
      <w:bookmarkStart w:id="9" w:name="_Hlk190421866"/>
      <w:r>
        <w:rPr>
          <w:rFonts w:ascii="Lato" w:eastAsiaTheme="minorHAnsi" w:hAnsi="Lato"/>
          <w:spacing w:val="4"/>
          <w:sz w:val="22"/>
          <w:szCs w:val="22"/>
          <w:lang w:eastAsia="en-US"/>
        </w:rPr>
        <w:t xml:space="preserve">W tym miejscu warto zaznaczyć, że Pani </w:t>
      </w:r>
      <w:r w:rsidR="004A7ACC">
        <w:rPr>
          <w:rFonts w:ascii="Lato" w:eastAsiaTheme="minorHAnsi" w:hAnsi="Lato"/>
          <w:spacing w:val="4"/>
          <w:sz w:val="22"/>
          <w:szCs w:val="22"/>
          <w:lang w:eastAsia="en-US"/>
        </w:rPr>
        <w:t>A.</w:t>
      </w:r>
      <w:r>
        <w:rPr>
          <w:rFonts w:ascii="Lato" w:eastAsiaTheme="minorHAnsi" w:hAnsi="Lato"/>
          <w:spacing w:val="4"/>
          <w:sz w:val="22"/>
          <w:szCs w:val="22"/>
          <w:lang w:eastAsia="en-US"/>
        </w:rPr>
        <w:t xml:space="preserve"> </w:t>
      </w:r>
      <w:r w:rsidR="004A7ACC">
        <w:rPr>
          <w:rFonts w:ascii="Lato" w:eastAsiaTheme="minorHAnsi" w:hAnsi="Lato"/>
          <w:spacing w:val="4"/>
          <w:sz w:val="22"/>
          <w:szCs w:val="22"/>
          <w:lang w:eastAsia="en-US"/>
        </w:rPr>
        <w:t>S.</w:t>
      </w:r>
      <w:r>
        <w:rPr>
          <w:rFonts w:ascii="Lato" w:eastAsiaTheme="minorHAnsi" w:hAnsi="Lato"/>
          <w:spacing w:val="4"/>
          <w:sz w:val="22"/>
          <w:szCs w:val="22"/>
          <w:lang w:eastAsia="en-US"/>
        </w:rPr>
        <w:t xml:space="preserve"> i Pan </w:t>
      </w:r>
      <w:r w:rsidR="004A7ACC">
        <w:rPr>
          <w:rFonts w:ascii="Lato" w:eastAsiaTheme="minorHAnsi" w:hAnsi="Lato"/>
          <w:spacing w:val="4"/>
          <w:sz w:val="22"/>
          <w:szCs w:val="22"/>
          <w:lang w:eastAsia="en-US"/>
        </w:rPr>
        <w:t>L.</w:t>
      </w:r>
      <w:r>
        <w:rPr>
          <w:rFonts w:ascii="Lato" w:eastAsiaTheme="minorHAnsi" w:hAnsi="Lato"/>
          <w:spacing w:val="4"/>
          <w:sz w:val="22"/>
          <w:szCs w:val="22"/>
          <w:lang w:eastAsia="en-US"/>
        </w:rPr>
        <w:t xml:space="preserve"> </w:t>
      </w:r>
      <w:r w:rsidR="004A7ACC">
        <w:rPr>
          <w:rFonts w:ascii="Lato" w:eastAsiaTheme="minorHAnsi" w:hAnsi="Lato"/>
          <w:spacing w:val="4"/>
          <w:sz w:val="22"/>
          <w:szCs w:val="22"/>
          <w:lang w:eastAsia="en-US"/>
        </w:rPr>
        <w:t>B.</w:t>
      </w:r>
      <w:r>
        <w:rPr>
          <w:rFonts w:ascii="Lato" w:eastAsiaTheme="minorHAnsi" w:hAnsi="Lato"/>
          <w:spacing w:val="4"/>
          <w:sz w:val="22"/>
          <w:szCs w:val="22"/>
          <w:lang w:eastAsia="en-US"/>
        </w:rPr>
        <w:t xml:space="preserve"> złożyli odwołania o tożsam</w:t>
      </w:r>
      <w:r w:rsidR="00A236F7">
        <w:rPr>
          <w:rFonts w:ascii="Lato" w:eastAsiaTheme="minorHAnsi" w:hAnsi="Lato"/>
          <w:spacing w:val="4"/>
          <w:sz w:val="22"/>
          <w:szCs w:val="22"/>
          <w:lang w:eastAsia="en-US"/>
        </w:rPr>
        <w:t>ej</w:t>
      </w:r>
      <w:r>
        <w:rPr>
          <w:rFonts w:ascii="Lato" w:eastAsiaTheme="minorHAnsi" w:hAnsi="Lato"/>
          <w:spacing w:val="4"/>
          <w:sz w:val="22"/>
          <w:szCs w:val="22"/>
          <w:lang w:eastAsia="en-US"/>
        </w:rPr>
        <w:t xml:space="preserve"> treści</w:t>
      </w:r>
      <w:r w:rsidR="008539FA">
        <w:rPr>
          <w:rFonts w:ascii="Lato" w:eastAsiaTheme="minorHAnsi" w:hAnsi="Lato"/>
          <w:spacing w:val="4"/>
          <w:sz w:val="22"/>
          <w:szCs w:val="22"/>
          <w:lang w:eastAsia="en-US"/>
        </w:rPr>
        <w:t>,</w:t>
      </w:r>
      <w:r w:rsidR="00A60FF2">
        <w:rPr>
          <w:rFonts w:ascii="Lato" w:eastAsiaTheme="minorHAnsi" w:hAnsi="Lato"/>
          <w:spacing w:val="4"/>
          <w:sz w:val="22"/>
          <w:szCs w:val="22"/>
          <w:lang w:eastAsia="en-US"/>
        </w:rPr>
        <w:t xml:space="preserve"> </w:t>
      </w:r>
      <w:r w:rsidR="008539FA">
        <w:rPr>
          <w:rFonts w:ascii="Lato" w:eastAsiaTheme="minorHAnsi" w:hAnsi="Lato"/>
          <w:spacing w:val="4"/>
          <w:sz w:val="22"/>
          <w:szCs w:val="22"/>
          <w:lang w:eastAsia="en-US"/>
        </w:rPr>
        <w:t xml:space="preserve">stosownie </w:t>
      </w:r>
      <w:r w:rsidR="00A60FF2">
        <w:rPr>
          <w:rFonts w:ascii="Lato" w:eastAsiaTheme="minorHAnsi" w:hAnsi="Lato"/>
          <w:spacing w:val="4"/>
          <w:sz w:val="22"/>
          <w:szCs w:val="22"/>
          <w:lang w:eastAsia="en-US"/>
        </w:rPr>
        <w:t>do działek stanowiących ich własność</w:t>
      </w:r>
      <w:r>
        <w:rPr>
          <w:rFonts w:ascii="Lato" w:eastAsiaTheme="minorHAnsi" w:hAnsi="Lato"/>
          <w:spacing w:val="4"/>
          <w:sz w:val="22"/>
          <w:szCs w:val="22"/>
          <w:lang w:eastAsia="en-US"/>
        </w:rPr>
        <w:t xml:space="preserve">, dlatego też </w:t>
      </w:r>
      <w:r w:rsidRPr="00CF102A">
        <w:rPr>
          <w:rFonts w:ascii="Lato" w:eastAsiaTheme="minorHAnsi" w:hAnsi="Lato"/>
          <w:i/>
          <w:iCs/>
          <w:spacing w:val="4"/>
          <w:sz w:val="22"/>
          <w:szCs w:val="22"/>
          <w:lang w:eastAsia="en-US"/>
        </w:rPr>
        <w:t>Minister</w:t>
      </w:r>
      <w:r>
        <w:rPr>
          <w:rFonts w:ascii="Lato" w:eastAsiaTheme="minorHAnsi" w:hAnsi="Lato"/>
          <w:spacing w:val="4"/>
          <w:sz w:val="22"/>
          <w:szCs w:val="22"/>
          <w:lang w:eastAsia="en-US"/>
        </w:rPr>
        <w:t xml:space="preserve"> w niniejszym uzasadnieniu </w:t>
      </w:r>
      <w:r w:rsidR="008036F8">
        <w:rPr>
          <w:rFonts w:ascii="Lato" w:eastAsiaTheme="minorHAnsi" w:hAnsi="Lato"/>
          <w:spacing w:val="4"/>
          <w:sz w:val="22"/>
          <w:szCs w:val="22"/>
          <w:lang w:eastAsia="en-US"/>
        </w:rPr>
        <w:t>uwzględni je jako</w:t>
      </w:r>
      <w:r>
        <w:rPr>
          <w:rFonts w:ascii="Lato" w:eastAsiaTheme="minorHAnsi" w:hAnsi="Lato"/>
          <w:spacing w:val="4"/>
          <w:sz w:val="22"/>
          <w:szCs w:val="22"/>
          <w:lang w:eastAsia="en-US"/>
        </w:rPr>
        <w:t xml:space="preserve"> wspóln</w:t>
      </w:r>
      <w:r w:rsidR="00D070E0">
        <w:rPr>
          <w:rFonts w:ascii="Lato" w:eastAsiaTheme="minorHAnsi" w:hAnsi="Lato"/>
          <w:spacing w:val="4"/>
          <w:sz w:val="22"/>
          <w:szCs w:val="22"/>
          <w:lang w:eastAsia="en-US"/>
        </w:rPr>
        <w:t>e</w:t>
      </w:r>
      <w:r>
        <w:rPr>
          <w:rFonts w:ascii="Lato" w:eastAsiaTheme="minorHAnsi" w:hAnsi="Lato"/>
          <w:spacing w:val="4"/>
          <w:sz w:val="22"/>
          <w:szCs w:val="22"/>
          <w:lang w:eastAsia="en-US"/>
        </w:rPr>
        <w:t xml:space="preserve"> zarzut</w:t>
      </w:r>
      <w:r w:rsidR="00D070E0">
        <w:rPr>
          <w:rFonts w:ascii="Lato" w:eastAsiaTheme="minorHAnsi" w:hAnsi="Lato"/>
          <w:spacing w:val="4"/>
          <w:sz w:val="22"/>
          <w:szCs w:val="22"/>
          <w:lang w:eastAsia="en-US"/>
        </w:rPr>
        <w:t>y</w:t>
      </w:r>
      <w:r>
        <w:rPr>
          <w:rFonts w:ascii="Lato" w:eastAsiaTheme="minorHAnsi" w:hAnsi="Lato"/>
          <w:spacing w:val="4"/>
          <w:sz w:val="22"/>
          <w:szCs w:val="22"/>
          <w:lang w:eastAsia="en-US"/>
        </w:rPr>
        <w:t>.</w:t>
      </w:r>
    </w:p>
    <w:bookmarkEnd w:id="9"/>
    <w:p w14:paraId="65864F99" w14:textId="217DC06F" w:rsidR="00A236F7" w:rsidRPr="00C5130B" w:rsidRDefault="008B2C0E" w:rsidP="00C5130B">
      <w:pPr>
        <w:tabs>
          <w:tab w:val="left" w:pos="9639"/>
        </w:tabs>
        <w:autoSpaceDE w:val="0"/>
        <w:autoSpaceDN w:val="0"/>
        <w:adjustRightInd w:val="0"/>
        <w:spacing w:after="240" w:line="240" w:lineRule="exact"/>
        <w:jc w:val="both"/>
        <w:rPr>
          <w:rFonts w:ascii="Lato" w:hAnsi="Lato" w:cs="Arial"/>
          <w:color w:val="FF0000"/>
          <w:spacing w:val="4"/>
          <w:sz w:val="22"/>
          <w:szCs w:val="22"/>
        </w:rPr>
      </w:pPr>
      <w:r w:rsidRPr="00A91437">
        <w:rPr>
          <w:rFonts w:ascii="Lato" w:eastAsiaTheme="minorHAnsi" w:hAnsi="Lato"/>
          <w:spacing w:val="4"/>
          <w:sz w:val="22"/>
          <w:szCs w:val="22"/>
          <w:lang w:eastAsia="en-US"/>
        </w:rPr>
        <w:t>Na uwzględnienie nie</w:t>
      </w:r>
      <w:r w:rsidRPr="008B2C0E">
        <w:rPr>
          <w:rFonts w:ascii="Lato" w:eastAsiaTheme="minorHAnsi" w:hAnsi="Lato"/>
          <w:spacing w:val="4"/>
          <w:sz w:val="22"/>
          <w:szCs w:val="22"/>
          <w:lang w:eastAsia="en-US"/>
        </w:rPr>
        <w:t xml:space="preserve"> zasługuje zarzut </w:t>
      </w:r>
      <w:r>
        <w:rPr>
          <w:rFonts w:ascii="Lato" w:eastAsiaTheme="minorHAnsi" w:hAnsi="Lato"/>
          <w:spacing w:val="4"/>
          <w:sz w:val="22"/>
          <w:szCs w:val="22"/>
          <w:lang w:eastAsia="en-US"/>
        </w:rPr>
        <w:t xml:space="preserve">Pani </w:t>
      </w:r>
      <w:r w:rsidR="004A7ACC">
        <w:rPr>
          <w:rFonts w:ascii="Lato" w:eastAsiaTheme="minorHAnsi" w:hAnsi="Lato"/>
          <w:spacing w:val="4"/>
          <w:sz w:val="22"/>
          <w:szCs w:val="22"/>
          <w:lang w:eastAsia="en-US"/>
        </w:rPr>
        <w:t>A.</w:t>
      </w:r>
      <w:r>
        <w:rPr>
          <w:rFonts w:ascii="Lato" w:eastAsiaTheme="minorHAnsi" w:hAnsi="Lato"/>
          <w:spacing w:val="4"/>
          <w:sz w:val="22"/>
          <w:szCs w:val="22"/>
          <w:lang w:eastAsia="en-US"/>
        </w:rPr>
        <w:t xml:space="preserve"> </w:t>
      </w:r>
      <w:r w:rsidR="004A7ACC">
        <w:rPr>
          <w:rFonts w:ascii="Lato" w:eastAsiaTheme="minorHAnsi" w:hAnsi="Lato"/>
          <w:spacing w:val="4"/>
          <w:sz w:val="22"/>
          <w:szCs w:val="22"/>
          <w:lang w:eastAsia="en-US"/>
        </w:rPr>
        <w:t>S.</w:t>
      </w:r>
      <w:r>
        <w:rPr>
          <w:rFonts w:ascii="Lato" w:eastAsiaTheme="minorHAnsi" w:hAnsi="Lato"/>
          <w:spacing w:val="4"/>
          <w:sz w:val="22"/>
          <w:szCs w:val="22"/>
          <w:lang w:eastAsia="en-US"/>
        </w:rPr>
        <w:t xml:space="preserve"> i Pana </w:t>
      </w:r>
      <w:r w:rsidR="004A7ACC">
        <w:rPr>
          <w:rFonts w:ascii="Lato" w:eastAsiaTheme="minorHAnsi" w:hAnsi="Lato"/>
          <w:spacing w:val="4"/>
          <w:sz w:val="22"/>
          <w:szCs w:val="22"/>
          <w:lang w:eastAsia="en-US"/>
        </w:rPr>
        <w:t>L.</w:t>
      </w:r>
      <w:r w:rsidR="006E6A2F">
        <w:rPr>
          <w:rFonts w:ascii="Lato" w:eastAsiaTheme="minorHAnsi" w:hAnsi="Lato"/>
          <w:spacing w:val="4"/>
          <w:sz w:val="22"/>
          <w:szCs w:val="22"/>
          <w:lang w:eastAsia="en-US"/>
        </w:rPr>
        <w:t xml:space="preserve"> </w:t>
      </w:r>
      <w:r w:rsidR="004A7ACC">
        <w:rPr>
          <w:rFonts w:ascii="Lato" w:eastAsiaTheme="minorHAnsi" w:hAnsi="Lato"/>
          <w:spacing w:val="4"/>
          <w:sz w:val="22"/>
          <w:szCs w:val="22"/>
          <w:lang w:eastAsia="en-US"/>
        </w:rPr>
        <w:t>B.</w:t>
      </w:r>
      <w:r w:rsidRPr="008B2C0E">
        <w:rPr>
          <w:rFonts w:ascii="Lato" w:eastAsiaTheme="minorHAnsi" w:hAnsi="Lato"/>
          <w:spacing w:val="4"/>
          <w:sz w:val="22"/>
          <w:szCs w:val="22"/>
          <w:lang w:eastAsia="en-US"/>
        </w:rPr>
        <w:t xml:space="preserve"> dotycząc</w:t>
      </w:r>
      <w:r w:rsidR="006E6A2F">
        <w:rPr>
          <w:rFonts w:ascii="Lato" w:eastAsiaTheme="minorHAnsi" w:hAnsi="Lato"/>
          <w:spacing w:val="4"/>
          <w:sz w:val="22"/>
          <w:szCs w:val="22"/>
          <w:lang w:eastAsia="en-US"/>
        </w:rPr>
        <w:t>e</w:t>
      </w:r>
      <w:r w:rsidRPr="008B2C0E">
        <w:rPr>
          <w:rFonts w:ascii="Lato" w:eastAsiaTheme="minorHAnsi" w:hAnsi="Lato"/>
          <w:spacing w:val="4"/>
          <w:sz w:val="22"/>
          <w:szCs w:val="22"/>
          <w:lang w:eastAsia="en-US"/>
        </w:rPr>
        <w:t xml:space="preserve"> naruszenia </w:t>
      </w:r>
      <w:r w:rsidR="004A7ACC">
        <w:rPr>
          <w:rFonts w:ascii="Lato" w:eastAsiaTheme="minorHAnsi" w:hAnsi="Lato"/>
          <w:spacing w:val="4"/>
          <w:sz w:val="22"/>
          <w:szCs w:val="22"/>
          <w:lang w:eastAsia="en-US"/>
        </w:rPr>
        <w:br/>
      </w:r>
      <w:r w:rsidRPr="008B2C0E">
        <w:rPr>
          <w:rFonts w:ascii="Lato" w:eastAsiaTheme="minorHAnsi" w:hAnsi="Lato"/>
          <w:spacing w:val="4"/>
          <w:sz w:val="22"/>
          <w:szCs w:val="22"/>
          <w:lang w:eastAsia="en-US"/>
        </w:rPr>
        <w:t>art. 14</w:t>
      </w:r>
      <w:r w:rsidR="006E6A2F">
        <w:rPr>
          <w:rFonts w:ascii="Lato" w:eastAsiaTheme="minorHAnsi" w:hAnsi="Lato"/>
          <w:spacing w:val="4"/>
          <w:sz w:val="22"/>
          <w:szCs w:val="22"/>
          <w:lang w:eastAsia="en-US"/>
        </w:rPr>
        <w:t>0</w:t>
      </w:r>
      <w:r w:rsidRPr="008B2C0E">
        <w:rPr>
          <w:rFonts w:ascii="Lato" w:eastAsiaTheme="minorHAnsi" w:hAnsi="Lato"/>
          <w:spacing w:val="4"/>
          <w:sz w:val="22"/>
          <w:szCs w:val="22"/>
          <w:lang w:eastAsia="en-US"/>
        </w:rPr>
        <w:t xml:space="preserve"> ustawy z dnia 23 kwietnia 1964 r. – Kodeks cywilny (</w:t>
      </w:r>
      <w:r w:rsidR="00D070E0">
        <w:rPr>
          <w:rFonts w:ascii="Lato" w:eastAsiaTheme="minorHAnsi" w:hAnsi="Lato"/>
          <w:spacing w:val="4"/>
          <w:sz w:val="22"/>
          <w:szCs w:val="22"/>
          <w:lang w:eastAsia="en-US"/>
        </w:rPr>
        <w:t xml:space="preserve">t.j. </w:t>
      </w:r>
      <w:r w:rsidRPr="008B2C0E">
        <w:rPr>
          <w:rFonts w:ascii="Lato" w:eastAsiaTheme="minorHAnsi" w:hAnsi="Lato"/>
          <w:spacing w:val="4"/>
          <w:sz w:val="22"/>
          <w:szCs w:val="22"/>
          <w:lang w:eastAsia="en-US"/>
        </w:rPr>
        <w:t>Dz. U. z 20</w:t>
      </w:r>
      <w:r w:rsidR="006E6A2F">
        <w:rPr>
          <w:rFonts w:ascii="Lato" w:eastAsiaTheme="minorHAnsi" w:hAnsi="Lato"/>
          <w:spacing w:val="4"/>
          <w:sz w:val="22"/>
          <w:szCs w:val="22"/>
          <w:lang w:eastAsia="en-US"/>
        </w:rPr>
        <w:t>2</w:t>
      </w:r>
      <w:r w:rsidR="00D3617C">
        <w:rPr>
          <w:rFonts w:ascii="Lato" w:eastAsiaTheme="minorHAnsi" w:hAnsi="Lato"/>
          <w:spacing w:val="4"/>
          <w:sz w:val="22"/>
          <w:szCs w:val="22"/>
          <w:lang w:eastAsia="en-US"/>
        </w:rPr>
        <w:t>4</w:t>
      </w:r>
      <w:r w:rsidRPr="008B2C0E">
        <w:rPr>
          <w:rFonts w:ascii="Lato" w:eastAsiaTheme="minorHAnsi" w:hAnsi="Lato"/>
          <w:spacing w:val="4"/>
          <w:sz w:val="22"/>
          <w:szCs w:val="22"/>
          <w:lang w:eastAsia="en-US"/>
        </w:rPr>
        <w:t xml:space="preserve"> r. </w:t>
      </w:r>
      <w:r w:rsidR="004A7ACC">
        <w:rPr>
          <w:rFonts w:ascii="Lato" w:eastAsiaTheme="minorHAnsi" w:hAnsi="Lato"/>
          <w:spacing w:val="4"/>
          <w:sz w:val="22"/>
          <w:szCs w:val="22"/>
          <w:lang w:eastAsia="en-US"/>
        </w:rPr>
        <w:br/>
      </w:r>
      <w:r w:rsidRPr="008B2C0E">
        <w:rPr>
          <w:rFonts w:ascii="Lato" w:eastAsiaTheme="minorHAnsi" w:hAnsi="Lato"/>
          <w:spacing w:val="4"/>
          <w:sz w:val="22"/>
          <w:szCs w:val="22"/>
          <w:lang w:eastAsia="en-US"/>
        </w:rPr>
        <w:t xml:space="preserve">poz. </w:t>
      </w:r>
      <w:r w:rsidR="006E6A2F">
        <w:rPr>
          <w:rFonts w:ascii="Lato" w:eastAsiaTheme="minorHAnsi" w:hAnsi="Lato"/>
          <w:spacing w:val="4"/>
          <w:sz w:val="22"/>
          <w:szCs w:val="22"/>
          <w:lang w:eastAsia="en-US"/>
        </w:rPr>
        <w:t>1610</w:t>
      </w:r>
      <w:r w:rsidRPr="008B2C0E">
        <w:rPr>
          <w:rFonts w:ascii="Lato" w:eastAsiaTheme="minorHAnsi" w:hAnsi="Lato"/>
          <w:spacing w:val="4"/>
          <w:sz w:val="22"/>
          <w:szCs w:val="22"/>
          <w:lang w:eastAsia="en-US"/>
        </w:rPr>
        <w:t xml:space="preserve">), zwanej dalej </w:t>
      </w:r>
      <w:r w:rsidRPr="006E6A2F">
        <w:rPr>
          <w:rFonts w:ascii="Lato" w:eastAsiaTheme="minorHAnsi" w:hAnsi="Lato"/>
          <w:i/>
          <w:iCs/>
          <w:spacing w:val="4"/>
          <w:sz w:val="22"/>
          <w:szCs w:val="22"/>
          <w:lang w:eastAsia="en-US"/>
        </w:rPr>
        <w:t>„</w:t>
      </w:r>
      <w:r w:rsidR="00493031">
        <w:rPr>
          <w:rFonts w:ascii="Lato" w:eastAsiaTheme="minorHAnsi" w:hAnsi="Lato"/>
          <w:i/>
          <w:iCs/>
          <w:spacing w:val="4"/>
          <w:sz w:val="22"/>
          <w:szCs w:val="22"/>
          <w:lang w:eastAsia="en-US"/>
        </w:rPr>
        <w:t>kc</w:t>
      </w:r>
      <w:r w:rsidRPr="006E6A2F">
        <w:rPr>
          <w:rFonts w:ascii="Lato" w:eastAsiaTheme="minorHAnsi" w:hAnsi="Lato"/>
          <w:i/>
          <w:iCs/>
          <w:spacing w:val="4"/>
          <w:sz w:val="22"/>
          <w:szCs w:val="22"/>
          <w:lang w:eastAsia="en-US"/>
        </w:rPr>
        <w:t>”</w:t>
      </w:r>
      <w:r w:rsidRPr="008B2C0E">
        <w:rPr>
          <w:rFonts w:ascii="Lato" w:eastAsiaTheme="minorHAnsi" w:hAnsi="Lato"/>
          <w:spacing w:val="4"/>
          <w:sz w:val="22"/>
          <w:szCs w:val="22"/>
          <w:lang w:eastAsia="en-US"/>
        </w:rPr>
        <w:t xml:space="preserve"> poprzez </w:t>
      </w:r>
      <w:r w:rsidR="0051478E" w:rsidRPr="0051478E">
        <w:rPr>
          <w:rFonts w:ascii="Lato" w:eastAsiaTheme="minorHAnsi" w:hAnsi="Lato"/>
          <w:spacing w:val="4"/>
          <w:sz w:val="22"/>
          <w:szCs w:val="22"/>
          <w:lang w:eastAsia="en-US"/>
        </w:rPr>
        <w:t>zlokalizowanie inwestycji naftowej wymagającej prowadzenia prac ziemnych</w:t>
      </w:r>
      <w:r w:rsidR="0051478E">
        <w:rPr>
          <w:rFonts w:ascii="Lato" w:eastAsiaTheme="minorHAnsi" w:hAnsi="Lato"/>
          <w:spacing w:val="4"/>
          <w:sz w:val="22"/>
          <w:szCs w:val="22"/>
          <w:lang w:eastAsia="en-US"/>
        </w:rPr>
        <w:t>,</w:t>
      </w:r>
      <w:r w:rsidR="0051478E" w:rsidRPr="0051478E">
        <w:rPr>
          <w:rFonts w:ascii="Lato" w:eastAsiaTheme="minorHAnsi" w:hAnsi="Lato"/>
          <w:spacing w:val="4"/>
          <w:sz w:val="22"/>
          <w:szCs w:val="22"/>
          <w:lang w:eastAsia="en-US"/>
        </w:rPr>
        <w:t xml:space="preserve"> których wykonanie spowoduje wymieszanie się warstw glebowych ziemi</w:t>
      </w:r>
      <w:r w:rsidR="00A236F7">
        <w:rPr>
          <w:rFonts w:ascii="Lato" w:eastAsiaTheme="minorHAnsi" w:hAnsi="Lato"/>
          <w:spacing w:val="4"/>
          <w:sz w:val="22"/>
          <w:szCs w:val="22"/>
          <w:lang w:eastAsia="en-US"/>
        </w:rPr>
        <w:t>,</w:t>
      </w:r>
    </w:p>
    <w:p w14:paraId="649EA771" w14:textId="1C6CF96A" w:rsidR="006F1A38" w:rsidRDefault="00A236F7" w:rsidP="006F1A38">
      <w:pPr>
        <w:tabs>
          <w:tab w:val="left" w:pos="2977"/>
        </w:tabs>
        <w:spacing w:after="240" w:line="240" w:lineRule="exact"/>
        <w:jc w:val="both"/>
        <w:outlineLvl w:val="0"/>
        <w:rPr>
          <w:rFonts w:ascii="Lato" w:eastAsiaTheme="minorHAnsi" w:hAnsi="Lato"/>
          <w:spacing w:val="4"/>
          <w:sz w:val="22"/>
          <w:szCs w:val="22"/>
          <w:lang w:eastAsia="en-US"/>
        </w:rPr>
      </w:pPr>
      <w:r>
        <w:rPr>
          <w:rFonts w:ascii="Lato" w:eastAsiaTheme="minorHAnsi" w:hAnsi="Lato"/>
          <w:spacing w:val="4"/>
          <w:sz w:val="22"/>
          <w:szCs w:val="22"/>
          <w:lang w:eastAsia="en-US"/>
        </w:rPr>
        <w:t xml:space="preserve">Skarżący wskazują także na wprowadzenie ograniczeń w postaci wyznaczenia strefy kontrolowanej rurociąg w </w:t>
      </w:r>
      <w:r w:rsidR="006F1A38">
        <w:rPr>
          <w:rFonts w:ascii="Lato" w:eastAsiaTheme="minorHAnsi" w:hAnsi="Lato"/>
          <w:spacing w:val="4"/>
          <w:sz w:val="22"/>
          <w:szCs w:val="22"/>
          <w:lang w:eastAsia="en-US"/>
        </w:rPr>
        <w:t>promieniu</w:t>
      </w:r>
      <w:r>
        <w:rPr>
          <w:rFonts w:ascii="Lato" w:eastAsiaTheme="minorHAnsi" w:hAnsi="Lato"/>
          <w:spacing w:val="4"/>
          <w:sz w:val="22"/>
          <w:szCs w:val="22"/>
          <w:lang w:eastAsia="en-US"/>
        </w:rPr>
        <w:t xml:space="preserve"> 10 m od jego osi. Ich zdaniem </w:t>
      </w:r>
      <w:r w:rsidR="006F1A38">
        <w:rPr>
          <w:rFonts w:ascii="Lato" w:eastAsiaTheme="minorHAnsi" w:hAnsi="Lato"/>
          <w:spacing w:val="4"/>
          <w:sz w:val="22"/>
          <w:szCs w:val="22"/>
          <w:lang w:eastAsia="en-US"/>
        </w:rPr>
        <w:t>doprowadzi</w:t>
      </w:r>
      <w:r>
        <w:rPr>
          <w:rFonts w:ascii="Lato" w:eastAsiaTheme="minorHAnsi" w:hAnsi="Lato"/>
          <w:spacing w:val="4"/>
          <w:sz w:val="22"/>
          <w:szCs w:val="22"/>
          <w:lang w:eastAsia="en-US"/>
        </w:rPr>
        <w:t xml:space="preserve"> </w:t>
      </w:r>
      <w:r w:rsidR="006F1A38">
        <w:rPr>
          <w:rFonts w:ascii="Lato" w:eastAsiaTheme="minorHAnsi" w:hAnsi="Lato"/>
          <w:spacing w:val="4"/>
          <w:sz w:val="22"/>
          <w:szCs w:val="22"/>
          <w:lang w:eastAsia="en-US"/>
        </w:rPr>
        <w:br/>
      </w:r>
      <w:r>
        <w:rPr>
          <w:rFonts w:ascii="Lato" w:eastAsiaTheme="minorHAnsi" w:hAnsi="Lato"/>
          <w:spacing w:val="4"/>
          <w:sz w:val="22"/>
          <w:szCs w:val="22"/>
          <w:lang w:eastAsia="en-US"/>
        </w:rPr>
        <w:t xml:space="preserve">to do braku możliwości </w:t>
      </w:r>
      <w:r w:rsidR="006F1A38">
        <w:rPr>
          <w:rFonts w:ascii="Lato" w:eastAsiaTheme="minorHAnsi" w:hAnsi="Lato"/>
          <w:spacing w:val="4"/>
          <w:sz w:val="22"/>
          <w:szCs w:val="22"/>
          <w:lang w:eastAsia="en-US"/>
        </w:rPr>
        <w:t xml:space="preserve">wykonania niezbędnych prac polowych, zbyt bliskiej odległości rurociągu od zabudowy mieszkalnej oraz naruszenie </w:t>
      </w:r>
      <w:r w:rsidR="0051478E">
        <w:rPr>
          <w:rFonts w:ascii="Lato" w:eastAsiaTheme="minorHAnsi" w:hAnsi="Lato"/>
          <w:spacing w:val="4"/>
          <w:sz w:val="22"/>
          <w:szCs w:val="22"/>
          <w:lang w:eastAsia="en-US"/>
        </w:rPr>
        <w:t xml:space="preserve">art. 30 </w:t>
      </w:r>
      <w:r w:rsidR="0051478E" w:rsidRPr="001871FB">
        <w:rPr>
          <w:rFonts w:ascii="Lato" w:eastAsiaTheme="minorHAnsi" w:hAnsi="Lato"/>
          <w:i/>
          <w:iCs/>
          <w:spacing w:val="4"/>
          <w:sz w:val="22"/>
          <w:szCs w:val="22"/>
          <w:lang w:eastAsia="en-US"/>
        </w:rPr>
        <w:t>specustawy naftowej</w:t>
      </w:r>
      <w:r w:rsidR="006F1A38">
        <w:rPr>
          <w:rFonts w:ascii="Lato" w:eastAsiaTheme="minorHAnsi" w:hAnsi="Lato"/>
          <w:spacing w:val="4"/>
          <w:sz w:val="22"/>
          <w:szCs w:val="22"/>
          <w:lang w:eastAsia="en-US"/>
        </w:rPr>
        <w:t>. Skarżący podnoszą również brak wyznaczenia obszaru na działce, na której inwestorowi przysługiwałoby ograniczone prawo rzeczowe do wejścia na teren nieruchomości.</w:t>
      </w:r>
    </w:p>
    <w:p w14:paraId="6F64B51D" w14:textId="1441F47C" w:rsidR="005E287C" w:rsidRPr="006F1A38" w:rsidRDefault="00423144" w:rsidP="006F1A38">
      <w:pPr>
        <w:tabs>
          <w:tab w:val="left" w:pos="2977"/>
        </w:tabs>
        <w:spacing w:after="240" w:line="240" w:lineRule="exact"/>
        <w:jc w:val="both"/>
        <w:outlineLvl w:val="0"/>
        <w:rPr>
          <w:rFonts w:ascii="Lato" w:eastAsiaTheme="minorHAnsi" w:hAnsi="Lato"/>
          <w:spacing w:val="4"/>
          <w:sz w:val="22"/>
          <w:szCs w:val="22"/>
          <w:lang w:eastAsia="en-US"/>
        </w:rPr>
      </w:pPr>
      <w:r w:rsidRPr="00423144">
        <w:rPr>
          <w:rFonts w:ascii="Lato" w:eastAsia="Calibri" w:hAnsi="Lato" w:cs="Arial"/>
          <w:color w:val="000000"/>
          <w:spacing w:val="4"/>
          <w:sz w:val="22"/>
          <w:szCs w:val="22"/>
          <w:lang w:eastAsia="en-US"/>
        </w:rPr>
        <w:t xml:space="preserve">Wskazać należy, iż </w:t>
      </w:r>
      <w:r>
        <w:rPr>
          <w:rFonts w:ascii="Lato" w:eastAsia="Calibri" w:hAnsi="Lato" w:cs="Arial"/>
          <w:color w:val="000000"/>
          <w:spacing w:val="4"/>
          <w:sz w:val="22"/>
          <w:szCs w:val="22"/>
          <w:lang w:eastAsia="en-US"/>
        </w:rPr>
        <w:t xml:space="preserve">Pan </w:t>
      </w:r>
      <w:r w:rsidR="004A7ACC">
        <w:rPr>
          <w:rFonts w:ascii="Lato" w:eastAsia="Calibri" w:hAnsi="Lato" w:cs="Arial"/>
          <w:color w:val="000000"/>
          <w:spacing w:val="4"/>
          <w:sz w:val="22"/>
          <w:szCs w:val="22"/>
          <w:lang w:eastAsia="en-US"/>
        </w:rPr>
        <w:t>L.</w:t>
      </w:r>
      <w:r>
        <w:rPr>
          <w:rFonts w:ascii="Lato" w:eastAsia="Calibri" w:hAnsi="Lato" w:cs="Arial"/>
          <w:color w:val="000000"/>
          <w:spacing w:val="4"/>
          <w:sz w:val="22"/>
          <w:szCs w:val="22"/>
          <w:lang w:eastAsia="en-US"/>
        </w:rPr>
        <w:t xml:space="preserve"> </w:t>
      </w:r>
      <w:r w:rsidR="004A7ACC">
        <w:rPr>
          <w:rFonts w:ascii="Lato" w:eastAsia="Calibri" w:hAnsi="Lato" w:cs="Arial"/>
          <w:color w:val="000000"/>
          <w:spacing w:val="4"/>
          <w:sz w:val="22"/>
          <w:szCs w:val="22"/>
          <w:lang w:eastAsia="en-US"/>
        </w:rPr>
        <w:t>B.</w:t>
      </w:r>
      <w:r w:rsidRPr="00423144">
        <w:rPr>
          <w:rFonts w:ascii="Lato" w:eastAsia="Calibri" w:hAnsi="Lato" w:cs="Arial"/>
          <w:color w:val="000000"/>
          <w:spacing w:val="4"/>
          <w:sz w:val="22"/>
          <w:szCs w:val="22"/>
          <w:lang w:eastAsia="en-US"/>
        </w:rPr>
        <w:t xml:space="preserve"> jest właściciel</w:t>
      </w:r>
      <w:r>
        <w:rPr>
          <w:rFonts w:ascii="Lato" w:eastAsia="Calibri" w:hAnsi="Lato" w:cs="Arial"/>
          <w:color w:val="000000"/>
          <w:spacing w:val="4"/>
          <w:sz w:val="22"/>
          <w:szCs w:val="22"/>
          <w:lang w:eastAsia="en-US"/>
        </w:rPr>
        <w:t>em</w:t>
      </w:r>
      <w:r w:rsidRPr="00423144">
        <w:rPr>
          <w:rFonts w:ascii="Lato" w:eastAsia="Calibri" w:hAnsi="Lato" w:cs="Arial"/>
          <w:color w:val="000000"/>
          <w:spacing w:val="4"/>
          <w:sz w:val="22"/>
          <w:szCs w:val="22"/>
          <w:lang w:eastAsia="en-US"/>
        </w:rPr>
        <w:t xml:space="preserve"> działki o nr </w:t>
      </w:r>
      <w:r>
        <w:rPr>
          <w:rFonts w:ascii="Lato" w:eastAsia="Calibri" w:hAnsi="Lato" w:cs="Arial"/>
          <w:color w:val="000000"/>
          <w:spacing w:val="4"/>
          <w:sz w:val="22"/>
          <w:szCs w:val="22"/>
          <w:lang w:eastAsia="en-US"/>
        </w:rPr>
        <w:t xml:space="preserve">116 </w:t>
      </w:r>
      <w:r w:rsidRPr="00423144">
        <w:rPr>
          <w:rFonts w:ascii="Lato" w:eastAsia="Calibri" w:hAnsi="Lato" w:cs="Arial"/>
          <w:color w:val="000000"/>
          <w:spacing w:val="4"/>
          <w:sz w:val="22"/>
          <w:szCs w:val="22"/>
          <w:lang w:eastAsia="en-US"/>
        </w:rPr>
        <w:t xml:space="preserve">z obrębu </w:t>
      </w:r>
      <w:r>
        <w:rPr>
          <w:rFonts w:ascii="Lato" w:eastAsia="Calibri" w:hAnsi="Lato" w:cs="Arial"/>
          <w:color w:val="000000"/>
          <w:spacing w:val="4"/>
          <w:sz w:val="22"/>
          <w:szCs w:val="22"/>
          <w:lang w:eastAsia="en-US"/>
        </w:rPr>
        <w:t>0013</w:t>
      </w:r>
      <w:r w:rsidRPr="00423144">
        <w:rPr>
          <w:rFonts w:ascii="Lato" w:eastAsia="Calibri" w:hAnsi="Lato" w:cs="Arial"/>
          <w:color w:val="000000"/>
          <w:spacing w:val="4"/>
          <w:sz w:val="22"/>
          <w:szCs w:val="22"/>
          <w:lang w:eastAsia="en-US"/>
        </w:rPr>
        <w:t xml:space="preserve"> </w:t>
      </w:r>
      <w:r>
        <w:rPr>
          <w:rFonts w:ascii="Lato" w:eastAsia="Calibri" w:hAnsi="Lato" w:cs="Arial"/>
          <w:color w:val="000000"/>
          <w:spacing w:val="4"/>
          <w:sz w:val="22"/>
          <w:szCs w:val="22"/>
          <w:lang w:eastAsia="en-US"/>
        </w:rPr>
        <w:t>Mirosław</w:t>
      </w:r>
      <w:r w:rsidRPr="00423144">
        <w:rPr>
          <w:rFonts w:ascii="Lato" w:eastAsia="Calibri" w:hAnsi="Lato" w:cs="Arial"/>
          <w:color w:val="000000"/>
          <w:spacing w:val="4"/>
          <w:sz w:val="22"/>
          <w:szCs w:val="22"/>
          <w:lang w:eastAsia="en-US"/>
        </w:rPr>
        <w:t xml:space="preserve">, </w:t>
      </w:r>
      <w:r w:rsidR="00AA0500">
        <w:rPr>
          <w:rFonts w:ascii="Lato" w:eastAsia="Calibri" w:hAnsi="Lato" w:cs="Arial"/>
          <w:color w:val="000000"/>
          <w:spacing w:val="4"/>
          <w:sz w:val="22"/>
          <w:szCs w:val="22"/>
          <w:lang w:eastAsia="en-US"/>
        </w:rPr>
        <w:t>i</w:t>
      </w:r>
      <w:r w:rsidR="008036F8">
        <w:rPr>
          <w:rFonts w:ascii="Lato" w:eastAsia="Calibri" w:hAnsi="Lato" w:cs="Arial"/>
          <w:color w:val="000000"/>
          <w:spacing w:val="4"/>
          <w:sz w:val="22"/>
          <w:szCs w:val="22"/>
          <w:lang w:eastAsia="en-US"/>
        </w:rPr>
        <w:t xml:space="preserve"> </w:t>
      </w:r>
      <w:r w:rsidR="008036F8" w:rsidRPr="000159C2">
        <w:rPr>
          <w:rFonts w:ascii="Lato" w:eastAsiaTheme="minorHAnsi" w:hAnsi="Lato"/>
          <w:spacing w:val="4"/>
          <w:sz w:val="22"/>
          <w:szCs w:val="22"/>
          <w:lang w:eastAsia="en-US"/>
        </w:rPr>
        <w:t xml:space="preserve">Pani </w:t>
      </w:r>
      <w:r w:rsidR="004A7ACC">
        <w:rPr>
          <w:rFonts w:ascii="Lato" w:eastAsiaTheme="minorHAnsi" w:hAnsi="Lato"/>
          <w:spacing w:val="4"/>
          <w:sz w:val="22"/>
          <w:szCs w:val="22"/>
          <w:lang w:eastAsia="en-US"/>
        </w:rPr>
        <w:t>A.</w:t>
      </w:r>
      <w:r w:rsidR="008036F8" w:rsidRPr="000159C2">
        <w:rPr>
          <w:rFonts w:ascii="Lato" w:eastAsiaTheme="minorHAnsi" w:hAnsi="Lato"/>
          <w:spacing w:val="4"/>
          <w:sz w:val="22"/>
          <w:szCs w:val="22"/>
          <w:lang w:eastAsia="en-US"/>
        </w:rPr>
        <w:t xml:space="preserve"> </w:t>
      </w:r>
      <w:r w:rsidR="004A7ACC">
        <w:rPr>
          <w:rFonts w:ascii="Lato" w:eastAsiaTheme="minorHAnsi" w:hAnsi="Lato"/>
          <w:spacing w:val="4"/>
          <w:sz w:val="22"/>
          <w:szCs w:val="22"/>
          <w:lang w:eastAsia="en-US"/>
        </w:rPr>
        <w:t>S.</w:t>
      </w:r>
      <w:r w:rsidR="008036F8" w:rsidRPr="000159C2">
        <w:rPr>
          <w:rFonts w:ascii="Lato" w:eastAsiaTheme="minorHAnsi" w:hAnsi="Lato"/>
          <w:spacing w:val="4"/>
          <w:sz w:val="22"/>
          <w:szCs w:val="22"/>
          <w:lang w:eastAsia="en-US"/>
        </w:rPr>
        <w:t xml:space="preserve"> jest właścicielką działki nr 139 z obrębu 0013 Mirosław</w:t>
      </w:r>
      <w:r w:rsidR="00A91437">
        <w:rPr>
          <w:rFonts w:ascii="Lato" w:eastAsia="Calibri" w:hAnsi="Lato" w:cs="Arial"/>
          <w:color w:val="000000"/>
          <w:spacing w:val="4"/>
          <w:sz w:val="22"/>
          <w:szCs w:val="22"/>
          <w:lang w:eastAsia="en-US"/>
        </w:rPr>
        <w:t>,</w:t>
      </w:r>
      <w:r w:rsidR="000159C2">
        <w:rPr>
          <w:rFonts w:ascii="Lato" w:eastAsia="Calibri" w:hAnsi="Lato" w:cs="Arial"/>
          <w:color w:val="000000"/>
          <w:spacing w:val="4"/>
          <w:sz w:val="22"/>
          <w:szCs w:val="22"/>
          <w:lang w:eastAsia="en-US"/>
        </w:rPr>
        <w:t xml:space="preserve"> </w:t>
      </w:r>
      <w:r w:rsidRPr="00423144">
        <w:rPr>
          <w:rFonts w:ascii="Lato" w:eastAsia="Calibri" w:hAnsi="Lato" w:cs="Arial"/>
          <w:color w:val="000000"/>
          <w:spacing w:val="4"/>
          <w:sz w:val="22"/>
          <w:szCs w:val="22"/>
          <w:lang w:eastAsia="en-US"/>
        </w:rPr>
        <w:t>ograniczon</w:t>
      </w:r>
      <w:r w:rsidR="008036F8">
        <w:rPr>
          <w:rFonts w:ascii="Lato" w:eastAsia="Calibri" w:hAnsi="Lato" w:cs="Arial"/>
          <w:color w:val="000000"/>
          <w:spacing w:val="4"/>
          <w:sz w:val="22"/>
          <w:szCs w:val="22"/>
          <w:lang w:eastAsia="en-US"/>
        </w:rPr>
        <w:t>ych</w:t>
      </w:r>
      <w:r w:rsidRPr="00423144">
        <w:rPr>
          <w:rFonts w:ascii="Lato" w:eastAsia="Calibri" w:hAnsi="Lato" w:cs="Arial"/>
          <w:color w:val="000000"/>
          <w:spacing w:val="4"/>
          <w:sz w:val="22"/>
          <w:szCs w:val="22"/>
          <w:lang w:eastAsia="en-US"/>
        </w:rPr>
        <w:t xml:space="preserve"> </w:t>
      </w:r>
      <w:r w:rsidR="004A7ACC">
        <w:rPr>
          <w:rFonts w:ascii="Lato" w:eastAsia="Calibri" w:hAnsi="Lato" w:cs="Arial"/>
          <w:color w:val="000000"/>
          <w:spacing w:val="4"/>
          <w:sz w:val="22"/>
          <w:szCs w:val="22"/>
          <w:lang w:eastAsia="en-US"/>
        </w:rPr>
        <w:br/>
      </w:r>
      <w:r w:rsidRPr="00423144">
        <w:rPr>
          <w:rFonts w:ascii="Lato" w:eastAsia="Calibri" w:hAnsi="Lato" w:cs="Arial"/>
          <w:color w:val="000000"/>
          <w:spacing w:val="4"/>
          <w:sz w:val="22"/>
          <w:szCs w:val="22"/>
          <w:lang w:eastAsia="en-US"/>
        </w:rPr>
        <w:t xml:space="preserve">w korzystaniu </w:t>
      </w:r>
      <w:r w:rsidR="005E287C">
        <w:rPr>
          <w:rFonts w:ascii="Lato" w:eastAsia="Calibri" w:hAnsi="Lato" w:cs="Arial"/>
          <w:color w:val="000000"/>
          <w:spacing w:val="4"/>
          <w:sz w:val="22"/>
          <w:szCs w:val="22"/>
          <w:lang w:eastAsia="en-US"/>
        </w:rPr>
        <w:t>w celu zapewnienia prawa do wejścia na teren nieruchomości dla prowadzenia na nich budowy strategicznej inwestycji w sektorze naftowym</w:t>
      </w:r>
      <w:r w:rsidR="000159C2">
        <w:rPr>
          <w:rFonts w:ascii="Lato" w:eastAsia="Calibri" w:hAnsi="Lato" w:cs="Arial"/>
          <w:color w:val="000000"/>
          <w:spacing w:val="4"/>
          <w:sz w:val="22"/>
          <w:szCs w:val="22"/>
          <w:lang w:eastAsia="en-US"/>
        </w:rPr>
        <w:t xml:space="preserve"> oraz ograniczon</w:t>
      </w:r>
      <w:r w:rsidR="00F90B07">
        <w:rPr>
          <w:rFonts w:ascii="Lato" w:eastAsia="Calibri" w:hAnsi="Lato" w:cs="Arial"/>
          <w:color w:val="000000"/>
          <w:spacing w:val="4"/>
          <w:sz w:val="22"/>
          <w:szCs w:val="22"/>
          <w:lang w:eastAsia="en-US"/>
        </w:rPr>
        <w:t>ych</w:t>
      </w:r>
      <w:r w:rsidR="000159C2">
        <w:rPr>
          <w:rFonts w:ascii="Lato" w:eastAsia="Calibri" w:hAnsi="Lato" w:cs="Arial"/>
          <w:color w:val="000000"/>
          <w:spacing w:val="4"/>
          <w:sz w:val="22"/>
          <w:szCs w:val="22"/>
          <w:lang w:eastAsia="en-US"/>
        </w:rPr>
        <w:t xml:space="preserve"> trwale w </w:t>
      </w:r>
      <w:r w:rsidR="000159C2" w:rsidRPr="00ED34E3">
        <w:rPr>
          <w:rFonts w:ascii="Lato" w:eastAsia="Calibri" w:hAnsi="Lato" w:cs="Arial"/>
          <w:color w:val="000000"/>
          <w:spacing w:val="4"/>
          <w:sz w:val="22"/>
          <w:szCs w:val="22"/>
          <w:lang w:eastAsia="en-US"/>
        </w:rPr>
        <w:t xml:space="preserve">związku z art. 30 ust. 1 </w:t>
      </w:r>
      <w:r w:rsidR="000159C2" w:rsidRPr="00ED34E3">
        <w:rPr>
          <w:rFonts w:ascii="Lato" w:eastAsia="Calibri" w:hAnsi="Lato" w:cs="Arial"/>
          <w:i/>
          <w:iCs/>
          <w:color w:val="000000"/>
          <w:spacing w:val="4"/>
          <w:sz w:val="22"/>
          <w:szCs w:val="22"/>
          <w:lang w:eastAsia="en-US"/>
        </w:rPr>
        <w:t>specustawy naftowej.</w:t>
      </w:r>
    </w:p>
    <w:p w14:paraId="4C872252" w14:textId="418528D8" w:rsidR="002748BD" w:rsidRPr="000159C2" w:rsidRDefault="002748BD" w:rsidP="001871FB">
      <w:pPr>
        <w:tabs>
          <w:tab w:val="left" w:pos="2977"/>
        </w:tabs>
        <w:spacing w:after="240" w:line="240" w:lineRule="exact"/>
        <w:jc w:val="both"/>
        <w:outlineLvl w:val="0"/>
        <w:rPr>
          <w:rFonts w:ascii="Lato" w:eastAsia="Calibri" w:hAnsi="Lato" w:cs="Arial"/>
          <w:i/>
          <w:iCs/>
          <w:color w:val="000000"/>
          <w:spacing w:val="4"/>
          <w:sz w:val="22"/>
          <w:szCs w:val="22"/>
          <w:lang w:eastAsia="en-US"/>
        </w:rPr>
      </w:pPr>
      <w:r w:rsidRPr="00341994">
        <w:rPr>
          <w:rFonts w:ascii="Lato" w:eastAsia="Calibri" w:hAnsi="Lato"/>
          <w:bCs/>
          <w:iCs/>
          <w:spacing w:val="4"/>
          <w:sz w:val="22"/>
          <w:szCs w:val="22"/>
          <w:lang w:eastAsia="en-US" w:bidi="pl-PL"/>
        </w:rPr>
        <w:t xml:space="preserve">Na wstępie wyjaśnić należy, iż </w:t>
      </w:r>
      <w:r w:rsidRPr="008B2C0E">
        <w:rPr>
          <w:rFonts w:ascii="Lato" w:eastAsiaTheme="minorHAnsi" w:hAnsi="Lato"/>
          <w:spacing w:val="4"/>
          <w:sz w:val="22"/>
          <w:szCs w:val="22"/>
          <w:lang w:eastAsia="en-US"/>
        </w:rPr>
        <w:t xml:space="preserve">konstrukcja prawna służebności publicznej staje się coraz ważniejszym publicznoprawnym instrumentem kształtowania treści prawa własności </w:t>
      </w:r>
      <w:r w:rsidR="006F1A38">
        <w:rPr>
          <w:rFonts w:ascii="Lato" w:eastAsiaTheme="minorHAnsi" w:hAnsi="Lato"/>
          <w:spacing w:val="4"/>
          <w:sz w:val="22"/>
          <w:szCs w:val="22"/>
          <w:lang w:eastAsia="en-US"/>
        </w:rPr>
        <w:br/>
      </w:r>
      <w:r w:rsidRPr="008B2C0E">
        <w:rPr>
          <w:rFonts w:ascii="Lato" w:eastAsiaTheme="minorHAnsi" w:hAnsi="Lato"/>
          <w:spacing w:val="4"/>
          <w:sz w:val="22"/>
          <w:szCs w:val="22"/>
          <w:lang w:eastAsia="en-US"/>
        </w:rPr>
        <w:t xml:space="preserve">w rozumieniu art. 140 </w:t>
      </w:r>
      <w:r w:rsidRPr="00A91437">
        <w:rPr>
          <w:rFonts w:ascii="Lato" w:eastAsiaTheme="minorHAnsi" w:hAnsi="Lato"/>
          <w:i/>
          <w:iCs/>
          <w:spacing w:val="4"/>
          <w:sz w:val="22"/>
          <w:szCs w:val="22"/>
          <w:lang w:eastAsia="en-US"/>
        </w:rPr>
        <w:t>kc</w:t>
      </w:r>
      <w:r>
        <w:rPr>
          <w:rFonts w:ascii="Lato" w:eastAsiaTheme="minorHAnsi" w:hAnsi="Lato"/>
          <w:i/>
          <w:iCs/>
          <w:spacing w:val="4"/>
          <w:sz w:val="22"/>
          <w:szCs w:val="22"/>
          <w:lang w:eastAsia="en-US"/>
        </w:rPr>
        <w:t>.</w:t>
      </w:r>
      <w:r w:rsidRPr="008B2C0E">
        <w:rPr>
          <w:rFonts w:ascii="Lato" w:eastAsiaTheme="minorHAnsi" w:hAnsi="Lato"/>
          <w:spacing w:val="4"/>
          <w:sz w:val="22"/>
          <w:szCs w:val="22"/>
          <w:lang w:eastAsia="en-US"/>
        </w:rPr>
        <w:t xml:space="preserve"> Służebność publiczna jest ustanawiana w interesie publicznym, które to pojęcie w polskim systemie prawnym zostało na poziomie ustawowym zdefiniowane w art. 6 </w:t>
      </w:r>
      <w:r w:rsidRPr="00A91437">
        <w:rPr>
          <w:rFonts w:ascii="Lato" w:eastAsiaTheme="minorHAnsi" w:hAnsi="Lato"/>
          <w:spacing w:val="4"/>
          <w:sz w:val="22"/>
          <w:szCs w:val="22"/>
          <w:lang w:eastAsia="en-US"/>
        </w:rPr>
        <w:t>ustaw</w:t>
      </w:r>
      <w:r>
        <w:rPr>
          <w:rFonts w:ascii="Lato" w:eastAsiaTheme="minorHAnsi" w:hAnsi="Lato"/>
          <w:spacing w:val="4"/>
          <w:sz w:val="22"/>
          <w:szCs w:val="22"/>
          <w:lang w:eastAsia="en-US"/>
        </w:rPr>
        <w:t>y</w:t>
      </w:r>
      <w:r w:rsidRPr="00A91437">
        <w:rPr>
          <w:rFonts w:ascii="Lato" w:eastAsiaTheme="minorHAnsi" w:hAnsi="Lato"/>
          <w:spacing w:val="4"/>
          <w:sz w:val="22"/>
          <w:szCs w:val="22"/>
          <w:lang w:eastAsia="en-US"/>
        </w:rPr>
        <w:t xml:space="preserve"> z dnia 21 sierpnia 1997 r. o gospodarce nieruchomościami (t.j. Dz. U. z 202</w:t>
      </w:r>
      <w:r>
        <w:rPr>
          <w:rFonts w:ascii="Lato" w:eastAsiaTheme="minorHAnsi" w:hAnsi="Lato"/>
          <w:spacing w:val="4"/>
          <w:sz w:val="22"/>
          <w:szCs w:val="22"/>
          <w:lang w:eastAsia="en-US"/>
        </w:rPr>
        <w:t>4</w:t>
      </w:r>
      <w:r w:rsidRPr="00A91437">
        <w:rPr>
          <w:rFonts w:ascii="Lato" w:eastAsiaTheme="minorHAnsi" w:hAnsi="Lato"/>
          <w:spacing w:val="4"/>
          <w:sz w:val="22"/>
          <w:szCs w:val="22"/>
          <w:lang w:eastAsia="en-US"/>
        </w:rPr>
        <w:t xml:space="preserve"> r. poz. </w:t>
      </w:r>
      <w:r>
        <w:rPr>
          <w:rFonts w:ascii="Lato" w:eastAsiaTheme="minorHAnsi" w:hAnsi="Lato"/>
          <w:spacing w:val="4"/>
          <w:sz w:val="22"/>
          <w:szCs w:val="22"/>
          <w:lang w:eastAsia="en-US"/>
        </w:rPr>
        <w:t>1145</w:t>
      </w:r>
      <w:r w:rsidRPr="00A91437">
        <w:rPr>
          <w:rFonts w:ascii="Lato" w:eastAsiaTheme="minorHAnsi" w:hAnsi="Lato"/>
          <w:spacing w:val="4"/>
          <w:sz w:val="22"/>
          <w:szCs w:val="22"/>
          <w:lang w:eastAsia="en-US"/>
        </w:rPr>
        <w:t xml:space="preserve">), zwana dalej </w:t>
      </w:r>
      <w:r w:rsidRPr="00A91437">
        <w:rPr>
          <w:rFonts w:ascii="Lato" w:eastAsiaTheme="minorHAnsi" w:hAnsi="Lato"/>
          <w:i/>
          <w:iCs/>
          <w:spacing w:val="4"/>
          <w:sz w:val="22"/>
          <w:szCs w:val="22"/>
          <w:lang w:eastAsia="en-US"/>
        </w:rPr>
        <w:t>„ugn”,</w:t>
      </w:r>
      <w:r>
        <w:rPr>
          <w:rFonts w:ascii="Lato" w:eastAsiaTheme="minorHAnsi" w:hAnsi="Lato"/>
          <w:spacing w:val="4"/>
          <w:sz w:val="22"/>
          <w:szCs w:val="22"/>
          <w:lang w:eastAsia="en-US"/>
        </w:rPr>
        <w:t xml:space="preserve"> </w:t>
      </w:r>
      <w:r w:rsidRPr="008B2C0E">
        <w:rPr>
          <w:rFonts w:ascii="Lato" w:eastAsiaTheme="minorHAnsi" w:hAnsi="Lato"/>
          <w:spacing w:val="4"/>
          <w:sz w:val="22"/>
          <w:szCs w:val="22"/>
          <w:lang w:eastAsia="en-US"/>
        </w:rPr>
        <w:t xml:space="preserve">jako cele publiczne. Podstawowym elementem służebności publicznej jest ograniczenie prawa własności właśnie w drodze </w:t>
      </w:r>
      <w:r w:rsidRPr="005A1B75">
        <w:rPr>
          <w:rFonts w:ascii="Lato" w:eastAsiaTheme="minorHAnsi" w:hAnsi="Lato"/>
          <w:spacing w:val="4"/>
          <w:sz w:val="22"/>
          <w:szCs w:val="22"/>
          <w:lang w:eastAsia="en-US"/>
        </w:rPr>
        <w:t xml:space="preserve">aktu administracyjnego (decyzji administracyjnej). Decyzja administracyjna </w:t>
      </w:r>
      <w:r w:rsidR="00B52BE3">
        <w:rPr>
          <w:rFonts w:ascii="Lato" w:eastAsiaTheme="minorHAnsi" w:hAnsi="Lato"/>
          <w:spacing w:val="4"/>
          <w:sz w:val="22"/>
          <w:szCs w:val="22"/>
          <w:lang w:eastAsia="en-US"/>
        </w:rPr>
        <w:br/>
      </w:r>
      <w:r w:rsidRPr="005A1B75">
        <w:rPr>
          <w:rFonts w:ascii="Lato" w:eastAsiaTheme="minorHAnsi" w:hAnsi="Lato"/>
          <w:spacing w:val="4"/>
          <w:sz w:val="22"/>
          <w:szCs w:val="22"/>
          <w:lang w:eastAsia="en-US"/>
        </w:rPr>
        <w:t>o ograniczeniu</w:t>
      </w:r>
      <w:r w:rsidRPr="008B2C0E">
        <w:rPr>
          <w:rFonts w:ascii="Lato" w:eastAsiaTheme="minorHAnsi" w:hAnsi="Lato"/>
          <w:spacing w:val="4"/>
          <w:sz w:val="22"/>
          <w:szCs w:val="22"/>
          <w:lang w:eastAsia="en-US"/>
        </w:rPr>
        <w:t xml:space="preserve">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7647A027" w14:textId="220A7276" w:rsidR="00341994" w:rsidRPr="00341994" w:rsidRDefault="002748BD" w:rsidP="00341994">
      <w:pPr>
        <w:tabs>
          <w:tab w:val="left" w:pos="2977"/>
        </w:tabs>
        <w:spacing w:after="240" w:line="240" w:lineRule="exact"/>
        <w:jc w:val="both"/>
        <w:outlineLvl w:val="0"/>
        <w:rPr>
          <w:rFonts w:ascii="Lato" w:eastAsia="Calibri" w:hAnsi="Lato"/>
          <w:bCs/>
          <w:iCs/>
          <w:spacing w:val="4"/>
          <w:sz w:val="22"/>
          <w:szCs w:val="22"/>
          <w:lang w:eastAsia="en-US"/>
        </w:rPr>
      </w:pPr>
      <w:bookmarkStart w:id="10" w:name="_Hlk175318422"/>
      <w:r>
        <w:rPr>
          <w:rFonts w:ascii="Lato" w:eastAsia="Calibri" w:hAnsi="Lato"/>
          <w:bCs/>
          <w:iCs/>
          <w:spacing w:val="4"/>
          <w:sz w:val="22"/>
          <w:szCs w:val="22"/>
          <w:lang w:eastAsia="en-US" w:bidi="pl-PL"/>
        </w:rPr>
        <w:lastRenderedPageBreak/>
        <w:t xml:space="preserve">Jednocześnie </w:t>
      </w:r>
      <w:r w:rsidR="00341994" w:rsidRPr="00341994">
        <w:rPr>
          <w:rFonts w:ascii="Lato" w:eastAsia="Calibri" w:hAnsi="Lato"/>
          <w:bCs/>
          <w:iCs/>
          <w:spacing w:val="4"/>
          <w:sz w:val="22"/>
          <w:szCs w:val="22"/>
          <w:lang w:eastAsia="en-US" w:bidi="pl-PL"/>
        </w:rPr>
        <w:t xml:space="preserve">postępowanie w przedmiocie lokalizacji strategicznej inwestycji w sektorze naftowym, jest tylko jednym z elementów procesu inwestycyjnego. Decyzja lokalizacyjna zawiera określenia terenu niezbędnego dla planowanych obiektów budowlanych, jednak nie wskazuje szczegółowych rozwiązań technicznych realizacji planowanej inwestycji. Skonkretyzowane rozwiązania techniczne są analizowane i oceniane przez organ architektoniczno-budowlany dopiero na późniejszym etapie, a więc w postępowaniu dotyczącym udzielenia pozwolenia na budowę, na podstawie opracowanego przez </w:t>
      </w:r>
      <w:r w:rsidR="00341994" w:rsidRPr="00341994">
        <w:rPr>
          <w:rFonts w:ascii="Lato" w:eastAsia="Calibri" w:hAnsi="Lato"/>
          <w:bCs/>
          <w:i/>
          <w:spacing w:val="4"/>
          <w:sz w:val="22"/>
          <w:szCs w:val="22"/>
          <w:lang w:eastAsia="en-US" w:bidi="pl-PL"/>
        </w:rPr>
        <w:t>inwestora</w:t>
      </w:r>
      <w:r w:rsidR="00341994" w:rsidRPr="00341994">
        <w:rPr>
          <w:rFonts w:ascii="Lato" w:eastAsia="Calibri" w:hAnsi="Lato"/>
          <w:bCs/>
          <w:iCs/>
          <w:spacing w:val="4"/>
          <w:sz w:val="22"/>
          <w:szCs w:val="22"/>
          <w:lang w:eastAsia="en-US" w:bidi="pl-PL"/>
        </w:rPr>
        <w:t xml:space="preserve"> projektu budowlanego.</w:t>
      </w:r>
    </w:p>
    <w:p w14:paraId="34D7F1DA" w14:textId="4129AD27" w:rsidR="00341994" w:rsidRPr="00341994" w:rsidRDefault="00341994" w:rsidP="00341994">
      <w:pPr>
        <w:tabs>
          <w:tab w:val="left" w:pos="2977"/>
        </w:tabs>
        <w:spacing w:after="240" w:line="240" w:lineRule="exact"/>
        <w:jc w:val="both"/>
        <w:outlineLvl w:val="0"/>
        <w:rPr>
          <w:rFonts w:ascii="Lato" w:eastAsia="Calibri" w:hAnsi="Lato"/>
          <w:bCs/>
          <w:iCs/>
          <w:spacing w:val="4"/>
          <w:sz w:val="22"/>
          <w:szCs w:val="22"/>
          <w:lang w:eastAsia="en-US" w:bidi="pl-PL"/>
        </w:rPr>
      </w:pPr>
      <w:r w:rsidRPr="00341994">
        <w:rPr>
          <w:rFonts w:ascii="Lato" w:eastAsia="Calibri" w:hAnsi="Lato"/>
          <w:bCs/>
          <w:iCs/>
          <w:spacing w:val="4"/>
          <w:sz w:val="22"/>
          <w:szCs w:val="22"/>
          <w:lang w:eastAsia="en-US" w:bidi="pl-PL"/>
        </w:rPr>
        <w:t xml:space="preserve">Jednocześnie z treści art. 30 ust. 1 </w:t>
      </w:r>
      <w:r w:rsidRPr="00341994">
        <w:rPr>
          <w:rFonts w:ascii="Lato" w:eastAsia="Calibri" w:hAnsi="Lato"/>
          <w:bCs/>
          <w:i/>
          <w:spacing w:val="4"/>
          <w:sz w:val="22"/>
          <w:szCs w:val="22"/>
          <w:lang w:eastAsia="en-US" w:bidi="pl-PL"/>
        </w:rPr>
        <w:t>specustawy naftowej</w:t>
      </w:r>
      <w:r w:rsidRPr="00341994">
        <w:rPr>
          <w:rFonts w:ascii="Lato" w:eastAsia="Calibri" w:hAnsi="Lato"/>
          <w:bCs/>
          <w:iCs/>
          <w:spacing w:val="4"/>
          <w:sz w:val="22"/>
          <w:szCs w:val="22"/>
          <w:lang w:eastAsia="en-US" w:bidi="pl-PL"/>
        </w:rPr>
        <w:t xml:space="preserve"> wynika, iż ustawodawca umożliwił organowi wydającemu decyzję o ustaleniu lokalizacji </w:t>
      </w:r>
      <w:r w:rsidR="00ED34E3">
        <w:rPr>
          <w:rFonts w:ascii="Lato" w:eastAsia="Calibri" w:hAnsi="Lato"/>
          <w:bCs/>
          <w:iCs/>
          <w:spacing w:val="4"/>
          <w:sz w:val="22"/>
          <w:szCs w:val="22"/>
          <w:lang w:eastAsia="en-US" w:bidi="pl-PL"/>
        </w:rPr>
        <w:t xml:space="preserve">strategicznej </w:t>
      </w:r>
      <w:r w:rsidRPr="00341994">
        <w:rPr>
          <w:rFonts w:ascii="Lato" w:eastAsia="Calibri" w:hAnsi="Lato"/>
          <w:bCs/>
          <w:iCs/>
          <w:spacing w:val="4"/>
          <w:sz w:val="22"/>
          <w:szCs w:val="22"/>
          <w:lang w:eastAsia="en-US" w:bidi="pl-PL"/>
        </w:rPr>
        <w:t xml:space="preserve">inwestycji w </w:t>
      </w:r>
      <w:r w:rsidR="00ED34E3">
        <w:rPr>
          <w:rFonts w:ascii="Lato" w:eastAsia="Calibri" w:hAnsi="Lato"/>
          <w:bCs/>
          <w:iCs/>
          <w:spacing w:val="4"/>
          <w:sz w:val="22"/>
          <w:szCs w:val="22"/>
          <w:lang w:eastAsia="en-US" w:bidi="pl-PL"/>
        </w:rPr>
        <w:t>sektorze</w:t>
      </w:r>
      <w:r w:rsidRPr="00341994">
        <w:rPr>
          <w:rFonts w:ascii="Lato" w:eastAsia="Calibri" w:hAnsi="Lato"/>
          <w:bCs/>
          <w:iCs/>
          <w:spacing w:val="4"/>
          <w:sz w:val="22"/>
          <w:szCs w:val="22"/>
          <w:lang w:eastAsia="en-US" w:bidi="pl-PL"/>
        </w:rPr>
        <w:t xml:space="preserve"> </w:t>
      </w:r>
      <w:r w:rsidR="00ED34E3">
        <w:rPr>
          <w:rFonts w:ascii="Lato" w:eastAsia="Calibri" w:hAnsi="Lato"/>
          <w:bCs/>
          <w:iCs/>
          <w:spacing w:val="4"/>
          <w:sz w:val="22"/>
          <w:szCs w:val="22"/>
          <w:lang w:eastAsia="en-US" w:bidi="pl-PL"/>
        </w:rPr>
        <w:t>naftowym</w:t>
      </w:r>
      <w:r w:rsidRPr="00341994">
        <w:rPr>
          <w:rFonts w:ascii="Lato" w:eastAsia="Calibri" w:hAnsi="Lato"/>
          <w:bCs/>
          <w:iCs/>
          <w:spacing w:val="4"/>
          <w:sz w:val="22"/>
          <w:szCs w:val="22"/>
          <w:lang w:eastAsia="en-US" w:bidi="pl-PL"/>
        </w:rPr>
        <w:t xml:space="preserve"> wprowadzen</w:t>
      </w:r>
      <w:r w:rsidR="00ED34E3">
        <w:rPr>
          <w:rFonts w:ascii="Lato" w:eastAsia="Calibri" w:hAnsi="Lato"/>
          <w:bCs/>
          <w:iCs/>
          <w:spacing w:val="4"/>
          <w:sz w:val="22"/>
          <w:szCs w:val="22"/>
          <w:lang w:eastAsia="en-US" w:bidi="pl-PL"/>
        </w:rPr>
        <w:t>ie</w:t>
      </w:r>
      <w:r w:rsidRPr="00341994">
        <w:rPr>
          <w:rFonts w:ascii="Lato" w:eastAsia="Calibri" w:hAnsi="Lato"/>
          <w:bCs/>
          <w:iCs/>
          <w:spacing w:val="4"/>
          <w:sz w:val="22"/>
          <w:szCs w:val="22"/>
          <w:lang w:eastAsia="en-US" w:bidi="pl-PL"/>
        </w:rPr>
        <w:t xml:space="preserve"> ograniczenia prawa własności nieruchomości określonych w art. 8 ust. 1 pkt 9 </w:t>
      </w:r>
      <w:r w:rsidRPr="00341994">
        <w:rPr>
          <w:rFonts w:ascii="Lato" w:eastAsia="Calibri" w:hAnsi="Lato"/>
          <w:bCs/>
          <w:i/>
          <w:spacing w:val="4"/>
          <w:sz w:val="22"/>
          <w:szCs w:val="22"/>
          <w:lang w:eastAsia="en-US" w:bidi="pl-PL"/>
        </w:rPr>
        <w:t>specustawy naftowej</w:t>
      </w:r>
      <w:r w:rsidRPr="00341994">
        <w:rPr>
          <w:rFonts w:ascii="Lato" w:eastAsia="Calibri" w:hAnsi="Lato"/>
          <w:bCs/>
          <w:iCs/>
          <w:spacing w:val="4"/>
          <w:sz w:val="22"/>
          <w:szCs w:val="22"/>
          <w:lang w:eastAsia="en-US" w:bidi="pl-PL"/>
        </w:rPr>
        <w:t xml:space="preserve"> poprzez udzielenie zezwolenia </w:t>
      </w:r>
      <w:r w:rsidR="007518D3">
        <w:rPr>
          <w:rFonts w:ascii="Lato" w:eastAsia="Calibri" w:hAnsi="Lato"/>
          <w:bCs/>
          <w:iCs/>
          <w:spacing w:val="4"/>
          <w:sz w:val="22"/>
          <w:szCs w:val="22"/>
          <w:lang w:eastAsia="en-US" w:bidi="pl-PL"/>
        </w:rPr>
        <w:br/>
      </w:r>
      <w:r w:rsidRPr="00341994">
        <w:rPr>
          <w:rFonts w:ascii="Lato" w:eastAsia="Calibri" w:hAnsi="Lato"/>
          <w:bCs/>
          <w:iCs/>
          <w:spacing w:val="4"/>
          <w:sz w:val="22"/>
          <w:szCs w:val="22"/>
          <w:lang w:eastAsia="en-US" w:bidi="pl-PL"/>
        </w:rPr>
        <w:t xml:space="preserve">w szczególności na zakładanie i przeprowadzenie na nieruchomości ciągów drenażowych, przewodów i urządzeń służących do przesyłania płynów, pary, gazów </w:t>
      </w:r>
      <w:r w:rsidR="007518D3">
        <w:rPr>
          <w:rFonts w:ascii="Lato" w:eastAsia="Calibri" w:hAnsi="Lato"/>
          <w:bCs/>
          <w:iCs/>
          <w:spacing w:val="4"/>
          <w:sz w:val="22"/>
          <w:szCs w:val="22"/>
          <w:lang w:eastAsia="en-US" w:bidi="pl-PL"/>
        </w:rPr>
        <w:br/>
      </w:r>
      <w:r w:rsidRPr="00341994">
        <w:rPr>
          <w:rFonts w:ascii="Lato" w:eastAsia="Calibri" w:hAnsi="Lato"/>
          <w:bCs/>
          <w:iCs/>
          <w:spacing w:val="4"/>
          <w:sz w:val="22"/>
          <w:szCs w:val="22"/>
          <w:lang w:eastAsia="en-US" w:bidi="pl-PL"/>
        </w:rPr>
        <w:t xml:space="preserve">i energii elektrycznej oraz urządzeń łączności publicznej i sygnalizacji, a także innych podziemnych, naziemnych lub nadziemnych obiektów i urządzeń niezbędnych </w:t>
      </w:r>
      <w:r w:rsidR="007518D3">
        <w:rPr>
          <w:rFonts w:ascii="Lato" w:eastAsia="Calibri" w:hAnsi="Lato"/>
          <w:bCs/>
          <w:iCs/>
          <w:spacing w:val="4"/>
          <w:sz w:val="22"/>
          <w:szCs w:val="22"/>
          <w:lang w:eastAsia="en-US" w:bidi="pl-PL"/>
        </w:rPr>
        <w:br/>
      </w:r>
      <w:r w:rsidRPr="00341994">
        <w:rPr>
          <w:rFonts w:ascii="Lato" w:eastAsia="Calibri" w:hAnsi="Lato"/>
          <w:bCs/>
          <w:iCs/>
          <w:spacing w:val="4"/>
          <w:sz w:val="22"/>
          <w:szCs w:val="22"/>
          <w:lang w:eastAsia="en-US" w:bidi="pl-PL"/>
        </w:rPr>
        <w:t>do założenia, przeprowadzenia oraz korzystania z tych przewodów i urządzeń. Jednocześnie wskazano cel, dla którego wprowadza się takie ograniczenie – zapewnienia prawa do wejścia na teren nieruchomości dla prowadzenia na nich budowy inwestycji</w:t>
      </w:r>
      <w:r w:rsidR="007518D3">
        <w:rPr>
          <w:rFonts w:ascii="Lato" w:eastAsia="Calibri" w:hAnsi="Lato"/>
          <w:bCs/>
          <w:iCs/>
          <w:spacing w:val="4"/>
          <w:sz w:val="22"/>
          <w:szCs w:val="22"/>
          <w:lang w:eastAsia="en-US" w:bidi="pl-PL"/>
        </w:rPr>
        <w:t xml:space="preserve"> </w:t>
      </w:r>
      <w:r w:rsidR="005A1B75">
        <w:rPr>
          <w:rFonts w:ascii="Lato" w:eastAsia="Calibri" w:hAnsi="Lato"/>
          <w:bCs/>
          <w:iCs/>
          <w:spacing w:val="4"/>
          <w:sz w:val="22"/>
          <w:szCs w:val="22"/>
          <w:lang w:eastAsia="en-US" w:bidi="pl-PL"/>
        </w:rPr>
        <w:br/>
      </w:r>
      <w:r w:rsidRPr="00341994">
        <w:rPr>
          <w:rFonts w:ascii="Lato" w:eastAsia="Calibri" w:hAnsi="Lato"/>
          <w:bCs/>
          <w:iCs/>
          <w:spacing w:val="4"/>
          <w:sz w:val="22"/>
          <w:szCs w:val="22"/>
          <w:lang w:eastAsia="en-US" w:bidi="pl-PL"/>
        </w:rPr>
        <w:t xml:space="preserve">w zakresie </w:t>
      </w:r>
      <w:r w:rsidR="007518D3">
        <w:rPr>
          <w:rFonts w:ascii="Lato" w:eastAsia="Calibri" w:hAnsi="Lato"/>
          <w:bCs/>
          <w:iCs/>
          <w:spacing w:val="4"/>
          <w:sz w:val="22"/>
          <w:szCs w:val="22"/>
          <w:lang w:eastAsia="en-US" w:bidi="pl-PL"/>
        </w:rPr>
        <w:t>rurociągu ropy naftowej</w:t>
      </w:r>
      <w:r w:rsidRPr="00341994">
        <w:rPr>
          <w:rFonts w:ascii="Lato" w:eastAsia="Calibri" w:hAnsi="Lato"/>
          <w:bCs/>
          <w:iCs/>
          <w:spacing w:val="4"/>
          <w:sz w:val="22"/>
          <w:szCs w:val="22"/>
          <w:lang w:eastAsia="en-US" w:bidi="pl-PL"/>
        </w:rPr>
        <w:t xml:space="preserve">, a także prac związanych z rozbiórką, przebudową, zmianą sposobu użytkowania, utrzymaniem, eksploatacją, użytkowaniem, remontami oraz usuwaniem awarii. W myśl art. 30 ust. 3 </w:t>
      </w:r>
      <w:r w:rsidRPr="00341994">
        <w:rPr>
          <w:rFonts w:ascii="Lato" w:eastAsia="Calibri" w:hAnsi="Lato"/>
          <w:bCs/>
          <w:i/>
          <w:spacing w:val="4"/>
          <w:sz w:val="22"/>
          <w:szCs w:val="22"/>
          <w:lang w:eastAsia="en-US" w:bidi="pl-PL"/>
        </w:rPr>
        <w:t>specustawy naftowej,</w:t>
      </w:r>
      <w:r w:rsidRPr="00341994">
        <w:rPr>
          <w:rFonts w:ascii="Lato" w:eastAsia="Calibri" w:hAnsi="Lato"/>
          <w:bCs/>
          <w:iCs/>
          <w:spacing w:val="4"/>
          <w:sz w:val="22"/>
          <w:szCs w:val="22"/>
          <w:lang w:eastAsia="en-US" w:bidi="pl-PL"/>
        </w:rPr>
        <w:t xml:space="preserve"> na wniosek </w:t>
      </w:r>
      <w:r w:rsidRPr="00341994">
        <w:rPr>
          <w:rFonts w:ascii="Lato" w:eastAsia="Calibri" w:hAnsi="Lato"/>
          <w:bCs/>
          <w:i/>
          <w:spacing w:val="4"/>
          <w:sz w:val="22"/>
          <w:szCs w:val="22"/>
          <w:lang w:eastAsia="en-US" w:bidi="pl-PL"/>
        </w:rPr>
        <w:t>inwestora</w:t>
      </w:r>
      <w:r w:rsidRPr="00341994">
        <w:rPr>
          <w:rFonts w:ascii="Lato" w:eastAsia="Calibri" w:hAnsi="Lato"/>
          <w:bCs/>
          <w:iCs/>
          <w:spacing w:val="4"/>
          <w:sz w:val="22"/>
          <w:szCs w:val="22"/>
          <w:lang w:eastAsia="en-US" w:bidi="pl-PL"/>
        </w:rPr>
        <w:t>, ograniczenie sposobu korzystania z nieruchomości, o którym mowa w ust. 1, może nastąpić na czas określony.</w:t>
      </w:r>
    </w:p>
    <w:p w14:paraId="674E4790" w14:textId="2D287AE0" w:rsidR="001C68F5" w:rsidRDefault="00341994" w:rsidP="00341994">
      <w:pPr>
        <w:tabs>
          <w:tab w:val="left" w:pos="2977"/>
        </w:tabs>
        <w:spacing w:after="240" w:line="240" w:lineRule="exact"/>
        <w:jc w:val="both"/>
        <w:outlineLvl w:val="0"/>
        <w:rPr>
          <w:rFonts w:ascii="Lato" w:eastAsia="Calibri" w:hAnsi="Lato"/>
          <w:bCs/>
          <w:iCs/>
          <w:spacing w:val="4"/>
          <w:sz w:val="22"/>
          <w:szCs w:val="22"/>
          <w:lang w:eastAsia="en-US" w:bidi="pl-PL"/>
        </w:rPr>
      </w:pPr>
      <w:r w:rsidRPr="00341994">
        <w:rPr>
          <w:rFonts w:ascii="Lato" w:eastAsia="Calibri" w:hAnsi="Lato"/>
          <w:bCs/>
          <w:iCs/>
          <w:spacing w:val="4"/>
          <w:sz w:val="22"/>
          <w:szCs w:val="22"/>
          <w:lang w:eastAsia="en-US" w:bidi="pl-PL"/>
        </w:rPr>
        <w:t xml:space="preserve">Przepis art. 30 </w:t>
      </w:r>
      <w:r w:rsidRPr="00341994">
        <w:rPr>
          <w:rFonts w:ascii="Lato" w:eastAsia="Calibri" w:hAnsi="Lato"/>
          <w:bCs/>
          <w:i/>
          <w:spacing w:val="4"/>
          <w:sz w:val="22"/>
          <w:szCs w:val="22"/>
          <w:lang w:eastAsia="en-US" w:bidi="pl-PL"/>
        </w:rPr>
        <w:t>specustawy naftowej,</w:t>
      </w:r>
      <w:r w:rsidRPr="00341994">
        <w:rPr>
          <w:rFonts w:ascii="Lato" w:eastAsia="Calibri" w:hAnsi="Lato"/>
          <w:bCs/>
          <w:iCs/>
          <w:spacing w:val="4"/>
          <w:sz w:val="22"/>
          <w:szCs w:val="22"/>
          <w:lang w:eastAsia="en-US" w:bidi="pl-PL"/>
        </w:rPr>
        <w:t xml:space="preserve"> podobnie jak m.in. art. 22 </w:t>
      </w:r>
      <w:r w:rsidR="007E7885" w:rsidRPr="00341994">
        <w:rPr>
          <w:rFonts w:ascii="Lato" w:eastAsia="Calibri" w:hAnsi="Lato"/>
          <w:bCs/>
          <w:i/>
          <w:spacing w:val="4"/>
          <w:sz w:val="22"/>
          <w:szCs w:val="22"/>
          <w:lang w:eastAsia="en-US" w:bidi="pl-PL"/>
        </w:rPr>
        <w:t xml:space="preserve">specustawy </w:t>
      </w:r>
      <w:r w:rsidR="007E7885">
        <w:rPr>
          <w:rFonts w:ascii="Lato" w:eastAsia="Calibri" w:hAnsi="Lato"/>
          <w:bCs/>
          <w:i/>
          <w:spacing w:val="4"/>
          <w:sz w:val="22"/>
          <w:szCs w:val="22"/>
          <w:lang w:eastAsia="en-US" w:bidi="pl-PL"/>
        </w:rPr>
        <w:t>naftowe</w:t>
      </w:r>
      <w:r w:rsidRPr="00341994">
        <w:rPr>
          <w:rFonts w:ascii="Lato" w:eastAsia="Calibri" w:hAnsi="Lato"/>
          <w:bCs/>
          <w:i/>
          <w:spacing w:val="4"/>
          <w:sz w:val="22"/>
          <w:szCs w:val="22"/>
          <w:lang w:eastAsia="en-US" w:bidi="pl-PL"/>
        </w:rPr>
        <w:t xml:space="preserve">j, </w:t>
      </w:r>
      <w:r w:rsidRPr="00341994">
        <w:rPr>
          <w:rFonts w:ascii="Lato" w:eastAsia="Calibri" w:hAnsi="Lato"/>
          <w:bCs/>
          <w:iCs/>
          <w:spacing w:val="4"/>
          <w:sz w:val="22"/>
          <w:szCs w:val="22"/>
          <w:lang w:eastAsia="en-US" w:bidi="pl-PL"/>
        </w:rPr>
        <w:t xml:space="preserve">oraz art. 24 </w:t>
      </w:r>
      <w:r w:rsidR="00AA0500" w:rsidRPr="00AA0500">
        <w:rPr>
          <w:rFonts w:ascii="Lato" w:eastAsia="Calibri" w:hAnsi="Lato"/>
          <w:bCs/>
          <w:i/>
          <w:spacing w:val="4"/>
          <w:sz w:val="22"/>
          <w:szCs w:val="22"/>
          <w:lang w:eastAsia="en-US" w:bidi="pl-PL"/>
        </w:rPr>
        <w:t>specustawy gazowej</w:t>
      </w:r>
      <w:r w:rsidRPr="00341994">
        <w:rPr>
          <w:rFonts w:ascii="Lato" w:eastAsia="Calibri" w:hAnsi="Lato"/>
          <w:bCs/>
          <w:iCs/>
          <w:spacing w:val="4"/>
          <w:sz w:val="22"/>
          <w:szCs w:val="22"/>
          <w:lang w:eastAsia="en-US" w:bidi="pl-PL"/>
        </w:rPr>
        <w:t xml:space="preserve"> na zasadzie lex specialis przewiduje szczególny tryb ustanowienia i wykonywania służebności publicznej w stosunku do generalnego rozwiązania dotyczącego służebności publicznej zawartego w art. 124 </w:t>
      </w:r>
      <w:r w:rsidRPr="00341994">
        <w:rPr>
          <w:rFonts w:ascii="Lato" w:eastAsia="Calibri" w:hAnsi="Lato"/>
          <w:bCs/>
          <w:i/>
          <w:spacing w:val="4"/>
          <w:sz w:val="22"/>
          <w:szCs w:val="22"/>
          <w:lang w:eastAsia="en-US" w:bidi="pl-PL"/>
        </w:rPr>
        <w:t>ugn.</w:t>
      </w:r>
      <w:r w:rsidR="001C68F5" w:rsidRPr="001C68F5">
        <w:rPr>
          <w:rFonts w:ascii="Lato" w:eastAsia="Calibri" w:hAnsi="Lato"/>
          <w:bCs/>
          <w:iCs/>
          <w:spacing w:val="4"/>
          <w:sz w:val="22"/>
          <w:szCs w:val="22"/>
          <w:lang w:eastAsia="en-US" w:bidi="pl-PL"/>
        </w:rPr>
        <w:t xml:space="preserve"> </w:t>
      </w:r>
    </w:p>
    <w:p w14:paraId="5B66116F" w14:textId="389E6BE5" w:rsidR="00341994" w:rsidRPr="00341994" w:rsidRDefault="001C68F5" w:rsidP="00341994">
      <w:pPr>
        <w:tabs>
          <w:tab w:val="left" w:pos="2977"/>
        </w:tabs>
        <w:spacing w:after="240" w:line="240" w:lineRule="exact"/>
        <w:jc w:val="both"/>
        <w:outlineLvl w:val="0"/>
        <w:rPr>
          <w:rFonts w:ascii="Lato" w:eastAsia="Calibri" w:hAnsi="Lato"/>
          <w:bCs/>
          <w:iCs/>
          <w:spacing w:val="4"/>
          <w:sz w:val="22"/>
          <w:szCs w:val="22"/>
          <w:lang w:eastAsia="en-US" w:bidi="pl-PL"/>
        </w:rPr>
      </w:pPr>
      <w:r w:rsidRPr="005C749E">
        <w:rPr>
          <w:rFonts w:ascii="Lato" w:eastAsia="Calibri" w:hAnsi="Lato"/>
          <w:bCs/>
          <w:iCs/>
          <w:spacing w:val="4"/>
          <w:sz w:val="22"/>
          <w:szCs w:val="22"/>
          <w:lang w:eastAsia="en-US" w:bidi="pl-PL"/>
        </w:rPr>
        <w:t xml:space="preserve">Zakres terytorialny inwestycji określony został na mapach stanowiących załączniki graficzne (nr 1-59) do wydanej decyzji (będące jej integralną częścią) tj. strefa wyznaczająca trwałe ograniczenia sposobu korzystania z nieruchomości została oznaczona kratkowanym szrafem koloru niebieskiego, a </w:t>
      </w:r>
      <w:r>
        <w:rPr>
          <w:rFonts w:ascii="Lato" w:eastAsia="Calibri" w:hAnsi="Lato"/>
          <w:bCs/>
          <w:iCs/>
          <w:spacing w:val="4"/>
          <w:sz w:val="22"/>
          <w:szCs w:val="22"/>
          <w:lang w:eastAsia="en-US" w:bidi="pl-PL"/>
        </w:rPr>
        <w:t xml:space="preserve">teren </w:t>
      </w:r>
      <w:r w:rsidRPr="005C749E">
        <w:rPr>
          <w:rFonts w:ascii="Lato" w:eastAsia="Calibri" w:hAnsi="Lato"/>
          <w:bCs/>
          <w:iCs/>
          <w:spacing w:val="4"/>
          <w:sz w:val="22"/>
          <w:szCs w:val="22"/>
          <w:lang w:eastAsia="en-US" w:bidi="pl-PL"/>
        </w:rPr>
        <w:t xml:space="preserve">wyznaczający czasowe ograniczenia sposobu korzystania z nieruchomości oznaczony został kreskowanym szrafem </w:t>
      </w:r>
      <w:r w:rsidRPr="00842198">
        <w:rPr>
          <w:rFonts w:ascii="Lato" w:eastAsia="Calibri" w:hAnsi="Lato"/>
          <w:bCs/>
          <w:iCs/>
          <w:spacing w:val="4"/>
          <w:sz w:val="22"/>
          <w:szCs w:val="22"/>
          <w:lang w:eastAsia="en-US" w:bidi="pl-PL"/>
        </w:rPr>
        <w:t>koloru ciemnoniebieskiego.</w:t>
      </w:r>
      <w:r w:rsidRPr="00842198">
        <w:rPr>
          <w:rFonts w:ascii="Segoe UI" w:hAnsi="Segoe UI" w:cs="Segoe UI"/>
          <w:sz w:val="18"/>
          <w:szCs w:val="18"/>
        </w:rPr>
        <w:t xml:space="preserve"> </w:t>
      </w:r>
      <w:r w:rsidRPr="00842198">
        <w:rPr>
          <w:rFonts w:ascii="Lato" w:eastAsia="Calibri" w:hAnsi="Lato"/>
          <w:bCs/>
          <w:iCs/>
          <w:spacing w:val="4"/>
          <w:sz w:val="22"/>
          <w:szCs w:val="22"/>
          <w:lang w:eastAsia="en-US" w:bidi="pl-PL"/>
        </w:rPr>
        <w:t xml:space="preserve">Jednocześnie, w niniejszej decyzji </w:t>
      </w:r>
      <w:r w:rsidRPr="00842198">
        <w:rPr>
          <w:rFonts w:ascii="Lato" w:eastAsia="Calibri" w:hAnsi="Lato"/>
          <w:bCs/>
          <w:i/>
          <w:spacing w:val="4"/>
          <w:sz w:val="22"/>
          <w:szCs w:val="22"/>
          <w:lang w:eastAsia="en-US" w:bidi="pl-PL"/>
        </w:rPr>
        <w:t>Minister</w:t>
      </w:r>
      <w:r w:rsidRPr="00842198">
        <w:rPr>
          <w:rFonts w:ascii="Lato" w:eastAsia="Calibri" w:hAnsi="Lato"/>
          <w:bCs/>
          <w:iCs/>
          <w:spacing w:val="4"/>
          <w:sz w:val="22"/>
          <w:szCs w:val="22"/>
          <w:lang w:eastAsia="en-US" w:bidi="pl-PL"/>
        </w:rPr>
        <w:t xml:space="preserve"> doprecyzował zapisy dotyczące terenu objętego niniejszą decyzją - o czym mowa była </w:t>
      </w:r>
      <w:r w:rsidR="00AA0500">
        <w:rPr>
          <w:rFonts w:ascii="Lato" w:eastAsia="Calibri" w:hAnsi="Lato"/>
          <w:bCs/>
          <w:iCs/>
          <w:spacing w:val="4"/>
          <w:sz w:val="22"/>
          <w:szCs w:val="22"/>
          <w:lang w:eastAsia="en-US" w:bidi="pl-PL"/>
        </w:rPr>
        <w:br/>
      </w:r>
      <w:r w:rsidRPr="00842198">
        <w:rPr>
          <w:rFonts w:ascii="Lato" w:eastAsia="Calibri" w:hAnsi="Lato"/>
          <w:bCs/>
          <w:iCs/>
          <w:spacing w:val="4"/>
          <w:sz w:val="22"/>
          <w:szCs w:val="22"/>
          <w:lang w:eastAsia="en-US" w:bidi="pl-PL"/>
        </w:rPr>
        <w:t>w powyższej części decyzji.</w:t>
      </w:r>
    </w:p>
    <w:p w14:paraId="781B5473" w14:textId="15866153" w:rsidR="00797A37" w:rsidRPr="005C749E" w:rsidRDefault="00341994" w:rsidP="00341994">
      <w:pPr>
        <w:tabs>
          <w:tab w:val="left" w:pos="2977"/>
        </w:tabs>
        <w:spacing w:after="240" w:line="240" w:lineRule="exact"/>
        <w:jc w:val="both"/>
        <w:outlineLvl w:val="0"/>
        <w:rPr>
          <w:rFonts w:ascii="Lato" w:eastAsia="Calibri" w:hAnsi="Lato"/>
          <w:bCs/>
          <w:iCs/>
          <w:spacing w:val="4"/>
          <w:sz w:val="22"/>
          <w:szCs w:val="22"/>
          <w:lang w:eastAsia="en-US" w:bidi="pl-PL"/>
        </w:rPr>
      </w:pPr>
      <w:r w:rsidRPr="005C749E">
        <w:rPr>
          <w:rFonts w:ascii="Lato" w:eastAsia="Calibri" w:hAnsi="Lato"/>
          <w:bCs/>
          <w:iCs/>
          <w:spacing w:val="4"/>
          <w:sz w:val="22"/>
          <w:szCs w:val="22"/>
          <w:lang w:eastAsia="en-US" w:bidi="pl-PL"/>
        </w:rPr>
        <w:t xml:space="preserve">Z wniosku </w:t>
      </w:r>
      <w:r w:rsidRPr="000C5C29">
        <w:rPr>
          <w:rFonts w:ascii="Lato" w:eastAsia="Calibri" w:hAnsi="Lato"/>
          <w:bCs/>
          <w:i/>
          <w:spacing w:val="4"/>
          <w:sz w:val="22"/>
          <w:szCs w:val="22"/>
          <w:lang w:eastAsia="en-US" w:bidi="pl-PL"/>
        </w:rPr>
        <w:t>inwestora</w:t>
      </w:r>
      <w:r w:rsidR="0056425F" w:rsidRPr="0056425F">
        <w:rPr>
          <w:rFonts w:ascii="Lato" w:eastAsia="Calibri" w:hAnsi="Lato"/>
          <w:bCs/>
          <w:iCs/>
          <w:spacing w:val="4"/>
          <w:sz w:val="22"/>
          <w:szCs w:val="22"/>
          <w:lang w:eastAsia="en-US" w:bidi="pl-PL"/>
        </w:rPr>
        <w:t xml:space="preserve"> oraz </w:t>
      </w:r>
      <w:r w:rsidR="00165BD6">
        <w:rPr>
          <w:rFonts w:ascii="Lato" w:eastAsia="Calibri" w:hAnsi="Lato"/>
          <w:bCs/>
          <w:iCs/>
          <w:spacing w:val="4"/>
          <w:sz w:val="22"/>
          <w:szCs w:val="22"/>
          <w:lang w:eastAsia="en-US" w:bidi="pl-PL"/>
        </w:rPr>
        <w:t xml:space="preserve">z </w:t>
      </w:r>
      <w:r w:rsidR="0056425F" w:rsidRPr="0056425F">
        <w:rPr>
          <w:rFonts w:ascii="Lato" w:eastAsia="Calibri" w:hAnsi="Lato"/>
          <w:bCs/>
          <w:iCs/>
          <w:spacing w:val="4"/>
          <w:sz w:val="22"/>
          <w:szCs w:val="22"/>
          <w:lang w:eastAsia="en-US" w:bidi="pl-PL"/>
        </w:rPr>
        <w:t>załącznik</w:t>
      </w:r>
      <w:r w:rsidR="00165BD6">
        <w:rPr>
          <w:rFonts w:ascii="Lato" w:eastAsia="Calibri" w:hAnsi="Lato"/>
          <w:bCs/>
          <w:iCs/>
          <w:spacing w:val="4"/>
          <w:sz w:val="22"/>
          <w:szCs w:val="22"/>
          <w:lang w:eastAsia="en-US" w:bidi="pl-PL"/>
        </w:rPr>
        <w:t>ów</w:t>
      </w:r>
      <w:r w:rsidR="0056425F" w:rsidRPr="0056425F">
        <w:rPr>
          <w:rFonts w:ascii="Lato" w:eastAsia="Calibri" w:hAnsi="Lato"/>
          <w:bCs/>
          <w:iCs/>
          <w:spacing w:val="4"/>
          <w:sz w:val="22"/>
          <w:szCs w:val="22"/>
          <w:lang w:eastAsia="en-US" w:bidi="pl-PL"/>
        </w:rPr>
        <w:t xml:space="preserve"> do </w:t>
      </w:r>
      <w:r w:rsidR="0056425F">
        <w:rPr>
          <w:rFonts w:ascii="Lato" w:eastAsia="Calibri" w:hAnsi="Lato"/>
          <w:bCs/>
          <w:i/>
          <w:spacing w:val="4"/>
          <w:sz w:val="22"/>
          <w:szCs w:val="22"/>
          <w:lang w:eastAsia="en-US" w:bidi="pl-PL"/>
        </w:rPr>
        <w:t>decyzji Wojewody Mazowieckiego</w:t>
      </w:r>
      <w:r w:rsidRPr="005C749E">
        <w:rPr>
          <w:rFonts w:ascii="Lato" w:eastAsia="Calibri" w:hAnsi="Lato"/>
          <w:bCs/>
          <w:iCs/>
          <w:spacing w:val="4"/>
          <w:sz w:val="22"/>
          <w:szCs w:val="22"/>
          <w:lang w:eastAsia="en-US" w:bidi="pl-PL"/>
        </w:rPr>
        <w:t xml:space="preserve"> wynika, </w:t>
      </w:r>
      <w:r w:rsidR="00FE6A6B">
        <w:rPr>
          <w:rFonts w:ascii="Lato" w:eastAsia="Calibri" w:hAnsi="Lato"/>
          <w:bCs/>
          <w:iCs/>
          <w:spacing w:val="4"/>
          <w:sz w:val="22"/>
          <w:szCs w:val="22"/>
          <w:lang w:eastAsia="en-US" w:bidi="pl-PL"/>
        </w:rPr>
        <w:br/>
      </w:r>
      <w:r w:rsidRPr="005C749E">
        <w:rPr>
          <w:rFonts w:ascii="Lato" w:eastAsia="Calibri" w:hAnsi="Lato"/>
          <w:bCs/>
          <w:iCs/>
          <w:spacing w:val="4"/>
          <w:sz w:val="22"/>
          <w:szCs w:val="22"/>
          <w:lang w:eastAsia="en-US" w:bidi="pl-PL"/>
        </w:rPr>
        <w:t>iż na działk</w:t>
      </w:r>
      <w:r w:rsidR="00B52BE3" w:rsidRPr="005C749E">
        <w:rPr>
          <w:rFonts w:ascii="Lato" w:eastAsia="Calibri" w:hAnsi="Lato"/>
          <w:bCs/>
          <w:iCs/>
          <w:spacing w:val="4"/>
          <w:sz w:val="22"/>
          <w:szCs w:val="22"/>
          <w:lang w:eastAsia="en-US" w:bidi="pl-PL"/>
        </w:rPr>
        <w:t xml:space="preserve">ach </w:t>
      </w:r>
      <w:r w:rsidR="001C68F5">
        <w:rPr>
          <w:rFonts w:ascii="Lato" w:eastAsia="Calibri" w:hAnsi="Lato"/>
          <w:bCs/>
          <w:iCs/>
          <w:spacing w:val="4"/>
          <w:sz w:val="22"/>
          <w:szCs w:val="22"/>
          <w:lang w:eastAsia="en-US" w:bidi="pl-PL"/>
        </w:rPr>
        <w:t xml:space="preserve">skarżących </w:t>
      </w:r>
      <w:r w:rsidR="00B52BE3" w:rsidRPr="005C749E">
        <w:rPr>
          <w:rFonts w:ascii="Lato" w:eastAsia="Calibri" w:hAnsi="Lato"/>
          <w:bCs/>
          <w:iCs/>
          <w:spacing w:val="4"/>
          <w:sz w:val="22"/>
          <w:szCs w:val="22"/>
          <w:lang w:eastAsia="en-US" w:bidi="pl-PL"/>
        </w:rPr>
        <w:t xml:space="preserve">nr </w:t>
      </w:r>
      <w:r w:rsidRPr="005C749E">
        <w:rPr>
          <w:rFonts w:ascii="Lato" w:eastAsia="Calibri" w:hAnsi="Lato"/>
          <w:bCs/>
          <w:iCs/>
          <w:spacing w:val="4"/>
          <w:sz w:val="22"/>
          <w:szCs w:val="22"/>
          <w:lang w:eastAsia="en-US" w:bidi="pl-PL"/>
        </w:rPr>
        <w:t>139</w:t>
      </w:r>
      <w:r w:rsidR="00B52BE3" w:rsidRPr="005C749E">
        <w:rPr>
          <w:rFonts w:ascii="Lato" w:eastAsia="Calibri" w:hAnsi="Lato"/>
          <w:bCs/>
          <w:iCs/>
          <w:spacing w:val="4"/>
          <w:sz w:val="22"/>
          <w:szCs w:val="22"/>
          <w:lang w:eastAsia="en-US" w:bidi="pl-PL"/>
        </w:rPr>
        <w:t xml:space="preserve"> i nr</w:t>
      </w:r>
      <w:r w:rsidRPr="005C749E">
        <w:rPr>
          <w:rFonts w:ascii="Lato" w:eastAsia="Calibri" w:hAnsi="Lato"/>
          <w:bCs/>
          <w:iCs/>
          <w:spacing w:val="4"/>
          <w:sz w:val="22"/>
          <w:szCs w:val="22"/>
          <w:lang w:eastAsia="en-US" w:bidi="pl-PL"/>
        </w:rPr>
        <w:t xml:space="preserve"> 116 </w:t>
      </w:r>
      <w:bookmarkStart w:id="11" w:name="_Hlk188619524"/>
      <w:r w:rsidRPr="005C749E">
        <w:rPr>
          <w:rFonts w:ascii="Lato" w:eastAsia="Calibri" w:hAnsi="Lato"/>
          <w:bCs/>
          <w:iCs/>
          <w:spacing w:val="4"/>
          <w:sz w:val="22"/>
          <w:szCs w:val="22"/>
          <w:lang w:eastAsia="en-US" w:bidi="pl-PL"/>
        </w:rPr>
        <w:t>z obrębu 0013</w:t>
      </w:r>
      <w:bookmarkEnd w:id="11"/>
      <w:r w:rsidR="00B52BE3" w:rsidRPr="005C749E">
        <w:rPr>
          <w:rFonts w:ascii="Lato" w:eastAsia="Calibri" w:hAnsi="Lato"/>
          <w:bCs/>
          <w:iCs/>
          <w:spacing w:val="4"/>
          <w:sz w:val="22"/>
          <w:szCs w:val="22"/>
          <w:lang w:eastAsia="en-US" w:bidi="pl-PL"/>
        </w:rPr>
        <w:t xml:space="preserve"> Mirosław, </w:t>
      </w:r>
      <w:r w:rsidRPr="005C749E">
        <w:rPr>
          <w:rFonts w:ascii="Lato" w:eastAsia="Calibri" w:hAnsi="Lato"/>
          <w:bCs/>
          <w:iCs/>
          <w:spacing w:val="4"/>
          <w:sz w:val="22"/>
          <w:szCs w:val="22"/>
          <w:lang w:eastAsia="en-US" w:bidi="pl-PL"/>
        </w:rPr>
        <w:t>wyznaczono trwałe ograniczenia oraz powierzchnie czasowego zajęcia na okres budowy</w:t>
      </w:r>
      <w:r w:rsidR="001C68F5">
        <w:rPr>
          <w:rFonts w:ascii="Lato" w:eastAsia="Calibri" w:hAnsi="Lato"/>
          <w:bCs/>
          <w:iCs/>
          <w:spacing w:val="4"/>
          <w:sz w:val="22"/>
          <w:szCs w:val="22"/>
          <w:lang w:eastAsia="en-US" w:bidi="pl-PL"/>
        </w:rPr>
        <w:t>.</w:t>
      </w:r>
    </w:p>
    <w:p w14:paraId="579F5C4F" w14:textId="38938675" w:rsidR="00623068" w:rsidRDefault="00797A37" w:rsidP="00623068">
      <w:pPr>
        <w:pStyle w:val="Default"/>
        <w:spacing w:after="240" w:line="240" w:lineRule="exact"/>
        <w:jc w:val="both"/>
        <w:rPr>
          <w:sz w:val="22"/>
          <w:szCs w:val="22"/>
        </w:rPr>
      </w:pPr>
      <w:r>
        <w:rPr>
          <w:sz w:val="22"/>
          <w:szCs w:val="22"/>
        </w:rPr>
        <w:t xml:space="preserve">W ocenie </w:t>
      </w:r>
      <w:r>
        <w:rPr>
          <w:i/>
          <w:iCs/>
          <w:sz w:val="22"/>
          <w:szCs w:val="22"/>
        </w:rPr>
        <w:t>Ministra</w:t>
      </w:r>
      <w:r w:rsidR="00AA0500">
        <w:rPr>
          <w:i/>
          <w:iCs/>
          <w:sz w:val="22"/>
          <w:szCs w:val="22"/>
        </w:rPr>
        <w:t>,</w:t>
      </w:r>
      <w:r>
        <w:rPr>
          <w:i/>
          <w:iCs/>
          <w:sz w:val="22"/>
          <w:szCs w:val="22"/>
        </w:rPr>
        <w:t xml:space="preserve"> </w:t>
      </w:r>
      <w:r>
        <w:rPr>
          <w:sz w:val="22"/>
          <w:szCs w:val="22"/>
        </w:rPr>
        <w:t xml:space="preserve">organ I instancji prawidłowo rozstrzygnął o tym, że realizacja projektowanego zamierzenia inwestycyjnego wymaga wprowadzenia ograniczeń m.in. </w:t>
      </w:r>
      <w:r w:rsidR="00AA0500">
        <w:rPr>
          <w:sz w:val="22"/>
          <w:szCs w:val="22"/>
        </w:rPr>
        <w:br/>
      </w:r>
      <w:r>
        <w:rPr>
          <w:sz w:val="22"/>
          <w:szCs w:val="22"/>
        </w:rPr>
        <w:t>na działce stron skarżąc</w:t>
      </w:r>
      <w:r w:rsidR="00623068">
        <w:rPr>
          <w:sz w:val="22"/>
          <w:szCs w:val="22"/>
        </w:rPr>
        <w:t>ych</w:t>
      </w:r>
      <w:r>
        <w:rPr>
          <w:sz w:val="22"/>
          <w:szCs w:val="22"/>
        </w:rPr>
        <w:t xml:space="preserve">. Według organu odwoławczego wprowadzone w pkt </w:t>
      </w:r>
      <w:r w:rsidR="00623068">
        <w:rPr>
          <w:sz w:val="22"/>
          <w:szCs w:val="22"/>
        </w:rPr>
        <w:t>I</w:t>
      </w:r>
      <w:r>
        <w:rPr>
          <w:sz w:val="22"/>
          <w:szCs w:val="22"/>
        </w:rPr>
        <w:t xml:space="preserve">X zaskarżonej decyzji ograniczenia stanowią niezbędne minimum zmierzające do zapewnienia możliwości niezakłóconej realizacji inwestycji polegającej na budowie </w:t>
      </w:r>
      <w:r w:rsidR="00623068">
        <w:rPr>
          <w:sz w:val="22"/>
          <w:szCs w:val="22"/>
        </w:rPr>
        <w:t xml:space="preserve">rurociągu </w:t>
      </w:r>
      <w:r>
        <w:rPr>
          <w:sz w:val="22"/>
          <w:szCs w:val="22"/>
        </w:rPr>
        <w:t xml:space="preserve">i możliwości jej późniejszej bezpiecznej eksploatacji. Należy zwrócić uwagę, że ww. ograniczenia nie prowadzą do całkowitego wywłaszczenia właścicieli lub użytkowników wieczystych nieruchomości nimi objętych. Podkreślenia wymaga, że dolegliwości wynikające z poddania nieruchomości ograniczeniom wskazanym w pkt </w:t>
      </w:r>
      <w:r w:rsidR="00623068">
        <w:rPr>
          <w:sz w:val="22"/>
          <w:szCs w:val="22"/>
        </w:rPr>
        <w:t>I</w:t>
      </w:r>
      <w:r>
        <w:rPr>
          <w:sz w:val="22"/>
          <w:szCs w:val="22"/>
        </w:rPr>
        <w:t xml:space="preserve">X kontrolowanej decyzji będą sprowadzać </w:t>
      </w:r>
      <w:r>
        <w:rPr>
          <w:sz w:val="22"/>
          <w:szCs w:val="22"/>
        </w:rPr>
        <w:lastRenderedPageBreak/>
        <w:t xml:space="preserve">się do konieczności tolerowania istnienia </w:t>
      </w:r>
      <w:r w:rsidR="00623068">
        <w:rPr>
          <w:sz w:val="22"/>
          <w:szCs w:val="22"/>
        </w:rPr>
        <w:t>rurociągu</w:t>
      </w:r>
      <w:r>
        <w:rPr>
          <w:sz w:val="22"/>
          <w:szCs w:val="22"/>
        </w:rPr>
        <w:t xml:space="preserve"> i infrastruktury mu towarzyszącej </w:t>
      </w:r>
      <w:r w:rsidR="00AF56BD">
        <w:rPr>
          <w:sz w:val="22"/>
          <w:szCs w:val="22"/>
        </w:rPr>
        <w:br/>
      </w:r>
      <w:r>
        <w:rPr>
          <w:sz w:val="22"/>
          <w:szCs w:val="22"/>
        </w:rPr>
        <w:t xml:space="preserve">w podziemnej części nieruchomości. </w:t>
      </w:r>
    </w:p>
    <w:p w14:paraId="1BBC500B" w14:textId="0FF9A8B6" w:rsidR="008B4BFF" w:rsidRDefault="008B4BFF" w:rsidP="005C749E">
      <w:pPr>
        <w:pStyle w:val="Default"/>
        <w:spacing w:after="240" w:line="240" w:lineRule="exact"/>
        <w:jc w:val="both"/>
        <w:rPr>
          <w:sz w:val="22"/>
          <w:szCs w:val="22"/>
        </w:rPr>
      </w:pPr>
      <w:r>
        <w:rPr>
          <w:sz w:val="22"/>
          <w:szCs w:val="22"/>
        </w:rPr>
        <w:t>Podkreślenia wymaga, iż w</w:t>
      </w:r>
      <w:r w:rsidRPr="008B4BFF">
        <w:rPr>
          <w:sz w:val="22"/>
          <w:szCs w:val="22"/>
        </w:rPr>
        <w:t xml:space="preserve"> decyzji lokalizacyjnej następuje jedynie ustalenie zakresu terenu niezbędnego dla planowanej inwestycji. Decyzja lokalizacyjna nie rozstrzyga w przedmiocie szczegółowych rozwiązań </w:t>
      </w:r>
      <w:r w:rsidR="008E3CCB" w:rsidRPr="008B4BFF">
        <w:rPr>
          <w:sz w:val="22"/>
          <w:szCs w:val="22"/>
        </w:rPr>
        <w:t>projektowych</w:t>
      </w:r>
      <w:r w:rsidRPr="008B4BFF">
        <w:rPr>
          <w:sz w:val="22"/>
          <w:szCs w:val="22"/>
        </w:rPr>
        <w:t xml:space="preserve"> ani nie odnosi się do przyszłej realizacji inwestycji.</w:t>
      </w:r>
    </w:p>
    <w:p w14:paraId="1FB6FDB1" w14:textId="3D9936AC" w:rsidR="00797A37" w:rsidRPr="005C749E" w:rsidRDefault="00797A37" w:rsidP="005C749E">
      <w:pPr>
        <w:pStyle w:val="Default"/>
        <w:spacing w:after="240" w:line="240" w:lineRule="exact"/>
        <w:jc w:val="both"/>
        <w:rPr>
          <w:sz w:val="22"/>
          <w:szCs w:val="22"/>
        </w:rPr>
      </w:pPr>
      <w:r>
        <w:rPr>
          <w:sz w:val="22"/>
          <w:szCs w:val="22"/>
        </w:rPr>
        <w:t xml:space="preserve">Organy w postępowaniu uregulowanym przepisami </w:t>
      </w:r>
      <w:r>
        <w:rPr>
          <w:i/>
          <w:iCs/>
          <w:sz w:val="22"/>
          <w:szCs w:val="22"/>
        </w:rPr>
        <w:t xml:space="preserve">specustawy </w:t>
      </w:r>
      <w:r w:rsidR="00623068">
        <w:rPr>
          <w:i/>
          <w:iCs/>
          <w:sz w:val="22"/>
          <w:szCs w:val="22"/>
        </w:rPr>
        <w:t xml:space="preserve">naftowej </w:t>
      </w:r>
      <w:r>
        <w:rPr>
          <w:sz w:val="22"/>
          <w:szCs w:val="22"/>
        </w:rPr>
        <w:t xml:space="preserve">mają jedynie obowiązek ocenić wniosek </w:t>
      </w:r>
      <w:r w:rsidRPr="00AA0500">
        <w:rPr>
          <w:i/>
          <w:iCs/>
          <w:sz w:val="22"/>
          <w:szCs w:val="22"/>
        </w:rPr>
        <w:t>inwestora</w:t>
      </w:r>
      <w:r>
        <w:rPr>
          <w:sz w:val="22"/>
          <w:szCs w:val="22"/>
        </w:rPr>
        <w:t xml:space="preserve"> pod względem spełnienia wymogów formalnych </w:t>
      </w:r>
      <w:r w:rsidR="00AF56BD">
        <w:rPr>
          <w:sz w:val="22"/>
          <w:szCs w:val="22"/>
        </w:rPr>
        <w:br/>
      </w:r>
      <w:r>
        <w:rPr>
          <w:sz w:val="22"/>
          <w:szCs w:val="22"/>
        </w:rPr>
        <w:t xml:space="preserve">i legalności w zakresie przepisów prawa tej ustawy i ustaw odrębnych. Przebieg inwestycji określa </w:t>
      </w:r>
      <w:r w:rsidRPr="00AA0500">
        <w:rPr>
          <w:i/>
          <w:iCs/>
          <w:sz w:val="22"/>
          <w:szCs w:val="22"/>
        </w:rPr>
        <w:t>inwestor</w:t>
      </w:r>
      <w:r>
        <w:rPr>
          <w:sz w:val="22"/>
          <w:szCs w:val="22"/>
        </w:rPr>
        <w:t xml:space="preserve"> i organ nie może ingerować w zaproponowany </w:t>
      </w:r>
      <w:r w:rsidR="008E3CCB">
        <w:rPr>
          <w:sz w:val="22"/>
          <w:szCs w:val="22"/>
        </w:rPr>
        <w:t>wariant,</w:t>
      </w:r>
      <w:r>
        <w:rPr>
          <w:sz w:val="22"/>
          <w:szCs w:val="22"/>
        </w:rPr>
        <w:t xml:space="preserve"> jeśli nie narusza </w:t>
      </w:r>
      <w:r w:rsidR="00FE6A6B">
        <w:rPr>
          <w:sz w:val="22"/>
          <w:szCs w:val="22"/>
        </w:rPr>
        <w:br/>
      </w:r>
      <w:r>
        <w:rPr>
          <w:sz w:val="22"/>
          <w:szCs w:val="22"/>
        </w:rPr>
        <w:t xml:space="preserve">on przepisów prawa. Zatem jeśli nie ingeruje w prawo własności ponad dozwolone prawem granice, to nie ma podstaw do odmowy ustalenia lokalizacji inwestycji w zakresie </w:t>
      </w:r>
      <w:r w:rsidR="00623068" w:rsidRPr="00623068">
        <w:rPr>
          <w:sz w:val="22"/>
          <w:szCs w:val="22"/>
        </w:rPr>
        <w:t>rurociągu ropy naftowej Gdańsk</w:t>
      </w:r>
      <w:r w:rsidR="00623068">
        <w:rPr>
          <w:sz w:val="22"/>
          <w:szCs w:val="22"/>
        </w:rPr>
        <w:t>-</w:t>
      </w:r>
      <w:r w:rsidR="00623068" w:rsidRPr="00623068">
        <w:rPr>
          <w:sz w:val="22"/>
          <w:szCs w:val="22"/>
        </w:rPr>
        <w:t>Płock</w:t>
      </w:r>
      <w:r w:rsidR="00623068">
        <w:rPr>
          <w:sz w:val="22"/>
          <w:szCs w:val="22"/>
        </w:rPr>
        <w:t>.</w:t>
      </w:r>
    </w:p>
    <w:p w14:paraId="0B28F4DD" w14:textId="368EF358" w:rsidR="00CD3F18" w:rsidRPr="00F06F77" w:rsidRDefault="00391386" w:rsidP="001E394B">
      <w:pPr>
        <w:tabs>
          <w:tab w:val="left" w:pos="2977"/>
        </w:tabs>
        <w:spacing w:after="240" w:line="240" w:lineRule="exact"/>
        <w:jc w:val="both"/>
        <w:outlineLvl w:val="0"/>
        <w:rPr>
          <w:rFonts w:ascii="Lato" w:eastAsia="Calibri" w:hAnsi="Lato"/>
          <w:bCs/>
          <w:iCs/>
          <w:spacing w:val="4"/>
          <w:sz w:val="22"/>
          <w:szCs w:val="22"/>
          <w:lang w:eastAsia="en-US" w:bidi="pl-PL"/>
        </w:rPr>
      </w:pPr>
      <w:r w:rsidRPr="00F06F77">
        <w:rPr>
          <w:rFonts w:ascii="Lato" w:eastAsia="Calibri" w:hAnsi="Lato"/>
          <w:bCs/>
          <w:iCs/>
          <w:spacing w:val="4"/>
          <w:sz w:val="22"/>
          <w:szCs w:val="22"/>
          <w:lang w:eastAsia="en-US" w:bidi="pl-PL"/>
        </w:rPr>
        <w:t xml:space="preserve">Należy przychylić się do </w:t>
      </w:r>
      <w:r w:rsidR="00761C1D" w:rsidRPr="00F06F77">
        <w:rPr>
          <w:rFonts w:ascii="Lato" w:eastAsia="Calibri" w:hAnsi="Lato"/>
          <w:bCs/>
          <w:iCs/>
          <w:spacing w:val="4"/>
          <w:sz w:val="22"/>
          <w:szCs w:val="22"/>
          <w:lang w:eastAsia="en-US" w:bidi="pl-PL"/>
        </w:rPr>
        <w:t>wyjaśnień</w:t>
      </w:r>
      <w:r w:rsidRPr="00F06F77">
        <w:rPr>
          <w:rFonts w:ascii="Lato" w:eastAsia="Calibri" w:hAnsi="Lato"/>
          <w:bCs/>
          <w:iCs/>
          <w:spacing w:val="4"/>
          <w:sz w:val="22"/>
          <w:szCs w:val="22"/>
          <w:lang w:eastAsia="en-US" w:bidi="pl-PL"/>
        </w:rPr>
        <w:t xml:space="preserve"> </w:t>
      </w:r>
      <w:r w:rsidRPr="005C749E">
        <w:rPr>
          <w:rFonts w:ascii="Lato" w:eastAsia="Calibri" w:hAnsi="Lato"/>
          <w:bCs/>
          <w:i/>
          <w:spacing w:val="4"/>
          <w:sz w:val="22"/>
          <w:szCs w:val="22"/>
          <w:lang w:eastAsia="en-US" w:bidi="pl-PL"/>
        </w:rPr>
        <w:t>inwestora,</w:t>
      </w:r>
      <w:r w:rsidRPr="00F06F77">
        <w:rPr>
          <w:rFonts w:ascii="Lato" w:eastAsia="Calibri" w:hAnsi="Lato"/>
          <w:bCs/>
          <w:iCs/>
          <w:spacing w:val="4"/>
          <w:sz w:val="22"/>
          <w:szCs w:val="22"/>
          <w:lang w:eastAsia="en-US" w:bidi="pl-PL"/>
        </w:rPr>
        <w:t xml:space="preserve"> iż p</w:t>
      </w:r>
      <w:r w:rsidR="001E394B" w:rsidRPr="00F06F77">
        <w:rPr>
          <w:rFonts w:ascii="Lato" w:eastAsia="Calibri" w:hAnsi="Lato"/>
          <w:bCs/>
          <w:iCs/>
          <w:spacing w:val="4"/>
          <w:sz w:val="22"/>
          <w:szCs w:val="22"/>
          <w:lang w:eastAsia="en-US" w:bidi="pl-PL"/>
        </w:rPr>
        <w:t>rzy projektowaniu tak długiego rurociągu nie sposób go prowadzić w całości pomijając nieruchomości prywatne</w:t>
      </w:r>
      <w:r w:rsidR="008E3CCB" w:rsidRPr="00F06F77">
        <w:rPr>
          <w:rFonts w:ascii="Lato" w:eastAsia="Calibri" w:hAnsi="Lato"/>
          <w:bCs/>
          <w:iCs/>
          <w:spacing w:val="4"/>
          <w:sz w:val="22"/>
          <w:szCs w:val="22"/>
          <w:lang w:eastAsia="en-US" w:bidi="pl-PL"/>
        </w:rPr>
        <w:t>.</w:t>
      </w:r>
      <w:r w:rsidR="001E394B" w:rsidRPr="00F06F77">
        <w:rPr>
          <w:rFonts w:ascii="Lato" w:eastAsia="Calibri" w:hAnsi="Lato"/>
          <w:bCs/>
          <w:iCs/>
          <w:spacing w:val="4"/>
          <w:sz w:val="22"/>
          <w:szCs w:val="22"/>
          <w:lang w:eastAsia="en-US" w:bidi="pl-PL"/>
        </w:rPr>
        <w:t xml:space="preserve"> </w:t>
      </w:r>
      <w:r w:rsidR="008E3CCB" w:rsidRPr="00F06F77">
        <w:rPr>
          <w:rFonts w:ascii="Lato" w:eastAsia="Calibri" w:hAnsi="Lato"/>
          <w:bCs/>
          <w:iCs/>
          <w:spacing w:val="4"/>
          <w:sz w:val="22"/>
          <w:szCs w:val="22"/>
          <w:lang w:eastAsia="en-US" w:bidi="pl-PL"/>
        </w:rPr>
        <w:t>Z</w:t>
      </w:r>
      <w:r w:rsidR="001E394B" w:rsidRPr="00F06F77">
        <w:rPr>
          <w:rFonts w:ascii="Lato" w:eastAsia="Calibri" w:hAnsi="Lato"/>
          <w:bCs/>
          <w:iCs/>
          <w:spacing w:val="4"/>
          <w:sz w:val="22"/>
          <w:szCs w:val="22"/>
          <w:lang w:eastAsia="en-US" w:bidi="pl-PL"/>
        </w:rPr>
        <w:t xml:space="preserve">arówno projektant jak i </w:t>
      </w:r>
      <w:r w:rsidR="001E394B" w:rsidRPr="00F06F77">
        <w:rPr>
          <w:rFonts w:ascii="Lato" w:eastAsia="Calibri" w:hAnsi="Lato"/>
          <w:bCs/>
          <w:i/>
          <w:spacing w:val="4"/>
          <w:sz w:val="22"/>
          <w:szCs w:val="22"/>
          <w:lang w:eastAsia="en-US" w:bidi="pl-PL"/>
        </w:rPr>
        <w:t>inwestor</w:t>
      </w:r>
      <w:r w:rsidR="001E394B" w:rsidRPr="00F06F77">
        <w:rPr>
          <w:rFonts w:ascii="Lato" w:eastAsia="Calibri" w:hAnsi="Lato"/>
          <w:bCs/>
          <w:iCs/>
          <w:spacing w:val="4"/>
          <w:sz w:val="22"/>
          <w:szCs w:val="22"/>
          <w:lang w:eastAsia="en-US" w:bidi="pl-PL"/>
        </w:rPr>
        <w:t xml:space="preserve"> dołożyli wszelkich starań by zminimalizować negatywny wpływ dla społeczeństwa. </w:t>
      </w:r>
      <w:r w:rsidR="00761C1D" w:rsidRPr="00F06F77">
        <w:rPr>
          <w:rFonts w:ascii="Lato" w:eastAsia="Calibri" w:hAnsi="Lato"/>
          <w:bCs/>
          <w:iCs/>
          <w:spacing w:val="4"/>
          <w:sz w:val="22"/>
          <w:szCs w:val="22"/>
          <w:lang w:eastAsia="en-US" w:bidi="pl-PL"/>
        </w:rPr>
        <w:t xml:space="preserve"> </w:t>
      </w:r>
      <w:r w:rsidR="00761C1D" w:rsidRPr="005C749E">
        <w:rPr>
          <w:rFonts w:ascii="Lato" w:eastAsia="Calibri" w:hAnsi="Lato"/>
          <w:bCs/>
          <w:i/>
          <w:spacing w:val="4"/>
          <w:sz w:val="22"/>
          <w:szCs w:val="22"/>
          <w:lang w:eastAsia="en-US" w:bidi="pl-PL"/>
        </w:rPr>
        <w:t>Inwestor</w:t>
      </w:r>
      <w:r w:rsidR="00761C1D" w:rsidRPr="00F06F77">
        <w:rPr>
          <w:rFonts w:ascii="Lato" w:eastAsia="Calibri" w:hAnsi="Lato"/>
          <w:bCs/>
          <w:iCs/>
          <w:spacing w:val="4"/>
          <w:sz w:val="22"/>
          <w:szCs w:val="22"/>
          <w:lang w:eastAsia="en-US" w:bidi="pl-PL"/>
        </w:rPr>
        <w:t xml:space="preserve"> </w:t>
      </w:r>
      <w:r w:rsidR="00CD3F18" w:rsidRPr="00F06F77">
        <w:rPr>
          <w:rFonts w:ascii="Lato" w:eastAsia="Calibri" w:hAnsi="Lato"/>
          <w:bCs/>
          <w:iCs/>
          <w:spacing w:val="4"/>
          <w:sz w:val="22"/>
          <w:szCs w:val="22"/>
          <w:lang w:eastAsia="en-US" w:bidi="pl-PL"/>
        </w:rPr>
        <w:t>podkreśl</w:t>
      </w:r>
      <w:r w:rsidR="00761C1D" w:rsidRPr="00F06F77">
        <w:rPr>
          <w:rFonts w:ascii="Lato" w:eastAsia="Calibri" w:hAnsi="Lato"/>
          <w:bCs/>
          <w:iCs/>
          <w:spacing w:val="4"/>
          <w:sz w:val="22"/>
          <w:szCs w:val="22"/>
          <w:lang w:eastAsia="en-US" w:bidi="pl-PL"/>
        </w:rPr>
        <w:t>ił</w:t>
      </w:r>
      <w:r w:rsidR="00CD3F18" w:rsidRPr="00F06F77">
        <w:rPr>
          <w:rFonts w:ascii="Lato" w:eastAsia="Calibri" w:hAnsi="Lato"/>
          <w:bCs/>
          <w:iCs/>
          <w:spacing w:val="4"/>
          <w:sz w:val="22"/>
          <w:szCs w:val="22"/>
          <w:lang w:eastAsia="en-US" w:bidi="pl-PL"/>
        </w:rPr>
        <w:t>, iż na etapie projektowania analizowane są różne warianty rurociągu oraz brane są pod uwagę istniejące zagospodarowani</w:t>
      </w:r>
      <w:r w:rsidR="002A22D3" w:rsidRPr="00F06F77">
        <w:rPr>
          <w:rFonts w:ascii="Lato" w:eastAsia="Calibri" w:hAnsi="Lato"/>
          <w:bCs/>
          <w:iCs/>
          <w:spacing w:val="4"/>
          <w:sz w:val="22"/>
          <w:szCs w:val="22"/>
          <w:lang w:eastAsia="en-US" w:bidi="pl-PL"/>
        </w:rPr>
        <w:t>a</w:t>
      </w:r>
      <w:r w:rsidR="00CD3F18" w:rsidRPr="00F06F77">
        <w:rPr>
          <w:rFonts w:ascii="Lato" w:eastAsia="Calibri" w:hAnsi="Lato"/>
          <w:bCs/>
          <w:iCs/>
          <w:spacing w:val="4"/>
          <w:sz w:val="22"/>
          <w:szCs w:val="22"/>
          <w:lang w:eastAsia="en-US" w:bidi="pl-PL"/>
        </w:rPr>
        <w:t xml:space="preserve"> przestrzenne, czynniki techniczne, prawe, ekonomiczne, warunki terenowe, gruntowo-wodne, wykonawcze oraz przyrodniczo-środowiskowe. Istotne znaczenie przy doborze rozwiązań projektowych ma także istniejąca infrastruktura np. energetyczna, drogowa, kolejowa. Sposób przekroczenia miejsc kolizyjnych określony jest w rozporządzeniach oraz wydanych uzgodnieniach, których projektant musi bezwzględnie przestrzegać. Trasa rurociągu jest analizowana pod kątem zminimalizowania jej wpływu na istniejącą zabudowę i infrastrukturę. W przypad</w:t>
      </w:r>
      <w:r w:rsidR="008434CC" w:rsidRPr="00F06F77">
        <w:rPr>
          <w:rFonts w:ascii="Lato" w:eastAsia="Calibri" w:hAnsi="Lato"/>
          <w:bCs/>
          <w:iCs/>
          <w:spacing w:val="4"/>
          <w:sz w:val="22"/>
          <w:szCs w:val="22"/>
          <w:lang w:eastAsia="en-US" w:bidi="pl-PL"/>
        </w:rPr>
        <w:t xml:space="preserve">ku </w:t>
      </w:r>
      <w:r w:rsidR="00CD3F18" w:rsidRPr="00F06F77">
        <w:rPr>
          <w:rFonts w:ascii="Lato" w:eastAsia="Calibri" w:hAnsi="Lato"/>
          <w:bCs/>
          <w:iCs/>
          <w:spacing w:val="4"/>
          <w:sz w:val="22"/>
          <w:szCs w:val="22"/>
          <w:lang w:eastAsia="en-US" w:bidi="pl-PL"/>
        </w:rPr>
        <w:t>przedmiotowej inwestycji jednym z priorytetów projektanta było zachowanie dużej odległości rurociągu od istniejącej zabudowy oraz poprowadzenie go wzdłuż granic nieruchomości. Cały proces był podporządkowany względom bezpieczeństwa właścicieli i posadowienia w gruncie infrastruktury.</w:t>
      </w:r>
    </w:p>
    <w:p w14:paraId="4B1733B0" w14:textId="798356E1" w:rsidR="001E394B" w:rsidRPr="00F06F77" w:rsidRDefault="001E394B" w:rsidP="001E394B">
      <w:pPr>
        <w:tabs>
          <w:tab w:val="left" w:pos="2977"/>
        </w:tabs>
        <w:spacing w:after="240" w:line="240" w:lineRule="exact"/>
        <w:jc w:val="both"/>
        <w:outlineLvl w:val="0"/>
        <w:rPr>
          <w:rFonts w:ascii="Lato" w:eastAsia="Calibri" w:hAnsi="Lato"/>
          <w:bCs/>
          <w:iCs/>
          <w:spacing w:val="4"/>
          <w:sz w:val="22"/>
          <w:szCs w:val="22"/>
          <w:lang w:eastAsia="en-US" w:bidi="pl-PL"/>
        </w:rPr>
      </w:pPr>
      <w:r w:rsidRPr="00F06F77">
        <w:rPr>
          <w:rFonts w:ascii="Lato" w:eastAsia="Calibri" w:hAnsi="Lato"/>
          <w:bCs/>
          <w:i/>
          <w:spacing w:val="4"/>
          <w:sz w:val="22"/>
          <w:szCs w:val="22"/>
          <w:lang w:eastAsia="en-US" w:bidi="pl-PL"/>
        </w:rPr>
        <w:t>Inwestor</w:t>
      </w:r>
      <w:r w:rsidRPr="00F06F77">
        <w:rPr>
          <w:rFonts w:ascii="Lato" w:eastAsia="Calibri" w:hAnsi="Lato"/>
          <w:bCs/>
          <w:iCs/>
          <w:spacing w:val="4"/>
          <w:sz w:val="22"/>
          <w:szCs w:val="22"/>
          <w:lang w:eastAsia="en-US" w:bidi="pl-PL"/>
        </w:rPr>
        <w:t xml:space="preserve"> </w:t>
      </w:r>
      <w:r w:rsidR="000F1985" w:rsidRPr="00F06F77">
        <w:rPr>
          <w:rFonts w:ascii="Lato" w:eastAsia="Calibri" w:hAnsi="Lato"/>
          <w:bCs/>
          <w:iCs/>
          <w:spacing w:val="4"/>
          <w:sz w:val="22"/>
          <w:szCs w:val="22"/>
          <w:lang w:eastAsia="en-US" w:bidi="pl-PL"/>
        </w:rPr>
        <w:t>wskazał</w:t>
      </w:r>
      <w:r w:rsidR="008434CC" w:rsidRPr="00F06F77">
        <w:rPr>
          <w:rFonts w:ascii="Lato" w:eastAsia="Calibri" w:hAnsi="Lato"/>
          <w:bCs/>
          <w:iCs/>
          <w:spacing w:val="4"/>
          <w:sz w:val="22"/>
          <w:szCs w:val="22"/>
          <w:lang w:eastAsia="en-US" w:bidi="pl-PL"/>
        </w:rPr>
        <w:t xml:space="preserve"> także,</w:t>
      </w:r>
      <w:r w:rsidRPr="00F06F77">
        <w:rPr>
          <w:rFonts w:ascii="Lato" w:eastAsia="Calibri" w:hAnsi="Lato"/>
          <w:bCs/>
          <w:iCs/>
          <w:spacing w:val="4"/>
          <w:sz w:val="22"/>
          <w:szCs w:val="22"/>
          <w:lang w:eastAsia="en-US" w:bidi="pl-PL"/>
        </w:rPr>
        <w:t xml:space="preserve"> iż podczas wyznaczenia przebiegu trasy projektowanego </w:t>
      </w:r>
      <w:r w:rsidR="008434CC" w:rsidRPr="00F06F77">
        <w:rPr>
          <w:rFonts w:ascii="Lato" w:eastAsia="Calibri" w:hAnsi="Lato"/>
          <w:bCs/>
          <w:iCs/>
          <w:spacing w:val="4"/>
          <w:sz w:val="22"/>
          <w:szCs w:val="22"/>
          <w:lang w:eastAsia="en-US" w:bidi="pl-PL"/>
        </w:rPr>
        <w:t xml:space="preserve">ropociągu </w:t>
      </w:r>
      <w:r w:rsidRPr="00F06F77">
        <w:rPr>
          <w:rFonts w:ascii="Lato" w:eastAsia="Calibri" w:hAnsi="Lato"/>
          <w:bCs/>
          <w:iCs/>
          <w:spacing w:val="4"/>
          <w:sz w:val="22"/>
          <w:szCs w:val="22"/>
          <w:lang w:eastAsia="en-US" w:bidi="pl-PL"/>
        </w:rPr>
        <w:t>wzi</w:t>
      </w:r>
      <w:r w:rsidR="008434CC" w:rsidRPr="00F06F77">
        <w:rPr>
          <w:rFonts w:ascii="Lato" w:eastAsia="Calibri" w:hAnsi="Lato"/>
          <w:bCs/>
          <w:iCs/>
          <w:spacing w:val="4"/>
          <w:sz w:val="22"/>
          <w:szCs w:val="22"/>
          <w:lang w:eastAsia="en-US" w:bidi="pl-PL"/>
        </w:rPr>
        <w:t>ęto</w:t>
      </w:r>
      <w:r w:rsidRPr="00F06F77">
        <w:rPr>
          <w:rFonts w:ascii="Lato" w:eastAsia="Calibri" w:hAnsi="Lato"/>
          <w:bCs/>
          <w:iCs/>
          <w:spacing w:val="4"/>
          <w:sz w:val="22"/>
          <w:szCs w:val="22"/>
          <w:lang w:eastAsia="en-US" w:bidi="pl-PL"/>
        </w:rPr>
        <w:t xml:space="preserve"> pod uwagę wszelkie okoliczności</w:t>
      </w:r>
      <w:r w:rsidR="000F1985" w:rsidRPr="00F06F77">
        <w:rPr>
          <w:rFonts w:ascii="Lato" w:eastAsia="Calibri" w:hAnsi="Lato"/>
          <w:bCs/>
          <w:iCs/>
          <w:spacing w:val="4"/>
          <w:sz w:val="22"/>
          <w:szCs w:val="22"/>
          <w:lang w:eastAsia="en-US" w:bidi="pl-PL"/>
        </w:rPr>
        <w:t>,</w:t>
      </w:r>
      <w:r w:rsidRPr="00F06F77">
        <w:rPr>
          <w:rFonts w:ascii="Lato" w:eastAsia="Calibri" w:hAnsi="Lato"/>
          <w:bCs/>
          <w:iCs/>
          <w:spacing w:val="4"/>
          <w:sz w:val="22"/>
          <w:szCs w:val="22"/>
          <w:lang w:eastAsia="en-US" w:bidi="pl-PL"/>
        </w:rPr>
        <w:t xml:space="preserve"> warunki techniczne</w:t>
      </w:r>
      <w:r w:rsidR="000F1985" w:rsidRPr="00F06F77">
        <w:rPr>
          <w:rFonts w:ascii="Lato" w:eastAsia="Calibri" w:hAnsi="Lato"/>
          <w:bCs/>
          <w:iCs/>
          <w:spacing w:val="4"/>
          <w:sz w:val="22"/>
          <w:szCs w:val="22"/>
          <w:lang w:eastAsia="en-US" w:bidi="pl-PL"/>
        </w:rPr>
        <w:t>,</w:t>
      </w:r>
      <w:r w:rsidRPr="00F06F77">
        <w:rPr>
          <w:rFonts w:ascii="Lato" w:eastAsia="Calibri" w:hAnsi="Lato"/>
          <w:bCs/>
          <w:iCs/>
          <w:spacing w:val="4"/>
          <w:sz w:val="22"/>
          <w:szCs w:val="22"/>
          <w:lang w:eastAsia="en-US" w:bidi="pl-PL"/>
        </w:rPr>
        <w:t xml:space="preserve"> warunki geologiczne i dołoż</w:t>
      </w:r>
      <w:r w:rsidR="008434CC" w:rsidRPr="00F06F77">
        <w:rPr>
          <w:rFonts w:ascii="Lato" w:eastAsia="Calibri" w:hAnsi="Lato"/>
          <w:bCs/>
          <w:iCs/>
          <w:spacing w:val="4"/>
          <w:sz w:val="22"/>
          <w:szCs w:val="22"/>
          <w:lang w:eastAsia="en-US" w:bidi="pl-PL"/>
        </w:rPr>
        <w:t>ono</w:t>
      </w:r>
      <w:r w:rsidRPr="00F06F77">
        <w:rPr>
          <w:rFonts w:ascii="Lato" w:eastAsia="Calibri" w:hAnsi="Lato"/>
          <w:bCs/>
          <w:iCs/>
          <w:spacing w:val="4"/>
          <w:sz w:val="22"/>
          <w:szCs w:val="22"/>
          <w:lang w:eastAsia="en-US" w:bidi="pl-PL"/>
        </w:rPr>
        <w:t xml:space="preserve"> wszelkich </w:t>
      </w:r>
      <w:r w:rsidR="008E3CCB" w:rsidRPr="00F06F77">
        <w:rPr>
          <w:rFonts w:ascii="Lato" w:eastAsia="Calibri" w:hAnsi="Lato"/>
          <w:bCs/>
          <w:iCs/>
          <w:spacing w:val="4"/>
          <w:sz w:val="22"/>
          <w:szCs w:val="22"/>
          <w:lang w:eastAsia="en-US" w:bidi="pl-PL"/>
        </w:rPr>
        <w:t>starań,</w:t>
      </w:r>
      <w:r w:rsidRPr="00F06F77">
        <w:rPr>
          <w:rFonts w:ascii="Lato" w:eastAsia="Calibri" w:hAnsi="Lato"/>
          <w:bCs/>
          <w:iCs/>
          <w:spacing w:val="4"/>
          <w:sz w:val="22"/>
          <w:szCs w:val="22"/>
          <w:lang w:eastAsia="en-US" w:bidi="pl-PL"/>
        </w:rPr>
        <w:t xml:space="preserve"> aby lokalizacja nie była uciążliwa dla właścicieli</w:t>
      </w:r>
      <w:r w:rsidR="00CD3F18" w:rsidRPr="00F06F77">
        <w:rPr>
          <w:rFonts w:ascii="Lato" w:eastAsia="Calibri" w:hAnsi="Lato"/>
          <w:bCs/>
          <w:iCs/>
          <w:spacing w:val="4"/>
          <w:sz w:val="22"/>
          <w:szCs w:val="22"/>
          <w:lang w:eastAsia="en-US" w:bidi="pl-PL"/>
        </w:rPr>
        <w:t xml:space="preserve"> nieruchomości oraz w jak najmniejszym stopniu ograniczała jej dotychczasowe zagospodarowanie w pobliżu zabudowań. Trasa została zoptymalizowania biorąc pod uwagę wszelkie powyższe czynniki i jej przebieg został uznany przez projektantów</w:t>
      </w:r>
      <w:r w:rsidR="00FE6A6B">
        <w:rPr>
          <w:rFonts w:ascii="Lato" w:eastAsia="Calibri" w:hAnsi="Lato"/>
          <w:bCs/>
          <w:iCs/>
          <w:spacing w:val="4"/>
          <w:sz w:val="22"/>
          <w:szCs w:val="22"/>
          <w:lang w:eastAsia="en-US" w:bidi="pl-PL"/>
        </w:rPr>
        <w:br/>
      </w:r>
      <w:r w:rsidR="00CD3F18" w:rsidRPr="00F06F77">
        <w:rPr>
          <w:rFonts w:ascii="Lato" w:eastAsia="Calibri" w:hAnsi="Lato"/>
          <w:bCs/>
          <w:iCs/>
          <w:spacing w:val="4"/>
          <w:sz w:val="22"/>
          <w:szCs w:val="22"/>
          <w:lang w:eastAsia="en-US" w:bidi="pl-PL"/>
        </w:rPr>
        <w:t>za najlepszy z możliwych. Zastosowanie środków ochrony mają na celu zapewnienie trwałości rurociągu i jej bezpieczne funkcjonowanie przez lata.</w:t>
      </w:r>
    </w:p>
    <w:p w14:paraId="60278ADE" w14:textId="78E135E1" w:rsidR="001E394B" w:rsidRPr="00F06F77" w:rsidRDefault="001E394B" w:rsidP="001E394B">
      <w:pPr>
        <w:tabs>
          <w:tab w:val="left" w:pos="2977"/>
        </w:tabs>
        <w:spacing w:after="240" w:line="240" w:lineRule="exact"/>
        <w:jc w:val="both"/>
        <w:outlineLvl w:val="0"/>
        <w:rPr>
          <w:rFonts w:ascii="Lato" w:eastAsia="Calibri" w:hAnsi="Lato"/>
          <w:bCs/>
          <w:iCs/>
          <w:spacing w:val="4"/>
          <w:sz w:val="22"/>
          <w:szCs w:val="22"/>
          <w:lang w:eastAsia="en-US" w:bidi="pl-PL"/>
        </w:rPr>
      </w:pPr>
      <w:r w:rsidRPr="00F06F77">
        <w:rPr>
          <w:rFonts w:ascii="Lato" w:eastAsia="Calibri" w:hAnsi="Lato"/>
          <w:bCs/>
          <w:iCs/>
          <w:spacing w:val="4"/>
          <w:sz w:val="22"/>
          <w:szCs w:val="22"/>
          <w:lang w:eastAsia="en-US" w:bidi="pl-PL"/>
        </w:rPr>
        <w:t xml:space="preserve">Ponownie należy podkreślić, iż </w:t>
      </w:r>
      <w:r w:rsidRPr="00F06F77">
        <w:rPr>
          <w:rFonts w:ascii="Lato" w:eastAsia="Calibri" w:hAnsi="Lato"/>
          <w:bCs/>
          <w:i/>
          <w:spacing w:val="4"/>
          <w:sz w:val="22"/>
          <w:szCs w:val="22"/>
          <w:lang w:eastAsia="en-US" w:bidi="pl-PL"/>
        </w:rPr>
        <w:t>inwestor</w:t>
      </w:r>
      <w:r w:rsidRPr="00F06F77">
        <w:rPr>
          <w:rFonts w:ascii="Lato" w:eastAsia="Calibri" w:hAnsi="Lato"/>
          <w:bCs/>
          <w:iCs/>
          <w:spacing w:val="4"/>
          <w:sz w:val="22"/>
          <w:szCs w:val="22"/>
          <w:lang w:eastAsia="en-US" w:bidi="pl-PL"/>
        </w:rPr>
        <w:t xml:space="preserve"> we wniosku o wydanie decyzji o ustaleniu lokalizacji strategicznej inwestycji w sektorze naftowym decyduje o jej przebiegu oraz o wielkości</w:t>
      </w:r>
      <w:r w:rsidR="00F1322C" w:rsidRPr="00F06F77">
        <w:rPr>
          <w:rFonts w:ascii="Lato" w:eastAsia="Calibri" w:hAnsi="Lato"/>
          <w:bCs/>
          <w:iCs/>
          <w:spacing w:val="4"/>
          <w:sz w:val="22"/>
          <w:szCs w:val="22"/>
          <w:lang w:eastAsia="en-US" w:bidi="pl-PL"/>
        </w:rPr>
        <w:t xml:space="preserve"> </w:t>
      </w:r>
      <w:r w:rsidRPr="00F06F77">
        <w:rPr>
          <w:rFonts w:ascii="Lato" w:eastAsia="Calibri" w:hAnsi="Lato"/>
          <w:bCs/>
          <w:iCs/>
          <w:spacing w:val="4"/>
          <w:sz w:val="22"/>
          <w:szCs w:val="22"/>
          <w:lang w:eastAsia="en-US" w:bidi="pl-PL"/>
        </w:rPr>
        <w:t xml:space="preserve">terenu niezbędnego dla obiektów budowlanych, załączając mapy przedstawiające proponowany przebieg inwestycji oraz mapy zawierające projekty podziałów nieruchomości. Organ nie może modyfikować wniosku </w:t>
      </w:r>
      <w:r w:rsidRPr="00F06F77">
        <w:rPr>
          <w:rFonts w:ascii="Lato" w:eastAsia="Calibri" w:hAnsi="Lato"/>
          <w:bCs/>
          <w:i/>
          <w:spacing w:val="4"/>
          <w:sz w:val="22"/>
          <w:szCs w:val="22"/>
          <w:lang w:eastAsia="en-US" w:bidi="pl-PL"/>
        </w:rPr>
        <w:t>inwestora</w:t>
      </w:r>
      <w:r w:rsidRPr="00F06F77">
        <w:rPr>
          <w:rFonts w:ascii="Lato" w:eastAsia="Calibri" w:hAnsi="Lato"/>
          <w:bCs/>
          <w:iCs/>
          <w:spacing w:val="4"/>
          <w:sz w:val="22"/>
          <w:szCs w:val="22"/>
          <w:lang w:eastAsia="en-US" w:bidi="pl-PL"/>
        </w:rPr>
        <w:t>, ani też korygować przebiegu linii. Nie ma kompetencji do oceny jej celowości, czy też słuszności ewentualnej realizacji inwestycji celu publicznego</w:t>
      </w:r>
      <w:r w:rsidR="00F1322C" w:rsidRPr="00F06F77">
        <w:rPr>
          <w:rFonts w:ascii="Lato" w:eastAsia="Calibri" w:hAnsi="Lato"/>
          <w:bCs/>
          <w:iCs/>
          <w:spacing w:val="4"/>
          <w:sz w:val="22"/>
          <w:szCs w:val="22"/>
          <w:lang w:eastAsia="en-US" w:bidi="pl-PL"/>
        </w:rPr>
        <w:t xml:space="preserve"> </w:t>
      </w:r>
      <w:r w:rsidRPr="00F06F77">
        <w:rPr>
          <w:rFonts w:ascii="Lato" w:eastAsia="Calibri" w:hAnsi="Lato"/>
          <w:bCs/>
          <w:iCs/>
          <w:spacing w:val="4"/>
          <w:sz w:val="22"/>
          <w:szCs w:val="22"/>
          <w:lang w:eastAsia="en-US" w:bidi="pl-PL"/>
        </w:rPr>
        <w:t xml:space="preserve">w inny sposób. </w:t>
      </w:r>
      <w:r w:rsidRPr="00F06F77">
        <w:rPr>
          <w:rFonts w:ascii="Lato" w:eastAsia="Calibri" w:hAnsi="Lato"/>
          <w:bCs/>
          <w:i/>
          <w:spacing w:val="4"/>
          <w:sz w:val="22"/>
          <w:szCs w:val="22"/>
          <w:lang w:eastAsia="en-US" w:bidi="pl-PL"/>
        </w:rPr>
        <w:t>Inwestor</w:t>
      </w:r>
      <w:r w:rsidRPr="00F06F77">
        <w:rPr>
          <w:rFonts w:ascii="Lato" w:eastAsia="Calibri" w:hAnsi="Lato"/>
          <w:bCs/>
          <w:iCs/>
          <w:spacing w:val="4"/>
          <w:sz w:val="22"/>
          <w:szCs w:val="22"/>
          <w:lang w:eastAsia="en-US" w:bidi="pl-PL"/>
        </w:rPr>
        <w:t xml:space="preserve"> jest kreatorem miejsca, sposobu i kształtu realizacji inwestycji, organ wyznacza granice tej kreacji, poprzez ocenę prawną.</w:t>
      </w:r>
    </w:p>
    <w:p w14:paraId="693DBEC0" w14:textId="36F0CB7A" w:rsidR="00CD3F18" w:rsidRPr="00CD3F18" w:rsidRDefault="00CD3F18" w:rsidP="00CD3F18">
      <w:pPr>
        <w:tabs>
          <w:tab w:val="left" w:pos="2977"/>
        </w:tabs>
        <w:spacing w:after="240" w:line="240" w:lineRule="exact"/>
        <w:jc w:val="both"/>
        <w:outlineLvl w:val="0"/>
        <w:rPr>
          <w:rFonts w:ascii="Lato" w:eastAsia="Calibri" w:hAnsi="Lato"/>
          <w:bCs/>
          <w:i/>
          <w:iCs/>
          <w:spacing w:val="4"/>
          <w:sz w:val="22"/>
          <w:szCs w:val="22"/>
          <w:highlight w:val="magenta"/>
          <w:lang w:eastAsia="en-US" w:bidi="pl-PL"/>
        </w:rPr>
      </w:pPr>
      <w:r w:rsidRPr="00F06F77">
        <w:rPr>
          <w:rFonts w:ascii="Lato" w:eastAsia="Calibri" w:hAnsi="Lato"/>
          <w:bCs/>
          <w:iCs/>
          <w:spacing w:val="4"/>
          <w:sz w:val="22"/>
          <w:szCs w:val="22"/>
          <w:lang w:eastAsia="en-US" w:bidi="pl-PL"/>
        </w:rPr>
        <w:t xml:space="preserve">Wyjaśnić także należy, iż wariantowanie przebiegu liniowej inwestycji infrastrukturalnej odbywa się na etapie postępowania w sprawie określenia środowiskowych uwarunkowań przedsięwzięcia i to właśnie w tym postępowaniu </w:t>
      </w:r>
      <w:r w:rsidRPr="00CD3F18">
        <w:rPr>
          <w:rFonts w:ascii="Lato" w:eastAsia="Calibri" w:hAnsi="Lato"/>
          <w:bCs/>
          <w:iCs/>
          <w:spacing w:val="4"/>
          <w:sz w:val="22"/>
          <w:szCs w:val="22"/>
          <w:lang w:eastAsia="en-US" w:bidi="pl-PL"/>
        </w:rPr>
        <w:t xml:space="preserve">strony mogą wnosić </w:t>
      </w:r>
      <w:r w:rsidRPr="00CD3F18">
        <w:rPr>
          <w:rFonts w:ascii="Lato" w:eastAsia="Calibri" w:hAnsi="Lato"/>
          <w:bCs/>
          <w:iCs/>
          <w:spacing w:val="4"/>
          <w:sz w:val="22"/>
          <w:szCs w:val="22"/>
          <w:lang w:eastAsia="en-US" w:bidi="pl-PL"/>
        </w:rPr>
        <w:lastRenderedPageBreak/>
        <w:t xml:space="preserve">uwagi, co do trasy projektowanej inwestycji. To na etapie postępowania środowiskowego, zakończonego wydaniem </w:t>
      </w:r>
      <w:r w:rsidRPr="00CD3F18">
        <w:rPr>
          <w:rFonts w:ascii="Lato" w:eastAsia="Calibri" w:hAnsi="Lato"/>
          <w:bCs/>
          <w:i/>
          <w:spacing w:val="4"/>
          <w:sz w:val="22"/>
          <w:szCs w:val="22"/>
          <w:lang w:eastAsia="en-US" w:bidi="pl-PL"/>
        </w:rPr>
        <w:t>decyzji</w:t>
      </w:r>
      <w:r>
        <w:rPr>
          <w:rFonts w:ascii="Lato" w:eastAsia="Calibri" w:hAnsi="Lato"/>
          <w:bCs/>
          <w:iCs/>
          <w:spacing w:val="4"/>
          <w:sz w:val="22"/>
          <w:szCs w:val="22"/>
          <w:lang w:eastAsia="en-US" w:bidi="pl-PL"/>
        </w:rPr>
        <w:t xml:space="preserve"> </w:t>
      </w:r>
      <w:r w:rsidRPr="00CD3F18">
        <w:rPr>
          <w:rFonts w:ascii="Lato" w:eastAsia="Calibri" w:hAnsi="Lato"/>
          <w:bCs/>
          <w:i/>
          <w:iCs/>
          <w:spacing w:val="4"/>
          <w:sz w:val="22"/>
          <w:szCs w:val="22"/>
          <w:lang w:eastAsia="en-US" w:bidi="pl-PL"/>
        </w:rPr>
        <w:t xml:space="preserve">RDOŚ o środowiskowych uwarunkowaniach </w:t>
      </w:r>
      <w:r w:rsidRPr="00CD3F18">
        <w:rPr>
          <w:rFonts w:ascii="Lato" w:eastAsia="Calibri" w:hAnsi="Lato"/>
          <w:bCs/>
          <w:iCs/>
          <w:spacing w:val="4"/>
          <w:sz w:val="22"/>
          <w:szCs w:val="22"/>
          <w:lang w:eastAsia="en-US" w:bidi="pl-PL"/>
        </w:rPr>
        <w:t xml:space="preserve">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p>
    <w:p w14:paraId="730EEB3F" w14:textId="5AC6C4E0" w:rsidR="008B2C0E" w:rsidRPr="008B2C0E" w:rsidRDefault="008B2C0E" w:rsidP="008B2C0E">
      <w:pPr>
        <w:tabs>
          <w:tab w:val="left" w:pos="2977"/>
        </w:tabs>
        <w:spacing w:after="240" w:line="240" w:lineRule="exact"/>
        <w:jc w:val="both"/>
        <w:outlineLvl w:val="0"/>
        <w:rPr>
          <w:rFonts w:ascii="Lato" w:eastAsiaTheme="minorHAnsi" w:hAnsi="Lato"/>
          <w:spacing w:val="4"/>
          <w:sz w:val="22"/>
          <w:szCs w:val="22"/>
          <w:lang w:eastAsia="en-US"/>
        </w:rPr>
      </w:pPr>
      <w:r w:rsidRPr="008B2C0E">
        <w:rPr>
          <w:rFonts w:ascii="Lato" w:eastAsiaTheme="minorHAnsi" w:hAnsi="Lato"/>
          <w:spacing w:val="4"/>
          <w:sz w:val="22"/>
          <w:szCs w:val="22"/>
          <w:lang w:eastAsia="en-US"/>
        </w:rPr>
        <w:t xml:space="preserve">Należy przy tym ponownie podkreślić, iż w omawianym przypadku nie stosuje się procedury uzyskiwania zgody właściciela nieruchomości na ograniczenie w korzystaniu. Zauważyć bowiem należy, że art. 8 ust. 1 pkt 9 w związku z art. 30 ust. 1 </w:t>
      </w:r>
      <w:r w:rsidRPr="00CF102A">
        <w:rPr>
          <w:rFonts w:ascii="Lato" w:eastAsiaTheme="minorHAnsi" w:hAnsi="Lato"/>
          <w:i/>
          <w:iCs/>
          <w:spacing w:val="4"/>
          <w:sz w:val="22"/>
          <w:szCs w:val="22"/>
          <w:lang w:eastAsia="en-US"/>
        </w:rPr>
        <w:t>specustawy naftowej</w:t>
      </w:r>
      <w:r w:rsidRPr="008B2C0E">
        <w:rPr>
          <w:rFonts w:ascii="Lato" w:eastAsiaTheme="minorHAnsi" w:hAnsi="Lato"/>
          <w:spacing w:val="4"/>
          <w:sz w:val="22"/>
          <w:szCs w:val="22"/>
          <w:lang w:eastAsia="en-US"/>
        </w:rPr>
        <w:t xml:space="preserve"> stanowi normę szczególną wobec art. 124 ust. 1 i ust. 3 </w:t>
      </w:r>
      <w:r w:rsidRPr="00CF102A">
        <w:rPr>
          <w:rFonts w:ascii="Lato" w:eastAsiaTheme="minorHAnsi" w:hAnsi="Lato"/>
          <w:i/>
          <w:iCs/>
          <w:spacing w:val="4"/>
          <w:sz w:val="22"/>
          <w:szCs w:val="22"/>
          <w:lang w:eastAsia="en-US"/>
        </w:rPr>
        <w:t>ugn</w:t>
      </w:r>
      <w:r w:rsidRPr="008B2C0E">
        <w:rPr>
          <w:rFonts w:ascii="Lato" w:eastAsiaTheme="minorHAnsi" w:hAnsi="Lato"/>
          <w:spacing w:val="4"/>
          <w:sz w:val="22"/>
          <w:szCs w:val="22"/>
          <w:lang w:eastAsia="en-US"/>
        </w:rPr>
        <w:t xml:space="preserve"> i okoliczność określenia ograniczeń w korzystaniu z nieruchomości i prowadzenia robót może być </w:t>
      </w:r>
      <w:r w:rsidR="00CF102A">
        <w:rPr>
          <w:rFonts w:ascii="Lato" w:eastAsiaTheme="minorHAnsi" w:hAnsi="Lato"/>
          <w:spacing w:val="4"/>
          <w:sz w:val="22"/>
          <w:szCs w:val="22"/>
          <w:lang w:eastAsia="en-US"/>
        </w:rPr>
        <w:br/>
      </w:r>
      <w:r w:rsidRPr="008B2C0E">
        <w:rPr>
          <w:rFonts w:ascii="Lato" w:eastAsiaTheme="minorHAnsi" w:hAnsi="Lato"/>
          <w:spacing w:val="4"/>
          <w:sz w:val="22"/>
          <w:szCs w:val="22"/>
          <w:lang w:eastAsia="en-US"/>
        </w:rPr>
        <w:t xml:space="preserve">w tym przypadku oparta tylko na ww. przepisach </w:t>
      </w:r>
      <w:r w:rsidRPr="00CF102A">
        <w:rPr>
          <w:rFonts w:ascii="Lato" w:eastAsiaTheme="minorHAnsi" w:hAnsi="Lato"/>
          <w:i/>
          <w:iCs/>
          <w:spacing w:val="4"/>
          <w:sz w:val="22"/>
          <w:szCs w:val="22"/>
          <w:lang w:eastAsia="en-US"/>
        </w:rPr>
        <w:t>specustawy naftowej.</w:t>
      </w:r>
      <w:r w:rsidRPr="008B2C0E">
        <w:rPr>
          <w:rFonts w:ascii="Lato" w:eastAsiaTheme="minorHAnsi" w:hAnsi="Lato"/>
          <w:spacing w:val="4"/>
          <w:sz w:val="22"/>
          <w:szCs w:val="22"/>
          <w:lang w:eastAsia="en-US"/>
        </w:rPr>
        <w:t xml:space="preserve"> </w:t>
      </w:r>
    </w:p>
    <w:p w14:paraId="75F045B9" w14:textId="70C6FEB7" w:rsidR="008B2C0E" w:rsidRPr="00CF102A" w:rsidRDefault="008B2C0E" w:rsidP="008B2C0E">
      <w:pPr>
        <w:tabs>
          <w:tab w:val="left" w:pos="2977"/>
        </w:tabs>
        <w:spacing w:after="240" w:line="240" w:lineRule="exact"/>
        <w:jc w:val="both"/>
        <w:outlineLvl w:val="0"/>
        <w:rPr>
          <w:rFonts w:ascii="Lato" w:eastAsiaTheme="minorHAnsi" w:hAnsi="Lato"/>
          <w:spacing w:val="4"/>
          <w:sz w:val="22"/>
          <w:szCs w:val="22"/>
          <w:lang w:eastAsia="en-US"/>
        </w:rPr>
      </w:pPr>
      <w:r w:rsidRPr="008B2C0E">
        <w:rPr>
          <w:rFonts w:ascii="Lato" w:eastAsiaTheme="minorHAnsi" w:hAnsi="Lato"/>
          <w:spacing w:val="4"/>
          <w:sz w:val="22"/>
          <w:szCs w:val="22"/>
          <w:lang w:eastAsia="en-US"/>
        </w:rPr>
        <w:t xml:space="preserve">W opinii </w:t>
      </w:r>
      <w:r w:rsidRPr="00CF102A">
        <w:rPr>
          <w:rFonts w:ascii="Lato" w:eastAsiaTheme="minorHAnsi" w:hAnsi="Lato"/>
          <w:i/>
          <w:iCs/>
          <w:spacing w:val="4"/>
          <w:sz w:val="22"/>
          <w:szCs w:val="22"/>
          <w:lang w:eastAsia="en-US"/>
        </w:rPr>
        <w:t>Ministra</w:t>
      </w:r>
      <w:r w:rsidRPr="008B2C0E">
        <w:rPr>
          <w:rFonts w:ascii="Lato" w:eastAsiaTheme="minorHAnsi" w:hAnsi="Lato"/>
          <w:spacing w:val="4"/>
          <w:sz w:val="22"/>
          <w:szCs w:val="22"/>
          <w:lang w:eastAsia="en-US"/>
        </w:rPr>
        <w:t xml:space="preserve">, całokształt okoliczności niniejszej sprawy dowodzi, iż ograniczenie </w:t>
      </w:r>
      <w:r w:rsidR="0054644D">
        <w:rPr>
          <w:rFonts w:ascii="Lato" w:eastAsiaTheme="minorHAnsi" w:hAnsi="Lato"/>
          <w:spacing w:val="4"/>
          <w:sz w:val="22"/>
          <w:szCs w:val="22"/>
          <w:lang w:eastAsia="en-US"/>
        </w:rPr>
        <w:br/>
      </w:r>
      <w:r w:rsidRPr="008B2C0E">
        <w:rPr>
          <w:rFonts w:ascii="Lato" w:eastAsiaTheme="minorHAnsi" w:hAnsi="Lato"/>
          <w:spacing w:val="4"/>
          <w:sz w:val="22"/>
          <w:szCs w:val="22"/>
          <w:lang w:eastAsia="en-US"/>
        </w:rPr>
        <w:t>w korzystaniu z ww. dział</w:t>
      </w:r>
      <w:r w:rsidR="00F1322C">
        <w:rPr>
          <w:rFonts w:ascii="Lato" w:eastAsiaTheme="minorHAnsi" w:hAnsi="Lato"/>
          <w:spacing w:val="4"/>
          <w:sz w:val="22"/>
          <w:szCs w:val="22"/>
          <w:lang w:eastAsia="en-US"/>
        </w:rPr>
        <w:t xml:space="preserve">ek </w:t>
      </w:r>
      <w:r w:rsidRPr="008B2C0E">
        <w:rPr>
          <w:rFonts w:ascii="Lato" w:eastAsiaTheme="minorHAnsi" w:hAnsi="Lato"/>
          <w:spacing w:val="4"/>
          <w:sz w:val="22"/>
          <w:szCs w:val="22"/>
          <w:lang w:eastAsia="en-US"/>
        </w:rPr>
        <w:t xml:space="preserve">skarżących </w:t>
      </w:r>
      <w:r w:rsidR="0054644D">
        <w:rPr>
          <w:rFonts w:ascii="Lato" w:eastAsiaTheme="minorHAnsi" w:hAnsi="Lato"/>
          <w:spacing w:val="4"/>
          <w:sz w:val="22"/>
          <w:szCs w:val="22"/>
          <w:lang w:eastAsia="en-US"/>
        </w:rPr>
        <w:t>jest</w:t>
      </w:r>
      <w:r w:rsidRPr="008B2C0E">
        <w:rPr>
          <w:rFonts w:ascii="Lato" w:eastAsiaTheme="minorHAnsi" w:hAnsi="Lato"/>
          <w:spacing w:val="4"/>
          <w:sz w:val="22"/>
          <w:szCs w:val="22"/>
          <w:lang w:eastAsia="en-US"/>
        </w:rPr>
        <w:t xml:space="preserve"> w niniejszej sprawie uzasadnione. Brak jest zatem podstaw do podważania zaskarżonej decyzji z powołaniem się na ochronę prawa własności.</w:t>
      </w:r>
      <w:r w:rsidR="00273874">
        <w:rPr>
          <w:rFonts w:ascii="Lato" w:eastAsiaTheme="minorHAnsi" w:hAnsi="Lato"/>
          <w:spacing w:val="4"/>
          <w:sz w:val="22"/>
          <w:szCs w:val="22"/>
          <w:lang w:eastAsia="en-US"/>
        </w:rPr>
        <w:t xml:space="preserve"> </w:t>
      </w:r>
    </w:p>
    <w:p w14:paraId="1F405B22" w14:textId="1B5CC828" w:rsidR="00C23919" w:rsidRDefault="008C5360" w:rsidP="007B7FE7">
      <w:pPr>
        <w:spacing w:after="240" w:line="240" w:lineRule="exact"/>
        <w:jc w:val="both"/>
        <w:rPr>
          <w:rFonts w:ascii="Lato" w:eastAsia="Calibri" w:hAnsi="Lato" w:cs="Arial"/>
          <w:bCs/>
          <w:iCs/>
          <w:spacing w:val="4"/>
          <w:sz w:val="22"/>
          <w:szCs w:val="22"/>
          <w:lang w:eastAsia="en-US" w:bidi="pl-PL"/>
        </w:rPr>
      </w:pPr>
      <w:bookmarkStart w:id="12" w:name="_Hlk165281885"/>
      <w:bookmarkStart w:id="13" w:name="_Hlk168391681"/>
      <w:bookmarkEnd w:id="10"/>
      <w:r w:rsidRPr="00B14C5D">
        <w:rPr>
          <w:rFonts w:ascii="Lato" w:eastAsia="Calibri" w:hAnsi="Lato" w:cs="Arial"/>
          <w:bCs/>
          <w:iCs/>
          <w:spacing w:val="4"/>
          <w:sz w:val="22"/>
          <w:szCs w:val="22"/>
          <w:lang w:eastAsia="en-US" w:bidi="pl-PL"/>
        </w:rPr>
        <w:t>Rozpatrując natomiast kwestię</w:t>
      </w:r>
      <w:r w:rsidR="00C23919" w:rsidRPr="00B14C5D">
        <w:rPr>
          <w:rFonts w:ascii="Lato" w:eastAsia="Calibri" w:hAnsi="Lato" w:cs="Arial"/>
          <w:bCs/>
          <w:iCs/>
          <w:spacing w:val="4"/>
          <w:sz w:val="22"/>
          <w:szCs w:val="22"/>
          <w:lang w:eastAsia="en-US" w:bidi="pl-PL"/>
        </w:rPr>
        <w:t xml:space="preserve">, iż przedmiotowa inwestycja wpłynie negatywnie </w:t>
      </w:r>
      <w:r w:rsidR="00B92E2A" w:rsidRPr="00B14C5D">
        <w:rPr>
          <w:rFonts w:ascii="Lato" w:eastAsia="Calibri" w:hAnsi="Lato" w:cs="Arial"/>
          <w:bCs/>
          <w:iCs/>
          <w:spacing w:val="4"/>
          <w:sz w:val="22"/>
          <w:szCs w:val="22"/>
          <w:lang w:eastAsia="en-US" w:bidi="pl-PL"/>
        </w:rPr>
        <w:br/>
      </w:r>
      <w:r w:rsidR="00C23919" w:rsidRPr="00B14C5D">
        <w:rPr>
          <w:rFonts w:ascii="Lato" w:eastAsia="Calibri" w:hAnsi="Lato" w:cs="Arial"/>
          <w:bCs/>
          <w:iCs/>
          <w:spacing w:val="4"/>
          <w:sz w:val="22"/>
          <w:szCs w:val="22"/>
          <w:lang w:eastAsia="en-US" w:bidi="pl-PL"/>
        </w:rPr>
        <w:t>na wykonywanie</w:t>
      </w:r>
      <w:r w:rsidR="00C23919">
        <w:rPr>
          <w:rFonts w:ascii="Lato" w:eastAsia="Calibri" w:hAnsi="Lato" w:cs="Arial"/>
          <w:bCs/>
          <w:iCs/>
          <w:spacing w:val="4"/>
          <w:sz w:val="22"/>
          <w:szCs w:val="22"/>
          <w:lang w:eastAsia="en-US" w:bidi="pl-PL"/>
        </w:rPr>
        <w:t xml:space="preserve"> prac polowych, czy też wymieszanie się warstw glebowych ziemi, wyjaśnić należy, iż l</w:t>
      </w:r>
      <w:r w:rsidR="007B7FE7" w:rsidRPr="007B7FE7">
        <w:rPr>
          <w:rFonts w:ascii="Lato" w:eastAsia="Calibri" w:hAnsi="Lato" w:cs="Arial"/>
          <w:bCs/>
          <w:iCs/>
          <w:spacing w:val="4"/>
          <w:sz w:val="22"/>
          <w:szCs w:val="22"/>
          <w:lang w:eastAsia="en-US" w:bidi="pl-PL"/>
        </w:rPr>
        <w:t xml:space="preserve">okalizacja inwestycji w zakresie budowy </w:t>
      </w:r>
      <w:r w:rsidR="007C6DEA">
        <w:rPr>
          <w:rFonts w:ascii="Lato" w:eastAsia="Calibri" w:hAnsi="Lato" w:cs="Arial"/>
          <w:bCs/>
          <w:iCs/>
          <w:spacing w:val="4"/>
          <w:sz w:val="22"/>
          <w:szCs w:val="22"/>
          <w:lang w:eastAsia="en-US" w:bidi="pl-PL"/>
        </w:rPr>
        <w:t>rurociągu</w:t>
      </w:r>
      <w:r w:rsidR="007B7FE7" w:rsidRPr="007B7FE7">
        <w:rPr>
          <w:rFonts w:ascii="Lato" w:eastAsia="Calibri" w:hAnsi="Lato" w:cs="Arial"/>
          <w:bCs/>
          <w:iCs/>
          <w:spacing w:val="4"/>
          <w:sz w:val="22"/>
          <w:szCs w:val="22"/>
          <w:lang w:eastAsia="en-US" w:bidi="pl-PL"/>
        </w:rPr>
        <w:t xml:space="preserve"> z samej istoty tego przedsięwzięcia zawsze stanowi ingerencję w czyjeś prawo własności. Dla decyzji </w:t>
      </w:r>
      <w:r w:rsidR="00B92E2A">
        <w:rPr>
          <w:rFonts w:ascii="Lato" w:eastAsia="Calibri" w:hAnsi="Lato" w:cs="Arial"/>
          <w:bCs/>
          <w:iCs/>
          <w:spacing w:val="4"/>
          <w:sz w:val="22"/>
          <w:szCs w:val="22"/>
          <w:lang w:eastAsia="en-US" w:bidi="pl-PL"/>
        </w:rPr>
        <w:br/>
      </w:r>
      <w:r w:rsidR="007B7FE7" w:rsidRPr="007B7FE7">
        <w:rPr>
          <w:rFonts w:ascii="Lato" w:eastAsia="Calibri" w:hAnsi="Lato" w:cs="Arial"/>
          <w:bCs/>
          <w:iCs/>
          <w:spacing w:val="4"/>
          <w:sz w:val="22"/>
          <w:szCs w:val="22"/>
          <w:lang w:eastAsia="en-US" w:bidi="pl-PL"/>
        </w:rPr>
        <w:t xml:space="preserve">o </w:t>
      </w:r>
      <w:r w:rsidR="00C23919" w:rsidRPr="007B7FE7">
        <w:rPr>
          <w:rFonts w:ascii="Lato" w:eastAsia="Calibri" w:hAnsi="Lato" w:cs="Arial"/>
          <w:bCs/>
          <w:iCs/>
          <w:spacing w:val="4"/>
          <w:sz w:val="22"/>
          <w:szCs w:val="22"/>
          <w:lang w:eastAsia="en-US" w:bidi="pl-PL"/>
        </w:rPr>
        <w:t xml:space="preserve">lokalizacji </w:t>
      </w:r>
      <w:r w:rsidR="00C23919">
        <w:rPr>
          <w:rFonts w:ascii="Lato" w:eastAsia="Calibri" w:hAnsi="Lato" w:cs="Arial"/>
          <w:bCs/>
          <w:iCs/>
          <w:spacing w:val="4"/>
          <w:sz w:val="22"/>
          <w:szCs w:val="22"/>
          <w:lang w:eastAsia="en-US" w:bidi="pl-PL"/>
        </w:rPr>
        <w:t>strategicznych</w:t>
      </w:r>
      <w:r w:rsidR="007C6DEA">
        <w:rPr>
          <w:rFonts w:ascii="Lato" w:eastAsia="Calibri" w:hAnsi="Lato" w:cs="Arial"/>
          <w:bCs/>
          <w:iCs/>
          <w:spacing w:val="4"/>
          <w:sz w:val="22"/>
          <w:szCs w:val="22"/>
          <w:lang w:eastAsia="en-US" w:bidi="pl-PL"/>
        </w:rPr>
        <w:t xml:space="preserve"> </w:t>
      </w:r>
      <w:r w:rsidR="007B7FE7" w:rsidRPr="007B7FE7">
        <w:rPr>
          <w:rFonts w:ascii="Lato" w:eastAsia="Calibri" w:hAnsi="Lato" w:cs="Arial"/>
          <w:bCs/>
          <w:iCs/>
          <w:spacing w:val="4"/>
          <w:sz w:val="22"/>
          <w:szCs w:val="22"/>
          <w:lang w:eastAsia="en-US" w:bidi="pl-PL"/>
        </w:rPr>
        <w:t>inwestycji</w:t>
      </w:r>
      <w:r w:rsidR="007B7FE7" w:rsidRPr="007B7FE7">
        <w:rPr>
          <w:rFonts w:ascii="Lato" w:eastAsia="Calibri" w:hAnsi="Lato" w:cs="Arial"/>
          <w:iCs/>
          <w:spacing w:val="4"/>
          <w:sz w:val="22"/>
          <w:szCs w:val="22"/>
          <w:lang w:eastAsia="en-US" w:bidi="pl-PL"/>
        </w:rPr>
        <w:t xml:space="preserve"> </w:t>
      </w:r>
      <w:r w:rsidR="007C6DEA">
        <w:rPr>
          <w:rFonts w:ascii="Lato" w:eastAsia="Calibri" w:hAnsi="Lato" w:cs="Arial"/>
          <w:bCs/>
          <w:iCs/>
          <w:spacing w:val="4"/>
          <w:sz w:val="22"/>
          <w:szCs w:val="22"/>
          <w:lang w:eastAsia="en-US" w:bidi="pl-PL"/>
        </w:rPr>
        <w:t>w sektorze naftowym</w:t>
      </w:r>
      <w:r w:rsidR="007B7FE7" w:rsidRPr="007B7FE7">
        <w:rPr>
          <w:rFonts w:ascii="Lato" w:eastAsia="Calibri" w:hAnsi="Lato" w:cs="Arial"/>
          <w:bCs/>
          <w:iCs/>
          <w:spacing w:val="4"/>
          <w:sz w:val="22"/>
          <w:szCs w:val="22"/>
          <w:lang w:eastAsia="en-US" w:bidi="pl-PL"/>
        </w:rPr>
        <w:t xml:space="preserve"> dotychczasowe przeznaczenie nieruchomości nie ma żadnego znaczenia i nie podważa prawidłowości decyzji. </w:t>
      </w:r>
    </w:p>
    <w:p w14:paraId="2386392D" w14:textId="51777967" w:rsidR="00C23919" w:rsidRPr="007B7FE7" w:rsidRDefault="00C23919" w:rsidP="00C23919">
      <w:pPr>
        <w:spacing w:after="240" w:line="240" w:lineRule="exact"/>
        <w:jc w:val="both"/>
        <w:rPr>
          <w:rFonts w:ascii="Lato" w:eastAsia="Calibri" w:hAnsi="Lato" w:cs="Arial"/>
          <w:bCs/>
          <w:iCs/>
          <w:spacing w:val="4"/>
          <w:sz w:val="22"/>
          <w:szCs w:val="22"/>
          <w:lang w:eastAsia="en-US" w:bidi="pl-PL"/>
        </w:rPr>
      </w:pPr>
      <w:r w:rsidRPr="007B7FE7">
        <w:rPr>
          <w:rFonts w:ascii="Lato" w:eastAsia="Calibri" w:hAnsi="Lato" w:cs="Arial"/>
          <w:bCs/>
          <w:iCs/>
          <w:spacing w:val="4"/>
          <w:sz w:val="22"/>
          <w:szCs w:val="22"/>
          <w:lang w:eastAsia="en-US" w:bidi="pl-PL"/>
        </w:rPr>
        <w:t>Zauważyć przy tym należy, iż w postępowaniu w sprawie wydania decyzji w przedmiocie ustalenia lokalizacji</w:t>
      </w:r>
      <w:r>
        <w:rPr>
          <w:rFonts w:ascii="Lato" w:eastAsia="Calibri" w:hAnsi="Lato" w:cs="Arial"/>
          <w:bCs/>
          <w:iCs/>
          <w:spacing w:val="4"/>
          <w:sz w:val="22"/>
          <w:szCs w:val="22"/>
          <w:lang w:eastAsia="en-US" w:bidi="pl-PL"/>
        </w:rPr>
        <w:t xml:space="preserve"> strategicznej</w:t>
      </w:r>
      <w:r w:rsidRPr="007B7FE7">
        <w:rPr>
          <w:rFonts w:ascii="Lato" w:eastAsia="Calibri" w:hAnsi="Lato" w:cs="Arial"/>
          <w:bCs/>
          <w:iCs/>
          <w:spacing w:val="4"/>
          <w:sz w:val="22"/>
          <w:szCs w:val="22"/>
          <w:lang w:eastAsia="en-US" w:bidi="pl-PL"/>
        </w:rPr>
        <w:t xml:space="preserve"> inwestycji </w:t>
      </w:r>
      <w:r>
        <w:rPr>
          <w:rFonts w:ascii="Lato" w:eastAsia="Calibri" w:hAnsi="Lato" w:cs="Arial"/>
          <w:bCs/>
          <w:iCs/>
          <w:spacing w:val="4"/>
          <w:sz w:val="22"/>
          <w:szCs w:val="22"/>
          <w:lang w:eastAsia="en-US" w:bidi="pl-PL"/>
        </w:rPr>
        <w:t>w sektorze naftowym</w:t>
      </w:r>
      <w:r w:rsidRPr="007B7FE7">
        <w:rPr>
          <w:rFonts w:ascii="Lato" w:eastAsia="Calibri" w:hAnsi="Lato" w:cs="Arial"/>
          <w:bCs/>
          <w:iCs/>
          <w:spacing w:val="4"/>
          <w:sz w:val="22"/>
          <w:szCs w:val="22"/>
          <w:lang w:eastAsia="en-US" w:bidi="pl-PL"/>
        </w:rPr>
        <w:t xml:space="preserve">, zarówno wojewoda, jak i </w:t>
      </w:r>
      <w:r w:rsidRPr="007B7FE7">
        <w:rPr>
          <w:rFonts w:ascii="Lato" w:eastAsia="Calibri" w:hAnsi="Lato" w:cs="Arial"/>
          <w:bCs/>
          <w:i/>
          <w:iCs/>
          <w:spacing w:val="4"/>
          <w:sz w:val="22"/>
          <w:szCs w:val="22"/>
          <w:lang w:eastAsia="en-US" w:bidi="pl-PL"/>
        </w:rPr>
        <w:t>Minister</w:t>
      </w:r>
      <w:r w:rsidRPr="007B7FE7">
        <w:rPr>
          <w:rFonts w:ascii="Lato" w:eastAsia="Calibri" w:hAnsi="Lato" w:cs="Arial"/>
          <w:bCs/>
          <w:iCs/>
          <w:spacing w:val="4"/>
          <w:sz w:val="22"/>
          <w:szCs w:val="22"/>
          <w:lang w:eastAsia="en-US" w:bidi="pl-PL"/>
        </w:rPr>
        <w:t xml:space="preserve">, badają zgodność z prawem wniosku </w:t>
      </w:r>
      <w:r w:rsidRPr="007B7FE7">
        <w:rPr>
          <w:rFonts w:ascii="Lato" w:eastAsia="Calibri" w:hAnsi="Lato" w:cs="Arial"/>
          <w:bCs/>
          <w:i/>
          <w:iCs/>
          <w:spacing w:val="4"/>
          <w:sz w:val="22"/>
          <w:szCs w:val="22"/>
          <w:lang w:eastAsia="en-US" w:bidi="pl-PL"/>
        </w:rPr>
        <w:t>inwestora</w:t>
      </w:r>
      <w:r w:rsidRPr="007B7FE7">
        <w:rPr>
          <w:rFonts w:ascii="Lato" w:eastAsia="Calibri" w:hAnsi="Lato" w:cs="Arial"/>
          <w:bCs/>
          <w:iCs/>
          <w:spacing w:val="4"/>
          <w:sz w:val="22"/>
          <w:szCs w:val="22"/>
          <w:lang w:eastAsia="en-US" w:bidi="pl-PL"/>
        </w:rPr>
        <w:t xml:space="preserve">, nie zaś zagadnień dotyczących ewentualnych negatywnych następstw dla podmiotów objętych tą decyzją. Z samej bowiem istoty przedsięwzięcia </w:t>
      </w:r>
      <w:r>
        <w:rPr>
          <w:rFonts w:ascii="Lato" w:eastAsia="Calibri" w:hAnsi="Lato" w:cs="Arial"/>
          <w:bCs/>
          <w:iCs/>
          <w:spacing w:val="4"/>
          <w:sz w:val="22"/>
          <w:szCs w:val="22"/>
          <w:lang w:eastAsia="en-US" w:bidi="pl-PL"/>
        </w:rPr>
        <w:t>naftowego</w:t>
      </w:r>
      <w:r w:rsidRPr="007B7FE7">
        <w:rPr>
          <w:rFonts w:ascii="Lato" w:eastAsia="Calibri" w:hAnsi="Lato" w:cs="Arial"/>
          <w:bCs/>
          <w:iCs/>
          <w:spacing w:val="4"/>
          <w:sz w:val="22"/>
          <w:szCs w:val="22"/>
          <w:lang w:eastAsia="en-US" w:bidi="pl-PL"/>
        </w:rPr>
        <w:t xml:space="preserve">,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Pr>
          <w:rFonts w:ascii="Lato" w:eastAsia="Calibri" w:hAnsi="Lato" w:cs="Arial"/>
          <w:bCs/>
          <w:iCs/>
          <w:spacing w:val="4"/>
          <w:sz w:val="22"/>
          <w:szCs w:val="22"/>
          <w:lang w:eastAsia="en-US" w:bidi="pl-PL"/>
        </w:rPr>
        <w:br/>
      </w:r>
      <w:r w:rsidRPr="007B7FE7">
        <w:rPr>
          <w:rFonts w:ascii="Lato" w:eastAsia="Calibri" w:hAnsi="Lato" w:cs="Arial"/>
          <w:bCs/>
          <w:iCs/>
          <w:spacing w:val="4"/>
          <w:sz w:val="22"/>
          <w:szCs w:val="22"/>
          <w:lang w:eastAsia="en-US" w:bidi="pl-PL"/>
        </w:rPr>
        <w:t xml:space="preserve">w określony sposób lub planujących jej wykorzystanie. Nieuniknione jest bowiem </w:t>
      </w:r>
      <w:r w:rsidR="00B92E2A">
        <w:rPr>
          <w:rFonts w:ascii="Lato" w:eastAsia="Calibri" w:hAnsi="Lato" w:cs="Arial"/>
          <w:bCs/>
          <w:iCs/>
          <w:spacing w:val="4"/>
          <w:sz w:val="22"/>
          <w:szCs w:val="22"/>
          <w:lang w:eastAsia="en-US" w:bidi="pl-PL"/>
        </w:rPr>
        <w:br/>
      </w:r>
      <w:r w:rsidRPr="007B7FE7">
        <w:rPr>
          <w:rFonts w:ascii="Lato" w:eastAsia="Calibri" w:hAnsi="Lato" w:cs="Arial"/>
          <w:bCs/>
          <w:iCs/>
          <w:spacing w:val="4"/>
          <w:sz w:val="22"/>
          <w:szCs w:val="22"/>
          <w:lang w:eastAsia="en-US" w:bidi="pl-PL"/>
        </w:rPr>
        <w:t xml:space="preserve">to, że lokalizacja </w:t>
      </w:r>
      <w:r>
        <w:rPr>
          <w:rFonts w:ascii="Lato" w:eastAsia="Calibri" w:hAnsi="Lato" w:cs="Arial"/>
          <w:bCs/>
          <w:iCs/>
          <w:spacing w:val="4"/>
          <w:sz w:val="22"/>
          <w:szCs w:val="22"/>
          <w:lang w:eastAsia="en-US" w:bidi="pl-PL"/>
        </w:rPr>
        <w:t xml:space="preserve">strategicznej </w:t>
      </w:r>
      <w:r w:rsidRPr="007B7FE7">
        <w:rPr>
          <w:rFonts w:ascii="Lato" w:eastAsia="Calibri" w:hAnsi="Lato" w:cs="Arial"/>
          <w:bCs/>
          <w:iCs/>
          <w:spacing w:val="4"/>
          <w:sz w:val="22"/>
          <w:szCs w:val="22"/>
          <w:lang w:eastAsia="en-US" w:bidi="pl-PL"/>
        </w:rPr>
        <w:t>inwestycji</w:t>
      </w:r>
      <w:r>
        <w:rPr>
          <w:rFonts w:ascii="Lato" w:eastAsia="Calibri" w:hAnsi="Lato" w:cs="Arial"/>
          <w:bCs/>
          <w:iCs/>
          <w:spacing w:val="4"/>
          <w:sz w:val="22"/>
          <w:szCs w:val="22"/>
          <w:lang w:eastAsia="en-US" w:bidi="pl-PL"/>
        </w:rPr>
        <w:t xml:space="preserve"> w sektorze naftowym</w:t>
      </w:r>
      <w:r w:rsidRPr="007B7FE7">
        <w:rPr>
          <w:rFonts w:ascii="Lato" w:eastAsia="Calibri" w:hAnsi="Lato" w:cs="Arial"/>
          <w:bCs/>
          <w:iCs/>
          <w:spacing w:val="4"/>
          <w:sz w:val="22"/>
          <w:szCs w:val="22"/>
          <w:lang w:eastAsia="en-US" w:bidi="pl-PL"/>
        </w:rPr>
        <w:t xml:space="preserve">, może stwarzać określone uciążliwości dla właścicieli nieruchomości objętych jej zakresem. </w:t>
      </w:r>
    </w:p>
    <w:p w14:paraId="6F4C38A7" w14:textId="0D001979" w:rsidR="00C23919" w:rsidRDefault="00C23919" w:rsidP="00C23919">
      <w:pPr>
        <w:spacing w:after="240" w:line="240" w:lineRule="exact"/>
        <w:jc w:val="both"/>
        <w:rPr>
          <w:rFonts w:ascii="Lato" w:eastAsia="Calibri" w:hAnsi="Lato" w:cs="Arial"/>
          <w:bCs/>
          <w:iCs/>
          <w:spacing w:val="4"/>
          <w:sz w:val="22"/>
          <w:szCs w:val="22"/>
          <w:lang w:eastAsia="en-US" w:bidi="pl-PL"/>
        </w:rPr>
      </w:pPr>
      <w:r w:rsidRPr="007B7FE7">
        <w:rPr>
          <w:rFonts w:ascii="Lato" w:eastAsia="Calibri" w:hAnsi="Lato" w:cs="Arial"/>
          <w:bCs/>
          <w:iCs/>
          <w:spacing w:val="4"/>
          <w:sz w:val="22"/>
          <w:szCs w:val="22"/>
          <w:lang w:eastAsia="en-US" w:bidi="pl-PL"/>
        </w:rPr>
        <w:t xml:space="preserve">Organ wydający decyzję o ustaleniu lokalizacji inwestycji </w:t>
      </w:r>
      <w:r w:rsidR="00B92E2A">
        <w:rPr>
          <w:rFonts w:ascii="Lato" w:eastAsia="Calibri" w:hAnsi="Lato" w:cs="Arial"/>
          <w:bCs/>
          <w:iCs/>
          <w:spacing w:val="4"/>
          <w:sz w:val="22"/>
          <w:szCs w:val="22"/>
          <w:lang w:eastAsia="en-US" w:bidi="pl-PL"/>
        </w:rPr>
        <w:t>strategicznej</w:t>
      </w:r>
      <w:r w:rsidRPr="007B7FE7">
        <w:rPr>
          <w:rFonts w:ascii="Lato" w:eastAsia="Calibri" w:hAnsi="Lato" w:cs="Arial"/>
          <w:bCs/>
          <w:iCs/>
          <w:spacing w:val="4"/>
          <w:sz w:val="22"/>
          <w:szCs w:val="22"/>
          <w:lang w:eastAsia="en-US" w:bidi="pl-PL"/>
        </w:rPr>
        <w:t xml:space="preserve"> inwestycji </w:t>
      </w:r>
      <w:r w:rsidRPr="007B7FE7">
        <w:rPr>
          <w:rFonts w:ascii="Lato" w:eastAsia="Calibri" w:hAnsi="Lato" w:cs="Arial"/>
          <w:bCs/>
          <w:iCs/>
          <w:spacing w:val="4"/>
          <w:sz w:val="22"/>
          <w:szCs w:val="22"/>
          <w:lang w:eastAsia="en-US" w:bidi="pl-PL"/>
        </w:rPr>
        <w:br/>
        <w:t xml:space="preserve">w zakresie </w:t>
      </w:r>
      <w:r>
        <w:rPr>
          <w:rFonts w:ascii="Lato" w:eastAsia="Calibri" w:hAnsi="Lato" w:cs="Arial"/>
          <w:bCs/>
          <w:iCs/>
          <w:spacing w:val="4"/>
          <w:sz w:val="22"/>
          <w:szCs w:val="22"/>
          <w:lang w:eastAsia="en-US" w:bidi="pl-PL"/>
        </w:rPr>
        <w:t>rurociągu ropy naftowej</w:t>
      </w:r>
      <w:r w:rsidRPr="007B7FE7">
        <w:rPr>
          <w:rFonts w:ascii="Lato" w:eastAsia="Calibri" w:hAnsi="Lato" w:cs="Arial"/>
          <w:bCs/>
          <w:iCs/>
          <w:spacing w:val="4"/>
          <w:sz w:val="22"/>
          <w:szCs w:val="22"/>
          <w:lang w:eastAsia="en-US" w:bidi="pl-PL"/>
        </w:rPr>
        <w:t xml:space="preserve"> nie jest kompetentny do oceny przesłanek ekonomicznych oraz społecznych powstającej inwestycji, w jej kształcie określonym przez </w:t>
      </w:r>
      <w:r w:rsidRPr="007B7FE7">
        <w:rPr>
          <w:rFonts w:ascii="Lato" w:eastAsia="Calibri" w:hAnsi="Lato" w:cs="Arial"/>
          <w:bCs/>
          <w:i/>
          <w:iCs/>
          <w:spacing w:val="4"/>
          <w:sz w:val="22"/>
          <w:szCs w:val="22"/>
          <w:lang w:eastAsia="en-US" w:bidi="pl-PL"/>
        </w:rPr>
        <w:t>inwestora</w:t>
      </w:r>
      <w:r w:rsidRPr="007B7FE7">
        <w:rPr>
          <w:rFonts w:ascii="Lato" w:eastAsia="Calibri" w:hAnsi="Lato" w:cs="Arial"/>
          <w:bCs/>
          <w:iCs/>
          <w:spacing w:val="4"/>
          <w:sz w:val="22"/>
          <w:szCs w:val="22"/>
          <w:lang w:eastAsia="en-US" w:bidi="pl-PL"/>
        </w:rPr>
        <w:t xml:space="preserve">. Do organu administracji należy jedynie ocena wniosku </w:t>
      </w:r>
      <w:r w:rsidRPr="007B7FE7">
        <w:rPr>
          <w:rFonts w:ascii="Lato" w:eastAsia="Calibri" w:hAnsi="Lato" w:cs="Arial"/>
          <w:bCs/>
          <w:i/>
          <w:iCs/>
          <w:spacing w:val="4"/>
          <w:sz w:val="22"/>
          <w:szCs w:val="22"/>
          <w:lang w:eastAsia="en-US" w:bidi="pl-PL"/>
        </w:rPr>
        <w:t xml:space="preserve">inwestora </w:t>
      </w:r>
      <w:r w:rsidRPr="007B7FE7">
        <w:rPr>
          <w:rFonts w:ascii="Lato" w:eastAsia="Calibri" w:hAnsi="Lato" w:cs="Arial"/>
          <w:bCs/>
          <w:iCs/>
          <w:spacing w:val="4"/>
          <w:sz w:val="22"/>
          <w:szCs w:val="22"/>
          <w:lang w:eastAsia="en-US" w:bidi="pl-PL"/>
        </w:rPr>
        <w:t xml:space="preserve">pod względem jego zgodności z prawem powszechnie obowiązującym. Podkreślić także należy, że przedmiotem orzekania zarówno przez Wojewodę </w:t>
      </w:r>
      <w:r>
        <w:rPr>
          <w:rFonts w:ascii="Lato" w:eastAsia="Calibri" w:hAnsi="Lato" w:cs="Arial"/>
          <w:bCs/>
          <w:iCs/>
          <w:spacing w:val="4"/>
          <w:sz w:val="22"/>
          <w:szCs w:val="22"/>
          <w:lang w:eastAsia="en-US" w:bidi="pl-PL"/>
        </w:rPr>
        <w:t>Mazowieckiego</w:t>
      </w:r>
      <w:r w:rsidRPr="007B7FE7">
        <w:rPr>
          <w:rFonts w:ascii="Lato" w:eastAsia="Calibri" w:hAnsi="Lato" w:cs="Arial"/>
          <w:bCs/>
          <w:iCs/>
          <w:spacing w:val="4"/>
          <w:sz w:val="22"/>
          <w:szCs w:val="22"/>
          <w:lang w:eastAsia="en-US" w:bidi="pl-PL"/>
        </w:rPr>
        <w:t xml:space="preserve">, jak </w:t>
      </w:r>
      <w:r>
        <w:rPr>
          <w:rFonts w:ascii="Lato" w:eastAsia="Calibri" w:hAnsi="Lato" w:cs="Arial"/>
          <w:bCs/>
          <w:iCs/>
          <w:spacing w:val="4"/>
          <w:sz w:val="22"/>
          <w:szCs w:val="22"/>
          <w:lang w:eastAsia="en-US" w:bidi="pl-PL"/>
        </w:rPr>
        <w:br/>
      </w:r>
      <w:r w:rsidRPr="007B7FE7">
        <w:rPr>
          <w:rFonts w:ascii="Lato" w:eastAsia="Calibri" w:hAnsi="Lato" w:cs="Arial"/>
          <w:bCs/>
          <w:iCs/>
          <w:spacing w:val="4"/>
          <w:sz w:val="22"/>
          <w:szCs w:val="22"/>
          <w:lang w:eastAsia="en-US" w:bidi="pl-PL"/>
        </w:rPr>
        <w:t xml:space="preserve">i </w:t>
      </w:r>
      <w:r w:rsidRPr="007B7FE7">
        <w:rPr>
          <w:rFonts w:ascii="Lato" w:eastAsia="Calibri" w:hAnsi="Lato" w:cs="Arial"/>
          <w:bCs/>
          <w:i/>
          <w:iCs/>
          <w:spacing w:val="4"/>
          <w:sz w:val="22"/>
          <w:szCs w:val="22"/>
          <w:lang w:eastAsia="en-US" w:bidi="pl-PL"/>
        </w:rPr>
        <w:t>Ministra</w:t>
      </w:r>
      <w:r w:rsidRPr="007B7FE7">
        <w:rPr>
          <w:rFonts w:ascii="Lato" w:eastAsia="Calibri" w:hAnsi="Lato" w:cs="Arial"/>
          <w:bCs/>
          <w:iCs/>
          <w:spacing w:val="4"/>
          <w:sz w:val="22"/>
          <w:szCs w:val="22"/>
          <w:lang w:eastAsia="en-US" w:bidi="pl-PL"/>
        </w:rPr>
        <w:t>, nie jest prognozowanie wielkości ewentualnych strat w majątku skarżąc</w:t>
      </w:r>
      <w:r>
        <w:rPr>
          <w:rFonts w:ascii="Lato" w:eastAsia="Calibri" w:hAnsi="Lato" w:cs="Arial"/>
          <w:bCs/>
          <w:iCs/>
          <w:spacing w:val="4"/>
          <w:sz w:val="22"/>
          <w:szCs w:val="22"/>
          <w:lang w:eastAsia="en-US" w:bidi="pl-PL"/>
        </w:rPr>
        <w:t>ych</w:t>
      </w:r>
      <w:r w:rsidRPr="007B7FE7">
        <w:rPr>
          <w:rFonts w:ascii="Lato" w:eastAsia="Calibri" w:hAnsi="Lato" w:cs="Arial"/>
          <w:bCs/>
          <w:iCs/>
          <w:spacing w:val="4"/>
          <w:sz w:val="22"/>
          <w:szCs w:val="22"/>
          <w:lang w:eastAsia="en-US" w:bidi="pl-PL"/>
        </w:rPr>
        <w:t xml:space="preserve"> strony, jako czynnika decydującego o wyborze przez </w:t>
      </w:r>
      <w:r w:rsidRPr="007B7FE7">
        <w:rPr>
          <w:rFonts w:ascii="Lato" w:eastAsia="Calibri" w:hAnsi="Lato" w:cs="Arial"/>
          <w:bCs/>
          <w:i/>
          <w:iCs/>
          <w:spacing w:val="4"/>
          <w:sz w:val="22"/>
          <w:szCs w:val="22"/>
          <w:lang w:eastAsia="en-US" w:bidi="pl-PL"/>
        </w:rPr>
        <w:t xml:space="preserve">inwestora </w:t>
      </w:r>
      <w:r w:rsidRPr="007B7FE7">
        <w:rPr>
          <w:rFonts w:ascii="Lato" w:eastAsia="Calibri" w:hAnsi="Lato" w:cs="Arial"/>
          <w:bCs/>
          <w:iCs/>
          <w:spacing w:val="4"/>
          <w:sz w:val="22"/>
          <w:szCs w:val="22"/>
          <w:lang w:eastAsia="en-US" w:bidi="pl-PL"/>
        </w:rPr>
        <w:t>konkretnych rozwiązań lokalizacyjnych i w tym zakresie podnoszone przez skarżąc</w:t>
      </w:r>
      <w:r>
        <w:rPr>
          <w:rFonts w:ascii="Lato" w:eastAsia="Calibri" w:hAnsi="Lato" w:cs="Arial"/>
          <w:bCs/>
          <w:iCs/>
          <w:spacing w:val="4"/>
          <w:sz w:val="22"/>
          <w:szCs w:val="22"/>
          <w:lang w:eastAsia="en-US" w:bidi="pl-PL"/>
        </w:rPr>
        <w:t>ych</w:t>
      </w:r>
      <w:r w:rsidRPr="007B7FE7">
        <w:rPr>
          <w:rFonts w:ascii="Lato" w:eastAsia="Calibri" w:hAnsi="Lato" w:cs="Arial"/>
          <w:bCs/>
          <w:iCs/>
          <w:spacing w:val="4"/>
          <w:sz w:val="22"/>
          <w:szCs w:val="22"/>
          <w:lang w:eastAsia="en-US" w:bidi="pl-PL"/>
        </w:rPr>
        <w:t xml:space="preserve"> zarzuty pozostają bez wpływu na kształt podjętego rozstrzygnięcia.</w:t>
      </w:r>
    </w:p>
    <w:p w14:paraId="5A265F8B" w14:textId="1D26A5F3" w:rsidR="00C23919" w:rsidRPr="003F3B2A" w:rsidRDefault="00C23919" w:rsidP="00C23919">
      <w:pPr>
        <w:spacing w:after="240" w:line="240" w:lineRule="exact"/>
        <w:jc w:val="both"/>
        <w:rPr>
          <w:rFonts w:ascii="Lato" w:eastAsia="Calibri" w:hAnsi="Lato" w:cs="Arial"/>
          <w:bCs/>
          <w:iCs/>
          <w:spacing w:val="4"/>
          <w:sz w:val="22"/>
          <w:szCs w:val="22"/>
          <w:lang w:eastAsia="en-US" w:bidi="pl-PL"/>
        </w:rPr>
      </w:pPr>
      <w:r w:rsidRPr="003F3B2A">
        <w:rPr>
          <w:rFonts w:ascii="Lato" w:eastAsia="Calibri" w:hAnsi="Lato" w:cs="Arial"/>
          <w:bCs/>
          <w:i/>
          <w:spacing w:val="4"/>
          <w:sz w:val="22"/>
          <w:szCs w:val="22"/>
          <w:lang w:eastAsia="en-US" w:bidi="pl-PL"/>
        </w:rPr>
        <w:t>Inwestor</w:t>
      </w:r>
      <w:r w:rsidRPr="003F3B2A">
        <w:rPr>
          <w:rFonts w:ascii="Lato" w:eastAsia="Calibri" w:hAnsi="Lato" w:cs="Arial"/>
          <w:bCs/>
          <w:iCs/>
          <w:spacing w:val="4"/>
          <w:sz w:val="22"/>
          <w:szCs w:val="22"/>
          <w:lang w:eastAsia="en-US" w:bidi="pl-PL"/>
        </w:rPr>
        <w:t xml:space="preserve"> wyjaśnił, iż prowadzone prace naziemnie zlokalizowane na działkach skarżących w najmniejszym stopniu naruszają strukturę glebową. Po wykonaniu prac budowlanych rurociąg zostanie przykryty zdjętą warstwą glebową i humusow</w:t>
      </w:r>
      <w:r>
        <w:rPr>
          <w:rFonts w:ascii="Lato" w:eastAsia="Calibri" w:hAnsi="Lato" w:cs="Arial"/>
          <w:bCs/>
          <w:iCs/>
          <w:spacing w:val="4"/>
          <w:sz w:val="22"/>
          <w:szCs w:val="22"/>
          <w:lang w:eastAsia="en-US" w:bidi="pl-PL"/>
        </w:rPr>
        <w:t>ą</w:t>
      </w:r>
      <w:r w:rsidRPr="003F3B2A">
        <w:rPr>
          <w:rFonts w:ascii="Lato" w:eastAsia="Calibri" w:hAnsi="Lato" w:cs="Arial"/>
          <w:bCs/>
          <w:iCs/>
          <w:spacing w:val="4"/>
          <w:sz w:val="22"/>
          <w:szCs w:val="22"/>
          <w:lang w:eastAsia="en-US" w:bidi="pl-PL"/>
        </w:rPr>
        <w:t>, a po zakończeniu budowy</w:t>
      </w:r>
      <w:r>
        <w:rPr>
          <w:rFonts w:ascii="Lato" w:eastAsia="Calibri" w:hAnsi="Lato" w:cs="Arial"/>
          <w:bCs/>
          <w:iCs/>
          <w:spacing w:val="4"/>
          <w:sz w:val="22"/>
          <w:szCs w:val="22"/>
          <w:lang w:eastAsia="en-US" w:bidi="pl-PL"/>
        </w:rPr>
        <w:t>,</w:t>
      </w:r>
      <w:r w:rsidRPr="003F3B2A">
        <w:rPr>
          <w:rFonts w:ascii="Lato" w:eastAsia="Calibri" w:hAnsi="Lato" w:cs="Arial"/>
          <w:bCs/>
          <w:iCs/>
          <w:spacing w:val="4"/>
          <w:sz w:val="22"/>
          <w:szCs w:val="22"/>
          <w:lang w:eastAsia="en-US" w:bidi="pl-PL"/>
        </w:rPr>
        <w:t xml:space="preserve"> działki będ</w:t>
      </w:r>
      <w:r w:rsidR="00B92E2A">
        <w:rPr>
          <w:rFonts w:ascii="Lato" w:eastAsia="Calibri" w:hAnsi="Lato" w:cs="Arial"/>
          <w:bCs/>
          <w:iCs/>
          <w:spacing w:val="4"/>
          <w:sz w:val="22"/>
          <w:szCs w:val="22"/>
          <w:lang w:eastAsia="en-US" w:bidi="pl-PL"/>
        </w:rPr>
        <w:t>ą</w:t>
      </w:r>
      <w:r w:rsidRPr="003F3B2A">
        <w:rPr>
          <w:rFonts w:ascii="Lato" w:eastAsia="Calibri" w:hAnsi="Lato" w:cs="Arial"/>
          <w:bCs/>
          <w:iCs/>
          <w:spacing w:val="4"/>
          <w:sz w:val="22"/>
          <w:szCs w:val="22"/>
          <w:lang w:eastAsia="en-US" w:bidi="pl-PL"/>
        </w:rPr>
        <w:t xml:space="preserve"> mogł</w:t>
      </w:r>
      <w:r w:rsidR="00B92E2A">
        <w:rPr>
          <w:rFonts w:ascii="Lato" w:eastAsia="Calibri" w:hAnsi="Lato" w:cs="Arial"/>
          <w:bCs/>
          <w:iCs/>
          <w:spacing w:val="4"/>
          <w:sz w:val="22"/>
          <w:szCs w:val="22"/>
          <w:lang w:eastAsia="en-US" w:bidi="pl-PL"/>
        </w:rPr>
        <w:t>y</w:t>
      </w:r>
      <w:r w:rsidRPr="003F3B2A">
        <w:rPr>
          <w:rFonts w:ascii="Lato" w:eastAsia="Calibri" w:hAnsi="Lato" w:cs="Arial"/>
          <w:bCs/>
          <w:iCs/>
          <w:spacing w:val="4"/>
          <w:sz w:val="22"/>
          <w:szCs w:val="22"/>
          <w:lang w:eastAsia="en-US" w:bidi="pl-PL"/>
        </w:rPr>
        <w:t xml:space="preserve"> być użytkowane rolniczo. </w:t>
      </w:r>
      <w:r>
        <w:rPr>
          <w:rFonts w:ascii="Lato" w:eastAsia="Calibri" w:hAnsi="Lato" w:cs="Arial"/>
          <w:bCs/>
          <w:iCs/>
          <w:spacing w:val="4"/>
          <w:sz w:val="22"/>
          <w:szCs w:val="22"/>
          <w:lang w:eastAsia="en-US" w:bidi="pl-PL"/>
        </w:rPr>
        <w:t xml:space="preserve"> Ograniczenie w postaci stref </w:t>
      </w:r>
      <w:r>
        <w:rPr>
          <w:rFonts w:ascii="Lato" w:eastAsia="Calibri" w:hAnsi="Lato" w:cs="Arial"/>
          <w:bCs/>
          <w:iCs/>
          <w:spacing w:val="4"/>
          <w:sz w:val="22"/>
          <w:szCs w:val="22"/>
          <w:lang w:eastAsia="en-US" w:bidi="pl-PL"/>
        </w:rPr>
        <w:lastRenderedPageBreak/>
        <w:t xml:space="preserve">bezpieczeństwa dotyczy zakazu wznoszenia budowli i sadzenia drzew w odległości 10 m na stronę od osi rurociągu, a także nakaz uzgadniania wszelkich prac w strefie bezpieczeństwa z właścicielem rurociągu. Dodatkowo na części przedmiotowego obszaru istnieje już I nitka Rurociągu Pomorskiego, która także wprowadza ograniczenia w postaci strefy bezpieczeństwa. Stefa bezpieczeństwa nowoprojektowanej inwestycji będzie w części pokrywała się z już istniejącym ograniczeniem.   </w:t>
      </w:r>
    </w:p>
    <w:p w14:paraId="658F90A7" w14:textId="3C0E29C5" w:rsidR="00616EAC" w:rsidRPr="00616EAC" w:rsidRDefault="00616EAC" w:rsidP="00616EAC">
      <w:pPr>
        <w:spacing w:after="240" w:line="240" w:lineRule="exact"/>
        <w:jc w:val="both"/>
        <w:rPr>
          <w:rFonts w:ascii="Lato" w:eastAsia="Calibri" w:hAnsi="Lato" w:cs="Arial"/>
          <w:bCs/>
          <w:iCs/>
          <w:spacing w:val="4"/>
          <w:sz w:val="22"/>
          <w:szCs w:val="22"/>
          <w:lang w:eastAsia="en-US" w:bidi="pl-PL"/>
        </w:rPr>
      </w:pPr>
      <w:r w:rsidRPr="00616EAC">
        <w:rPr>
          <w:rFonts w:ascii="Lato" w:eastAsia="Calibri" w:hAnsi="Lato" w:cs="Arial"/>
          <w:bCs/>
          <w:iCs/>
          <w:spacing w:val="4"/>
          <w:sz w:val="22"/>
          <w:szCs w:val="22"/>
          <w:lang w:eastAsia="en-US" w:bidi="pl-PL"/>
        </w:rPr>
        <w:t xml:space="preserve">Warto również wyjaśnić, iż skutki ograniczenia w korzystaniu z nieruchomości na mocy art. </w:t>
      </w:r>
      <w:r>
        <w:rPr>
          <w:rFonts w:ascii="Lato" w:eastAsia="Calibri" w:hAnsi="Lato" w:cs="Arial"/>
          <w:bCs/>
          <w:iCs/>
          <w:spacing w:val="4"/>
          <w:sz w:val="22"/>
          <w:szCs w:val="22"/>
          <w:lang w:eastAsia="en-US" w:bidi="pl-PL"/>
        </w:rPr>
        <w:t xml:space="preserve">30 </w:t>
      </w:r>
      <w:r w:rsidRPr="00616EAC">
        <w:rPr>
          <w:rFonts w:ascii="Lato" w:eastAsia="Calibri" w:hAnsi="Lato" w:cs="Arial"/>
          <w:bCs/>
          <w:i/>
          <w:iCs/>
          <w:spacing w:val="4"/>
          <w:sz w:val="22"/>
          <w:szCs w:val="22"/>
          <w:lang w:eastAsia="en-US" w:bidi="pl-PL"/>
        </w:rPr>
        <w:t xml:space="preserve">specustawy </w:t>
      </w:r>
      <w:r>
        <w:rPr>
          <w:rFonts w:ascii="Lato" w:eastAsia="Calibri" w:hAnsi="Lato" w:cs="Arial"/>
          <w:bCs/>
          <w:i/>
          <w:iCs/>
          <w:spacing w:val="4"/>
          <w:sz w:val="22"/>
          <w:szCs w:val="22"/>
          <w:lang w:eastAsia="en-US" w:bidi="pl-PL"/>
        </w:rPr>
        <w:t xml:space="preserve">naftowej </w:t>
      </w:r>
      <w:r w:rsidRPr="00616EAC">
        <w:rPr>
          <w:rFonts w:ascii="Lato" w:eastAsia="Calibri" w:hAnsi="Lato" w:cs="Arial"/>
          <w:bCs/>
          <w:iCs/>
          <w:spacing w:val="4"/>
          <w:sz w:val="22"/>
          <w:szCs w:val="22"/>
          <w:lang w:eastAsia="en-US" w:bidi="pl-PL"/>
        </w:rPr>
        <w:t xml:space="preserve">oceniane są w odrębnych postępowaniach, w tym przewidzianym w </w:t>
      </w:r>
      <w:r w:rsidRPr="00616EAC">
        <w:rPr>
          <w:rFonts w:ascii="Lato" w:eastAsia="Calibri" w:hAnsi="Lato" w:cs="Arial"/>
          <w:bCs/>
          <w:i/>
          <w:iCs/>
          <w:spacing w:val="4"/>
          <w:sz w:val="22"/>
          <w:szCs w:val="22"/>
          <w:lang w:eastAsia="en-US" w:bidi="pl-PL"/>
        </w:rPr>
        <w:t xml:space="preserve">specustawie </w:t>
      </w:r>
      <w:r>
        <w:rPr>
          <w:rFonts w:ascii="Lato" w:eastAsia="Calibri" w:hAnsi="Lato" w:cs="Arial"/>
          <w:bCs/>
          <w:i/>
          <w:iCs/>
          <w:spacing w:val="4"/>
          <w:sz w:val="22"/>
          <w:szCs w:val="22"/>
          <w:lang w:eastAsia="en-US" w:bidi="pl-PL"/>
        </w:rPr>
        <w:t xml:space="preserve">naftowej </w:t>
      </w:r>
      <w:r w:rsidRPr="00616EAC">
        <w:rPr>
          <w:rFonts w:ascii="Lato" w:eastAsia="Calibri" w:hAnsi="Lato" w:cs="Arial"/>
          <w:bCs/>
          <w:iCs/>
          <w:spacing w:val="4"/>
          <w:sz w:val="22"/>
          <w:szCs w:val="22"/>
          <w:lang w:eastAsia="en-US" w:bidi="pl-PL"/>
        </w:rPr>
        <w:t>- postępowaniu odszkodowawczym. Lokalizacja inwestycji</w:t>
      </w:r>
      <w:r>
        <w:rPr>
          <w:rFonts w:ascii="Lato" w:eastAsia="Calibri" w:hAnsi="Lato" w:cs="Arial"/>
          <w:bCs/>
          <w:iCs/>
          <w:spacing w:val="4"/>
          <w:sz w:val="22"/>
          <w:szCs w:val="22"/>
          <w:lang w:eastAsia="en-US" w:bidi="pl-PL"/>
        </w:rPr>
        <w:t xml:space="preserve"> naftowej</w:t>
      </w:r>
      <w:r w:rsidRPr="00616EAC">
        <w:rPr>
          <w:rFonts w:ascii="Lato" w:eastAsia="Calibri" w:hAnsi="Lato" w:cs="Arial"/>
          <w:bCs/>
          <w:iCs/>
          <w:spacing w:val="4"/>
          <w:sz w:val="22"/>
          <w:szCs w:val="22"/>
          <w:lang w:eastAsia="en-US" w:bidi="pl-PL"/>
        </w:rPr>
        <w:t xml:space="preserve"> z samej istoty tego przedsięwzięcia zawsze stanowi ingerencję </w:t>
      </w:r>
      <w:r w:rsidR="00B92E2A">
        <w:rPr>
          <w:rFonts w:ascii="Lato" w:eastAsia="Calibri" w:hAnsi="Lato" w:cs="Arial"/>
          <w:bCs/>
          <w:iCs/>
          <w:spacing w:val="4"/>
          <w:sz w:val="22"/>
          <w:szCs w:val="22"/>
          <w:lang w:eastAsia="en-US" w:bidi="pl-PL"/>
        </w:rPr>
        <w:br/>
      </w:r>
      <w:r w:rsidRPr="00616EAC">
        <w:rPr>
          <w:rFonts w:ascii="Lato" w:eastAsia="Calibri" w:hAnsi="Lato" w:cs="Arial"/>
          <w:bCs/>
          <w:iCs/>
          <w:spacing w:val="4"/>
          <w:sz w:val="22"/>
          <w:szCs w:val="22"/>
          <w:lang w:eastAsia="en-US" w:bidi="pl-PL"/>
        </w:rPr>
        <w:t xml:space="preserve">w czyjeś prawo własności, które jednak nie stanowi „prawa nieskończonego” </w:t>
      </w:r>
      <w:r w:rsidR="00B92E2A">
        <w:rPr>
          <w:rFonts w:ascii="Lato" w:eastAsia="Calibri" w:hAnsi="Lato" w:cs="Arial"/>
          <w:bCs/>
          <w:iCs/>
          <w:spacing w:val="4"/>
          <w:sz w:val="22"/>
          <w:szCs w:val="22"/>
          <w:lang w:eastAsia="en-US" w:bidi="pl-PL"/>
        </w:rPr>
        <w:br/>
      </w:r>
      <w:r w:rsidRPr="00616EAC">
        <w:rPr>
          <w:rFonts w:ascii="Lato" w:eastAsia="Calibri" w:hAnsi="Lato" w:cs="Arial"/>
          <w:bCs/>
          <w:iCs/>
          <w:spacing w:val="4"/>
          <w:sz w:val="22"/>
          <w:szCs w:val="22"/>
          <w:lang w:eastAsia="en-US" w:bidi="pl-PL"/>
        </w:rPr>
        <w:t xml:space="preserve">(ius infinitum), tzn. wartości absolutnej, niepodlegającej żadnym ograniczeniom. Dla samej decyzji lokalizacyjnej dotychczasowe lub planowane przeznaczenie nieruchomości nie ma żadnego znaczenia i nie podważa prawidłowości decyzji. </w:t>
      </w:r>
    </w:p>
    <w:p w14:paraId="4FAD4496" w14:textId="06654D07" w:rsidR="00616EAC" w:rsidRPr="00616EAC" w:rsidRDefault="00616EAC" w:rsidP="00616EAC">
      <w:pPr>
        <w:spacing w:after="240" w:line="240" w:lineRule="exact"/>
        <w:jc w:val="both"/>
        <w:rPr>
          <w:rFonts w:ascii="Lato" w:eastAsia="Calibri" w:hAnsi="Lato" w:cs="Arial"/>
          <w:bCs/>
          <w:iCs/>
          <w:spacing w:val="4"/>
          <w:sz w:val="22"/>
          <w:szCs w:val="22"/>
          <w:lang w:eastAsia="en-US" w:bidi="pl-PL"/>
        </w:rPr>
      </w:pPr>
      <w:r w:rsidRPr="00616EAC">
        <w:rPr>
          <w:rFonts w:ascii="Lato" w:eastAsia="Calibri" w:hAnsi="Lato" w:cs="Arial"/>
          <w:bCs/>
          <w:iCs/>
          <w:spacing w:val="4"/>
          <w:sz w:val="22"/>
          <w:szCs w:val="22"/>
          <w:lang w:eastAsia="en-US" w:bidi="pl-PL"/>
        </w:rPr>
        <w:t xml:space="preserve">Wyjaśnienia dodatkowo wymaga, iż przepisy art. 124 ust. 4-7 </w:t>
      </w:r>
      <w:r w:rsidRPr="001871FB">
        <w:rPr>
          <w:rFonts w:ascii="Lato" w:eastAsia="Calibri" w:hAnsi="Lato" w:cs="Arial"/>
          <w:bCs/>
          <w:i/>
          <w:spacing w:val="4"/>
          <w:sz w:val="22"/>
          <w:szCs w:val="22"/>
          <w:lang w:eastAsia="en-US" w:bidi="pl-PL"/>
        </w:rPr>
        <w:t>ugn</w:t>
      </w:r>
      <w:r>
        <w:rPr>
          <w:rFonts w:ascii="Lato" w:eastAsia="Calibri" w:hAnsi="Lato" w:cs="Arial"/>
          <w:bCs/>
          <w:iCs/>
          <w:spacing w:val="4"/>
          <w:sz w:val="22"/>
          <w:szCs w:val="22"/>
          <w:lang w:eastAsia="en-US" w:bidi="pl-PL"/>
        </w:rPr>
        <w:t xml:space="preserve"> </w:t>
      </w:r>
      <w:r w:rsidRPr="00616EAC">
        <w:rPr>
          <w:rFonts w:ascii="Lato" w:eastAsia="Calibri" w:hAnsi="Lato" w:cs="Arial"/>
          <w:bCs/>
          <w:iCs/>
          <w:spacing w:val="4"/>
          <w:sz w:val="22"/>
          <w:szCs w:val="22"/>
          <w:lang w:eastAsia="en-US" w:bidi="pl-PL"/>
        </w:rPr>
        <w:t xml:space="preserve">stosuje się odpowiednio, z uwzględnieniem przepisów </w:t>
      </w:r>
      <w:r w:rsidRPr="00616EAC">
        <w:rPr>
          <w:rFonts w:ascii="Lato" w:eastAsia="Calibri" w:hAnsi="Lato" w:cs="Arial"/>
          <w:bCs/>
          <w:i/>
          <w:iCs/>
          <w:spacing w:val="4"/>
          <w:sz w:val="22"/>
          <w:szCs w:val="22"/>
          <w:lang w:eastAsia="en-US" w:bidi="pl-PL"/>
        </w:rPr>
        <w:t>specustawy</w:t>
      </w:r>
      <w:r>
        <w:rPr>
          <w:rFonts w:ascii="Lato" w:eastAsia="Calibri" w:hAnsi="Lato" w:cs="Arial"/>
          <w:bCs/>
          <w:i/>
          <w:iCs/>
          <w:spacing w:val="4"/>
          <w:sz w:val="22"/>
          <w:szCs w:val="22"/>
          <w:lang w:eastAsia="en-US" w:bidi="pl-PL"/>
        </w:rPr>
        <w:t xml:space="preserve"> naftowej</w:t>
      </w:r>
      <w:r w:rsidRPr="00616EAC">
        <w:rPr>
          <w:rFonts w:ascii="Lato" w:eastAsia="Calibri" w:hAnsi="Lato" w:cs="Arial"/>
          <w:bCs/>
          <w:iCs/>
          <w:spacing w:val="4"/>
          <w:sz w:val="22"/>
          <w:szCs w:val="22"/>
          <w:lang w:eastAsia="en-US" w:bidi="pl-PL"/>
        </w:rPr>
        <w:t xml:space="preserve">. A zatem na </w:t>
      </w:r>
      <w:r w:rsidRPr="00616EAC">
        <w:rPr>
          <w:rFonts w:ascii="Lato" w:eastAsia="Calibri" w:hAnsi="Lato" w:cs="Arial"/>
          <w:bCs/>
          <w:i/>
          <w:iCs/>
          <w:spacing w:val="4"/>
          <w:sz w:val="22"/>
          <w:szCs w:val="22"/>
          <w:lang w:eastAsia="en-US" w:bidi="pl-PL"/>
        </w:rPr>
        <w:t xml:space="preserve">inwestorze </w:t>
      </w:r>
      <w:r w:rsidRPr="00616EAC">
        <w:rPr>
          <w:rFonts w:ascii="Lato" w:eastAsia="Calibri" w:hAnsi="Lato" w:cs="Arial"/>
          <w:bCs/>
          <w:iCs/>
          <w:spacing w:val="4"/>
          <w:sz w:val="22"/>
          <w:szCs w:val="22"/>
          <w:lang w:eastAsia="en-US" w:bidi="pl-PL"/>
        </w:rPr>
        <w:t xml:space="preserve">ciąży obowiązek przywrócenia nieruchomości objętych skutkiem z art. </w:t>
      </w:r>
      <w:r>
        <w:rPr>
          <w:rFonts w:ascii="Lato" w:eastAsia="Calibri" w:hAnsi="Lato" w:cs="Arial"/>
          <w:bCs/>
          <w:iCs/>
          <w:spacing w:val="4"/>
          <w:sz w:val="22"/>
          <w:szCs w:val="22"/>
          <w:lang w:eastAsia="en-US" w:bidi="pl-PL"/>
        </w:rPr>
        <w:t xml:space="preserve">30 </w:t>
      </w:r>
      <w:r w:rsidRPr="00616EAC">
        <w:rPr>
          <w:rFonts w:ascii="Lato" w:eastAsia="Calibri" w:hAnsi="Lato" w:cs="Arial"/>
          <w:bCs/>
          <w:i/>
          <w:iCs/>
          <w:spacing w:val="4"/>
          <w:sz w:val="22"/>
          <w:szCs w:val="22"/>
          <w:lang w:eastAsia="en-US" w:bidi="pl-PL"/>
        </w:rPr>
        <w:t xml:space="preserve">specustawy </w:t>
      </w:r>
      <w:r>
        <w:rPr>
          <w:rFonts w:ascii="Lato" w:eastAsia="Calibri" w:hAnsi="Lato" w:cs="Arial"/>
          <w:bCs/>
          <w:i/>
          <w:iCs/>
          <w:spacing w:val="4"/>
          <w:sz w:val="22"/>
          <w:szCs w:val="22"/>
          <w:lang w:eastAsia="en-US" w:bidi="pl-PL"/>
        </w:rPr>
        <w:t xml:space="preserve">naftowej, </w:t>
      </w:r>
      <w:r w:rsidRPr="00616EAC">
        <w:rPr>
          <w:rFonts w:ascii="Lato" w:eastAsia="Calibri" w:hAnsi="Lato" w:cs="Arial"/>
          <w:bCs/>
          <w:iCs/>
          <w:spacing w:val="4"/>
          <w:sz w:val="22"/>
          <w:szCs w:val="22"/>
          <w:lang w:eastAsia="en-US" w:bidi="pl-PL"/>
        </w:rPr>
        <w:t xml:space="preserve">tj. m.in. działki skarżącej strony do stanu poprzedniego, niezwłocznie </w:t>
      </w:r>
      <w:r w:rsidR="00B92E2A">
        <w:rPr>
          <w:rFonts w:ascii="Lato" w:eastAsia="Calibri" w:hAnsi="Lato" w:cs="Arial"/>
          <w:bCs/>
          <w:iCs/>
          <w:spacing w:val="4"/>
          <w:sz w:val="22"/>
          <w:szCs w:val="22"/>
          <w:lang w:eastAsia="en-US" w:bidi="pl-PL"/>
        </w:rPr>
        <w:br/>
      </w:r>
      <w:r w:rsidRPr="00616EAC">
        <w:rPr>
          <w:rFonts w:ascii="Lato" w:eastAsia="Calibri" w:hAnsi="Lato" w:cs="Arial"/>
          <w:bCs/>
          <w:iCs/>
          <w:spacing w:val="4"/>
          <w:sz w:val="22"/>
          <w:szCs w:val="22"/>
          <w:lang w:eastAsia="en-US" w:bidi="pl-PL"/>
        </w:rPr>
        <w:t>po założeniu lub przeprowadzeniu ciągów, przewodów i urządzeń</w:t>
      </w:r>
      <w:r>
        <w:rPr>
          <w:rFonts w:ascii="Lato" w:eastAsia="Calibri" w:hAnsi="Lato" w:cs="Arial"/>
          <w:bCs/>
          <w:iCs/>
          <w:spacing w:val="4"/>
          <w:sz w:val="22"/>
          <w:szCs w:val="22"/>
          <w:lang w:eastAsia="en-US" w:bidi="pl-PL"/>
        </w:rPr>
        <w:t>.</w:t>
      </w:r>
      <w:r w:rsidR="00EB3B09">
        <w:rPr>
          <w:rFonts w:ascii="Lato" w:eastAsia="Calibri" w:hAnsi="Lato" w:cs="Arial"/>
          <w:bCs/>
          <w:iCs/>
          <w:spacing w:val="4"/>
          <w:sz w:val="22"/>
          <w:szCs w:val="22"/>
          <w:lang w:eastAsia="en-US" w:bidi="pl-PL"/>
        </w:rPr>
        <w:t xml:space="preserve"> </w:t>
      </w:r>
      <w:r w:rsidRPr="00616EAC">
        <w:rPr>
          <w:rFonts w:ascii="Lato" w:eastAsia="Calibri" w:hAnsi="Lato" w:cs="Arial"/>
          <w:bCs/>
          <w:iCs/>
          <w:spacing w:val="4"/>
          <w:sz w:val="22"/>
          <w:szCs w:val="22"/>
          <w:lang w:eastAsia="en-US" w:bidi="pl-PL"/>
        </w:rPr>
        <w:t xml:space="preserve">Jeżeli przywrócenie nieruchomości do stanu poprzedniego jest niemożliwe albo powoduje nadmierne trudności lub koszty, stosuje się odpowiednio przepis art. 128 ust. 4. </w:t>
      </w:r>
    </w:p>
    <w:p w14:paraId="1D3145CA" w14:textId="44C27C62" w:rsidR="00C23919" w:rsidRDefault="00616EAC" w:rsidP="00616EAC">
      <w:pPr>
        <w:spacing w:after="240" w:line="240" w:lineRule="exact"/>
        <w:jc w:val="both"/>
        <w:rPr>
          <w:rFonts w:ascii="Lato" w:eastAsia="Calibri" w:hAnsi="Lato" w:cs="Arial"/>
          <w:bCs/>
          <w:iCs/>
          <w:spacing w:val="4"/>
          <w:sz w:val="22"/>
          <w:szCs w:val="22"/>
          <w:lang w:eastAsia="en-US" w:bidi="pl-PL"/>
        </w:rPr>
      </w:pPr>
      <w:r w:rsidRPr="00616EAC">
        <w:rPr>
          <w:rFonts w:ascii="Lato" w:eastAsia="Calibri" w:hAnsi="Lato" w:cs="Arial"/>
          <w:bCs/>
          <w:iCs/>
          <w:spacing w:val="4"/>
          <w:sz w:val="22"/>
          <w:szCs w:val="22"/>
          <w:lang w:eastAsia="en-US" w:bidi="pl-PL"/>
        </w:rPr>
        <w:t xml:space="preserve">Odszkodowanie, o którym mowa w art. 124 ust. 4 w zw. z art. 128 ust. 4 </w:t>
      </w:r>
      <w:r w:rsidR="00B92E2A">
        <w:rPr>
          <w:rFonts w:ascii="Lato" w:eastAsia="Calibri" w:hAnsi="Lato" w:cs="Arial"/>
          <w:bCs/>
          <w:i/>
          <w:iCs/>
          <w:spacing w:val="4"/>
          <w:sz w:val="22"/>
          <w:szCs w:val="22"/>
          <w:lang w:eastAsia="en-US" w:bidi="pl-PL"/>
        </w:rPr>
        <w:t>ugn</w:t>
      </w:r>
      <w:r w:rsidRPr="00616EAC">
        <w:rPr>
          <w:rFonts w:ascii="Lato" w:eastAsia="Calibri" w:hAnsi="Lato" w:cs="Arial"/>
          <w:bCs/>
          <w:i/>
          <w:iCs/>
          <w:spacing w:val="4"/>
          <w:sz w:val="22"/>
          <w:szCs w:val="22"/>
          <w:lang w:eastAsia="en-US" w:bidi="pl-PL"/>
        </w:rPr>
        <w:t xml:space="preserve">, </w:t>
      </w:r>
      <w:r w:rsidRPr="00616EAC">
        <w:rPr>
          <w:rFonts w:ascii="Lato" w:eastAsia="Calibri" w:hAnsi="Lato" w:cs="Arial"/>
          <w:bCs/>
          <w:iCs/>
          <w:spacing w:val="4"/>
          <w:sz w:val="22"/>
          <w:szCs w:val="22"/>
          <w:lang w:eastAsia="en-US" w:bidi="pl-PL"/>
        </w:rPr>
        <w:t xml:space="preserve">jest odszkodowaniem za szkody wynikające z ograniczenia sposobu korzystania </w:t>
      </w:r>
      <w:r w:rsidR="00B92E2A">
        <w:rPr>
          <w:rFonts w:ascii="Lato" w:eastAsia="Calibri" w:hAnsi="Lato" w:cs="Arial"/>
          <w:bCs/>
          <w:iCs/>
          <w:spacing w:val="4"/>
          <w:sz w:val="22"/>
          <w:szCs w:val="22"/>
          <w:lang w:eastAsia="en-US" w:bidi="pl-PL"/>
        </w:rPr>
        <w:br/>
      </w:r>
      <w:r w:rsidRPr="00616EAC">
        <w:rPr>
          <w:rFonts w:ascii="Lato" w:eastAsia="Calibri" w:hAnsi="Lato" w:cs="Arial"/>
          <w:bCs/>
          <w:iCs/>
          <w:spacing w:val="4"/>
          <w:sz w:val="22"/>
          <w:szCs w:val="22"/>
          <w:lang w:eastAsia="en-US" w:bidi="pl-PL"/>
        </w:rPr>
        <w:t xml:space="preserve">z nieruchomości, a więc w istocie za ograniczenia prawa do nieruchomości. </w:t>
      </w:r>
    </w:p>
    <w:p w14:paraId="154E5965" w14:textId="21187D33" w:rsidR="007B7FE7" w:rsidRPr="007B7FE7" w:rsidRDefault="007B7FE7" w:rsidP="007B7FE7">
      <w:pPr>
        <w:spacing w:after="240" w:line="240" w:lineRule="exact"/>
        <w:jc w:val="both"/>
        <w:rPr>
          <w:rFonts w:ascii="Lato" w:eastAsia="Calibri" w:hAnsi="Lato" w:cs="Arial"/>
          <w:bCs/>
          <w:iCs/>
          <w:spacing w:val="4"/>
          <w:sz w:val="22"/>
          <w:szCs w:val="22"/>
          <w:lang w:eastAsia="en-US" w:bidi="pl-PL"/>
        </w:rPr>
      </w:pPr>
      <w:r w:rsidRPr="007B7FE7">
        <w:rPr>
          <w:rFonts w:ascii="Lato" w:eastAsia="Calibri" w:hAnsi="Lato" w:cs="Arial"/>
          <w:bCs/>
          <w:iCs/>
          <w:spacing w:val="4"/>
          <w:sz w:val="22"/>
          <w:szCs w:val="22"/>
          <w:lang w:eastAsia="en-US" w:bidi="pl-PL"/>
        </w:rPr>
        <w:t xml:space="preserve">Jednakże kwestie związane z ustaleniem wysokości i wypłatą odszkodowań, mimo </w:t>
      </w:r>
      <w:r w:rsidRPr="007B7FE7">
        <w:rPr>
          <w:rFonts w:ascii="Lato" w:eastAsia="Calibri" w:hAnsi="Lato" w:cs="Arial"/>
          <w:bCs/>
          <w:iCs/>
          <w:spacing w:val="4"/>
          <w:sz w:val="22"/>
          <w:szCs w:val="22"/>
          <w:lang w:eastAsia="en-US" w:bidi="pl-PL"/>
        </w:rPr>
        <w:br/>
        <w:t>iż w pewnym stopniu są związane z decyzją o ustaleniu lokalizacji</w:t>
      </w:r>
      <w:r w:rsidR="007C6DEA">
        <w:rPr>
          <w:rFonts w:ascii="Lato" w:eastAsia="Calibri" w:hAnsi="Lato" w:cs="Arial"/>
          <w:bCs/>
          <w:iCs/>
          <w:spacing w:val="4"/>
          <w:sz w:val="22"/>
          <w:szCs w:val="22"/>
          <w:lang w:eastAsia="en-US" w:bidi="pl-PL"/>
        </w:rPr>
        <w:t xml:space="preserve"> strategicznej</w:t>
      </w:r>
      <w:r w:rsidRPr="007B7FE7">
        <w:rPr>
          <w:rFonts w:ascii="Lato" w:eastAsia="Calibri" w:hAnsi="Lato" w:cs="Arial"/>
          <w:bCs/>
          <w:iCs/>
          <w:spacing w:val="4"/>
          <w:sz w:val="22"/>
          <w:szCs w:val="22"/>
          <w:lang w:eastAsia="en-US" w:bidi="pl-PL"/>
        </w:rPr>
        <w:t xml:space="preserve"> inwestycji </w:t>
      </w:r>
      <w:r w:rsidR="007C6DEA">
        <w:rPr>
          <w:rFonts w:ascii="Lato" w:eastAsia="Calibri" w:hAnsi="Lato" w:cs="Arial"/>
          <w:bCs/>
          <w:iCs/>
          <w:spacing w:val="4"/>
          <w:sz w:val="22"/>
          <w:szCs w:val="22"/>
          <w:lang w:eastAsia="en-US" w:bidi="pl-PL"/>
        </w:rPr>
        <w:t>w sektorze naftowym</w:t>
      </w:r>
      <w:r w:rsidRPr="007B7FE7">
        <w:rPr>
          <w:rFonts w:ascii="Lato" w:eastAsia="Calibri" w:hAnsi="Lato" w:cs="Arial"/>
          <w:bCs/>
          <w:iCs/>
          <w:spacing w:val="4"/>
          <w:sz w:val="22"/>
          <w:szCs w:val="22"/>
          <w:lang w:eastAsia="en-US" w:bidi="pl-PL"/>
        </w:rPr>
        <w:t xml:space="preserve">, stanowią oddzielne byty, podlegające odrębnym trybom zaskarżenia. Wysokość odszkodowania jest przedmiotem odrębnego postępowania administracyjnego prowadzonego przez Wojewodę na podstawie przepisów </w:t>
      </w:r>
      <w:r w:rsidRPr="007B7FE7">
        <w:rPr>
          <w:rFonts w:ascii="Lato" w:eastAsia="Calibri" w:hAnsi="Lato" w:cs="Arial"/>
          <w:bCs/>
          <w:i/>
          <w:iCs/>
          <w:spacing w:val="4"/>
          <w:sz w:val="22"/>
          <w:szCs w:val="22"/>
          <w:lang w:eastAsia="en-US" w:bidi="pl-PL"/>
        </w:rPr>
        <w:t xml:space="preserve">specustawy </w:t>
      </w:r>
      <w:r w:rsidR="007C6DEA">
        <w:rPr>
          <w:rFonts w:ascii="Lato" w:eastAsia="Calibri" w:hAnsi="Lato" w:cs="Arial"/>
          <w:bCs/>
          <w:i/>
          <w:iCs/>
          <w:spacing w:val="4"/>
          <w:sz w:val="22"/>
          <w:szCs w:val="22"/>
          <w:lang w:eastAsia="en-US" w:bidi="pl-PL"/>
        </w:rPr>
        <w:t>naftowej</w:t>
      </w:r>
      <w:r w:rsidRPr="007B7FE7">
        <w:rPr>
          <w:rFonts w:ascii="Lato" w:eastAsia="Calibri" w:hAnsi="Lato" w:cs="Arial"/>
          <w:bCs/>
          <w:i/>
          <w:iCs/>
          <w:spacing w:val="4"/>
          <w:sz w:val="22"/>
          <w:szCs w:val="22"/>
          <w:lang w:eastAsia="en-US" w:bidi="pl-PL"/>
        </w:rPr>
        <w:t xml:space="preserve"> </w:t>
      </w:r>
      <w:r w:rsidRPr="007B7FE7">
        <w:rPr>
          <w:rFonts w:ascii="Lato" w:eastAsia="Calibri" w:hAnsi="Lato" w:cs="Arial"/>
          <w:bCs/>
          <w:iCs/>
          <w:spacing w:val="4"/>
          <w:sz w:val="22"/>
          <w:szCs w:val="22"/>
          <w:lang w:eastAsia="en-US" w:bidi="pl-PL"/>
        </w:rPr>
        <w:t xml:space="preserve">oraz odpowiednich przepisów </w:t>
      </w:r>
      <w:r w:rsidRPr="007B7FE7">
        <w:rPr>
          <w:rFonts w:ascii="Lato" w:eastAsia="Calibri" w:hAnsi="Lato" w:cs="Arial"/>
          <w:bCs/>
          <w:i/>
          <w:iCs/>
          <w:spacing w:val="4"/>
          <w:sz w:val="22"/>
          <w:szCs w:val="22"/>
          <w:lang w:eastAsia="en-US" w:bidi="pl-PL"/>
        </w:rPr>
        <w:t xml:space="preserve">ugn. </w:t>
      </w:r>
      <w:r w:rsidRPr="007B7FE7">
        <w:rPr>
          <w:rFonts w:ascii="Lato" w:eastAsia="Calibri" w:hAnsi="Lato" w:cs="Arial"/>
          <w:bCs/>
          <w:iCs/>
          <w:spacing w:val="4"/>
          <w:sz w:val="22"/>
          <w:szCs w:val="22"/>
          <w:lang w:eastAsia="en-US" w:bidi="pl-PL"/>
        </w:rPr>
        <w:t xml:space="preserve">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w:t>
      </w:r>
      <w:r w:rsidR="00B92E2A">
        <w:rPr>
          <w:rFonts w:ascii="Lato" w:eastAsia="Calibri" w:hAnsi="Lato" w:cs="Arial"/>
          <w:bCs/>
          <w:iCs/>
          <w:spacing w:val="4"/>
          <w:sz w:val="22"/>
          <w:szCs w:val="22"/>
          <w:lang w:eastAsia="en-US" w:bidi="pl-PL"/>
        </w:rPr>
        <w:br/>
      </w:r>
      <w:r w:rsidRPr="007B7FE7">
        <w:rPr>
          <w:rFonts w:ascii="Lato" w:eastAsia="Calibri" w:hAnsi="Lato" w:cs="Arial"/>
          <w:bCs/>
          <w:iCs/>
          <w:spacing w:val="4"/>
          <w:sz w:val="22"/>
          <w:szCs w:val="22"/>
          <w:lang w:eastAsia="en-US" w:bidi="pl-PL"/>
        </w:rPr>
        <w:t xml:space="preserve">na podstawie ww. art. </w:t>
      </w:r>
      <w:r w:rsidR="007C6DEA">
        <w:rPr>
          <w:rFonts w:ascii="Lato" w:eastAsia="Calibri" w:hAnsi="Lato" w:cs="Arial"/>
          <w:bCs/>
          <w:iCs/>
          <w:spacing w:val="4"/>
          <w:sz w:val="22"/>
          <w:szCs w:val="22"/>
          <w:lang w:eastAsia="en-US" w:bidi="pl-PL"/>
        </w:rPr>
        <w:t>30</w:t>
      </w:r>
      <w:r w:rsidRPr="007B7FE7">
        <w:rPr>
          <w:rFonts w:ascii="Lato" w:eastAsia="Calibri" w:hAnsi="Lato" w:cs="Arial"/>
          <w:bCs/>
          <w:iCs/>
          <w:spacing w:val="4"/>
          <w:sz w:val="22"/>
          <w:szCs w:val="22"/>
          <w:lang w:eastAsia="en-US" w:bidi="pl-PL"/>
        </w:rPr>
        <w:t xml:space="preserve"> ust. 1 </w:t>
      </w:r>
      <w:r w:rsidRPr="007B7FE7">
        <w:rPr>
          <w:rFonts w:ascii="Lato" w:eastAsia="Calibri" w:hAnsi="Lato" w:cs="Arial"/>
          <w:bCs/>
          <w:i/>
          <w:iCs/>
          <w:spacing w:val="4"/>
          <w:sz w:val="22"/>
          <w:szCs w:val="22"/>
          <w:lang w:eastAsia="en-US" w:bidi="pl-PL"/>
        </w:rPr>
        <w:t xml:space="preserve">specustawy </w:t>
      </w:r>
      <w:r w:rsidR="007C6DEA">
        <w:rPr>
          <w:rFonts w:ascii="Lato" w:eastAsia="Calibri" w:hAnsi="Lato" w:cs="Arial"/>
          <w:bCs/>
          <w:i/>
          <w:iCs/>
          <w:spacing w:val="4"/>
          <w:sz w:val="22"/>
          <w:szCs w:val="22"/>
          <w:lang w:eastAsia="en-US" w:bidi="pl-PL"/>
        </w:rPr>
        <w:t>naftowej</w:t>
      </w:r>
      <w:r w:rsidRPr="007B7FE7">
        <w:rPr>
          <w:rFonts w:ascii="Lato" w:eastAsia="Calibri" w:hAnsi="Lato" w:cs="Arial"/>
          <w:bCs/>
          <w:iCs/>
          <w:spacing w:val="4"/>
          <w:sz w:val="22"/>
          <w:szCs w:val="22"/>
          <w:lang w:eastAsia="en-US" w:bidi="pl-PL"/>
        </w:rPr>
        <w:t xml:space="preserve">, nie są przedmiotem decyzji </w:t>
      </w:r>
      <w:r w:rsidR="00B92E2A">
        <w:rPr>
          <w:rFonts w:ascii="Lato" w:eastAsia="Calibri" w:hAnsi="Lato" w:cs="Arial"/>
          <w:bCs/>
          <w:iCs/>
          <w:spacing w:val="4"/>
          <w:sz w:val="22"/>
          <w:szCs w:val="22"/>
          <w:lang w:eastAsia="en-US" w:bidi="pl-PL"/>
        </w:rPr>
        <w:br/>
      </w:r>
      <w:r w:rsidRPr="007B7FE7">
        <w:rPr>
          <w:rFonts w:ascii="Lato" w:eastAsia="Calibri" w:hAnsi="Lato" w:cs="Arial"/>
          <w:bCs/>
          <w:iCs/>
          <w:spacing w:val="4"/>
          <w:sz w:val="22"/>
          <w:szCs w:val="22"/>
          <w:lang w:eastAsia="en-US" w:bidi="pl-PL"/>
        </w:rPr>
        <w:t xml:space="preserve">o ustaleniu lokalizacji </w:t>
      </w:r>
      <w:r w:rsidR="00DE5003">
        <w:rPr>
          <w:rFonts w:ascii="Lato" w:eastAsia="Calibri" w:hAnsi="Lato" w:cs="Arial"/>
          <w:bCs/>
          <w:iCs/>
          <w:spacing w:val="4"/>
          <w:sz w:val="22"/>
          <w:szCs w:val="22"/>
          <w:lang w:eastAsia="en-US" w:bidi="pl-PL"/>
        </w:rPr>
        <w:t xml:space="preserve">strategicznej </w:t>
      </w:r>
      <w:r w:rsidRPr="007B7FE7">
        <w:rPr>
          <w:rFonts w:ascii="Lato" w:eastAsia="Calibri" w:hAnsi="Lato" w:cs="Arial"/>
          <w:bCs/>
          <w:iCs/>
          <w:spacing w:val="4"/>
          <w:sz w:val="22"/>
          <w:szCs w:val="22"/>
          <w:lang w:eastAsia="en-US" w:bidi="pl-PL"/>
        </w:rPr>
        <w:t xml:space="preserve">inwestycji w </w:t>
      </w:r>
      <w:r w:rsidR="00DE5003" w:rsidRPr="00B61594">
        <w:rPr>
          <w:rFonts w:ascii="Lato" w:eastAsia="Calibri" w:hAnsi="Lato" w:cs="Arial"/>
          <w:bCs/>
          <w:iCs/>
          <w:spacing w:val="4"/>
          <w:sz w:val="22"/>
          <w:szCs w:val="22"/>
          <w:lang w:eastAsia="en-US" w:bidi="pl-PL"/>
        </w:rPr>
        <w:t>sektorze naftowym.</w:t>
      </w:r>
      <w:r w:rsidRPr="007B7FE7">
        <w:rPr>
          <w:rFonts w:ascii="Lato" w:eastAsia="Calibri" w:hAnsi="Lato" w:cs="Arial"/>
          <w:bCs/>
          <w:iCs/>
          <w:spacing w:val="4"/>
          <w:sz w:val="22"/>
          <w:szCs w:val="22"/>
          <w:lang w:eastAsia="en-US" w:bidi="pl-PL"/>
        </w:rPr>
        <w:t xml:space="preserve"> </w:t>
      </w:r>
    </w:p>
    <w:p w14:paraId="10A0501C" w14:textId="649B147F" w:rsidR="007B7FE7" w:rsidRPr="007B7FE7" w:rsidRDefault="007B7FE7" w:rsidP="0018343C">
      <w:pPr>
        <w:spacing w:after="240" w:line="240" w:lineRule="exact"/>
        <w:jc w:val="both"/>
        <w:rPr>
          <w:rFonts w:ascii="Lato" w:eastAsia="Calibri" w:hAnsi="Lato" w:cs="Arial"/>
          <w:bCs/>
          <w:iCs/>
          <w:spacing w:val="4"/>
          <w:sz w:val="22"/>
          <w:szCs w:val="22"/>
          <w:lang w:eastAsia="en-US" w:bidi="pl-PL"/>
        </w:rPr>
      </w:pPr>
      <w:r w:rsidRPr="007B7FE7">
        <w:rPr>
          <w:rFonts w:ascii="Lato" w:eastAsia="Calibri" w:hAnsi="Lato" w:cs="Arial"/>
          <w:bCs/>
          <w:iCs/>
          <w:spacing w:val="4"/>
          <w:sz w:val="22"/>
          <w:szCs w:val="22"/>
          <w:lang w:eastAsia="en-US"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Pr="007B7FE7">
        <w:rPr>
          <w:rFonts w:ascii="Lato" w:eastAsia="Calibri" w:hAnsi="Lato" w:cs="Arial"/>
          <w:bCs/>
          <w:iCs/>
          <w:spacing w:val="4"/>
          <w:sz w:val="22"/>
          <w:szCs w:val="22"/>
          <w:lang w:eastAsia="en-US" w:bidi="pl-PL"/>
        </w:rPr>
        <w:br/>
        <w:t xml:space="preserve">są rekompensowane stosownym odszkodowaniem. Natomiast ustawodawca wyraźnie przesądził, że właściwym instrumentem prawnym, służącym ochronie właściciela gruntu, zajętego jedynie częściowo na potrzeby inwestycji, jest żądanie wykupu przez </w:t>
      </w:r>
      <w:r w:rsidRPr="007B7FE7">
        <w:rPr>
          <w:rFonts w:ascii="Lato" w:eastAsia="Calibri" w:hAnsi="Lato" w:cs="Arial"/>
          <w:bCs/>
          <w:i/>
          <w:iCs/>
          <w:spacing w:val="4"/>
          <w:sz w:val="22"/>
          <w:szCs w:val="22"/>
          <w:lang w:eastAsia="en-US" w:bidi="pl-PL"/>
        </w:rPr>
        <w:t xml:space="preserve">inwestora </w:t>
      </w:r>
      <w:r w:rsidRPr="007B7FE7">
        <w:rPr>
          <w:rFonts w:ascii="Lato" w:eastAsia="Calibri" w:hAnsi="Lato" w:cs="Arial"/>
          <w:bCs/>
          <w:iCs/>
          <w:spacing w:val="4"/>
          <w:sz w:val="22"/>
          <w:szCs w:val="22"/>
          <w:lang w:eastAsia="en-US" w:bidi="pl-PL"/>
        </w:rPr>
        <w:t xml:space="preserve">całości nieruchomości na zasadach przewidzianych w art. 124 ust. 5 </w:t>
      </w:r>
      <w:r w:rsidRPr="007B7FE7">
        <w:rPr>
          <w:rFonts w:ascii="Lato" w:eastAsia="Calibri" w:hAnsi="Lato" w:cs="Arial"/>
          <w:bCs/>
          <w:i/>
          <w:iCs/>
          <w:spacing w:val="4"/>
          <w:sz w:val="22"/>
          <w:szCs w:val="22"/>
          <w:lang w:eastAsia="en-US" w:bidi="pl-PL"/>
        </w:rPr>
        <w:t>ugn</w:t>
      </w:r>
      <w:r w:rsidRPr="007B7FE7">
        <w:rPr>
          <w:rFonts w:ascii="Lato" w:eastAsia="Calibri" w:hAnsi="Lato" w:cs="Arial"/>
          <w:bCs/>
          <w:iCs/>
          <w:spacing w:val="4"/>
          <w:sz w:val="22"/>
          <w:szCs w:val="22"/>
          <w:lang w:eastAsia="en-US" w:bidi="pl-PL"/>
        </w:rPr>
        <w:t>, gdyby zachodziła rzeczywista przeszkoda w dalszym prawidłowym korzystaniu z nieruchomości w sposób dotychczasowy albo w sposób zgodny z jej dotychczasowym przeznaczeniem.</w:t>
      </w:r>
      <w:r w:rsidR="008B5BBB">
        <w:rPr>
          <w:rFonts w:ascii="Lato" w:eastAsia="Calibri" w:hAnsi="Lato" w:cs="Arial"/>
          <w:bCs/>
          <w:iCs/>
          <w:spacing w:val="4"/>
          <w:sz w:val="22"/>
          <w:szCs w:val="22"/>
          <w:lang w:eastAsia="en-US" w:bidi="pl-PL"/>
        </w:rPr>
        <w:t xml:space="preserve"> </w:t>
      </w:r>
      <w:r w:rsidRPr="007B7FE7">
        <w:rPr>
          <w:rFonts w:ascii="Lato" w:eastAsia="Calibri" w:hAnsi="Lato" w:cs="Arial"/>
          <w:bCs/>
          <w:iCs/>
          <w:spacing w:val="4"/>
          <w:sz w:val="22"/>
          <w:szCs w:val="22"/>
          <w:lang w:eastAsia="en-US" w:bidi="pl-PL"/>
        </w:rPr>
        <w:t xml:space="preserve">Przepis art. 124 ust. 5 </w:t>
      </w:r>
      <w:r w:rsidRPr="007B7FE7">
        <w:rPr>
          <w:rFonts w:ascii="Lato" w:eastAsia="Calibri" w:hAnsi="Lato" w:cs="Arial"/>
          <w:bCs/>
          <w:i/>
          <w:iCs/>
          <w:spacing w:val="4"/>
          <w:sz w:val="22"/>
          <w:szCs w:val="22"/>
          <w:lang w:eastAsia="en-US" w:bidi="pl-PL"/>
        </w:rPr>
        <w:t xml:space="preserve">ugn </w:t>
      </w:r>
      <w:r w:rsidRPr="007B7FE7">
        <w:rPr>
          <w:rFonts w:ascii="Lato" w:eastAsia="Calibri" w:hAnsi="Lato" w:cs="Arial"/>
          <w:bCs/>
          <w:iCs/>
          <w:spacing w:val="4"/>
          <w:sz w:val="22"/>
          <w:szCs w:val="22"/>
          <w:lang w:eastAsia="en-US" w:bidi="pl-PL"/>
        </w:rPr>
        <w:t xml:space="preserve">przyznaje właścicielowi albo użytkownikowi wieczystemu nieruchomości prawo żądania nabycia od niego w drodze umowy własności lub prawa użytkowania wieczystego, jeżeli założenie lub przeprowadzenie ciągów, przewodów </w:t>
      </w:r>
      <w:r w:rsidRPr="007B7FE7">
        <w:rPr>
          <w:rFonts w:ascii="Lato" w:eastAsia="Calibri" w:hAnsi="Lato" w:cs="Arial"/>
          <w:bCs/>
          <w:iCs/>
          <w:spacing w:val="4"/>
          <w:sz w:val="22"/>
          <w:szCs w:val="22"/>
          <w:lang w:eastAsia="en-US" w:bidi="pl-PL"/>
        </w:rPr>
        <w:br/>
        <w:t xml:space="preserve">i urządzeń uniemożliwia właścicielowi albo użytkownikowi wieczystemu dalsze </w:t>
      </w:r>
      <w:r w:rsidRPr="007B7FE7">
        <w:rPr>
          <w:rFonts w:ascii="Lato" w:eastAsia="Calibri" w:hAnsi="Lato" w:cs="Arial"/>
          <w:bCs/>
          <w:iCs/>
          <w:spacing w:val="4"/>
          <w:sz w:val="22"/>
          <w:szCs w:val="22"/>
          <w:lang w:eastAsia="en-US" w:bidi="pl-PL"/>
        </w:rPr>
        <w:lastRenderedPageBreak/>
        <w:t xml:space="preserve">prawidłowe korzystanie z nieruchomości w sposób dotychczasowy albo w sposób zgodny z jej dotychczasowym przeznaczeniem. Sprawy te należą do właściwości sądów powszechnych (por. postanowienie Naczelnego Sądu Administracyjnego z dnia </w:t>
      </w:r>
      <w:r w:rsidRPr="007B7FE7">
        <w:rPr>
          <w:rFonts w:ascii="Lato" w:eastAsia="Calibri" w:hAnsi="Lato" w:cs="Arial"/>
          <w:bCs/>
          <w:iCs/>
          <w:spacing w:val="4"/>
          <w:sz w:val="22"/>
          <w:szCs w:val="22"/>
          <w:lang w:eastAsia="en-US" w:bidi="pl-PL"/>
        </w:rPr>
        <w:br/>
        <w:t xml:space="preserve">22 czerwca 1998 r., sygn. akt II SA/Ka 921/98, CBOSA). </w:t>
      </w:r>
    </w:p>
    <w:p w14:paraId="7CFCD8A4" w14:textId="33D8597D" w:rsidR="003C25F0" w:rsidRPr="00926270" w:rsidRDefault="000E52AE" w:rsidP="000E52AE">
      <w:pPr>
        <w:spacing w:after="240" w:line="240" w:lineRule="exact"/>
        <w:jc w:val="both"/>
        <w:rPr>
          <w:rFonts w:ascii="Lato" w:eastAsia="Calibri" w:hAnsi="Lato" w:cs="Arial"/>
          <w:spacing w:val="4"/>
          <w:sz w:val="22"/>
          <w:szCs w:val="22"/>
          <w:lang w:eastAsia="en-US" w:bidi="pl-PL"/>
        </w:rPr>
      </w:pPr>
      <w:r w:rsidRPr="00926270">
        <w:rPr>
          <w:rFonts w:ascii="Lato" w:eastAsia="Calibri" w:hAnsi="Lato" w:cs="Arial"/>
          <w:iCs/>
          <w:spacing w:val="4"/>
          <w:sz w:val="22"/>
          <w:szCs w:val="22"/>
          <w:lang w:eastAsia="en-US" w:bidi="pl-PL"/>
        </w:rPr>
        <w:t xml:space="preserve">Odnosząc się do kwestii podniesionej przez Pana </w:t>
      </w:r>
      <w:r w:rsidR="004A7ACC">
        <w:rPr>
          <w:rFonts w:ascii="Lato" w:eastAsia="Calibri" w:hAnsi="Lato" w:cs="Arial"/>
          <w:iCs/>
          <w:spacing w:val="4"/>
          <w:sz w:val="22"/>
          <w:szCs w:val="22"/>
          <w:lang w:eastAsia="en-US" w:bidi="pl-PL"/>
        </w:rPr>
        <w:t>L.</w:t>
      </w:r>
      <w:r w:rsidRPr="00926270">
        <w:rPr>
          <w:rFonts w:ascii="Lato" w:eastAsia="Calibri" w:hAnsi="Lato" w:cs="Arial"/>
          <w:iCs/>
          <w:spacing w:val="4"/>
          <w:sz w:val="22"/>
          <w:szCs w:val="22"/>
          <w:lang w:eastAsia="en-US" w:bidi="pl-PL"/>
        </w:rPr>
        <w:t xml:space="preserve"> </w:t>
      </w:r>
      <w:r w:rsidR="004A7ACC">
        <w:rPr>
          <w:rFonts w:ascii="Lato" w:eastAsia="Calibri" w:hAnsi="Lato" w:cs="Arial"/>
          <w:iCs/>
          <w:spacing w:val="4"/>
          <w:sz w:val="22"/>
          <w:szCs w:val="22"/>
          <w:lang w:eastAsia="en-US" w:bidi="pl-PL"/>
        </w:rPr>
        <w:t>B.</w:t>
      </w:r>
      <w:r w:rsidRPr="00926270">
        <w:rPr>
          <w:rFonts w:ascii="Lato" w:eastAsia="Calibri" w:hAnsi="Lato" w:cs="Arial"/>
          <w:iCs/>
          <w:spacing w:val="4"/>
          <w:sz w:val="22"/>
          <w:szCs w:val="22"/>
          <w:lang w:eastAsia="en-US" w:bidi="pl-PL"/>
        </w:rPr>
        <w:t xml:space="preserve"> i Pani </w:t>
      </w:r>
      <w:r w:rsidR="004A7ACC">
        <w:rPr>
          <w:rFonts w:ascii="Lato" w:eastAsia="Calibri" w:hAnsi="Lato" w:cs="Arial"/>
          <w:iCs/>
          <w:spacing w:val="4"/>
          <w:sz w:val="22"/>
          <w:szCs w:val="22"/>
          <w:lang w:eastAsia="en-US" w:bidi="pl-PL"/>
        </w:rPr>
        <w:t>A.</w:t>
      </w:r>
      <w:r w:rsidRPr="00926270">
        <w:rPr>
          <w:rFonts w:ascii="Lato" w:eastAsia="Calibri" w:hAnsi="Lato" w:cs="Arial"/>
          <w:iCs/>
          <w:spacing w:val="4"/>
          <w:sz w:val="22"/>
          <w:szCs w:val="22"/>
          <w:lang w:eastAsia="en-US" w:bidi="pl-PL"/>
        </w:rPr>
        <w:t xml:space="preserve"> </w:t>
      </w:r>
      <w:r w:rsidR="004A7ACC">
        <w:rPr>
          <w:rFonts w:ascii="Lato" w:eastAsia="Calibri" w:hAnsi="Lato" w:cs="Arial"/>
          <w:iCs/>
          <w:spacing w:val="4"/>
          <w:sz w:val="22"/>
          <w:szCs w:val="22"/>
          <w:lang w:eastAsia="en-US" w:bidi="pl-PL"/>
        </w:rPr>
        <w:t>S.</w:t>
      </w:r>
      <w:r w:rsidR="00862EAB" w:rsidRPr="00926270">
        <w:rPr>
          <w:rFonts w:ascii="Lato" w:eastAsia="Calibri" w:hAnsi="Lato" w:cs="Arial"/>
          <w:iCs/>
          <w:spacing w:val="4"/>
          <w:sz w:val="22"/>
          <w:szCs w:val="22"/>
          <w:lang w:eastAsia="en-US" w:bidi="pl-PL"/>
        </w:rPr>
        <w:t>,</w:t>
      </w:r>
      <w:r w:rsidRPr="00926270">
        <w:rPr>
          <w:rFonts w:ascii="Lato" w:eastAsia="Calibri" w:hAnsi="Lato" w:cs="Arial"/>
          <w:iCs/>
          <w:spacing w:val="4"/>
          <w:sz w:val="22"/>
          <w:szCs w:val="22"/>
          <w:lang w:eastAsia="en-US" w:bidi="pl-PL"/>
        </w:rPr>
        <w:t xml:space="preserve"> dotyczącej naruszenia art. 74 w związku z art. 75 ust 1 ustawy</w:t>
      </w:r>
      <w:r w:rsidR="00416BF7" w:rsidRPr="00926270">
        <w:rPr>
          <w:rFonts w:ascii="Lato" w:eastAsia="Calibri" w:hAnsi="Lato" w:cs="Arial"/>
          <w:iCs/>
          <w:spacing w:val="4"/>
          <w:sz w:val="22"/>
          <w:szCs w:val="22"/>
          <w:lang w:eastAsia="en-US" w:bidi="pl-PL"/>
        </w:rPr>
        <w:t xml:space="preserve"> z dnia 27 kwietnia 2001 r. –</w:t>
      </w:r>
      <w:r w:rsidRPr="00926270">
        <w:rPr>
          <w:rFonts w:ascii="Lato" w:eastAsia="Calibri" w:hAnsi="Lato" w:cs="Arial"/>
          <w:iCs/>
          <w:spacing w:val="4"/>
          <w:sz w:val="22"/>
          <w:szCs w:val="22"/>
          <w:lang w:eastAsia="en-US" w:bidi="pl-PL"/>
        </w:rPr>
        <w:t xml:space="preserve"> </w:t>
      </w:r>
      <w:r w:rsidR="00416BF7" w:rsidRPr="00926270">
        <w:rPr>
          <w:rFonts w:ascii="Lato" w:eastAsia="Calibri" w:hAnsi="Lato" w:cs="Arial"/>
          <w:iCs/>
          <w:spacing w:val="4"/>
          <w:sz w:val="22"/>
          <w:szCs w:val="22"/>
          <w:lang w:eastAsia="en-US" w:bidi="pl-PL"/>
        </w:rPr>
        <w:t>P</w:t>
      </w:r>
      <w:r w:rsidRPr="00926270">
        <w:rPr>
          <w:rFonts w:ascii="Lato" w:eastAsia="Calibri" w:hAnsi="Lato" w:cs="Arial"/>
          <w:iCs/>
          <w:spacing w:val="4"/>
          <w:sz w:val="22"/>
          <w:szCs w:val="22"/>
          <w:lang w:eastAsia="en-US" w:bidi="pl-PL"/>
        </w:rPr>
        <w:t>raw</w:t>
      </w:r>
      <w:r w:rsidR="00416BF7" w:rsidRPr="00926270">
        <w:rPr>
          <w:rFonts w:ascii="Lato" w:eastAsia="Calibri" w:hAnsi="Lato" w:cs="Arial"/>
          <w:iCs/>
          <w:spacing w:val="4"/>
          <w:sz w:val="22"/>
          <w:szCs w:val="22"/>
          <w:lang w:eastAsia="en-US" w:bidi="pl-PL"/>
        </w:rPr>
        <w:t>o</w:t>
      </w:r>
      <w:r w:rsidRPr="00926270">
        <w:rPr>
          <w:rFonts w:ascii="Lato" w:eastAsia="Calibri" w:hAnsi="Lato" w:cs="Arial"/>
          <w:iCs/>
          <w:spacing w:val="4"/>
          <w:sz w:val="22"/>
          <w:szCs w:val="22"/>
          <w:lang w:eastAsia="en-US" w:bidi="pl-PL"/>
        </w:rPr>
        <w:t xml:space="preserve"> ochrony środowiska </w:t>
      </w:r>
      <w:r w:rsidR="00416BF7" w:rsidRPr="00926270">
        <w:rPr>
          <w:rFonts w:ascii="Lato" w:eastAsia="Calibri" w:hAnsi="Lato" w:cs="Arial"/>
          <w:iCs/>
          <w:spacing w:val="4"/>
          <w:sz w:val="22"/>
          <w:szCs w:val="22"/>
          <w:lang w:eastAsia="en-US" w:bidi="pl-PL"/>
        </w:rPr>
        <w:t xml:space="preserve">(t.j. Dz.U. 2024 r. poz. 54) </w:t>
      </w:r>
      <w:r w:rsidRPr="00926270">
        <w:rPr>
          <w:rFonts w:ascii="Lato" w:eastAsia="Calibri" w:hAnsi="Lato" w:cs="Arial"/>
          <w:iCs/>
          <w:spacing w:val="4"/>
          <w:sz w:val="22"/>
          <w:szCs w:val="22"/>
          <w:lang w:eastAsia="en-US" w:bidi="pl-PL"/>
        </w:rPr>
        <w:t>w związku z art. 85 ust 1 ustawy z dnia 3 października 2008 r. o udostępnianiu informacji o środowisku i jego ochronie, udziale społeczeństwa w ochronie środowiska oraz o ocenach oddziaływania na środowisko (t.j. Dz. U. z 2024 r., poz. 1112)</w:t>
      </w:r>
      <w:r w:rsidR="00B87FB8" w:rsidRPr="00926270">
        <w:rPr>
          <w:rFonts w:ascii="Lato" w:eastAsia="Calibri" w:hAnsi="Lato" w:cs="Arial"/>
          <w:iCs/>
          <w:spacing w:val="4"/>
          <w:sz w:val="22"/>
          <w:szCs w:val="22"/>
          <w:lang w:eastAsia="en-US" w:bidi="pl-PL"/>
        </w:rPr>
        <w:t xml:space="preserve"> zwanej dalej </w:t>
      </w:r>
      <w:bookmarkStart w:id="14" w:name="_Hlk188878696"/>
      <w:r w:rsidR="00B87FB8" w:rsidRPr="00926270">
        <w:rPr>
          <w:rFonts w:ascii="Lato" w:eastAsia="Calibri" w:hAnsi="Lato" w:cs="Arial"/>
          <w:iCs/>
          <w:spacing w:val="4"/>
          <w:sz w:val="22"/>
          <w:szCs w:val="22"/>
          <w:lang w:eastAsia="en-US" w:bidi="pl-PL"/>
        </w:rPr>
        <w:t>„</w:t>
      </w:r>
      <w:r w:rsidR="00B87FB8" w:rsidRPr="00926270">
        <w:rPr>
          <w:rFonts w:ascii="Lato" w:eastAsia="Calibri" w:hAnsi="Lato" w:cs="Arial"/>
          <w:i/>
          <w:iCs/>
          <w:spacing w:val="4"/>
          <w:sz w:val="22"/>
          <w:szCs w:val="22"/>
          <w:lang w:eastAsia="en-US" w:bidi="pl-PL"/>
        </w:rPr>
        <w:t>ustawy o udostępnianiu informacji</w:t>
      </w:r>
      <w:r w:rsidR="00416BF7" w:rsidRPr="00926270">
        <w:rPr>
          <w:rFonts w:ascii="Lato" w:eastAsia="Calibri" w:hAnsi="Lato" w:cs="Arial"/>
          <w:i/>
          <w:iCs/>
          <w:spacing w:val="4"/>
          <w:sz w:val="22"/>
          <w:szCs w:val="22"/>
          <w:lang w:eastAsia="en-US" w:bidi="pl-PL"/>
        </w:rPr>
        <w:t xml:space="preserve"> </w:t>
      </w:r>
      <w:r w:rsidR="00B87FB8" w:rsidRPr="00926270">
        <w:rPr>
          <w:rFonts w:ascii="Lato" w:eastAsia="Calibri" w:hAnsi="Lato" w:cs="Arial"/>
          <w:i/>
          <w:iCs/>
          <w:spacing w:val="4"/>
          <w:sz w:val="22"/>
          <w:szCs w:val="22"/>
          <w:lang w:eastAsia="en-US" w:bidi="pl-PL"/>
        </w:rPr>
        <w:t>o środowisku i jego ochronie</w:t>
      </w:r>
      <w:bookmarkEnd w:id="14"/>
      <w:r w:rsidR="00416BF7" w:rsidRPr="00926270">
        <w:rPr>
          <w:rFonts w:ascii="Lato" w:eastAsia="Calibri" w:hAnsi="Lato" w:cs="Arial"/>
          <w:i/>
          <w:iCs/>
          <w:spacing w:val="4"/>
          <w:sz w:val="22"/>
          <w:szCs w:val="22"/>
          <w:lang w:eastAsia="en-US" w:bidi="pl-PL"/>
        </w:rPr>
        <w:t>”</w:t>
      </w:r>
      <w:r w:rsidR="00C06F1F" w:rsidRPr="00926270">
        <w:rPr>
          <w:rFonts w:ascii="Lato" w:eastAsia="Calibri" w:hAnsi="Lato" w:cs="Arial"/>
          <w:i/>
          <w:iCs/>
          <w:spacing w:val="4"/>
          <w:sz w:val="22"/>
          <w:szCs w:val="22"/>
          <w:lang w:eastAsia="en-US" w:bidi="pl-PL"/>
        </w:rPr>
        <w:t xml:space="preserve"> </w:t>
      </w:r>
      <w:r w:rsidR="003C25F0" w:rsidRPr="003C25F0">
        <w:rPr>
          <w:rFonts w:ascii="Lato" w:eastAsia="Calibri" w:hAnsi="Lato" w:cs="Arial"/>
          <w:i/>
          <w:iCs/>
          <w:spacing w:val="4"/>
          <w:sz w:val="22"/>
          <w:szCs w:val="22"/>
          <w:lang w:eastAsia="en-US" w:bidi="pl-PL"/>
        </w:rPr>
        <w:t xml:space="preserve">ochronie w </w:t>
      </w:r>
      <w:r w:rsidR="003C25F0" w:rsidRPr="003C25F0">
        <w:rPr>
          <w:rFonts w:ascii="Lato" w:eastAsia="Calibri" w:hAnsi="Lato" w:cs="Arial"/>
          <w:spacing w:val="4"/>
          <w:sz w:val="22"/>
          <w:szCs w:val="22"/>
          <w:lang w:eastAsia="en-US" w:bidi="pl-PL"/>
        </w:rPr>
        <w:t>pierwszej kolejności wyjaśnić należy iż dla organu niezrozumiałe jest podniesienie w przedmiotowej sprawie wyżej wskazanych przepisów. Przepisy powyższe odnoszą się m in. do planowania i realizacji inwestycji, podczas której należy minimalizować zajmowanie terenu, aby ograniczyć ingerencję w środowisko, natomiast w razie szkód w środowisku inwestor powinien zrekompensować straty, np. przez działania naprawcze lub odtworzenie przyrody.</w:t>
      </w:r>
    </w:p>
    <w:p w14:paraId="4B6AE2B4" w14:textId="22AE84A4" w:rsidR="005F1F0B" w:rsidRPr="00926270" w:rsidRDefault="00E358FA" w:rsidP="007163C0">
      <w:pPr>
        <w:spacing w:after="240" w:line="240" w:lineRule="exact"/>
        <w:jc w:val="both"/>
        <w:rPr>
          <w:rFonts w:ascii="Lato" w:eastAsia="Calibri" w:hAnsi="Lato" w:cs="Arial"/>
          <w:iCs/>
          <w:spacing w:val="4"/>
          <w:sz w:val="22"/>
          <w:szCs w:val="22"/>
          <w:lang w:eastAsia="en-US" w:bidi="pl-PL"/>
        </w:rPr>
      </w:pPr>
      <w:r w:rsidRPr="00926270">
        <w:rPr>
          <w:rFonts w:ascii="Lato" w:eastAsia="Calibri" w:hAnsi="Lato" w:cs="Arial"/>
          <w:iCs/>
          <w:spacing w:val="4"/>
          <w:sz w:val="22"/>
          <w:szCs w:val="22"/>
          <w:lang w:eastAsia="en-US" w:bidi="pl-PL"/>
        </w:rPr>
        <w:t xml:space="preserve">Istotne w kontekście </w:t>
      </w:r>
      <w:r w:rsidR="00416BF7" w:rsidRPr="00926270">
        <w:rPr>
          <w:rFonts w:ascii="Lato" w:eastAsia="Calibri" w:hAnsi="Lato" w:cs="Arial"/>
          <w:iCs/>
          <w:spacing w:val="4"/>
          <w:sz w:val="22"/>
          <w:szCs w:val="22"/>
          <w:lang w:eastAsia="en-US" w:bidi="pl-PL"/>
        </w:rPr>
        <w:t>podniesionego</w:t>
      </w:r>
      <w:r w:rsidRPr="00926270">
        <w:rPr>
          <w:rFonts w:ascii="Lato" w:eastAsia="Calibri" w:hAnsi="Lato" w:cs="Arial"/>
          <w:iCs/>
          <w:spacing w:val="4"/>
          <w:sz w:val="22"/>
          <w:szCs w:val="22"/>
          <w:lang w:eastAsia="en-US" w:bidi="pl-PL"/>
        </w:rPr>
        <w:t xml:space="preserve"> zarzutu jest fakt, iż </w:t>
      </w:r>
      <w:r w:rsidR="00416BF7" w:rsidRPr="00926270">
        <w:rPr>
          <w:rFonts w:ascii="Lato" w:eastAsia="Calibri" w:hAnsi="Lato" w:cs="Arial"/>
          <w:iCs/>
          <w:spacing w:val="4"/>
          <w:sz w:val="22"/>
          <w:szCs w:val="22"/>
          <w:lang w:eastAsia="en-US" w:bidi="pl-PL"/>
        </w:rPr>
        <w:t>wszystkie</w:t>
      </w:r>
      <w:r w:rsidRPr="00926270">
        <w:rPr>
          <w:rFonts w:ascii="Lato" w:eastAsia="Calibri" w:hAnsi="Lato" w:cs="Arial"/>
          <w:iCs/>
          <w:spacing w:val="4"/>
          <w:sz w:val="22"/>
          <w:szCs w:val="22"/>
          <w:lang w:eastAsia="en-US" w:bidi="pl-PL"/>
        </w:rPr>
        <w:t xml:space="preserve"> </w:t>
      </w:r>
      <w:r w:rsidR="005F1F0B" w:rsidRPr="00926270">
        <w:rPr>
          <w:rFonts w:ascii="Lato" w:eastAsia="Calibri" w:hAnsi="Lato" w:cs="Arial"/>
          <w:iCs/>
          <w:spacing w:val="4"/>
          <w:sz w:val="22"/>
          <w:szCs w:val="22"/>
          <w:lang w:eastAsia="en-US" w:bidi="pl-PL"/>
        </w:rPr>
        <w:t xml:space="preserve">kwestie związane </w:t>
      </w:r>
      <w:r w:rsidR="00416BF7" w:rsidRPr="00926270">
        <w:rPr>
          <w:rFonts w:ascii="Lato" w:eastAsia="Calibri" w:hAnsi="Lato" w:cs="Arial"/>
          <w:iCs/>
          <w:spacing w:val="4"/>
          <w:sz w:val="22"/>
          <w:szCs w:val="22"/>
          <w:lang w:eastAsia="en-US" w:bidi="pl-PL"/>
        </w:rPr>
        <w:br/>
      </w:r>
      <w:r w:rsidR="005F1F0B" w:rsidRPr="00926270">
        <w:rPr>
          <w:rFonts w:ascii="Lato" w:eastAsia="Calibri" w:hAnsi="Lato" w:cs="Arial"/>
          <w:iCs/>
          <w:spacing w:val="4"/>
          <w:sz w:val="22"/>
          <w:szCs w:val="22"/>
          <w:lang w:eastAsia="en-US" w:bidi="pl-PL"/>
        </w:rPr>
        <w:t>z oddziaływaniem inwestycji na środowisko</w:t>
      </w:r>
      <w:r w:rsidR="00416BF7" w:rsidRPr="00926270">
        <w:rPr>
          <w:rFonts w:ascii="Lato" w:eastAsia="Calibri" w:hAnsi="Lato" w:cs="Arial"/>
          <w:iCs/>
          <w:spacing w:val="4"/>
          <w:sz w:val="22"/>
          <w:szCs w:val="22"/>
          <w:lang w:eastAsia="en-US" w:bidi="pl-PL"/>
        </w:rPr>
        <w:t xml:space="preserve">, </w:t>
      </w:r>
      <w:r w:rsidR="005F1F0B" w:rsidRPr="00926270">
        <w:rPr>
          <w:rFonts w:ascii="Lato" w:eastAsia="Calibri" w:hAnsi="Lato" w:cs="Arial"/>
          <w:iCs/>
          <w:spacing w:val="4"/>
          <w:sz w:val="22"/>
          <w:szCs w:val="22"/>
          <w:lang w:eastAsia="en-US" w:bidi="pl-PL"/>
        </w:rPr>
        <w:t>ludzi</w:t>
      </w:r>
      <w:r w:rsidR="00416BF7" w:rsidRPr="00926270">
        <w:rPr>
          <w:rFonts w:ascii="Lato" w:eastAsia="Calibri" w:hAnsi="Lato" w:cs="Arial"/>
          <w:iCs/>
          <w:spacing w:val="4"/>
          <w:sz w:val="22"/>
          <w:szCs w:val="22"/>
          <w:lang w:eastAsia="en-US" w:bidi="pl-PL"/>
        </w:rPr>
        <w:t xml:space="preserve"> i zasoby naturalne rozpatrywane były na etapie wydania </w:t>
      </w:r>
      <w:r w:rsidR="005F1F0B" w:rsidRPr="00926270">
        <w:rPr>
          <w:rFonts w:ascii="Lato" w:eastAsia="Calibri" w:hAnsi="Lato" w:cs="Arial"/>
          <w:iCs/>
          <w:spacing w:val="4"/>
          <w:sz w:val="22"/>
          <w:szCs w:val="22"/>
          <w:lang w:eastAsia="en-US" w:bidi="pl-PL"/>
        </w:rPr>
        <w:t xml:space="preserve">decyzji o środowiskowych uwarunkowaniach. Zgodnie z art. 86 pkt 2 </w:t>
      </w:r>
      <w:r w:rsidR="00E570FC" w:rsidRPr="00926270">
        <w:rPr>
          <w:rFonts w:ascii="Lato" w:eastAsia="Calibri" w:hAnsi="Lato" w:cs="Arial"/>
          <w:i/>
          <w:iCs/>
          <w:spacing w:val="4"/>
          <w:sz w:val="22"/>
          <w:szCs w:val="22"/>
          <w:lang w:eastAsia="en-US" w:bidi="pl-PL"/>
        </w:rPr>
        <w:t>ustawy o udostępnianiu informacji o środowisku i jego ochronie</w:t>
      </w:r>
      <w:r w:rsidR="005F1F0B" w:rsidRPr="00926270">
        <w:rPr>
          <w:rFonts w:ascii="Lato" w:eastAsia="Calibri" w:hAnsi="Lato" w:cs="Arial"/>
          <w:iCs/>
          <w:spacing w:val="4"/>
          <w:sz w:val="22"/>
          <w:szCs w:val="22"/>
          <w:lang w:eastAsia="en-US" w:bidi="pl-PL"/>
        </w:rPr>
        <w:t xml:space="preserve">, decyzja ta została oparta na </w:t>
      </w:r>
      <w:r w:rsidR="00416BF7" w:rsidRPr="00926270">
        <w:rPr>
          <w:rFonts w:ascii="Lato" w:eastAsia="Calibri" w:hAnsi="Lato" w:cs="Arial"/>
          <w:iCs/>
          <w:spacing w:val="4"/>
          <w:sz w:val="22"/>
          <w:szCs w:val="22"/>
          <w:lang w:eastAsia="en-US" w:bidi="pl-PL"/>
        </w:rPr>
        <w:t xml:space="preserve">wynikach oceny oddziaływania na środowisko oraz uwzględniała interes społeczny, ochronę środowiska i racjonalne wykorzystanie terenu. </w:t>
      </w:r>
    </w:p>
    <w:p w14:paraId="164C6885" w14:textId="328DCFA6" w:rsidR="007163C0" w:rsidRPr="00926270" w:rsidRDefault="007163C0" w:rsidP="007163C0">
      <w:pPr>
        <w:spacing w:after="240" w:line="240" w:lineRule="exact"/>
        <w:jc w:val="both"/>
        <w:rPr>
          <w:rFonts w:ascii="Lato" w:eastAsia="Calibri" w:hAnsi="Lato" w:cs="Arial"/>
          <w:iCs/>
          <w:spacing w:val="4"/>
          <w:sz w:val="22"/>
          <w:szCs w:val="22"/>
          <w:lang w:eastAsia="en-US" w:bidi="pl-PL"/>
        </w:rPr>
      </w:pPr>
      <w:r w:rsidRPr="00926270">
        <w:rPr>
          <w:rFonts w:ascii="Lato" w:eastAsia="Calibri" w:hAnsi="Lato" w:cs="Arial"/>
          <w:iCs/>
          <w:spacing w:val="4"/>
          <w:sz w:val="22"/>
          <w:szCs w:val="22"/>
          <w:lang w:eastAsia="en-US" w:bidi="pl-PL"/>
        </w:rPr>
        <w:t>Należy przy tym podkreślić, że decyzja o środowiskowych uwarunkowaniac</w:t>
      </w:r>
      <w:r w:rsidR="00416BF7" w:rsidRPr="00926270">
        <w:rPr>
          <w:rFonts w:ascii="Lato" w:eastAsia="Calibri" w:hAnsi="Lato" w:cs="Arial"/>
          <w:iCs/>
          <w:spacing w:val="4"/>
          <w:sz w:val="22"/>
          <w:szCs w:val="22"/>
          <w:lang w:eastAsia="en-US" w:bidi="pl-PL"/>
        </w:rPr>
        <w:t>h</w:t>
      </w:r>
      <w:r w:rsidRPr="00926270">
        <w:rPr>
          <w:rFonts w:ascii="Lato" w:eastAsia="Calibri" w:hAnsi="Lato" w:cs="Arial"/>
          <w:iCs/>
          <w:spacing w:val="4"/>
          <w:sz w:val="22"/>
          <w:szCs w:val="22"/>
          <w:lang w:eastAsia="en-US" w:bidi="pl-PL"/>
        </w:rPr>
        <w:t xml:space="preserve"> ma charakter sui generis</w:t>
      </w:r>
      <w:r w:rsidR="00B3772B" w:rsidRPr="00926270">
        <w:rPr>
          <w:rFonts w:ascii="Lato" w:eastAsia="Calibri" w:hAnsi="Lato" w:cs="Arial"/>
          <w:iCs/>
          <w:spacing w:val="4"/>
          <w:sz w:val="22"/>
          <w:szCs w:val="22"/>
          <w:lang w:eastAsia="en-US" w:bidi="pl-PL"/>
        </w:rPr>
        <w:t>, czyli</w:t>
      </w:r>
      <w:r w:rsidRPr="00926270">
        <w:rPr>
          <w:rFonts w:ascii="Lato" w:eastAsia="Calibri" w:hAnsi="Lato" w:cs="Arial"/>
          <w:iCs/>
          <w:spacing w:val="4"/>
          <w:sz w:val="22"/>
          <w:szCs w:val="22"/>
          <w:lang w:eastAsia="en-US" w:bidi="pl-PL"/>
        </w:rPr>
        <w:t xml:space="preserve"> „rozstrzygnięcia wstępnego”</w:t>
      </w:r>
      <w:r w:rsidR="00B3772B" w:rsidRPr="00926270">
        <w:rPr>
          <w:rFonts w:ascii="Lato" w:eastAsia="Calibri" w:hAnsi="Lato" w:cs="Arial"/>
          <w:iCs/>
          <w:spacing w:val="4"/>
          <w:sz w:val="22"/>
          <w:szCs w:val="22"/>
          <w:lang w:eastAsia="en-US" w:bidi="pl-PL"/>
        </w:rPr>
        <w:t xml:space="preserve">. Oznacza to, że rozstrzyga wyłącznie o dopuszczalność przedsięwzięcia w świetle przepisów dotyczących lokalizacji i możliwości wpływu na środowisko, a nie przesądza o jego realizacji, </w:t>
      </w:r>
      <w:r w:rsidR="00E570FC" w:rsidRPr="00926270">
        <w:rPr>
          <w:rFonts w:ascii="Lato" w:eastAsia="Calibri" w:hAnsi="Lato" w:cs="Arial"/>
          <w:iCs/>
          <w:spacing w:val="4"/>
          <w:sz w:val="22"/>
          <w:szCs w:val="22"/>
          <w:lang w:eastAsia="en-US" w:bidi="pl-PL"/>
        </w:rPr>
        <w:t>pełniąc</w:t>
      </w:r>
      <w:r w:rsidR="00B3772B" w:rsidRPr="00926270">
        <w:rPr>
          <w:rFonts w:ascii="Lato" w:eastAsia="Calibri" w:hAnsi="Lato" w:cs="Arial"/>
          <w:iCs/>
          <w:spacing w:val="4"/>
          <w:sz w:val="22"/>
          <w:szCs w:val="22"/>
          <w:lang w:eastAsia="en-US" w:bidi="pl-PL"/>
        </w:rPr>
        <w:t xml:space="preserve"> funkcję</w:t>
      </w:r>
      <w:r w:rsidRPr="00926270">
        <w:rPr>
          <w:rFonts w:ascii="Lato" w:eastAsia="Calibri" w:hAnsi="Lato" w:cs="Arial"/>
          <w:iCs/>
          <w:spacing w:val="4"/>
          <w:sz w:val="22"/>
          <w:szCs w:val="22"/>
          <w:lang w:eastAsia="en-US" w:bidi="pl-PL"/>
        </w:rPr>
        <w:t xml:space="preserve"> prejudycjalną. </w:t>
      </w:r>
    </w:p>
    <w:p w14:paraId="201BA5D7" w14:textId="77777777" w:rsidR="00B3772B" w:rsidRPr="00926270" w:rsidRDefault="007163C0" w:rsidP="007163C0">
      <w:pPr>
        <w:spacing w:after="240" w:line="240" w:lineRule="exact"/>
        <w:jc w:val="both"/>
        <w:rPr>
          <w:rFonts w:ascii="Lato" w:eastAsia="Calibri" w:hAnsi="Lato" w:cs="Arial"/>
          <w:iCs/>
          <w:spacing w:val="4"/>
          <w:sz w:val="22"/>
          <w:szCs w:val="22"/>
          <w:lang w:eastAsia="en-US" w:bidi="pl-PL"/>
        </w:rPr>
      </w:pPr>
      <w:r w:rsidRPr="00926270">
        <w:rPr>
          <w:rFonts w:ascii="Lato" w:eastAsia="Calibri" w:hAnsi="Lato" w:cs="Arial"/>
          <w:iCs/>
          <w:spacing w:val="4"/>
          <w:sz w:val="22"/>
          <w:szCs w:val="22"/>
          <w:lang w:eastAsia="en-US" w:bidi="pl-PL"/>
        </w:rPr>
        <w:t xml:space="preserve">Zagadnienia związane z oceną potencjalnego oddziaływania przedsięwzięcia na klimat akustyczny, środowisko i ludzi były elementem postępowania w sprawie wydania </w:t>
      </w:r>
      <w:r w:rsidRPr="00926270">
        <w:rPr>
          <w:rFonts w:ascii="Lato" w:eastAsia="Calibri" w:hAnsi="Lato" w:cs="Arial"/>
          <w:i/>
          <w:iCs/>
          <w:spacing w:val="4"/>
          <w:sz w:val="22"/>
          <w:szCs w:val="22"/>
          <w:lang w:eastAsia="en-US" w:bidi="pl-PL"/>
        </w:rPr>
        <w:t xml:space="preserve">decyzji o środowiskowych uwarunkowaniach. </w:t>
      </w:r>
      <w:r w:rsidRPr="00926270">
        <w:rPr>
          <w:rFonts w:ascii="Lato" w:eastAsia="Calibri" w:hAnsi="Lato" w:cs="Arial"/>
          <w:iCs/>
          <w:spacing w:val="4"/>
          <w:sz w:val="22"/>
          <w:szCs w:val="22"/>
          <w:lang w:eastAsia="en-US" w:bidi="pl-PL"/>
        </w:rPr>
        <w:t xml:space="preserve">Ewentualne uwagi i zastrzeżenia </w:t>
      </w:r>
      <w:r w:rsidR="00B3772B" w:rsidRPr="00926270">
        <w:rPr>
          <w:rFonts w:ascii="Lato" w:eastAsia="Calibri" w:hAnsi="Lato" w:cs="Arial"/>
          <w:iCs/>
          <w:spacing w:val="4"/>
          <w:sz w:val="22"/>
          <w:szCs w:val="22"/>
          <w:lang w:eastAsia="en-US" w:bidi="pl-PL"/>
        </w:rPr>
        <w:t>dotyczące skutków</w:t>
      </w:r>
      <w:r w:rsidRPr="00926270">
        <w:rPr>
          <w:rFonts w:ascii="Lato" w:eastAsia="Calibri" w:hAnsi="Lato" w:cs="Arial"/>
          <w:iCs/>
          <w:spacing w:val="4"/>
          <w:sz w:val="22"/>
          <w:szCs w:val="22"/>
          <w:lang w:eastAsia="en-US" w:bidi="pl-PL"/>
        </w:rPr>
        <w:t xml:space="preserve"> środowiskowych realizacji przedmiotowej inwestycji </w:t>
      </w:r>
      <w:r w:rsidR="00B87FB8" w:rsidRPr="00926270">
        <w:rPr>
          <w:rFonts w:ascii="Lato" w:eastAsia="Calibri" w:hAnsi="Lato" w:cs="Arial"/>
          <w:iCs/>
          <w:spacing w:val="4"/>
          <w:sz w:val="22"/>
          <w:szCs w:val="22"/>
          <w:lang w:eastAsia="en-US" w:bidi="pl-PL"/>
        </w:rPr>
        <w:t>s</w:t>
      </w:r>
      <w:r w:rsidRPr="00926270">
        <w:rPr>
          <w:rFonts w:ascii="Lato" w:eastAsia="Calibri" w:hAnsi="Lato" w:cs="Arial"/>
          <w:iCs/>
          <w:spacing w:val="4"/>
          <w:sz w:val="22"/>
          <w:szCs w:val="22"/>
          <w:lang w:eastAsia="en-US" w:bidi="pl-PL"/>
        </w:rPr>
        <w:t xml:space="preserve">karżący mogli zgłaszać </w:t>
      </w:r>
      <w:r w:rsidR="00B87FB8" w:rsidRPr="00926270">
        <w:rPr>
          <w:rFonts w:ascii="Lato" w:eastAsia="Calibri" w:hAnsi="Lato" w:cs="Arial"/>
          <w:iCs/>
          <w:spacing w:val="4"/>
          <w:sz w:val="22"/>
          <w:szCs w:val="22"/>
          <w:lang w:eastAsia="en-US" w:bidi="pl-PL"/>
        </w:rPr>
        <w:br/>
      </w:r>
      <w:r w:rsidRPr="00926270">
        <w:rPr>
          <w:rFonts w:ascii="Lato" w:eastAsia="Calibri" w:hAnsi="Lato" w:cs="Arial"/>
          <w:iCs/>
          <w:spacing w:val="4"/>
          <w:sz w:val="22"/>
          <w:szCs w:val="22"/>
          <w:lang w:eastAsia="en-US" w:bidi="pl-PL"/>
        </w:rPr>
        <w:t xml:space="preserve">w toku ww. postępowania środowiskowego, z którego to uprawnienia jednak nie skorzystali. </w:t>
      </w:r>
    </w:p>
    <w:p w14:paraId="741989D9" w14:textId="24DB5B12" w:rsidR="009619E4" w:rsidRPr="00926270" w:rsidRDefault="00B3772B" w:rsidP="007163C0">
      <w:pPr>
        <w:spacing w:after="240" w:line="240" w:lineRule="exact"/>
        <w:jc w:val="both"/>
        <w:rPr>
          <w:rFonts w:ascii="Lato" w:eastAsia="Calibri" w:hAnsi="Lato" w:cs="Arial"/>
          <w:iCs/>
          <w:spacing w:val="4"/>
          <w:sz w:val="22"/>
          <w:szCs w:val="22"/>
          <w:lang w:eastAsia="en-US" w:bidi="pl-PL"/>
        </w:rPr>
      </w:pPr>
      <w:r w:rsidRPr="00926270">
        <w:rPr>
          <w:rFonts w:ascii="Lato" w:eastAsia="Calibri" w:hAnsi="Lato" w:cs="Arial"/>
          <w:iCs/>
          <w:spacing w:val="4"/>
          <w:sz w:val="22"/>
          <w:szCs w:val="22"/>
          <w:lang w:eastAsia="en-US" w:bidi="pl-PL"/>
        </w:rPr>
        <w:t>Wszelkie</w:t>
      </w:r>
      <w:r w:rsidR="007163C0" w:rsidRPr="00926270">
        <w:rPr>
          <w:rFonts w:ascii="Lato" w:eastAsia="Calibri" w:hAnsi="Lato" w:cs="Arial"/>
          <w:iCs/>
          <w:spacing w:val="4"/>
          <w:sz w:val="22"/>
          <w:szCs w:val="22"/>
          <w:lang w:eastAsia="en-US" w:bidi="pl-PL"/>
        </w:rPr>
        <w:t xml:space="preserve"> kwestie dotyczące nieprawidło</w:t>
      </w:r>
      <w:r w:rsidRPr="00926270">
        <w:rPr>
          <w:rFonts w:ascii="Lato" w:eastAsia="Calibri" w:hAnsi="Lato" w:cs="Arial"/>
          <w:iCs/>
          <w:spacing w:val="4"/>
          <w:sz w:val="22"/>
          <w:szCs w:val="22"/>
          <w:lang w:eastAsia="en-US" w:bidi="pl-PL"/>
        </w:rPr>
        <w:t xml:space="preserve">wości – w ocenie skarżących – mogły zostać zakwestionowane poprzez </w:t>
      </w:r>
      <w:r w:rsidR="00E570FC" w:rsidRPr="00926270">
        <w:rPr>
          <w:rFonts w:ascii="Lato" w:eastAsia="Calibri" w:hAnsi="Lato" w:cs="Arial"/>
          <w:iCs/>
          <w:spacing w:val="4"/>
          <w:sz w:val="22"/>
          <w:szCs w:val="22"/>
          <w:lang w:eastAsia="en-US" w:bidi="pl-PL"/>
        </w:rPr>
        <w:t>złożenie</w:t>
      </w:r>
      <w:r w:rsidRPr="00926270">
        <w:rPr>
          <w:rFonts w:ascii="Lato" w:eastAsia="Calibri" w:hAnsi="Lato" w:cs="Arial"/>
          <w:iCs/>
          <w:spacing w:val="4"/>
          <w:sz w:val="22"/>
          <w:szCs w:val="22"/>
          <w:lang w:eastAsia="en-US" w:bidi="pl-PL"/>
        </w:rPr>
        <w:t xml:space="preserve"> </w:t>
      </w:r>
      <w:r w:rsidR="007163C0" w:rsidRPr="00926270">
        <w:rPr>
          <w:rFonts w:ascii="Lato" w:eastAsia="Calibri" w:hAnsi="Lato" w:cs="Arial"/>
          <w:iCs/>
          <w:spacing w:val="4"/>
          <w:sz w:val="22"/>
          <w:szCs w:val="22"/>
          <w:lang w:eastAsia="en-US" w:bidi="pl-PL"/>
        </w:rPr>
        <w:t>odwołani</w:t>
      </w:r>
      <w:r w:rsidRPr="00926270">
        <w:rPr>
          <w:rFonts w:ascii="Lato" w:eastAsia="Calibri" w:hAnsi="Lato" w:cs="Arial"/>
          <w:iCs/>
          <w:spacing w:val="4"/>
          <w:sz w:val="22"/>
          <w:szCs w:val="22"/>
          <w:lang w:eastAsia="en-US" w:bidi="pl-PL"/>
        </w:rPr>
        <w:t>a</w:t>
      </w:r>
      <w:r w:rsidR="007163C0" w:rsidRPr="00926270">
        <w:rPr>
          <w:rFonts w:ascii="Lato" w:eastAsia="Calibri" w:hAnsi="Lato" w:cs="Arial"/>
          <w:iCs/>
          <w:spacing w:val="4"/>
          <w:sz w:val="22"/>
          <w:szCs w:val="22"/>
          <w:lang w:eastAsia="en-US" w:bidi="pl-PL"/>
        </w:rPr>
        <w:t xml:space="preserve"> od </w:t>
      </w:r>
      <w:r w:rsidR="007163C0" w:rsidRPr="00926270">
        <w:rPr>
          <w:rFonts w:ascii="Lato" w:eastAsia="Calibri" w:hAnsi="Lato" w:cs="Arial"/>
          <w:i/>
          <w:iCs/>
          <w:spacing w:val="4"/>
          <w:sz w:val="22"/>
          <w:szCs w:val="22"/>
          <w:lang w:eastAsia="en-US" w:bidi="pl-PL"/>
        </w:rPr>
        <w:t xml:space="preserve">decyzji </w:t>
      </w:r>
      <w:r w:rsidR="00B87FB8" w:rsidRPr="00926270">
        <w:rPr>
          <w:rFonts w:ascii="Lato" w:eastAsia="Calibri" w:hAnsi="Lato" w:cs="Arial"/>
          <w:i/>
          <w:iCs/>
          <w:spacing w:val="4"/>
          <w:sz w:val="22"/>
          <w:szCs w:val="22"/>
          <w:lang w:eastAsia="en-US" w:bidi="pl-PL"/>
        </w:rPr>
        <w:t xml:space="preserve">RDOŚ </w:t>
      </w:r>
      <w:r w:rsidR="007163C0" w:rsidRPr="00926270">
        <w:rPr>
          <w:rFonts w:ascii="Lato" w:eastAsia="Calibri" w:hAnsi="Lato" w:cs="Arial"/>
          <w:i/>
          <w:iCs/>
          <w:spacing w:val="4"/>
          <w:sz w:val="22"/>
          <w:szCs w:val="22"/>
          <w:lang w:eastAsia="en-US" w:bidi="pl-PL"/>
        </w:rPr>
        <w:t>o środowiskowych uwarunkowaniach</w:t>
      </w:r>
      <w:r w:rsidRPr="00926270">
        <w:rPr>
          <w:rFonts w:ascii="Lato" w:eastAsia="Calibri" w:hAnsi="Lato" w:cs="Arial"/>
          <w:iCs/>
          <w:spacing w:val="4"/>
          <w:sz w:val="22"/>
          <w:szCs w:val="22"/>
          <w:lang w:eastAsia="en-US" w:bidi="pl-PL"/>
        </w:rPr>
        <w:t xml:space="preserve">. </w:t>
      </w:r>
      <w:r w:rsidR="007163C0" w:rsidRPr="00926270">
        <w:rPr>
          <w:rFonts w:ascii="Lato" w:eastAsia="Calibri" w:hAnsi="Lato" w:cs="Arial"/>
          <w:i/>
          <w:iCs/>
          <w:spacing w:val="4"/>
          <w:sz w:val="22"/>
          <w:szCs w:val="22"/>
          <w:lang w:eastAsia="en-US" w:bidi="pl-PL"/>
        </w:rPr>
        <w:t>Decyzja</w:t>
      </w:r>
      <w:r w:rsidR="00B87FB8" w:rsidRPr="00926270">
        <w:rPr>
          <w:rFonts w:ascii="Lato" w:eastAsia="Calibri" w:hAnsi="Lato" w:cs="Arial"/>
          <w:i/>
          <w:iCs/>
          <w:spacing w:val="4"/>
          <w:sz w:val="22"/>
          <w:szCs w:val="22"/>
          <w:lang w:eastAsia="en-US" w:bidi="pl-PL"/>
        </w:rPr>
        <w:t xml:space="preserve"> RDOŚ</w:t>
      </w:r>
      <w:r w:rsidR="007163C0" w:rsidRPr="00926270">
        <w:rPr>
          <w:rFonts w:ascii="Lato" w:eastAsia="Calibri" w:hAnsi="Lato" w:cs="Arial"/>
          <w:i/>
          <w:iCs/>
          <w:spacing w:val="4"/>
          <w:sz w:val="22"/>
          <w:szCs w:val="22"/>
          <w:lang w:eastAsia="en-US" w:bidi="pl-PL"/>
        </w:rPr>
        <w:t xml:space="preserve"> o środowiskowych uwarunkowaniach </w:t>
      </w:r>
      <w:r w:rsidR="007163C0" w:rsidRPr="00926270">
        <w:rPr>
          <w:rFonts w:ascii="Lato" w:eastAsia="Calibri" w:hAnsi="Lato" w:cs="Arial"/>
          <w:iCs/>
          <w:spacing w:val="4"/>
          <w:sz w:val="22"/>
          <w:szCs w:val="22"/>
          <w:lang w:eastAsia="en-US" w:bidi="pl-PL"/>
        </w:rPr>
        <w:t>podlegała bowiem odrębnemu trybowi zaskarżenia</w:t>
      </w:r>
      <w:r w:rsidR="00E570FC" w:rsidRPr="00926270">
        <w:rPr>
          <w:rFonts w:ascii="Lato" w:eastAsia="Calibri" w:hAnsi="Lato" w:cs="Arial"/>
          <w:iCs/>
          <w:spacing w:val="4"/>
          <w:sz w:val="22"/>
          <w:szCs w:val="22"/>
          <w:lang w:eastAsia="en-US" w:bidi="pl-PL"/>
        </w:rPr>
        <w:t xml:space="preserve"> i nie jest przedmiotem niniejszego postępowania. </w:t>
      </w:r>
    </w:p>
    <w:p w14:paraId="2EE7092D" w14:textId="0E83D2B8" w:rsidR="007163C0" w:rsidRPr="00926270" w:rsidRDefault="00862EAB" w:rsidP="007B7FE7">
      <w:pPr>
        <w:spacing w:after="240" w:line="240" w:lineRule="exact"/>
        <w:jc w:val="both"/>
        <w:rPr>
          <w:rFonts w:ascii="Lato" w:eastAsia="Calibri" w:hAnsi="Lato" w:cs="Arial"/>
          <w:i/>
          <w:spacing w:val="4"/>
          <w:sz w:val="22"/>
          <w:szCs w:val="22"/>
          <w:lang w:eastAsia="en-US" w:bidi="pl-PL"/>
        </w:rPr>
      </w:pPr>
      <w:r w:rsidRPr="00926270">
        <w:rPr>
          <w:rFonts w:ascii="Lato" w:eastAsia="Calibri" w:hAnsi="Lato" w:cs="Arial"/>
          <w:iCs/>
          <w:spacing w:val="4"/>
          <w:sz w:val="22"/>
          <w:szCs w:val="22"/>
          <w:lang w:eastAsia="en-US" w:bidi="pl-PL"/>
        </w:rPr>
        <w:t>Brak jest zatem podstaw do przyjęcia,</w:t>
      </w:r>
      <w:r w:rsidR="009619E4" w:rsidRPr="00926270">
        <w:rPr>
          <w:rFonts w:ascii="Lato" w:eastAsia="Calibri" w:hAnsi="Lato" w:cs="Arial"/>
          <w:iCs/>
          <w:spacing w:val="4"/>
          <w:sz w:val="22"/>
          <w:szCs w:val="22"/>
          <w:lang w:eastAsia="en-US" w:bidi="pl-PL"/>
        </w:rPr>
        <w:t xml:space="preserve"> że </w:t>
      </w:r>
      <w:r w:rsidRPr="00926270">
        <w:rPr>
          <w:rFonts w:ascii="Lato" w:eastAsia="Calibri" w:hAnsi="Lato" w:cs="Arial"/>
          <w:iCs/>
          <w:spacing w:val="4"/>
          <w:sz w:val="22"/>
          <w:szCs w:val="22"/>
          <w:lang w:eastAsia="en-US" w:bidi="pl-PL"/>
        </w:rPr>
        <w:t>zakres</w:t>
      </w:r>
      <w:r w:rsidR="009619E4" w:rsidRPr="00926270">
        <w:rPr>
          <w:rFonts w:ascii="Lato" w:eastAsia="Calibri" w:hAnsi="Lato" w:cs="Arial"/>
          <w:iCs/>
          <w:spacing w:val="4"/>
          <w:sz w:val="22"/>
          <w:szCs w:val="22"/>
          <w:lang w:eastAsia="en-US" w:bidi="pl-PL"/>
        </w:rPr>
        <w:t xml:space="preserve"> planowanego zamierzenia </w:t>
      </w:r>
      <w:r w:rsidRPr="00926270">
        <w:rPr>
          <w:rFonts w:ascii="Lato" w:eastAsia="Calibri" w:hAnsi="Lato" w:cs="Arial"/>
          <w:iCs/>
          <w:spacing w:val="4"/>
          <w:sz w:val="22"/>
          <w:szCs w:val="22"/>
          <w:lang w:eastAsia="en-US" w:bidi="pl-PL"/>
        </w:rPr>
        <w:t xml:space="preserve">nie jest zgodny z decyzją </w:t>
      </w:r>
      <w:r w:rsidR="003C25F0" w:rsidRPr="003C25F0">
        <w:rPr>
          <w:rFonts w:ascii="Lato" w:eastAsia="Calibri" w:hAnsi="Lato" w:cs="Arial"/>
          <w:iCs/>
          <w:spacing w:val="4"/>
          <w:sz w:val="22"/>
          <w:szCs w:val="22"/>
          <w:lang w:eastAsia="en-US" w:bidi="pl-PL"/>
        </w:rPr>
        <w:t>środowiskową,</w:t>
      </w:r>
      <w:r w:rsidR="009C2D8F" w:rsidRPr="00926270">
        <w:rPr>
          <w:rFonts w:ascii="Lato" w:eastAsia="Calibri" w:hAnsi="Lato" w:cs="Arial"/>
          <w:iCs/>
          <w:spacing w:val="4"/>
          <w:sz w:val="22"/>
          <w:szCs w:val="22"/>
          <w:lang w:eastAsia="en-US" w:bidi="pl-PL"/>
        </w:rPr>
        <w:t xml:space="preserve"> gdyż w</w:t>
      </w:r>
      <w:r w:rsidR="009619E4" w:rsidRPr="00926270">
        <w:rPr>
          <w:rFonts w:ascii="Lato" w:eastAsia="Calibri" w:hAnsi="Lato" w:cs="Arial"/>
          <w:iCs/>
          <w:spacing w:val="4"/>
          <w:sz w:val="22"/>
          <w:szCs w:val="22"/>
          <w:lang w:eastAsia="en-US" w:bidi="pl-PL"/>
        </w:rPr>
        <w:t xml:space="preserve"> </w:t>
      </w:r>
      <w:r w:rsidR="009619E4" w:rsidRPr="00926270">
        <w:rPr>
          <w:rFonts w:ascii="Lato" w:eastAsia="Calibri" w:hAnsi="Lato" w:cs="Arial"/>
          <w:i/>
          <w:iCs/>
          <w:spacing w:val="4"/>
          <w:sz w:val="22"/>
          <w:szCs w:val="22"/>
          <w:lang w:eastAsia="en-US" w:bidi="pl-PL"/>
        </w:rPr>
        <w:t xml:space="preserve">decyzji Wojewody Mazowieckiego </w:t>
      </w:r>
      <w:r w:rsidRPr="00926270">
        <w:rPr>
          <w:rFonts w:ascii="Lato" w:eastAsia="Calibri" w:hAnsi="Lato" w:cs="Arial"/>
          <w:iCs/>
          <w:spacing w:val="4"/>
          <w:sz w:val="22"/>
          <w:szCs w:val="22"/>
          <w:lang w:eastAsia="en-US" w:bidi="pl-PL"/>
        </w:rPr>
        <w:t>określono</w:t>
      </w:r>
      <w:r w:rsidR="009619E4" w:rsidRPr="00926270">
        <w:rPr>
          <w:rFonts w:ascii="Lato" w:eastAsia="Calibri" w:hAnsi="Lato" w:cs="Arial"/>
          <w:iCs/>
          <w:spacing w:val="4"/>
          <w:sz w:val="22"/>
          <w:szCs w:val="22"/>
          <w:lang w:eastAsia="en-US" w:bidi="pl-PL"/>
        </w:rPr>
        <w:t xml:space="preserve"> warunki </w:t>
      </w:r>
      <w:r w:rsidRPr="00926270">
        <w:rPr>
          <w:rFonts w:ascii="Lato" w:eastAsia="Calibri" w:hAnsi="Lato" w:cs="Arial"/>
          <w:iCs/>
          <w:spacing w:val="4"/>
          <w:sz w:val="22"/>
          <w:szCs w:val="22"/>
          <w:lang w:eastAsia="en-US" w:bidi="pl-PL"/>
        </w:rPr>
        <w:t xml:space="preserve">uwzględniające </w:t>
      </w:r>
      <w:r w:rsidR="009619E4" w:rsidRPr="00926270">
        <w:rPr>
          <w:rFonts w:ascii="Lato" w:eastAsia="Calibri" w:hAnsi="Lato" w:cs="Arial"/>
          <w:iCs/>
          <w:spacing w:val="4"/>
          <w:sz w:val="22"/>
          <w:szCs w:val="22"/>
          <w:lang w:eastAsia="en-US" w:bidi="pl-PL"/>
        </w:rPr>
        <w:t>ochron</w:t>
      </w:r>
      <w:r w:rsidRPr="00926270">
        <w:rPr>
          <w:rFonts w:ascii="Lato" w:eastAsia="Calibri" w:hAnsi="Lato" w:cs="Arial"/>
          <w:iCs/>
          <w:spacing w:val="4"/>
          <w:sz w:val="22"/>
          <w:szCs w:val="22"/>
          <w:lang w:eastAsia="en-US" w:bidi="pl-PL"/>
        </w:rPr>
        <w:t>ę</w:t>
      </w:r>
      <w:r w:rsidR="009619E4" w:rsidRPr="00926270">
        <w:rPr>
          <w:rFonts w:ascii="Lato" w:eastAsia="Calibri" w:hAnsi="Lato" w:cs="Arial"/>
          <w:iCs/>
          <w:spacing w:val="4"/>
          <w:sz w:val="22"/>
          <w:szCs w:val="22"/>
          <w:lang w:eastAsia="en-US" w:bidi="pl-PL"/>
        </w:rPr>
        <w:t xml:space="preserve"> środowiska, </w:t>
      </w:r>
      <w:r w:rsidRPr="00926270">
        <w:rPr>
          <w:rFonts w:ascii="Lato" w:eastAsia="Calibri" w:hAnsi="Lato" w:cs="Arial"/>
          <w:iCs/>
          <w:spacing w:val="4"/>
          <w:sz w:val="22"/>
          <w:szCs w:val="22"/>
          <w:lang w:eastAsia="en-US" w:bidi="pl-PL"/>
        </w:rPr>
        <w:t xml:space="preserve">obszarów chronionych, </w:t>
      </w:r>
      <w:r w:rsidR="009619E4" w:rsidRPr="00926270">
        <w:rPr>
          <w:rFonts w:ascii="Lato" w:eastAsia="Calibri" w:hAnsi="Lato" w:cs="Arial"/>
          <w:iCs/>
          <w:spacing w:val="4"/>
          <w:sz w:val="22"/>
          <w:szCs w:val="22"/>
          <w:lang w:eastAsia="en-US" w:bidi="pl-PL"/>
        </w:rPr>
        <w:t>zabytków oraz</w:t>
      </w:r>
      <w:r w:rsidRPr="00926270">
        <w:rPr>
          <w:rFonts w:ascii="Lato" w:eastAsia="Calibri" w:hAnsi="Lato" w:cs="Arial"/>
          <w:iCs/>
          <w:spacing w:val="4"/>
          <w:sz w:val="22"/>
          <w:szCs w:val="22"/>
          <w:lang w:eastAsia="en-US" w:bidi="pl-PL"/>
        </w:rPr>
        <w:t xml:space="preserve"> konieczność</w:t>
      </w:r>
      <w:r w:rsidR="009619E4" w:rsidRPr="00926270">
        <w:rPr>
          <w:rFonts w:ascii="Lato" w:eastAsia="Calibri" w:hAnsi="Lato" w:cs="Arial"/>
          <w:iCs/>
          <w:spacing w:val="4"/>
          <w:sz w:val="22"/>
          <w:szCs w:val="22"/>
          <w:lang w:eastAsia="en-US" w:bidi="pl-PL"/>
        </w:rPr>
        <w:t xml:space="preserve"> przestrzegania </w:t>
      </w:r>
      <w:r w:rsidRPr="00926270">
        <w:rPr>
          <w:rFonts w:ascii="Lato" w:eastAsia="Calibri" w:hAnsi="Lato" w:cs="Arial"/>
          <w:iCs/>
          <w:spacing w:val="4"/>
          <w:sz w:val="22"/>
          <w:szCs w:val="22"/>
          <w:lang w:eastAsia="en-US" w:bidi="pl-PL"/>
        </w:rPr>
        <w:t xml:space="preserve">określonych zasad eksploatacji i użytkowania terenu. </w:t>
      </w:r>
      <w:r w:rsidR="009619E4" w:rsidRPr="00926270">
        <w:rPr>
          <w:rFonts w:ascii="Lato" w:eastAsia="Calibri" w:hAnsi="Lato" w:cs="Arial"/>
          <w:iCs/>
          <w:spacing w:val="4"/>
          <w:sz w:val="22"/>
          <w:szCs w:val="22"/>
          <w:lang w:eastAsia="en-US" w:bidi="pl-PL"/>
        </w:rPr>
        <w:t>W pkt IV</w:t>
      </w:r>
      <w:r w:rsidR="00E570FC" w:rsidRPr="00926270">
        <w:rPr>
          <w:rFonts w:ascii="Lato" w:eastAsia="Calibri" w:hAnsi="Lato" w:cs="Arial"/>
          <w:iCs/>
          <w:spacing w:val="4"/>
          <w:sz w:val="22"/>
          <w:szCs w:val="22"/>
          <w:lang w:eastAsia="en-US" w:bidi="pl-PL"/>
        </w:rPr>
        <w:t xml:space="preserve"> </w:t>
      </w:r>
      <w:r w:rsidR="00E570FC" w:rsidRPr="00926270">
        <w:rPr>
          <w:rFonts w:ascii="Lato" w:eastAsia="Calibri" w:hAnsi="Lato" w:cs="Arial"/>
          <w:i/>
          <w:spacing w:val="4"/>
          <w:sz w:val="22"/>
          <w:szCs w:val="22"/>
          <w:lang w:eastAsia="en-US" w:bidi="pl-PL"/>
        </w:rPr>
        <w:t>decyzji Wojewody Mazowieckiego</w:t>
      </w:r>
      <w:r w:rsidR="00E570FC" w:rsidRPr="00926270">
        <w:rPr>
          <w:rFonts w:ascii="Lato" w:eastAsia="Calibri" w:hAnsi="Lato" w:cs="Arial"/>
          <w:iCs/>
          <w:spacing w:val="4"/>
          <w:sz w:val="22"/>
          <w:szCs w:val="22"/>
          <w:lang w:eastAsia="en-US" w:bidi="pl-PL"/>
        </w:rPr>
        <w:t>,</w:t>
      </w:r>
      <w:r w:rsidR="009619E4" w:rsidRPr="00926270">
        <w:rPr>
          <w:rFonts w:ascii="Lato" w:eastAsia="Calibri" w:hAnsi="Lato" w:cs="Arial"/>
          <w:iCs/>
          <w:spacing w:val="4"/>
          <w:sz w:val="22"/>
          <w:szCs w:val="22"/>
          <w:lang w:eastAsia="en-US" w:bidi="pl-PL"/>
        </w:rPr>
        <w:t xml:space="preserve"> organ I instancji wskazał</w:t>
      </w:r>
      <w:r w:rsidR="00B87FB8" w:rsidRPr="00926270">
        <w:rPr>
          <w:rFonts w:ascii="Lato" w:eastAsia="Calibri" w:hAnsi="Lato" w:cs="Arial"/>
          <w:iCs/>
          <w:spacing w:val="4"/>
          <w:sz w:val="22"/>
          <w:szCs w:val="22"/>
          <w:lang w:eastAsia="en-US" w:bidi="pl-PL"/>
        </w:rPr>
        <w:t>, że na etapie realizacji oraz eksploatacji lub użytkowania przedsięwzięcia związanego z budową projektowanego ropociągu należy uwzględnić</w:t>
      </w:r>
      <w:r w:rsidR="009E0982" w:rsidRPr="00926270">
        <w:rPr>
          <w:rFonts w:ascii="Lato" w:eastAsia="Calibri" w:hAnsi="Lato" w:cs="Arial"/>
          <w:iCs/>
          <w:spacing w:val="4"/>
          <w:sz w:val="22"/>
          <w:szCs w:val="22"/>
          <w:lang w:eastAsia="en-US" w:bidi="pl-PL"/>
        </w:rPr>
        <w:t xml:space="preserve"> </w:t>
      </w:r>
      <w:r w:rsidR="00B87FB8" w:rsidRPr="00926270">
        <w:rPr>
          <w:rFonts w:ascii="Lato" w:eastAsia="Calibri" w:hAnsi="Lato" w:cs="Arial"/>
          <w:iCs/>
          <w:spacing w:val="4"/>
          <w:sz w:val="22"/>
          <w:szCs w:val="22"/>
          <w:lang w:eastAsia="en-US" w:bidi="pl-PL"/>
        </w:rPr>
        <w:t xml:space="preserve">istotne warunki korzystania ze środowiska określone </w:t>
      </w:r>
      <w:r w:rsidR="00E570FC" w:rsidRPr="00926270">
        <w:rPr>
          <w:rFonts w:ascii="Lato" w:eastAsia="Calibri" w:hAnsi="Lato" w:cs="Arial"/>
          <w:iCs/>
          <w:spacing w:val="4"/>
          <w:sz w:val="22"/>
          <w:szCs w:val="22"/>
          <w:lang w:eastAsia="en-US" w:bidi="pl-PL"/>
        </w:rPr>
        <w:br/>
      </w:r>
      <w:r w:rsidR="00B87FB8" w:rsidRPr="00926270">
        <w:rPr>
          <w:rFonts w:ascii="Lato" w:eastAsia="Calibri" w:hAnsi="Lato" w:cs="Arial"/>
          <w:iCs/>
          <w:spacing w:val="4"/>
          <w:sz w:val="22"/>
          <w:szCs w:val="22"/>
          <w:lang w:eastAsia="en-US" w:bidi="pl-PL"/>
        </w:rPr>
        <w:t xml:space="preserve">w </w:t>
      </w:r>
      <w:r w:rsidR="009E0982" w:rsidRPr="00926270">
        <w:rPr>
          <w:rFonts w:ascii="Lato" w:eastAsia="Calibri" w:hAnsi="Lato" w:cs="Arial"/>
          <w:i/>
          <w:spacing w:val="4"/>
          <w:sz w:val="22"/>
          <w:szCs w:val="22"/>
          <w:lang w:eastAsia="en-US" w:bidi="pl-PL"/>
        </w:rPr>
        <w:t>decyzji RODŚ o środowiskowych uwarunkowaniach</w:t>
      </w:r>
      <w:r w:rsidR="009E0982" w:rsidRPr="00926270">
        <w:rPr>
          <w:rFonts w:ascii="Lato" w:eastAsia="Calibri" w:hAnsi="Lato" w:cs="Arial"/>
          <w:iCs/>
          <w:spacing w:val="4"/>
          <w:sz w:val="22"/>
          <w:szCs w:val="22"/>
          <w:lang w:eastAsia="en-US" w:bidi="pl-PL"/>
        </w:rPr>
        <w:t xml:space="preserve">, ze szczególnym uwzględnieniem konieczności ochrony cennych wartości przyrodniczych, zasobów naturalnych </w:t>
      </w:r>
      <w:r w:rsidR="00E570FC" w:rsidRPr="00926270">
        <w:rPr>
          <w:rFonts w:ascii="Lato" w:eastAsia="Calibri" w:hAnsi="Lato" w:cs="Arial"/>
          <w:iCs/>
          <w:spacing w:val="4"/>
          <w:sz w:val="22"/>
          <w:szCs w:val="22"/>
          <w:lang w:eastAsia="en-US" w:bidi="pl-PL"/>
        </w:rPr>
        <w:br/>
      </w:r>
      <w:r w:rsidR="009E0982" w:rsidRPr="00926270">
        <w:rPr>
          <w:rFonts w:ascii="Lato" w:eastAsia="Calibri" w:hAnsi="Lato" w:cs="Arial"/>
          <w:iCs/>
          <w:spacing w:val="4"/>
          <w:sz w:val="22"/>
          <w:szCs w:val="22"/>
          <w:lang w:eastAsia="en-US" w:bidi="pl-PL"/>
        </w:rPr>
        <w:t xml:space="preserve">i zabytków oraz ograniczenia uciążliwości dla terenów sąsiednich. Ponadto przy realizacji przedsięwzięcia należy prowadzić działania polegające na unikaniu, zapobieganiu oraz </w:t>
      </w:r>
      <w:r w:rsidR="009E0982" w:rsidRPr="00926270">
        <w:rPr>
          <w:rFonts w:ascii="Lato" w:eastAsia="Calibri" w:hAnsi="Lato" w:cs="Arial"/>
          <w:iCs/>
          <w:spacing w:val="4"/>
          <w:sz w:val="22"/>
          <w:szCs w:val="22"/>
          <w:lang w:eastAsia="en-US" w:bidi="pl-PL"/>
        </w:rPr>
        <w:lastRenderedPageBreak/>
        <w:t xml:space="preserve">ograniczeniu oddziaływania przedsięwzięcia na </w:t>
      </w:r>
      <w:r w:rsidR="006C0EC3" w:rsidRPr="00926270">
        <w:rPr>
          <w:rFonts w:ascii="Lato" w:eastAsia="Calibri" w:hAnsi="Lato" w:cs="Arial"/>
          <w:iCs/>
          <w:spacing w:val="4"/>
          <w:sz w:val="22"/>
          <w:szCs w:val="22"/>
          <w:lang w:eastAsia="en-US" w:bidi="pl-PL"/>
        </w:rPr>
        <w:t>środowisko, o</w:t>
      </w:r>
      <w:r w:rsidR="009E0982" w:rsidRPr="00926270">
        <w:rPr>
          <w:rFonts w:ascii="Lato" w:eastAsia="Calibri" w:hAnsi="Lato" w:cs="Arial"/>
          <w:iCs/>
          <w:spacing w:val="4"/>
          <w:sz w:val="22"/>
          <w:szCs w:val="22"/>
          <w:lang w:eastAsia="en-US" w:bidi="pl-PL"/>
        </w:rPr>
        <w:t xml:space="preserve"> którym mowa jest </w:t>
      </w:r>
      <w:r w:rsidR="00E570FC" w:rsidRPr="00926270">
        <w:rPr>
          <w:rFonts w:ascii="Lato" w:eastAsia="Calibri" w:hAnsi="Lato" w:cs="Arial"/>
          <w:iCs/>
          <w:spacing w:val="4"/>
          <w:sz w:val="22"/>
          <w:szCs w:val="22"/>
          <w:lang w:eastAsia="en-US" w:bidi="pl-PL"/>
        </w:rPr>
        <w:br/>
      </w:r>
      <w:r w:rsidR="009E0982" w:rsidRPr="00926270">
        <w:rPr>
          <w:rFonts w:ascii="Lato" w:eastAsia="Calibri" w:hAnsi="Lato" w:cs="Arial"/>
          <w:iCs/>
          <w:spacing w:val="4"/>
          <w:sz w:val="22"/>
          <w:szCs w:val="22"/>
          <w:lang w:eastAsia="en-US" w:bidi="pl-PL"/>
        </w:rPr>
        <w:t xml:space="preserve">w </w:t>
      </w:r>
      <w:r w:rsidR="009E0982" w:rsidRPr="00926270">
        <w:rPr>
          <w:rFonts w:ascii="Lato" w:eastAsia="Calibri" w:hAnsi="Lato" w:cs="Arial"/>
          <w:i/>
          <w:spacing w:val="4"/>
          <w:sz w:val="22"/>
          <w:szCs w:val="22"/>
          <w:lang w:eastAsia="en-US" w:bidi="pl-PL"/>
        </w:rPr>
        <w:t>decyzji RODŚ o środowiskowych uwarunkowaniach.</w:t>
      </w:r>
    </w:p>
    <w:p w14:paraId="2DEDF797" w14:textId="423D6CFB" w:rsidR="00E358FA" w:rsidRPr="00143AD4" w:rsidRDefault="00E358FA" w:rsidP="001353FC">
      <w:pPr>
        <w:autoSpaceDE w:val="0"/>
        <w:autoSpaceDN w:val="0"/>
        <w:adjustRightInd w:val="0"/>
        <w:spacing w:after="240" w:line="240" w:lineRule="exact"/>
        <w:jc w:val="both"/>
        <w:rPr>
          <w:rFonts w:ascii="Lato" w:eastAsia="Calibri" w:hAnsi="Lato" w:cs="Arial"/>
          <w:bCs/>
          <w:iCs/>
          <w:spacing w:val="4"/>
          <w:sz w:val="22"/>
          <w:szCs w:val="22"/>
          <w:lang w:eastAsia="en-US" w:bidi="pl-PL"/>
        </w:rPr>
      </w:pPr>
      <w:bookmarkStart w:id="15" w:name="_Hlk190093870"/>
      <w:bookmarkStart w:id="16" w:name="_Hlk168391853"/>
      <w:bookmarkEnd w:id="12"/>
      <w:bookmarkEnd w:id="13"/>
      <w:r w:rsidRPr="00143AD4">
        <w:rPr>
          <w:rFonts w:ascii="Lato" w:eastAsia="Calibri" w:hAnsi="Lato" w:cs="Arial"/>
          <w:bCs/>
          <w:iCs/>
          <w:spacing w:val="4"/>
          <w:sz w:val="22"/>
          <w:szCs w:val="22"/>
          <w:lang w:eastAsia="en-US" w:bidi="pl-PL"/>
        </w:rPr>
        <w:t>Za bezzasadny należy uznać z</w:t>
      </w:r>
      <w:r w:rsidR="0017431E" w:rsidRPr="00143AD4">
        <w:rPr>
          <w:rFonts w:ascii="Lato" w:eastAsia="Calibri" w:hAnsi="Lato" w:cs="Arial"/>
          <w:bCs/>
          <w:iCs/>
          <w:spacing w:val="4"/>
          <w:sz w:val="22"/>
          <w:szCs w:val="22"/>
          <w:lang w:eastAsia="en-US" w:bidi="pl-PL"/>
        </w:rPr>
        <w:t xml:space="preserve">arzut Pana </w:t>
      </w:r>
      <w:r w:rsidR="004A7ACC">
        <w:rPr>
          <w:rFonts w:ascii="Lato" w:eastAsia="Calibri" w:hAnsi="Lato" w:cs="Arial"/>
          <w:bCs/>
          <w:iCs/>
          <w:spacing w:val="4"/>
          <w:sz w:val="22"/>
          <w:szCs w:val="22"/>
          <w:lang w:eastAsia="en-US" w:bidi="pl-PL"/>
        </w:rPr>
        <w:t>L.</w:t>
      </w:r>
      <w:r w:rsidR="0017431E" w:rsidRPr="00143AD4">
        <w:rPr>
          <w:rFonts w:ascii="Lato" w:eastAsia="Calibri" w:hAnsi="Lato" w:cs="Arial"/>
          <w:bCs/>
          <w:iCs/>
          <w:spacing w:val="4"/>
          <w:sz w:val="22"/>
          <w:szCs w:val="22"/>
          <w:lang w:eastAsia="en-US" w:bidi="pl-PL"/>
        </w:rPr>
        <w:t xml:space="preserve"> </w:t>
      </w:r>
      <w:r w:rsidR="004A7ACC">
        <w:rPr>
          <w:rFonts w:ascii="Lato" w:eastAsia="Calibri" w:hAnsi="Lato" w:cs="Arial"/>
          <w:bCs/>
          <w:iCs/>
          <w:spacing w:val="4"/>
          <w:sz w:val="22"/>
          <w:szCs w:val="22"/>
          <w:lang w:eastAsia="en-US" w:bidi="pl-PL"/>
        </w:rPr>
        <w:t>B.</w:t>
      </w:r>
      <w:r w:rsidR="0017431E" w:rsidRPr="00143AD4">
        <w:rPr>
          <w:rFonts w:ascii="Lato" w:eastAsia="Calibri" w:hAnsi="Lato" w:cs="Arial"/>
          <w:bCs/>
          <w:iCs/>
          <w:spacing w:val="4"/>
          <w:sz w:val="22"/>
          <w:szCs w:val="22"/>
          <w:lang w:eastAsia="en-US" w:bidi="pl-PL"/>
        </w:rPr>
        <w:t xml:space="preserve"> i Pani </w:t>
      </w:r>
      <w:r w:rsidR="004A7ACC">
        <w:rPr>
          <w:rFonts w:ascii="Lato" w:eastAsia="Calibri" w:hAnsi="Lato" w:cs="Arial"/>
          <w:bCs/>
          <w:iCs/>
          <w:spacing w:val="4"/>
          <w:sz w:val="22"/>
          <w:szCs w:val="22"/>
          <w:lang w:eastAsia="en-US" w:bidi="pl-PL"/>
        </w:rPr>
        <w:t>A.</w:t>
      </w:r>
      <w:r w:rsidR="0017431E" w:rsidRPr="00143AD4">
        <w:rPr>
          <w:rFonts w:ascii="Lato" w:eastAsia="Calibri" w:hAnsi="Lato" w:cs="Arial"/>
          <w:bCs/>
          <w:iCs/>
          <w:spacing w:val="4"/>
          <w:sz w:val="22"/>
          <w:szCs w:val="22"/>
          <w:lang w:eastAsia="en-US" w:bidi="pl-PL"/>
        </w:rPr>
        <w:t xml:space="preserve"> </w:t>
      </w:r>
      <w:r w:rsidR="004A7ACC">
        <w:rPr>
          <w:rFonts w:ascii="Lato" w:eastAsia="Calibri" w:hAnsi="Lato" w:cs="Arial"/>
          <w:bCs/>
          <w:iCs/>
          <w:spacing w:val="4"/>
          <w:sz w:val="22"/>
          <w:szCs w:val="22"/>
          <w:lang w:eastAsia="en-US" w:bidi="pl-PL"/>
        </w:rPr>
        <w:t>S.</w:t>
      </w:r>
      <w:r w:rsidR="0017431E" w:rsidRPr="00143AD4">
        <w:rPr>
          <w:rFonts w:ascii="Lato" w:eastAsia="Calibri" w:hAnsi="Lato" w:cs="Arial"/>
          <w:bCs/>
          <w:iCs/>
          <w:spacing w:val="4"/>
          <w:sz w:val="22"/>
          <w:szCs w:val="22"/>
          <w:lang w:eastAsia="en-US" w:bidi="pl-PL"/>
        </w:rPr>
        <w:t xml:space="preserve"> dotycząc</w:t>
      </w:r>
      <w:r w:rsidR="00945FC7" w:rsidRPr="00143AD4">
        <w:rPr>
          <w:rFonts w:ascii="Lato" w:eastAsia="Calibri" w:hAnsi="Lato" w:cs="Arial"/>
          <w:bCs/>
          <w:iCs/>
          <w:spacing w:val="4"/>
          <w:sz w:val="22"/>
          <w:szCs w:val="22"/>
          <w:lang w:eastAsia="en-US" w:bidi="pl-PL"/>
        </w:rPr>
        <w:t>y</w:t>
      </w:r>
      <w:r w:rsidR="0017431E" w:rsidRPr="00143AD4">
        <w:rPr>
          <w:rFonts w:ascii="Lato" w:eastAsia="Calibri" w:hAnsi="Lato" w:cs="Arial"/>
          <w:bCs/>
          <w:iCs/>
          <w:spacing w:val="4"/>
          <w:sz w:val="22"/>
          <w:szCs w:val="22"/>
          <w:lang w:eastAsia="en-US" w:bidi="pl-PL"/>
        </w:rPr>
        <w:t xml:space="preserve"> braku informacji </w:t>
      </w:r>
      <w:r w:rsidR="004A7ACC">
        <w:rPr>
          <w:rFonts w:ascii="Lato" w:eastAsia="Calibri" w:hAnsi="Lato" w:cs="Arial"/>
          <w:bCs/>
          <w:iCs/>
          <w:spacing w:val="4"/>
          <w:sz w:val="22"/>
          <w:szCs w:val="22"/>
          <w:lang w:eastAsia="en-US" w:bidi="pl-PL"/>
        </w:rPr>
        <w:br/>
      </w:r>
      <w:r w:rsidR="0017431E" w:rsidRPr="00143AD4">
        <w:rPr>
          <w:rFonts w:ascii="Lato" w:eastAsia="Calibri" w:hAnsi="Lato" w:cs="Arial"/>
          <w:bCs/>
          <w:iCs/>
          <w:spacing w:val="4"/>
          <w:sz w:val="22"/>
          <w:szCs w:val="22"/>
          <w:lang w:eastAsia="en-US" w:bidi="pl-PL"/>
        </w:rPr>
        <w:t>o melioracji terenu</w:t>
      </w:r>
      <w:r w:rsidRPr="00143AD4">
        <w:rPr>
          <w:rFonts w:ascii="Lato" w:eastAsia="Calibri" w:hAnsi="Lato" w:cs="Arial"/>
          <w:bCs/>
          <w:iCs/>
          <w:spacing w:val="4"/>
          <w:sz w:val="22"/>
          <w:szCs w:val="22"/>
          <w:lang w:eastAsia="en-US" w:bidi="pl-PL"/>
        </w:rPr>
        <w:t xml:space="preserve">. </w:t>
      </w:r>
    </w:p>
    <w:p w14:paraId="4E291D3B" w14:textId="71D849E7" w:rsidR="00BE1CD8" w:rsidRPr="00143AD4" w:rsidRDefault="00E358FA" w:rsidP="001353FC">
      <w:pPr>
        <w:autoSpaceDE w:val="0"/>
        <w:autoSpaceDN w:val="0"/>
        <w:adjustRightInd w:val="0"/>
        <w:spacing w:after="240" w:line="240" w:lineRule="exact"/>
        <w:jc w:val="both"/>
        <w:rPr>
          <w:rFonts w:ascii="Lato" w:eastAsia="Calibri" w:hAnsi="Lato" w:cs="Arial"/>
          <w:bCs/>
          <w:iCs/>
          <w:spacing w:val="4"/>
          <w:sz w:val="22"/>
          <w:szCs w:val="22"/>
          <w:lang w:eastAsia="en-US" w:bidi="pl-PL"/>
        </w:rPr>
      </w:pPr>
      <w:bookmarkStart w:id="17" w:name="_Hlk190093518"/>
      <w:bookmarkEnd w:id="15"/>
      <w:r w:rsidRPr="00143AD4">
        <w:rPr>
          <w:rFonts w:ascii="Lato" w:eastAsia="Calibri" w:hAnsi="Lato" w:cs="Arial"/>
          <w:bCs/>
          <w:iCs/>
          <w:spacing w:val="4"/>
          <w:sz w:val="22"/>
          <w:szCs w:val="22"/>
          <w:lang w:eastAsia="en-US" w:bidi="pl-PL"/>
        </w:rPr>
        <w:t>Wyjaśnienia wymaga</w:t>
      </w:r>
      <w:r w:rsidR="00143AD4" w:rsidRPr="00143AD4">
        <w:rPr>
          <w:rFonts w:ascii="Lato" w:eastAsia="Calibri" w:hAnsi="Lato" w:cs="Arial"/>
          <w:bCs/>
          <w:iCs/>
          <w:spacing w:val="4"/>
          <w:sz w:val="22"/>
          <w:szCs w:val="22"/>
          <w:lang w:eastAsia="en-US" w:bidi="pl-PL"/>
        </w:rPr>
        <w:t xml:space="preserve">, </w:t>
      </w:r>
      <w:r w:rsidR="00D54744" w:rsidRPr="00143AD4">
        <w:rPr>
          <w:rFonts w:ascii="Lato" w:eastAsia="Calibri" w:hAnsi="Lato" w:cs="Arial"/>
          <w:bCs/>
          <w:iCs/>
          <w:spacing w:val="4"/>
          <w:sz w:val="22"/>
          <w:szCs w:val="22"/>
          <w:lang w:eastAsia="en-US" w:bidi="pl-PL"/>
        </w:rPr>
        <w:t xml:space="preserve">iż powyższe zarzuty dotyczą de facto etapu uzyskiwania decyzji </w:t>
      </w:r>
      <w:r w:rsidR="00664EAC">
        <w:rPr>
          <w:rFonts w:ascii="Lato" w:eastAsia="Calibri" w:hAnsi="Lato" w:cs="Arial"/>
          <w:bCs/>
          <w:iCs/>
          <w:spacing w:val="4"/>
          <w:sz w:val="22"/>
          <w:szCs w:val="22"/>
          <w:lang w:eastAsia="en-US" w:bidi="pl-PL"/>
        </w:rPr>
        <w:br/>
      </w:r>
      <w:r w:rsidR="00D54744" w:rsidRPr="00143AD4">
        <w:rPr>
          <w:rFonts w:ascii="Lato" w:eastAsia="Calibri" w:hAnsi="Lato" w:cs="Arial"/>
          <w:bCs/>
          <w:iCs/>
          <w:spacing w:val="4"/>
          <w:sz w:val="22"/>
          <w:szCs w:val="22"/>
          <w:lang w:eastAsia="en-US" w:bidi="pl-PL"/>
        </w:rPr>
        <w:t>o pozwoleniu na budowę przedmiotowej inwestycji, a nie niniejszego post</w:t>
      </w:r>
      <w:r w:rsidR="00664EAC">
        <w:rPr>
          <w:rFonts w:ascii="Lato" w:eastAsia="Calibri" w:hAnsi="Lato" w:cs="Arial"/>
          <w:bCs/>
          <w:iCs/>
          <w:spacing w:val="4"/>
          <w:sz w:val="22"/>
          <w:szCs w:val="22"/>
          <w:lang w:eastAsia="en-US" w:bidi="pl-PL"/>
        </w:rPr>
        <w:t>ę</w:t>
      </w:r>
      <w:r w:rsidR="00D54744" w:rsidRPr="00143AD4">
        <w:rPr>
          <w:rFonts w:ascii="Lato" w:eastAsia="Calibri" w:hAnsi="Lato" w:cs="Arial"/>
          <w:bCs/>
          <w:iCs/>
          <w:spacing w:val="4"/>
          <w:sz w:val="22"/>
          <w:szCs w:val="22"/>
          <w:lang w:eastAsia="en-US" w:bidi="pl-PL"/>
        </w:rPr>
        <w:t>powania</w:t>
      </w:r>
      <w:r w:rsidR="00664EAC">
        <w:rPr>
          <w:rFonts w:ascii="Lato" w:eastAsia="Calibri" w:hAnsi="Lato" w:cs="Arial"/>
          <w:bCs/>
          <w:iCs/>
          <w:spacing w:val="4"/>
          <w:sz w:val="22"/>
          <w:szCs w:val="22"/>
          <w:lang w:eastAsia="en-US" w:bidi="pl-PL"/>
        </w:rPr>
        <w:br/>
      </w:r>
      <w:r w:rsidR="00D54744" w:rsidRPr="00143AD4">
        <w:rPr>
          <w:rFonts w:ascii="Lato" w:eastAsia="Calibri" w:hAnsi="Lato" w:cs="Arial"/>
          <w:bCs/>
          <w:iCs/>
          <w:spacing w:val="4"/>
          <w:sz w:val="22"/>
          <w:szCs w:val="22"/>
          <w:lang w:eastAsia="en-US" w:bidi="pl-PL"/>
        </w:rPr>
        <w:t>o ustaleniu lokalizacji tejże inwestycji. Wskazać przy tym należy, że uzyskanie decyzji wodnoprawnej nie jest przedmiotem postępowania o wydanie decyzji strategicznej inwestycji w sektorze naftowym, a dopiero niezbędne jest w postępowaniu o wydanie decyzji o pozwoleniu na budowę.</w:t>
      </w:r>
    </w:p>
    <w:p w14:paraId="14028875" w14:textId="77777777" w:rsidR="00367017" w:rsidRPr="00F06F77" w:rsidRDefault="009B51E8" w:rsidP="00367017">
      <w:pPr>
        <w:autoSpaceDE w:val="0"/>
        <w:autoSpaceDN w:val="0"/>
        <w:adjustRightInd w:val="0"/>
        <w:spacing w:after="240" w:line="240" w:lineRule="exact"/>
        <w:jc w:val="both"/>
        <w:rPr>
          <w:rFonts w:ascii="Lato" w:eastAsia="Calibri" w:hAnsi="Lato" w:cs="Arial"/>
          <w:bCs/>
          <w:iCs/>
          <w:spacing w:val="4"/>
          <w:sz w:val="22"/>
          <w:szCs w:val="22"/>
          <w:lang w:eastAsia="en-US" w:bidi="pl-PL"/>
        </w:rPr>
      </w:pPr>
      <w:bookmarkStart w:id="18" w:name="_Hlk190093431"/>
      <w:bookmarkEnd w:id="17"/>
      <w:r w:rsidRPr="00F06F77">
        <w:rPr>
          <w:rFonts w:ascii="Lato" w:eastAsia="Calibri" w:hAnsi="Lato" w:cs="Arial"/>
          <w:bCs/>
          <w:iCs/>
          <w:spacing w:val="4"/>
          <w:sz w:val="22"/>
          <w:szCs w:val="22"/>
          <w:lang w:eastAsia="en-US" w:bidi="pl-PL"/>
        </w:rPr>
        <w:t>Dodatkowo strony skarżące wnoszą o powołanie biegłego rolnika, który oceniłby</w:t>
      </w:r>
      <w:r w:rsidR="00A24732" w:rsidRPr="00F06F77">
        <w:rPr>
          <w:rFonts w:ascii="Lato" w:eastAsia="Calibri" w:hAnsi="Lato" w:cs="Arial"/>
          <w:bCs/>
          <w:iCs/>
          <w:spacing w:val="4"/>
          <w:sz w:val="22"/>
          <w:szCs w:val="22"/>
          <w:lang w:eastAsia="en-US" w:bidi="pl-PL"/>
        </w:rPr>
        <w:t xml:space="preserve"> </w:t>
      </w:r>
      <w:r w:rsidRPr="00F06F77">
        <w:rPr>
          <w:rFonts w:ascii="Lato" w:eastAsia="Calibri" w:hAnsi="Lato" w:cs="Arial"/>
          <w:bCs/>
          <w:iCs/>
          <w:spacing w:val="4"/>
          <w:sz w:val="22"/>
          <w:szCs w:val="22"/>
          <w:lang w:eastAsia="en-US" w:bidi="pl-PL"/>
        </w:rPr>
        <w:t xml:space="preserve">wpływ ograniczenia nieruchomości </w:t>
      </w:r>
      <w:r w:rsidR="00A24732" w:rsidRPr="00F06F77">
        <w:rPr>
          <w:rFonts w:ascii="Lato" w:eastAsia="Calibri" w:hAnsi="Lato" w:cs="Arial"/>
          <w:bCs/>
          <w:iCs/>
          <w:spacing w:val="4"/>
          <w:sz w:val="22"/>
          <w:szCs w:val="22"/>
          <w:lang w:eastAsia="en-US" w:bidi="pl-PL"/>
        </w:rPr>
        <w:t xml:space="preserve">wynikające z art. 30 ust. 1 </w:t>
      </w:r>
      <w:r w:rsidR="00A24732" w:rsidRPr="00F06F77">
        <w:rPr>
          <w:rFonts w:ascii="Lato" w:eastAsia="Calibri" w:hAnsi="Lato" w:cs="Arial"/>
          <w:bCs/>
          <w:i/>
          <w:spacing w:val="4"/>
          <w:sz w:val="22"/>
          <w:szCs w:val="22"/>
          <w:lang w:eastAsia="en-US" w:bidi="pl-PL"/>
        </w:rPr>
        <w:t>specustawy naftowej,</w:t>
      </w:r>
      <w:r w:rsidR="00A24732" w:rsidRPr="00F06F77">
        <w:rPr>
          <w:rFonts w:ascii="Lato" w:eastAsia="Calibri" w:hAnsi="Lato" w:cs="Arial"/>
          <w:bCs/>
          <w:iCs/>
          <w:spacing w:val="4"/>
          <w:sz w:val="22"/>
          <w:szCs w:val="22"/>
          <w:lang w:eastAsia="en-US" w:bidi="pl-PL"/>
        </w:rPr>
        <w:t xml:space="preserve"> </w:t>
      </w:r>
      <w:r w:rsidR="00F22982" w:rsidRPr="00F06F77">
        <w:rPr>
          <w:rFonts w:ascii="Lato" w:eastAsia="Calibri" w:hAnsi="Lato" w:cs="Arial"/>
          <w:bCs/>
          <w:iCs/>
          <w:spacing w:val="4"/>
          <w:sz w:val="22"/>
          <w:szCs w:val="22"/>
          <w:lang w:eastAsia="en-US" w:bidi="pl-PL"/>
        </w:rPr>
        <w:br/>
      </w:r>
      <w:r w:rsidR="00A24732" w:rsidRPr="00F06F77">
        <w:rPr>
          <w:rFonts w:ascii="Lato" w:eastAsia="Calibri" w:hAnsi="Lato" w:cs="Arial"/>
          <w:bCs/>
          <w:iCs/>
          <w:spacing w:val="4"/>
          <w:sz w:val="22"/>
          <w:szCs w:val="22"/>
          <w:lang w:eastAsia="en-US" w:bidi="pl-PL"/>
        </w:rPr>
        <w:t xml:space="preserve">na wydajność prowadzonego gospodarstwa. </w:t>
      </w:r>
    </w:p>
    <w:p w14:paraId="1D1A2592" w14:textId="27740243" w:rsidR="00367017" w:rsidRPr="00F06F77" w:rsidRDefault="00367017" w:rsidP="00367017">
      <w:pPr>
        <w:autoSpaceDE w:val="0"/>
        <w:autoSpaceDN w:val="0"/>
        <w:adjustRightInd w:val="0"/>
        <w:spacing w:after="240" w:line="240" w:lineRule="exact"/>
        <w:jc w:val="both"/>
        <w:rPr>
          <w:rFonts w:ascii="Lato" w:eastAsia="Calibri" w:hAnsi="Lato" w:cs="Arial"/>
          <w:bCs/>
          <w:iCs/>
          <w:spacing w:val="4"/>
          <w:sz w:val="22"/>
          <w:szCs w:val="22"/>
          <w:lang w:eastAsia="en-US" w:bidi="pl-PL"/>
        </w:rPr>
      </w:pPr>
      <w:r w:rsidRPr="00F06F77">
        <w:rPr>
          <w:rFonts w:ascii="Lato" w:eastAsia="Calibri" w:hAnsi="Lato" w:cs="Arial"/>
          <w:bCs/>
          <w:iCs/>
          <w:spacing w:val="4"/>
          <w:sz w:val="22"/>
          <w:szCs w:val="22"/>
          <w:lang w:eastAsia="en-US" w:bidi="pl-PL"/>
        </w:rPr>
        <w:t xml:space="preserve">Przede wszystkim zaznaczyć należy, iż przeprowadzenie wskazanego przez skarżących dowodu jest to co do zasady sprzeczne z celami i specyfiką postępowania dotyczącego postępowania o wydanie decyzji strategicznej inwestycji w sektorze naftowym. Chodzi tu w szczególności o związanie organu wnioskiem </w:t>
      </w:r>
      <w:r w:rsidRPr="00F06F77">
        <w:rPr>
          <w:rFonts w:ascii="Lato" w:eastAsia="Calibri" w:hAnsi="Lato" w:cs="Arial"/>
          <w:bCs/>
          <w:i/>
          <w:iCs/>
          <w:spacing w:val="4"/>
          <w:sz w:val="22"/>
          <w:szCs w:val="22"/>
          <w:lang w:eastAsia="en-US" w:bidi="pl-PL"/>
        </w:rPr>
        <w:t>inwestora</w:t>
      </w:r>
      <w:r w:rsidRPr="00F06F77">
        <w:rPr>
          <w:rFonts w:ascii="Lato" w:eastAsia="Calibri" w:hAnsi="Lato" w:cs="Arial"/>
          <w:bCs/>
          <w:iCs/>
          <w:spacing w:val="4"/>
          <w:sz w:val="22"/>
          <w:szCs w:val="22"/>
          <w:lang w:eastAsia="en-US" w:bidi="pl-PL"/>
        </w:rPr>
        <w:t xml:space="preserve"> oraz czas przewidziany przez ustawodawcę na wydanie decyzji w tej kwestii [por. wyrok Wojewódzkiego Sądu Administracyjnego w Warszawie z dnia 28 października 2016 r., sygn. akt IV SA/Wa 1534/16, opubl. Centralna Baza Orzeczeń Sądów Administracyjnych, wydany w sprawie rozpatrywanej na podstawie ustawy z dnia 28 marca 2003 r. o transporcie kolejowym (t.j. Dz. U. z 2021 r. poz. 1984), w istotnym zakresie w pełni analogicznej do rozwiązań przyjętych w </w:t>
      </w:r>
      <w:r w:rsidRPr="00F06F77">
        <w:rPr>
          <w:rFonts w:ascii="Lato" w:eastAsia="Calibri" w:hAnsi="Lato" w:cs="Arial"/>
          <w:bCs/>
          <w:i/>
          <w:iCs/>
          <w:spacing w:val="4"/>
          <w:sz w:val="22"/>
          <w:szCs w:val="22"/>
          <w:lang w:eastAsia="en-US" w:bidi="pl-PL"/>
        </w:rPr>
        <w:t>specustawie naftowej</w:t>
      </w:r>
      <w:r w:rsidRPr="00F06F77">
        <w:rPr>
          <w:rFonts w:ascii="Lato" w:eastAsia="Calibri" w:hAnsi="Lato" w:cs="Arial"/>
          <w:bCs/>
          <w:iCs/>
          <w:spacing w:val="4"/>
          <w:sz w:val="22"/>
          <w:szCs w:val="22"/>
          <w:lang w:eastAsia="en-US" w:bidi="pl-PL"/>
        </w:rPr>
        <w:t xml:space="preserve">]. </w:t>
      </w:r>
    </w:p>
    <w:p w14:paraId="0F200AFD" w14:textId="47EC3D01" w:rsidR="00367017" w:rsidRPr="00367017" w:rsidRDefault="00367017" w:rsidP="00367017">
      <w:pPr>
        <w:autoSpaceDE w:val="0"/>
        <w:autoSpaceDN w:val="0"/>
        <w:adjustRightInd w:val="0"/>
        <w:spacing w:after="240" w:line="240" w:lineRule="exact"/>
        <w:jc w:val="both"/>
        <w:rPr>
          <w:rFonts w:ascii="Lato" w:eastAsia="Calibri" w:hAnsi="Lato" w:cs="Arial"/>
          <w:bCs/>
          <w:iCs/>
          <w:spacing w:val="4"/>
          <w:sz w:val="22"/>
          <w:szCs w:val="22"/>
          <w:lang w:eastAsia="en-US" w:bidi="pl-PL"/>
        </w:rPr>
      </w:pPr>
      <w:r w:rsidRPr="00367017">
        <w:rPr>
          <w:rFonts w:ascii="Lato" w:eastAsia="Calibri" w:hAnsi="Lato" w:cs="Arial"/>
          <w:bCs/>
          <w:iCs/>
          <w:spacing w:val="4"/>
          <w:sz w:val="22"/>
          <w:szCs w:val="22"/>
          <w:lang w:eastAsia="en-US" w:bidi="pl-PL"/>
        </w:rPr>
        <w:t xml:space="preserve">Ponadto, zwrócić należy uwagę, że organy administracji mają obowiązek podejmować czynności niezbędne do wyjaśniania sprawy, nie zaś wszystkie czynności, których przeprowadzenie postuluje strona postępowania. Potrzeba przeprowadzenia dowodów zgłaszanych przez stronę powinna wynikać z uzasadnionych twierdzeń i zarzutów dotyczących ustalenia istotnych okoliczności sprawy, co w niniejszej sprawie nie miało miejsca. W piśmiennictwie przyjmuje się, że ocena, czy przedmiotem dowodu jest okoliczność mająca znaczenie dla sprawy, należy do uznania organu, który </w:t>
      </w:r>
      <w:r w:rsidR="00AF4BC5" w:rsidRPr="00367017">
        <w:rPr>
          <w:rFonts w:ascii="Lato" w:eastAsia="Calibri" w:hAnsi="Lato" w:cs="Arial"/>
          <w:bCs/>
          <w:iCs/>
          <w:spacing w:val="4"/>
          <w:sz w:val="22"/>
          <w:szCs w:val="22"/>
          <w:lang w:eastAsia="en-US" w:bidi="pl-PL"/>
        </w:rPr>
        <w:t>jest,</w:t>
      </w:r>
      <w:r w:rsidRPr="00367017">
        <w:rPr>
          <w:rFonts w:ascii="Lato" w:eastAsia="Calibri" w:hAnsi="Lato" w:cs="Arial"/>
          <w:bCs/>
          <w:iCs/>
          <w:spacing w:val="4"/>
          <w:sz w:val="22"/>
          <w:szCs w:val="22"/>
          <w:lang w:eastAsia="en-US" w:bidi="pl-PL"/>
        </w:rPr>
        <w:t xml:space="preserve"> jednakże związany w tej mierze przepisami prawa materialnego stanowiącymi podstawę rozstrzygnięcia (por. B. Adamiak (w:) Komentarz, Kodeks postępowania administracyjnego, Legalis).</w:t>
      </w:r>
    </w:p>
    <w:p w14:paraId="5B52412F" w14:textId="42D46AD7" w:rsidR="00367017" w:rsidRPr="00367017" w:rsidRDefault="00367017" w:rsidP="00367017">
      <w:pPr>
        <w:autoSpaceDE w:val="0"/>
        <w:autoSpaceDN w:val="0"/>
        <w:adjustRightInd w:val="0"/>
        <w:spacing w:after="240" w:line="240" w:lineRule="exact"/>
        <w:jc w:val="both"/>
        <w:rPr>
          <w:rFonts w:ascii="Lato" w:eastAsia="Calibri" w:hAnsi="Lato" w:cs="Arial"/>
          <w:bCs/>
          <w:iCs/>
          <w:spacing w:val="4"/>
          <w:sz w:val="22"/>
          <w:szCs w:val="22"/>
          <w:lang w:eastAsia="en-US" w:bidi="pl-PL"/>
        </w:rPr>
      </w:pPr>
      <w:r w:rsidRPr="00367017">
        <w:rPr>
          <w:rFonts w:ascii="Lato" w:eastAsia="Calibri" w:hAnsi="Lato" w:cs="Arial"/>
          <w:bCs/>
          <w:iCs/>
          <w:spacing w:val="4"/>
          <w:sz w:val="22"/>
          <w:szCs w:val="22"/>
          <w:lang w:eastAsia="en-US" w:bidi="pl-PL"/>
        </w:rPr>
        <w:t xml:space="preserve">Okoliczność, </w:t>
      </w:r>
      <w:r w:rsidRPr="00F06F77">
        <w:rPr>
          <w:rFonts w:ascii="Lato" w:eastAsia="Calibri" w:hAnsi="Lato" w:cs="Arial"/>
          <w:bCs/>
          <w:iCs/>
          <w:spacing w:val="4"/>
          <w:sz w:val="22"/>
          <w:szCs w:val="22"/>
          <w:lang w:eastAsia="en-US" w:bidi="pl-PL"/>
        </w:rPr>
        <w:t>którą wskazują skarżący</w:t>
      </w:r>
      <w:r w:rsidR="00AE63AF">
        <w:rPr>
          <w:rFonts w:ascii="Lato" w:eastAsia="Calibri" w:hAnsi="Lato" w:cs="Arial"/>
          <w:bCs/>
          <w:iCs/>
          <w:spacing w:val="4"/>
          <w:sz w:val="22"/>
          <w:szCs w:val="22"/>
          <w:lang w:eastAsia="en-US" w:bidi="pl-PL"/>
        </w:rPr>
        <w:t xml:space="preserve"> </w:t>
      </w:r>
      <w:r w:rsidRPr="00367017">
        <w:rPr>
          <w:rFonts w:ascii="Lato" w:eastAsia="Calibri" w:hAnsi="Lato" w:cs="Arial"/>
          <w:bCs/>
          <w:iCs/>
          <w:spacing w:val="4"/>
          <w:sz w:val="22"/>
          <w:szCs w:val="22"/>
          <w:lang w:eastAsia="en-US" w:bidi="pl-PL"/>
        </w:rPr>
        <w:t xml:space="preserve">- w opinii </w:t>
      </w:r>
      <w:r w:rsidRPr="00367017">
        <w:rPr>
          <w:rFonts w:ascii="Lato" w:eastAsia="Calibri" w:hAnsi="Lato" w:cs="Arial"/>
          <w:bCs/>
          <w:i/>
          <w:iCs/>
          <w:spacing w:val="4"/>
          <w:sz w:val="22"/>
          <w:szCs w:val="22"/>
          <w:lang w:eastAsia="en-US" w:bidi="pl-PL"/>
        </w:rPr>
        <w:t>Ministra</w:t>
      </w:r>
      <w:r w:rsidRPr="00367017">
        <w:rPr>
          <w:rFonts w:ascii="Lato" w:eastAsia="Calibri" w:hAnsi="Lato" w:cs="Arial"/>
          <w:bCs/>
          <w:iCs/>
          <w:spacing w:val="4"/>
          <w:sz w:val="22"/>
          <w:szCs w:val="22"/>
          <w:lang w:eastAsia="en-US" w:bidi="pl-PL"/>
        </w:rPr>
        <w:t xml:space="preserve"> - nie stanowiło podstawy do przeprowadzenia wskazane przez skarżąc</w:t>
      </w:r>
      <w:r w:rsidR="00664EAC">
        <w:rPr>
          <w:rFonts w:ascii="Lato" w:eastAsia="Calibri" w:hAnsi="Lato" w:cs="Arial"/>
          <w:bCs/>
          <w:iCs/>
          <w:spacing w:val="4"/>
          <w:sz w:val="22"/>
          <w:szCs w:val="22"/>
          <w:lang w:eastAsia="en-US" w:bidi="pl-PL"/>
        </w:rPr>
        <w:t>ych</w:t>
      </w:r>
      <w:r w:rsidRPr="00367017">
        <w:rPr>
          <w:rFonts w:ascii="Lato" w:eastAsia="Calibri" w:hAnsi="Lato" w:cs="Arial"/>
          <w:bCs/>
          <w:iCs/>
          <w:spacing w:val="4"/>
          <w:sz w:val="22"/>
          <w:szCs w:val="22"/>
          <w:lang w:eastAsia="en-US" w:bidi="pl-PL"/>
        </w:rPr>
        <w:t xml:space="preserve"> dowodu. Jak już to zostało wyjaśnione </w:t>
      </w:r>
      <w:r w:rsidR="00664EAC">
        <w:rPr>
          <w:rFonts w:ascii="Lato" w:eastAsia="Calibri" w:hAnsi="Lato" w:cs="Arial"/>
          <w:bCs/>
          <w:iCs/>
          <w:spacing w:val="4"/>
          <w:sz w:val="22"/>
          <w:szCs w:val="22"/>
          <w:lang w:eastAsia="en-US" w:bidi="pl-PL"/>
        </w:rPr>
        <w:br/>
      </w:r>
      <w:r w:rsidRPr="00367017">
        <w:rPr>
          <w:rFonts w:ascii="Lato" w:eastAsia="Calibri" w:hAnsi="Lato" w:cs="Arial"/>
          <w:bCs/>
          <w:iCs/>
          <w:spacing w:val="4"/>
          <w:sz w:val="22"/>
          <w:szCs w:val="22"/>
          <w:lang w:eastAsia="en-US" w:bidi="pl-PL"/>
        </w:rPr>
        <w:t xml:space="preserve">w niniejszej decyzji, to </w:t>
      </w:r>
      <w:r w:rsidRPr="00367017">
        <w:rPr>
          <w:rFonts w:ascii="Lato" w:eastAsia="Calibri" w:hAnsi="Lato" w:cs="Arial"/>
          <w:bCs/>
          <w:i/>
          <w:iCs/>
          <w:spacing w:val="4"/>
          <w:sz w:val="22"/>
          <w:szCs w:val="22"/>
          <w:lang w:eastAsia="en-US" w:bidi="pl-PL"/>
        </w:rPr>
        <w:t>inwestor</w:t>
      </w:r>
      <w:r w:rsidRPr="00367017">
        <w:rPr>
          <w:rFonts w:ascii="Lato" w:eastAsia="Calibri" w:hAnsi="Lato" w:cs="Arial"/>
          <w:bCs/>
          <w:iCs/>
          <w:spacing w:val="4"/>
          <w:sz w:val="22"/>
          <w:szCs w:val="22"/>
          <w:lang w:eastAsia="en-US" w:bidi="pl-PL"/>
        </w:rPr>
        <w:t xml:space="preserve"> dokonuje wyboru najkorzystniejszych rozwiązań lokalizacyjnych, a rola organu ogranicza się do sprawdzenia kompletności wniosku </w:t>
      </w:r>
      <w:r w:rsidRPr="00367017">
        <w:rPr>
          <w:rFonts w:ascii="Lato" w:eastAsia="Calibri" w:hAnsi="Lato" w:cs="Arial"/>
          <w:bCs/>
          <w:iCs/>
          <w:spacing w:val="4"/>
          <w:sz w:val="22"/>
          <w:szCs w:val="22"/>
          <w:lang w:eastAsia="en-US" w:bidi="pl-PL"/>
        </w:rPr>
        <w:br/>
        <w:t xml:space="preserve">w świetle wymogów ustawowych oraz tego, czy przedstawiona koncepcja mieści się </w:t>
      </w:r>
      <w:r w:rsidRPr="00367017">
        <w:rPr>
          <w:rFonts w:ascii="Lato" w:eastAsia="Calibri" w:hAnsi="Lato" w:cs="Arial"/>
          <w:bCs/>
          <w:iCs/>
          <w:spacing w:val="4"/>
          <w:sz w:val="22"/>
          <w:szCs w:val="22"/>
          <w:lang w:eastAsia="en-US" w:bidi="pl-PL"/>
        </w:rPr>
        <w:br/>
        <w:t xml:space="preserve">w granicach wyznaczonych przez prawo. </w:t>
      </w:r>
    </w:p>
    <w:bookmarkEnd w:id="18"/>
    <w:p w14:paraId="46DAEFC0" w14:textId="77777777" w:rsidR="00745175" w:rsidRDefault="00701B69" w:rsidP="00745175">
      <w:pPr>
        <w:autoSpaceDE w:val="0"/>
        <w:autoSpaceDN w:val="0"/>
        <w:adjustRightInd w:val="0"/>
        <w:spacing w:after="240" w:line="240" w:lineRule="exact"/>
        <w:jc w:val="both"/>
        <w:rPr>
          <w:rFonts w:ascii="Lato" w:eastAsia="Calibri" w:hAnsi="Lato" w:cs="Arial"/>
          <w:bCs/>
          <w:iCs/>
          <w:spacing w:val="4"/>
          <w:sz w:val="22"/>
          <w:szCs w:val="22"/>
          <w:lang w:eastAsia="en-US" w:bidi="pl-PL"/>
        </w:rPr>
      </w:pPr>
      <w:r w:rsidRPr="00367017">
        <w:rPr>
          <w:rFonts w:ascii="Lato" w:eastAsia="Calibri" w:hAnsi="Lato" w:cs="Arial"/>
          <w:bCs/>
          <w:iCs/>
          <w:spacing w:val="4"/>
          <w:sz w:val="22"/>
          <w:szCs w:val="22"/>
          <w:lang w:eastAsia="en-US" w:bidi="pl-PL"/>
        </w:rPr>
        <w:t>Z</w:t>
      </w:r>
      <w:r w:rsidR="00DE3777" w:rsidRPr="00367017">
        <w:rPr>
          <w:rFonts w:ascii="Lato" w:eastAsia="Calibri" w:hAnsi="Lato" w:cs="Arial"/>
          <w:bCs/>
          <w:iCs/>
          <w:spacing w:val="4"/>
          <w:sz w:val="22"/>
          <w:szCs w:val="22"/>
          <w:lang w:eastAsia="en-US" w:bidi="pl-PL"/>
        </w:rPr>
        <w:t xml:space="preserve">arzut stron skarżący dotyczący braku informacji </w:t>
      </w:r>
      <w:r w:rsidRPr="00367017">
        <w:rPr>
          <w:rFonts w:ascii="Lato" w:eastAsia="Calibri" w:hAnsi="Lato" w:cs="Arial"/>
          <w:bCs/>
          <w:iCs/>
          <w:spacing w:val="4"/>
          <w:sz w:val="22"/>
          <w:szCs w:val="22"/>
          <w:lang w:eastAsia="en-US" w:bidi="pl-PL"/>
        </w:rPr>
        <w:t>o</w:t>
      </w:r>
      <w:r w:rsidR="00DE3777" w:rsidRPr="00367017">
        <w:rPr>
          <w:rFonts w:ascii="Lato" w:eastAsia="Calibri" w:hAnsi="Lato" w:cs="Arial"/>
          <w:bCs/>
          <w:iCs/>
          <w:spacing w:val="4"/>
          <w:sz w:val="22"/>
          <w:szCs w:val="22"/>
          <w:lang w:eastAsia="en-US" w:bidi="pl-PL"/>
        </w:rPr>
        <w:t xml:space="preserve"> treści wydanej </w:t>
      </w:r>
      <w:r w:rsidR="00DE3777" w:rsidRPr="00367017">
        <w:rPr>
          <w:rFonts w:ascii="Lato" w:eastAsia="Calibri" w:hAnsi="Lato" w:cs="Arial"/>
          <w:bCs/>
          <w:i/>
          <w:spacing w:val="4"/>
          <w:sz w:val="22"/>
          <w:szCs w:val="22"/>
          <w:lang w:eastAsia="en-US" w:bidi="pl-PL"/>
        </w:rPr>
        <w:t>decyzji Wojewody Mazowieckiego</w:t>
      </w:r>
      <w:r w:rsidR="00DE3777" w:rsidRPr="00367017">
        <w:rPr>
          <w:rFonts w:ascii="Lato" w:eastAsia="Calibri" w:hAnsi="Lato" w:cs="Arial"/>
          <w:bCs/>
          <w:iCs/>
          <w:spacing w:val="4"/>
          <w:sz w:val="22"/>
          <w:szCs w:val="22"/>
          <w:lang w:eastAsia="en-US" w:bidi="pl-PL"/>
        </w:rPr>
        <w:t xml:space="preserve"> oraz szybkiego upływu terminów do zapoznania się z aktami </w:t>
      </w:r>
      <w:r w:rsidRPr="00367017">
        <w:rPr>
          <w:rFonts w:ascii="Lato" w:eastAsia="Calibri" w:hAnsi="Lato" w:cs="Arial"/>
          <w:bCs/>
          <w:iCs/>
          <w:spacing w:val="4"/>
          <w:sz w:val="22"/>
          <w:szCs w:val="22"/>
          <w:lang w:eastAsia="en-US" w:bidi="pl-PL"/>
        </w:rPr>
        <w:t xml:space="preserve">wojewódzkimi </w:t>
      </w:r>
      <w:r w:rsidR="00DE3777" w:rsidRPr="00367017">
        <w:rPr>
          <w:rFonts w:ascii="Lato" w:eastAsia="Calibri" w:hAnsi="Lato" w:cs="Arial"/>
          <w:bCs/>
          <w:iCs/>
          <w:spacing w:val="4"/>
          <w:sz w:val="22"/>
          <w:szCs w:val="22"/>
          <w:lang w:eastAsia="en-US" w:bidi="pl-PL"/>
        </w:rPr>
        <w:t xml:space="preserve">należy uznać za </w:t>
      </w:r>
      <w:r w:rsidRPr="00367017">
        <w:rPr>
          <w:rFonts w:ascii="Lato" w:eastAsia="Calibri" w:hAnsi="Lato" w:cs="Arial"/>
          <w:bCs/>
          <w:iCs/>
          <w:spacing w:val="4"/>
          <w:sz w:val="22"/>
          <w:szCs w:val="22"/>
          <w:lang w:eastAsia="en-US" w:bidi="pl-PL"/>
        </w:rPr>
        <w:t>bezzasadny</w:t>
      </w:r>
      <w:r w:rsidR="00DE3777" w:rsidRPr="00367017">
        <w:rPr>
          <w:rFonts w:ascii="Lato" w:eastAsia="Calibri" w:hAnsi="Lato" w:cs="Arial"/>
          <w:bCs/>
          <w:iCs/>
          <w:spacing w:val="4"/>
          <w:sz w:val="22"/>
          <w:szCs w:val="22"/>
          <w:lang w:eastAsia="en-US" w:bidi="pl-PL"/>
        </w:rPr>
        <w:t xml:space="preserve">. Zgodnie z art. 30 ust. 5 </w:t>
      </w:r>
      <w:r w:rsidR="00DE3777" w:rsidRPr="00367017">
        <w:rPr>
          <w:rFonts w:ascii="Lato" w:eastAsia="Calibri" w:hAnsi="Lato" w:cs="Arial"/>
          <w:bCs/>
          <w:i/>
          <w:spacing w:val="4"/>
          <w:sz w:val="22"/>
          <w:szCs w:val="22"/>
          <w:lang w:eastAsia="en-US" w:bidi="pl-PL"/>
        </w:rPr>
        <w:t>specustawy naftowej,</w:t>
      </w:r>
      <w:r w:rsidR="00DE3777" w:rsidRPr="00367017">
        <w:rPr>
          <w:rFonts w:ascii="Lato" w:eastAsia="Calibri" w:hAnsi="Lato" w:cs="Arial"/>
          <w:bCs/>
          <w:iCs/>
          <w:spacing w:val="4"/>
          <w:sz w:val="22"/>
          <w:szCs w:val="22"/>
          <w:lang w:eastAsia="en-US" w:bidi="pl-PL"/>
        </w:rPr>
        <w:t xml:space="preserve"> decyzję o ustaleniu lokalizacji inwestycji strategicznej w sektorze naftowym wraz </w:t>
      </w:r>
      <w:r w:rsidRPr="00367017">
        <w:rPr>
          <w:rFonts w:ascii="Lato" w:eastAsia="Calibri" w:hAnsi="Lato" w:cs="Arial"/>
          <w:bCs/>
          <w:iCs/>
          <w:spacing w:val="4"/>
          <w:sz w:val="22"/>
          <w:szCs w:val="22"/>
          <w:lang w:eastAsia="en-US" w:bidi="pl-PL"/>
        </w:rPr>
        <w:br/>
      </w:r>
      <w:r w:rsidR="00DE3777" w:rsidRPr="00367017">
        <w:rPr>
          <w:rFonts w:ascii="Lato" w:eastAsia="Calibri" w:hAnsi="Lato" w:cs="Arial"/>
          <w:bCs/>
          <w:iCs/>
          <w:spacing w:val="4"/>
          <w:sz w:val="22"/>
          <w:szCs w:val="22"/>
          <w:lang w:eastAsia="en-US" w:bidi="pl-PL"/>
        </w:rPr>
        <w:t xml:space="preserve">z załącznikami otrzymuję </w:t>
      </w:r>
      <w:r w:rsidR="00DE3777" w:rsidRPr="00367017">
        <w:rPr>
          <w:rFonts w:ascii="Lato" w:eastAsia="Calibri" w:hAnsi="Lato" w:cs="Arial"/>
          <w:bCs/>
          <w:i/>
          <w:spacing w:val="4"/>
          <w:sz w:val="22"/>
          <w:szCs w:val="22"/>
          <w:lang w:eastAsia="en-US" w:bidi="pl-PL"/>
        </w:rPr>
        <w:t>inwestor</w:t>
      </w:r>
      <w:r w:rsidR="00DE3777" w:rsidRPr="00367017">
        <w:rPr>
          <w:rFonts w:ascii="Lato" w:eastAsia="Calibri" w:hAnsi="Lato" w:cs="Arial"/>
          <w:bCs/>
          <w:iCs/>
          <w:spacing w:val="4"/>
          <w:sz w:val="22"/>
          <w:szCs w:val="22"/>
          <w:lang w:eastAsia="en-US" w:bidi="pl-PL"/>
        </w:rPr>
        <w:t xml:space="preserve">, jako podmiot odpowiedzialny za realizację inwestycji. Strony postępowania w tym właściciele nieruchomości zostają zawiadamiani o wydaniu decyzji w trybie art. 49 </w:t>
      </w:r>
      <w:r w:rsidR="00DE3777" w:rsidRPr="00367017">
        <w:rPr>
          <w:rFonts w:ascii="Lato" w:eastAsia="Calibri" w:hAnsi="Lato" w:cs="Arial"/>
          <w:bCs/>
          <w:i/>
          <w:spacing w:val="4"/>
          <w:sz w:val="22"/>
          <w:szCs w:val="22"/>
          <w:lang w:eastAsia="en-US" w:bidi="pl-PL"/>
        </w:rPr>
        <w:t>kpa</w:t>
      </w:r>
      <w:r w:rsidR="00DE3777" w:rsidRPr="00367017">
        <w:rPr>
          <w:rFonts w:ascii="Lato" w:eastAsia="Calibri" w:hAnsi="Lato" w:cs="Arial"/>
          <w:bCs/>
          <w:iCs/>
          <w:spacing w:val="4"/>
          <w:sz w:val="22"/>
          <w:szCs w:val="22"/>
          <w:lang w:eastAsia="en-US" w:bidi="pl-PL"/>
        </w:rPr>
        <w:t xml:space="preserve">. Zawiadomienie skierowanie do stron postępowania zawiera informację o wydaniu decyzji, podstawę prawą oraz możliwość zapoznania się z jej treścią </w:t>
      </w:r>
      <w:r w:rsidRPr="00367017">
        <w:rPr>
          <w:rFonts w:ascii="Lato" w:eastAsia="Calibri" w:hAnsi="Lato" w:cs="Arial"/>
          <w:bCs/>
          <w:iCs/>
          <w:spacing w:val="4"/>
          <w:sz w:val="22"/>
          <w:szCs w:val="22"/>
          <w:lang w:eastAsia="en-US" w:bidi="pl-PL"/>
        </w:rPr>
        <w:lastRenderedPageBreak/>
        <w:t>w</w:t>
      </w:r>
      <w:r w:rsidR="00DE3777" w:rsidRPr="00367017">
        <w:rPr>
          <w:rFonts w:ascii="Lato" w:eastAsia="Calibri" w:hAnsi="Lato" w:cs="Arial"/>
          <w:bCs/>
          <w:iCs/>
          <w:spacing w:val="4"/>
          <w:sz w:val="22"/>
          <w:szCs w:val="22"/>
          <w:lang w:eastAsia="en-US" w:bidi="pl-PL"/>
        </w:rPr>
        <w:t xml:space="preserve"> siedzibie organu prowadzonego postępowanie. Stronom skarżącym zostało przesłane ww. zawiadomienie</w:t>
      </w:r>
      <w:r w:rsidRPr="00367017">
        <w:rPr>
          <w:rFonts w:ascii="Lato" w:eastAsia="Calibri" w:hAnsi="Lato" w:cs="Arial"/>
          <w:bCs/>
          <w:iCs/>
          <w:spacing w:val="4"/>
          <w:sz w:val="22"/>
          <w:szCs w:val="22"/>
          <w:lang w:eastAsia="en-US" w:bidi="pl-PL"/>
        </w:rPr>
        <w:t>,</w:t>
      </w:r>
      <w:r w:rsidR="00DE3777" w:rsidRPr="00367017">
        <w:rPr>
          <w:rFonts w:ascii="Lato" w:eastAsia="Calibri" w:hAnsi="Lato" w:cs="Arial"/>
          <w:bCs/>
          <w:iCs/>
          <w:spacing w:val="4"/>
          <w:sz w:val="22"/>
          <w:szCs w:val="22"/>
          <w:lang w:eastAsia="en-US" w:bidi="pl-PL"/>
        </w:rPr>
        <w:t xml:space="preserve"> o czym świadczą zwrotne</w:t>
      </w:r>
      <w:r w:rsidRPr="00367017">
        <w:rPr>
          <w:rFonts w:ascii="Lato" w:eastAsia="Calibri" w:hAnsi="Lato" w:cs="Arial"/>
          <w:bCs/>
          <w:iCs/>
          <w:spacing w:val="4"/>
          <w:sz w:val="22"/>
          <w:szCs w:val="22"/>
          <w:lang w:eastAsia="en-US" w:bidi="pl-PL"/>
        </w:rPr>
        <w:t xml:space="preserve"> </w:t>
      </w:r>
      <w:r w:rsidR="00DE3777" w:rsidRPr="00367017">
        <w:rPr>
          <w:rFonts w:ascii="Lato" w:eastAsia="Calibri" w:hAnsi="Lato" w:cs="Arial"/>
          <w:bCs/>
          <w:iCs/>
          <w:spacing w:val="4"/>
          <w:sz w:val="22"/>
          <w:szCs w:val="22"/>
          <w:lang w:eastAsia="en-US" w:bidi="pl-PL"/>
        </w:rPr>
        <w:t xml:space="preserve">potwierdzenia odbioru załączone do akt postępowania </w:t>
      </w:r>
      <w:r w:rsidR="0051735B" w:rsidRPr="00367017">
        <w:rPr>
          <w:rFonts w:ascii="Lato" w:eastAsia="Calibri" w:hAnsi="Lato" w:cs="Arial"/>
          <w:bCs/>
          <w:iCs/>
          <w:spacing w:val="4"/>
          <w:sz w:val="22"/>
          <w:szCs w:val="22"/>
          <w:lang w:eastAsia="en-US" w:bidi="pl-PL"/>
        </w:rPr>
        <w:t>wojewódzkiego</w:t>
      </w:r>
      <w:r w:rsidR="00DE3777" w:rsidRPr="00367017">
        <w:rPr>
          <w:rFonts w:ascii="Lato" w:eastAsia="Calibri" w:hAnsi="Lato" w:cs="Arial"/>
          <w:bCs/>
          <w:iCs/>
          <w:spacing w:val="4"/>
          <w:sz w:val="22"/>
          <w:szCs w:val="22"/>
          <w:lang w:eastAsia="en-US" w:bidi="pl-PL"/>
        </w:rPr>
        <w:t>.</w:t>
      </w:r>
      <w:r w:rsidR="0051735B" w:rsidRPr="00367017">
        <w:rPr>
          <w:rFonts w:ascii="Lato" w:eastAsia="Calibri" w:hAnsi="Lato" w:cs="Arial"/>
          <w:bCs/>
          <w:iCs/>
          <w:spacing w:val="4"/>
          <w:sz w:val="22"/>
          <w:szCs w:val="22"/>
          <w:lang w:eastAsia="en-US" w:bidi="pl-PL"/>
        </w:rPr>
        <w:t xml:space="preserve"> Skarżący mieli więc pełną możliwość zapoznania </w:t>
      </w:r>
      <w:r w:rsidRPr="00367017">
        <w:rPr>
          <w:rFonts w:ascii="Lato" w:eastAsia="Calibri" w:hAnsi="Lato" w:cs="Arial"/>
          <w:bCs/>
          <w:iCs/>
          <w:spacing w:val="4"/>
          <w:sz w:val="22"/>
          <w:szCs w:val="22"/>
          <w:lang w:eastAsia="en-US" w:bidi="pl-PL"/>
        </w:rPr>
        <w:br/>
      </w:r>
      <w:r w:rsidR="0051735B" w:rsidRPr="00367017">
        <w:rPr>
          <w:rFonts w:ascii="Lato" w:eastAsia="Calibri" w:hAnsi="Lato" w:cs="Arial"/>
          <w:bCs/>
          <w:iCs/>
          <w:spacing w:val="4"/>
          <w:sz w:val="22"/>
          <w:szCs w:val="22"/>
          <w:lang w:eastAsia="en-US" w:bidi="pl-PL"/>
        </w:rPr>
        <w:t xml:space="preserve">się z treścią </w:t>
      </w:r>
      <w:r w:rsidRPr="00367017">
        <w:rPr>
          <w:rFonts w:ascii="Lato" w:eastAsia="Calibri" w:hAnsi="Lato" w:cs="Arial"/>
          <w:bCs/>
          <w:iCs/>
          <w:spacing w:val="4"/>
          <w:sz w:val="22"/>
          <w:szCs w:val="22"/>
          <w:lang w:eastAsia="en-US" w:bidi="pl-PL"/>
        </w:rPr>
        <w:t xml:space="preserve">i </w:t>
      </w:r>
      <w:r w:rsidR="0051735B" w:rsidRPr="00367017">
        <w:rPr>
          <w:rFonts w:ascii="Lato" w:eastAsia="Calibri" w:hAnsi="Lato" w:cs="Arial"/>
          <w:bCs/>
          <w:iCs/>
          <w:spacing w:val="4"/>
          <w:sz w:val="22"/>
          <w:szCs w:val="22"/>
          <w:lang w:eastAsia="en-US" w:bidi="pl-PL"/>
        </w:rPr>
        <w:t xml:space="preserve">wniesienia odwołania od </w:t>
      </w:r>
      <w:r w:rsidR="0051735B" w:rsidRPr="00367017">
        <w:rPr>
          <w:rFonts w:ascii="Lato" w:eastAsia="Calibri" w:hAnsi="Lato" w:cs="Arial"/>
          <w:bCs/>
          <w:i/>
          <w:spacing w:val="4"/>
          <w:sz w:val="22"/>
          <w:szCs w:val="22"/>
          <w:lang w:eastAsia="en-US" w:bidi="pl-PL"/>
        </w:rPr>
        <w:t>decyzji</w:t>
      </w:r>
      <w:r w:rsidRPr="00367017">
        <w:rPr>
          <w:rFonts w:ascii="Lato" w:eastAsia="Calibri" w:hAnsi="Lato" w:cs="Arial"/>
          <w:bCs/>
          <w:i/>
          <w:spacing w:val="4"/>
          <w:sz w:val="22"/>
          <w:szCs w:val="22"/>
          <w:lang w:eastAsia="en-US" w:bidi="pl-PL"/>
        </w:rPr>
        <w:t xml:space="preserve"> Wojewody Mazowieckiego</w:t>
      </w:r>
      <w:r w:rsidR="0051735B" w:rsidRPr="00367017">
        <w:rPr>
          <w:rFonts w:ascii="Lato" w:eastAsia="Calibri" w:hAnsi="Lato" w:cs="Arial"/>
          <w:bCs/>
          <w:iCs/>
          <w:spacing w:val="4"/>
          <w:sz w:val="22"/>
          <w:szCs w:val="22"/>
          <w:lang w:eastAsia="en-US" w:bidi="pl-PL"/>
        </w:rPr>
        <w:t xml:space="preserve">. </w:t>
      </w:r>
      <w:bookmarkStart w:id="19" w:name="_Hlk190093639"/>
    </w:p>
    <w:p w14:paraId="21BC3DAE" w14:textId="68274771" w:rsidR="00DE3777" w:rsidRPr="00367017" w:rsidRDefault="00745175" w:rsidP="00DE3777">
      <w:pPr>
        <w:autoSpaceDE w:val="0"/>
        <w:autoSpaceDN w:val="0"/>
        <w:adjustRightInd w:val="0"/>
        <w:spacing w:after="240" w:line="240" w:lineRule="exact"/>
        <w:jc w:val="both"/>
        <w:rPr>
          <w:rFonts w:ascii="Lato" w:eastAsia="Calibri" w:hAnsi="Lato" w:cs="Arial"/>
          <w:bCs/>
          <w:iCs/>
          <w:spacing w:val="4"/>
          <w:sz w:val="22"/>
          <w:szCs w:val="22"/>
          <w:lang w:eastAsia="en-US" w:bidi="pl-PL"/>
        </w:rPr>
      </w:pPr>
      <w:r w:rsidRPr="00745175">
        <w:rPr>
          <w:rFonts w:ascii="Lato" w:eastAsia="Calibri" w:hAnsi="Lato" w:cs="Arial"/>
          <w:bCs/>
          <w:iCs/>
          <w:spacing w:val="4"/>
          <w:sz w:val="22"/>
          <w:szCs w:val="22"/>
          <w:lang w:eastAsia="en-US" w:bidi="pl-PL"/>
        </w:rPr>
        <w:t xml:space="preserve">Podkreślić należy wyraźnie, iż Wojewoda Mazowiecki nie odmówił skarżącym dostępu do akt sprawy. </w:t>
      </w:r>
      <w:r w:rsidR="006F6943">
        <w:rPr>
          <w:rFonts w:ascii="Lato" w:eastAsia="Calibri" w:hAnsi="Lato" w:cs="Arial"/>
          <w:bCs/>
          <w:iCs/>
          <w:spacing w:val="4"/>
          <w:sz w:val="22"/>
          <w:szCs w:val="22"/>
          <w:lang w:eastAsia="en-US" w:bidi="pl-PL"/>
        </w:rPr>
        <w:t>Natomiast o</w:t>
      </w:r>
      <w:r w:rsidRPr="00745175">
        <w:rPr>
          <w:rFonts w:ascii="Lato" w:eastAsia="Calibri" w:hAnsi="Lato" w:cs="Arial"/>
          <w:bCs/>
          <w:iCs/>
          <w:spacing w:val="4"/>
          <w:sz w:val="22"/>
          <w:szCs w:val="22"/>
          <w:lang w:eastAsia="en-US" w:bidi="pl-PL"/>
        </w:rPr>
        <w:t xml:space="preserve">cenia organizacji udostępniania akt przez Wydział Infrastruktury Mazowieckiego Urzędu Wojewódzkiego wykracza poza kompetencje </w:t>
      </w:r>
      <w:r w:rsidRPr="00745175">
        <w:rPr>
          <w:rFonts w:ascii="Lato" w:eastAsia="Calibri" w:hAnsi="Lato" w:cs="Arial"/>
          <w:bCs/>
          <w:i/>
          <w:spacing w:val="4"/>
          <w:sz w:val="22"/>
          <w:szCs w:val="22"/>
          <w:lang w:eastAsia="en-US" w:bidi="pl-PL"/>
        </w:rPr>
        <w:t>Ministra</w:t>
      </w:r>
      <w:r w:rsidRPr="00745175">
        <w:rPr>
          <w:rFonts w:ascii="Lato" w:eastAsia="Calibri" w:hAnsi="Lato" w:cs="Arial"/>
          <w:bCs/>
          <w:iCs/>
          <w:spacing w:val="4"/>
          <w:sz w:val="22"/>
          <w:szCs w:val="22"/>
          <w:lang w:eastAsia="en-US" w:bidi="pl-PL"/>
        </w:rPr>
        <w:t xml:space="preserve"> w niniejszej sprawie. </w:t>
      </w:r>
      <w:bookmarkEnd w:id="19"/>
      <w:r w:rsidR="0051735B" w:rsidRPr="00367017">
        <w:rPr>
          <w:rFonts w:ascii="Lato" w:eastAsia="Calibri" w:hAnsi="Lato" w:cs="Arial"/>
          <w:bCs/>
          <w:iCs/>
          <w:spacing w:val="4"/>
          <w:sz w:val="22"/>
          <w:szCs w:val="22"/>
          <w:lang w:eastAsia="en-US" w:bidi="pl-PL"/>
        </w:rPr>
        <w:t xml:space="preserve">Skarżący </w:t>
      </w:r>
      <w:r w:rsidR="00590EF6" w:rsidRPr="00367017">
        <w:rPr>
          <w:rFonts w:ascii="Lato" w:eastAsia="Calibri" w:hAnsi="Lato" w:cs="Arial"/>
          <w:bCs/>
          <w:iCs/>
          <w:spacing w:val="4"/>
          <w:sz w:val="22"/>
          <w:szCs w:val="22"/>
          <w:lang w:eastAsia="en-US" w:bidi="pl-PL"/>
        </w:rPr>
        <w:t xml:space="preserve">mieli również prawo do wglądu </w:t>
      </w:r>
      <w:r w:rsidR="0051735B" w:rsidRPr="00367017">
        <w:rPr>
          <w:rFonts w:ascii="Lato" w:eastAsia="Calibri" w:hAnsi="Lato" w:cs="Arial"/>
          <w:bCs/>
          <w:iCs/>
          <w:spacing w:val="4"/>
          <w:sz w:val="22"/>
          <w:szCs w:val="22"/>
          <w:lang w:eastAsia="en-US" w:bidi="pl-PL"/>
        </w:rPr>
        <w:t>do akt sprawy w siedzibie Mazowieckiego Urzędu Wojewódzkiego oraz prawo do wniesienia odwołania i z tego prawa skorzysta</w:t>
      </w:r>
      <w:r w:rsidR="00590EF6" w:rsidRPr="00367017">
        <w:rPr>
          <w:rFonts w:ascii="Lato" w:eastAsia="Calibri" w:hAnsi="Lato" w:cs="Arial"/>
          <w:bCs/>
          <w:iCs/>
          <w:spacing w:val="4"/>
          <w:sz w:val="22"/>
          <w:szCs w:val="22"/>
          <w:lang w:eastAsia="en-US" w:bidi="pl-PL"/>
        </w:rPr>
        <w:t>li</w:t>
      </w:r>
      <w:r w:rsidR="0051735B" w:rsidRPr="00367017">
        <w:rPr>
          <w:rFonts w:ascii="Lato" w:eastAsia="Calibri" w:hAnsi="Lato" w:cs="Arial"/>
          <w:bCs/>
          <w:iCs/>
          <w:spacing w:val="4"/>
          <w:sz w:val="22"/>
          <w:szCs w:val="22"/>
          <w:lang w:eastAsia="en-US" w:bidi="pl-PL"/>
        </w:rPr>
        <w:t>.</w:t>
      </w:r>
    </w:p>
    <w:p w14:paraId="50DCAF94" w14:textId="6AD7A2EB" w:rsidR="00B156D6" w:rsidRDefault="00421CDD" w:rsidP="001353FC">
      <w:pPr>
        <w:autoSpaceDE w:val="0"/>
        <w:autoSpaceDN w:val="0"/>
        <w:adjustRightInd w:val="0"/>
        <w:spacing w:after="240" w:line="240" w:lineRule="exact"/>
        <w:jc w:val="both"/>
        <w:rPr>
          <w:rFonts w:ascii="Lato" w:eastAsia="Calibri" w:hAnsi="Lato" w:cs="Arial"/>
          <w:bCs/>
          <w:iCs/>
          <w:spacing w:val="4"/>
          <w:sz w:val="22"/>
          <w:szCs w:val="22"/>
          <w:lang w:eastAsia="en-US" w:bidi="pl-PL"/>
        </w:rPr>
      </w:pPr>
      <w:bookmarkStart w:id="20" w:name="_Hlk190093586"/>
      <w:r w:rsidRPr="00421CDD">
        <w:rPr>
          <w:rFonts w:ascii="Lato" w:eastAsia="Calibri" w:hAnsi="Lato" w:cs="Arial"/>
          <w:bCs/>
          <w:iCs/>
          <w:spacing w:val="4"/>
          <w:sz w:val="22"/>
          <w:szCs w:val="22"/>
          <w:lang w:eastAsia="en-US" w:bidi="pl-PL"/>
        </w:rPr>
        <w:t xml:space="preserve">Za nietrafny uznać należy </w:t>
      </w:r>
      <w:r>
        <w:rPr>
          <w:rFonts w:ascii="Lato" w:eastAsia="Calibri" w:hAnsi="Lato" w:cs="Arial"/>
          <w:bCs/>
          <w:iCs/>
          <w:spacing w:val="4"/>
          <w:sz w:val="22"/>
          <w:szCs w:val="22"/>
          <w:lang w:eastAsia="en-US" w:bidi="pl-PL"/>
        </w:rPr>
        <w:t>również</w:t>
      </w:r>
      <w:r w:rsidRPr="00421CDD">
        <w:rPr>
          <w:rFonts w:ascii="Lato" w:eastAsia="Calibri" w:hAnsi="Lato" w:cs="Arial"/>
          <w:bCs/>
          <w:iCs/>
          <w:spacing w:val="4"/>
          <w:sz w:val="22"/>
          <w:szCs w:val="22"/>
          <w:lang w:eastAsia="en-US" w:bidi="pl-PL"/>
        </w:rPr>
        <w:t xml:space="preserve"> zarzut</w:t>
      </w:r>
      <w:r w:rsidR="00D31ECE">
        <w:rPr>
          <w:rFonts w:ascii="Lato" w:eastAsia="Calibri" w:hAnsi="Lato" w:cs="Arial"/>
          <w:bCs/>
          <w:iCs/>
          <w:spacing w:val="4"/>
          <w:sz w:val="22"/>
          <w:szCs w:val="22"/>
          <w:lang w:eastAsia="en-US" w:bidi="pl-PL"/>
        </w:rPr>
        <w:t xml:space="preserve"> </w:t>
      </w:r>
      <w:r w:rsidR="00D31ECE" w:rsidRPr="00D31ECE">
        <w:rPr>
          <w:rFonts w:ascii="Lato" w:eastAsia="Calibri" w:hAnsi="Lato" w:cs="Arial"/>
          <w:bCs/>
          <w:iCs/>
          <w:spacing w:val="4"/>
          <w:sz w:val="22"/>
          <w:szCs w:val="22"/>
          <w:lang w:eastAsia="en-US" w:bidi="pl-PL"/>
        </w:rPr>
        <w:t xml:space="preserve">podniesiony przez </w:t>
      </w:r>
      <w:r w:rsidR="009E0982">
        <w:rPr>
          <w:rFonts w:ascii="Lato" w:eastAsia="Calibri" w:hAnsi="Lato" w:cs="Arial"/>
          <w:bCs/>
          <w:iCs/>
          <w:spacing w:val="4"/>
          <w:sz w:val="22"/>
          <w:szCs w:val="22"/>
          <w:lang w:eastAsia="en-US" w:bidi="pl-PL"/>
        </w:rPr>
        <w:t>P</w:t>
      </w:r>
      <w:r w:rsidR="00D31ECE" w:rsidRPr="00D31ECE">
        <w:rPr>
          <w:rFonts w:ascii="Lato" w:eastAsia="Calibri" w:hAnsi="Lato" w:cs="Arial"/>
          <w:bCs/>
          <w:iCs/>
          <w:spacing w:val="4"/>
          <w:sz w:val="22"/>
          <w:szCs w:val="22"/>
          <w:lang w:eastAsia="en-US" w:bidi="pl-PL"/>
        </w:rPr>
        <w:t xml:space="preserve">ana </w:t>
      </w:r>
      <w:r w:rsidR="004A7ACC">
        <w:rPr>
          <w:rFonts w:ascii="Lato" w:eastAsia="Calibri" w:hAnsi="Lato" w:cs="Arial"/>
          <w:bCs/>
          <w:iCs/>
          <w:spacing w:val="4"/>
          <w:sz w:val="22"/>
          <w:szCs w:val="22"/>
          <w:lang w:eastAsia="en-US" w:bidi="pl-PL"/>
        </w:rPr>
        <w:t>L.</w:t>
      </w:r>
      <w:r w:rsidR="00D31ECE" w:rsidRPr="00D31ECE">
        <w:rPr>
          <w:rFonts w:ascii="Lato" w:eastAsia="Calibri" w:hAnsi="Lato" w:cs="Arial"/>
          <w:bCs/>
          <w:iCs/>
          <w:spacing w:val="4"/>
          <w:sz w:val="22"/>
          <w:szCs w:val="22"/>
          <w:lang w:eastAsia="en-US" w:bidi="pl-PL"/>
        </w:rPr>
        <w:t xml:space="preserve"> </w:t>
      </w:r>
      <w:r w:rsidR="004A7ACC">
        <w:rPr>
          <w:rFonts w:ascii="Lato" w:eastAsia="Calibri" w:hAnsi="Lato" w:cs="Arial"/>
          <w:bCs/>
          <w:iCs/>
          <w:spacing w:val="4"/>
          <w:sz w:val="22"/>
          <w:szCs w:val="22"/>
          <w:lang w:eastAsia="en-US" w:bidi="pl-PL"/>
        </w:rPr>
        <w:t>B.</w:t>
      </w:r>
      <w:r w:rsidR="00D31ECE">
        <w:rPr>
          <w:rFonts w:ascii="Lato" w:eastAsia="Calibri" w:hAnsi="Lato" w:cs="Arial"/>
          <w:bCs/>
          <w:iCs/>
          <w:spacing w:val="4"/>
          <w:sz w:val="22"/>
          <w:szCs w:val="22"/>
          <w:lang w:eastAsia="en-US" w:bidi="pl-PL"/>
        </w:rPr>
        <w:t xml:space="preserve">, </w:t>
      </w:r>
      <w:r w:rsidR="009E0982">
        <w:rPr>
          <w:rFonts w:ascii="Lato" w:eastAsia="Calibri" w:hAnsi="Lato" w:cs="Arial"/>
          <w:bCs/>
          <w:iCs/>
          <w:spacing w:val="4"/>
          <w:sz w:val="22"/>
          <w:szCs w:val="22"/>
          <w:lang w:eastAsia="en-US" w:bidi="pl-PL"/>
        </w:rPr>
        <w:br/>
      </w:r>
      <w:r w:rsidR="00D31ECE" w:rsidRPr="00D31ECE">
        <w:rPr>
          <w:rFonts w:ascii="Lato" w:eastAsia="Calibri" w:hAnsi="Lato" w:cs="Arial"/>
          <w:bCs/>
          <w:iCs/>
          <w:spacing w:val="4"/>
          <w:sz w:val="22"/>
          <w:szCs w:val="22"/>
          <w:lang w:eastAsia="en-US" w:bidi="pl-PL"/>
        </w:rPr>
        <w:t>w piśmie uzupełniającym z dnia 24 maja 2022 r</w:t>
      </w:r>
      <w:r w:rsidR="00D31ECE">
        <w:rPr>
          <w:rFonts w:ascii="Lato" w:eastAsia="Calibri" w:hAnsi="Lato" w:cs="Arial"/>
          <w:bCs/>
          <w:iCs/>
          <w:spacing w:val="4"/>
          <w:sz w:val="22"/>
          <w:szCs w:val="22"/>
          <w:lang w:eastAsia="en-US" w:bidi="pl-PL"/>
        </w:rPr>
        <w:t xml:space="preserve">., </w:t>
      </w:r>
      <w:r w:rsidR="00D31ECE" w:rsidRPr="00421CDD">
        <w:rPr>
          <w:rFonts w:ascii="Lato" w:eastAsia="Calibri" w:hAnsi="Lato" w:cs="Arial"/>
          <w:bCs/>
          <w:iCs/>
          <w:spacing w:val="4"/>
          <w:sz w:val="22"/>
          <w:szCs w:val="22"/>
          <w:lang w:eastAsia="en-US" w:bidi="pl-PL"/>
        </w:rPr>
        <w:t>niedopełnienia</w:t>
      </w:r>
      <w:r>
        <w:rPr>
          <w:rFonts w:ascii="Lato" w:eastAsia="Calibri" w:hAnsi="Lato" w:cs="Arial"/>
          <w:bCs/>
          <w:iCs/>
          <w:spacing w:val="4"/>
          <w:sz w:val="22"/>
          <w:szCs w:val="22"/>
          <w:lang w:eastAsia="en-US" w:bidi="pl-PL"/>
        </w:rPr>
        <w:t xml:space="preserve"> przez Starostę Płockiego </w:t>
      </w:r>
      <w:r w:rsidRPr="001353FC">
        <w:rPr>
          <w:rFonts w:ascii="Lato" w:eastAsia="Calibri" w:hAnsi="Lato" w:cs="Arial"/>
          <w:bCs/>
          <w:iCs/>
          <w:spacing w:val="4"/>
          <w:sz w:val="22"/>
          <w:szCs w:val="22"/>
          <w:lang w:eastAsia="en-US" w:bidi="pl-PL"/>
        </w:rPr>
        <w:t>obowiązku aktualizacji wykazu ewidencji gruntów i budynków</w:t>
      </w:r>
      <w:r w:rsidR="00D31ECE">
        <w:rPr>
          <w:rFonts w:ascii="Lato" w:eastAsia="Calibri" w:hAnsi="Lato" w:cs="Arial"/>
          <w:bCs/>
          <w:iCs/>
          <w:spacing w:val="4"/>
          <w:sz w:val="22"/>
          <w:szCs w:val="22"/>
          <w:lang w:eastAsia="en-US" w:bidi="pl-PL"/>
        </w:rPr>
        <w:t xml:space="preserve">, </w:t>
      </w:r>
      <w:r w:rsidR="00D31ECE" w:rsidRPr="00D31ECE">
        <w:rPr>
          <w:rFonts w:ascii="Lato" w:eastAsia="Calibri" w:hAnsi="Lato" w:cs="Arial"/>
          <w:bCs/>
          <w:iCs/>
          <w:spacing w:val="4"/>
          <w:sz w:val="22"/>
          <w:szCs w:val="22"/>
          <w:lang w:eastAsia="en-US" w:bidi="pl-PL"/>
        </w:rPr>
        <w:t xml:space="preserve">co </w:t>
      </w:r>
      <w:r w:rsidR="00CE438C">
        <w:rPr>
          <w:rFonts w:ascii="Lato" w:eastAsia="Calibri" w:hAnsi="Lato" w:cs="Arial"/>
          <w:bCs/>
          <w:iCs/>
          <w:spacing w:val="4"/>
          <w:sz w:val="22"/>
          <w:szCs w:val="22"/>
          <w:lang w:eastAsia="en-US" w:bidi="pl-PL"/>
        </w:rPr>
        <w:t xml:space="preserve">- </w:t>
      </w:r>
      <w:r w:rsidR="00D31ECE" w:rsidRPr="00D31ECE">
        <w:rPr>
          <w:rFonts w:ascii="Lato" w:eastAsia="Calibri" w:hAnsi="Lato" w:cs="Arial"/>
          <w:bCs/>
          <w:iCs/>
          <w:spacing w:val="4"/>
          <w:sz w:val="22"/>
          <w:szCs w:val="22"/>
          <w:lang w:eastAsia="en-US" w:bidi="pl-PL"/>
        </w:rPr>
        <w:t>w ocenie skarżącego</w:t>
      </w:r>
      <w:r w:rsidR="00CE438C">
        <w:rPr>
          <w:rFonts w:ascii="Lato" w:eastAsia="Calibri" w:hAnsi="Lato" w:cs="Arial"/>
          <w:bCs/>
          <w:iCs/>
          <w:spacing w:val="4"/>
          <w:sz w:val="22"/>
          <w:szCs w:val="22"/>
          <w:lang w:eastAsia="en-US" w:bidi="pl-PL"/>
        </w:rPr>
        <w:t xml:space="preserve"> -</w:t>
      </w:r>
      <w:r w:rsidR="00D31ECE" w:rsidRPr="00D31ECE">
        <w:rPr>
          <w:rFonts w:ascii="Lato" w:eastAsia="Calibri" w:hAnsi="Lato" w:cs="Arial"/>
          <w:bCs/>
          <w:iCs/>
          <w:spacing w:val="4"/>
          <w:sz w:val="22"/>
          <w:szCs w:val="22"/>
          <w:lang w:eastAsia="en-US" w:bidi="pl-PL"/>
        </w:rPr>
        <w:t xml:space="preserve"> ma wpływ na prawidłowość zaskarżonej decyzji</w:t>
      </w:r>
      <w:r w:rsidR="00D5598E">
        <w:rPr>
          <w:rFonts w:ascii="Lato" w:eastAsia="Calibri" w:hAnsi="Lato" w:cs="Arial"/>
          <w:bCs/>
          <w:iCs/>
          <w:spacing w:val="4"/>
          <w:sz w:val="22"/>
          <w:szCs w:val="22"/>
          <w:lang w:eastAsia="en-US" w:bidi="pl-PL"/>
        </w:rPr>
        <w:t xml:space="preserve">. </w:t>
      </w:r>
    </w:p>
    <w:p w14:paraId="3EBECDF5" w14:textId="56B5CA1B" w:rsidR="00174513" w:rsidRPr="001871FB" w:rsidRDefault="00B156D6" w:rsidP="001353FC">
      <w:pPr>
        <w:autoSpaceDE w:val="0"/>
        <w:autoSpaceDN w:val="0"/>
        <w:adjustRightInd w:val="0"/>
        <w:spacing w:after="240" w:line="240" w:lineRule="exact"/>
        <w:jc w:val="both"/>
        <w:rPr>
          <w:rFonts w:ascii="Lato" w:hAnsi="Lato"/>
          <w:sz w:val="22"/>
          <w:szCs w:val="22"/>
        </w:rPr>
      </w:pPr>
      <w:r w:rsidRPr="00174513">
        <w:rPr>
          <w:rFonts w:ascii="Lato" w:eastAsia="Calibri" w:hAnsi="Lato" w:cs="Arial"/>
          <w:bCs/>
          <w:iCs/>
          <w:spacing w:val="4"/>
          <w:sz w:val="22"/>
          <w:szCs w:val="22"/>
          <w:lang w:eastAsia="en-US" w:bidi="pl-PL"/>
        </w:rPr>
        <w:t>Wyjaśnić należy, iż d</w:t>
      </w:r>
      <w:r w:rsidR="001353FC" w:rsidRPr="00174513">
        <w:rPr>
          <w:rFonts w:ascii="Lato" w:eastAsia="Calibri" w:hAnsi="Lato" w:cs="Arial"/>
          <w:bCs/>
          <w:iCs/>
          <w:spacing w:val="4"/>
          <w:sz w:val="22"/>
          <w:szCs w:val="22"/>
          <w:lang w:eastAsia="en-US" w:bidi="pl-PL"/>
        </w:rPr>
        <w:t xml:space="preserve">o organu </w:t>
      </w:r>
      <w:r w:rsidR="00D5598E" w:rsidRPr="00174513">
        <w:rPr>
          <w:rFonts w:ascii="Lato" w:eastAsia="Calibri" w:hAnsi="Lato" w:cs="Arial"/>
          <w:bCs/>
          <w:iCs/>
          <w:spacing w:val="4"/>
          <w:sz w:val="22"/>
          <w:szCs w:val="22"/>
          <w:lang w:eastAsia="en-US" w:bidi="pl-PL"/>
        </w:rPr>
        <w:t>odwoławczego</w:t>
      </w:r>
      <w:r w:rsidR="001353FC" w:rsidRPr="00174513">
        <w:rPr>
          <w:rFonts w:ascii="Lato" w:eastAsia="Calibri" w:hAnsi="Lato" w:cs="Arial"/>
          <w:bCs/>
          <w:iCs/>
          <w:spacing w:val="4"/>
          <w:sz w:val="22"/>
          <w:szCs w:val="22"/>
          <w:lang w:eastAsia="en-US" w:bidi="pl-PL"/>
        </w:rPr>
        <w:t xml:space="preserve"> należy jedynie ocena wniosku </w:t>
      </w:r>
      <w:r w:rsidR="001353FC" w:rsidRPr="00174513">
        <w:rPr>
          <w:rFonts w:ascii="Lato" w:eastAsia="Calibri" w:hAnsi="Lato" w:cs="Arial"/>
          <w:bCs/>
          <w:i/>
          <w:iCs/>
          <w:spacing w:val="4"/>
          <w:sz w:val="22"/>
          <w:szCs w:val="22"/>
          <w:lang w:eastAsia="en-US" w:bidi="pl-PL"/>
        </w:rPr>
        <w:t>inwestora</w:t>
      </w:r>
      <w:r w:rsidR="001353FC" w:rsidRPr="00174513">
        <w:rPr>
          <w:rFonts w:ascii="Lato" w:eastAsia="Calibri" w:hAnsi="Lato" w:cs="Arial"/>
          <w:bCs/>
          <w:iCs/>
          <w:spacing w:val="4"/>
          <w:sz w:val="22"/>
          <w:szCs w:val="22"/>
          <w:lang w:eastAsia="en-US" w:bidi="pl-PL"/>
        </w:rPr>
        <w:t xml:space="preserve"> pod względem jego zgodności z prawem powszechnie obowiązującym. </w:t>
      </w:r>
      <w:r w:rsidR="00174513" w:rsidRPr="001871FB">
        <w:rPr>
          <w:rFonts w:ascii="Lato" w:hAnsi="Lato"/>
          <w:sz w:val="22"/>
          <w:szCs w:val="22"/>
        </w:rPr>
        <w:t xml:space="preserve">Ustalenie lokalizacji strategicznej inwestycji w sektorze naftowym w trybie przepisów </w:t>
      </w:r>
      <w:r w:rsidR="00174513" w:rsidRPr="001871FB">
        <w:rPr>
          <w:rFonts w:ascii="Lato" w:hAnsi="Lato"/>
          <w:i/>
          <w:iCs/>
          <w:sz w:val="22"/>
          <w:szCs w:val="22"/>
        </w:rPr>
        <w:t xml:space="preserve">specustawy naftowej </w:t>
      </w:r>
      <w:r w:rsidR="00174513" w:rsidRPr="001871FB">
        <w:rPr>
          <w:rFonts w:ascii="Lato" w:hAnsi="Lato"/>
          <w:sz w:val="22"/>
          <w:szCs w:val="22"/>
        </w:rPr>
        <w:t xml:space="preserve">może nastąpić w stosunku do działek objętych liniami rozgraniczającymi teren inwestycji i to bez względu na to, czyją stanowią własność. Kwestie własnościowe, związane z ustaleniem komu przysługują prawa rzeczowe do nieruchomości znajdujących się </w:t>
      </w:r>
      <w:r w:rsidR="00174513">
        <w:rPr>
          <w:rFonts w:ascii="Lato" w:hAnsi="Lato"/>
          <w:sz w:val="22"/>
          <w:szCs w:val="22"/>
        </w:rPr>
        <w:br/>
      </w:r>
      <w:r w:rsidR="00174513" w:rsidRPr="001871FB">
        <w:rPr>
          <w:rFonts w:ascii="Lato" w:hAnsi="Lato"/>
          <w:sz w:val="22"/>
          <w:szCs w:val="22"/>
        </w:rPr>
        <w:t xml:space="preserve">w obszarze projektowanej inwestycji naftowej, nie stanowią istoty rozstrzygnięcia </w:t>
      </w:r>
      <w:r w:rsidR="00174513">
        <w:rPr>
          <w:rFonts w:ascii="Lato" w:hAnsi="Lato"/>
          <w:sz w:val="22"/>
          <w:szCs w:val="22"/>
        </w:rPr>
        <w:br/>
      </w:r>
      <w:r w:rsidR="00174513" w:rsidRPr="001871FB">
        <w:rPr>
          <w:rFonts w:ascii="Lato" w:hAnsi="Lato"/>
          <w:sz w:val="22"/>
          <w:szCs w:val="22"/>
        </w:rPr>
        <w:t>w przedmiocie ustalenia lokalizacji strategicznej inwestycji w sektorze naftowym.</w:t>
      </w:r>
    </w:p>
    <w:p w14:paraId="68C017F3" w14:textId="17176180" w:rsidR="001353FC" w:rsidRDefault="00174513" w:rsidP="001353FC">
      <w:pPr>
        <w:autoSpaceDE w:val="0"/>
        <w:autoSpaceDN w:val="0"/>
        <w:adjustRightInd w:val="0"/>
        <w:spacing w:after="240" w:line="240" w:lineRule="exact"/>
        <w:jc w:val="both"/>
        <w:rPr>
          <w:rFonts w:ascii="Lato" w:eastAsia="Calibri" w:hAnsi="Lato" w:cs="Arial"/>
          <w:bCs/>
          <w:iCs/>
          <w:spacing w:val="4"/>
          <w:sz w:val="22"/>
          <w:szCs w:val="22"/>
          <w:lang w:eastAsia="en-US" w:bidi="pl-PL"/>
        </w:rPr>
      </w:pPr>
      <w:r>
        <w:rPr>
          <w:rFonts w:ascii="Lato" w:eastAsia="Calibri" w:hAnsi="Lato" w:cs="Arial"/>
          <w:bCs/>
          <w:iCs/>
          <w:spacing w:val="4"/>
          <w:sz w:val="22"/>
          <w:szCs w:val="22"/>
          <w:lang w:eastAsia="en-US" w:bidi="pl-PL"/>
        </w:rPr>
        <w:t>Ponadto podkreślić należy, iż k</w:t>
      </w:r>
      <w:r w:rsidR="001353FC">
        <w:rPr>
          <w:rFonts w:ascii="Lato" w:eastAsia="Calibri" w:hAnsi="Lato" w:cs="Arial"/>
          <w:bCs/>
          <w:iCs/>
          <w:spacing w:val="4"/>
          <w:sz w:val="22"/>
          <w:szCs w:val="22"/>
          <w:lang w:eastAsia="en-US" w:bidi="pl-PL"/>
        </w:rPr>
        <w:t>ompetencje</w:t>
      </w:r>
      <w:r w:rsidR="00D820CD">
        <w:rPr>
          <w:rFonts w:ascii="Lato" w:eastAsia="Calibri" w:hAnsi="Lato" w:cs="Arial"/>
          <w:bCs/>
          <w:iCs/>
          <w:spacing w:val="4"/>
          <w:sz w:val="22"/>
          <w:szCs w:val="22"/>
          <w:lang w:eastAsia="en-US" w:bidi="pl-PL"/>
        </w:rPr>
        <w:t xml:space="preserve"> w zakresie</w:t>
      </w:r>
      <w:r w:rsidR="001353FC">
        <w:rPr>
          <w:rFonts w:ascii="Lato" w:eastAsia="Calibri" w:hAnsi="Lato" w:cs="Arial"/>
          <w:bCs/>
          <w:iCs/>
          <w:spacing w:val="4"/>
          <w:sz w:val="22"/>
          <w:szCs w:val="22"/>
          <w:lang w:eastAsia="en-US" w:bidi="pl-PL"/>
        </w:rPr>
        <w:t xml:space="preserve"> </w:t>
      </w:r>
      <w:r w:rsidR="00D820CD" w:rsidRPr="001353FC">
        <w:rPr>
          <w:rFonts w:ascii="Lato" w:eastAsia="Calibri" w:hAnsi="Lato" w:cs="Arial"/>
          <w:bCs/>
          <w:iCs/>
          <w:spacing w:val="4"/>
          <w:sz w:val="22"/>
          <w:szCs w:val="22"/>
          <w:lang w:eastAsia="en-US" w:bidi="pl-PL"/>
        </w:rPr>
        <w:t>nadzor</w:t>
      </w:r>
      <w:r w:rsidR="00D820CD">
        <w:rPr>
          <w:rFonts w:ascii="Lato" w:eastAsia="Calibri" w:hAnsi="Lato" w:cs="Arial"/>
          <w:bCs/>
          <w:iCs/>
          <w:spacing w:val="4"/>
          <w:sz w:val="22"/>
          <w:szCs w:val="22"/>
          <w:lang w:eastAsia="en-US" w:bidi="pl-PL"/>
        </w:rPr>
        <w:t>u</w:t>
      </w:r>
      <w:r w:rsidR="00D820CD" w:rsidRPr="001353FC">
        <w:rPr>
          <w:rFonts w:ascii="Lato" w:eastAsia="Calibri" w:hAnsi="Lato" w:cs="Arial"/>
          <w:bCs/>
          <w:iCs/>
          <w:spacing w:val="4"/>
          <w:sz w:val="22"/>
          <w:szCs w:val="22"/>
          <w:lang w:eastAsia="en-US" w:bidi="pl-PL"/>
        </w:rPr>
        <w:t xml:space="preserve"> nad prowadzeniem państwowego zasobu geodezyjnego i kartograficznego</w:t>
      </w:r>
      <w:r w:rsidR="00D820CD">
        <w:rPr>
          <w:rFonts w:ascii="Lato" w:eastAsia="Calibri" w:hAnsi="Lato" w:cs="Arial"/>
          <w:bCs/>
          <w:iCs/>
          <w:spacing w:val="4"/>
          <w:sz w:val="22"/>
          <w:szCs w:val="22"/>
          <w:lang w:eastAsia="en-US" w:bidi="pl-PL"/>
        </w:rPr>
        <w:t>,</w:t>
      </w:r>
      <w:r w:rsidR="00D820CD" w:rsidRPr="001353FC">
        <w:rPr>
          <w:rFonts w:ascii="Lato" w:eastAsia="Calibri" w:hAnsi="Lato" w:cs="Arial"/>
          <w:bCs/>
          <w:iCs/>
          <w:spacing w:val="4"/>
          <w:sz w:val="22"/>
          <w:szCs w:val="22"/>
          <w:lang w:eastAsia="en-US" w:bidi="pl-PL"/>
        </w:rPr>
        <w:t xml:space="preserve"> </w:t>
      </w:r>
      <w:r w:rsidR="001353FC" w:rsidRPr="001353FC">
        <w:rPr>
          <w:rFonts w:ascii="Lato" w:eastAsia="Calibri" w:hAnsi="Lato" w:cs="Arial"/>
          <w:bCs/>
          <w:iCs/>
          <w:spacing w:val="4"/>
          <w:sz w:val="22"/>
          <w:szCs w:val="22"/>
          <w:lang w:eastAsia="en-US" w:bidi="pl-PL"/>
        </w:rPr>
        <w:t>zgodnie z art. 40 ust. 3a ustawy z dnia 17 maja 1989 r., Prawo geodezyjne i kartograficzne,</w:t>
      </w:r>
      <w:r w:rsidR="001353FC">
        <w:rPr>
          <w:rFonts w:ascii="Lato" w:eastAsia="Calibri" w:hAnsi="Lato" w:cs="Arial"/>
          <w:bCs/>
          <w:i/>
          <w:iCs/>
          <w:spacing w:val="4"/>
          <w:sz w:val="22"/>
          <w:szCs w:val="22"/>
          <w:lang w:eastAsia="en-US" w:bidi="pl-PL"/>
        </w:rPr>
        <w:t xml:space="preserve"> </w:t>
      </w:r>
      <w:r w:rsidR="001353FC" w:rsidRPr="001353FC">
        <w:rPr>
          <w:rFonts w:ascii="Lato" w:eastAsia="Calibri" w:hAnsi="Lato" w:cs="Arial"/>
          <w:bCs/>
          <w:iCs/>
          <w:spacing w:val="4"/>
          <w:sz w:val="22"/>
          <w:szCs w:val="22"/>
          <w:lang w:eastAsia="en-US" w:bidi="pl-PL"/>
        </w:rPr>
        <w:t>należ</w:t>
      </w:r>
      <w:r w:rsidR="00D820CD">
        <w:rPr>
          <w:rFonts w:ascii="Lato" w:eastAsia="Calibri" w:hAnsi="Lato" w:cs="Arial"/>
          <w:bCs/>
          <w:iCs/>
          <w:spacing w:val="4"/>
          <w:sz w:val="22"/>
          <w:szCs w:val="22"/>
          <w:lang w:eastAsia="en-US" w:bidi="pl-PL"/>
        </w:rPr>
        <w:t>ą</w:t>
      </w:r>
      <w:r w:rsidR="001353FC" w:rsidRPr="001353FC">
        <w:rPr>
          <w:rFonts w:ascii="Lato" w:eastAsia="Calibri" w:hAnsi="Lato" w:cs="Arial"/>
          <w:bCs/>
          <w:iCs/>
          <w:spacing w:val="4"/>
          <w:sz w:val="22"/>
          <w:szCs w:val="22"/>
          <w:lang w:eastAsia="en-US" w:bidi="pl-PL"/>
        </w:rPr>
        <w:t xml:space="preserve"> </w:t>
      </w:r>
      <w:r w:rsidR="00D820CD">
        <w:rPr>
          <w:rFonts w:ascii="Lato" w:eastAsia="Calibri" w:hAnsi="Lato" w:cs="Arial"/>
          <w:bCs/>
          <w:iCs/>
          <w:spacing w:val="4"/>
          <w:sz w:val="22"/>
          <w:szCs w:val="22"/>
          <w:lang w:eastAsia="en-US" w:bidi="pl-PL"/>
        </w:rPr>
        <w:br/>
      </w:r>
      <w:r w:rsidR="001353FC" w:rsidRPr="001353FC">
        <w:rPr>
          <w:rFonts w:ascii="Lato" w:eastAsia="Calibri" w:hAnsi="Lato" w:cs="Arial"/>
          <w:bCs/>
          <w:iCs/>
          <w:spacing w:val="4"/>
          <w:sz w:val="22"/>
          <w:szCs w:val="22"/>
          <w:lang w:eastAsia="en-US" w:bidi="pl-PL"/>
        </w:rPr>
        <w:t xml:space="preserve">do Głównego Geodety Kraju, a w zakresie zasobów powiatowych i wojewódzkich także do wojewódzkich inspektorów nadzoru geodezyjnego i kartograficznego. Stwierdzić zatem trzeba, że organy orzekające w ramach </w:t>
      </w:r>
      <w:r w:rsidR="00D5598E">
        <w:rPr>
          <w:rFonts w:ascii="Lato" w:eastAsia="Calibri" w:hAnsi="Lato" w:cs="Arial"/>
          <w:bCs/>
          <w:i/>
          <w:iCs/>
          <w:spacing w:val="4"/>
          <w:sz w:val="22"/>
          <w:szCs w:val="22"/>
          <w:lang w:eastAsia="en-US" w:bidi="pl-PL"/>
        </w:rPr>
        <w:t>specustawy naftowej,</w:t>
      </w:r>
      <w:r w:rsidR="001353FC" w:rsidRPr="001353FC">
        <w:rPr>
          <w:rFonts w:ascii="Lato" w:eastAsia="Calibri" w:hAnsi="Lato" w:cs="Arial"/>
          <w:bCs/>
          <w:iCs/>
          <w:spacing w:val="4"/>
          <w:sz w:val="22"/>
          <w:szCs w:val="22"/>
          <w:lang w:eastAsia="en-US" w:bidi="pl-PL"/>
        </w:rPr>
        <w:t xml:space="preserve"> wydając decyzję </w:t>
      </w:r>
      <w:r w:rsidR="00D5598E">
        <w:rPr>
          <w:rFonts w:ascii="Lato" w:eastAsia="Calibri" w:hAnsi="Lato" w:cs="Arial"/>
          <w:bCs/>
          <w:iCs/>
          <w:spacing w:val="4"/>
          <w:sz w:val="22"/>
          <w:szCs w:val="22"/>
          <w:lang w:eastAsia="en-US" w:bidi="pl-PL"/>
        </w:rPr>
        <w:br/>
      </w:r>
      <w:r w:rsidR="001353FC" w:rsidRPr="001353FC">
        <w:rPr>
          <w:rFonts w:ascii="Lato" w:eastAsia="Calibri" w:hAnsi="Lato" w:cs="Arial"/>
          <w:bCs/>
          <w:iCs/>
          <w:spacing w:val="4"/>
          <w:sz w:val="22"/>
          <w:szCs w:val="22"/>
          <w:lang w:eastAsia="en-US" w:bidi="pl-PL"/>
        </w:rPr>
        <w:t xml:space="preserve">o ustaleniu lokalizacji </w:t>
      </w:r>
      <w:r w:rsidR="00D5598E">
        <w:rPr>
          <w:rFonts w:ascii="Lato" w:eastAsia="Calibri" w:hAnsi="Lato" w:cs="Arial"/>
          <w:bCs/>
          <w:iCs/>
          <w:spacing w:val="4"/>
          <w:sz w:val="22"/>
          <w:szCs w:val="22"/>
          <w:lang w:eastAsia="en-US" w:bidi="pl-PL"/>
        </w:rPr>
        <w:t>strategicznej inwestycji w sektorze naftowym</w:t>
      </w:r>
      <w:r w:rsidR="001353FC" w:rsidRPr="001353FC">
        <w:rPr>
          <w:rFonts w:ascii="Lato" w:eastAsia="Calibri" w:hAnsi="Lato" w:cs="Arial"/>
          <w:bCs/>
          <w:iCs/>
          <w:spacing w:val="4"/>
          <w:sz w:val="22"/>
          <w:szCs w:val="22"/>
          <w:lang w:eastAsia="en-US" w:bidi="pl-PL"/>
        </w:rPr>
        <w:t xml:space="preserve">, nie są władne </w:t>
      </w:r>
      <w:r w:rsidR="00630F21">
        <w:rPr>
          <w:rFonts w:ascii="Lato" w:eastAsia="Calibri" w:hAnsi="Lato" w:cs="Arial"/>
          <w:bCs/>
          <w:iCs/>
          <w:spacing w:val="4"/>
          <w:sz w:val="22"/>
          <w:szCs w:val="22"/>
          <w:lang w:eastAsia="en-US" w:bidi="pl-PL"/>
        </w:rPr>
        <w:br/>
      </w:r>
      <w:r w:rsidR="001353FC" w:rsidRPr="001353FC">
        <w:rPr>
          <w:rFonts w:ascii="Lato" w:eastAsia="Calibri" w:hAnsi="Lato" w:cs="Arial"/>
          <w:bCs/>
          <w:iCs/>
          <w:spacing w:val="4"/>
          <w:sz w:val="22"/>
          <w:szCs w:val="22"/>
          <w:lang w:eastAsia="en-US" w:bidi="pl-PL"/>
        </w:rPr>
        <w:t>do kwestionowania prawidłowości danych ujawnionych w katastrze nieruchomości.</w:t>
      </w:r>
    </w:p>
    <w:p w14:paraId="71666D50" w14:textId="0F887A1C" w:rsidR="003938FF" w:rsidRPr="00F06F77" w:rsidRDefault="003938FF" w:rsidP="00472C79">
      <w:pPr>
        <w:tabs>
          <w:tab w:val="left" w:pos="9639"/>
        </w:tabs>
        <w:autoSpaceDE w:val="0"/>
        <w:autoSpaceDN w:val="0"/>
        <w:adjustRightInd w:val="0"/>
        <w:spacing w:after="240" w:line="240" w:lineRule="exact"/>
        <w:jc w:val="both"/>
        <w:rPr>
          <w:rFonts w:ascii="Lato" w:hAnsi="Lato" w:cs="Arial"/>
          <w:spacing w:val="4"/>
          <w:sz w:val="22"/>
          <w:szCs w:val="22"/>
        </w:rPr>
      </w:pPr>
      <w:bookmarkStart w:id="21" w:name="_Hlk190093756"/>
      <w:bookmarkEnd w:id="20"/>
      <w:r w:rsidRPr="00F06F77">
        <w:rPr>
          <w:rFonts w:ascii="Lato" w:hAnsi="Lato" w:cs="Arial"/>
          <w:spacing w:val="4"/>
          <w:sz w:val="22"/>
          <w:szCs w:val="22"/>
        </w:rPr>
        <w:t xml:space="preserve">Odnosząc się zaś do zarzutów </w:t>
      </w:r>
      <w:r w:rsidR="00472C79" w:rsidRPr="00F06F77">
        <w:rPr>
          <w:rFonts w:ascii="Lato" w:hAnsi="Lato" w:cs="Arial"/>
          <w:spacing w:val="4"/>
          <w:sz w:val="22"/>
          <w:szCs w:val="22"/>
        </w:rPr>
        <w:t xml:space="preserve">Pana </w:t>
      </w:r>
      <w:r w:rsidR="004A7ACC">
        <w:rPr>
          <w:rFonts w:ascii="Lato" w:hAnsi="Lato" w:cs="Arial"/>
          <w:spacing w:val="4"/>
          <w:sz w:val="22"/>
          <w:szCs w:val="22"/>
        </w:rPr>
        <w:t>L.</w:t>
      </w:r>
      <w:r w:rsidR="00472C79" w:rsidRPr="00F06F77">
        <w:rPr>
          <w:rFonts w:ascii="Lato" w:hAnsi="Lato" w:cs="Arial"/>
          <w:spacing w:val="4"/>
          <w:sz w:val="22"/>
          <w:szCs w:val="22"/>
        </w:rPr>
        <w:t xml:space="preserve"> </w:t>
      </w:r>
      <w:r w:rsidR="004A7ACC">
        <w:rPr>
          <w:rFonts w:ascii="Lato" w:hAnsi="Lato" w:cs="Arial"/>
          <w:spacing w:val="4"/>
          <w:sz w:val="22"/>
          <w:szCs w:val="22"/>
        </w:rPr>
        <w:t>B.</w:t>
      </w:r>
      <w:r w:rsidR="00472C79" w:rsidRPr="00F06F77">
        <w:rPr>
          <w:rFonts w:ascii="Lato" w:hAnsi="Lato" w:cs="Arial"/>
          <w:spacing w:val="4"/>
          <w:sz w:val="22"/>
          <w:szCs w:val="22"/>
        </w:rPr>
        <w:t xml:space="preserve"> </w:t>
      </w:r>
      <w:r w:rsidRPr="00F06F77">
        <w:rPr>
          <w:rFonts w:ascii="Lato" w:hAnsi="Lato" w:cs="Arial"/>
          <w:spacing w:val="4"/>
          <w:sz w:val="22"/>
          <w:szCs w:val="22"/>
        </w:rPr>
        <w:t xml:space="preserve">w kwestii </w:t>
      </w:r>
      <w:r w:rsidR="00472C79" w:rsidRPr="00F06F77">
        <w:rPr>
          <w:rFonts w:ascii="Lato" w:hAnsi="Lato" w:cs="Arial"/>
          <w:spacing w:val="4"/>
          <w:sz w:val="22"/>
          <w:szCs w:val="22"/>
        </w:rPr>
        <w:t xml:space="preserve">działki nr 43/41 z obrębu 0013 Mirosław, </w:t>
      </w:r>
      <w:r w:rsidRPr="00F06F77">
        <w:rPr>
          <w:rFonts w:ascii="Lato" w:hAnsi="Lato" w:cs="Arial"/>
          <w:spacing w:val="4"/>
          <w:sz w:val="22"/>
          <w:szCs w:val="22"/>
        </w:rPr>
        <w:t>wyjaśnić należy co następuje.</w:t>
      </w:r>
    </w:p>
    <w:p w14:paraId="436A8FD6" w14:textId="4751BBF4" w:rsidR="00472C79" w:rsidRPr="00F06F77" w:rsidRDefault="003938FF" w:rsidP="00472C79">
      <w:pPr>
        <w:tabs>
          <w:tab w:val="left" w:pos="9639"/>
        </w:tabs>
        <w:autoSpaceDE w:val="0"/>
        <w:autoSpaceDN w:val="0"/>
        <w:adjustRightInd w:val="0"/>
        <w:spacing w:after="240" w:line="240" w:lineRule="exact"/>
        <w:jc w:val="both"/>
        <w:rPr>
          <w:rFonts w:ascii="Lato" w:hAnsi="Lato" w:cs="Arial"/>
          <w:spacing w:val="4"/>
          <w:sz w:val="22"/>
          <w:szCs w:val="22"/>
        </w:rPr>
      </w:pPr>
      <w:r w:rsidRPr="00F06F77">
        <w:rPr>
          <w:rFonts w:ascii="Lato" w:hAnsi="Lato" w:cs="Arial"/>
          <w:spacing w:val="4"/>
          <w:sz w:val="22"/>
          <w:szCs w:val="22"/>
        </w:rPr>
        <w:t>Ww. działka nie stanowi własności skarżącego, skarżący nie posiada więc interesu prawnego do podnoszenia zarzutów dotyczących nieruchomości należących do innych osób.</w:t>
      </w:r>
      <w:r w:rsidR="00367017" w:rsidRPr="00F06F77">
        <w:rPr>
          <w:rFonts w:ascii="Lato" w:hAnsi="Lato" w:cs="Arial"/>
          <w:spacing w:val="4"/>
          <w:sz w:val="22"/>
          <w:szCs w:val="22"/>
        </w:rPr>
        <w:t xml:space="preserve"> </w:t>
      </w:r>
      <w:r w:rsidRPr="00F06F77">
        <w:rPr>
          <w:rFonts w:ascii="Lato" w:hAnsi="Lato" w:cs="Arial"/>
          <w:spacing w:val="4"/>
          <w:sz w:val="22"/>
          <w:szCs w:val="22"/>
        </w:rPr>
        <w:t>K</w:t>
      </w:r>
      <w:r w:rsidR="00472C79" w:rsidRPr="00F06F77">
        <w:rPr>
          <w:rFonts w:ascii="Lato" w:hAnsi="Lato" w:cs="Arial"/>
          <w:spacing w:val="4"/>
          <w:sz w:val="22"/>
          <w:szCs w:val="22"/>
        </w:rPr>
        <w:t xml:space="preserve">ażdy z właścicieli i użytkowników wieczystych nieruchomości oraz osób posiadających inne prawa do nieruchomości mogą być stroną postępowania </w:t>
      </w:r>
      <w:r w:rsidR="00472C79" w:rsidRPr="00F06F77">
        <w:rPr>
          <w:rFonts w:ascii="Lato" w:hAnsi="Lato" w:cs="Arial"/>
          <w:spacing w:val="4"/>
          <w:sz w:val="22"/>
          <w:szCs w:val="22"/>
        </w:rPr>
        <w:br/>
        <w:t xml:space="preserve">w sprawie wydania decyzji o ustaleniu lokalizacji strategicznej inwestycji w sektorze naftowym jedynie w części dotyczących ich własnych nieruchomości. </w:t>
      </w:r>
    </w:p>
    <w:p w14:paraId="6A1CCC4C" w14:textId="360B1044" w:rsidR="00472C79" w:rsidRPr="00F06F77" w:rsidRDefault="00472C79" w:rsidP="00472C79">
      <w:pPr>
        <w:tabs>
          <w:tab w:val="left" w:pos="9639"/>
        </w:tabs>
        <w:autoSpaceDE w:val="0"/>
        <w:autoSpaceDN w:val="0"/>
        <w:adjustRightInd w:val="0"/>
        <w:spacing w:after="240" w:line="240" w:lineRule="exact"/>
        <w:jc w:val="both"/>
        <w:rPr>
          <w:rFonts w:ascii="Lato" w:hAnsi="Lato" w:cs="Arial"/>
          <w:spacing w:val="4"/>
          <w:sz w:val="22"/>
          <w:szCs w:val="22"/>
        </w:rPr>
      </w:pPr>
      <w:r w:rsidRPr="00F06F77">
        <w:rPr>
          <w:rFonts w:ascii="Lato" w:hAnsi="Lato" w:cs="Arial"/>
          <w:spacing w:val="4"/>
          <w:sz w:val="22"/>
          <w:szCs w:val="22"/>
        </w:rPr>
        <w:t xml:space="preserve">Nie jest zatem możliwe kwestionowanie praw </w:t>
      </w:r>
      <w:r w:rsidR="003938FF" w:rsidRPr="00F06F77">
        <w:rPr>
          <w:rFonts w:ascii="Lato" w:hAnsi="Lato" w:cs="Arial"/>
          <w:spacing w:val="4"/>
          <w:sz w:val="22"/>
          <w:szCs w:val="22"/>
        </w:rPr>
        <w:t>właścicielskich</w:t>
      </w:r>
      <w:r w:rsidRPr="00F06F77">
        <w:rPr>
          <w:rFonts w:ascii="Lato" w:hAnsi="Lato" w:cs="Arial"/>
          <w:spacing w:val="4"/>
          <w:sz w:val="22"/>
          <w:szCs w:val="22"/>
        </w:rPr>
        <w:t xml:space="preserve"> ani ograniczeń wprowadzonych </w:t>
      </w:r>
      <w:r w:rsidRPr="00F06F77">
        <w:rPr>
          <w:rFonts w:ascii="Lato" w:eastAsia="Calibri" w:hAnsi="Lato" w:cs="Arial"/>
          <w:spacing w:val="4"/>
          <w:sz w:val="22"/>
          <w:szCs w:val="22"/>
          <w:lang w:eastAsia="en-US"/>
        </w:rPr>
        <w:t xml:space="preserve">w związku z art. 30 ust. 1 </w:t>
      </w:r>
      <w:r w:rsidRPr="00F06F77">
        <w:rPr>
          <w:rFonts w:ascii="Lato" w:eastAsia="Calibri" w:hAnsi="Lato" w:cs="Arial"/>
          <w:i/>
          <w:iCs/>
          <w:spacing w:val="4"/>
          <w:sz w:val="22"/>
          <w:szCs w:val="22"/>
          <w:lang w:eastAsia="en-US"/>
        </w:rPr>
        <w:t>specustawy naftowej</w:t>
      </w:r>
      <w:r w:rsidRPr="00F06F77">
        <w:rPr>
          <w:rFonts w:ascii="Lato" w:hAnsi="Lato" w:cs="Arial"/>
          <w:spacing w:val="4"/>
          <w:sz w:val="22"/>
          <w:szCs w:val="22"/>
        </w:rPr>
        <w:t xml:space="preserve">, jeśli nie mają one wpływu na indywidualną sytuację skarżącego. Z tego względu przedmiotem odwołania może być </w:t>
      </w:r>
      <w:r w:rsidR="00223890" w:rsidRPr="00F06F77">
        <w:rPr>
          <w:rFonts w:ascii="Lato" w:hAnsi="Lato" w:cs="Arial"/>
          <w:spacing w:val="4"/>
          <w:sz w:val="22"/>
          <w:szCs w:val="22"/>
        </w:rPr>
        <w:t>wyłącznie ta</w:t>
      </w:r>
      <w:r w:rsidRPr="00F06F77">
        <w:rPr>
          <w:rFonts w:ascii="Lato" w:hAnsi="Lato" w:cs="Arial"/>
          <w:spacing w:val="4"/>
          <w:sz w:val="22"/>
          <w:szCs w:val="22"/>
        </w:rPr>
        <w:t xml:space="preserve"> część decyzji lokalizacyjnej, która dotyczy prawnie chronionego interesu prawnego strony skarżącej. Podnoszenie zarzutów w odniesieniu do innych nieruchomości nie może być traktowane jako obrona indywidualnego interesu prawnego</w:t>
      </w:r>
      <w:r w:rsidR="00F06F77">
        <w:rPr>
          <w:rFonts w:ascii="Lato" w:hAnsi="Lato" w:cs="Arial"/>
          <w:spacing w:val="4"/>
          <w:sz w:val="22"/>
          <w:szCs w:val="22"/>
        </w:rPr>
        <w:t>.</w:t>
      </w:r>
    </w:p>
    <w:bookmarkEnd w:id="16"/>
    <w:bookmarkEnd w:id="21"/>
    <w:p w14:paraId="4F03EEBE" w14:textId="01720E7F" w:rsidR="00EE570D" w:rsidRPr="00F24C6D" w:rsidRDefault="00DC3C8E" w:rsidP="00F948E7">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Za niezasadne należy uznać zarzuty Pan</w:t>
      </w:r>
      <w:r w:rsidR="00D5598E">
        <w:rPr>
          <w:rFonts w:ascii="Lato" w:eastAsiaTheme="minorHAnsi" w:hAnsi="Lato" w:cs="Arial"/>
          <w:bCs/>
          <w:iCs/>
          <w:spacing w:val="4"/>
          <w:sz w:val="22"/>
          <w:szCs w:val="22"/>
          <w:lang w:eastAsia="en-US"/>
        </w:rPr>
        <w:t>i</w:t>
      </w:r>
      <w:r w:rsidRPr="00F24C6D">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E.</w:t>
      </w:r>
      <w:r w:rsidR="00D5598E">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L.</w:t>
      </w:r>
      <w:r w:rsidR="00D5598E">
        <w:rPr>
          <w:rFonts w:ascii="Lato" w:eastAsiaTheme="minorHAnsi" w:hAnsi="Lato" w:cs="Arial"/>
          <w:bCs/>
          <w:iCs/>
          <w:spacing w:val="4"/>
          <w:sz w:val="22"/>
          <w:szCs w:val="22"/>
          <w:lang w:eastAsia="en-US"/>
        </w:rPr>
        <w:t xml:space="preserve"> i Pana </w:t>
      </w:r>
      <w:r w:rsidR="004A7ACC">
        <w:rPr>
          <w:rFonts w:ascii="Lato" w:eastAsiaTheme="minorHAnsi" w:hAnsi="Lato" w:cs="Arial"/>
          <w:bCs/>
          <w:iCs/>
          <w:spacing w:val="4"/>
          <w:sz w:val="22"/>
          <w:szCs w:val="22"/>
          <w:lang w:eastAsia="en-US"/>
        </w:rPr>
        <w:t>S.</w:t>
      </w:r>
      <w:r w:rsidR="00D5598E">
        <w:rPr>
          <w:rFonts w:ascii="Lato" w:eastAsiaTheme="minorHAnsi" w:hAnsi="Lato" w:cs="Arial"/>
          <w:bCs/>
          <w:iCs/>
          <w:spacing w:val="4"/>
          <w:sz w:val="22"/>
          <w:szCs w:val="22"/>
          <w:lang w:eastAsia="en-US"/>
        </w:rPr>
        <w:t xml:space="preserve"> </w:t>
      </w:r>
      <w:r w:rsidR="004A7ACC">
        <w:rPr>
          <w:rFonts w:ascii="Lato" w:eastAsiaTheme="minorHAnsi" w:hAnsi="Lato" w:cs="Arial"/>
          <w:bCs/>
          <w:iCs/>
          <w:spacing w:val="4"/>
          <w:sz w:val="22"/>
          <w:szCs w:val="22"/>
          <w:lang w:eastAsia="en-US"/>
        </w:rPr>
        <w:t>L.</w:t>
      </w:r>
      <w:r w:rsidR="00D5598E">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dotyczące naruszenia</w:t>
      </w:r>
      <w:r w:rsidR="00EE570D" w:rsidRPr="00F24C6D">
        <w:rPr>
          <w:rFonts w:ascii="Lato" w:eastAsiaTheme="minorHAnsi" w:hAnsi="Lato" w:cs="Arial"/>
          <w:bCs/>
          <w:iCs/>
          <w:spacing w:val="4"/>
          <w:sz w:val="22"/>
          <w:szCs w:val="22"/>
          <w:lang w:eastAsia="en-US"/>
        </w:rPr>
        <w:t>:</w:t>
      </w:r>
    </w:p>
    <w:p w14:paraId="3CA534BC" w14:textId="5930A597" w:rsidR="006B5736" w:rsidRDefault="00DC3C8E" w:rsidP="005F4256">
      <w:pPr>
        <w:pStyle w:val="Akapitzlist"/>
        <w:numPr>
          <w:ilvl w:val="0"/>
          <w:numId w:val="2"/>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lastRenderedPageBreak/>
        <w:t>art. 7</w:t>
      </w:r>
      <w:r w:rsidR="00D5598E">
        <w:rPr>
          <w:rFonts w:ascii="Lato" w:eastAsiaTheme="minorHAnsi" w:hAnsi="Lato" w:cs="Arial"/>
          <w:bCs/>
          <w:iCs/>
          <w:spacing w:val="4"/>
          <w:sz w:val="22"/>
          <w:szCs w:val="22"/>
          <w:lang w:eastAsia="en-US"/>
        </w:rPr>
        <w:t xml:space="preserve"> </w:t>
      </w:r>
      <w:r w:rsidR="00D5598E" w:rsidRPr="006B5736">
        <w:rPr>
          <w:rFonts w:ascii="Lato" w:eastAsiaTheme="minorHAnsi" w:hAnsi="Lato" w:cs="Arial"/>
          <w:bCs/>
          <w:i/>
          <w:spacing w:val="4"/>
          <w:sz w:val="22"/>
          <w:szCs w:val="22"/>
          <w:lang w:eastAsia="en-US"/>
        </w:rPr>
        <w:t>kpa</w:t>
      </w:r>
      <w:r w:rsidR="00D5598E">
        <w:rPr>
          <w:rFonts w:ascii="Lato" w:eastAsiaTheme="minorHAnsi" w:hAnsi="Lato" w:cs="Arial"/>
          <w:bCs/>
          <w:iCs/>
          <w:spacing w:val="4"/>
          <w:sz w:val="22"/>
          <w:szCs w:val="22"/>
          <w:lang w:eastAsia="en-US"/>
        </w:rPr>
        <w:t>, poprzez zlokalizowanie przedmiotowej inwestycji bez uwzględnienia interesu społecznego i słusznego interesu obywateli</w:t>
      </w:r>
      <w:r w:rsidR="006F0B12">
        <w:rPr>
          <w:rFonts w:ascii="Lato" w:eastAsiaTheme="minorHAnsi" w:hAnsi="Lato" w:cs="Arial"/>
          <w:bCs/>
          <w:iCs/>
          <w:spacing w:val="4"/>
          <w:sz w:val="22"/>
          <w:szCs w:val="22"/>
          <w:lang w:eastAsia="en-US"/>
        </w:rPr>
        <w:t xml:space="preserve"> w tym ograniczenia możliwości korzystania z działek o nr 162 i 172 z obrębu 0020 Kurówko</w:t>
      </w:r>
      <w:r w:rsidR="00D5598E">
        <w:rPr>
          <w:rFonts w:ascii="Lato" w:eastAsiaTheme="minorHAnsi" w:hAnsi="Lato" w:cs="Arial"/>
          <w:bCs/>
          <w:iCs/>
          <w:spacing w:val="4"/>
          <w:sz w:val="22"/>
          <w:szCs w:val="22"/>
          <w:lang w:eastAsia="en-US"/>
        </w:rPr>
        <w:t>,</w:t>
      </w:r>
    </w:p>
    <w:p w14:paraId="7FA9AEEB" w14:textId="1D8B36C3" w:rsidR="00EE570D" w:rsidRPr="006B5736" w:rsidRDefault="006B5736" w:rsidP="005F4256">
      <w:pPr>
        <w:pStyle w:val="Akapitzlist"/>
        <w:numPr>
          <w:ilvl w:val="0"/>
          <w:numId w:val="2"/>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art. </w:t>
      </w:r>
      <w:r w:rsidR="00DC3C8E" w:rsidRPr="006B5736">
        <w:rPr>
          <w:rFonts w:ascii="Lato" w:eastAsiaTheme="minorHAnsi" w:hAnsi="Lato" w:cs="Arial"/>
          <w:bCs/>
          <w:iCs/>
          <w:spacing w:val="4"/>
          <w:sz w:val="22"/>
          <w:szCs w:val="22"/>
          <w:lang w:eastAsia="en-US"/>
        </w:rPr>
        <w:t xml:space="preserve">77 </w:t>
      </w:r>
      <w:bookmarkStart w:id="22" w:name="_Hlk175059563"/>
      <w:r w:rsidR="00DC3C8E" w:rsidRPr="006B5736">
        <w:rPr>
          <w:rFonts w:ascii="Lato" w:eastAsiaTheme="minorHAnsi" w:hAnsi="Lato" w:cs="Arial"/>
          <w:bCs/>
          <w:iCs/>
          <w:spacing w:val="4"/>
          <w:sz w:val="22"/>
          <w:szCs w:val="22"/>
          <w:lang w:eastAsia="en-US"/>
        </w:rPr>
        <w:t xml:space="preserve">§ </w:t>
      </w:r>
      <w:bookmarkEnd w:id="22"/>
      <w:r w:rsidR="00DC3C8E" w:rsidRPr="006B5736">
        <w:rPr>
          <w:rFonts w:ascii="Lato" w:eastAsiaTheme="minorHAnsi" w:hAnsi="Lato" w:cs="Arial"/>
          <w:bCs/>
          <w:iCs/>
          <w:spacing w:val="4"/>
          <w:sz w:val="22"/>
          <w:szCs w:val="22"/>
          <w:lang w:eastAsia="en-US"/>
        </w:rPr>
        <w:t xml:space="preserve">1 </w:t>
      </w:r>
      <w:r w:rsidR="00DC3C8E" w:rsidRPr="006B5736">
        <w:rPr>
          <w:rFonts w:ascii="Lato" w:eastAsiaTheme="minorHAnsi" w:hAnsi="Lato" w:cs="Arial"/>
          <w:bCs/>
          <w:i/>
          <w:spacing w:val="4"/>
          <w:sz w:val="22"/>
          <w:szCs w:val="22"/>
          <w:lang w:eastAsia="en-US"/>
        </w:rPr>
        <w:t>kpa</w:t>
      </w:r>
      <w:r w:rsidR="00DC3C8E" w:rsidRPr="006B5736">
        <w:rPr>
          <w:rFonts w:ascii="Lato" w:eastAsiaTheme="minorHAnsi" w:hAnsi="Lato" w:cs="Arial"/>
          <w:bCs/>
          <w:iCs/>
          <w:spacing w:val="4"/>
          <w:sz w:val="22"/>
          <w:szCs w:val="22"/>
          <w:lang w:eastAsia="en-US"/>
        </w:rPr>
        <w:t xml:space="preserve">, </w:t>
      </w:r>
      <w:r w:rsidR="007C7E50" w:rsidRPr="006B5736">
        <w:rPr>
          <w:rFonts w:ascii="Lato" w:eastAsiaTheme="minorHAnsi" w:hAnsi="Lato" w:cs="Arial"/>
          <w:bCs/>
          <w:iCs/>
          <w:spacing w:val="4"/>
          <w:sz w:val="22"/>
          <w:szCs w:val="22"/>
          <w:lang w:eastAsia="en-US"/>
        </w:rPr>
        <w:t xml:space="preserve">poprzez </w:t>
      </w:r>
      <w:r>
        <w:rPr>
          <w:rFonts w:ascii="Lato" w:eastAsiaTheme="minorHAnsi" w:hAnsi="Lato" w:cs="Arial"/>
          <w:bCs/>
          <w:iCs/>
          <w:spacing w:val="4"/>
          <w:sz w:val="22"/>
          <w:szCs w:val="22"/>
          <w:lang w:eastAsia="en-US"/>
        </w:rPr>
        <w:t>niewyczerpujące zebranie i rozpatrzenie całego materiału dowodowego i niepodjęcie wszelkich kroków niezbędnych do dokładnego wyjaśnienia stanu faktycznego</w:t>
      </w:r>
      <w:r w:rsidR="009C6C7D" w:rsidRPr="006B5736">
        <w:rPr>
          <w:rFonts w:ascii="Lato" w:eastAsiaTheme="minorHAnsi" w:hAnsi="Lato" w:cs="Arial"/>
          <w:bCs/>
          <w:iCs/>
          <w:spacing w:val="4"/>
          <w:sz w:val="22"/>
          <w:szCs w:val="22"/>
          <w:lang w:eastAsia="en-US"/>
        </w:rPr>
        <w:t>,</w:t>
      </w:r>
      <w:r w:rsidR="004F6532">
        <w:rPr>
          <w:rFonts w:ascii="Lato" w:eastAsiaTheme="minorHAnsi" w:hAnsi="Lato" w:cs="Arial"/>
          <w:bCs/>
          <w:iCs/>
          <w:spacing w:val="4"/>
          <w:sz w:val="22"/>
          <w:szCs w:val="22"/>
          <w:lang w:eastAsia="en-US"/>
        </w:rPr>
        <w:t xml:space="preserve"> </w:t>
      </w:r>
      <w:r w:rsidR="004F6532" w:rsidRPr="004F6532">
        <w:rPr>
          <w:rFonts w:ascii="Lato" w:eastAsiaTheme="minorHAnsi" w:hAnsi="Lato" w:cs="Arial"/>
          <w:bCs/>
          <w:iCs/>
          <w:spacing w:val="4"/>
          <w:sz w:val="22"/>
          <w:szCs w:val="22"/>
          <w:lang w:eastAsia="en-US"/>
        </w:rPr>
        <w:t xml:space="preserve">dotyczącego lokalizacji nieruchomości </w:t>
      </w:r>
      <w:r w:rsidR="003E480D">
        <w:rPr>
          <w:rFonts w:ascii="Lato" w:eastAsiaTheme="minorHAnsi" w:hAnsi="Lato" w:cs="Arial"/>
          <w:bCs/>
          <w:iCs/>
          <w:spacing w:val="4"/>
          <w:sz w:val="22"/>
          <w:szCs w:val="22"/>
          <w:lang w:eastAsia="en-US"/>
        </w:rPr>
        <w:t xml:space="preserve">skarżących, </w:t>
      </w:r>
      <w:r w:rsidR="004F6532" w:rsidRPr="004F6532">
        <w:rPr>
          <w:rFonts w:ascii="Lato" w:eastAsiaTheme="minorHAnsi" w:hAnsi="Lato" w:cs="Arial"/>
          <w:bCs/>
          <w:iCs/>
          <w:spacing w:val="4"/>
          <w:sz w:val="22"/>
          <w:szCs w:val="22"/>
          <w:lang w:eastAsia="en-US"/>
        </w:rPr>
        <w:t xml:space="preserve">wpływu realizowanej inwestycji na komfort życia związku z realizacją przedmiotowej </w:t>
      </w:r>
      <w:r w:rsidR="003E480D">
        <w:rPr>
          <w:rFonts w:ascii="Lato" w:eastAsiaTheme="minorHAnsi" w:hAnsi="Lato" w:cs="Arial"/>
          <w:bCs/>
          <w:iCs/>
          <w:spacing w:val="4"/>
          <w:sz w:val="22"/>
          <w:szCs w:val="22"/>
          <w:lang w:eastAsia="en-US"/>
        </w:rPr>
        <w:t xml:space="preserve">inwestycji, </w:t>
      </w:r>
      <w:r w:rsidR="004F6532" w:rsidRPr="004F6532">
        <w:rPr>
          <w:rFonts w:ascii="Lato" w:eastAsiaTheme="minorHAnsi" w:hAnsi="Lato" w:cs="Arial"/>
          <w:bCs/>
          <w:iCs/>
          <w:spacing w:val="4"/>
          <w:sz w:val="22"/>
          <w:szCs w:val="22"/>
          <w:lang w:eastAsia="en-US"/>
        </w:rPr>
        <w:t xml:space="preserve">spadku wartości rynkowej nieruchomości </w:t>
      </w:r>
      <w:r w:rsidR="003E480D">
        <w:rPr>
          <w:rFonts w:ascii="Lato" w:eastAsiaTheme="minorHAnsi" w:hAnsi="Lato" w:cs="Arial"/>
          <w:bCs/>
          <w:iCs/>
          <w:spacing w:val="4"/>
          <w:sz w:val="22"/>
          <w:szCs w:val="22"/>
          <w:lang w:eastAsia="en-US"/>
        </w:rPr>
        <w:t xml:space="preserve">stron skarżących </w:t>
      </w:r>
      <w:r w:rsidR="004F6532" w:rsidRPr="004F6532">
        <w:rPr>
          <w:rFonts w:ascii="Lato" w:eastAsiaTheme="minorHAnsi" w:hAnsi="Lato" w:cs="Arial"/>
          <w:bCs/>
          <w:iCs/>
          <w:spacing w:val="4"/>
          <w:sz w:val="22"/>
          <w:szCs w:val="22"/>
          <w:lang w:eastAsia="en-US"/>
        </w:rPr>
        <w:t xml:space="preserve">oraz istotnych przeszkód i ograniczeń w korzystaniu z </w:t>
      </w:r>
      <w:r w:rsidR="003E480D">
        <w:rPr>
          <w:rFonts w:ascii="Lato" w:eastAsiaTheme="minorHAnsi" w:hAnsi="Lato" w:cs="Arial"/>
          <w:bCs/>
          <w:iCs/>
          <w:spacing w:val="4"/>
          <w:sz w:val="22"/>
          <w:szCs w:val="22"/>
          <w:lang w:eastAsia="en-US"/>
        </w:rPr>
        <w:t xml:space="preserve">ich </w:t>
      </w:r>
      <w:r w:rsidR="004F6532" w:rsidRPr="004F6532">
        <w:rPr>
          <w:rFonts w:ascii="Lato" w:eastAsiaTheme="minorHAnsi" w:hAnsi="Lato" w:cs="Arial"/>
          <w:bCs/>
          <w:iCs/>
          <w:spacing w:val="4"/>
          <w:sz w:val="22"/>
          <w:szCs w:val="22"/>
          <w:lang w:eastAsia="en-US"/>
        </w:rPr>
        <w:t>nieruchomości</w:t>
      </w:r>
      <w:r w:rsidR="003E480D">
        <w:rPr>
          <w:rFonts w:ascii="Lato" w:eastAsiaTheme="minorHAnsi" w:hAnsi="Lato" w:cs="Arial"/>
          <w:bCs/>
          <w:iCs/>
          <w:spacing w:val="4"/>
          <w:sz w:val="22"/>
          <w:szCs w:val="22"/>
          <w:lang w:eastAsia="en-US"/>
        </w:rPr>
        <w:t>,</w:t>
      </w:r>
    </w:p>
    <w:p w14:paraId="7DC752D5" w14:textId="0A9A5BD3" w:rsidR="006B5736" w:rsidRDefault="00DC3C8E" w:rsidP="005F4256">
      <w:pPr>
        <w:pStyle w:val="Akapitzlist"/>
        <w:numPr>
          <w:ilvl w:val="0"/>
          <w:numId w:val="2"/>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art. </w:t>
      </w:r>
      <w:r w:rsidR="006B5736">
        <w:rPr>
          <w:rFonts w:ascii="Lato" w:eastAsiaTheme="minorHAnsi" w:hAnsi="Lato" w:cs="Arial"/>
          <w:bCs/>
          <w:iCs/>
          <w:spacing w:val="4"/>
          <w:sz w:val="22"/>
          <w:szCs w:val="22"/>
          <w:lang w:eastAsia="en-US"/>
        </w:rPr>
        <w:t xml:space="preserve">80 </w:t>
      </w:r>
      <w:r w:rsidR="006B5736" w:rsidRPr="006B5736">
        <w:rPr>
          <w:rFonts w:ascii="Lato" w:eastAsiaTheme="minorHAnsi" w:hAnsi="Lato" w:cs="Arial"/>
          <w:bCs/>
          <w:i/>
          <w:spacing w:val="4"/>
          <w:sz w:val="22"/>
          <w:szCs w:val="22"/>
          <w:lang w:eastAsia="en-US"/>
        </w:rPr>
        <w:t>kpa</w:t>
      </w:r>
      <w:r w:rsidR="006B5736">
        <w:rPr>
          <w:rFonts w:ascii="Lato" w:eastAsiaTheme="minorHAnsi" w:hAnsi="Lato" w:cs="Arial"/>
          <w:bCs/>
          <w:iCs/>
          <w:spacing w:val="4"/>
          <w:sz w:val="22"/>
          <w:szCs w:val="22"/>
          <w:lang w:eastAsia="en-US"/>
        </w:rPr>
        <w:t xml:space="preserve"> poprzez dokonanie dowolnej, a nie swobodnej oceny dowodów,</w:t>
      </w:r>
      <w:r w:rsidR="004A3F2D">
        <w:rPr>
          <w:rFonts w:ascii="Lato" w:eastAsiaTheme="minorHAnsi" w:hAnsi="Lato" w:cs="Arial"/>
          <w:bCs/>
          <w:iCs/>
          <w:spacing w:val="4"/>
          <w:sz w:val="22"/>
          <w:szCs w:val="22"/>
          <w:lang w:eastAsia="en-US"/>
        </w:rPr>
        <w:t xml:space="preserve"> skutkując nieuwzględnieniem słusznego interesu skarżących,</w:t>
      </w:r>
    </w:p>
    <w:p w14:paraId="3A0BFD77" w14:textId="22C5BD10" w:rsidR="00DC3C8E" w:rsidRPr="00F24C6D" w:rsidRDefault="006B5736" w:rsidP="005F4256">
      <w:pPr>
        <w:pStyle w:val="Akapitzlist"/>
        <w:numPr>
          <w:ilvl w:val="0"/>
          <w:numId w:val="2"/>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art. 107 </w:t>
      </w:r>
      <w:r w:rsidRPr="006B5736">
        <w:rPr>
          <w:rFonts w:ascii="Lato" w:eastAsiaTheme="minorHAnsi" w:hAnsi="Lato" w:cs="Arial"/>
          <w:bCs/>
          <w:iCs/>
          <w:spacing w:val="4"/>
          <w:sz w:val="22"/>
          <w:szCs w:val="22"/>
          <w:lang w:eastAsia="en-US"/>
        </w:rPr>
        <w:t>§</w:t>
      </w:r>
      <w:r w:rsidR="00061FBE">
        <w:rPr>
          <w:rFonts w:ascii="Lato" w:eastAsiaTheme="minorHAnsi" w:hAnsi="Lato" w:cs="Arial"/>
          <w:bCs/>
          <w:iCs/>
          <w:spacing w:val="4"/>
          <w:sz w:val="22"/>
          <w:szCs w:val="22"/>
          <w:lang w:eastAsia="en-US"/>
        </w:rPr>
        <w:t xml:space="preserve"> </w:t>
      </w:r>
      <w:r w:rsidR="00156EF8">
        <w:rPr>
          <w:rFonts w:ascii="Lato" w:eastAsiaTheme="minorHAnsi" w:hAnsi="Lato" w:cs="Arial"/>
          <w:bCs/>
          <w:iCs/>
          <w:spacing w:val="4"/>
          <w:sz w:val="22"/>
          <w:szCs w:val="22"/>
          <w:lang w:eastAsia="en-US"/>
        </w:rPr>
        <w:t xml:space="preserve">1 pkt 6 </w:t>
      </w:r>
      <w:r w:rsidR="00156EF8" w:rsidRPr="00156EF8">
        <w:rPr>
          <w:rFonts w:ascii="Lato" w:eastAsiaTheme="minorHAnsi" w:hAnsi="Lato" w:cs="Arial"/>
          <w:bCs/>
          <w:i/>
          <w:spacing w:val="4"/>
          <w:sz w:val="22"/>
          <w:szCs w:val="22"/>
          <w:lang w:eastAsia="en-US"/>
        </w:rPr>
        <w:t>kpa</w:t>
      </w:r>
      <w:r w:rsidR="00156EF8">
        <w:rPr>
          <w:rFonts w:ascii="Lato" w:eastAsiaTheme="minorHAnsi" w:hAnsi="Lato" w:cs="Arial"/>
          <w:bCs/>
          <w:iCs/>
          <w:spacing w:val="4"/>
          <w:sz w:val="22"/>
          <w:szCs w:val="22"/>
          <w:lang w:eastAsia="en-US"/>
        </w:rPr>
        <w:t xml:space="preserve"> i akt. 11 </w:t>
      </w:r>
      <w:r w:rsidR="00156EF8" w:rsidRPr="00156EF8">
        <w:rPr>
          <w:rFonts w:ascii="Lato" w:eastAsiaTheme="minorHAnsi" w:hAnsi="Lato" w:cs="Arial"/>
          <w:bCs/>
          <w:i/>
          <w:spacing w:val="4"/>
          <w:sz w:val="22"/>
          <w:szCs w:val="22"/>
          <w:lang w:eastAsia="en-US"/>
        </w:rPr>
        <w:t>kpa</w:t>
      </w:r>
      <w:r w:rsidR="00156EF8">
        <w:rPr>
          <w:rFonts w:ascii="Lato" w:eastAsiaTheme="minorHAnsi" w:hAnsi="Lato" w:cs="Arial"/>
          <w:bCs/>
          <w:iCs/>
          <w:spacing w:val="4"/>
          <w:sz w:val="22"/>
          <w:szCs w:val="22"/>
          <w:lang w:eastAsia="en-US"/>
        </w:rPr>
        <w:t xml:space="preserve"> polegające na braku wyczerpującego wskazania </w:t>
      </w:r>
      <w:r w:rsidR="00630F21">
        <w:rPr>
          <w:rFonts w:ascii="Lato" w:eastAsiaTheme="minorHAnsi" w:hAnsi="Lato" w:cs="Arial"/>
          <w:bCs/>
          <w:iCs/>
          <w:spacing w:val="4"/>
          <w:sz w:val="22"/>
          <w:szCs w:val="22"/>
          <w:lang w:eastAsia="en-US"/>
        </w:rPr>
        <w:br/>
      </w:r>
      <w:r w:rsidR="00156EF8">
        <w:rPr>
          <w:rFonts w:ascii="Lato" w:eastAsiaTheme="minorHAnsi" w:hAnsi="Lato" w:cs="Arial"/>
          <w:bCs/>
          <w:iCs/>
          <w:spacing w:val="4"/>
          <w:sz w:val="22"/>
          <w:szCs w:val="22"/>
          <w:lang w:eastAsia="en-US"/>
        </w:rPr>
        <w:t xml:space="preserve">w uzasadnieniu decyzji argumentów uzasadnionych przyjętą koncepcję rozstrzygnięcia, nieprzekonania strony do wydania </w:t>
      </w:r>
      <w:r w:rsidR="00156EF8" w:rsidRPr="00156EF8">
        <w:rPr>
          <w:rFonts w:ascii="Lato" w:eastAsiaTheme="minorHAnsi" w:hAnsi="Lato" w:cs="Arial"/>
          <w:bCs/>
          <w:i/>
          <w:spacing w:val="4"/>
          <w:sz w:val="22"/>
          <w:szCs w:val="22"/>
          <w:lang w:eastAsia="en-US"/>
        </w:rPr>
        <w:t>decyzji wojewody Mazowieckiego</w:t>
      </w:r>
      <w:r w:rsidR="00156EF8">
        <w:rPr>
          <w:rFonts w:ascii="Lato" w:eastAsiaTheme="minorHAnsi" w:hAnsi="Lato" w:cs="Arial"/>
          <w:bCs/>
          <w:iCs/>
          <w:spacing w:val="4"/>
          <w:sz w:val="22"/>
          <w:szCs w:val="22"/>
          <w:lang w:eastAsia="en-US"/>
        </w:rPr>
        <w:t>.</w:t>
      </w:r>
    </w:p>
    <w:p w14:paraId="40B00536" w14:textId="7418BDD2" w:rsidR="0065078B" w:rsidRDefault="0065078B" w:rsidP="00F24C6D">
      <w:pPr>
        <w:tabs>
          <w:tab w:val="left" w:pos="2977"/>
        </w:tabs>
        <w:spacing w:after="240" w:line="240" w:lineRule="exact"/>
        <w:jc w:val="both"/>
        <w:outlineLvl w:val="0"/>
        <w:rPr>
          <w:rFonts w:ascii="Lato" w:eastAsiaTheme="minorHAnsi" w:hAnsi="Lato" w:cs="Arial"/>
          <w:bCs/>
          <w:spacing w:val="4"/>
          <w:sz w:val="22"/>
          <w:szCs w:val="22"/>
          <w:lang w:eastAsia="en-US"/>
        </w:rPr>
      </w:pPr>
      <w:r w:rsidRPr="001F7CA9">
        <w:rPr>
          <w:rFonts w:ascii="Lato" w:eastAsiaTheme="minorHAnsi" w:hAnsi="Lato" w:cs="Arial"/>
          <w:bCs/>
          <w:spacing w:val="4"/>
          <w:sz w:val="22"/>
          <w:szCs w:val="22"/>
          <w:lang w:eastAsia="en-US"/>
        </w:rPr>
        <w:t>Przede wszystkim</w:t>
      </w:r>
      <w:r w:rsidRPr="00F24C6D">
        <w:rPr>
          <w:rFonts w:ascii="Lato" w:eastAsiaTheme="minorHAnsi" w:hAnsi="Lato" w:cs="Arial"/>
          <w:bCs/>
          <w:spacing w:val="4"/>
          <w:sz w:val="22"/>
          <w:szCs w:val="22"/>
          <w:lang w:eastAsia="en-US"/>
        </w:rPr>
        <w:t xml:space="preserve"> zauważyć należy,</w:t>
      </w:r>
      <w:r w:rsidR="007D7AAA" w:rsidRPr="00F24C6D">
        <w:rPr>
          <w:rFonts w:ascii="Lato" w:eastAsiaTheme="minorHAnsi" w:hAnsi="Lato" w:cs="Arial"/>
          <w:bCs/>
          <w:spacing w:val="4"/>
          <w:sz w:val="22"/>
          <w:szCs w:val="22"/>
          <w:lang w:eastAsia="en-US"/>
        </w:rPr>
        <w:t xml:space="preserve"> </w:t>
      </w:r>
      <w:r w:rsidRPr="00F24C6D">
        <w:rPr>
          <w:rFonts w:ascii="Lato" w:eastAsiaTheme="minorHAnsi" w:hAnsi="Lato" w:cs="Arial"/>
          <w:bCs/>
          <w:spacing w:val="4"/>
          <w:sz w:val="22"/>
          <w:szCs w:val="22"/>
          <w:lang w:eastAsia="en-US"/>
        </w:rPr>
        <w:t xml:space="preserve">iż brak zgody skarżących stron na lokalizację przedmiotowej inwestycji na ich działkach w koncepcji przyjętej przez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spacing w:val="4"/>
          <w:sz w:val="22"/>
          <w:szCs w:val="22"/>
          <w:lang w:eastAsia="en-US"/>
        </w:rPr>
        <w:t xml:space="preserve"> </w:t>
      </w:r>
      <w:r w:rsidR="007D7AAA" w:rsidRPr="00F24C6D">
        <w:rPr>
          <w:rFonts w:ascii="Lato" w:eastAsiaTheme="minorHAnsi" w:hAnsi="Lato" w:cs="Arial"/>
          <w:bCs/>
          <w:spacing w:val="4"/>
          <w:sz w:val="22"/>
          <w:szCs w:val="22"/>
          <w:lang w:eastAsia="en-US"/>
        </w:rPr>
        <w:br/>
      </w:r>
      <w:r w:rsidRPr="00F24C6D">
        <w:rPr>
          <w:rFonts w:ascii="Lato" w:eastAsiaTheme="minorHAnsi" w:hAnsi="Lato" w:cs="Arial"/>
          <w:bCs/>
          <w:spacing w:val="4"/>
          <w:sz w:val="22"/>
          <w:szCs w:val="22"/>
          <w:lang w:eastAsia="en-US"/>
        </w:rPr>
        <w:t xml:space="preserve">i zatwierdzonej w </w:t>
      </w:r>
      <w:r w:rsidRPr="00F24C6D">
        <w:rPr>
          <w:rFonts w:ascii="Lato" w:eastAsiaTheme="minorHAnsi" w:hAnsi="Lato" w:cs="Arial"/>
          <w:bCs/>
          <w:i/>
          <w:iCs/>
          <w:spacing w:val="4"/>
          <w:sz w:val="22"/>
          <w:szCs w:val="22"/>
          <w:lang w:eastAsia="en-US"/>
        </w:rPr>
        <w:t xml:space="preserve">decyzji Wojewody </w:t>
      </w:r>
      <w:r w:rsidR="00156EF8">
        <w:rPr>
          <w:rFonts w:ascii="Lato" w:eastAsiaTheme="minorHAnsi" w:hAnsi="Lato" w:cs="Arial"/>
          <w:bCs/>
          <w:i/>
          <w:iCs/>
          <w:spacing w:val="4"/>
          <w:sz w:val="22"/>
          <w:szCs w:val="22"/>
          <w:lang w:eastAsia="en-US"/>
        </w:rPr>
        <w:t>Mazowieckiego</w:t>
      </w:r>
      <w:r w:rsidRPr="00F24C6D">
        <w:rPr>
          <w:rFonts w:ascii="Lato" w:eastAsiaTheme="minorHAnsi" w:hAnsi="Lato" w:cs="Arial"/>
          <w:bCs/>
          <w:spacing w:val="4"/>
          <w:sz w:val="22"/>
          <w:szCs w:val="22"/>
          <w:lang w:eastAsia="en-US"/>
        </w:rPr>
        <w:t>,</w:t>
      </w:r>
      <w:r w:rsidRPr="00F24C6D">
        <w:rPr>
          <w:rFonts w:ascii="Lato" w:eastAsiaTheme="minorHAnsi" w:hAnsi="Lato" w:cs="Arial"/>
          <w:bCs/>
          <w:i/>
          <w:iCs/>
          <w:spacing w:val="4"/>
          <w:sz w:val="22"/>
          <w:szCs w:val="22"/>
          <w:lang w:eastAsia="en-US"/>
        </w:rPr>
        <w:t xml:space="preserve"> </w:t>
      </w:r>
      <w:r w:rsidRPr="00F24C6D">
        <w:rPr>
          <w:rFonts w:ascii="Lato" w:eastAsiaTheme="minorHAnsi" w:hAnsi="Lato" w:cs="Arial"/>
          <w:bCs/>
          <w:spacing w:val="4"/>
          <w:sz w:val="22"/>
          <w:szCs w:val="22"/>
          <w:lang w:eastAsia="en-US"/>
        </w:rPr>
        <w:t xml:space="preserve">nie stanowi o wadliwości zaskarżonej decyzji, gdyż przepisy obowiązującego prawa, w tym przepisy </w:t>
      </w:r>
      <w:r w:rsidRPr="00F24C6D">
        <w:rPr>
          <w:rFonts w:ascii="Lato" w:eastAsiaTheme="minorHAnsi" w:hAnsi="Lato" w:cs="Arial"/>
          <w:bCs/>
          <w:i/>
          <w:iCs/>
          <w:spacing w:val="4"/>
          <w:sz w:val="22"/>
          <w:szCs w:val="22"/>
          <w:lang w:eastAsia="en-US"/>
        </w:rPr>
        <w:t xml:space="preserve">specustawy </w:t>
      </w:r>
      <w:r w:rsidR="00156EF8">
        <w:rPr>
          <w:rFonts w:ascii="Lato" w:eastAsiaTheme="minorHAnsi" w:hAnsi="Lato" w:cs="Arial"/>
          <w:bCs/>
          <w:i/>
          <w:iCs/>
          <w:spacing w:val="4"/>
          <w:sz w:val="22"/>
          <w:szCs w:val="22"/>
          <w:lang w:eastAsia="en-US"/>
        </w:rPr>
        <w:t>naftowej</w:t>
      </w:r>
      <w:r w:rsidRPr="00F24C6D">
        <w:rPr>
          <w:rFonts w:ascii="Lato" w:eastAsiaTheme="minorHAnsi" w:hAnsi="Lato" w:cs="Arial"/>
          <w:bCs/>
          <w:spacing w:val="4"/>
          <w:sz w:val="22"/>
          <w:szCs w:val="22"/>
          <w:lang w:eastAsia="en-US"/>
        </w:rPr>
        <w:t xml:space="preserve">, nie uzależniają udzielenia </w:t>
      </w:r>
      <w:r w:rsidRPr="00F24C6D">
        <w:rPr>
          <w:rFonts w:ascii="Lato" w:eastAsiaTheme="minorHAnsi" w:hAnsi="Lato" w:cs="Arial"/>
          <w:bCs/>
          <w:i/>
          <w:iCs/>
          <w:spacing w:val="4"/>
          <w:sz w:val="22"/>
          <w:szCs w:val="22"/>
          <w:lang w:eastAsia="en-US"/>
        </w:rPr>
        <w:t>inwestorowi</w:t>
      </w:r>
      <w:r w:rsidRPr="00F24C6D">
        <w:rPr>
          <w:rFonts w:ascii="Lato" w:eastAsiaTheme="minorHAnsi" w:hAnsi="Lato" w:cs="Arial"/>
          <w:bCs/>
          <w:spacing w:val="4"/>
          <w:sz w:val="22"/>
          <w:szCs w:val="22"/>
          <w:lang w:eastAsia="en-US"/>
        </w:rPr>
        <w:t xml:space="preserve"> lokalizacji inwestycji na danej nieruchomości </w:t>
      </w:r>
      <w:r w:rsidR="007D7AAA" w:rsidRPr="00F24C6D">
        <w:rPr>
          <w:rFonts w:ascii="Lato" w:eastAsiaTheme="minorHAnsi" w:hAnsi="Lato" w:cs="Arial"/>
          <w:bCs/>
          <w:spacing w:val="4"/>
          <w:sz w:val="22"/>
          <w:szCs w:val="22"/>
          <w:lang w:eastAsia="en-US"/>
        </w:rPr>
        <w:br/>
      </w:r>
      <w:r w:rsidRPr="00F24C6D">
        <w:rPr>
          <w:rFonts w:ascii="Lato" w:eastAsiaTheme="minorHAnsi" w:hAnsi="Lato" w:cs="Arial"/>
          <w:bCs/>
          <w:spacing w:val="4"/>
          <w:sz w:val="22"/>
          <w:szCs w:val="22"/>
          <w:lang w:eastAsia="en-US"/>
        </w:rPr>
        <w:t>od wyrażenia na to zgody podmiotu będącego właścicielem bądź użytkownikiem wieczystym tejże nieruchomości.</w:t>
      </w:r>
    </w:p>
    <w:p w14:paraId="72AF86D4" w14:textId="291E5BC9" w:rsidR="000178F3" w:rsidRPr="000178F3" w:rsidRDefault="000178F3" w:rsidP="000178F3">
      <w:pPr>
        <w:tabs>
          <w:tab w:val="left" w:pos="2977"/>
        </w:tabs>
        <w:spacing w:after="240" w:line="240" w:lineRule="exact"/>
        <w:jc w:val="both"/>
        <w:outlineLvl w:val="0"/>
        <w:rPr>
          <w:rFonts w:ascii="Lato" w:eastAsiaTheme="minorHAnsi" w:hAnsi="Lato" w:cs="Arial"/>
          <w:bCs/>
          <w:iCs/>
          <w:spacing w:val="4"/>
          <w:sz w:val="22"/>
          <w:szCs w:val="22"/>
          <w:lang w:eastAsia="en-US"/>
        </w:rPr>
      </w:pPr>
      <w:bookmarkStart w:id="23" w:name="_Hlk168396489"/>
      <w:r w:rsidRPr="000178F3">
        <w:rPr>
          <w:rFonts w:ascii="Lato" w:eastAsiaTheme="minorHAnsi" w:hAnsi="Lato" w:cs="Arial"/>
          <w:bCs/>
          <w:iCs/>
          <w:spacing w:val="4"/>
          <w:sz w:val="22"/>
          <w:szCs w:val="22"/>
          <w:lang w:eastAsia="en-US"/>
        </w:rPr>
        <w:t xml:space="preserve">Należy wyjaśnić, iż przepis art. </w:t>
      </w:r>
      <w:r w:rsidR="006F0B12">
        <w:rPr>
          <w:rFonts w:ascii="Lato" w:eastAsiaTheme="minorHAnsi" w:hAnsi="Lato" w:cs="Arial"/>
          <w:bCs/>
          <w:iCs/>
          <w:spacing w:val="4"/>
          <w:sz w:val="22"/>
          <w:szCs w:val="22"/>
          <w:lang w:eastAsia="en-US"/>
        </w:rPr>
        <w:t>8</w:t>
      </w:r>
      <w:r w:rsidRPr="000178F3">
        <w:rPr>
          <w:rFonts w:ascii="Lato" w:eastAsiaTheme="minorHAnsi" w:hAnsi="Lato" w:cs="Arial"/>
          <w:bCs/>
          <w:iCs/>
          <w:spacing w:val="4"/>
          <w:sz w:val="22"/>
          <w:szCs w:val="22"/>
          <w:lang w:eastAsia="en-US"/>
        </w:rPr>
        <w:t xml:space="preserve"> ust. 1 pkt </w:t>
      </w:r>
      <w:r w:rsidR="006F0B12">
        <w:rPr>
          <w:rFonts w:ascii="Lato" w:eastAsiaTheme="minorHAnsi" w:hAnsi="Lato" w:cs="Arial"/>
          <w:bCs/>
          <w:iCs/>
          <w:spacing w:val="4"/>
          <w:sz w:val="22"/>
          <w:szCs w:val="22"/>
          <w:lang w:eastAsia="en-US"/>
        </w:rPr>
        <w:t>5</w:t>
      </w:r>
      <w:r w:rsidRPr="000178F3">
        <w:rPr>
          <w:rFonts w:ascii="Lato" w:eastAsiaTheme="minorHAnsi" w:hAnsi="Lato" w:cs="Arial"/>
          <w:bCs/>
          <w:iCs/>
          <w:spacing w:val="4"/>
          <w:sz w:val="22"/>
          <w:szCs w:val="22"/>
          <w:lang w:eastAsia="en-US"/>
        </w:rPr>
        <w:t xml:space="preserve"> </w:t>
      </w:r>
      <w:r w:rsidRPr="000178F3">
        <w:rPr>
          <w:rFonts w:ascii="Lato" w:eastAsiaTheme="minorHAnsi" w:hAnsi="Lato" w:cs="Arial"/>
          <w:bCs/>
          <w:i/>
          <w:iCs/>
          <w:spacing w:val="4"/>
          <w:sz w:val="22"/>
          <w:szCs w:val="22"/>
          <w:lang w:eastAsia="en-US"/>
        </w:rPr>
        <w:t xml:space="preserve">specustawy </w:t>
      </w:r>
      <w:r w:rsidR="006F0B12">
        <w:rPr>
          <w:rFonts w:ascii="Lato" w:eastAsiaTheme="minorHAnsi" w:hAnsi="Lato" w:cs="Arial"/>
          <w:bCs/>
          <w:i/>
          <w:iCs/>
          <w:spacing w:val="4"/>
          <w:sz w:val="22"/>
          <w:szCs w:val="22"/>
          <w:lang w:eastAsia="en-US"/>
        </w:rPr>
        <w:t>naftowej</w:t>
      </w:r>
      <w:r w:rsidRPr="000178F3">
        <w:rPr>
          <w:rFonts w:ascii="Lato" w:eastAsiaTheme="minorHAnsi" w:hAnsi="Lato" w:cs="Arial"/>
          <w:bCs/>
          <w:iCs/>
          <w:spacing w:val="4"/>
          <w:sz w:val="22"/>
          <w:szCs w:val="22"/>
          <w:lang w:eastAsia="en-US"/>
        </w:rPr>
        <w:t xml:space="preserve"> zobowiązuje organ </w:t>
      </w:r>
      <w:r w:rsidRPr="000178F3">
        <w:rPr>
          <w:rFonts w:ascii="Lato" w:eastAsiaTheme="minorHAnsi" w:hAnsi="Lato" w:cs="Arial"/>
          <w:bCs/>
          <w:iCs/>
          <w:spacing w:val="4"/>
          <w:sz w:val="22"/>
          <w:szCs w:val="22"/>
          <w:lang w:eastAsia="en-US"/>
        </w:rPr>
        <w:br/>
        <w:t xml:space="preserve">do określenia w decyzji o ustaleniu lokalizacji </w:t>
      </w:r>
      <w:r w:rsidR="006F0B12">
        <w:rPr>
          <w:rFonts w:ascii="Lato" w:eastAsiaTheme="minorHAnsi" w:hAnsi="Lato" w:cs="Arial"/>
          <w:bCs/>
          <w:iCs/>
          <w:spacing w:val="4"/>
          <w:sz w:val="22"/>
          <w:szCs w:val="22"/>
          <w:lang w:eastAsia="en-US"/>
        </w:rPr>
        <w:t xml:space="preserve">strategicznej </w:t>
      </w:r>
      <w:r w:rsidRPr="000178F3">
        <w:rPr>
          <w:rFonts w:ascii="Lato" w:eastAsiaTheme="minorHAnsi" w:hAnsi="Lato" w:cs="Arial"/>
          <w:bCs/>
          <w:iCs/>
          <w:spacing w:val="4"/>
          <w:sz w:val="22"/>
          <w:szCs w:val="22"/>
          <w:lang w:eastAsia="en-US"/>
        </w:rPr>
        <w:t xml:space="preserve">inwestycji w </w:t>
      </w:r>
      <w:r w:rsidR="006F0B12">
        <w:rPr>
          <w:rFonts w:ascii="Lato" w:eastAsiaTheme="minorHAnsi" w:hAnsi="Lato" w:cs="Arial"/>
          <w:bCs/>
          <w:iCs/>
          <w:spacing w:val="4"/>
          <w:sz w:val="22"/>
          <w:szCs w:val="22"/>
          <w:lang w:eastAsia="en-US"/>
        </w:rPr>
        <w:t>sektorze naftowym</w:t>
      </w:r>
      <w:r w:rsidRPr="000178F3">
        <w:rPr>
          <w:rFonts w:ascii="Lato" w:eastAsiaTheme="minorHAnsi" w:hAnsi="Lato" w:cs="Arial"/>
          <w:bCs/>
          <w:iCs/>
          <w:spacing w:val="4"/>
          <w:sz w:val="22"/>
          <w:szCs w:val="22"/>
          <w:lang w:eastAsia="en-US"/>
        </w:rPr>
        <w:t xml:space="preserve"> m.in. wymagań dotyczących ochrony uzasadnionych interesów osób trzecich.</w:t>
      </w:r>
    </w:p>
    <w:p w14:paraId="52D474CA" w14:textId="77777777" w:rsidR="000178F3" w:rsidRPr="000178F3" w:rsidRDefault="000178F3" w:rsidP="000178F3">
      <w:pPr>
        <w:tabs>
          <w:tab w:val="left" w:pos="2977"/>
        </w:tabs>
        <w:spacing w:after="240" w:line="240" w:lineRule="exact"/>
        <w:jc w:val="both"/>
        <w:outlineLvl w:val="0"/>
        <w:rPr>
          <w:rFonts w:ascii="Lato" w:eastAsiaTheme="minorHAnsi" w:hAnsi="Lato" w:cs="Arial"/>
          <w:bCs/>
          <w:iCs/>
          <w:spacing w:val="4"/>
          <w:sz w:val="22"/>
          <w:szCs w:val="22"/>
          <w:lang w:eastAsia="en-US"/>
        </w:rPr>
      </w:pPr>
      <w:r w:rsidRPr="000178F3">
        <w:rPr>
          <w:rFonts w:ascii="Lato" w:eastAsiaTheme="minorHAnsi" w:hAnsi="Lato" w:cs="Arial"/>
          <w:bCs/>
          <w:iCs/>
          <w:spacing w:val="4"/>
          <w:sz w:val="22"/>
          <w:szCs w:val="22"/>
          <w:lang w:eastAsia="en-US"/>
        </w:rPr>
        <w:t xml:space="preserve">Przepis mówiący o ochronie interesów osób trzecich zamieszczony jest w wielu ustawach (np. art. 5 ust. 1 pkt 9 ustawy z dnia 7 lipca 1994 r. – Prawo budowlane, art. 8 ust. 1 </w:t>
      </w:r>
      <w:r w:rsidRPr="000178F3">
        <w:rPr>
          <w:rFonts w:ascii="Lato" w:eastAsiaTheme="minorHAnsi" w:hAnsi="Lato" w:cs="Arial"/>
          <w:bCs/>
          <w:iCs/>
          <w:spacing w:val="4"/>
          <w:sz w:val="22"/>
          <w:szCs w:val="22"/>
          <w:lang w:eastAsia="en-US"/>
        </w:rPr>
        <w:br/>
        <w:t xml:space="preserve">pkt 5 ustawy z dnia 24 lipca 2015 r. o przygotowaniu i realizacji strategicznych inwestycji </w:t>
      </w:r>
      <w:r w:rsidRPr="000178F3">
        <w:rPr>
          <w:rFonts w:ascii="Lato" w:eastAsiaTheme="minorHAnsi" w:hAnsi="Lato" w:cs="Arial"/>
          <w:bCs/>
          <w:iCs/>
          <w:spacing w:val="4"/>
          <w:sz w:val="22"/>
          <w:szCs w:val="22"/>
          <w:lang w:eastAsia="en-US"/>
        </w:rPr>
        <w:br/>
        <w:t xml:space="preserve">w zakresie sieci przesyłowych, art. 8 ust. 1 pkt 4 ustawy z dnia 12 lutego 2009 r. </w:t>
      </w:r>
      <w:r w:rsidRPr="000178F3">
        <w:rPr>
          <w:rFonts w:ascii="Lato" w:eastAsiaTheme="minorHAnsi" w:hAnsi="Lato" w:cs="Arial"/>
          <w:bCs/>
          <w:iCs/>
          <w:spacing w:val="4"/>
          <w:sz w:val="22"/>
          <w:szCs w:val="22"/>
          <w:lang w:eastAsia="en-US"/>
        </w:rPr>
        <w:br/>
        <w:t xml:space="preserve">o szczególnych zasadach przygotowania i realizacji inwestycji w zakresie lotnisk użytku publicznego, art. 11f ust. 1 pkt 4 </w:t>
      </w:r>
      <w:r w:rsidRPr="000178F3">
        <w:rPr>
          <w:rFonts w:ascii="Lato" w:eastAsiaTheme="minorHAnsi" w:hAnsi="Lato" w:cs="Arial"/>
          <w:bCs/>
          <w:i/>
          <w:iCs/>
          <w:spacing w:val="4"/>
          <w:sz w:val="22"/>
          <w:szCs w:val="22"/>
          <w:lang w:eastAsia="en-US"/>
        </w:rPr>
        <w:t>specustawy drogowej</w:t>
      </w:r>
      <w:r w:rsidRPr="000178F3">
        <w:rPr>
          <w:rFonts w:ascii="Lato" w:eastAsiaTheme="minorHAnsi" w:hAnsi="Lato" w:cs="Arial"/>
          <w:bCs/>
          <w:iCs/>
          <w:spacing w:val="4"/>
          <w:sz w:val="22"/>
          <w:szCs w:val="22"/>
          <w:lang w:eastAsia="en-US"/>
        </w:rPr>
        <w:t>), które z natury swej wprowadzają pewne ograniczenia prawa własności oraz innych praw rzeczowych, czego przykładem są powyżej wymienione przepisy ustawowe (por. wyrok Naczelnego Sądu Administracyjnego z dnia 9 lutego 2018 r., sygn. akt II OSK 1282/17, opubl. Centralna Baza Orzeczeń Sądów Administracyjnych).</w:t>
      </w:r>
    </w:p>
    <w:p w14:paraId="3B915A4D" w14:textId="44E8CABE" w:rsidR="000178F3" w:rsidRPr="000178F3" w:rsidRDefault="000178F3" w:rsidP="000178F3">
      <w:pPr>
        <w:tabs>
          <w:tab w:val="left" w:pos="2977"/>
        </w:tabs>
        <w:spacing w:after="240" w:line="240" w:lineRule="exact"/>
        <w:jc w:val="both"/>
        <w:outlineLvl w:val="0"/>
        <w:rPr>
          <w:rFonts w:ascii="Lato" w:eastAsiaTheme="minorHAnsi" w:hAnsi="Lato" w:cs="Arial"/>
          <w:bCs/>
          <w:spacing w:val="4"/>
          <w:sz w:val="22"/>
          <w:szCs w:val="22"/>
          <w:lang w:eastAsia="en-US"/>
        </w:rPr>
      </w:pPr>
      <w:r w:rsidRPr="000178F3">
        <w:rPr>
          <w:rFonts w:ascii="Lato" w:eastAsiaTheme="minorHAnsi" w:hAnsi="Lato" w:cs="Arial"/>
          <w:bCs/>
          <w:iCs/>
          <w:spacing w:val="4"/>
          <w:sz w:val="22"/>
          <w:szCs w:val="22"/>
          <w:lang w:eastAsia="en-US"/>
        </w:rPr>
        <w:t xml:space="preserve">W pkt VI na stronie </w:t>
      </w:r>
      <w:r w:rsidR="006F0B12">
        <w:rPr>
          <w:rFonts w:ascii="Lato" w:eastAsiaTheme="minorHAnsi" w:hAnsi="Lato" w:cs="Arial"/>
          <w:bCs/>
          <w:iCs/>
          <w:spacing w:val="4"/>
          <w:sz w:val="22"/>
          <w:szCs w:val="22"/>
          <w:lang w:eastAsia="en-US"/>
        </w:rPr>
        <w:t>9</w:t>
      </w:r>
      <w:r w:rsidRPr="000178F3">
        <w:rPr>
          <w:rFonts w:ascii="Lato" w:eastAsiaTheme="minorHAnsi" w:hAnsi="Lato" w:cs="Arial"/>
          <w:bCs/>
          <w:iCs/>
          <w:spacing w:val="4"/>
          <w:sz w:val="22"/>
          <w:szCs w:val="22"/>
          <w:lang w:eastAsia="en-US"/>
        </w:rPr>
        <w:t xml:space="preserve"> </w:t>
      </w:r>
      <w:r w:rsidRPr="000178F3">
        <w:rPr>
          <w:rFonts w:ascii="Lato" w:eastAsiaTheme="minorHAnsi" w:hAnsi="Lato" w:cs="Arial"/>
          <w:bCs/>
          <w:i/>
          <w:iCs/>
          <w:spacing w:val="4"/>
          <w:sz w:val="22"/>
          <w:szCs w:val="22"/>
          <w:lang w:eastAsia="en-US"/>
        </w:rPr>
        <w:t xml:space="preserve">decyzji Wojewody </w:t>
      </w:r>
      <w:r w:rsidR="006F0B12">
        <w:rPr>
          <w:rFonts w:ascii="Lato" w:eastAsiaTheme="minorHAnsi" w:hAnsi="Lato" w:cs="Arial"/>
          <w:bCs/>
          <w:i/>
          <w:iCs/>
          <w:spacing w:val="4"/>
          <w:sz w:val="22"/>
          <w:szCs w:val="22"/>
          <w:lang w:eastAsia="en-US"/>
        </w:rPr>
        <w:t>Mazowieckiego</w:t>
      </w:r>
      <w:r w:rsidRPr="000178F3">
        <w:rPr>
          <w:rFonts w:ascii="Lato" w:eastAsiaTheme="minorHAnsi" w:hAnsi="Lato" w:cs="Arial"/>
          <w:bCs/>
          <w:iCs/>
          <w:spacing w:val="4"/>
          <w:sz w:val="22"/>
          <w:szCs w:val="22"/>
          <w:lang w:eastAsia="en-US"/>
        </w:rPr>
        <w:t xml:space="preserve"> organ I instancji odniósł </w:t>
      </w:r>
      <w:r w:rsidRPr="000178F3">
        <w:rPr>
          <w:rFonts w:ascii="Lato" w:eastAsiaTheme="minorHAnsi" w:hAnsi="Lato" w:cs="Arial"/>
          <w:bCs/>
          <w:iCs/>
          <w:spacing w:val="4"/>
          <w:sz w:val="22"/>
          <w:szCs w:val="22"/>
          <w:lang w:eastAsia="en-US"/>
        </w:rPr>
        <w:br/>
        <w:t xml:space="preserve">się do kwestii określonej w art. </w:t>
      </w:r>
      <w:r w:rsidR="006F0B12">
        <w:rPr>
          <w:rFonts w:ascii="Lato" w:eastAsiaTheme="minorHAnsi" w:hAnsi="Lato" w:cs="Arial"/>
          <w:bCs/>
          <w:iCs/>
          <w:spacing w:val="4"/>
          <w:sz w:val="22"/>
          <w:szCs w:val="22"/>
          <w:lang w:eastAsia="en-US"/>
        </w:rPr>
        <w:t>8</w:t>
      </w:r>
      <w:r w:rsidRPr="000178F3">
        <w:rPr>
          <w:rFonts w:ascii="Lato" w:eastAsiaTheme="minorHAnsi" w:hAnsi="Lato" w:cs="Arial"/>
          <w:bCs/>
          <w:iCs/>
          <w:spacing w:val="4"/>
          <w:sz w:val="22"/>
          <w:szCs w:val="22"/>
          <w:lang w:eastAsia="en-US"/>
        </w:rPr>
        <w:t xml:space="preserve"> ust. 1 pkt 5 </w:t>
      </w:r>
      <w:r w:rsidRPr="000178F3">
        <w:rPr>
          <w:rFonts w:ascii="Lato" w:eastAsiaTheme="minorHAnsi" w:hAnsi="Lato" w:cs="Arial"/>
          <w:bCs/>
          <w:i/>
          <w:iCs/>
          <w:spacing w:val="4"/>
          <w:sz w:val="22"/>
          <w:szCs w:val="22"/>
          <w:lang w:eastAsia="en-US"/>
        </w:rPr>
        <w:t xml:space="preserve">specustawy </w:t>
      </w:r>
      <w:r w:rsidR="006F0B12">
        <w:rPr>
          <w:rFonts w:ascii="Lato" w:eastAsiaTheme="minorHAnsi" w:hAnsi="Lato" w:cs="Arial"/>
          <w:bCs/>
          <w:i/>
          <w:iCs/>
          <w:spacing w:val="4"/>
          <w:sz w:val="22"/>
          <w:szCs w:val="22"/>
          <w:lang w:eastAsia="en-US"/>
        </w:rPr>
        <w:t>naftowej</w:t>
      </w:r>
      <w:r w:rsidRPr="000178F3">
        <w:rPr>
          <w:rFonts w:ascii="Lato" w:eastAsiaTheme="minorHAnsi" w:hAnsi="Lato" w:cs="Arial"/>
          <w:bCs/>
          <w:i/>
          <w:iCs/>
          <w:spacing w:val="4"/>
          <w:sz w:val="22"/>
          <w:szCs w:val="22"/>
          <w:lang w:eastAsia="en-US"/>
        </w:rPr>
        <w:t xml:space="preserve">, </w:t>
      </w:r>
      <w:r w:rsidRPr="000178F3">
        <w:rPr>
          <w:rFonts w:ascii="Lato" w:eastAsiaTheme="minorHAnsi" w:hAnsi="Lato" w:cs="Arial"/>
          <w:bCs/>
          <w:spacing w:val="4"/>
          <w:sz w:val="22"/>
          <w:szCs w:val="22"/>
          <w:lang w:eastAsia="en-US"/>
        </w:rPr>
        <w:t>a więc ochrony interesów osób trzecich.</w:t>
      </w:r>
    </w:p>
    <w:p w14:paraId="52420B8C" w14:textId="02384494" w:rsidR="000178F3" w:rsidRPr="000178F3" w:rsidRDefault="000178F3" w:rsidP="000178F3">
      <w:pPr>
        <w:tabs>
          <w:tab w:val="left" w:pos="2977"/>
        </w:tabs>
        <w:spacing w:after="240" w:line="240" w:lineRule="exact"/>
        <w:jc w:val="both"/>
        <w:outlineLvl w:val="0"/>
        <w:rPr>
          <w:rFonts w:ascii="Lato" w:eastAsiaTheme="minorHAnsi" w:hAnsi="Lato" w:cs="Arial"/>
          <w:bCs/>
          <w:iCs/>
          <w:spacing w:val="4"/>
          <w:sz w:val="22"/>
          <w:szCs w:val="22"/>
          <w:lang w:eastAsia="en-US"/>
        </w:rPr>
      </w:pPr>
      <w:r w:rsidRPr="00E50952">
        <w:rPr>
          <w:rFonts w:ascii="Lato" w:eastAsiaTheme="minorHAnsi" w:hAnsi="Lato" w:cs="Arial"/>
          <w:bCs/>
          <w:iCs/>
          <w:spacing w:val="4"/>
          <w:sz w:val="22"/>
          <w:szCs w:val="22"/>
          <w:lang w:eastAsia="en-US"/>
        </w:rPr>
        <w:t xml:space="preserve">Dodatkowo, należy zwrócić także uwagę, że postępowanie w przedmiocie lokalizacji </w:t>
      </w:r>
      <w:r w:rsidR="00BD7B05" w:rsidRPr="00E50952">
        <w:rPr>
          <w:rFonts w:ascii="Lato" w:eastAsiaTheme="minorHAnsi" w:hAnsi="Lato" w:cs="Arial"/>
          <w:bCs/>
          <w:iCs/>
          <w:spacing w:val="4"/>
          <w:sz w:val="22"/>
          <w:szCs w:val="22"/>
          <w:lang w:eastAsia="en-US"/>
        </w:rPr>
        <w:t xml:space="preserve">strategicznej </w:t>
      </w:r>
      <w:r w:rsidRPr="00E50952">
        <w:rPr>
          <w:rFonts w:ascii="Lato" w:eastAsiaTheme="minorHAnsi" w:hAnsi="Lato" w:cs="Arial"/>
          <w:bCs/>
          <w:iCs/>
          <w:spacing w:val="4"/>
          <w:sz w:val="22"/>
          <w:szCs w:val="22"/>
          <w:lang w:eastAsia="en-US"/>
        </w:rPr>
        <w:t xml:space="preserve">inwestycji </w:t>
      </w:r>
      <w:r w:rsidR="00BD7B05" w:rsidRPr="00E50952">
        <w:rPr>
          <w:rFonts w:ascii="Lato" w:eastAsiaTheme="minorHAnsi" w:hAnsi="Lato" w:cs="Arial"/>
          <w:bCs/>
          <w:iCs/>
          <w:spacing w:val="4"/>
          <w:sz w:val="22"/>
          <w:szCs w:val="22"/>
          <w:lang w:eastAsia="en-US"/>
        </w:rPr>
        <w:t>w sektorze naftowym</w:t>
      </w:r>
      <w:r w:rsidRPr="00E50952">
        <w:rPr>
          <w:rFonts w:ascii="Lato" w:eastAsiaTheme="minorHAnsi" w:hAnsi="Lato" w:cs="Arial"/>
          <w:bCs/>
          <w:iCs/>
          <w:spacing w:val="4"/>
          <w:sz w:val="22"/>
          <w:szCs w:val="22"/>
          <w:lang w:eastAsia="en-US"/>
        </w:rPr>
        <w:t xml:space="preserve"> jest tylko jednym z elementów procesu inwestycyjnego, w którym ochrona interesów osób trzecich jest realizowana przede wszystkim na etapie wydawania decyzji o pozwoleniu na budowę. Należy mieć </w:t>
      </w:r>
      <w:r w:rsidRPr="00E50952">
        <w:rPr>
          <w:rFonts w:ascii="Lato" w:eastAsiaTheme="minorHAnsi" w:hAnsi="Lato" w:cs="Arial"/>
          <w:bCs/>
          <w:iCs/>
          <w:spacing w:val="4"/>
          <w:sz w:val="22"/>
          <w:szCs w:val="22"/>
          <w:lang w:eastAsia="en-US"/>
        </w:rPr>
        <w:br/>
        <w:t xml:space="preserve">na uwadze odmienność postępowania w sprawie ustalenia lokalizacji przedmiotowej inwestycji postępowania w sprawie pozwolenia na budowę oraz konieczność rozgraniczenia kompetencji organów administracji publicznej. Ochrona interesów osób trzecich na etapie ustalania lokalizacji inwestycji w zakresie </w:t>
      </w:r>
      <w:r w:rsidR="00F47DA4" w:rsidRPr="00E50952">
        <w:rPr>
          <w:rFonts w:ascii="Lato" w:eastAsiaTheme="minorHAnsi" w:hAnsi="Lato" w:cs="Arial"/>
          <w:bCs/>
          <w:iCs/>
          <w:spacing w:val="4"/>
          <w:sz w:val="22"/>
          <w:szCs w:val="22"/>
          <w:lang w:eastAsia="en-US"/>
        </w:rPr>
        <w:t>rurociągu przesyłowego ropy naftowej</w:t>
      </w:r>
      <w:r w:rsidRPr="00E50952">
        <w:rPr>
          <w:rFonts w:ascii="Lato" w:eastAsiaTheme="minorHAnsi" w:hAnsi="Lato" w:cs="Arial"/>
          <w:bCs/>
          <w:iCs/>
          <w:spacing w:val="4"/>
          <w:sz w:val="22"/>
          <w:szCs w:val="22"/>
          <w:lang w:eastAsia="en-US"/>
        </w:rPr>
        <w:t xml:space="preserve"> nie może obejmować działań właściwych na etapie pozwolenia na budowę, </w:t>
      </w:r>
      <w:r w:rsidRPr="00E50952">
        <w:rPr>
          <w:rFonts w:ascii="Lato" w:eastAsiaTheme="minorHAnsi" w:hAnsi="Lato" w:cs="Arial"/>
          <w:bCs/>
          <w:iCs/>
          <w:spacing w:val="4"/>
          <w:sz w:val="22"/>
          <w:szCs w:val="22"/>
          <w:lang w:eastAsia="en-US"/>
        </w:rPr>
        <w:lastRenderedPageBreak/>
        <w:t xml:space="preserve">wobec czego nie może być tak konkretna i szczegółowo określona, jak ma to miejsce </w:t>
      </w:r>
      <w:r w:rsidR="001F7CA9">
        <w:rPr>
          <w:rFonts w:ascii="Lato" w:eastAsiaTheme="minorHAnsi" w:hAnsi="Lato" w:cs="Arial"/>
          <w:bCs/>
          <w:iCs/>
          <w:spacing w:val="4"/>
          <w:sz w:val="22"/>
          <w:szCs w:val="22"/>
          <w:lang w:eastAsia="en-US"/>
        </w:rPr>
        <w:br/>
      </w:r>
      <w:r w:rsidRPr="00E50952">
        <w:rPr>
          <w:rFonts w:ascii="Lato" w:eastAsiaTheme="minorHAnsi" w:hAnsi="Lato" w:cs="Arial"/>
          <w:bCs/>
          <w:iCs/>
          <w:spacing w:val="4"/>
          <w:sz w:val="22"/>
          <w:szCs w:val="22"/>
          <w:lang w:eastAsia="en-US"/>
        </w:rPr>
        <w:t xml:space="preserve">w decyzji o </w:t>
      </w:r>
      <w:r w:rsidR="00F47DA4" w:rsidRPr="00E50952">
        <w:rPr>
          <w:rFonts w:ascii="Lato" w:eastAsiaTheme="minorHAnsi" w:hAnsi="Lato" w:cs="Arial"/>
          <w:bCs/>
          <w:iCs/>
          <w:spacing w:val="4"/>
          <w:sz w:val="22"/>
          <w:szCs w:val="22"/>
          <w:lang w:eastAsia="en-US"/>
        </w:rPr>
        <w:t>pozwolenia</w:t>
      </w:r>
      <w:r w:rsidRPr="00E50952">
        <w:rPr>
          <w:rFonts w:ascii="Lato" w:eastAsiaTheme="minorHAnsi" w:hAnsi="Lato" w:cs="Arial"/>
          <w:bCs/>
          <w:iCs/>
          <w:spacing w:val="4"/>
          <w:sz w:val="22"/>
          <w:szCs w:val="22"/>
          <w:lang w:eastAsia="en-US"/>
        </w:rPr>
        <w:t xml:space="preserve"> budowę. Konkretyzacja wymogów określonych w decyzji </w:t>
      </w:r>
      <w:r w:rsidR="00F47DA4" w:rsidRPr="00E50952">
        <w:rPr>
          <w:rFonts w:ascii="Lato" w:eastAsiaTheme="minorHAnsi" w:hAnsi="Lato" w:cs="Arial"/>
          <w:bCs/>
          <w:iCs/>
          <w:spacing w:val="4"/>
          <w:sz w:val="22"/>
          <w:szCs w:val="22"/>
          <w:lang w:eastAsia="en-US"/>
        </w:rPr>
        <w:br/>
      </w:r>
      <w:r w:rsidRPr="00E50952">
        <w:rPr>
          <w:rFonts w:ascii="Lato" w:eastAsiaTheme="minorHAnsi" w:hAnsi="Lato" w:cs="Arial"/>
          <w:bCs/>
          <w:iCs/>
          <w:spacing w:val="4"/>
          <w:sz w:val="22"/>
          <w:szCs w:val="22"/>
          <w:lang w:eastAsia="en-US"/>
        </w:rPr>
        <w:t>o ustaleniu lokalizacji</w:t>
      </w:r>
      <w:r w:rsidR="00F47DA4" w:rsidRPr="00E50952">
        <w:rPr>
          <w:rFonts w:ascii="Lato" w:eastAsiaTheme="minorHAnsi" w:hAnsi="Lato" w:cs="Arial"/>
          <w:bCs/>
          <w:iCs/>
          <w:spacing w:val="4"/>
          <w:sz w:val="22"/>
          <w:szCs w:val="22"/>
          <w:lang w:eastAsia="en-US"/>
        </w:rPr>
        <w:t xml:space="preserve"> strategicznej </w:t>
      </w:r>
      <w:r w:rsidRPr="00E50952">
        <w:rPr>
          <w:rFonts w:ascii="Lato" w:eastAsiaTheme="minorHAnsi" w:hAnsi="Lato" w:cs="Arial"/>
          <w:bCs/>
          <w:iCs/>
          <w:spacing w:val="4"/>
          <w:sz w:val="22"/>
          <w:szCs w:val="22"/>
          <w:lang w:eastAsia="en-US"/>
        </w:rPr>
        <w:t xml:space="preserve">inwestycji w </w:t>
      </w:r>
      <w:r w:rsidR="00F47DA4" w:rsidRPr="00E50952">
        <w:rPr>
          <w:rFonts w:ascii="Lato" w:eastAsiaTheme="minorHAnsi" w:hAnsi="Lato" w:cs="Arial"/>
          <w:bCs/>
          <w:iCs/>
          <w:spacing w:val="4"/>
          <w:sz w:val="22"/>
          <w:szCs w:val="22"/>
          <w:lang w:eastAsia="en-US"/>
        </w:rPr>
        <w:t>sektorze naftowym</w:t>
      </w:r>
      <w:r w:rsidRPr="00E50952">
        <w:rPr>
          <w:rFonts w:ascii="Lato" w:eastAsiaTheme="minorHAnsi" w:hAnsi="Lato" w:cs="Arial"/>
          <w:bCs/>
          <w:iCs/>
          <w:spacing w:val="4"/>
          <w:sz w:val="22"/>
          <w:szCs w:val="22"/>
          <w:lang w:eastAsia="en-US"/>
        </w:rPr>
        <w:t xml:space="preserve"> nastąpić może dopiero na kolejnych etapach realizacji inwestycji.</w:t>
      </w:r>
      <w:r w:rsidRPr="000178F3">
        <w:rPr>
          <w:rFonts w:ascii="Lato" w:eastAsiaTheme="minorHAnsi" w:hAnsi="Lato" w:cs="Arial"/>
          <w:bCs/>
          <w:iCs/>
          <w:spacing w:val="4"/>
          <w:sz w:val="22"/>
          <w:szCs w:val="22"/>
          <w:lang w:eastAsia="en-US"/>
        </w:rPr>
        <w:t xml:space="preserve"> </w:t>
      </w:r>
    </w:p>
    <w:p w14:paraId="4AC1CFF4" w14:textId="76B51575" w:rsidR="000178F3" w:rsidRPr="000178F3" w:rsidRDefault="000178F3" w:rsidP="000178F3">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178F3">
        <w:rPr>
          <w:rFonts w:ascii="Lato" w:eastAsiaTheme="minorHAnsi" w:hAnsi="Lato" w:cs="Arial"/>
          <w:bCs/>
          <w:iCs/>
          <w:spacing w:val="4"/>
          <w:sz w:val="22"/>
          <w:szCs w:val="22"/>
          <w:lang w:eastAsia="en-US"/>
        </w:rPr>
        <w:t xml:space="preserve">Ponadto, zawarty w art. </w:t>
      </w:r>
      <w:r w:rsidR="00BD7B05">
        <w:rPr>
          <w:rFonts w:ascii="Lato" w:eastAsiaTheme="minorHAnsi" w:hAnsi="Lato" w:cs="Arial"/>
          <w:bCs/>
          <w:iCs/>
          <w:spacing w:val="4"/>
          <w:sz w:val="22"/>
          <w:szCs w:val="22"/>
          <w:lang w:eastAsia="en-US"/>
        </w:rPr>
        <w:t>8</w:t>
      </w:r>
      <w:r w:rsidRPr="000178F3">
        <w:rPr>
          <w:rFonts w:ascii="Lato" w:eastAsiaTheme="minorHAnsi" w:hAnsi="Lato" w:cs="Arial"/>
          <w:bCs/>
          <w:iCs/>
          <w:spacing w:val="4"/>
          <w:sz w:val="22"/>
          <w:szCs w:val="22"/>
          <w:lang w:eastAsia="en-US"/>
        </w:rPr>
        <w:t xml:space="preserve"> ust. 1 pkt 5 </w:t>
      </w:r>
      <w:r w:rsidRPr="000178F3">
        <w:rPr>
          <w:rFonts w:ascii="Lato" w:eastAsiaTheme="minorHAnsi" w:hAnsi="Lato" w:cs="Arial"/>
          <w:bCs/>
          <w:i/>
          <w:iCs/>
          <w:spacing w:val="4"/>
          <w:sz w:val="22"/>
          <w:szCs w:val="22"/>
          <w:lang w:eastAsia="en-US"/>
        </w:rPr>
        <w:t xml:space="preserve">specustawy </w:t>
      </w:r>
      <w:r w:rsidR="00BD7B05">
        <w:rPr>
          <w:rFonts w:ascii="Lato" w:eastAsiaTheme="minorHAnsi" w:hAnsi="Lato" w:cs="Arial"/>
          <w:bCs/>
          <w:i/>
          <w:iCs/>
          <w:spacing w:val="4"/>
          <w:sz w:val="22"/>
          <w:szCs w:val="22"/>
          <w:lang w:eastAsia="en-US"/>
        </w:rPr>
        <w:t>naftowej</w:t>
      </w:r>
      <w:r w:rsidRPr="000178F3">
        <w:rPr>
          <w:rFonts w:ascii="Lato" w:eastAsiaTheme="minorHAnsi" w:hAnsi="Lato" w:cs="Arial"/>
          <w:bCs/>
          <w:iCs/>
          <w:spacing w:val="4"/>
          <w:sz w:val="22"/>
          <w:szCs w:val="22"/>
          <w:lang w:eastAsia="en-US"/>
        </w:rPr>
        <w:t xml:space="preserve"> obowiązek uwzględnienia interesów osób trzecich należy interpretować w taki oto sposób, 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w:t>
      </w:r>
      <w:r w:rsidRPr="000178F3">
        <w:rPr>
          <w:rFonts w:ascii="Lato" w:eastAsiaTheme="minorHAnsi" w:hAnsi="Lato" w:cs="Arial"/>
          <w:bCs/>
          <w:iCs/>
          <w:spacing w:val="4"/>
          <w:sz w:val="22"/>
          <w:szCs w:val="22"/>
          <w:lang w:eastAsia="en-US"/>
        </w:rPr>
        <w:br/>
        <w:t xml:space="preserve">do zaakceptowania w ramach reguł praworządności. Uznanie, że ochronie podlegać winien interes faktyczny, mogłoby prowadzić do paraliżu inwestycji </w:t>
      </w:r>
      <w:r w:rsidR="001F7CA9">
        <w:rPr>
          <w:rFonts w:ascii="Lato" w:eastAsiaTheme="minorHAnsi" w:hAnsi="Lato" w:cs="Arial"/>
          <w:bCs/>
          <w:iCs/>
          <w:spacing w:val="4"/>
          <w:sz w:val="22"/>
          <w:szCs w:val="22"/>
          <w:lang w:eastAsia="en-US"/>
        </w:rPr>
        <w:t>naftowej</w:t>
      </w:r>
      <w:r w:rsidRPr="000178F3">
        <w:rPr>
          <w:rFonts w:ascii="Lato" w:eastAsiaTheme="minorHAnsi" w:hAnsi="Lato" w:cs="Arial"/>
          <w:bCs/>
          <w:iCs/>
          <w:spacing w:val="4"/>
          <w:sz w:val="22"/>
          <w:szCs w:val="22"/>
          <w:lang w:eastAsia="en-US"/>
        </w:rPr>
        <w:t xml:space="preserve">, nie zaś </w:t>
      </w:r>
      <w:r w:rsidRPr="000178F3">
        <w:rPr>
          <w:rFonts w:ascii="Lato" w:eastAsiaTheme="minorHAnsi" w:hAnsi="Lato" w:cs="Arial"/>
          <w:bCs/>
          <w:iCs/>
          <w:spacing w:val="4"/>
          <w:sz w:val="22"/>
          <w:szCs w:val="22"/>
          <w:lang w:eastAsia="en-US"/>
        </w:rPr>
        <w:br/>
        <w:t>do zapewnienia poszanowania praw, które są zagrożone w związku z planowaną inwestycją.</w:t>
      </w:r>
      <w:r w:rsidRPr="000178F3">
        <w:rPr>
          <w:rFonts w:ascii="Lato" w:eastAsiaTheme="minorHAnsi" w:hAnsi="Lato" w:cs="Arial"/>
          <w:bCs/>
          <w:iCs/>
          <w:spacing w:val="4"/>
          <w:sz w:val="22"/>
          <w:szCs w:val="22"/>
          <w:lang w:eastAsia="en-US" w:bidi="pl-PL"/>
        </w:rPr>
        <w:t xml:space="preserve"> </w:t>
      </w:r>
    </w:p>
    <w:p w14:paraId="358EBD55" w14:textId="129A8D44" w:rsidR="00BB6793" w:rsidRDefault="000178F3" w:rsidP="000178F3">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0178F3">
        <w:rPr>
          <w:rFonts w:ascii="Lato" w:eastAsiaTheme="minorHAnsi" w:hAnsi="Lato" w:cs="Arial"/>
          <w:bCs/>
          <w:iCs/>
          <w:spacing w:val="4"/>
          <w:sz w:val="22"/>
          <w:szCs w:val="22"/>
          <w:lang w:eastAsia="en-US" w:bidi="pl-PL"/>
        </w:rPr>
        <w:t xml:space="preserve">Wyjaśnić także należy, co istotne, iż </w:t>
      </w:r>
      <w:r w:rsidRPr="000178F3">
        <w:rPr>
          <w:rFonts w:ascii="Lato" w:eastAsiaTheme="minorHAnsi" w:hAnsi="Lato" w:cs="Arial"/>
          <w:bCs/>
          <w:spacing w:val="4"/>
          <w:sz w:val="22"/>
          <w:szCs w:val="22"/>
          <w:lang w:eastAsia="en-US"/>
        </w:rPr>
        <w:t>przedmiotow</w:t>
      </w:r>
      <w:r w:rsidR="00BB6793">
        <w:rPr>
          <w:rFonts w:ascii="Lato" w:eastAsiaTheme="minorHAnsi" w:hAnsi="Lato" w:cs="Arial"/>
          <w:bCs/>
          <w:spacing w:val="4"/>
          <w:sz w:val="22"/>
          <w:szCs w:val="22"/>
          <w:lang w:eastAsia="en-US"/>
        </w:rPr>
        <w:t>e</w:t>
      </w:r>
      <w:r w:rsidRPr="000178F3">
        <w:rPr>
          <w:rFonts w:ascii="Lato" w:eastAsiaTheme="minorHAnsi" w:hAnsi="Lato" w:cs="Arial"/>
          <w:bCs/>
          <w:spacing w:val="4"/>
          <w:sz w:val="22"/>
          <w:szCs w:val="22"/>
          <w:lang w:eastAsia="en-US"/>
        </w:rPr>
        <w:t xml:space="preserve"> nieruchomość skarżąc</w:t>
      </w:r>
      <w:r w:rsidR="00BB6793">
        <w:rPr>
          <w:rFonts w:ascii="Lato" w:eastAsiaTheme="minorHAnsi" w:hAnsi="Lato" w:cs="Arial"/>
          <w:bCs/>
          <w:spacing w:val="4"/>
          <w:sz w:val="22"/>
          <w:szCs w:val="22"/>
          <w:lang w:eastAsia="en-US"/>
        </w:rPr>
        <w:t>ych</w:t>
      </w:r>
      <w:r w:rsidRPr="000178F3">
        <w:rPr>
          <w:rFonts w:ascii="Lato" w:eastAsiaTheme="minorHAnsi" w:hAnsi="Lato" w:cs="Arial"/>
          <w:bCs/>
          <w:spacing w:val="4"/>
          <w:sz w:val="22"/>
          <w:szCs w:val="22"/>
          <w:lang w:eastAsia="en-US"/>
        </w:rPr>
        <w:t xml:space="preserve"> podlega</w:t>
      </w:r>
      <w:r w:rsidR="00BB6793">
        <w:rPr>
          <w:rFonts w:ascii="Lato" w:eastAsiaTheme="minorHAnsi" w:hAnsi="Lato" w:cs="Arial"/>
          <w:bCs/>
          <w:spacing w:val="4"/>
          <w:sz w:val="22"/>
          <w:szCs w:val="22"/>
          <w:lang w:eastAsia="en-US"/>
        </w:rPr>
        <w:t>ją</w:t>
      </w:r>
      <w:r w:rsidRPr="000178F3">
        <w:rPr>
          <w:rFonts w:ascii="Lato" w:eastAsiaTheme="minorHAnsi" w:hAnsi="Lato" w:cs="Arial"/>
          <w:bCs/>
          <w:spacing w:val="4"/>
          <w:sz w:val="22"/>
          <w:szCs w:val="22"/>
          <w:lang w:eastAsia="en-US"/>
        </w:rPr>
        <w:t xml:space="preserve"> </w:t>
      </w:r>
      <w:r w:rsidRPr="000178F3">
        <w:rPr>
          <w:rFonts w:ascii="Lato" w:eastAsiaTheme="minorHAnsi" w:hAnsi="Lato" w:cs="Arial"/>
          <w:bCs/>
          <w:spacing w:val="4"/>
          <w:sz w:val="22"/>
          <w:szCs w:val="22"/>
          <w:lang w:eastAsia="en-US"/>
        </w:rPr>
        <w:br/>
        <w:t xml:space="preserve">w </w:t>
      </w:r>
      <w:r w:rsidRPr="000178F3">
        <w:rPr>
          <w:rFonts w:ascii="Lato" w:eastAsiaTheme="minorHAnsi" w:hAnsi="Lato" w:cs="Arial"/>
          <w:bCs/>
          <w:i/>
          <w:iCs/>
          <w:spacing w:val="4"/>
          <w:sz w:val="22"/>
          <w:szCs w:val="22"/>
          <w:lang w:eastAsia="en-US"/>
        </w:rPr>
        <w:t xml:space="preserve">decyzji Wojewody </w:t>
      </w:r>
      <w:r w:rsidR="00BB6793">
        <w:rPr>
          <w:rFonts w:ascii="Lato" w:eastAsiaTheme="minorHAnsi" w:hAnsi="Lato" w:cs="Arial"/>
          <w:bCs/>
          <w:i/>
          <w:iCs/>
          <w:spacing w:val="4"/>
          <w:sz w:val="22"/>
          <w:szCs w:val="22"/>
          <w:lang w:eastAsia="en-US"/>
        </w:rPr>
        <w:t>Mazowieckiego</w:t>
      </w:r>
      <w:r w:rsidRPr="000178F3">
        <w:rPr>
          <w:rFonts w:ascii="Lato" w:eastAsiaTheme="minorHAnsi" w:hAnsi="Lato" w:cs="Arial"/>
          <w:bCs/>
          <w:spacing w:val="4"/>
          <w:sz w:val="22"/>
          <w:szCs w:val="22"/>
          <w:lang w:eastAsia="en-US"/>
        </w:rPr>
        <w:t xml:space="preserve"> ograniczeniu w korzystaniu</w:t>
      </w:r>
      <w:r w:rsidR="007F4BE5">
        <w:rPr>
          <w:rFonts w:ascii="Lato" w:eastAsiaTheme="minorHAnsi" w:hAnsi="Lato" w:cs="Arial"/>
          <w:bCs/>
          <w:spacing w:val="4"/>
          <w:sz w:val="22"/>
          <w:szCs w:val="22"/>
          <w:lang w:eastAsia="en-US"/>
        </w:rPr>
        <w:t xml:space="preserve"> z związku z art. 30 ust. 1 i ust. 3 </w:t>
      </w:r>
      <w:r w:rsidR="007F4BE5" w:rsidRPr="007F4BE5">
        <w:rPr>
          <w:rFonts w:ascii="Lato" w:eastAsiaTheme="minorHAnsi" w:hAnsi="Lato" w:cs="Arial"/>
          <w:bCs/>
          <w:i/>
          <w:iCs/>
          <w:spacing w:val="4"/>
          <w:sz w:val="22"/>
          <w:szCs w:val="22"/>
          <w:lang w:eastAsia="en-US"/>
        </w:rPr>
        <w:t>specustawy naftowej</w:t>
      </w:r>
      <w:r w:rsidRPr="000178F3">
        <w:rPr>
          <w:rFonts w:ascii="Lato" w:eastAsiaTheme="minorHAnsi" w:hAnsi="Lato" w:cs="Arial"/>
          <w:bCs/>
          <w:spacing w:val="4"/>
          <w:sz w:val="22"/>
          <w:szCs w:val="22"/>
          <w:lang w:eastAsia="en-US" w:bidi="pl-PL"/>
        </w:rPr>
        <w:t xml:space="preserve">, a nie wywłaszczeniu (przejęciu na rzecz Skarbu Państwa) </w:t>
      </w:r>
      <w:r w:rsidR="008A6EE5">
        <w:rPr>
          <w:rFonts w:ascii="Lato" w:eastAsiaTheme="minorHAnsi" w:hAnsi="Lato" w:cs="Arial"/>
          <w:bCs/>
          <w:spacing w:val="4"/>
          <w:sz w:val="22"/>
          <w:szCs w:val="22"/>
          <w:lang w:eastAsia="en-US" w:bidi="pl-PL"/>
        </w:rPr>
        <w:br/>
      </w:r>
      <w:r w:rsidRPr="000178F3">
        <w:rPr>
          <w:rFonts w:ascii="Lato" w:eastAsiaTheme="minorHAnsi" w:hAnsi="Lato" w:cs="Arial"/>
          <w:bCs/>
          <w:spacing w:val="4"/>
          <w:sz w:val="22"/>
          <w:szCs w:val="22"/>
          <w:lang w:eastAsia="en-US" w:bidi="pl-PL"/>
        </w:rPr>
        <w:t xml:space="preserve">i w wyniku wydania </w:t>
      </w:r>
      <w:r w:rsidRPr="000178F3">
        <w:rPr>
          <w:rFonts w:ascii="Lato" w:eastAsiaTheme="minorHAnsi" w:hAnsi="Lato" w:cs="Arial"/>
          <w:bCs/>
          <w:i/>
          <w:iCs/>
          <w:spacing w:val="4"/>
          <w:sz w:val="22"/>
          <w:szCs w:val="22"/>
          <w:lang w:eastAsia="en-US" w:bidi="pl-PL"/>
        </w:rPr>
        <w:t xml:space="preserve">decyzji Wojewody </w:t>
      </w:r>
      <w:r w:rsidR="00BB6793">
        <w:rPr>
          <w:rFonts w:ascii="Lato" w:eastAsiaTheme="minorHAnsi" w:hAnsi="Lato" w:cs="Arial"/>
          <w:bCs/>
          <w:i/>
          <w:iCs/>
          <w:spacing w:val="4"/>
          <w:sz w:val="22"/>
          <w:szCs w:val="22"/>
          <w:lang w:eastAsia="en-US" w:bidi="pl-PL"/>
        </w:rPr>
        <w:t>Mazowieckiego</w:t>
      </w:r>
      <w:r w:rsidRPr="000178F3">
        <w:rPr>
          <w:rFonts w:ascii="Lato" w:eastAsiaTheme="minorHAnsi" w:hAnsi="Lato" w:cs="Arial"/>
          <w:bCs/>
          <w:i/>
          <w:iCs/>
          <w:spacing w:val="4"/>
          <w:sz w:val="22"/>
          <w:szCs w:val="22"/>
          <w:lang w:eastAsia="en-US" w:bidi="pl-PL"/>
        </w:rPr>
        <w:t xml:space="preserve"> </w:t>
      </w:r>
      <w:r w:rsidRPr="000178F3">
        <w:rPr>
          <w:rFonts w:ascii="Lato" w:eastAsiaTheme="minorHAnsi" w:hAnsi="Lato" w:cs="Arial"/>
          <w:bCs/>
          <w:spacing w:val="4"/>
          <w:sz w:val="22"/>
          <w:szCs w:val="22"/>
          <w:lang w:eastAsia="en-US" w:bidi="pl-PL"/>
        </w:rPr>
        <w:t>działk</w:t>
      </w:r>
      <w:r w:rsidR="00BB6793">
        <w:rPr>
          <w:rFonts w:ascii="Lato" w:eastAsiaTheme="minorHAnsi" w:hAnsi="Lato" w:cs="Arial"/>
          <w:bCs/>
          <w:spacing w:val="4"/>
          <w:sz w:val="22"/>
          <w:szCs w:val="22"/>
          <w:lang w:eastAsia="en-US" w:bidi="pl-PL"/>
        </w:rPr>
        <w:t>i</w:t>
      </w:r>
      <w:r w:rsidRPr="000178F3">
        <w:rPr>
          <w:rFonts w:ascii="Lato" w:eastAsiaTheme="minorHAnsi" w:hAnsi="Lato" w:cs="Arial"/>
          <w:bCs/>
          <w:spacing w:val="4"/>
          <w:sz w:val="22"/>
          <w:szCs w:val="22"/>
          <w:lang w:eastAsia="en-US" w:bidi="pl-PL"/>
        </w:rPr>
        <w:t xml:space="preserve"> skarżąc</w:t>
      </w:r>
      <w:r w:rsidR="00BB6793">
        <w:rPr>
          <w:rFonts w:ascii="Lato" w:eastAsiaTheme="minorHAnsi" w:hAnsi="Lato" w:cs="Arial"/>
          <w:bCs/>
          <w:spacing w:val="4"/>
          <w:sz w:val="22"/>
          <w:szCs w:val="22"/>
          <w:lang w:eastAsia="en-US" w:bidi="pl-PL"/>
        </w:rPr>
        <w:t>ych</w:t>
      </w:r>
      <w:r w:rsidRPr="000178F3">
        <w:rPr>
          <w:rFonts w:ascii="Lato" w:eastAsiaTheme="minorHAnsi" w:hAnsi="Lato" w:cs="Arial"/>
          <w:bCs/>
          <w:spacing w:val="4"/>
          <w:sz w:val="22"/>
          <w:szCs w:val="22"/>
          <w:lang w:eastAsia="en-US" w:bidi="pl-PL"/>
        </w:rPr>
        <w:t xml:space="preserve"> </w:t>
      </w:r>
      <w:r w:rsidR="00BB6793">
        <w:rPr>
          <w:rFonts w:ascii="Lato" w:eastAsiaTheme="minorHAnsi" w:hAnsi="Lato" w:cs="Arial"/>
          <w:bCs/>
          <w:spacing w:val="4"/>
          <w:sz w:val="22"/>
          <w:szCs w:val="22"/>
          <w:lang w:eastAsia="en-US" w:bidi="pl-PL"/>
        </w:rPr>
        <w:t>pozbawione zostaną walorów zdatności do zamieszkania i możliwości późniejszej sprzedaży</w:t>
      </w:r>
      <w:r w:rsidR="00546184">
        <w:rPr>
          <w:rFonts w:ascii="Lato" w:eastAsiaTheme="minorHAnsi" w:hAnsi="Lato" w:cs="Arial"/>
          <w:bCs/>
          <w:spacing w:val="4"/>
          <w:sz w:val="22"/>
          <w:szCs w:val="22"/>
          <w:lang w:eastAsia="en-US" w:bidi="pl-PL"/>
        </w:rPr>
        <w:t>.</w:t>
      </w:r>
    </w:p>
    <w:p w14:paraId="091B3CE3" w14:textId="6AA03258" w:rsidR="000178F3" w:rsidRPr="000178F3" w:rsidRDefault="000178F3" w:rsidP="000178F3">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178F3">
        <w:rPr>
          <w:rFonts w:ascii="Lato" w:eastAsiaTheme="minorHAnsi" w:hAnsi="Lato" w:cs="Arial"/>
          <w:bCs/>
          <w:iCs/>
          <w:spacing w:val="4"/>
          <w:sz w:val="22"/>
          <w:szCs w:val="22"/>
          <w:lang w:eastAsia="en-US" w:bidi="pl-PL"/>
        </w:rPr>
        <w:t xml:space="preserve">Warto także </w:t>
      </w:r>
      <w:r w:rsidR="001F7CA9">
        <w:rPr>
          <w:rFonts w:ascii="Lato" w:eastAsiaTheme="minorHAnsi" w:hAnsi="Lato" w:cs="Arial"/>
          <w:bCs/>
          <w:iCs/>
          <w:spacing w:val="4"/>
          <w:sz w:val="22"/>
          <w:szCs w:val="22"/>
          <w:lang w:eastAsia="en-US" w:bidi="pl-PL"/>
        </w:rPr>
        <w:t>zaznaczyć</w:t>
      </w:r>
      <w:r w:rsidRPr="000178F3">
        <w:rPr>
          <w:rFonts w:ascii="Lato" w:eastAsiaTheme="minorHAnsi" w:hAnsi="Lato" w:cs="Arial"/>
          <w:bCs/>
          <w:iCs/>
          <w:spacing w:val="4"/>
          <w:sz w:val="22"/>
          <w:szCs w:val="22"/>
          <w:lang w:eastAsia="en-US" w:bidi="pl-PL"/>
        </w:rPr>
        <w:t xml:space="preserve">, iż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w:t>
      </w:r>
      <w:r w:rsidR="00546184">
        <w:rPr>
          <w:rFonts w:ascii="Lato" w:eastAsiaTheme="minorHAnsi" w:hAnsi="Lato" w:cs="Arial"/>
          <w:bCs/>
          <w:iCs/>
          <w:spacing w:val="4"/>
          <w:sz w:val="22"/>
          <w:szCs w:val="22"/>
          <w:lang w:eastAsia="en-US" w:bidi="pl-PL"/>
        </w:rPr>
        <w:t>rurociągu</w:t>
      </w:r>
      <w:r w:rsidRPr="000178F3">
        <w:rPr>
          <w:rFonts w:ascii="Lato" w:eastAsiaTheme="minorHAnsi" w:hAnsi="Lato" w:cs="Arial"/>
          <w:bCs/>
          <w:iCs/>
          <w:spacing w:val="4"/>
          <w:sz w:val="22"/>
          <w:szCs w:val="22"/>
          <w:lang w:eastAsia="en-US" w:bidi="pl-PL"/>
        </w:rPr>
        <w:t xml:space="preserve"> powodują, że niemożliwe jest dowolne kształtowanie jego przebiegu. Projektowanie </w:t>
      </w:r>
      <w:r w:rsidR="00546184">
        <w:rPr>
          <w:rFonts w:ascii="Lato" w:eastAsiaTheme="minorHAnsi" w:hAnsi="Lato" w:cs="Arial"/>
          <w:bCs/>
          <w:iCs/>
          <w:spacing w:val="4"/>
          <w:sz w:val="22"/>
          <w:szCs w:val="22"/>
          <w:lang w:eastAsia="en-US" w:bidi="pl-PL"/>
        </w:rPr>
        <w:t>rurociągu przesyłowego ropy naftowej</w:t>
      </w:r>
      <w:r w:rsidRPr="000178F3">
        <w:rPr>
          <w:rFonts w:ascii="Lato" w:eastAsiaTheme="minorHAnsi" w:hAnsi="Lato" w:cs="Arial"/>
          <w:bCs/>
          <w:iCs/>
          <w:spacing w:val="4"/>
          <w:sz w:val="22"/>
          <w:szCs w:val="22"/>
          <w:lang w:eastAsia="en-US" w:bidi="pl-PL"/>
        </w:rPr>
        <w:t xml:space="preserve">,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 (por. wyrok Wojewódzkiego Sądu Administracyjnego w Warszawie z dnia 21 kwietnia </w:t>
      </w:r>
      <w:r w:rsidR="00546184">
        <w:rPr>
          <w:rFonts w:ascii="Lato" w:eastAsiaTheme="minorHAnsi" w:hAnsi="Lato" w:cs="Arial"/>
          <w:bCs/>
          <w:iCs/>
          <w:spacing w:val="4"/>
          <w:sz w:val="22"/>
          <w:szCs w:val="22"/>
          <w:lang w:eastAsia="en-US" w:bidi="pl-PL"/>
        </w:rPr>
        <w:br/>
      </w:r>
      <w:r w:rsidRPr="000178F3">
        <w:rPr>
          <w:rFonts w:ascii="Lato" w:eastAsiaTheme="minorHAnsi" w:hAnsi="Lato" w:cs="Arial"/>
          <w:bCs/>
          <w:iCs/>
          <w:spacing w:val="4"/>
          <w:sz w:val="22"/>
          <w:szCs w:val="22"/>
          <w:lang w:eastAsia="en-US" w:bidi="pl-PL"/>
        </w:rPr>
        <w:t>2021 r., sygn. akt VII SA/Wa 364/21, opubl. Centralna Baza Orzeczeń Sądów Administracyjnych).</w:t>
      </w:r>
    </w:p>
    <w:bookmarkEnd w:id="23"/>
    <w:p w14:paraId="139F88CB" w14:textId="1D94CE4C" w:rsidR="00FC498E" w:rsidRDefault="000178F3" w:rsidP="00FC498E">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178F3">
        <w:rPr>
          <w:rFonts w:ascii="Lato" w:eastAsiaTheme="minorHAnsi" w:hAnsi="Lato" w:cs="Arial"/>
          <w:bCs/>
          <w:iCs/>
          <w:spacing w:val="4"/>
          <w:sz w:val="22"/>
          <w:szCs w:val="22"/>
          <w:lang w:eastAsia="en-US" w:bidi="pl-PL"/>
        </w:rPr>
        <w:t xml:space="preserve">Odnosząc się zaś do </w:t>
      </w:r>
      <w:r w:rsidR="00FC498E">
        <w:rPr>
          <w:rFonts w:ascii="Lato" w:eastAsiaTheme="minorHAnsi" w:hAnsi="Lato" w:cs="Arial"/>
          <w:bCs/>
          <w:iCs/>
          <w:spacing w:val="4"/>
          <w:sz w:val="22"/>
          <w:szCs w:val="22"/>
          <w:lang w:eastAsia="en-US" w:bidi="pl-PL"/>
        </w:rPr>
        <w:t xml:space="preserve">zarzutu naruszenia art. </w:t>
      </w:r>
      <w:r w:rsidR="00824F89">
        <w:rPr>
          <w:rFonts w:ascii="Lato" w:eastAsiaTheme="minorHAnsi" w:hAnsi="Lato" w:cs="Arial"/>
          <w:bCs/>
          <w:iCs/>
          <w:spacing w:val="4"/>
          <w:sz w:val="22"/>
          <w:szCs w:val="22"/>
          <w:lang w:eastAsia="en-US" w:bidi="pl-PL"/>
        </w:rPr>
        <w:t>7 i</w:t>
      </w:r>
      <w:r w:rsidR="00FC498E">
        <w:rPr>
          <w:rFonts w:ascii="Lato" w:eastAsiaTheme="minorHAnsi" w:hAnsi="Lato" w:cs="Arial"/>
          <w:bCs/>
          <w:iCs/>
          <w:spacing w:val="4"/>
          <w:sz w:val="22"/>
          <w:szCs w:val="22"/>
          <w:lang w:eastAsia="en-US" w:bidi="pl-PL"/>
        </w:rPr>
        <w:t xml:space="preserve"> </w:t>
      </w:r>
      <w:r w:rsidR="000C6FAC">
        <w:rPr>
          <w:rFonts w:ascii="Lato" w:eastAsiaTheme="minorHAnsi" w:hAnsi="Lato" w:cs="Arial"/>
          <w:bCs/>
          <w:iCs/>
          <w:spacing w:val="4"/>
          <w:sz w:val="22"/>
          <w:szCs w:val="22"/>
          <w:lang w:eastAsia="en-US" w:bidi="pl-PL"/>
        </w:rPr>
        <w:t xml:space="preserve">80 </w:t>
      </w:r>
      <w:r w:rsidR="000C6FAC" w:rsidRPr="00420B65">
        <w:rPr>
          <w:rFonts w:ascii="Lato" w:eastAsiaTheme="minorHAnsi" w:hAnsi="Lato" w:cs="Arial"/>
          <w:bCs/>
          <w:i/>
          <w:spacing w:val="4"/>
          <w:sz w:val="22"/>
          <w:szCs w:val="22"/>
          <w:lang w:eastAsia="en-US" w:bidi="pl-PL"/>
        </w:rPr>
        <w:t>kpa</w:t>
      </w:r>
      <w:r w:rsidR="000C6FAC">
        <w:rPr>
          <w:rFonts w:ascii="Lato" w:eastAsiaTheme="minorHAnsi" w:hAnsi="Lato" w:cs="Arial"/>
          <w:bCs/>
          <w:iCs/>
          <w:spacing w:val="4"/>
          <w:sz w:val="22"/>
          <w:szCs w:val="22"/>
          <w:lang w:eastAsia="en-US" w:bidi="pl-PL"/>
        </w:rPr>
        <w:t xml:space="preserve"> </w:t>
      </w:r>
      <w:r w:rsidR="00FC498E">
        <w:rPr>
          <w:rFonts w:ascii="Lato" w:eastAsiaTheme="minorHAnsi" w:hAnsi="Lato" w:cs="Arial"/>
          <w:bCs/>
          <w:iCs/>
          <w:spacing w:val="4"/>
          <w:sz w:val="22"/>
          <w:szCs w:val="22"/>
          <w:lang w:eastAsia="en-US" w:bidi="pl-PL"/>
        </w:rPr>
        <w:t xml:space="preserve">w związku </w:t>
      </w:r>
      <w:r w:rsidR="008A6EE5">
        <w:rPr>
          <w:rFonts w:ascii="Lato" w:eastAsiaTheme="minorHAnsi" w:hAnsi="Lato" w:cs="Arial"/>
          <w:bCs/>
          <w:iCs/>
          <w:spacing w:val="4"/>
          <w:sz w:val="22"/>
          <w:szCs w:val="22"/>
          <w:lang w:eastAsia="en-US" w:bidi="pl-PL"/>
        </w:rPr>
        <w:t xml:space="preserve">z </w:t>
      </w:r>
      <w:r w:rsidR="00FC498E">
        <w:rPr>
          <w:rFonts w:ascii="Lato" w:eastAsiaTheme="minorHAnsi" w:hAnsi="Lato" w:cs="Arial"/>
          <w:bCs/>
          <w:iCs/>
          <w:spacing w:val="4"/>
          <w:sz w:val="22"/>
          <w:szCs w:val="22"/>
          <w:lang w:eastAsia="en-US" w:bidi="pl-PL"/>
        </w:rPr>
        <w:t>naruszeniem ochrony interesów osób trzecich warto wskazać, że</w:t>
      </w:r>
      <w:r w:rsidR="00FC498E" w:rsidRPr="00FC498E">
        <w:rPr>
          <w:rFonts w:ascii="Lato" w:eastAsiaTheme="minorHAnsi" w:hAnsi="Lato" w:cs="Arial"/>
          <w:bCs/>
          <w:iCs/>
          <w:spacing w:val="4"/>
          <w:sz w:val="22"/>
          <w:szCs w:val="22"/>
          <w:lang w:eastAsia="en-US" w:bidi="pl-PL"/>
        </w:rPr>
        <w:t xml:space="preserve"> organ I instancji przeprowadził postępowanie w sprawie wydania </w:t>
      </w:r>
      <w:r w:rsidR="00FC498E" w:rsidRPr="00FC498E">
        <w:rPr>
          <w:rFonts w:ascii="Lato" w:eastAsiaTheme="minorHAnsi" w:hAnsi="Lato" w:cs="Arial"/>
          <w:bCs/>
          <w:i/>
          <w:iCs/>
          <w:spacing w:val="4"/>
          <w:sz w:val="22"/>
          <w:szCs w:val="22"/>
          <w:lang w:eastAsia="en-US" w:bidi="pl-PL"/>
        </w:rPr>
        <w:t xml:space="preserve">decyzji Wojewody </w:t>
      </w:r>
      <w:r w:rsidR="00FC498E">
        <w:rPr>
          <w:rFonts w:ascii="Lato" w:eastAsiaTheme="minorHAnsi" w:hAnsi="Lato" w:cs="Arial"/>
          <w:bCs/>
          <w:i/>
          <w:iCs/>
          <w:spacing w:val="4"/>
          <w:sz w:val="22"/>
          <w:szCs w:val="22"/>
          <w:lang w:eastAsia="en-US" w:bidi="pl-PL"/>
        </w:rPr>
        <w:t>Mazowieckiego</w:t>
      </w:r>
      <w:r w:rsidR="00FC498E" w:rsidRPr="00FC498E">
        <w:rPr>
          <w:rFonts w:ascii="Lato" w:eastAsiaTheme="minorHAnsi" w:hAnsi="Lato" w:cs="Arial"/>
          <w:bCs/>
          <w:iCs/>
          <w:spacing w:val="4"/>
          <w:sz w:val="22"/>
          <w:szCs w:val="22"/>
          <w:lang w:eastAsia="en-US" w:bidi="pl-PL"/>
        </w:rPr>
        <w:t xml:space="preserve"> - w zakresie dotyczącym interesu prawnego skarżących - w sposób zgodny z </w:t>
      </w:r>
      <w:r w:rsidR="00824F89">
        <w:rPr>
          <w:rFonts w:ascii="Lato" w:eastAsiaTheme="minorHAnsi" w:hAnsi="Lato" w:cs="Arial"/>
          <w:bCs/>
          <w:iCs/>
          <w:spacing w:val="4"/>
          <w:sz w:val="22"/>
          <w:szCs w:val="22"/>
          <w:lang w:eastAsia="en-US" w:bidi="pl-PL"/>
        </w:rPr>
        <w:t>ww. przepisami</w:t>
      </w:r>
      <w:r w:rsidR="001F7CA9">
        <w:rPr>
          <w:rFonts w:ascii="Lato" w:eastAsiaTheme="minorHAnsi" w:hAnsi="Lato" w:cs="Arial"/>
          <w:bCs/>
          <w:iCs/>
          <w:spacing w:val="4"/>
          <w:sz w:val="22"/>
          <w:szCs w:val="22"/>
          <w:lang w:eastAsia="en-US" w:bidi="pl-PL"/>
        </w:rPr>
        <w:t>.</w:t>
      </w:r>
      <w:r w:rsidR="00FC498E" w:rsidRPr="00FC498E">
        <w:rPr>
          <w:rFonts w:ascii="Lato" w:eastAsiaTheme="minorHAnsi" w:hAnsi="Lato" w:cs="Arial"/>
          <w:bCs/>
          <w:iCs/>
          <w:spacing w:val="4"/>
          <w:sz w:val="22"/>
          <w:szCs w:val="22"/>
          <w:lang w:eastAsia="en-US" w:bidi="pl-PL"/>
        </w:rPr>
        <w:t xml:space="preserve"> Wojewoda </w:t>
      </w:r>
      <w:r w:rsidR="00FC498E">
        <w:rPr>
          <w:rFonts w:ascii="Lato" w:eastAsiaTheme="minorHAnsi" w:hAnsi="Lato" w:cs="Arial"/>
          <w:bCs/>
          <w:iCs/>
          <w:spacing w:val="4"/>
          <w:sz w:val="22"/>
          <w:szCs w:val="22"/>
          <w:lang w:eastAsia="en-US" w:bidi="pl-PL"/>
        </w:rPr>
        <w:t>Mazowiecki</w:t>
      </w:r>
      <w:r w:rsidR="00FC498E" w:rsidRPr="00FC498E">
        <w:rPr>
          <w:rFonts w:ascii="Lato" w:eastAsiaTheme="minorHAnsi" w:hAnsi="Lato" w:cs="Arial"/>
          <w:bCs/>
          <w:iCs/>
          <w:spacing w:val="4"/>
          <w:sz w:val="22"/>
          <w:szCs w:val="22"/>
          <w:lang w:eastAsia="en-US" w:bidi="pl-PL"/>
        </w:rPr>
        <w:t xml:space="preserve"> przeprowadził postępowanie w sprawie wydania decyzji o ustaleniu lokalizacji przedmiotowej inwestycji w sposób właściwy i rozważył wszystkie okoliczności sprawy niezbędne do podjęcia rozstrzygnięcia w przedmiocie ustalenia lokalizacji inwestycji </w:t>
      </w:r>
      <w:r w:rsidR="001F7CA9">
        <w:rPr>
          <w:rFonts w:ascii="Lato" w:eastAsiaTheme="minorHAnsi" w:hAnsi="Lato" w:cs="Arial"/>
          <w:bCs/>
          <w:iCs/>
          <w:spacing w:val="4"/>
          <w:sz w:val="22"/>
          <w:szCs w:val="22"/>
          <w:lang w:eastAsia="en-US" w:bidi="pl-PL"/>
        </w:rPr>
        <w:br/>
      </w:r>
      <w:r w:rsidR="00FC498E" w:rsidRPr="00FC498E">
        <w:rPr>
          <w:rFonts w:ascii="Lato" w:eastAsiaTheme="minorHAnsi" w:hAnsi="Lato" w:cs="Arial"/>
          <w:bCs/>
          <w:iCs/>
          <w:spacing w:val="4"/>
          <w:sz w:val="22"/>
          <w:szCs w:val="22"/>
          <w:lang w:eastAsia="en-US" w:bidi="pl-PL"/>
        </w:rPr>
        <w:t xml:space="preserve">w zakresie </w:t>
      </w:r>
      <w:r w:rsidR="008A6EE5">
        <w:rPr>
          <w:rFonts w:ascii="Lato" w:eastAsiaTheme="minorHAnsi" w:hAnsi="Lato" w:cs="Arial"/>
          <w:bCs/>
          <w:iCs/>
          <w:spacing w:val="4"/>
          <w:sz w:val="22"/>
          <w:szCs w:val="22"/>
          <w:lang w:eastAsia="en-US" w:bidi="pl-PL"/>
        </w:rPr>
        <w:t>przedmiotowej inwestycji</w:t>
      </w:r>
      <w:r w:rsidR="00FC498E" w:rsidRPr="00FC498E">
        <w:rPr>
          <w:rFonts w:ascii="Lato" w:eastAsiaTheme="minorHAnsi" w:hAnsi="Lato" w:cs="Arial"/>
          <w:bCs/>
          <w:iCs/>
          <w:spacing w:val="4"/>
          <w:sz w:val="22"/>
          <w:szCs w:val="22"/>
          <w:lang w:eastAsia="en-US" w:bidi="pl-PL"/>
        </w:rPr>
        <w:t xml:space="preserve">, wyjaśniając przy tym podstawy prawne i faktyczne rozstrzygnięcia w sposób wystarczający, a ocena ta nie nosi </w:t>
      </w:r>
      <w:r w:rsidR="00FC498E" w:rsidRPr="009554A5">
        <w:rPr>
          <w:rFonts w:ascii="Lato" w:eastAsiaTheme="minorHAnsi" w:hAnsi="Lato" w:cs="Arial"/>
          <w:bCs/>
          <w:iCs/>
          <w:spacing w:val="4"/>
          <w:sz w:val="22"/>
          <w:szCs w:val="22"/>
          <w:lang w:eastAsia="en-US" w:bidi="pl-PL"/>
        </w:rPr>
        <w:t xml:space="preserve">cech dowolności. Wskazać należy przy tym, że kierowanie się przy wydaniu rozstrzygnięcia zasadami wyrażonymi </w:t>
      </w:r>
      <w:r w:rsidR="001F7CA9">
        <w:rPr>
          <w:rFonts w:ascii="Lato" w:eastAsiaTheme="minorHAnsi" w:hAnsi="Lato" w:cs="Arial"/>
          <w:bCs/>
          <w:iCs/>
          <w:spacing w:val="4"/>
          <w:sz w:val="22"/>
          <w:szCs w:val="22"/>
          <w:lang w:eastAsia="en-US" w:bidi="pl-PL"/>
        </w:rPr>
        <w:br/>
      </w:r>
      <w:r w:rsidR="00FC498E" w:rsidRPr="009554A5">
        <w:rPr>
          <w:rFonts w:ascii="Lato" w:eastAsiaTheme="minorHAnsi" w:hAnsi="Lato" w:cs="Arial"/>
          <w:bCs/>
          <w:iCs/>
          <w:spacing w:val="4"/>
          <w:sz w:val="22"/>
          <w:szCs w:val="22"/>
          <w:lang w:eastAsia="en-US" w:bidi="pl-PL"/>
        </w:rPr>
        <w:t xml:space="preserve">w przepisach art. 7 </w:t>
      </w:r>
      <w:r w:rsidR="000C6FAC" w:rsidRPr="009554A5">
        <w:rPr>
          <w:rFonts w:ascii="Lato" w:eastAsiaTheme="minorHAnsi" w:hAnsi="Lato" w:cs="Arial"/>
          <w:bCs/>
          <w:iCs/>
          <w:spacing w:val="4"/>
          <w:sz w:val="22"/>
          <w:szCs w:val="22"/>
          <w:lang w:eastAsia="en-US" w:bidi="pl-PL"/>
        </w:rPr>
        <w:t xml:space="preserve">i 80 </w:t>
      </w:r>
      <w:r w:rsidR="000C6FAC" w:rsidRPr="009554A5">
        <w:rPr>
          <w:rFonts w:ascii="Lato" w:eastAsiaTheme="minorHAnsi" w:hAnsi="Lato" w:cs="Arial"/>
          <w:bCs/>
          <w:i/>
          <w:spacing w:val="4"/>
          <w:sz w:val="22"/>
          <w:szCs w:val="22"/>
          <w:lang w:eastAsia="en-US" w:bidi="pl-PL"/>
        </w:rPr>
        <w:t>kpa</w:t>
      </w:r>
      <w:r w:rsidR="000C6FAC" w:rsidRPr="009554A5">
        <w:rPr>
          <w:rFonts w:ascii="Lato" w:eastAsiaTheme="minorHAnsi" w:hAnsi="Lato" w:cs="Arial"/>
          <w:bCs/>
          <w:iCs/>
          <w:spacing w:val="4"/>
          <w:sz w:val="22"/>
          <w:szCs w:val="22"/>
          <w:lang w:eastAsia="en-US" w:bidi="pl-PL"/>
        </w:rPr>
        <w:t xml:space="preserve"> </w:t>
      </w:r>
      <w:r w:rsidR="00FC498E" w:rsidRPr="009554A5">
        <w:rPr>
          <w:rFonts w:ascii="Lato" w:eastAsiaTheme="minorHAnsi" w:hAnsi="Lato" w:cs="Arial"/>
          <w:bCs/>
          <w:iCs/>
          <w:spacing w:val="4"/>
          <w:sz w:val="22"/>
          <w:szCs w:val="22"/>
          <w:lang w:eastAsia="en-US" w:bidi="pl-PL"/>
        </w:rPr>
        <w:t>nie zawsze musi oznaczać zadośćuczynienie żądaniu strony postępowania.</w:t>
      </w:r>
    </w:p>
    <w:p w14:paraId="21FE9CD1" w14:textId="6A9EAB89" w:rsidR="006D6750" w:rsidRDefault="006D6750" w:rsidP="006D6750">
      <w:pPr>
        <w:tabs>
          <w:tab w:val="left" w:pos="2977"/>
        </w:tabs>
        <w:spacing w:after="240" w:line="240" w:lineRule="exact"/>
        <w:jc w:val="both"/>
        <w:outlineLvl w:val="0"/>
        <w:rPr>
          <w:rFonts w:ascii="Lato" w:eastAsia="Calibri" w:hAnsi="Lato" w:cs="Arial"/>
          <w:bCs/>
          <w:iCs/>
          <w:spacing w:val="4"/>
          <w:sz w:val="22"/>
          <w:szCs w:val="22"/>
          <w:lang w:eastAsia="en-US" w:bidi="pl-PL"/>
        </w:rPr>
      </w:pPr>
      <w:bookmarkStart w:id="24" w:name="_Hlk122531874"/>
      <w:r>
        <w:rPr>
          <w:rFonts w:ascii="Lato" w:eastAsia="Calibri" w:hAnsi="Lato" w:cs="Arial"/>
          <w:bCs/>
          <w:iCs/>
          <w:spacing w:val="4"/>
          <w:sz w:val="22"/>
          <w:szCs w:val="22"/>
          <w:lang w:eastAsia="en-US" w:bidi="pl-PL"/>
        </w:rPr>
        <w:t>Wojewoda Mazowiecki orzekł o ustanowieniu służebności publicznej na ww. działkach skarżąc</w:t>
      </w:r>
      <w:r w:rsidR="00546184">
        <w:rPr>
          <w:rFonts w:ascii="Lato" w:eastAsia="Calibri" w:hAnsi="Lato" w:cs="Arial"/>
          <w:bCs/>
          <w:iCs/>
          <w:spacing w:val="4"/>
          <w:sz w:val="22"/>
          <w:szCs w:val="22"/>
          <w:lang w:eastAsia="en-US" w:bidi="pl-PL"/>
        </w:rPr>
        <w:t>ych</w:t>
      </w:r>
      <w:r>
        <w:rPr>
          <w:rFonts w:ascii="Lato" w:eastAsia="Calibri" w:hAnsi="Lato" w:cs="Arial"/>
          <w:bCs/>
          <w:iCs/>
          <w:spacing w:val="4"/>
          <w:sz w:val="22"/>
          <w:szCs w:val="22"/>
          <w:lang w:eastAsia="en-US" w:bidi="pl-PL"/>
        </w:rPr>
        <w:t xml:space="preserve"> nr: </w:t>
      </w:r>
      <w:r w:rsidR="006D0FFD">
        <w:rPr>
          <w:rFonts w:ascii="Lato" w:eastAsia="Calibri" w:hAnsi="Lato" w:cs="Arial"/>
          <w:bCs/>
          <w:iCs/>
          <w:spacing w:val="4"/>
          <w:sz w:val="22"/>
          <w:szCs w:val="22"/>
          <w:lang w:eastAsia="en-US" w:bidi="pl-PL"/>
        </w:rPr>
        <w:t>162 i 172 z obrębu 0020 Kurówko poprzez ograniczenie w</w:t>
      </w:r>
      <w:r>
        <w:rPr>
          <w:rFonts w:ascii="Lato" w:eastAsia="Calibri" w:hAnsi="Lato" w:cs="Arial"/>
          <w:bCs/>
          <w:iCs/>
          <w:spacing w:val="4"/>
          <w:sz w:val="22"/>
          <w:szCs w:val="22"/>
          <w:lang w:eastAsia="en-US" w:bidi="pl-PL"/>
        </w:rPr>
        <w:t xml:space="preserve"> korzystaniu </w:t>
      </w:r>
      <w:r w:rsidR="000E33E6">
        <w:rPr>
          <w:rFonts w:ascii="Lato" w:eastAsia="Calibri" w:hAnsi="Lato" w:cs="Arial"/>
          <w:bCs/>
          <w:iCs/>
          <w:spacing w:val="4"/>
          <w:sz w:val="22"/>
          <w:szCs w:val="22"/>
          <w:lang w:eastAsia="en-US" w:bidi="pl-PL"/>
        </w:rPr>
        <w:br/>
      </w:r>
      <w:r>
        <w:rPr>
          <w:rFonts w:ascii="Lato" w:eastAsia="Calibri" w:hAnsi="Lato" w:cs="Arial"/>
          <w:bCs/>
          <w:iCs/>
          <w:spacing w:val="4"/>
          <w:sz w:val="22"/>
          <w:szCs w:val="22"/>
          <w:lang w:eastAsia="en-US" w:bidi="pl-PL"/>
        </w:rPr>
        <w:t xml:space="preserve">z nieruchomości, </w:t>
      </w:r>
      <w:r w:rsidR="000E33E6">
        <w:rPr>
          <w:rFonts w:ascii="Lato" w:eastAsia="Calibri" w:hAnsi="Lato" w:cs="Arial"/>
          <w:bCs/>
          <w:iCs/>
          <w:spacing w:val="4"/>
          <w:sz w:val="22"/>
          <w:szCs w:val="22"/>
          <w:lang w:eastAsia="en-US" w:bidi="pl-PL"/>
        </w:rPr>
        <w:t xml:space="preserve">w związku z art. 30 ust. 1 i ust 3 </w:t>
      </w:r>
      <w:r w:rsidR="000E33E6" w:rsidRPr="00420B65">
        <w:rPr>
          <w:rFonts w:ascii="Lato" w:eastAsia="Calibri" w:hAnsi="Lato" w:cs="Arial"/>
          <w:bCs/>
          <w:i/>
          <w:spacing w:val="4"/>
          <w:sz w:val="22"/>
          <w:szCs w:val="22"/>
          <w:lang w:eastAsia="en-US" w:bidi="pl-PL"/>
        </w:rPr>
        <w:t>specustawy naftowej</w:t>
      </w:r>
      <w:r w:rsidRPr="00420B65">
        <w:rPr>
          <w:rFonts w:ascii="Lato" w:eastAsia="Calibri" w:hAnsi="Lato" w:cs="Arial"/>
          <w:bCs/>
          <w:i/>
          <w:spacing w:val="4"/>
          <w:sz w:val="22"/>
          <w:szCs w:val="22"/>
          <w:lang w:eastAsia="en-US" w:bidi="pl-PL"/>
        </w:rPr>
        <w:t>,</w:t>
      </w:r>
      <w:r>
        <w:rPr>
          <w:rFonts w:ascii="Lato" w:eastAsia="Calibri" w:hAnsi="Lato" w:cs="Arial"/>
          <w:bCs/>
          <w:iCs/>
          <w:spacing w:val="4"/>
          <w:sz w:val="22"/>
          <w:szCs w:val="22"/>
          <w:lang w:eastAsia="en-US" w:bidi="pl-PL"/>
        </w:rPr>
        <w:t xml:space="preserve"> bowiem działki te </w:t>
      </w:r>
      <w:r w:rsidR="000E33E6">
        <w:rPr>
          <w:rFonts w:ascii="Lato" w:eastAsia="Calibri" w:hAnsi="Lato" w:cs="Arial"/>
          <w:bCs/>
          <w:iCs/>
          <w:spacing w:val="4"/>
          <w:sz w:val="22"/>
          <w:szCs w:val="22"/>
          <w:lang w:eastAsia="en-US" w:bidi="pl-PL"/>
        </w:rPr>
        <w:t>znajdują się w liniach rozgraniczających teren inwestycji zgodnie z art. 4 ust. 1 pkt 1 ppkt a)</w:t>
      </w:r>
      <w:r w:rsidR="00F46BAA">
        <w:rPr>
          <w:rFonts w:ascii="Lato" w:eastAsia="Calibri" w:hAnsi="Lato" w:cs="Arial"/>
          <w:bCs/>
          <w:iCs/>
          <w:spacing w:val="4"/>
          <w:sz w:val="22"/>
          <w:szCs w:val="22"/>
          <w:lang w:eastAsia="en-US" w:bidi="pl-PL"/>
        </w:rPr>
        <w:t>, i</w:t>
      </w:r>
      <w:r w:rsidR="000E33E6">
        <w:rPr>
          <w:rFonts w:ascii="Lato" w:eastAsia="Calibri" w:hAnsi="Lato" w:cs="Arial"/>
          <w:bCs/>
          <w:iCs/>
          <w:spacing w:val="4"/>
          <w:sz w:val="22"/>
          <w:szCs w:val="22"/>
          <w:lang w:eastAsia="en-US" w:bidi="pl-PL"/>
        </w:rPr>
        <w:t xml:space="preserve"> </w:t>
      </w:r>
      <w:r>
        <w:rPr>
          <w:rFonts w:ascii="Lato" w:eastAsia="Calibri" w:hAnsi="Lato" w:cs="Arial"/>
          <w:bCs/>
          <w:iCs/>
          <w:spacing w:val="4"/>
          <w:sz w:val="22"/>
          <w:szCs w:val="22"/>
          <w:lang w:eastAsia="en-US" w:bidi="pl-PL"/>
        </w:rPr>
        <w:t xml:space="preserve">zostały wymienione w tabeli nr 4, znajdującej się w pkt </w:t>
      </w:r>
      <w:r w:rsidR="000E33E6">
        <w:rPr>
          <w:rFonts w:ascii="Lato" w:eastAsia="Calibri" w:hAnsi="Lato" w:cs="Arial"/>
          <w:bCs/>
          <w:iCs/>
          <w:spacing w:val="4"/>
          <w:sz w:val="22"/>
          <w:szCs w:val="22"/>
          <w:lang w:eastAsia="en-US" w:bidi="pl-PL"/>
        </w:rPr>
        <w:t>IX</w:t>
      </w:r>
      <w:r>
        <w:rPr>
          <w:rFonts w:ascii="Lato" w:eastAsia="Calibri" w:hAnsi="Lato" w:cs="Arial"/>
          <w:bCs/>
          <w:iCs/>
          <w:spacing w:val="4"/>
          <w:sz w:val="22"/>
          <w:szCs w:val="22"/>
          <w:lang w:eastAsia="en-US" w:bidi="pl-PL"/>
        </w:rPr>
        <w:t xml:space="preserve"> zaskarżonej decyzji </w:t>
      </w:r>
      <w:r>
        <w:rPr>
          <w:rFonts w:ascii="Lato" w:eastAsia="Calibri" w:hAnsi="Lato" w:cs="Arial"/>
          <w:bCs/>
          <w:iCs/>
          <w:spacing w:val="4"/>
          <w:sz w:val="22"/>
          <w:szCs w:val="22"/>
          <w:lang w:eastAsia="en-US" w:bidi="pl-PL"/>
        </w:rPr>
        <w:lastRenderedPageBreak/>
        <w:t xml:space="preserve">dotyczącym ograniczeń w korzystaniu z nieruchomości. W niniejszej decyzji została już wyjaśniona istota służebności publicznej, o której mowa w art. </w:t>
      </w:r>
      <w:r w:rsidR="000E33E6">
        <w:rPr>
          <w:rFonts w:ascii="Lato" w:eastAsia="Calibri" w:hAnsi="Lato" w:cs="Arial"/>
          <w:bCs/>
          <w:iCs/>
          <w:spacing w:val="4"/>
          <w:sz w:val="22"/>
          <w:szCs w:val="22"/>
          <w:lang w:eastAsia="en-US" w:bidi="pl-PL"/>
        </w:rPr>
        <w:t>30</w:t>
      </w:r>
      <w:r>
        <w:rPr>
          <w:rFonts w:ascii="Lato" w:eastAsia="Calibri" w:hAnsi="Lato" w:cs="Arial"/>
          <w:bCs/>
          <w:iCs/>
          <w:spacing w:val="4"/>
          <w:sz w:val="22"/>
          <w:szCs w:val="22"/>
          <w:lang w:eastAsia="en-US" w:bidi="pl-PL"/>
        </w:rPr>
        <w:t xml:space="preserve"> ust. 1 </w:t>
      </w:r>
      <w:r>
        <w:rPr>
          <w:rFonts w:ascii="Lato" w:eastAsia="Calibri" w:hAnsi="Lato" w:cs="Arial"/>
          <w:bCs/>
          <w:i/>
          <w:spacing w:val="4"/>
          <w:sz w:val="22"/>
          <w:szCs w:val="22"/>
          <w:lang w:eastAsia="en-US" w:bidi="pl-PL"/>
        </w:rPr>
        <w:t xml:space="preserve">specustawy </w:t>
      </w:r>
      <w:r w:rsidR="00420B65">
        <w:rPr>
          <w:rFonts w:ascii="Lato" w:eastAsia="Calibri" w:hAnsi="Lato" w:cs="Arial"/>
          <w:bCs/>
          <w:i/>
          <w:spacing w:val="4"/>
          <w:sz w:val="22"/>
          <w:szCs w:val="22"/>
          <w:lang w:eastAsia="en-US" w:bidi="pl-PL"/>
        </w:rPr>
        <w:t>naftowej</w:t>
      </w:r>
      <w:r>
        <w:rPr>
          <w:rFonts w:ascii="Lato" w:eastAsia="Calibri" w:hAnsi="Lato" w:cs="Arial"/>
          <w:bCs/>
          <w:iCs/>
          <w:spacing w:val="4"/>
          <w:sz w:val="22"/>
          <w:szCs w:val="22"/>
          <w:lang w:eastAsia="en-US" w:bidi="pl-PL"/>
        </w:rPr>
        <w:t>. Nie ma zatem potrzeby argumentacji tej powtarzać.</w:t>
      </w:r>
      <w:r>
        <w:t xml:space="preserve"> </w:t>
      </w:r>
      <w:r>
        <w:rPr>
          <w:rFonts w:ascii="Lato" w:eastAsia="Calibri" w:hAnsi="Lato" w:cs="Arial"/>
          <w:bCs/>
          <w:iCs/>
          <w:spacing w:val="4"/>
          <w:sz w:val="22"/>
          <w:szCs w:val="22"/>
          <w:lang w:eastAsia="en-US" w:bidi="pl-PL"/>
        </w:rPr>
        <w:t xml:space="preserve">Treść art. </w:t>
      </w:r>
      <w:r w:rsidR="000E33E6">
        <w:rPr>
          <w:rFonts w:ascii="Lato" w:eastAsia="Calibri" w:hAnsi="Lato" w:cs="Arial"/>
          <w:bCs/>
          <w:iCs/>
          <w:spacing w:val="4"/>
          <w:sz w:val="22"/>
          <w:szCs w:val="22"/>
          <w:lang w:eastAsia="en-US" w:bidi="pl-PL"/>
        </w:rPr>
        <w:t>30</w:t>
      </w:r>
      <w:r>
        <w:rPr>
          <w:rFonts w:ascii="Lato" w:eastAsia="Calibri" w:hAnsi="Lato" w:cs="Arial"/>
          <w:bCs/>
          <w:iCs/>
          <w:spacing w:val="4"/>
          <w:sz w:val="22"/>
          <w:szCs w:val="22"/>
          <w:lang w:eastAsia="en-US" w:bidi="pl-PL"/>
        </w:rPr>
        <w:t xml:space="preserve"> ust. 1 </w:t>
      </w:r>
      <w:r>
        <w:rPr>
          <w:rFonts w:ascii="Lato" w:eastAsia="Calibri" w:hAnsi="Lato" w:cs="Arial"/>
          <w:bCs/>
          <w:i/>
          <w:spacing w:val="4"/>
          <w:sz w:val="22"/>
          <w:szCs w:val="22"/>
          <w:lang w:eastAsia="en-US" w:bidi="pl-PL"/>
        </w:rPr>
        <w:t xml:space="preserve">specustawy </w:t>
      </w:r>
      <w:r w:rsidR="00420B65">
        <w:rPr>
          <w:rFonts w:ascii="Lato" w:eastAsia="Calibri" w:hAnsi="Lato" w:cs="Arial"/>
          <w:bCs/>
          <w:i/>
          <w:spacing w:val="4"/>
          <w:sz w:val="22"/>
          <w:szCs w:val="22"/>
          <w:lang w:eastAsia="en-US" w:bidi="pl-PL"/>
        </w:rPr>
        <w:t>naftowej</w:t>
      </w:r>
      <w:r>
        <w:rPr>
          <w:rFonts w:ascii="Lato" w:eastAsia="Calibri" w:hAnsi="Lato" w:cs="Arial"/>
          <w:bCs/>
          <w:iCs/>
          <w:spacing w:val="4"/>
          <w:sz w:val="22"/>
          <w:szCs w:val="22"/>
          <w:lang w:eastAsia="en-US" w:bidi="pl-PL"/>
        </w:rPr>
        <w:t xml:space="preserve"> nie pozostawia wątpliwości, że intencją ustawodawcy było takie ukształtowanie i możliwość ograniczenia prawa własności nieruchomości objętych inwestycją, aby stworzyć warunki do jak najszybszego przystąpienia do jej realizacji przez </w:t>
      </w:r>
      <w:r>
        <w:rPr>
          <w:rFonts w:ascii="Lato" w:eastAsia="Calibri" w:hAnsi="Lato" w:cs="Arial"/>
          <w:bCs/>
          <w:i/>
          <w:spacing w:val="4"/>
          <w:sz w:val="22"/>
          <w:szCs w:val="22"/>
          <w:lang w:eastAsia="en-US" w:bidi="pl-PL"/>
        </w:rPr>
        <w:t>inwestora</w:t>
      </w:r>
      <w:r>
        <w:rPr>
          <w:rFonts w:ascii="Lato" w:eastAsia="Calibri" w:hAnsi="Lato" w:cs="Arial"/>
          <w:bCs/>
          <w:iCs/>
          <w:spacing w:val="4"/>
          <w:sz w:val="22"/>
          <w:szCs w:val="22"/>
          <w:lang w:eastAsia="en-US" w:bidi="pl-PL"/>
        </w:rPr>
        <w:t>, a następnie prowadzenia prac</w:t>
      </w:r>
      <w:r w:rsidR="00F771CF">
        <w:rPr>
          <w:rFonts w:ascii="Lato" w:eastAsia="Calibri" w:hAnsi="Lato" w:cs="Arial"/>
          <w:bCs/>
          <w:iCs/>
          <w:spacing w:val="4"/>
          <w:sz w:val="22"/>
          <w:szCs w:val="22"/>
          <w:lang w:eastAsia="en-US" w:bidi="pl-PL"/>
        </w:rPr>
        <w:t xml:space="preserve"> budowlanych</w:t>
      </w:r>
      <w:r>
        <w:rPr>
          <w:rFonts w:ascii="Lato" w:eastAsia="Calibri" w:hAnsi="Lato" w:cs="Arial"/>
          <w:bCs/>
          <w:iCs/>
          <w:spacing w:val="4"/>
          <w:sz w:val="22"/>
          <w:szCs w:val="22"/>
          <w:lang w:eastAsia="en-US" w:bidi="pl-PL"/>
        </w:rPr>
        <w:t>.</w:t>
      </w:r>
      <w:r>
        <w:t xml:space="preserve"> </w:t>
      </w:r>
      <w:r>
        <w:rPr>
          <w:rFonts w:ascii="Lato" w:eastAsia="Calibri" w:hAnsi="Lato" w:cs="Arial"/>
          <w:bCs/>
          <w:iCs/>
          <w:spacing w:val="4"/>
          <w:sz w:val="22"/>
          <w:szCs w:val="22"/>
          <w:lang w:eastAsia="en-US" w:bidi="pl-PL"/>
        </w:rPr>
        <w:t>Tylko ograniczenie prawa własności mocą decyzji, czyli w drodze władczego aktu organu administracji, pozwala na zrealizowanie takiego celu.</w:t>
      </w:r>
    </w:p>
    <w:bookmarkEnd w:id="24"/>
    <w:p w14:paraId="76FF588F" w14:textId="19A5AB05" w:rsidR="00420B65" w:rsidRDefault="00420B65" w:rsidP="00420B65">
      <w:pPr>
        <w:tabs>
          <w:tab w:val="left" w:pos="2977"/>
        </w:tabs>
        <w:spacing w:after="240" w:line="240" w:lineRule="exact"/>
        <w:jc w:val="both"/>
        <w:outlineLvl w:val="0"/>
        <w:rPr>
          <w:rFonts w:ascii="Lato" w:hAnsi="Lato" w:cs="Arial"/>
          <w:bCs/>
          <w:iCs/>
          <w:color w:val="000000"/>
          <w:spacing w:val="4"/>
          <w:sz w:val="22"/>
          <w:szCs w:val="22"/>
          <w:lang w:bidi="pl-PL"/>
        </w:rPr>
      </w:pPr>
      <w:r w:rsidRPr="00420B65">
        <w:rPr>
          <w:rFonts w:ascii="Lato" w:eastAsiaTheme="minorHAnsi" w:hAnsi="Lato" w:cs="Arial"/>
          <w:bCs/>
          <w:iCs/>
          <w:spacing w:val="4"/>
          <w:sz w:val="22"/>
          <w:szCs w:val="22"/>
          <w:lang w:eastAsia="en-US" w:bidi="pl-PL"/>
        </w:rPr>
        <w:t xml:space="preserve">Zdaniem </w:t>
      </w:r>
      <w:r w:rsidRPr="00420B65">
        <w:rPr>
          <w:rFonts w:ascii="Lato" w:eastAsiaTheme="minorHAnsi" w:hAnsi="Lato" w:cs="Arial"/>
          <w:bCs/>
          <w:i/>
          <w:spacing w:val="4"/>
          <w:sz w:val="22"/>
          <w:szCs w:val="22"/>
          <w:lang w:eastAsia="en-US" w:bidi="pl-PL"/>
        </w:rPr>
        <w:t>Ministra</w:t>
      </w:r>
      <w:r w:rsidRPr="00420B65">
        <w:rPr>
          <w:rFonts w:ascii="Lato" w:eastAsiaTheme="minorHAnsi" w:hAnsi="Lato" w:cs="Arial"/>
          <w:bCs/>
          <w:iCs/>
          <w:spacing w:val="4"/>
          <w:sz w:val="22"/>
          <w:szCs w:val="22"/>
          <w:lang w:eastAsia="en-US" w:bidi="pl-PL"/>
        </w:rPr>
        <w:t>, bezzasadny jest również zarzut naruszenia</w:t>
      </w:r>
      <w:r>
        <w:rPr>
          <w:rFonts w:ascii="Lato" w:eastAsia="Calibri" w:hAnsi="Lato" w:cs="Arial"/>
          <w:bCs/>
          <w:iCs/>
          <w:spacing w:val="4"/>
          <w:sz w:val="22"/>
          <w:szCs w:val="22"/>
          <w:lang w:eastAsia="en-US" w:bidi="pl-PL"/>
        </w:rPr>
        <w:t xml:space="preserve"> art. 107 </w:t>
      </w:r>
      <w:r w:rsidRPr="006D0FFD">
        <w:rPr>
          <w:rFonts w:ascii="Lato" w:eastAsia="Calibri" w:hAnsi="Lato" w:cs="Arial"/>
          <w:bCs/>
          <w:iCs/>
          <w:spacing w:val="4"/>
          <w:sz w:val="22"/>
          <w:szCs w:val="22"/>
          <w:lang w:eastAsia="en-US" w:bidi="pl-PL"/>
        </w:rPr>
        <w:t xml:space="preserve">§ </w:t>
      </w:r>
      <w:r>
        <w:rPr>
          <w:rFonts w:ascii="Lato" w:eastAsia="Calibri" w:hAnsi="Lato" w:cs="Arial"/>
          <w:bCs/>
          <w:iCs/>
          <w:spacing w:val="4"/>
          <w:sz w:val="22"/>
          <w:szCs w:val="22"/>
          <w:lang w:eastAsia="en-US" w:bidi="pl-PL"/>
        </w:rPr>
        <w:t xml:space="preserve">1 pkt 6 </w:t>
      </w:r>
      <w:r w:rsidRPr="006D0FFD">
        <w:rPr>
          <w:rFonts w:ascii="Lato" w:eastAsia="Calibri" w:hAnsi="Lato" w:cs="Arial"/>
          <w:bCs/>
          <w:i/>
          <w:spacing w:val="4"/>
          <w:sz w:val="22"/>
          <w:szCs w:val="22"/>
          <w:lang w:eastAsia="en-US" w:bidi="pl-PL"/>
        </w:rPr>
        <w:t>kpa</w:t>
      </w:r>
      <w:r>
        <w:rPr>
          <w:rFonts w:ascii="Lato" w:eastAsia="Calibri" w:hAnsi="Lato" w:cs="Arial"/>
          <w:bCs/>
          <w:iCs/>
          <w:spacing w:val="4"/>
          <w:sz w:val="22"/>
          <w:szCs w:val="22"/>
          <w:lang w:eastAsia="en-US" w:bidi="pl-PL"/>
        </w:rPr>
        <w:t xml:space="preserve"> </w:t>
      </w:r>
      <w:r>
        <w:rPr>
          <w:rFonts w:ascii="Lato" w:eastAsia="Calibri" w:hAnsi="Lato" w:cs="Arial"/>
          <w:bCs/>
          <w:iCs/>
          <w:spacing w:val="4"/>
          <w:sz w:val="22"/>
          <w:szCs w:val="22"/>
          <w:lang w:eastAsia="en-US" w:bidi="pl-PL"/>
        </w:rPr>
        <w:br/>
        <w:t xml:space="preserve">w związku z art. 11 </w:t>
      </w:r>
      <w:r w:rsidRPr="006D0FFD">
        <w:rPr>
          <w:rFonts w:ascii="Lato" w:eastAsia="Calibri" w:hAnsi="Lato" w:cs="Arial"/>
          <w:bCs/>
          <w:i/>
          <w:spacing w:val="4"/>
          <w:sz w:val="22"/>
          <w:szCs w:val="22"/>
          <w:lang w:eastAsia="en-US" w:bidi="pl-PL"/>
        </w:rPr>
        <w:t>kpa</w:t>
      </w:r>
      <w:r>
        <w:rPr>
          <w:rFonts w:ascii="Lato" w:eastAsia="Calibri" w:hAnsi="Lato" w:cs="Arial"/>
          <w:bCs/>
          <w:i/>
          <w:spacing w:val="4"/>
          <w:sz w:val="22"/>
          <w:szCs w:val="22"/>
          <w:lang w:eastAsia="en-US" w:bidi="pl-PL"/>
        </w:rPr>
        <w:t xml:space="preserve"> </w:t>
      </w:r>
      <w:r w:rsidRPr="006D0FFD">
        <w:rPr>
          <w:rFonts w:ascii="Lato" w:eastAsia="Calibri" w:hAnsi="Lato" w:cs="Arial"/>
          <w:bCs/>
          <w:iCs/>
          <w:spacing w:val="4"/>
          <w:sz w:val="22"/>
          <w:szCs w:val="22"/>
          <w:lang w:eastAsia="en-US" w:bidi="pl-PL"/>
        </w:rPr>
        <w:t>polegający na wydaniu decyzji bez uzasadnienia przyjętej koncepcji rozstrzygnięcia.</w:t>
      </w:r>
      <w:r>
        <w:rPr>
          <w:rFonts w:ascii="Lato" w:eastAsiaTheme="minorHAnsi" w:hAnsi="Lato" w:cs="Arial"/>
          <w:bCs/>
          <w:iCs/>
          <w:spacing w:val="4"/>
          <w:sz w:val="22"/>
          <w:szCs w:val="22"/>
          <w:lang w:eastAsia="en-US" w:bidi="pl-PL"/>
        </w:rPr>
        <w:t xml:space="preserve"> </w:t>
      </w:r>
      <w:r w:rsidRPr="00420B65">
        <w:rPr>
          <w:rFonts w:ascii="Lato" w:eastAsiaTheme="minorHAnsi" w:hAnsi="Lato" w:cs="Arial"/>
          <w:bCs/>
          <w:iCs/>
          <w:spacing w:val="4"/>
          <w:sz w:val="22"/>
          <w:szCs w:val="22"/>
          <w:lang w:eastAsia="en-US" w:bidi="pl-PL"/>
        </w:rPr>
        <w:t xml:space="preserve">Zaznaczyć należy, iż zasada przekonywania sprowadza </w:t>
      </w:r>
      <w:r w:rsidR="003257D4">
        <w:rPr>
          <w:rFonts w:ascii="Lato" w:eastAsiaTheme="minorHAnsi" w:hAnsi="Lato" w:cs="Arial"/>
          <w:bCs/>
          <w:iCs/>
          <w:spacing w:val="4"/>
          <w:sz w:val="22"/>
          <w:szCs w:val="22"/>
          <w:lang w:eastAsia="en-US" w:bidi="pl-PL"/>
        </w:rPr>
        <w:br/>
      </w:r>
      <w:r w:rsidRPr="00420B65">
        <w:rPr>
          <w:rFonts w:ascii="Lato" w:eastAsiaTheme="minorHAnsi" w:hAnsi="Lato" w:cs="Arial"/>
          <w:bCs/>
          <w:iCs/>
          <w:spacing w:val="4"/>
          <w:sz w:val="22"/>
          <w:szCs w:val="22"/>
          <w:lang w:eastAsia="en-US" w:bidi="pl-PL"/>
        </w:rPr>
        <w:t xml:space="preserve">się do wyjaśnienia stronie, że adresowana do niej decyzja wynika z racjonalnych przesłanek i jest oparta o przepisy obowiązującego prawa, to znaczy, że w istniejącym stanie prawnym i faktycznym wydanie innej decyzji było niemożliwe. Organ odpowiada za naruszenie tej zasady, jeżeli nie podejmie lub bezpodstawnie odstąpi od czynności mających przekonać stronę o zasadności decyzji, np. odstąpi od uzasadnienia decyzji. Zasada ta nakłada na organ obowiązek dołożenia należytej staranności w wyjaśnieniu stronie zasadności podjętego rozstrzygnięcia. Nie wymaga się zaś od niego osiągnięcia rezultatu, to znaczy faktycznego przekonania strony do prawidłowości podjętej decyzji (vide: wyrok Wojewódzkiego Sądu Administracyjnego w Łodzi z dnia 2 października </w:t>
      </w:r>
      <w:r w:rsidR="00546184">
        <w:rPr>
          <w:rFonts w:ascii="Lato" w:eastAsiaTheme="minorHAnsi" w:hAnsi="Lato" w:cs="Arial"/>
          <w:bCs/>
          <w:iCs/>
          <w:spacing w:val="4"/>
          <w:sz w:val="22"/>
          <w:szCs w:val="22"/>
          <w:lang w:eastAsia="en-US" w:bidi="pl-PL"/>
        </w:rPr>
        <w:br/>
      </w:r>
      <w:r w:rsidRPr="00420B65">
        <w:rPr>
          <w:rFonts w:ascii="Lato" w:eastAsiaTheme="minorHAnsi" w:hAnsi="Lato" w:cs="Arial"/>
          <w:bCs/>
          <w:iCs/>
          <w:spacing w:val="4"/>
          <w:sz w:val="22"/>
          <w:szCs w:val="22"/>
          <w:lang w:eastAsia="en-US" w:bidi="pl-PL"/>
        </w:rPr>
        <w:t>2013 r., sygn. akt II SA/Łd 631/13).</w:t>
      </w:r>
      <w:r w:rsidRPr="00420B65">
        <w:rPr>
          <w:rFonts w:ascii="Lato" w:hAnsi="Lato" w:cs="Arial"/>
          <w:bCs/>
          <w:iCs/>
          <w:color w:val="000000"/>
          <w:spacing w:val="4"/>
          <w:sz w:val="22"/>
          <w:szCs w:val="22"/>
          <w:lang w:bidi="pl-PL"/>
        </w:rPr>
        <w:t xml:space="preserve"> </w:t>
      </w:r>
    </w:p>
    <w:p w14:paraId="252F00B0" w14:textId="0B95750F" w:rsidR="00420B65" w:rsidRPr="00420B65" w:rsidRDefault="00420B65" w:rsidP="00420B65">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420B65">
        <w:rPr>
          <w:rFonts w:ascii="Lato" w:eastAsiaTheme="minorHAnsi" w:hAnsi="Lato" w:cs="Arial"/>
          <w:bCs/>
          <w:iCs/>
          <w:spacing w:val="4"/>
          <w:sz w:val="22"/>
          <w:szCs w:val="22"/>
          <w:lang w:eastAsia="en-US" w:bidi="pl-PL"/>
        </w:rPr>
        <w:t xml:space="preserve">Zdaniem </w:t>
      </w:r>
      <w:r w:rsidRPr="00420B65">
        <w:rPr>
          <w:rFonts w:ascii="Lato" w:eastAsiaTheme="minorHAnsi" w:hAnsi="Lato" w:cs="Arial"/>
          <w:bCs/>
          <w:i/>
          <w:iCs/>
          <w:spacing w:val="4"/>
          <w:sz w:val="22"/>
          <w:szCs w:val="22"/>
          <w:lang w:eastAsia="en-US" w:bidi="pl-PL"/>
        </w:rPr>
        <w:t>Ministra</w:t>
      </w:r>
      <w:r w:rsidRPr="00420B65">
        <w:rPr>
          <w:rFonts w:ascii="Lato" w:eastAsiaTheme="minorHAnsi" w:hAnsi="Lato" w:cs="Arial"/>
          <w:bCs/>
          <w:iCs/>
          <w:spacing w:val="4"/>
          <w:sz w:val="22"/>
          <w:szCs w:val="22"/>
          <w:lang w:eastAsia="en-US" w:bidi="pl-PL"/>
        </w:rPr>
        <w:t xml:space="preserve"> analiza pisemnych motywów zaskarżonej decyzji, zgodnie z art. 107 § 3 </w:t>
      </w:r>
      <w:r w:rsidRPr="00420B65">
        <w:rPr>
          <w:rFonts w:ascii="Lato" w:eastAsiaTheme="minorHAnsi" w:hAnsi="Lato" w:cs="Arial"/>
          <w:bCs/>
          <w:i/>
          <w:iCs/>
          <w:spacing w:val="4"/>
          <w:sz w:val="22"/>
          <w:szCs w:val="22"/>
          <w:lang w:eastAsia="en-US" w:bidi="pl-PL"/>
        </w:rPr>
        <w:t>kpa</w:t>
      </w:r>
      <w:r w:rsidRPr="00420B65">
        <w:rPr>
          <w:rFonts w:ascii="Lato" w:eastAsiaTheme="minorHAnsi" w:hAnsi="Lato" w:cs="Arial"/>
          <w:bCs/>
          <w:iCs/>
          <w:spacing w:val="4"/>
          <w:sz w:val="22"/>
          <w:szCs w:val="22"/>
          <w:lang w:eastAsia="en-US" w:bidi="pl-PL"/>
        </w:rPr>
        <w:t>, pozwala na poznanie argumentów, którymi organ I instancji kierował</w:t>
      </w:r>
      <w:r w:rsidR="00B55613">
        <w:rPr>
          <w:rFonts w:ascii="Lato" w:eastAsiaTheme="minorHAnsi" w:hAnsi="Lato" w:cs="Arial"/>
          <w:bCs/>
          <w:iCs/>
          <w:spacing w:val="4"/>
          <w:sz w:val="22"/>
          <w:szCs w:val="22"/>
          <w:lang w:eastAsia="en-US" w:bidi="pl-PL"/>
        </w:rPr>
        <w:t xml:space="preserve"> się</w:t>
      </w:r>
      <w:r w:rsidRPr="00420B65">
        <w:rPr>
          <w:rFonts w:ascii="Lato" w:eastAsiaTheme="minorHAnsi" w:hAnsi="Lato" w:cs="Arial"/>
          <w:bCs/>
          <w:iCs/>
          <w:spacing w:val="4"/>
          <w:sz w:val="22"/>
          <w:szCs w:val="22"/>
          <w:lang w:eastAsia="en-US" w:bidi="pl-PL"/>
        </w:rPr>
        <w:t xml:space="preserve"> wydając przedmiotową decyzję lokalizacyjną</w:t>
      </w:r>
      <w:r w:rsidR="00F771CF">
        <w:rPr>
          <w:rFonts w:ascii="Lato" w:eastAsiaTheme="minorHAnsi" w:hAnsi="Lato" w:cs="Arial"/>
          <w:bCs/>
          <w:iCs/>
          <w:spacing w:val="4"/>
          <w:sz w:val="22"/>
          <w:szCs w:val="22"/>
          <w:lang w:eastAsia="en-US" w:bidi="pl-PL"/>
        </w:rPr>
        <w:t xml:space="preserve">. </w:t>
      </w:r>
      <w:r w:rsidRPr="00420B65">
        <w:rPr>
          <w:rFonts w:ascii="Lato" w:eastAsiaTheme="minorHAnsi" w:hAnsi="Lato" w:cs="Arial"/>
          <w:bCs/>
          <w:iCs/>
          <w:spacing w:val="4"/>
          <w:sz w:val="22"/>
          <w:szCs w:val="22"/>
          <w:lang w:eastAsia="en-US" w:bidi="pl-PL"/>
        </w:rPr>
        <w:t xml:space="preserve">Rozstrzygnięcie zawarte w zaskarżonej decyzji ma swoje odzwierciedlenie w uzasadnieniu, a uzasadnienie w zebranym materialne dowodowym. </w:t>
      </w:r>
    </w:p>
    <w:p w14:paraId="0EA2EBF6" w14:textId="77842037" w:rsidR="00420B65" w:rsidRPr="00420B65" w:rsidRDefault="00420B65" w:rsidP="00420B65">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420B65">
        <w:rPr>
          <w:rFonts w:ascii="Lato" w:eastAsiaTheme="minorHAnsi" w:hAnsi="Lato" w:cs="Arial"/>
          <w:bCs/>
          <w:iCs/>
          <w:spacing w:val="4"/>
          <w:sz w:val="22"/>
          <w:szCs w:val="22"/>
          <w:lang w:eastAsia="en-US" w:bidi="pl-PL"/>
        </w:rPr>
        <w:t xml:space="preserve">Wobec tego podkreślić należy, iż Wojewoda Mazowiecki uzasadnił zaskarżoną decyzję, podając jej podstawę prawną oraz argumenty przemawiające za słusznością podjętego rozstrzygnięcia, zaś - jak wskazano powyżej - brak przekonania strony co do prawidłowości podjętej decyzji nie oznacza naruszenia zasady wyrażonej w art. 11 </w:t>
      </w:r>
      <w:r w:rsidRPr="00420B65">
        <w:rPr>
          <w:rFonts w:ascii="Lato" w:eastAsiaTheme="minorHAnsi" w:hAnsi="Lato" w:cs="Arial"/>
          <w:bCs/>
          <w:i/>
          <w:spacing w:val="4"/>
          <w:sz w:val="22"/>
          <w:szCs w:val="22"/>
          <w:lang w:eastAsia="en-US" w:bidi="pl-PL"/>
        </w:rPr>
        <w:t>kpa.</w:t>
      </w:r>
    </w:p>
    <w:p w14:paraId="3411F029" w14:textId="585185CB" w:rsidR="00023090" w:rsidRPr="00023090" w:rsidRDefault="00023090" w:rsidP="00023090">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Nie można przychylić się do żądania stron skarżących dotyczących </w:t>
      </w:r>
      <w:r w:rsidRPr="00546184">
        <w:rPr>
          <w:rFonts w:ascii="Lato" w:eastAsiaTheme="minorHAnsi" w:hAnsi="Lato" w:cs="Arial"/>
          <w:bCs/>
          <w:iCs/>
          <w:spacing w:val="4"/>
          <w:sz w:val="22"/>
          <w:szCs w:val="22"/>
          <w:lang w:eastAsia="en-US" w:bidi="pl-PL"/>
        </w:rPr>
        <w:t>zmiany przebiegu rurociągu</w:t>
      </w:r>
      <w:r w:rsidR="00546184" w:rsidRPr="00546184">
        <w:rPr>
          <w:rFonts w:ascii="Lato" w:eastAsiaTheme="minorHAnsi" w:hAnsi="Lato" w:cs="Arial"/>
          <w:bCs/>
          <w:iCs/>
          <w:spacing w:val="4"/>
          <w:sz w:val="22"/>
          <w:szCs w:val="22"/>
          <w:lang w:eastAsia="en-US" w:bidi="pl-PL"/>
        </w:rPr>
        <w:t xml:space="preserve"> i oddalenie nitki rurociągu ropy naftowej od zabudowań mieszkalnych,</w:t>
      </w:r>
      <w:r w:rsidRPr="00546184">
        <w:rPr>
          <w:rFonts w:ascii="Lato" w:eastAsiaTheme="minorHAnsi" w:hAnsi="Lato" w:cs="Arial"/>
          <w:bCs/>
          <w:iCs/>
          <w:spacing w:val="4"/>
          <w:sz w:val="22"/>
          <w:szCs w:val="22"/>
          <w:lang w:eastAsia="en-US" w:bidi="pl-PL"/>
        </w:rPr>
        <w:t xml:space="preserve"> gdyż </w:t>
      </w:r>
      <w:r w:rsidR="003257D4">
        <w:rPr>
          <w:rFonts w:ascii="Lato" w:eastAsiaTheme="minorHAnsi" w:hAnsi="Lato" w:cs="Arial"/>
          <w:bCs/>
          <w:iCs/>
          <w:spacing w:val="4"/>
          <w:sz w:val="22"/>
          <w:szCs w:val="22"/>
          <w:lang w:eastAsia="en-US" w:bidi="pl-PL"/>
        </w:rPr>
        <w:br/>
      </w:r>
      <w:r w:rsidRPr="00546184">
        <w:rPr>
          <w:rFonts w:ascii="Lato" w:eastAsiaTheme="minorHAnsi" w:hAnsi="Lato" w:cs="Arial"/>
          <w:bCs/>
          <w:iCs/>
          <w:spacing w:val="4"/>
          <w:sz w:val="22"/>
          <w:szCs w:val="22"/>
          <w:lang w:eastAsia="en-US" w:bidi="pl-PL"/>
        </w:rPr>
        <w:t xml:space="preserve">to </w:t>
      </w:r>
      <w:r w:rsidRPr="00546184">
        <w:rPr>
          <w:rFonts w:ascii="Lato" w:eastAsiaTheme="minorHAnsi" w:hAnsi="Lato" w:cs="Arial"/>
          <w:bCs/>
          <w:i/>
          <w:iCs/>
          <w:spacing w:val="4"/>
          <w:sz w:val="22"/>
          <w:szCs w:val="22"/>
          <w:lang w:eastAsia="en-US" w:bidi="pl-PL"/>
        </w:rPr>
        <w:t>inwestor</w:t>
      </w:r>
      <w:r w:rsidRPr="00546184">
        <w:rPr>
          <w:rFonts w:ascii="Lato" w:eastAsiaTheme="minorHAnsi" w:hAnsi="Lato" w:cs="Arial"/>
          <w:bCs/>
          <w:iCs/>
          <w:spacing w:val="4"/>
          <w:sz w:val="22"/>
          <w:szCs w:val="22"/>
          <w:lang w:eastAsia="en-US" w:bidi="pl-PL"/>
        </w:rPr>
        <w:t xml:space="preserve"> we wniosku o wydanie decyzji o ustaleniu lokalizacji strategicznej inwestycji </w:t>
      </w:r>
      <w:r w:rsidR="00546184" w:rsidRPr="00546184">
        <w:rPr>
          <w:rFonts w:ascii="Lato" w:eastAsiaTheme="minorHAnsi" w:hAnsi="Lato" w:cs="Arial"/>
          <w:bCs/>
          <w:iCs/>
          <w:spacing w:val="4"/>
          <w:sz w:val="22"/>
          <w:szCs w:val="22"/>
          <w:lang w:eastAsia="en-US" w:bidi="pl-PL"/>
        </w:rPr>
        <w:br/>
      </w:r>
      <w:r w:rsidRPr="00546184">
        <w:rPr>
          <w:rFonts w:ascii="Lato" w:eastAsiaTheme="minorHAnsi" w:hAnsi="Lato" w:cs="Arial"/>
          <w:bCs/>
          <w:iCs/>
          <w:spacing w:val="4"/>
          <w:sz w:val="22"/>
          <w:szCs w:val="22"/>
          <w:lang w:eastAsia="en-US" w:bidi="pl-PL"/>
        </w:rPr>
        <w:t>w sektorze naftowym decyduje o przebiegu inwestycji oraz o</w:t>
      </w:r>
      <w:r w:rsidRPr="00023090">
        <w:rPr>
          <w:rFonts w:ascii="Lato" w:eastAsiaTheme="minorHAnsi" w:hAnsi="Lato" w:cs="Arial"/>
          <w:bCs/>
          <w:iCs/>
          <w:spacing w:val="4"/>
          <w:sz w:val="22"/>
          <w:szCs w:val="22"/>
          <w:lang w:eastAsia="en-US" w:bidi="pl-PL"/>
        </w:rPr>
        <w:t xml:space="preserve"> wielkości terenu niezbędnego dla jej realizacji. </w:t>
      </w:r>
      <w:r w:rsidR="00546184">
        <w:rPr>
          <w:rFonts w:ascii="Lato" w:eastAsiaTheme="minorHAnsi" w:hAnsi="Lato" w:cs="Arial"/>
          <w:bCs/>
          <w:iCs/>
          <w:spacing w:val="4"/>
          <w:sz w:val="22"/>
          <w:szCs w:val="22"/>
          <w:lang w:eastAsia="en-US" w:bidi="pl-PL"/>
        </w:rPr>
        <w:t xml:space="preserve">Ponownie warto podkreślić, to co uwzględnione jest </w:t>
      </w:r>
      <w:r w:rsidR="003257D4">
        <w:rPr>
          <w:rFonts w:ascii="Lato" w:eastAsiaTheme="minorHAnsi" w:hAnsi="Lato" w:cs="Arial"/>
          <w:bCs/>
          <w:iCs/>
          <w:spacing w:val="4"/>
          <w:sz w:val="22"/>
          <w:szCs w:val="22"/>
          <w:lang w:eastAsia="en-US" w:bidi="pl-PL"/>
        </w:rPr>
        <w:br/>
      </w:r>
      <w:r w:rsidR="00546184">
        <w:rPr>
          <w:rFonts w:ascii="Lato" w:eastAsiaTheme="minorHAnsi" w:hAnsi="Lato" w:cs="Arial"/>
          <w:bCs/>
          <w:iCs/>
          <w:spacing w:val="4"/>
          <w:sz w:val="22"/>
          <w:szCs w:val="22"/>
          <w:lang w:eastAsia="en-US" w:bidi="pl-PL"/>
        </w:rPr>
        <w:t xml:space="preserve">w niniejsze decyzji, że to </w:t>
      </w:r>
      <w:r w:rsidR="00B55613">
        <w:rPr>
          <w:rFonts w:ascii="Lato" w:eastAsiaTheme="minorHAnsi" w:hAnsi="Lato" w:cs="Arial"/>
          <w:bCs/>
          <w:i/>
          <w:iCs/>
          <w:spacing w:val="4"/>
          <w:sz w:val="22"/>
          <w:szCs w:val="22"/>
          <w:lang w:eastAsia="en-US" w:bidi="pl-PL"/>
        </w:rPr>
        <w:t>i</w:t>
      </w:r>
      <w:r w:rsidRPr="00023090">
        <w:rPr>
          <w:rFonts w:ascii="Lato" w:eastAsiaTheme="minorHAnsi" w:hAnsi="Lato" w:cs="Arial"/>
          <w:bCs/>
          <w:i/>
          <w:iCs/>
          <w:spacing w:val="4"/>
          <w:sz w:val="22"/>
          <w:szCs w:val="22"/>
          <w:lang w:eastAsia="en-US" w:bidi="pl-PL"/>
        </w:rPr>
        <w:t>nwestor</w:t>
      </w:r>
      <w:r w:rsidRPr="00023090">
        <w:rPr>
          <w:rFonts w:ascii="Lato" w:eastAsiaTheme="minorHAnsi" w:hAnsi="Lato" w:cs="Arial"/>
          <w:bCs/>
          <w:iCs/>
          <w:spacing w:val="4"/>
          <w:sz w:val="22"/>
          <w:szCs w:val="22"/>
          <w:lang w:eastAsia="en-US" w:bidi="pl-PL"/>
        </w:rPr>
        <w:t xml:space="preserve"> samodzielnie dokonuje wyboru najbardziej korzystnych rozwiązań lokalizacyjnych. Zarówno wojewoda, jak i organ odwoławczy, mogą działać tylko w granicach tego wniosku i nie mają możliwości ingerowania w lokalizację inwestycji. </w:t>
      </w:r>
      <w:r w:rsidRPr="00023090">
        <w:rPr>
          <w:rFonts w:ascii="Lato" w:eastAsiaTheme="minorHAnsi" w:hAnsi="Lato" w:cs="Arial"/>
          <w:bCs/>
          <w:i/>
          <w:iCs/>
          <w:spacing w:val="4"/>
          <w:sz w:val="22"/>
          <w:szCs w:val="22"/>
          <w:lang w:eastAsia="en-US" w:bidi="pl-PL"/>
        </w:rPr>
        <w:t>Inwestor</w:t>
      </w:r>
      <w:r w:rsidRPr="00023090">
        <w:rPr>
          <w:rFonts w:ascii="Lato" w:eastAsiaTheme="minorHAnsi" w:hAnsi="Lato" w:cs="Arial"/>
          <w:bCs/>
          <w:iCs/>
          <w:spacing w:val="4"/>
          <w:sz w:val="22"/>
          <w:szCs w:val="22"/>
          <w:lang w:eastAsia="en-US" w:bidi="pl-PL"/>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w:t>
      </w:r>
    </w:p>
    <w:p w14:paraId="28F6DC6D" w14:textId="30462BD0" w:rsidR="00023090" w:rsidRDefault="00023090" w:rsidP="00023090">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23090">
        <w:rPr>
          <w:rFonts w:ascii="Lato" w:eastAsiaTheme="minorHAnsi" w:hAnsi="Lato" w:cs="Arial"/>
          <w:bCs/>
          <w:iCs/>
          <w:spacing w:val="4"/>
          <w:sz w:val="22"/>
          <w:szCs w:val="22"/>
          <w:lang w:eastAsia="en-US" w:bidi="pl-PL"/>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023090">
        <w:rPr>
          <w:rFonts w:ascii="Lato" w:eastAsiaTheme="minorHAnsi" w:hAnsi="Lato" w:cs="Arial"/>
          <w:bCs/>
          <w:i/>
          <w:iCs/>
          <w:spacing w:val="4"/>
          <w:sz w:val="22"/>
          <w:szCs w:val="22"/>
          <w:lang w:eastAsia="en-US" w:bidi="pl-PL"/>
        </w:rPr>
        <w:t xml:space="preserve">specustawy </w:t>
      </w:r>
      <w:r>
        <w:rPr>
          <w:rFonts w:ascii="Lato" w:eastAsiaTheme="minorHAnsi" w:hAnsi="Lato" w:cs="Arial"/>
          <w:bCs/>
          <w:i/>
          <w:iCs/>
          <w:spacing w:val="4"/>
          <w:sz w:val="22"/>
          <w:szCs w:val="22"/>
          <w:lang w:eastAsia="en-US" w:bidi="pl-PL"/>
        </w:rPr>
        <w:t>naftowej</w:t>
      </w:r>
      <w:r w:rsidRPr="00023090">
        <w:rPr>
          <w:rFonts w:ascii="Lato" w:eastAsiaTheme="minorHAnsi" w:hAnsi="Lato" w:cs="Arial"/>
          <w:bCs/>
          <w:i/>
          <w:iCs/>
          <w:spacing w:val="4"/>
          <w:sz w:val="22"/>
          <w:szCs w:val="22"/>
          <w:lang w:eastAsia="en-US" w:bidi="pl-PL"/>
        </w:rPr>
        <w:t xml:space="preserve"> </w:t>
      </w:r>
      <w:r w:rsidRPr="00023090">
        <w:rPr>
          <w:rFonts w:ascii="Lato" w:eastAsiaTheme="minorHAnsi" w:hAnsi="Lato" w:cs="Arial"/>
          <w:bCs/>
          <w:iCs/>
          <w:spacing w:val="4"/>
          <w:sz w:val="22"/>
          <w:szCs w:val="22"/>
          <w:lang w:eastAsia="en-US" w:bidi="pl-PL"/>
        </w:rPr>
        <w:t xml:space="preserve">nie przewiduje takich uprawnień (por. wyrok Naczelnego Sądu Administracyjnego z dnia 9 lutego 2018 r., sygn. akt II OSK 1282/17, opubl. Centralna Baza Orzeczeń Sądów Administracyjnych). Gospodarzem projektu jest </w:t>
      </w:r>
      <w:r w:rsidRPr="00023090">
        <w:rPr>
          <w:rFonts w:ascii="Lato" w:eastAsiaTheme="minorHAnsi" w:hAnsi="Lato" w:cs="Arial"/>
          <w:bCs/>
          <w:iCs/>
          <w:spacing w:val="4"/>
          <w:sz w:val="22"/>
          <w:szCs w:val="22"/>
          <w:lang w:eastAsia="en-US" w:bidi="pl-PL"/>
        </w:rPr>
        <w:lastRenderedPageBreak/>
        <w:t xml:space="preserve">tylko </w:t>
      </w:r>
      <w:r w:rsidRPr="00023090">
        <w:rPr>
          <w:rFonts w:ascii="Lato" w:eastAsiaTheme="minorHAnsi" w:hAnsi="Lato" w:cs="Arial"/>
          <w:bCs/>
          <w:i/>
          <w:iCs/>
          <w:spacing w:val="4"/>
          <w:sz w:val="22"/>
          <w:szCs w:val="22"/>
          <w:lang w:eastAsia="en-US" w:bidi="pl-PL"/>
        </w:rPr>
        <w:t>inwestor,</w:t>
      </w:r>
      <w:r w:rsidRPr="00023090">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49941070" w14:textId="167F7F86" w:rsidR="00A1542B" w:rsidRPr="00023090" w:rsidRDefault="00A1542B" w:rsidP="00023090">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tym miejscu warto ponownie wskazać, iż przebieg przedmiotowej inwestycji naftowej w części pokrywa się z istniejącą I nitką Rurociągu Pomorskiego, a więc wprowadzone ograniczenia nowoprojektowanej inwestycji w postaci stref bezpieczeństwa w części pokrywają się </w:t>
      </w:r>
      <w:r w:rsidR="00B751C1">
        <w:rPr>
          <w:rFonts w:ascii="Lato" w:eastAsiaTheme="minorHAnsi" w:hAnsi="Lato" w:cs="Arial"/>
          <w:bCs/>
          <w:iCs/>
          <w:spacing w:val="4"/>
          <w:sz w:val="22"/>
          <w:szCs w:val="22"/>
          <w:lang w:eastAsia="en-US" w:bidi="pl-PL"/>
        </w:rPr>
        <w:t>z ograniczeniami istniejącymi.</w:t>
      </w:r>
    </w:p>
    <w:p w14:paraId="3E27BA93" w14:textId="28164E99" w:rsidR="00C423D9" w:rsidRPr="00824F89" w:rsidRDefault="0071498E" w:rsidP="008F363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824F89">
        <w:rPr>
          <w:rFonts w:ascii="Lato" w:eastAsiaTheme="minorHAnsi" w:hAnsi="Lato" w:cs="Arial"/>
          <w:bCs/>
          <w:iCs/>
          <w:spacing w:val="4"/>
          <w:sz w:val="22"/>
          <w:szCs w:val="22"/>
          <w:lang w:eastAsia="en-US" w:bidi="pl-PL"/>
        </w:rPr>
        <w:t>Zarzuty</w:t>
      </w:r>
      <w:r w:rsidR="00BE2AD3" w:rsidRPr="00824F89">
        <w:rPr>
          <w:rFonts w:ascii="Lato" w:eastAsiaTheme="minorHAnsi" w:hAnsi="Lato" w:cs="Arial"/>
          <w:bCs/>
          <w:iCs/>
          <w:spacing w:val="4"/>
          <w:sz w:val="22"/>
          <w:szCs w:val="22"/>
          <w:lang w:eastAsia="en-US" w:bidi="pl-PL"/>
        </w:rPr>
        <w:t xml:space="preserve"> Pani </w:t>
      </w:r>
      <w:r w:rsidR="004A7ACC">
        <w:rPr>
          <w:rFonts w:ascii="Lato" w:eastAsiaTheme="minorHAnsi" w:hAnsi="Lato" w:cs="Arial"/>
          <w:bCs/>
          <w:iCs/>
          <w:spacing w:val="4"/>
          <w:sz w:val="22"/>
          <w:szCs w:val="22"/>
          <w:lang w:eastAsia="en-US" w:bidi="pl-PL"/>
        </w:rPr>
        <w:t>E.</w:t>
      </w:r>
      <w:r w:rsidR="00BE2AD3" w:rsidRPr="00824F89">
        <w:rPr>
          <w:rFonts w:ascii="Lato" w:eastAsiaTheme="minorHAnsi" w:hAnsi="Lato" w:cs="Arial"/>
          <w:bCs/>
          <w:iCs/>
          <w:spacing w:val="4"/>
          <w:sz w:val="22"/>
          <w:szCs w:val="22"/>
          <w:lang w:eastAsia="en-US" w:bidi="pl-PL"/>
        </w:rPr>
        <w:t xml:space="preserve"> </w:t>
      </w:r>
      <w:r w:rsidR="004A7ACC">
        <w:rPr>
          <w:rFonts w:ascii="Lato" w:eastAsiaTheme="minorHAnsi" w:hAnsi="Lato" w:cs="Arial"/>
          <w:bCs/>
          <w:iCs/>
          <w:spacing w:val="4"/>
          <w:sz w:val="22"/>
          <w:szCs w:val="22"/>
          <w:lang w:eastAsia="en-US" w:bidi="pl-PL"/>
        </w:rPr>
        <w:t>L.</w:t>
      </w:r>
      <w:r w:rsidR="00BE2AD3" w:rsidRPr="00824F89">
        <w:rPr>
          <w:rFonts w:ascii="Lato" w:eastAsiaTheme="minorHAnsi" w:hAnsi="Lato" w:cs="Arial"/>
          <w:bCs/>
          <w:iCs/>
          <w:spacing w:val="4"/>
          <w:sz w:val="22"/>
          <w:szCs w:val="22"/>
          <w:lang w:eastAsia="en-US" w:bidi="pl-PL"/>
        </w:rPr>
        <w:t xml:space="preserve"> i Pana </w:t>
      </w:r>
      <w:r w:rsidR="004A7ACC">
        <w:rPr>
          <w:rFonts w:ascii="Lato" w:eastAsiaTheme="minorHAnsi" w:hAnsi="Lato" w:cs="Arial"/>
          <w:bCs/>
          <w:iCs/>
          <w:spacing w:val="4"/>
          <w:sz w:val="22"/>
          <w:szCs w:val="22"/>
          <w:lang w:eastAsia="en-US" w:bidi="pl-PL"/>
        </w:rPr>
        <w:t>S.</w:t>
      </w:r>
      <w:r w:rsidR="00BE2AD3" w:rsidRPr="00824F89">
        <w:rPr>
          <w:rFonts w:ascii="Lato" w:eastAsiaTheme="minorHAnsi" w:hAnsi="Lato" w:cs="Arial"/>
          <w:bCs/>
          <w:iCs/>
          <w:spacing w:val="4"/>
          <w:sz w:val="22"/>
          <w:szCs w:val="22"/>
          <w:lang w:eastAsia="en-US" w:bidi="pl-PL"/>
        </w:rPr>
        <w:t xml:space="preserve"> </w:t>
      </w:r>
      <w:r w:rsidR="004A7ACC">
        <w:rPr>
          <w:rFonts w:ascii="Lato" w:eastAsiaTheme="minorHAnsi" w:hAnsi="Lato" w:cs="Arial"/>
          <w:bCs/>
          <w:iCs/>
          <w:spacing w:val="4"/>
          <w:sz w:val="22"/>
          <w:szCs w:val="22"/>
          <w:lang w:eastAsia="en-US" w:bidi="pl-PL"/>
        </w:rPr>
        <w:t>L.</w:t>
      </w:r>
      <w:r w:rsidR="00BE2AD3" w:rsidRPr="00824F89">
        <w:rPr>
          <w:rFonts w:ascii="Lato" w:eastAsiaTheme="minorHAnsi" w:hAnsi="Lato" w:cs="Arial"/>
          <w:bCs/>
          <w:iCs/>
          <w:spacing w:val="4"/>
          <w:sz w:val="22"/>
          <w:szCs w:val="22"/>
          <w:lang w:eastAsia="en-US" w:bidi="pl-PL"/>
        </w:rPr>
        <w:t xml:space="preserve"> dotyczący</w:t>
      </w:r>
      <w:r w:rsidRPr="00824F89">
        <w:rPr>
          <w:rFonts w:ascii="Lato" w:eastAsiaTheme="minorHAnsi" w:hAnsi="Lato" w:cs="Arial"/>
          <w:bCs/>
          <w:iCs/>
          <w:spacing w:val="4"/>
          <w:sz w:val="22"/>
          <w:szCs w:val="22"/>
          <w:lang w:eastAsia="en-US" w:bidi="pl-PL"/>
        </w:rPr>
        <w:t xml:space="preserve"> prowadzenia</w:t>
      </w:r>
      <w:r w:rsidR="00BE2AD3" w:rsidRPr="00824F89">
        <w:rPr>
          <w:rFonts w:ascii="Lato" w:eastAsiaTheme="minorHAnsi" w:hAnsi="Lato" w:cs="Arial"/>
          <w:bCs/>
          <w:iCs/>
          <w:spacing w:val="4"/>
          <w:sz w:val="22"/>
          <w:szCs w:val="22"/>
          <w:lang w:eastAsia="en-US" w:bidi="pl-PL"/>
        </w:rPr>
        <w:t xml:space="preserve"> prac budowlanych </w:t>
      </w:r>
      <w:r w:rsidRPr="00824F89">
        <w:rPr>
          <w:rFonts w:ascii="Lato" w:eastAsiaTheme="minorHAnsi" w:hAnsi="Lato" w:cs="Arial"/>
          <w:bCs/>
          <w:iCs/>
          <w:spacing w:val="4"/>
          <w:sz w:val="22"/>
          <w:szCs w:val="22"/>
          <w:lang w:eastAsia="en-US" w:bidi="pl-PL"/>
        </w:rPr>
        <w:t xml:space="preserve">i wpływu inwestycji na </w:t>
      </w:r>
      <w:bookmarkStart w:id="25" w:name="_Hlk137639213"/>
      <w:r w:rsidR="008F363D" w:rsidRPr="00824F89">
        <w:rPr>
          <w:rFonts w:ascii="Lato" w:eastAsiaTheme="minorHAnsi" w:hAnsi="Lato" w:cs="Arial"/>
          <w:bCs/>
          <w:iCs/>
          <w:spacing w:val="4"/>
          <w:sz w:val="22"/>
          <w:szCs w:val="22"/>
          <w:lang w:eastAsia="en-US" w:bidi="pl-PL"/>
        </w:rPr>
        <w:t>środowisko</w:t>
      </w:r>
      <w:r w:rsidR="009554A5" w:rsidRPr="00824F89">
        <w:rPr>
          <w:rFonts w:ascii="Lato" w:eastAsiaTheme="minorHAnsi" w:hAnsi="Lato" w:cs="Arial"/>
          <w:bCs/>
          <w:iCs/>
          <w:spacing w:val="4"/>
          <w:sz w:val="22"/>
          <w:szCs w:val="22"/>
          <w:lang w:eastAsia="en-US" w:bidi="pl-PL"/>
        </w:rPr>
        <w:t xml:space="preserve"> </w:t>
      </w:r>
      <w:r w:rsidRPr="00824F89">
        <w:rPr>
          <w:rFonts w:ascii="Lato" w:eastAsiaTheme="minorHAnsi" w:hAnsi="Lato" w:cs="Arial"/>
          <w:bCs/>
          <w:iCs/>
          <w:spacing w:val="4"/>
          <w:sz w:val="22"/>
          <w:szCs w:val="22"/>
          <w:lang w:eastAsia="en-US" w:bidi="pl-PL"/>
        </w:rPr>
        <w:t>oraz</w:t>
      </w:r>
      <w:r w:rsidR="008F363D" w:rsidRPr="00824F89">
        <w:rPr>
          <w:rFonts w:ascii="Lato" w:eastAsiaTheme="minorHAnsi" w:hAnsi="Lato" w:cs="Arial"/>
          <w:bCs/>
          <w:iCs/>
          <w:spacing w:val="4"/>
          <w:sz w:val="22"/>
          <w:szCs w:val="22"/>
          <w:lang w:eastAsia="en-US" w:bidi="pl-PL"/>
        </w:rPr>
        <w:t xml:space="preserve"> ludzi (</w:t>
      </w:r>
      <w:r w:rsidR="001B5E1D" w:rsidRPr="00824F89">
        <w:rPr>
          <w:rFonts w:ascii="Lato" w:eastAsiaTheme="minorHAnsi" w:hAnsi="Lato" w:cs="Arial"/>
          <w:bCs/>
          <w:iCs/>
          <w:spacing w:val="4"/>
          <w:sz w:val="22"/>
          <w:szCs w:val="22"/>
          <w:lang w:eastAsia="en-US" w:bidi="pl-PL"/>
        </w:rPr>
        <w:t xml:space="preserve">w tym </w:t>
      </w:r>
      <w:r w:rsidR="008F363D" w:rsidRPr="00824F89">
        <w:rPr>
          <w:rFonts w:ascii="Lato" w:eastAsiaTheme="minorHAnsi" w:hAnsi="Lato" w:cs="Arial"/>
          <w:bCs/>
          <w:iCs/>
          <w:spacing w:val="4"/>
          <w:sz w:val="22"/>
          <w:szCs w:val="22"/>
          <w:lang w:eastAsia="en-US" w:bidi="pl-PL"/>
        </w:rPr>
        <w:t xml:space="preserve">uszkodzenia budynków, niebezpieczeństwo </w:t>
      </w:r>
      <w:r w:rsidR="004A7ACC">
        <w:rPr>
          <w:rFonts w:ascii="Lato" w:eastAsiaTheme="minorHAnsi" w:hAnsi="Lato" w:cs="Arial"/>
          <w:bCs/>
          <w:iCs/>
          <w:spacing w:val="4"/>
          <w:sz w:val="22"/>
          <w:szCs w:val="22"/>
          <w:lang w:eastAsia="en-US" w:bidi="pl-PL"/>
        </w:rPr>
        <w:br/>
      </w:r>
      <w:r w:rsidR="008F363D" w:rsidRPr="00824F89">
        <w:rPr>
          <w:rFonts w:ascii="Lato" w:eastAsiaTheme="minorHAnsi" w:hAnsi="Lato" w:cs="Arial"/>
          <w:bCs/>
          <w:iCs/>
          <w:spacing w:val="4"/>
          <w:sz w:val="22"/>
          <w:szCs w:val="22"/>
          <w:lang w:eastAsia="en-US" w:bidi="pl-PL"/>
        </w:rPr>
        <w:t xml:space="preserve">i szkodliwość dla zdrowia), </w:t>
      </w:r>
      <w:r w:rsidR="001B5E1D" w:rsidRPr="00824F89">
        <w:rPr>
          <w:rFonts w:ascii="Lato" w:eastAsiaTheme="minorHAnsi" w:hAnsi="Lato" w:cs="Arial"/>
          <w:bCs/>
          <w:iCs/>
          <w:spacing w:val="4"/>
          <w:sz w:val="22"/>
          <w:szCs w:val="22"/>
          <w:lang w:eastAsia="en-US" w:bidi="pl-PL"/>
        </w:rPr>
        <w:t>nie znajdują uzasadnienia. Należy podkreślić</w:t>
      </w:r>
      <w:r w:rsidR="00824F89" w:rsidRPr="00824F89">
        <w:rPr>
          <w:rFonts w:ascii="Lato" w:eastAsiaTheme="minorHAnsi" w:hAnsi="Lato" w:cs="Arial"/>
          <w:bCs/>
          <w:iCs/>
          <w:spacing w:val="4"/>
          <w:sz w:val="22"/>
          <w:szCs w:val="22"/>
          <w:lang w:eastAsia="en-US" w:bidi="pl-PL"/>
        </w:rPr>
        <w:t xml:space="preserve"> ponownie</w:t>
      </w:r>
      <w:r w:rsidR="001B5E1D" w:rsidRPr="00824F89">
        <w:rPr>
          <w:rFonts w:ascii="Lato" w:eastAsiaTheme="minorHAnsi" w:hAnsi="Lato" w:cs="Arial"/>
          <w:bCs/>
          <w:iCs/>
          <w:spacing w:val="4"/>
          <w:sz w:val="22"/>
          <w:szCs w:val="22"/>
          <w:lang w:eastAsia="en-US" w:bidi="pl-PL"/>
        </w:rPr>
        <w:t xml:space="preserve">, że wszelkie </w:t>
      </w:r>
      <w:r w:rsidR="008F363D" w:rsidRPr="00824F89">
        <w:rPr>
          <w:rFonts w:ascii="Lato" w:eastAsiaTheme="minorHAnsi" w:hAnsi="Lato" w:cs="Arial"/>
          <w:bCs/>
          <w:iCs/>
          <w:spacing w:val="4"/>
          <w:sz w:val="22"/>
          <w:szCs w:val="22"/>
          <w:lang w:eastAsia="en-US" w:bidi="pl-PL"/>
        </w:rPr>
        <w:t xml:space="preserve">kwestie </w:t>
      </w:r>
      <w:r w:rsidR="001B5E1D" w:rsidRPr="00824F89">
        <w:rPr>
          <w:rFonts w:ascii="Lato" w:eastAsiaTheme="minorHAnsi" w:hAnsi="Lato" w:cs="Arial"/>
          <w:bCs/>
          <w:iCs/>
          <w:spacing w:val="4"/>
          <w:sz w:val="22"/>
          <w:szCs w:val="22"/>
          <w:lang w:eastAsia="en-US" w:bidi="pl-PL"/>
        </w:rPr>
        <w:t>związane z</w:t>
      </w:r>
      <w:r w:rsidR="008F363D" w:rsidRPr="00824F89">
        <w:rPr>
          <w:rFonts w:ascii="Lato" w:eastAsiaTheme="minorHAnsi" w:hAnsi="Lato" w:cs="Arial"/>
          <w:bCs/>
          <w:iCs/>
          <w:spacing w:val="4"/>
          <w:sz w:val="22"/>
          <w:szCs w:val="22"/>
          <w:lang w:eastAsia="en-US" w:bidi="pl-PL"/>
        </w:rPr>
        <w:t xml:space="preserve"> oddziaływani</w:t>
      </w:r>
      <w:r w:rsidR="001B5E1D" w:rsidRPr="00824F89">
        <w:rPr>
          <w:rFonts w:ascii="Lato" w:eastAsiaTheme="minorHAnsi" w:hAnsi="Lato" w:cs="Arial"/>
          <w:bCs/>
          <w:iCs/>
          <w:spacing w:val="4"/>
          <w:sz w:val="22"/>
          <w:szCs w:val="22"/>
          <w:lang w:eastAsia="en-US" w:bidi="pl-PL"/>
        </w:rPr>
        <w:t>em</w:t>
      </w:r>
      <w:r w:rsidR="008F363D" w:rsidRPr="00824F89">
        <w:rPr>
          <w:rFonts w:ascii="Lato" w:eastAsiaTheme="minorHAnsi" w:hAnsi="Lato" w:cs="Arial"/>
          <w:bCs/>
          <w:iCs/>
          <w:spacing w:val="4"/>
          <w:sz w:val="22"/>
          <w:szCs w:val="22"/>
          <w:lang w:eastAsia="en-US" w:bidi="pl-PL"/>
        </w:rPr>
        <w:t xml:space="preserve"> inwestycji na środowisko i ludzi został</w:t>
      </w:r>
      <w:r w:rsidR="001B5E1D" w:rsidRPr="00824F89">
        <w:rPr>
          <w:rFonts w:ascii="Lato" w:eastAsiaTheme="minorHAnsi" w:hAnsi="Lato" w:cs="Arial"/>
          <w:bCs/>
          <w:iCs/>
          <w:spacing w:val="4"/>
          <w:sz w:val="22"/>
          <w:szCs w:val="22"/>
          <w:lang w:eastAsia="en-US" w:bidi="pl-PL"/>
        </w:rPr>
        <w:t>y szczegółowo</w:t>
      </w:r>
      <w:r w:rsidR="008F363D" w:rsidRPr="00824F89">
        <w:rPr>
          <w:rFonts w:ascii="Lato" w:eastAsiaTheme="minorHAnsi" w:hAnsi="Lato" w:cs="Arial"/>
          <w:bCs/>
          <w:iCs/>
          <w:spacing w:val="4"/>
          <w:sz w:val="22"/>
          <w:szCs w:val="22"/>
          <w:lang w:eastAsia="en-US" w:bidi="pl-PL"/>
        </w:rPr>
        <w:t xml:space="preserve"> przeanalizowane w </w:t>
      </w:r>
      <w:r w:rsidR="001B5E1D" w:rsidRPr="00824F89">
        <w:rPr>
          <w:rFonts w:ascii="Lato" w:eastAsiaTheme="minorHAnsi" w:hAnsi="Lato" w:cs="Arial"/>
          <w:bCs/>
          <w:iCs/>
          <w:spacing w:val="4"/>
          <w:sz w:val="22"/>
          <w:szCs w:val="22"/>
          <w:lang w:eastAsia="en-US" w:bidi="pl-PL"/>
        </w:rPr>
        <w:t>ramach postępowania dotyczącego</w:t>
      </w:r>
      <w:r w:rsidR="008F363D" w:rsidRPr="00824F89">
        <w:rPr>
          <w:rFonts w:ascii="Lato" w:eastAsiaTheme="minorHAnsi" w:hAnsi="Lato" w:cs="Arial"/>
          <w:bCs/>
          <w:iCs/>
          <w:spacing w:val="4"/>
          <w:sz w:val="22"/>
          <w:szCs w:val="22"/>
          <w:lang w:eastAsia="en-US" w:bidi="pl-PL"/>
        </w:rPr>
        <w:t xml:space="preserve"> decyzji </w:t>
      </w:r>
      <w:r w:rsidR="004A7ACC">
        <w:rPr>
          <w:rFonts w:ascii="Lato" w:eastAsiaTheme="minorHAnsi" w:hAnsi="Lato" w:cs="Arial"/>
          <w:bCs/>
          <w:iCs/>
          <w:spacing w:val="4"/>
          <w:sz w:val="22"/>
          <w:szCs w:val="22"/>
          <w:lang w:eastAsia="en-US" w:bidi="pl-PL"/>
        </w:rPr>
        <w:br/>
      </w:r>
      <w:r w:rsidR="008F363D" w:rsidRPr="00824F89">
        <w:rPr>
          <w:rFonts w:ascii="Lato" w:eastAsiaTheme="minorHAnsi" w:hAnsi="Lato" w:cs="Arial"/>
          <w:bCs/>
          <w:iCs/>
          <w:spacing w:val="4"/>
          <w:sz w:val="22"/>
          <w:szCs w:val="22"/>
          <w:lang w:eastAsia="en-US" w:bidi="pl-PL"/>
        </w:rPr>
        <w:t>o środowiskowych uwarunkowaniach</w:t>
      </w:r>
      <w:r w:rsidRPr="00824F89">
        <w:rPr>
          <w:rFonts w:ascii="Lato" w:eastAsiaTheme="minorHAnsi" w:hAnsi="Lato" w:cs="Arial"/>
          <w:bCs/>
          <w:iCs/>
          <w:spacing w:val="4"/>
          <w:sz w:val="22"/>
          <w:szCs w:val="22"/>
          <w:lang w:eastAsia="en-US" w:bidi="pl-PL"/>
        </w:rPr>
        <w:t xml:space="preserve"> oraz </w:t>
      </w:r>
      <w:r w:rsidR="008F363D" w:rsidRPr="00824F89">
        <w:rPr>
          <w:rFonts w:ascii="Lato" w:eastAsiaTheme="minorHAnsi" w:hAnsi="Lato" w:cs="Arial"/>
          <w:bCs/>
          <w:iCs/>
          <w:spacing w:val="4"/>
          <w:sz w:val="22"/>
          <w:szCs w:val="22"/>
          <w:lang w:eastAsia="en-US" w:bidi="pl-PL"/>
        </w:rPr>
        <w:t xml:space="preserve">zgody na realizację </w:t>
      </w:r>
      <w:r w:rsidRPr="00824F89">
        <w:rPr>
          <w:rFonts w:ascii="Lato" w:eastAsiaTheme="minorHAnsi" w:hAnsi="Lato" w:cs="Arial"/>
          <w:bCs/>
          <w:iCs/>
          <w:spacing w:val="4"/>
          <w:sz w:val="22"/>
          <w:szCs w:val="22"/>
          <w:lang w:eastAsia="en-US" w:bidi="pl-PL"/>
        </w:rPr>
        <w:t xml:space="preserve">przedmiotowej </w:t>
      </w:r>
      <w:r w:rsidR="001B5E1D" w:rsidRPr="00824F89">
        <w:rPr>
          <w:rFonts w:ascii="Lato" w:eastAsiaTheme="minorHAnsi" w:hAnsi="Lato" w:cs="Arial"/>
          <w:bCs/>
          <w:iCs/>
          <w:spacing w:val="4"/>
          <w:sz w:val="22"/>
          <w:szCs w:val="22"/>
          <w:lang w:eastAsia="en-US" w:bidi="pl-PL"/>
        </w:rPr>
        <w:t>inwestycji.</w:t>
      </w:r>
      <w:r w:rsidRPr="00824F89">
        <w:rPr>
          <w:rFonts w:ascii="Lato" w:eastAsiaTheme="minorHAnsi" w:hAnsi="Lato" w:cs="Arial"/>
          <w:bCs/>
          <w:iCs/>
          <w:spacing w:val="4"/>
          <w:sz w:val="22"/>
          <w:szCs w:val="22"/>
          <w:lang w:eastAsia="en-US" w:bidi="pl-PL"/>
        </w:rPr>
        <w:t xml:space="preserve"> Proces ten został przeprowadzony przez właściwy organ środowiskowy i zakończony wydaniem </w:t>
      </w:r>
      <w:r w:rsidRPr="00824F89">
        <w:rPr>
          <w:rFonts w:ascii="Lato" w:eastAsiaTheme="minorHAnsi" w:hAnsi="Lato" w:cs="Arial"/>
          <w:bCs/>
          <w:i/>
          <w:spacing w:val="4"/>
          <w:sz w:val="22"/>
          <w:szCs w:val="22"/>
          <w:lang w:eastAsia="en-US" w:bidi="pl-PL"/>
        </w:rPr>
        <w:t>decyzji RDOŚ o środowiskowych uwarunkowaniach,</w:t>
      </w:r>
      <w:r w:rsidRPr="00824F89">
        <w:rPr>
          <w:rFonts w:ascii="Lato" w:eastAsiaTheme="minorHAnsi" w:hAnsi="Lato" w:cs="Arial"/>
          <w:bCs/>
          <w:iCs/>
          <w:spacing w:val="4"/>
          <w:sz w:val="22"/>
          <w:szCs w:val="22"/>
          <w:lang w:eastAsia="en-US" w:bidi="pl-PL"/>
        </w:rPr>
        <w:t xml:space="preserve"> o czym szczegółowo omawiane było powyżej w niniejszej decyzji. Tym samym zagadnienia oceny potencjalnego odziaływania przedsięwzięcia na środowisko oraz ludzi były integralnym elementem postępowania prowadzonego przez organ środowiskowy. </w:t>
      </w:r>
      <w:r w:rsidR="008F363D" w:rsidRPr="00824F89">
        <w:rPr>
          <w:rFonts w:ascii="Lato" w:eastAsiaTheme="minorHAnsi" w:hAnsi="Lato" w:cs="Arial"/>
          <w:bCs/>
          <w:iCs/>
          <w:spacing w:val="4"/>
          <w:sz w:val="22"/>
          <w:szCs w:val="22"/>
          <w:lang w:eastAsia="en-US" w:bidi="pl-PL"/>
        </w:rPr>
        <w:t>Ewentualne uwagi i zastrzeżenia co do skutków środowiskowych realizacji przedmiotowej inwestycji strony mogły zgłaszać w toku ww. postępowania środowiskowego.</w:t>
      </w:r>
      <w:bookmarkEnd w:id="25"/>
      <w:r w:rsidR="008F363D" w:rsidRPr="00824F89">
        <w:rPr>
          <w:rFonts w:ascii="Lato" w:eastAsiaTheme="minorHAnsi" w:hAnsi="Lato" w:cs="Arial"/>
          <w:bCs/>
          <w:iCs/>
          <w:spacing w:val="4"/>
          <w:sz w:val="22"/>
          <w:szCs w:val="22"/>
          <w:lang w:eastAsia="en-US" w:bidi="pl-PL"/>
        </w:rPr>
        <w:t xml:space="preserve"> </w:t>
      </w:r>
      <w:r w:rsidR="00C423D9" w:rsidRPr="00824F89">
        <w:rPr>
          <w:rFonts w:ascii="Lato" w:eastAsiaTheme="minorHAnsi" w:hAnsi="Lato" w:cs="Arial"/>
          <w:bCs/>
          <w:iCs/>
          <w:spacing w:val="4"/>
          <w:sz w:val="22"/>
          <w:szCs w:val="22"/>
          <w:lang w:eastAsia="en-US" w:bidi="pl-PL"/>
        </w:rPr>
        <w:t xml:space="preserve">Dodatkowo warto ponownie wskazać, to co wyjaśnił </w:t>
      </w:r>
      <w:r w:rsidR="00C423D9" w:rsidRPr="00824F89">
        <w:rPr>
          <w:rFonts w:ascii="Lato" w:eastAsiaTheme="minorHAnsi" w:hAnsi="Lato" w:cs="Arial"/>
          <w:bCs/>
          <w:i/>
          <w:spacing w:val="4"/>
          <w:sz w:val="22"/>
          <w:szCs w:val="22"/>
          <w:lang w:eastAsia="en-US" w:bidi="pl-PL"/>
        </w:rPr>
        <w:t>inwestor</w:t>
      </w:r>
      <w:r w:rsidR="00C423D9" w:rsidRPr="00824F89">
        <w:rPr>
          <w:rFonts w:ascii="Lato" w:eastAsiaTheme="minorHAnsi" w:hAnsi="Lato" w:cs="Arial"/>
          <w:bCs/>
          <w:iCs/>
          <w:spacing w:val="4"/>
          <w:sz w:val="22"/>
          <w:szCs w:val="22"/>
          <w:lang w:eastAsia="en-US" w:bidi="pl-PL"/>
        </w:rPr>
        <w:t xml:space="preserve"> w piśmie z </w:t>
      </w:r>
      <w:r w:rsidR="00B55613" w:rsidRPr="00824F89">
        <w:rPr>
          <w:rFonts w:ascii="Lato" w:eastAsiaTheme="minorHAnsi" w:hAnsi="Lato" w:cs="Arial"/>
          <w:bCs/>
          <w:iCs/>
          <w:spacing w:val="4"/>
          <w:sz w:val="22"/>
          <w:szCs w:val="22"/>
          <w:lang w:eastAsia="en-US" w:bidi="pl-PL"/>
        </w:rPr>
        <w:t>dnia 3</w:t>
      </w:r>
      <w:r w:rsidR="00C423D9" w:rsidRPr="00824F89">
        <w:rPr>
          <w:rFonts w:ascii="Lato" w:eastAsiaTheme="minorHAnsi" w:hAnsi="Lato" w:cs="Arial"/>
          <w:bCs/>
          <w:iCs/>
          <w:spacing w:val="4"/>
          <w:sz w:val="22"/>
          <w:szCs w:val="22"/>
          <w:lang w:eastAsia="en-US" w:bidi="pl-PL"/>
        </w:rPr>
        <w:t xml:space="preserve"> czerwca 2022 r., iż </w:t>
      </w:r>
      <w:r w:rsidR="00456390" w:rsidRPr="00824F89">
        <w:rPr>
          <w:rFonts w:ascii="Lato" w:eastAsiaTheme="minorHAnsi" w:hAnsi="Lato" w:cs="Arial"/>
          <w:bCs/>
          <w:iCs/>
          <w:spacing w:val="4"/>
          <w:sz w:val="22"/>
          <w:szCs w:val="22"/>
          <w:lang w:eastAsia="en-US" w:bidi="pl-PL"/>
        </w:rPr>
        <w:t xml:space="preserve">trasa została zoptymalizowana pod względem środowiskowym i jej przebieg został uznany przez projektantów za najlepszy z możliwych. </w:t>
      </w:r>
    </w:p>
    <w:p w14:paraId="57A00ED3" w14:textId="1A32D79F" w:rsidR="00341547" w:rsidRDefault="00341547" w:rsidP="00341547">
      <w:pPr>
        <w:spacing w:after="240" w:line="240" w:lineRule="exact"/>
        <w:jc w:val="both"/>
        <w:rPr>
          <w:rFonts w:ascii="Lato" w:eastAsiaTheme="minorHAnsi" w:hAnsi="Lato" w:cs="Arial"/>
          <w:bCs/>
          <w:iCs/>
          <w:spacing w:val="4"/>
          <w:sz w:val="22"/>
          <w:szCs w:val="22"/>
          <w:lang w:eastAsia="en-US" w:bidi="pl-PL"/>
        </w:rPr>
      </w:pPr>
      <w:r w:rsidRPr="00341547">
        <w:rPr>
          <w:rFonts w:ascii="Lato" w:eastAsiaTheme="minorHAnsi" w:hAnsi="Lato" w:cs="Arial"/>
          <w:bCs/>
          <w:iCs/>
          <w:spacing w:val="4"/>
          <w:sz w:val="22"/>
          <w:szCs w:val="22"/>
          <w:lang w:eastAsia="en-US" w:bidi="pl-PL"/>
        </w:rPr>
        <w:t>Za bezzasadne uznać należy także zarzuty</w:t>
      </w:r>
      <w:r>
        <w:rPr>
          <w:rFonts w:ascii="Lato" w:eastAsiaTheme="minorHAnsi" w:hAnsi="Lato" w:cs="Arial"/>
          <w:bCs/>
          <w:iCs/>
          <w:spacing w:val="4"/>
          <w:sz w:val="22"/>
          <w:szCs w:val="22"/>
          <w:lang w:eastAsia="en-US" w:bidi="pl-PL"/>
        </w:rPr>
        <w:t xml:space="preserve"> stron skarżących </w:t>
      </w:r>
      <w:r w:rsidRPr="00341547">
        <w:rPr>
          <w:rFonts w:ascii="Lato" w:eastAsiaTheme="minorHAnsi" w:hAnsi="Lato" w:cs="Arial"/>
          <w:bCs/>
          <w:iCs/>
          <w:spacing w:val="4"/>
          <w:sz w:val="22"/>
          <w:szCs w:val="22"/>
          <w:lang w:eastAsia="en-US" w:bidi="pl-PL"/>
        </w:rPr>
        <w:t xml:space="preserve">dotyczące </w:t>
      </w:r>
      <w:r>
        <w:rPr>
          <w:rFonts w:ascii="Lato" w:eastAsiaTheme="minorHAnsi" w:hAnsi="Lato" w:cs="Arial"/>
          <w:bCs/>
          <w:iCs/>
          <w:spacing w:val="4"/>
          <w:sz w:val="22"/>
          <w:szCs w:val="22"/>
          <w:lang w:eastAsia="en-US" w:bidi="pl-PL"/>
        </w:rPr>
        <w:t>spadku wartości rynkowej nieruchomości oraz pozbawienie nieruchomości walorów zdatności</w:t>
      </w:r>
      <w:r w:rsidR="00AB12FA">
        <w:rPr>
          <w:rFonts w:ascii="Lato" w:eastAsiaTheme="minorHAnsi" w:hAnsi="Lato" w:cs="Arial"/>
          <w:bCs/>
          <w:iCs/>
          <w:spacing w:val="4"/>
          <w:sz w:val="22"/>
          <w:szCs w:val="22"/>
          <w:lang w:eastAsia="en-US" w:bidi="pl-PL"/>
        </w:rPr>
        <w:t xml:space="preserve"> </w:t>
      </w:r>
      <w:r w:rsidR="00AB12FA">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do zamieszkania ora</w:t>
      </w:r>
      <w:r w:rsidR="009554A5">
        <w:rPr>
          <w:rFonts w:ascii="Lato" w:eastAsiaTheme="minorHAnsi" w:hAnsi="Lato" w:cs="Arial"/>
          <w:bCs/>
          <w:iCs/>
          <w:spacing w:val="4"/>
          <w:sz w:val="22"/>
          <w:szCs w:val="22"/>
          <w:lang w:eastAsia="en-US" w:bidi="pl-PL"/>
        </w:rPr>
        <w:t>z</w:t>
      </w:r>
      <w:r>
        <w:rPr>
          <w:rFonts w:ascii="Lato" w:eastAsiaTheme="minorHAnsi" w:hAnsi="Lato" w:cs="Arial"/>
          <w:bCs/>
          <w:iCs/>
          <w:spacing w:val="4"/>
          <w:sz w:val="22"/>
          <w:szCs w:val="22"/>
          <w:lang w:eastAsia="en-US" w:bidi="pl-PL"/>
        </w:rPr>
        <w:t xml:space="preserve"> ewentualne</w:t>
      </w:r>
      <w:r w:rsidR="009554A5">
        <w:rPr>
          <w:rFonts w:ascii="Lato" w:eastAsiaTheme="minorHAnsi" w:hAnsi="Lato" w:cs="Arial"/>
          <w:bCs/>
          <w:iCs/>
          <w:spacing w:val="4"/>
          <w:sz w:val="22"/>
          <w:szCs w:val="22"/>
          <w:lang w:eastAsia="en-US" w:bidi="pl-PL"/>
        </w:rPr>
        <w:t>j</w:t>
      </w:r>
      <w:r>
        <w:rPr>
          <w:rFonts w:ascii="Lato" w:eastAsiaTheme="minorHAnsi" w:hAnsi="Lato" w:cs="Arial"/>
          <w:bCs/>
          <w:iCs/>
          <w:spacing w:val="4"/>
          <w:sz w:val="22"/>
          <w:szCs w:val="22"/>
          <w:lang w:eastAsia="en-US" w:bidi="pl-PL"/>
        </w:rPr>
        <w:t xml:space="preserve"> niemożliwości sprzedaż</w:t>
      </w:r>
      <w:r w:rsidR="004C7160">
        <w:rPr>
          <w:rFonts w:ascii="Lato" w:eastAsiaTheme="minorHAnsi" w:hAnsi="Lato" w:cs="Arial"/>
          <w:bCs/>
          <w:iCs/>
          <w:spacing w:val="4"/>
          <w:sz w:val="22"/>
          <w:szCs w:val="22"/>
          <w:lang w:eastAsia="en-US" w:bidi="pl-PL"/>
        </w:rPr>
        <w:t>y</w:t>
      </w:r>
      <w:r>
        <w:rPr>
          <w:rFonts w:ascii="Lato" w:eastAsiaTheme="minorHAnsi" w:hAnsi="Lato" w:cs="Arial"/>
          <w:bCs/>
          <w:iCs/>
          <w:spacing w:val="4"/>
          <w:sz w:val="22"/>
          <w:szCs w:val="22"/>
          <w:lang w:eastAsia="en-US" w:bidi="pl-PL"/>
        </w:rPr>
        <w:t xml:space="preserve"> siedliska.</w:t>
      </w:r>
    </w:p>
    <w:p w14:paraId="4D97D1E3" w14:textId="54944868" w:rsidR="00C66A03" w:rsidRPr="00341547" w:rsidRDefault="00C66A03" w:rsidP="00C66A03">
      <w:pPr>
        <w:spacing w:after="240" w:line="240" w:lineRule="exact"/>
        <w:jc w:val="both"/>
        <w:rPr>
          <w:rFonts w:ascii="Lato" w:eastAsiaTheme="minorHAnsi" w:hAnsi="Lato" w:cs="Arial"/>
          <w:bCs/>
          <w:iCs/>
          <w:spacing w:val="4"/>
          <w:sz w:val="22"/>
          <w:szCs w:val="22"/>
          <w:lang w:eastAsia="en-US" w:bidi="pl-PL"/>
        </w:rPr>
      </w:pPr>
      <w:r w:rsidRPr="00C66A03">
        <w:rPr>
          <w:rFonts w:ascii="Lato" w:eastAsiaTheme="minorHAnsi" w:hAnsi="Lato" w:cs="Arial"/>
          <w:bCs/>
          <w:iCs/>
          <w:spacing w:val="4"/>
          <w:sz w:val="22"/>
          <w:szCs w:val="22"/>
          <w:lang w:eastAsia="en-US" w:bidi="pl-PL"/>
        </w:rPr>
        <w:t>Jak już powyżej wskazano, do organu administracji należy bowiem jedynie</w:t>
      </w:r>
      <w:r>
        <w:rPr>
          <w:rFonts w:ascii="Lato" w:eastAsiaTheme="minorHAnsi" w:hAnsi="Lato" w:cs="Arial"/>
          <w:bCs/>
          <w:iCs/>
          <w:spacing w:val="4"/>
          <w:sz w:val="22"/>
          <w:szCs w:val="22"/>
          <w:lang w:eastAsia="en-US" w:bidi="pl-PL"/>
        </w:rPr>
        <w:t xml:space="preserve"> </w:t>
      </w:r>
      <w:r w:rsidRPr="00C66A03">
        <w:rPr>
          <w:rFonts w:ascii="Lato" w:eastAsiaTheme="minorHAnsi" w:hAnsi="Lato" w:cs="Arial"/>
          <w:bCs/>
          <w:iCs/>
          <w:spacing w:val="4"/>
          <w:sz w:val="22"/>
          <w:szCs w:val="22"/>
          <w:lang w:eastAsia="en-US" w:bidi="pl-PL"/>
        </w:rPr>
        <w:t xml:space="preserve">ocena wniosku </w:t>
      </w:r>
      <w:r w:rsidRPr="00C66A03">
        <w:rPr>
          <w:rFonts w:ascii="Lato" w:eastAsiaTheme="minorHAnsi" w:hAnsi="Lato" w:cs="Arial"/>
          <w:bCs/>
          <w:i/>
          <w:iCs/>
          <w:spacing w:val="4"/>
          <w:sz w:val="22"/>
          <w:szCs w:val="22"/>
          <w:lang w:eastAsia="en-US" w:bidi="pl-PL"/>
        </w:rPr>
        <w:t xml:space="preserve">inwestora </w:t>
      </w:r>
      <w:r w:rsidRPr="00C66A03">
        <w:rPr>
          <w:rFonts w:ascii="Lato" w:eastAsiaTheme="minorHAnsi" w:hAnsi="Lato" w:cs="Arial"/>
          <w:bCs/>
          <w:iCs/>
          <w:spacing w:val="4"/>
          <w:sz w:val="22"/>
          <w:szCs w:val="22"/>
          <w:lang w:eastAsia="en-US" w:bidi="pl-PL"/>
        </w:rPr>
        <w:t>pod względem jego zgodności z prawem powszechnie</w:t>
      </w:r>
      <w:r>
        <w:rPr>
          <w:rFonts w:ascii="Lato" w:eastAsiaTheme="minorHAnsi" w:hAnsi="Lato" w:cs="Arial"/>
          <w:bCs/>
          <w:iCs/>
          <w:spacing w:val="4"/>
          <w:sz w:val="22"/>
          <w:szCs w:val="22"/>
          <w:lang w:eastAsia="en-US" w:bidi="pl-PL"/>
        </w:rPr>
        <w:t xml:space="preserve"> </w:t>
      </w:r>
      <w:r w:rsidRPr="00C66A03">
        <w:rPr>
          <w:rFonts w:ascii="Lato" w:eastAsiaTheme="minorHAnsi" w:hAnsi="Lato" w:cs="Arial"/>
          <w:bCs/>
          <w:iCs/>
          <w:spacing w:val="4"/>
          <w:sz w:val="22"/>
          <w:szCs w:val="22"/>
          <w:lang w:eastAsia="en-US" w:bidi="pl-PL"/>
        </w:rPr>
        <w:t>obowiązującym oraz kompletności, nie zaś ocena ewentualnych negatywnych następstw</w:t>
      </w:r>
      <w:r>
        <w:rPr>
          <w:rFonts w:ascii="Lato" w:eastAsiaTheme="minorHAnsi" w:hAnsi="Lato" w:cs="Arial"/>
          <w:bCs/>
          <w:iCs/>
          <w:spacing w:val="4"/>
          <w:sz w:val="22"/>
          <w:szCs w:val="22"/>
          <w:lang w:eastAsia="en-US" w:bidi="pl-PL"/>
        </w:rPr>
        <w:t xml:space="preserve"> </w:t>
      </w:r>
      <w:r w:rsidRPr="00C66A03">
        <w:rPr>
          <w:rFonts w:ascii="Lato" w:eastAsiaTheme="minorHAnsi" w:hAnsi="Lato" w:cs="Arial"/>
          <w:bCs/>
          <w:iCs/>
          <w:spacing w:val="4"/>
          <w:sz w:val="22"/>
          <w:szCs w:val="22"/>
          <w:lang w:eastAsia="en-US" w:bidi="pl-PL"/>
        </w:rPr>
        <w:t>dla właścicieli nieruchomości objętych inwestycją. Stanowczego podkreślenia wymaga,</w:t>
      </w:r>
      <w:r>
        <w:rPr>
          <w:rFonts w:ascii="Lato" w:eastAsiaTheme="minorHAnsi" w:hAnsi="Lato" w:cs="Arial"/>
          <w:bCs/>
          <w:iCs/>
          <w:spacing w:val="4"/>
          <w:sz w:val="22"/>
          <w:szCs w:val="22"/>
          <w:lang w:eastAsia="en-US" w:bidi="pl-PL"/>
        </w:rPr>
        <w:t xml:space="preserve"> </w:t>
      </w:r>
      <w:r w:rsidRPr="00C66A03">
        <w:rPr>
          <w:rFonts w:ascii="Lato" w:eastAsiaTheme="minorHAnsi" w:hAnsi="Lato" w:cs="Arial"/>
          <w:bCs/>
          <w:iCs/>
          <w:spacing w:val="4"/>
          <w:sz w:val="22"/>
          <w:szCs w:val="22"/>
          <w:lang w:eastAsia="en-US" w:bidi="pl-PL"/>
        </w:rPr>
        <w:t xml:space="preserve">iż organ wydający decyzję dotyczącą ustalenia </w:t>
      </w:r>
      <w:r w:rsidRPr="00D87AB3">
        <w:rPr>
          <w:rFonts w:ascii="Lato" w:eastAsiaTheme="minorHAnsi" w:hAnsi="Lato" w:cs="Arial"/>
          <w:bCs/>
          <w:iCs/>
          <w:spacing w:val="4"/>
          <w:sz w:val="22"/>
          <w:szCs w:val="22"/>
          <w:lang w:eastAsia="en-US" w:bidi="pl-PL"/>
        </w:rPr>
        <w:t xml:space="preserve">lokalizacji </w:t>
      </w:r>
      <w:r w:rsidR="00D87AB3" w:rsidRPr="00D87AB3">
        <w:rPr>
          <w:rFonts w:ascii="Lato" w:eastAsiaTheme="minorHAnsi" w:hAnsi="Lato" w:cs="Arial"/>
          <w:bCs/>
          <w:iCs/>
          <w:spacing w:val="4"/>
          <w:sz w:val="22"/>
          <w:szCs w:val="22"/>
          <w:lang w:eastAsia="en-US" w:bidi="pl-PL"/>
        </w:rPr>
        <w:t>strategicznej inwestycji w sektorze naftowym</w:t>
      </w:r>
      <w:r w:rsidRPr="00D87AB3">
        <w:rPr>
          <w:rFonts w:ascii="Lato" w:eastAsiaTheme="minorHAnsi" w:hAnsi="Lato" w:cs="Arial"/>
          <w:bCs/>
          <w:iCs/>
          <w:spacing w:val="4"/>
          <w:sz w:val="22"/>
          <w:szCs w:val="22"/>
          <w:lang w:eastAsia="en-US" w:bidi="pl-PL"/>
        </w:rPr>
        <w:t xml:space="preserve"> nie jest kompetentny do oceny przesłanek społecznych czy ekonomicznych powstającej inwestycji</w:t>
      </w:r>
      <w:r w:rsidRPr="00C66A03">
        <w:rPr>
          <w:rFonts w:ascii="Lato" w:eastAsiaTheme="minorHAnsi" w:hAnsi="Lato" w:cs="Arial"/>
          <w:bCs/>
          <w:iCs/>
          <w:spacing w:val="4"/>
          <w:sz w:val="22"/>
          <w:szCs w:val="22"/>
          <w:lang w:eastAsia="en-US" w:bidi="pl-PL"/>
        </w:rPr>
        <w:t xml:space="preserve">, w kształcie określonym przez </w:t>
      </w:r>
      <w:r w:rsidRPr="00AB12FA">
        <w:rPr>
          <w:rFonts w:ascii="Lato" w:eastAsiaTheme="minorHAnsi" w:hAnsi="Lato" w:cs="Arial"/>
          <w:bCs/>
          <w:i/>
          <w:spacing w:val="4"/>
          <w:sz w:val="22"/>
          <w:szCs w:val="22"/>
          <w:lang w:eastAsia="en-US" w:bidi="pl-PL"/>
        </w:rPr>
        <w:t>inwestora</w:t>
      </w:r>
      <w:r w:rsidRPr="00C66A03">
        <w:rPr>
          <w:rFonts w:ascii="Lato" w:eastAsiaTheme="minorHAnsi" w:hAnsi="Lato" w:cs="Arial"/>
          <w:bCs/>
          <w:iCs/>
          <w:spacing w:val="4"/>
          <w:sz w:val="22"/>
          <w:szCs w:val="22"/>
          <w:lang w:eastAsia="en-US" w:bidi="pl-PL"/>
        </w:rPr>
        <w:t>.</w:t>
      </w:r>
    </w:p>
    <w:p w14:paraId="58CEF34F" w14:textId="70C86EB1" w:rsidR="00456390" w:rsidRDefault="00341547" w:rsidP="00341547">
      <w:pPr>
        <w:spacing w:after="240" w:line="240" w:lineRule="exact"/>
        <w:jc w:val="both"/>
        <w:rPr>
          <w:rFonts w:ascii="Lato" w:eastAsiaTheme="minorHAnsi" w:hAnsi="Lato" w:cs="Arial"/>
          <w:bCs/>
          <w:iCs/>
          <w:spacing w:val="4"/>
          <w:sz w:val="22"/>
          <w:szCs w:val="22"/>
          <w:lang w:eastAsia="en-US" w:bidi="pl-PL"/>
        </w:rPr>
      </w:pPr>
      <w:r w:rsidRPr="00341547">
        <w:rPr>
          <w:rFonts w:ascii="Lato" w:eastAsiaTheme="minorHAnsi" w:hAnsi="Lato" w:cs="Arial"/>
          <w:bCs/>
          <w:iCs/>
          <w:spacing w:val="4"/>
          <w:sz w:val="22"/>
          <w:szCs w:val="22"/>
          <w:lang w:eastAsia="en-US" w:bidi="pl-PL"/>
        </w:rPr>
        <w:t xml:space="preserve">Lokalizacja inwestycji w zakresie budowy </w:t>
      </w:r>
      <w:r>
        <w:rPr>
          <w:rFonts w:ascii="Lato" w:eastAsiaTheme="minorHAnsi" w:hAnsi="Lato" w:cs="Arial"/>
          <w:bCs/>
          <w:iCs/>
          <w:spacing w:val="4"/>
          <w:sz w:val="22"/>
          <w:szCs w:val="22"/>
          <w:lang w:eastAsia="en-US" w:bidi="pl-PL"/>
        </w:rPr>
        <w:t>rurociągu ropy naftowej</w:t>
      </w:r>
      <w:r w:rsidRPr="00341547">
        <w:rPr>
          <w:rFonts w:ascii="Lato" w:eastAsiaTheme="minorHAnsi" w:hAnsi="Lato" w:cs="Arial"/>
          <w:bCs/>
          <w:iCs/>
          <w:spacing w:val="4"/>
          <w:sz w:val="22"/>
          <w:szCs w:val="22"/>
          <w:lang w:eastAsia="en-US" w:bidi="pl-PL"/>
        </w:rPr>
        <w:t xml:space="preserve"> z samej istoty tego przedsięwzięcia zawsze stanowi ingerencję w czyjeś prawo własności. Dla decyzji </w:t>
      </w:r>
      <w:r w:rsidR="00886A3B">
        <w:rPr>
          <w:rFonts w:ascii="Lato" w:eastAsiaTheme="minorHAnsi" w:hAnsi="Lato" w:cs="Arial"/>
          <w:bCs/>
          <w:iCs/>
          <w:spacing w:val="4"/>
          <w:sz w:val="22"/>
          <w:szCs w:val="22"/>
          <w:lang w:eastAsia="en-US" w:bidi="pl-PL"/>
        </w:rPr>
        <w:br/>
      </w:r>
      <w:r w:rsidRPr="00341547">
        <w:rPr>
          <w:rFonts w:ascii="Lato" w:eastAsiaTheme="minorHAnsi" w:hAnsi="Lato" w:cs="Arial"/>
          <w:bCs/>
          <w:iCs/>
          <w:spacing w:val="4"/>
          <w:sz w:val="22"/>
          <w:szCs w:val="22"/>
          <w:lang w:eastAsia="en-US" w:bidi="pl-PL"/>
        </w:rPr>
        <w:t xml:space="preserve">o lokalizacji </w:t>
      </w:r>
      <w:r>
        <w:rPr>
          <w:rFonts w:ascii="Lato" w:eastAsiaTheme="minorHAnsi" w:hAnsi="Lato" w:cs="Arial"/>
          <w:bCs/>
          <w:iCs/>
          <w:spacing w:val="4"/>
          <w:sz w:val="22"/>
          <w:szCs w:val="22"/>
          <w:lang w:eastAsia="en-US" w:bidi="pl-PL"/>
        </w:rPr>
        <w:t xml:space="preserve">strategicznej </w:t>
      </w:r>
      <w:r w:rsidRPr="00341547">
        <w:rPr>
          <w:rFonts w:ascii="Lato" w:eastAsiaTheme="minorHAnsi" w:hAnsi="Lato" w:cs="Arial"/>
          <w:bCs/>
          <w:iCs/>
          <w:spacing w:val="4"/>
          <w:sz w:val="22"/>
          <w:szCs w:val="22"/>
          <w:lang w:eastAsia="en-US" w:bidi="pl-PL"/>
        </w:rPr>
        <w:t xml:space="preserve">inwestycji </w:t>
      </w:r>
      <w:r>
        <w:rPr>
          <w:rFonts w:ascii="Lato" w:eastAsiaTheme="minorHAnsi" w:hAnsi="Lato" w:cs="Arial"/>
          <w:bCs/>
          <w:iCs/>
          <w:spacing w:val="4"/>
          <w:sz w:val="22"/>
          <w:szCs w:val="22"/>
          <w:lang w:eastAsia="en-US" w:bidi="pl-PL"/>
        </w:rPr>
        <w:t>w sektorze naftowym</w:t>
      </w:r>
      <w:r w:rsidRPr="00341547">
        <w:rPr>
          <w:rFonts w:ascii="Lato" w:eastAsiaTheme="minorHAnsi" w:hAnsi="Lato" w:cs="Arial"/>
          <w:bCs/>
          <w:iCs/>
          <w:spacing w:val="4"/>
          <w:sz w:val="22"/>
          <w:szCs w:val="22"/>
          <w:lang w:eastAsia="en-US" w:bidi="pl-PL"/>
        </w:rPr>
        <w:t xml:space="preserve"> dotychczasowe przeznaczenie nieruchomości nie ma żadnego znaczenia i nie podważa prawidłowości decyzji. Może mieć jednak znaczenie dla obiektywnej możliwości dalszego korzystania z nieruchomości w dotychczasowy sposób i ewentualnego roszczenia odszkodowawczeg</w:t>
      </w:r>
      <w:r w:rsidR="006F6943">
        <w:rPr>
          <w:rFonts w:ascii="Lato" w:eastAsiaTheme="minorHAnsi" w:hAnsi="Lato" w:cs="Arial"/>
          <w:bCs/>
          <w:iCs/>
          <w:spacing w:val="4"/>
          <w:sz w:val="22"/>
          <w:szCs w:val="22"/>
          <w:lang w:eastAsia="en-US" w:bidi="pl-PL"/>
        </w:rPr>
        <w:t xml:space="preserve">o </w:t>
      </w:r>
      <w:r w:rsidRPr="00341547">
        <w:rPr>
          <w:rFonts w:ascii="Lato" w:eastAsiaTheme="minorHAnsi" w:hAnsi="Lato" w:cs="Arial"/>
          <w:bCs/>
          <w:iCs/>
          <w:spacing w:val="4"/>
          <w:sz w:val="22"/>
          <w:szCs w:val="22"/>
          <w:lang w:eastAsia="en-US" w:bidi="pl-PL"/>
        </w:rPr>
        <w:t xml:space="preserve">przysługującego zgodnie z art. 124 ust. 5 </w:t>
      </w:r>
      <w:r w:rsidRPr="00341547">
        <w:rPr>
          <w:rFonts w:ascii="Lato" w:eastAsiaTheme="minorHAnsi" w:hAnsi="Lato" w:cs="Arial"/>
          <w:bCs/>
          <w:i/>
          <w:iCs/>
          <w:spacing w:val="4"/>
          <w:sz w:val="22"/>
          <w:szCs w:val="22"/>
          <w:lang w:eastAsia="en-US" w:bidi="pl-PL"/>
        </w:rPr>
        <w:t>ugn</w:t>
      </w:r>
      <w:r w:rsidRPr="00341547">
        <w:rPr>
          <w:rFonts w:ascii="Lato" w:eastAsiaTheme="minorHAnsi" w:hAnsi="Lato" w:cs="Arial"/>
          <w:bCs/>
          <w:iCs/>
          <w:spacing w:val="4"/>
          <w:sz w:val="22"/>
          <w:szCs w:val="22"/>
          <w:lang w:eastAsia="en-US" w:bidi="pl-PL"/>
        </w:rPr>
        <w:t xml:space="preserve">. Według bowiem art. </w:t>
      </w:r>
      <w:r w:rsidR="00886A3B">
        <w:rPr>
          <w:rFonts w:ascii="Lato" w:eastAsiaTheme="minorHAnsi" w:hAnsi="Lato" w:cs="Arial"/>
          <w:bCs/>
          <w:iCs/>
          <w:spacing w:val="4"/>
          <w:sz w:val="22"/>
          <w:szCs w:val="22"/>
          <w:lang w:eastAsia="en-US" w:bidi="pl-PL"/>
        </w:rPr>
        <w:t>30</w:t>
      </w:r>
      <w:r w:rsidRPr="00341547">
        <w:rPr>
          <w:rFonts w:ascii="Lato" w:eastAsiaTheme="minorHAnsi" w:hAnsi="Lato" w:cs="Arial"/>
          <w:bCs/>
          <w:iCs/>
          <w:spacing w:val="4"/>
          <w:sz w:val="22"/>
          <w:szCs w:val="22"/>
          <w:lang w:eastAsia="en-US" w:bidi="pl-PL"/>
        </w:rPr>
        <w:t xml:space="preserve"> ust. 1</w:t>
      </w:r>
      <w:r w:rsidR="00886A3B">
        <w:rPr>
          <w:rFonts w:ascii="Lato" w:eastAsiaTheme="minorHAnsi" w:hAnsi="Lato" w:cs="Arial"/>
          <w:bCs/>
          <w:iCs/>
          <w:spacing w:val="4"/>
          <w:sz w:val="22"/>
          <w:szCs w:val="22"/>
          <w:lang w:eastAsia="en-US" w:bidi="pl-PL"/>
        </w:rPr>
        <w:t xml:space="preserve"> </w:t>
      </w:r>
      <w:r w:rsidRPr="00341547">
        <w:rPr>
          <w:rFonts w:ascii="Lato" w:eastAsiaTheme="minorHAnsi" w:hAnsi="Lato" w:cs="Arial"/>
          <w:bCs/>
          <w:i/>
          <w:iCs/>
          <w:spacing w:val="4"/>
          <w:sz w:val="22"/>
          <w:szCs w:val="22"/>
          <w:lang w:eastAsia="en-US" w:bidi="pl-PL"/>
        </w:rPr>
        <w:t xml:space="preserve">specustawy </w:t>
      </w:r>
      <w:r w:rsidR="00886A3B">
        <w:rPr>
          <w:rFonts w:ascii="Lato" w:eastAsiaTheme="minorHAnsi" w:hAnsi="Lato" w:cs="Arial"/>
          <w:bCs/>
          <w:i/>
          <w:iCs/>
          <w:spacing w:val="4"/>
          <w:sz w:val="22"/>
          <w:szCs w:val="22"/>
          <w:lang w:eastAsia="en-US" w:bidi="pl-PL"/>
        </w:rPr>
        <w:t>naftowej</w:t>
      </w:r>
      <w:r w:rsidRPr="00341547">
        <w:rPr>
          <w:rFonts w:ascii="Lato" w:eastAsiaTheme="minorHAnsi" w:hAnsi="Lato" w:cs="Arial"/>
          <w:bCs/>
          <w:iCs/>
          <w:spacing w:val="4"/>
          <w:sz w:val="22"/>
          <w:szCs w:val="22"/>
          <w:lang w:eastAsia="en-US" w:bidi="pl-PL"/>
        </w:rPr>
        <w:t xml:space="preserve">, przepisy art. 124 ust. 4-7 </w:t>
      </w:r>
      <w:r w:rsidRPr="00341547">
        <w:rPr>
          <w:rFonts w:ascii="Lato" w:eastAsiaTheme="minorHAnsi" w:hAnsi="Lato" w:cs="Arial"/>
          <w:bCs/>
          <w:i/>
          <w:iCs/>
          <w:spacing w:val="4"/>
          <w:sz w:val="22"/>
          <w:szCs w:val="22"/>
          <w:lang w:eastAsia="en-US" w:bidi="pl-PL"/>
        </w:rPr>
        <w:t xml:space="preserve">ugn </w:t>
      </w:r>
      <w:r w:rsidRPr="00341547">
        <w:rPr>
          <w:rFonts w:ascii="Lato" w:eastAsiaTheme="minorHAnsi" w:hAnsi="Lato" w:cs="Arial"/>
          <w:bCs/>
          <w:iCs/>
          <w:spacing w:val="4"/>
          <w:sz w:val="22"/>
          <w:szCs w:val="22"/>
          <w:lang w:eastAsia="en-US" w:bidi="pl-PL"/>
        </w:rPr>
        <w:t xml:space="preserve">stosuje się odpowiednio, z uwzględnieniem przepisów niniejszej ustawy (por. wyroki Wojewódzkiego Sądu Administracyjnego z dnia 30 sierpnia 2019 r., sygn. akt IV SA/Wa 1477/19 i z dnia 31 sierpnia 2018 r., sygn. akt IV SA/Wa 3345/17, opubl. Centralna Baza Orzeczeń Sądów Administracyjnych). </w:t>
      </w:r>
    </w:p>
    <w:p w14:paraId="606B1C03" w14:textId="2AAFE649" w:rsidR="00456390" w:rsidRPr="00456390" w:rsidRDefault="00456390" w:rsidP="00456390">
      <w:pPr>
        <w:spacing w:after="240" w:line="240" w:lineRule="exact"/>
        <w:jc w:val="both"/>
        <w:rPr>
          <w:rFonts w:ascii="Lato" w:eastAsiaTheme="minorHAnsi" w:hAnsi="Lato" w:cs="Arial"/>
          <w:bCs/>
          <w:iCs/>
          <w:spacing w:val="4"/>
          <w:sz w:val="22"/>
          <w:szCs w:val="22"/>
          <w:lang w:eastAsia="en-US" w:bidi="pl-PL"/>
        </w:rPr>
      </w:pPr>
      <w:r w:rsidRPr="005A3CC9">
        <w:rPr>
          <w:rFonts w:ascii="Lato" w:eastAsiaTheme="minorHAnsi" w:hAnsi="Lato" w:cs="Arial"/>
          <w:bCs/>
          <w:iCs/>
          <w:spacing w:val="4"/>
          <w:sz w:val="22"/>
          <w:szCs w:val="22"/>
          <w:lang w:eastAsia="en-US" w:bidi="pl-PL"/>
        </w:rPr>
        <w:lastRenderedPageBreak/>
        <w:t>Kwestie</w:t>
      </w:r>
      <w:r w:rsidRPr="00456390">
        <w:rPr>
          <w:rFonts w:ascii="Lato" w:eastAsiaTheme="minorHAnsi" w:hAnsi="Lato" w:cs="Arial"/>
          <w:bCs/>
          <w:iCs/>
          <w:spacing w:val="4"/>
          <w:sz w:val="22"/>
          <w:szCs w:val="22"/>
          <w:lang w:eastAsia="en-US" w:bidi="pl-PL"/>
        </w:rPr>
        <w:t xml:space="preserve"> odszkodowawcz</w:t>
      </w:r>
      <w:r w:rsidRPr="005A3CC9">
        <w:rPr>
          <w:rFonts w:ascii="Lato" w:eastAsiaTheme="minorHAnsi" w:hAnsi="Lato" w:cs="Arial"/>
          <w:bCs/>
          <w:iCs/>
          <w:spacing w:val="4"/>
          <w:sz w:val="22"/>
          <w:szCs w:val="22"/>
          <w:lang w:eastAsia="en-US" w:bidi="pl-PL"/>
        </w:rPr>
        <w:t>e dotyczące ingerencji w prawo własności skarżących</w:t>
      </w:r>
      <w:r w:rsidR="005A3CC9" w:rsidRPr="005A3CC9">
        <w:rPr>
          <w:rFonts w:ascii="Lato" w:eastAsiaTheme="minorHAnsi" w:hAnsi="Lato" w:cs="Arial"/>
          <w:bCs/>
          <w:iCs/>
          <w:spacing w:val="4"/>
          <w:sz w:val="22"/>
          <w:szCs w:val="22"/>
          <w:lang w:eastAsia="en-US" w:bidi="pl-PL"/>
        </w:rPr>
        <w:t xml:space="preserve"> oraz ustaleniem wysokości i wypłaty odszkodowania dotyczących strat i szkód związanych </w:t>
      </w:r>
      <w:r w:rsidR="00AB12FA">
        <w:rPr>
          <w:rFonts w:ascii="Lato" w:eastAsiaTheme="minorHAnsi" w:hAnsi="Lato" w:cs="Arial"/>
          <w:bCs/>
          <w:iCs/>
          <w:spacing w:val="4"/>
          <w:sz w:val="22"/>
          <w:szCs w:val="22"/>
          <w:lang w:eastAsia="en-US" w:bidi="pl-PL"/>
        </w:rPr>
        <w:br/>
      </w:r>
      <w:r w:rsidR="005A3CC9" w:rsidRPr="005A3CC9">
        <w:rPr>
          <w:rFonts w:ascii="Lato" w:eastAsiaTheme="minorHAnsi" w:hAnsi="Lato" w:cs="Arial"/>
          <w:bCs/>
          <w:iCs/>
          <w:spacing w:val="4"/>
          <w:sz w:val="22"/>
          <w:szCs w:val="22"/>
          <w:lang w:eastAsia="en-US" w:bidi="pl-PL"/>
        </w:rPr>
        <w:t>z planowaną inwestycją były już wyjaśnianie powyżej w niniejszym uzasadnieniu, a więc nie ma potrzeby ponownego ich przytaczania.</w:t>
      </w:r>
      <w:r w:rsidR="005A3CC9">
        <w:rPr>
          <w:rFonts w:ascii="Lato" w:eastAsiaTheme="minorHAnsi" w:hAnsi="Lato" w:cs="Arial"/>
          <w:bCs/>
          <w:iCs/>
          <w:spacing w:val="4"/>
          <w:sz w:val="22"/>
          <w:szCs w:val="22"/>
          <w:lang w:eastAsia="en-US" w:bidi="pl-PL"/>
        </w:rPr>
        <w:t xml:space="preserve"> </w:t>
      </w:r>
    </w:p>
    <w:p w14:paraId="6D68ABAB" w14:textId="77777777" w:rsidR="00FB5DA8"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W świetle powyższej argumentacji, zarzu</w:t>
      </w:r>
      <w:r w:rsidR="00C454E3" w:rsidRPr="00F24C6D">
        <w:rPr>
          <w:rFonts w:ascii="Lato" w:eastAsiaTheme="minorHAnsi" w:hAnsi="Lato" w:cs="Arial"/>
          <w:bCs/>
          <w:iCs/>
          <w:spacing w:val="4"/>
          <w:sz w:val="22"/>
          <w:szCs w:val="22"/>
          <w:lang w:eastAsia="en-US" w:bidi="pl-PL"/>
        </w:rPr>
        <w:t>ty</w:t>
      </w:r>
      <w:r w:rsidRPr="00F24C6D">
        <w:rPr>
          <w:rFonts w:ascii="Lato" w:eastAsiaTheme="minorHAnsi" w:hAnsi="Lato" w:cs="Arial"/>
          <w:bCs/>
          <w:iCs/>
          <w:spacing w:val="4"/>
          <w:sz w:val="22"/>
          <w:szCs w:val="22"/>
          <w:lang w:eastAsia="en-US" w:bidi="pl-PL"/>
        </w:rPr>
        <w:t xml:space="preserve"> skarżąc</w:t>
      </w:r>
      <w:r w:rsidR="00C454E3" w:rsidRPr="00F24C6D">
        <w:rPr>
          <w:rFonts w:ascii="Lato" w:eastAsiaTheme="minorHAnsi" w:hAnsi="Lato" w:cs="Arial"/>
          <w:bCs/>
          <w:iCs/>
          <w:spacing w:val="4"/>
          <w:sz w:val="22"/>
          <w:szCs w:val="22"/>
          <w:lang w:eastAsia="en-US" w:bidi="pl-PL"/>
        </w:rPr>
        <w:t>ych</w:t>
      </w:r>
      <w:r w:rsidRPr="00F24C6D">
        <w:rPr>
          <w:rFonts w:ascii="Lato" w:eastAsiaTheme="minorHAnsi" w:hAnsi="Lato" w:cs="Arial"/>
          <w:bCs/>
          <w:iCs/>
          <w:spacing w:val="4"/>
          <w:sz w:val="22"/>
          <w:szCs w:val="22"/>
          <w:lang w:eastAsia="en-US" w:bidi="pl-PL"/>
        </w:rPr>
        <w:t xml:space="preserve"> </w:t>
      </w:r>
      <w:r w:rsidR="00BD6E58" w:rsidRPr="00F24C6D">
        <w:rPr>
          <w:rFonts w:ascii="Lato" w:eastAsiaTheme="minorHAnsi" w:hAnsi="Lato" w:cs="Arial"/>
          <w:bCs/>
          <w:iCs/>
          <w:spacing w:val="4"/>
          <w:sz w:val="22"/>
          <w:szCs w:val="22"/>
          <w:lang w:eastAsia="en-US" w:bidi="pl-PL"/>
        </w:rPr>
        <w:t>dotycząc</w:t>
      </w:r>
      <w:r w:rsidR="00BD6E58">
        <w:rPr>
          <w:rFonts w:ascii="Lato" w:eastAsiaTheme="minorHAnsi" w:hAnsi="Lato" w:cs="Arial"/>
          <w:bCs/>
          <w:iCs/>
          <w:spacing w:val="4"/>
          <w:sz w:val="22"/>
          <w:szCs w:val="22"/>
          <w:lang w:eastAsia="en-US" w:bidi="pl-PL"/>
        </w:rPr>
        <w:t>e</w:t>
      </w:r>
      <w:r w:rsidR="00BD6E58"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braku możliwości korzystania z nieruchomości</w:t>
      </w:r>
      <w:r w:rsidR="00745F39">
        <w:rPr>
          <w:rFonts w:ascii="Lato" w:eastAsiaTheme="minorHAnsi" w:hAnsi="Lato" w:cs="Arial"/>
          <w:bCs/>
          <w:iCs/>
          <w:spacing w:val="4"/>
          <w:sz w:val="22"/>
          <w:szCs w:val="22"/>
          <w:lang w:eastAsia="en-US" w:bidi="pl-PL"/>
        </w:rPr>
        <w:t xml:space="preserve"> oraz uniemożliwienia rozbudowy siedliska</w:t>
      </w:r>
      <w:r w:rsidRPr="00F24C6D">
        <w:rPr>
          <w:rFonts w:ascii="Lato" w:eastAsiaTheme="minorHAnsi" w:hAnsi="Lato" w:cs="Arial"/>
          <w:bCs/>
          <w:iCs/>
          <w:spacing w:val="4"/>
          <w:sz w:val="22"/>
          <w:szCs w:val="22"/>
          <w:lang w:eastAsia="en-US" w:bidi="pl-PL"/>
        </w:rPr>
        <w:t xml:space="preserve"> w związku </w:t>
      </w:r>
      <w:r w:rsidR="009554A5">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z lokalizacją </w:t>
      </w:r>
      <w:r w:rsidR="00745F39">
        <w:rPr>
          <w:rFonts w:ascii="Lato" w:eastAsiaTheme="minorHAnsi" w:hAnsi="Lato" w:cs="Arial"/>
          <w:bCs/>
          <w:iCs/>
          <w:spacing w:val="4"/>
          <w:sz w:val="22"/>
          <w:szCs w:val="22"/>
          <w:lang w:eastAsia="en-US" w:bidi="pl-PL"/>
        </w:rPr>
        <w:t>rurociągu</w:t>
      </w:r>
      <w:r w:rsidRPr="00F24C6D">
        <w:rPr>
          <w:rFonts w:ascii="Lato" w:eastAsiaTheme="minorHAnsi" w:hAnsi="Lato" w:cs="Arial"/>
          <w:bCs/>
          <w:iCs/>
          <w:spacing w:val="4"/>
          <w:sz w:val="22"/>
          <w:szCs w:val="22"/>
          <w:lang w:eastAsia="en-US" w:bidi="pl-PL"/>
        </w:rPr>
        <w:t xml:space="preserve"> na ich terenie, nie świadcz</w:t>
      </w:r>
      <w:r w:rsidR="00C454E3" w:rsidRPr="00F24C6D">
        <w:rPr>
          <w:rFonts w:ascii="Lato" w:eastAsiaTheme="minorHAnsi" w:hAnsi="Lato" w:cs="Arial"/>
          <w:bCs/>
          <w:iCs/>
          <w:spacing w:val="4"/>
          <w:sz w:val="22"/>
          <w:szCs w:val="22"/>
          <w:lang w:eastAsia="en-US" w:bidi="pl-PL"/>
        </w:rPr>
        <w:t>ą</w:t>
      </w:r>
      <w:r w:rsidRPr="00F24C6D">
        <w:rPr>
          <w:rFonts w:ascii="Lato" w:eastAsiaTheme="minorHAnsi" w:hAnsi="Lato" w:cs="Arial"/>
          <w:bCs/>
          <w:iCs/>
          <w:spacing w:val="4"/>
          <w:sz w:val="22"/>
          <w:szCs w:val="22"/>
          <w:lang w:eastAsia="en-US" w:bidi="pl-PL"/>
        </w:rPr>
        <w:t xml:space="preserve"> o wadliwości </w:t>
      </w:r>
      <w:r w:rsidRPr="00F24C6D">
        <w:rPr>
          <w:rFonts w:ascii="Lato" w:eastAsiaTheme="minorHAnsi" w:hAnsi="Lato" w:cs="Arial"/>
          <w:bCs/>
          <w:i/>
          <w:iCs/>
          <w:spacing w:val="4"/>
          <w:sz w:val="22"/>
          <w:szCs w:val="22"/>
          <w:lang w:eastAsia="en-US" w:bidi="pl-PL"/>
        </w:rPr>
        <w:t>decyzji Wojewody</w:t>
      </w:r>
      <w:r w:rsidR="009215FC" w:rsidRPr="00F24C6D">
        <w:rPr>
          <w:rFonts w:ascii="Lato" w:eastAsiaTheme="minorHAnsi" w:hAnsi="Lato" w:cs="Arial"/>
          <w:bCs/>
          <w:i/>
          <w:iCs/>
          <w:spacing w:val="4"/>
          <w:sz w:val="22"/>
          <w:szCs w:val="22"/>
          <w:lang w:eastAsia="en-US" w:bidi="pl-PL"/>
        </w:rPr>
        <w:t xml:space="preserve"> </w:t>
      </w:r>
      <w:r w:rsidR="00745F39">
        <w:rPr>
          <w:rFonts w:ascii="Lato" w:eastAsiaTheme="minorHAnsi" w:hAnsi="Lato" w:cs="Arial"/>
          <w:bCs/>
          <w:i/>
          <w:iCs/>
          <w:spacing w:val="4"/>
          <w:sz w:val="22"/>
          <w:szCs w:val="22"/>
          <w:lang w:eastAsia="en-US" w:bidi="pl-PL"/>
        </w:rPr>
        <w:t>Mazowieckiego</w:t>
      </w:r>
      <w:r w:rsidRPr="00F24C6D">
        <w:rPr>
          <w:rFonts w:ascii="Lato" w:eastAsiaTheme="minorHAnsi" w:hAnsi="Lato" w:cs="Arial"/>
          <w:bCs/>
          <w:iCs/>
          <w:spacing w:val="4"/>
          <w:sz w:val="22"/>
          <w:szCs w:val="22"/>
          <w:lang w:eastAsia="en-US" w:bidi="pl-PL"/>
        </w:rPr>
        <w:t>, bowiem kwestie te nie są przedmiotem rozważań organów administracji właściwych w sprawie wydania decyzji o ustaleniu lokalizacji</w:t>
      </w:r>
      <w:r w:rsidR="00745F39">
        <w:rPr>
          <w:rFonts w:ascii="Lato" w:eastAsiaTheme="minorHAnsi" w:hAnsi="Lato" w:cs="Arial"/>
          <w:bCs/>
          <w:iCs/>
          <w:spacing w:val="4"/>
          <w:sz w:val="22"/>
          <w:szCs w:val="22"/>
          <w:lang w:eastAsia="en-US" w:bidi="pl-PL"/>
        </w:rPr>
        <w:t xml:space="preserve"> strategicznej</w:t>
      </w:r>
      <w:r w:rsidRPr="00F24C6D">
        <w:rPr>
          <w:rFonts w:ascii="Lato" w:eastAsiaTheme="minorHAnsi" w:hAnsi="Lato" w:cs="Arial"/>
          <w:bCs/>
          <w:iCs/>
          <w:spacing w:val="4"/>
          <w:sz w:val="22"/>
          <w:szCs w:val="22"/>
          <w:lang w:eastAsia="en-US" w:bidi="pl-PL"/>
        </w:rPr>
        <w:t xml:space="preserve"> inwestycji </w:t>
      </w:r>
      <w:r w:rsidR="009554A5">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w:t>
      </w:r>
      <w:r w:rsidR="00745F39">
        <w:rPr>
          <w:rFonts w:ascii="Lato" w:eastAsiaTheme="minorHAnsi" w:hAnsi="Lato" w:cs="Arial"/>
          <w:bCs/>
          <w:iCs/>
          <w:spacing w:val="4"/>
          <w:sz w:val="22"/>
          <w:szCs w:val="22"/>
          <w:lang w:eastAsia="en-US" w:bidi="pl-PL"/>
        </w:rPr>
        <w:t>sektorze naftowym</w:t>
      </w:r>
      <w:r w:rsidRPr="00F24C6D">
        <w:rPr>
          <w:rFonts w:ascii="Lato" w:eastAsiaTheme="minorHAnsi" w:hAnsi="Lato" w:cs="Arial"/>
          <w:bCs/>
          <w:iCs/>
          <w:spacing w:val="4"/>
          <w:sz w:val="22"/>
          <w:szCs w:val="22"/>
          <w:lang w:eastAsia="en-US" w:bidi="pl-PL"/>
        </w:rPr>
        <w:t xml:space="preserve">, jak i nie stanowią przedmiotu samej decyzji lokalizacyjnej.  </w:t>
      </w:r>
    </w:p>
    <w:p w14:paraId="4FDBC5B2" w14:textId="39225B6E" w:rsidR="00850283" w:rsidRDefault="00850283" w:rsidP="00F24C6D">
      <w:pPr>
        <w:spacing w:after="240" w:line="240" w:lineRule="exact"/>
        <w:jc w:val="both"/>
        <w:rPr>
          <w:rFonts w:ascii="Lato" w:eastAsiaTheme="minorHAnsi" w:hAnsi="Lato" w:cs="Arial"/>
          <w:bCs/>
          <w:iCs/>
          <w:spacing w:val="4"/>
          <w:sz w:val="22"/>
          <w:szCs w:val="22"/>
          <w:lang w:eastAsia="en-US" w:bidi="pl-PL"/>
        </w:rPr>
      </w:pPr>
      <w:bookmarkStart w:id="26" w:name="_Hlk188951836"/>
      <w:r>
        <w:rPr>
          <w:rFonts w:ascii="Lato" w:eastAsiaTheme="minorHAnsi" w:hAnsi="Lato" w:cs="Arial"/>
          <w:bCs/>
          <w:iCs/>
          <w:spacing w:val="4"/>
          <w:sz w:val="22"/>
          <w:szCs w:val="22"/>
          <w:lang w:eastAsia="en-US" w:bidi="pl-PL"/>
        </w:rPr>
        <w:t xml:space="preserve">Bezpodstawne są także zarzuty </w:t>
      </w:r>
      <w:r w:rsidRPr="00850283">
        <w:rPr>
          <w:rFonts w:ascii="Lato" w:eastAsiaTheme="minorHAnsi" w:hAnsi="Lato" w:cs="Arial"/>
          <w:bCs/>
          <w:iCs/>
          <w:spacing w:val="4"/>
          <w:sz w:val="22"/>
          <w:szCs w:val="22"/>
          <w:lang w:eastAsia="en-US" w:bidi="pl-PL"/>
        </w:rPr>
        <w:t xml:space="preserve">dotyczące groźby uszkodzenia budynku mieszkalnego </w:t>
      </w:r>
      <w:r w:rsidR="00AB12FA">
        <w:rPr>
          <w:rFonts w:ascii="Lato" w:eastAsiaTheme="minorHAnsi" w:hAnsi="Lato" w:cs="Arial"/>
          <w:bCs/>
          <w:iCs/>
          <w:spacing w:val="4"/>
          <w:sz w:val="22"/>
          <w:szCs w:val="22"/>
          <w:lang w:eastAsia="en-US" w:bidi="pl-PL"/>
        </w:rPr>
        <w:br/>
      </w:r>
      <w:r w:rsidRPr="00850283">
        <w:rPr>
          <w:rFonts w:ascii="Lato" w:eastAsiaTheme="minorHAnsi" w:hAnsi="Lato" w:cs="Arial"/>
          <w:bCs/>
          <w:iCs/>
          <w:spacing w:val="4"/>
          <w:sz w:val="22"/>
          <w:szCs w:val="22"/>
          <w:lang w:eastAsia="en-US" w:bidi="pl-PL"/>
        </w:rPr>
        <w:t>w czasie instalowania rurociągu</w:t>
      </w:r>
      <w:r>
        <w:rPr>
          <w:rFonts w:ascii="Lato" w:eastAsiaTheme="minorHAnsi" w:hAnsi="Lato" w:cs="Arial"/>
          <w:bCs/>
          <w:iCs/>
          <w:spacing w:val="4"/>
          <w:sz w:val="22"/>
          <w:szCs w:val="22"/>
          <w:lang w:eastAsia="en-US" w:bidi="pl-PL"/>
        </w:rPr>
        <w:t xml:space="preserve">, </w:t>
      </w:r>
      <w:r w:rsidRPr="00850283">
        <w:rPr>
          <w:rFonts w:ascii="Lato" w:eastAsiaTheme="minorHAnsi" w:hAnsi="Lato" w:cs="Arial"/>
          <w:bCs/>
          <w:iCs/>
          <w:spacing w:val="4"/>
          <w:sz w:val="22"/>
          <w:szCs w:val="22"/>
          <w:lang w:eastAsia="en-US" w:bidi="pl-PL"/>
        </w:rPr>
        <w:t>gdyż organy wydające decyzje o ustaleniu lokalizacji strategicznej inwestycji w sektorze naftowym nie zajmują się przyszłą realizacją inwestycji</w:t>
      </w:r>
      <w:r>
        <w:rPr>
          <w:rFonts w:ascii="Lato" w:eastAsiaTheme="minorHAnsi" w:hAnsi="Lato" w:cs="Arial"/>
          <w:bCs/>
          <w:iCs/>
          <w:spacing w:val="4"/>
          <w:sz w:val="22"/>
          <w:szCs w:val="22"/>
          <w:lang w:eastAsia="en-US" w:bidi="pl-PL"/>
        </w:rPr>
        <w:t>.</w:t>
      </w:r>
      <w:r w:rsidRPr="00850283">
        <w:rPr>
          <w:rFonts w:ascii="Lato" w:eastAsiaTheme="minorHAnsi" w:hAnsi="Lato" w:cs="Arial"/>
          <w:bCs/>
          <w:iCs/>
          <w:spacing w:val="4"/>
          <w:sz w:val="22"/>
          <w:szCs w:val="22"/>
          <w:lang w:eastAsia="en-US" w:bidi="pl-PL"/>
        </w:rPr>
        <w:t xml:space="preserve"> </w:t>
      </w:r>
    </w:p>
    <w:bookmarkEnd w:id="26"/>
    <w:p w14:paraId="2AFD8C54" w14:textId="4977C5D8" w:rsidR="00CD0E98" w:rsidRPr="00703063" w:rsidRDefault="00FB5DA8" w:rsidP="00F24C6D">
      <w:pPr>
        <w:spacing w:after="240" w:line="240" w:lineRule="exact"/>
        <w:jc w:val="both"/>
        <w:rPr>
          <w:rFonts w:ascii="Lato" w:eastAsiaTheme="minorHAnsi" w:hAnsi="Lato" w:cs="Arial"/>
          <w:bCs/>
          <w:iCs/>
          <w:spacing w:val="4"/>
          <w:sz w:val="22"/>
          <w:szCs w:val="22"/>
          <w:lang w:eastAsia="en-US" w:bidi="pl-PL"/>
        </w:rPr>
      </w:pPr>
      <w:r w:rsidRPr="001871FB">
        <w:rPr>
          <w:rFonts w:ascii="Lato" w:hAnsi="Lato"/>
          <w:sz w:val="22"/>
          <w:szCs w:val="22"/>
        </w:rPr>
        <w:t xml:space="preserve">W zakresie zarzutów naruszenia przepisów </w:t>
      </w:r>
      <w:r w:rsidRPr="00AB12FA">
        <w:rPr>
          <w:rFonts w:ascii="Lato" w:hAnsi="Lato"/>
          <w:sz w:val="22"/>
          <w:szCs w:val="22"/>
        </w:rPr>
        <w:t xml:space="preserve">procesowych </w:t>
      </w:r>
      <w:r w:rsidR="00703063" w:rsidRPr="00AB12FA">
        <w:rPr>
          <w:rFonts w:ascii="Lato" w:hAnsi="Lato"/>
          <w:sz w:val="22"/>
          <w:szCs w:val="22"/>
        </w:rPr>
        <w:t xml:space="preserve">art. 77 § 1 </w:t>
      </w:r>
      <w:r w:rsidR="00703063" w:rsidRPr="00AB12FA">
        <w:rPr>
          <w:rFonts w:ascii="Lato" w:hAnsi="Lato"/>
          <w:i/>
          <w:iCs/>
          <w:sz w:val="22"/>
          <w:szCs w:val="22"/>
        </w:rPr>
        <w:t>kpa</w:t>
      </w:r>
      <w:r w:rsidR="00703063" w:rsidRPr="00AB12FA">
        <w:rPr>
          <w:rFonts w:ascii="Lato" w:hAnsi="Lato"/>
          <w:sz w:val="22"/>
          <w:szCs w:val="22"/>
        </w:rPr>
        <w:t xml:space="preserve"> uznać</w:t>
      </w:r>
      <w:r w:rsidRPr="001871FB">
        <w:rPr>
          <w:rFonts w:ascii="Lato" w:hAnsi="Lato"/>
          <w:sz w:val="22"/>
          <w:szCs w:val="22"/>
        </w:rPr>
        <w:t xml:space="preserve"> należy, </w:t>
      </w:r>
      <w:r w:rsidR="00AB12FA">
        <w:rPr>
          <w:rFonts w:ascii="Lato" w:hAnsi="Lato"/>
          <w:sz w:val="22"/>
          <w:szCs w:val="22"/>
        </w:rPr>
        <w:br/>
      </w:r>
      <w:r w:rsidRPr="001871FB">
        <w:rPr>
          <w:rFonts w:ascii="Lato" w:hAnsi="Lato"/>
          <w:sz w:val="22"/>
          <w:szCs w:val="22"/>
        </w:rPr>
        <w:t xml:space="preserve">iż w rozpoznawanej sprawie nie doszło do jego </w:t>
      </w:r>
      <w:r w:rsidR="00703063" w:rsidRPr="00703063">
        <w:rPr>
          <w:rFonts w:ascii="Lato" w:hAnsi="Lato"/>
          <w:sz w:val="22"/>
          <w:szCs w:val="22"/>
        </w:rPr>
        <w:t>naruszenia,</w:t>
      </w:r>
      <w:r w:rsidRPr="001871FB">
        <w:rPr>
          <w:rFonts w:ascii="Lato" w:hAnsi="Lato"/>
          <w:sz w:val="22"/>
          <w:szCs w:val="22"/>
        </w:rPr>
        <w:t xml:space="preserve"> gdyż w istocie jako podstawę tych zarzutów skarżący przywołuje zasadność przebiegu planowanej </w:t>
      </w:r>
      <w:r w:rsidR="00703063" w:rsidRPr="001871FB">
        <w:rPr>
          <w:rFonts w:ascii="Lato" w:hAnsi="Lato"/>
          <w:sz w:val="22"/>
          <w:szCs w:val="22"/>
        </w:rPr>
        <w:t xml:space="preserve">inwestycji </w:t>
      </w:r>
      <w:r w:rsidRPr="001871FB">
        <w:rPr>
          <w:rFonts w:ascii="Lato" w:hAnsi="Lato"/>
          <w:sz w:val="22"/>
          <w:szCs w:val="22"/>
        </w:rPr>
        <w:t xml:space="preserve">oraz </w:t>
      </w:r>
      <w:r w:rsidR="00703063" w:rsidRPr="001871FB">
        <w:rPr>
          <w:rFonts w:ascii="Lato" w:hAnsi="Lato"/>
          <w:sz w:val="22"/>
          <w:szCs w:val="22"/>
        </w:rPr>
        <w:t>wpływu inwestycji na wartość nieruchomości oraz komfort życia skarżących</w:t>
      </w:r>
      <w:r w:rsidRPr="001871FB">
        <w:rPr>
          <w:rFonts w:ascii="Lato" w:hAnsi="Lato"/>
          <w:sz w:val="22"/>
          <w:szCs w:val="22"/>
        </w:rPr>
        <w:t>. Nie mogło zatem dojść do naruszenia przywołan</w:t>
      </w:r>
      <w:r w:rsidR="00703063" w:rsidRPr="001871FB">
        <w:rPr>
          <w:rFonts w:ascii="Lato" w:hAnsi="Lato"/>
          <w:sz w:val="22"/>
          <w:szCs w:val="22"/>
        </w:rPr>
        <w:t>ego</w:t>
      </w:r>
      <w:r w:rsidRPr="001871FB">
        <w:rPr>
          <w:rFonts w:ascii="Lato" w:hAnsi="Lato"/>
          <w:sz w:val="22"/>
          <w:szCs w:val="22"/>
        </w:rPr>
        <w:t xml:space="preserve"> wyżej przepis</w:t>
      </w:r>
      <w:r w:rsidR="00703063" w:rsidRPr="001871FB">
        <w:rPr>
          <w:rFonts w:ascii="Lato" w:hAnsi="Lato"/>
          <w:sz w:val="22"/>
          <w:szCs w:val="22"/>
        </w:rPr>
        <w:t xml:space="preserve">u </w:t>
      </w:r>
      <w:r w:rsidRPr="001871FB">
        <w:rPr>
          <w:rFonts w:ascii="Lato" w:hAnsi="Lato"/>
          <w:sz w:val="22"/>
          <w:szCs w:val="22"/>
        </w:rPr>
        <w:t xml:space="preserve">poprzez brak zbadania okoliczności, które </w:t>
      </w:r>
      <w:r w:rsidR="00AB12FA">
        <w:rPr>
          <w:rFonts w:ascii="Lato" w:hAnsi="Lato"/>
          <w:sz w:val="22"/>
          <w:szCs w:val="22"/>
        </w:rPr>
        <w:br/>
      </w:r>
      <w:r w:rsidRPr="001871FB">
        <w:rPr>
          <w:rFonts w:ascii="Lato" w:hAnsi="Lato"/>
          <w:sz w:val="22"/>
          <w:szCs w:val="22"/>
        </w:rPr>
        <w:t>w tym wypadku nie mogą być przez organy orzekające brane pod uwagę przy wydaniu decyzji.</w:t>
      </w:r>
    </w:p>
    <w:p w14:paraId="72E03F1F" w14:textId="18C424A4" w:rsidR="00842198" w:rsidRPr="003E2D7F" w:rsidRDefault="00842198" w:rsidP="00466288">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3E2D7F">
        <w:rPr>
          <w:rFonts w:ascii="Lato" w:eastAsiaTheme="minorHAnsi" w:hAnsi="Lato" w:cstheme="minorBidi"/>
          <w:bCs/>
          <w:iCs/>
          <w:spacing w:val="4"/>
          <w:sz w:val="22"/>
          <w:szCs w:val="22"/>
          <w:lang w:eastAsia="en-US" w:bidi="pl-PL"/>
        </w:rPr>
        <w:t>Odnosząc się do wniosk</w:t>
      </w:r>
      <w:r w:rsidR="00745175" w:rsidRPr="003E2D7F">
        <w:rPr>
          <w:rFonts w:ascii="Lato" w:eastAsiaTheme="minorHAnsi" w:hAnsi="Lato" w:cstheme="minorBidi"/>
          <w:bCs/>
          <w:iCs/>
          <w:spacing w:val="4"/>
          <w:sz w:val="22"/>
          <w:szCs w:val="22"/>
          <w:lang w:eastAsia="en-US" w:bidi="pl-PL"/>
        </w:rPr>
        <w:t>ów</w:t>
      </w:r>
      <w:r w:rsidRPr="003E2D7F">
        <w:rPr>
          <w:rFonts w:ascii="Lato" w:eastAsiaTheme="minorHAnsi" w:hAnsi="Lato" w:cstheme="minorBidi"/>
          <w:bCs/>
          <w:iCs/>
          <w:spacing w:val="4"/>
          <w:sz w:val="22"/>
          <w:szCs w:val="22"/>
          <w:lang w:eastAsia="en-US" w:bidi="pl-PL"/>
        </w:rPr>
        <w:t xml:space="preserve"> </w:t>
      </w:r>
      <w:r w:rsidR="00644150" w:rsidRPr="003E2D7F">
        <w:rPr>
          <w:rFonts w:ascii="Lato" w:eastAsiaTheme="minorHAnsi" w:hAnsi="Lato" w:cstheme="minorBidi"/>
          <w:bCs/>
          <w:iCs/>
          <w:spacing w:val="4"/>
          <w:sz w:val="22"/>
          <w:szCs w:val="22"/>
          <w:lang w:eastAsia="en-US" w:bidi="pl-PL"/>
        </w:rPr>
        <w:t xml:space="preserve">Pana </w:t>
      </w:r>
      <w:r w:rsidR="004A7ACC">
        <w:rPr>
          <w:rFonts w:ascii="Lato" w:eastAsiaTheme="minorHAnsi" w:hAnsi="Lato" w:cstheme="minorBidi"/>
          <w:bCs/>
          <w:iCs/>
          <w:spacing w:val="4"/>
          <w:sz w:val="22"/>
          <w:szCs w:val="22"/>
          <w:lang w:eastAsia="en-US" w:bidi="pl-PL"/>
        </w:rPr>
        <w:t>L.</w:t>
      </w:r>
      <w:r w:rsidRPr="003E2D7F">
        <w:rPr>
          <w:rFonts w:ascii="Lato" w:eastAsiaTheme="minorHAnsi" w:hAnsi="Lato" w:cstheme="minorBidi"/>
          <w:bCs/>
          <w:iCs/>
          <w:spacing w:val="4"/>
          <w:sz w:val="22"/>
          <w:szCs w:val="22"/>
          <w:lang w:eastAsia="en-US" w:bidi="pl-PL"/>
        </w:rPr>
        <w:t xml:space="preserve"> </w:t>
      </w:r>
      <w:r w:rsidR="004A7ACC">
        <w:rPr>
          <w:rFonts w:ascii="Lato" w:eastAsiaTheme="minorHAnsi" w:hAnsi="Lato" w:cstheme="minorBidi"/>
          <w:bCs/>
          <w:iCs/>
          <w:spacing w:val="4"/>
          <w:sz w:val="22"/>
          <w:szCs w:val="22"/>
          <w:lang w:eastAsia="en-US" w:bidi="pl-PL"/>
        </w:rPr>
        <w:t>B.</w:t>
      </w:r>
      <w:r w:rsidRPr="003E2D7F">
        <w:rPr>
          <w:rFonts w:ascii="Lato" w:eastAsiaTheme="minorHAnsi" w:hAnsi="Lato" w:cstheme="minorBidi"/>
          <w:bCs/>
          <w:iCs/>
          <w:spacing w:val="4"/>
          <w:sz w:val="22"/>
          <w:szCs w:val="22"/>
          <w:lang w:eastAsia="en-US" w:bidi="pl-PL"/>
        </w:rPr>
        <w:t xml:space="preserve"> i Pani </w:t>
      </w:r>
      <w:r w:rsidR="004A7ACC">
        <w:rPr>
          <w:rFonts w:ascii="Lato" w:eastAsiaTheme="minorHAnsi" w:hAnsi="Lato" w:cstheme="minorBidi"/>
          <w:bCs/>
          <w:iCs/>
          <w:spacing w:val="4"/>
          <w:sz w:val="22"/>
          <w:szCs w:val="22"/>
          <w:lang w:eastAsia="en-US" w:bidi="pl-PL"/>
        </w:rPr>
        <w:t>A.</w:t>
      </w:r>
      <w:r w:rsidRPr="003E2D7F">
        <w:rPr>
          <w:rFonts w:ascii="Lato" w:eastAsiaTheme="minorHAnsi" w:hAnsi="Lato" w:cstheme="minorBidi"/>
          <w:bCs/>
          <w:iCs/>
          <w:spacing w:val="4"/>
          <w:sz w:val="22"/>
          <w:szCs w:val="22"/>
          <w:lang w:eastAsia="en-US" w:bidi="pl-PL"/>
        </w:rPr>
        <w:t xml:space="preserve"> </w:t>
      </w:r>
      <w:r w:rsidR="004A7ACC">
        <w:rPr>
          <w:rFonts w:ascii="Lato" w:eastAsiaTheme="minorHAnsi" w:hAnsi="Lato" w:cstheme="minorBidi"/>
          <w:bCs/>
          <w:iCs/>
          <w:spacing w:val="4"/>
          <w:sz w:val="22"/>
          <w:szCs w:val="22"/>
          <w:lang w:eastAsia="en-US" w:bidi="pl-PL"/>
        </w:rPr>
        <w:t>S.</w:t>
      </w:r>
      <w:r w:rsidRPr="003E2D7F">
        <w:rPr>
          <w:rFonts w:ascii="Lato" w:eastAsiaTheme="minorHAnsi" w:hAnsi="Lato" w:cstheme="minorBidi"/>
          <w:bCs/>
          <w:iCs/>
          <w:spacing w:val="4"/>
          <w:sz w:val="22"/>
          <w:szCs w:val="22"/>
          <w:lang w:eastAsia="en-US" w:bidi="pl-PL"/>
        </w:rPr>
        <w:t xml:space="preserve">, </w:t>
      </w:r>
      <w:r w:rsidRPr="003E2D7F">
        <w:rPr>
          <w:rFonts w:ascii="Lato" w:eastAsiaTheme="minorHAnsi" w:hAnsi="Lato" w:cstheme="minorBidi"/>
          <w:bCs/>
          <w:iCs/>
          <w:spacing w:val="4"/>
          <w:sz w:val="22"/>
          <w:szCs w:val="22"/>
          <w:lang w:eastAsia="en-US" w:bidi="pl-PL"/>
        </w:rPr>
        <w:br/>
      </w:r>
      <w:r w:rsidR="00644150" w:rsidRPr="003E2D7F">
        <w:rPr>
          <w:rFonts w:ascii="Lato" w:eastAsiaTheme="minorHAnsi" w:hAnsi="Lato" w:cstheme="minorBidi"/>
          <w:bCs/>
          <w:iCs/>
          <w:spacing w:val="4"/>
          <w:sz w:val="22"/>
          <w:szCs w:val="22"/>
          <w:lang w:eastAsia="en-US" w:bidi="pl-PL"/>
        </w:rPr>
        <w:t>dotycząc</w:t>
      </w:r>
      <w:r w:rsidR="00745175" w:rsidRPr="003E2D7F">
        <w:rPr>
          <w:rFonts w:ascii="Lato" w:eastAsiaTheme="minorHAnsi" w:hAnsi="Lato" w:cstheme="minorBidi"/>
          <w:bCs/>
          <w:iCs/>
          <w:spacing w:val="4"/>
          <w:sz w:val="22"/>
          <w:szCs w:val="22"/>
          <w:lang w:eastAsia="en-US" w:bidi="pl-PL"/>
        </w:rPr>
        <w:t>ych</w:t>
      </w:r>
      <w:r w:rsidRPr="003E2D7F">
        <w:rPr>
          <w:rFonts w:ascii="Lato" w:eastAsiaTheme="minorHAnsi" w:hAnsi="Lato" w:cstheme="minorBidi"/>
          <w:bCs/>
          <w:iCs/>
          <w:spacing w:val="4"/>
          <w:sz w:val="22"/>
          <w:szCs w:val="22"/>
          <w:lang w:eastAsia="en-US" w:bidi="pl-PL"/>
        </w:rPr>
        <w:t xml:space="preserve"> </w:t>
      </w:r>
      <w:r w:rsidR="00466288" w:rsidRPr="003E2D7F">
        <w:rPr>
          <w:rFonts w:ascii="Lato" w:eastAsiaTheme="minorHAnsi" w:hAnsi="Lato" w:cstheme="minorBidi"/>
          <w:bCs/>
          <w:iCs/>
          <w:spacing w:val="4"/>
          <w:sz w:val="22"/>
          <w:szCs w:val="22"/>
          <w:lang w:eastAsia="en-US" w:bidi="pl-PL"/>
        </w:rPr>
        <w:t xml:space="preserve">uchyleniu </w:t>
      </w:r>
      <w:r w:rsidRPr="003E2D7F">
        <w:rPr>
          <w:rFonts w:ascii="Lato" w:eastAsiaTheme="minorHAnsi" w:hAnsi="Lato" w:cstheme="minorBidi"/>
          <w:bCs/>
          <w:iCs/>
          <w:spacing w:val="4"/>
          <w:sz w:val="22"/>
          <w:szCs w:val="22"/>
          <w:lang w:eastAsia="en-US" w:bidi="pl-PL"/>
        </w:rPr>
        <w:t xml:space="preserve">rygoru natychmiastowej wykonalności </w:t>
      </w:r>
      <w:r w:rsidRPr="003E2D7F">
        <w:rPr>
          <w:rFonts w:ascii="Lato" w:eastAsiaTheme="minorHAnsi" w:hAnsi="Lato" w:cstheme="minorBidi"/>
          <w:bCs/>
          <w:i/>
          <w:iCs/>
          <w:spacing w:val="4"/>
          <w:sz w:val="22"/>
          <w:szCs w:val="22"/>
          <w:lang w:eastAsia="en-US" w:bidi="pl-PL"/>
        </w:rPr>
        <w:t>decyzji Wojewody Mazowieckiego</w:t>
      </w:r>
      <w:r w:rsidRPr="003E2D7F">
        <w:rPr>
          <w:rFonts w:ascii="Lato" w:eastAsiaTheme="minorHAnsi" w:hAnsi="Lato" w:cstheme="minorBidi"/>
          <w:bCs/>
          <w:iCs/>
          <w:spacing w:val="4"/>
          <w:sz w:val="22"/>
          <w:szCs w:val="22"/>
          <w:lang w:eastAsia="en-US" w:bidi="pl-PL"/>
        </w:rPr>
        <w:t>, zauważyć należy</w:t>
      </w:r>
      <w:r w:rsidR="00644150" w:rsidRPr="003E2D7F">
        <w:rPr>
          <w:rFonts w:ascii="Lato" w:eastAsiaTheme="minorHAnsi" w:hAnsi="Lato" w:cstheme="minorBidi"/>
          <w:bCs/>
          <w:iCs/>
          <w:spacing w:val="4"/>
          <w:sz w:val="22"/>
          <w:szCs w:val="22"/>
          <w:lang w:eastAsia="en-US" w:bidi="pl-PL"/>
        </w:rPr>
        <w:t xml:space="preserve">, </w:t>
      </w:r>
      <w:r w:rsidR="00732FB5" w:rsidRPr="003E2D7F">
        <w:rPr>
          <w:rFonts w:ascii="Lato" w:eastAsiaTheme="minorHAnsi" w:hAnsi="Lato" w:cstheme="minorBidi"/>
          <w:bCs/>
          <w:iCs/>
          <w:spacing w:val="4"/>
          <w:sz w:val="22"/>
          <w:szCs w:val="22"/>
          <w:lang w:eastAsia="en-US" w:bidi="pl-PL"/>
        </w:rPr>
        <w:t xml:space="preserve">iż </w:t>
      </w:r>
      <w:r w:rsidR="00644150" w:rsidRPr="003E2D7F">
        <w:rPr>
          <w:rFonts w:ascii="Lato" w:eastAsiaTheme="minorHAnsi" w:hAnsi="Lato" w:cstheme="minorBidi"/>
          <w:bCs/>
          <w:iCs/>
          <w:spacing w:val="4"/>
          <w:sz w:val="22"/>
          <w:szCs w:val="22"/>
          <w:lang w:eastAsia="en-US" w:bidi="pl-PL"/>
        </w:rPr>
        <w:t xml:space="preserve">rygor natychmiastowej wykonalności jest </w:t>
      </w:r>
      <w:r w:rsidR="00732FB5" w:rsidRPr="003E2D7F">
        <w:rPr>
          <w:rFonts w:ascii="Lato" w:eastAsiaTheme="minorHAnsi" w:hAnsi="Lato" w:cstheme="minorBidi"/>
          <w:bCs/>
          <w:iCs/>
          <w:spacing w:val="4"/>
          <w:sz w:val="22"/>
          <w:szCs w:val="22"/>
          <w:lang w:eastAsia="en-US" w:bidi="pl-PL"/>
        </w:rPr>
        <w:t>nadawany</w:t>
      </w:r>
      <w:r w:rsidR="00644150" w:rsidRPr="003E2D7F">
        <w:rPr>
          <w:rFonts w:ascii="Lato" w:eastAsiaTheme="minorHAnsi" w:hAnsi="Lato" w:cstheme="minorBidi"/>
          <w:bCs/>
          <w:iCs/>
          <w:spacing w:val="4"/>
          <w:sz w:val="22"/>
          <w:szCs w:val="22"/>
          <w:lang w:eastAsia="en-US" w:bidi="pl-PL"/>
        </w:rPr>
        <w:t xml:space="preserve"> decyzji lokalizacyjnej na podstawie </w:t>
      </w:r>
      <w:r w:rsidR="00644150" w:rsidRPr="003E2D7F">
        <w:rPr>
          <w:rFonts w:ascii="Lato" w:eastAsiaTheme="minorHAnsi" w:hAnsi="Lato" w:cstheme="minorBidi"/>
          <w:bCs/>
          <w:i/>
          <w:spacing w:val="4"/>
          <w:sz w:val="22"/>
          <w:szCs w:val="22"/>
          <w:lang w:eastAsia="en-US" w:bidi="pl-PL"/>
        </w:rPr>
        <w:t>specustawy naftowej</w:t>
      </w:r>
      <w:r w:rsidR="00644150" w:rsidRPr="003E2D7F">
        <w:rPr>
          <w:rFonts w:ascii="Lato" w:eastAsiaTheme="minorHAnsi" w:hAnsi="Lato" w:cstheme="minorBidi"/>
          <w:bCs/>
          <w:iCs/>
          <w:spacing w:val="4"/>
          <w:sz w:val="22"/>
          <w:szCs w:val="22"/>
          <w:lang w:eastAsia="en-US" w:bidi="pl-PL"/>
        </w:rPr>
        <w:t xml:space="preserve"> w</w:t>
      </w:r>
      <w:r w:rsidR="00466288" w:rsidRPr="003E2D7F">
        <w:rPr>
          <w:rFonts w:ascii="Lato" w:eastAsiaTheme="minorHAnsi" w:hAnsi="Lato" w:cstheme="minorBidi"/>
          <w:bCs/>
          <w:iCs/>
          <w:spacing w:val="4"/>
          <w:sz w:val="22"/>
          <w:szCs w:val="22"/>
          <w:lang w:eastAsia="en-US" w:bidi="pl-PL"/>
        </w:rPr>
        <w:t xml:space="preserve"> mocy </w:t>
      </w:r>
      <w:r w:rsidR="00644150" w:rsidRPr="003E2D7F">
        <w:rPr>
          <w:rFonts w:ascii="Lato" w:eastAsiaTheme="minorHAnsi" w:hAnsi="Lato" w:cstheme="minorBidi"/>
          <w:bCs/>
          <w:iCs/>
          <w:spacing w:val="4"/>
          <w:sz w:val="22"/>
          <w:szCs w:val="22"/>
          <w:lang w:eastAsia="en-US" w:bidi="pl-PL"/>
        </w:rPr>
        <w:t xml:space="preserve">tj. </w:t>
      </w:r>
      <w:r w:rsidR="00745175" w:rsidRPr="003E2D7F">
        <w:rPr>
          <w:rFonts w:ascii="Lato" w:eastAsiaTheme="minorHAnsi" w:hAnsi="Lato" w:cstheme="minorBidi"/>
          <w:bCs/>
          <w:iCs/>
          <w:spacing w:val="4"/>
          <w:sz w:val="22"/>
          <w:szCs w:val="22"/>
          <w:lang w:eastAsia="en-US" w:bidi="pl-PL"/>
        </w:rPr>
        <w:t>zgodnie z</w:t>
      </w:r>
      <w:r w:rsidR="00466288" w:rsidRPr="003E2D7F">
        <w:rPr>
          <w:rFonts w:ascii="Lato" w:eastAsiaTheme="minorHAnsi" w:hAnsi="Lato" w:cstheme="minorBidi"/>
          <w:bCs/>
          <w:iCs/>
          <w:spacing w:val="4"/>
          <w:sz w:val="22"/>
          <w:szCs w:val="22"/>
          <w:lang w:eastAsia="en-US" w:bidi="pl-PL"/>
        </w:rPr>
        <w:t xml:space="preserve"> art. 35</w:t>
      </w:r>
      <w:r w:rsidR="00745175" w:rsidRPr="003E2D7F">
        <w:rPr>
          <w:rFonts w:ascii="Lato" w:eastAsiaTheme="minorHAnsi" w:hAnsi="Lato" w:cstheme="minorBidi"/>
          <w:bCs/>
          <w:iCs/>
          <w:spacing w:val="4"/>
          <w:sz w:val="22"/>
          <w:szCs w:val="22"/>
          <w:lang w:eastAsia="en-US" w:bidi="pl-PL"/>
        </w:rPr>
        <w:t xml:space="preserve"> tej ustawy</w:t>
      </w:r>
      <w:r w:rsidR="00644150" w:rsidRPr="003E2D7F">
        <w:rPr>
          <w:rFonts w:ascii="Lato" w:eastAsiaTheme="minorHAnsi" w:hAnsi="Lato" w:cstheme="minorBidi"/>
          <w:bCs/>
          <w:iCs/>
          <w:spacing w:val="4"/>
          <w:sz w:val="22"/>
          <w:szCs w:val="22"/>
          <w:lang w:eastAsia="en-US" w:bidi="pl-PL"/>
        </w:rPr>
        <w:t xml:space="preserve">. W związku z </w:t>
      </w:r>
      <w:r w:rsidR="003E2D7F" w:rsidRPr="003E2D7F">
        <w:rPr>
          <w:rFonts w:ascii="Lato" w:eastAsiaTheme="minorHAnsi" w:hAnsi="Lato" w:cstheme="minorBidi"/>
          <w:bCs/>
          <w:iCs/>
          <w:spacing w:val="4"/>
          <w:sz w:val="22"/>
          <w:szCs w:val="22"/>
          <w:lang w:eastAsia="en-US" w:bidi="pl-PL"/>
        </w:rPr>
        <w:t>powyższym,</w:t>
      </w:r>
      <w:r w:rsidR="00644150" w:rsidRPr="003E2D7F">
        <w:rPr>
          <w:rFonts w:ascii="Lato" w:eastAsiaTheme="minorHAnsi" w:hAnsi="Lato" w:cstheme="minorBidi"/>
          <w:bCs/>
          <w:iCs/>
          <w:spacing w:val="4"/>
          <w:sz w:val="22"/>
          <w:szCs w:val="22"/>
          <w:lang w:eastAsia="en-US" w:bidi="pl-PL"/>
        </w:rPr>
        <w:t xml:space="preserve"> </w:t>
      </w:r>
      <w:r w:rsidR="003E2D7F" w:rsidRPr="003E2D7F">
        <w:rPr>
          <w:rFonts w:ascii="Lato" w:hAnsi="Lato"/>
          <w:sz w:val="22"/>
          <w:szCs w:val="22"/>
        </w:rPr>
        <w:t xml:space="preserve">iż rygor natychmiastowej wykonalności wynika bezpośrednio z mocy prawa </w:t>
      </w:r>
      <w:r w:rsidR="00644150" w:rsidRPr="003E2D7F">
        <w:rPr>
          <w:rFonts w:ascii="Lato" w:eastAsiaTheme="minorHAnsi" w:hAnsi="Lato" w:cstheme="minorBidi"/>
          <w:bCs/>
          <w:i/>
          <w:spacing w:val="4"/>
          <w:sz w:val="22"/>
          <w:szCs w:val="22"/>
          <w:lang w:eastAsia="en-US" w:bidi="pl-PL"/>
        </w:rPr>
        <w:t>Minister</w:t>
      </w:r>
      <w:r w:rsidR="00644150" w:rsidRPr="003E2D7F">
        <w:rPr>
          <w:rFonts w:ascii="Lato" w:eastAsiaTheme="minorHAnsi" w:hAnsi="Lato" w:cstheme="minorBidi"/>
          <w:bCs/>
          <w:iCs/>
          <w:spacing w:val="4"/>
          <w:sz w:val="22"/>
          <w:szCs w:val="22"/>
          <w:lang w:eastAsia="en-US" w:bidi="pl-PL"/>
        </w:rPr>
        <w:t xml:space="preserve"> nie ma </w:t>
      </w:r>
      <w:r w:rsidR="00745175" w:rsidRPr="003E2D7F">
        <w:rPr>
          <w:rFonts w:ascii="Lato" w:eastAsiaTheme="minorHAnsi" w:hAnsi="Lato" w:cstheme="minorBidi"/>
          <w:bCs/>
          <w:iCs/>
          <w:spacing w:val="4"/>
          <w:sz w:val="22"/>
          <w:szCs w:val="22"/>
          <w:lang w:eastAsia="en-US" w:bidi="pl-PL"/>
        </w:rPr>
        <w:t>podstaw do</w:t>
      </w:r>
      <w:r w:rsidR="00644150" w:rsidRPr="003E2D7F">
        <w:rPr>
          <w:rFonts w:ascii="Lato" w:eastAsiaTheme="minorHAnsi" w:hAnsi="Lato" w:cstheme="minorBidi"/>
          <w:bCs/>
          <w:iCs/>
          <w:spacing w:val="4"/>
          <w:sz w:val="22"/>
          <w:szCs w:val="22"/>
          <w:lang w:eastAsia="en-US" w:bidi="pl-PL"/>
        </w:rPr>
        <w:t xml:space="preserve"> </w:t>
      </w:r>
      <w:r w:rsidR="003E2D7F" w:rsidRPr="003E2D7F">
        <w:rPr>
          <w:rFonts w:ascii="Lato" w:eastAsiaTheme="minorHAnsi" w:hAnsi="Lato" w:cstheme="minorBidi"/>
          <w:bCs/>
          <w:iCs/>
          <w:spacing w:val="4"/>
          <w:sz w:val="22"/>
          <w:szCs w:val="22"/>
          <w:lang w:eastAsia="en-US" w:bidi="pl-PL"/>
        </w:rPr>
        <w:t>jego uchylenia.</w:t>
      </w:r>
    </w:p>
    <w:p w14:paraId="1E6C3018" w14:textId="3BA30793"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Podsumowując, organ odwoławczy uznał, że przebieg planowanej inwestycji został ustalony prawidłowo. Organ uznał argumentację przemawiającą za ustaloną lokalizacją, którą przedstawił </w:t>
      </w:r>
      <w:r w:rsidRPr="00F24C6D">
        <w:rPr>
          <w:rFonts w:ascii="Lato" w:eastAsiaTheme="minorHAnsi" w:hAnsi="Lato" w:cstheme="minorBidi"/>
          <w:bCs/>
          <w:i/>
          <w:iCs/>
          <w:spacing w:val="4"/>
          <w:sz w:val="22"/>
          <w:szCs w:val="22"/>
          <w:lang w:eastAsia="en-US" w:bidi="pl-PL"/>
        </w:rPr>
        <w:t xml:space="preserve">inwestor </w:t>
      </w:r>
      <w:r w:rsidRPr="00F24C6D">
        <w:rPr>
          <w:rFonts w:ascii="Lato" w:eastAsiaTheme="minorHAnsi" w:hAnsi="Lato" w:cstheme="minorBidi"/>
          <w:bCs/>
          <w:iCs/>
          <w:spacing w:val="4"/>
          <w:sz w:val="22"/>
          <w:szCs w:val="22"/>
          <w:lang w:eastAsia="en-US" w:bidi="pl-PL"/>
        </w:rPr>
        <w:t xml:space="preserve">w załączonej do wniosku dokumentacji. Stwierdzić należy także, że zarówno wniosek </w:t>
      </w:r>
      <w:r w:rsidRPr="00F24C6D">
        <w:rPr>
          <w:rFonts w:ascii="Lato" w:eastAsiaTheme="minorHAnsi" w:hAnsi="Lato" w:cstheme="minorBidi"/>
          <w:bCs/>
          <w:i/>
          <w:iCs/>
          <w:spacing w:val="4"/>
          <w:sz w:val="22"/>
          <w:szCs w:val="22"/>
          <w:lang w:eastAsia="en-US" w:bidi="pl-PL"/>
        </w:rPr>
        <w:t>inwestora</w:t>
      </w:r>
      <w:r w:rsidRPr="00F24C6D">
        <w:rPr>
          <w:rFonts w:ascii="Lato" w:eastAsiaTheme="minorHAnsi" w:hAnsi="Lato" w:cstheme="minorBidi"/>
          <w:bCs/>
          <w:iCs/>
          <w:spacing w:val="4"/>
          <w:sz w:val="22"/>
          <w:szCs w:val="22"/>
          <w:lang w:eastAsia="en-US" w:bidi="pl-PL"/>
        </w:rPr>
        <w:t xml:space="preserve">, postępowanie przeprowadzone przez organ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 xml:space="preserve">I instancji, jak i zaskarżona </w:t>
      </w:r>
      <w:r w:rsidRPr="00F24C6D">
        <w:rPr>
          <w:rFonts w:ascii="Lato" w:eastAsiaTheme="minorHAnsi" w:hAnsi="Lato" w:cstheme="minorBidi"/>
          <w:bCs/>
          <w:i/>
          <w:iCs/>
          <w:spacing w:val="4"/>
          <w:sz w:val="22"/>
          <w:szCs w:val="22"/>
          <w:lang w:eastAsia="en-US" w:bidi="pl-PL"/>
        </w:rPr>
        <w:t xml:space="preserve">decyzja Wojewody </w:t>
      </w:r>
      <w:r w:rsidR="00613D9D">
        <w:rPr>
          <w:rFonts w:ascii="Lato" w:eastAsiaTheme="minorHAnsi" w:hAnsi="Lato" w:cstheme="minorBidi"/>
          <w:bCs/>
          <w:i/>
          <w:iCs/>
          <w:spacing w:val="4"/>
          <w:sz w:val="22"/>
          <w:szCs w:val="22"/>
          <w:lang w:eastAsia="en-US" w:bidi="pl-PL"/>
        </w:rPr>
        <w:t>Mazowieckiego</w:t>
      </w:r>
      <w:r w:rsidR="007F5213">
        <w:rPr>
          <w:rFonts w:ascii="Lato" w:eastAsiaTheme="minorHAnsi" w:hAnsi="Lato" w:cstheme="minorBidi"/>
          <w:bCs/>
          <w:i/>
          <w:iCs/>
          <w:spacing w:val="4"/>
          <w:sz w:val="22"/>
          <w:szCs w:val="22"/>
          <w:lang w:eastAsia="en-US" w:bidi="pl-PL"/>
        </w:rPr>
        <w:t xml:space="preserve"> </w:t>
      </w:r>
      <w:r w:rsidRPr="00F24C6D">
        <w:rPr>
          <w:rFonts w:ascii="Lato" w:eastAsiaTheme="minorHAnsi" w:hAnsi="Lato" w:cstheme="minorBidi"/>
          <w:bCs/>
          <w:iCs/>
          <w:spacing w:val="4"/>
          <w:sz w:val="22"/>
          <w:szCs w:val="22"/>
          <w:lang w:eastAsia="en-US" w:bidi="pl-PL"/>
        </w:rPr>
        <w:t xml:space="preserve">nie naruszają prawa, </w:t>
      </w:r>
      <w:r w:rsidR="007F5213">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a zarzuty podniesione przez</w:t>
      </w:r>
      <w:r w:rsidR="000F22B9" w:rsidRPr="00F24C6D">
        <w:rPr>
          <w:rFonts w:ascii="Lato" w:eastAsiaTheme="minorHAnsi" w:hAnsi="Lato" w:cstheme="minorBidi"/>
          <w:bCs/>
          <w:iCs/>
          <w:spacing w:val="4"/>
          <w:sz w:val="22"/>
          <w:szCs w:val="22"/>
          <w:lang w:eastAsia="en-US" w:bidi="pl-PL"/>
        </w:rPr>
        <w:t xml:space="preserve"> skarżących</w:t>
      </w:r>
      <w:r w:rsidRPr="00F24C6D">
        <w:rPr>
          <w:rFonts w:ascii="Lato" w:eastAsiaTheme="minorHAnsi" w:hAnsi="Lato" w:cstheme="minorBidi"/>
          <w:bCs/>
          <w:iCs/>
          <w:spacing w:val="4"/>
          <w:sz w:val="22"/>
          <w:szCs w:val="22"/>
          <w:lang w:eastAsia="en-US" w:bidi="pl-PL"/>
        </w:rPr>
        <w:t xml:space="preserve"> nie zasługują na uwzględnienie, wobec czego orzeczono jak w rozstrzygnięciu.</w:t>
      </w:r>
    </w:p>
    <w:p w14:paraId="377DC855" w14:textId="77777777"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Niniejsza decyzja jest ostateczna. </w:t>
      </w:r>
    </w:p>
    <w:p w14:paraId="6F7B46E2" w14:textId="24E46B78"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Na podstawie art. 53 § 1 i art. 54 § 1 ustawy z dnia 30 sierpnia 2002 r. – Prawo </w:t>
      </w:r>
      <w:r w:rsidRPr="00F24C6D">
        <w:rPr>
          <w:rFonts w:ascii="Lato" w:eastAsiaTheme="minorHAnsi" w:hAnsi="Lato" w:cstheme="minorBidi"/>
          <w:bCs/>
          <w:iCs/>
          <w:spacing w:val="4"/>
          <w:sz w:val="22"/>
          <w:szCs w:val="22"/>
          <w:lang w:eastAsia="en-US" w:bidi="pl-PL"/>
        </w:rPr>
        <w:br/>
        <w:t>o postępowaniu przed sądami administracyjnymi (t.j. Dz. U. z 202</w:t>
      </w:r>
      <w:r w:rsidR="00613D9D">
        <w:rPr>
          <w:rFonts w:ascii="Lato" w:eastAsiaTheme="minorHAnsi" w:hAnsi="Lato" w:cstheme="minorBidi"/>
          <w:bCs/>
          <w:iCs/>
          <w:spacing w:val="4"/>
          <w:sz w:val="22"/>
          <w:szCs w:val="22"/>
          <w:lang w:eastAsia="en-US" w:bidi="pl-PL"/>
        </w:rPr>
        <w:t>4</w:t>
      </w:r>
      <w:r w:rsidRPr="00F24C6D">
        <w:rPr>
          <w:rFonts w:ascii="Lato" w:eastAsiaTheme="minorHAnsi" w:hAnsi="Lato" w:cstheme="minorBidi"/>
          <w:bCs/>
          <w:iCs/>
          <w:spacing w:val="4"/>
          <w:sz w:val="22"/>
          <w:szCs w:val="22"/>
          <w:lang w:eastAsia="en-US" w:bidi="pl-PL"/>
        </w:rPr>
        <w:t xml:space="preserve"> r. poz. </w:t>
      </w:r>
      <w:r w:rsidR="00613D9D">
        <w:rPr>
          <w:rFonts w:ascii="Lato" w:eastAsiaTheme="minorHAnsi" w:hAnsi="Lato" w:cstheme="minorBidi"/>
          <w:bCs/>
          <w:iCs/>
          <w:spacing w:val="4"/>
          <w:sz w:val="22"/>
          <w:szCs w:val="22"/>
          <w:lang w:eastAsia="en-US" w:bidi="pl-PL"/>
        </w:rPr>
        <w:t>935</w:t>
      </w:r>
      <w:r w:rsidRPr="00F24C6D">
        <w:rPr>
          <w:rFonts w:ascii="Lato" w:eastAsiaTheme="minorHAnsi" w:hAnsi="Lato" w:cstheme="minorBidi"/>
          <w:bCs/>
          <w:iCs/>
          <w:spacing w:val="4"/>
          <w:sz w:val="22"/>
          <w:szCs w:val="22"/>
          <w:lang w:eastAsia="en-US" w:bidi="pl-PL"/>
        </w:rPr>
        <w:t>), zwanej dalej „</w:t>
      </w:r>
      <w:r w:rsidRPr="00F24C6D">
        <w:rPr>
          <w:rFonts w:ascii="Lato" w:eastAsiaTheme="minorHAnsi" w:hAnsi="Lato" w:cstheme="minorBidi"/>
          <w:bCs/>
          <w:i/>
          <w:iCs/>
          <w:spacing w:val="4"/>
          <w:sz w:val="22"/>
          <w:szCs w:val="22"/>
          <w:lang w:eastAsia="en-US" w:bidi="pl-PL"/>
        </w:rPr>
        <w:t>ppsa”</w:t>
      </w:r>
      <w:r w:rsidRPr="00F24C6D">
        <w:rPr>
          <w:rFonts w:ascii="Lato" w:eastAsiaTheme="minorHAnsi" w:hAnsi="Lato" w:cstheme="minorBidi"/>
          <w:bCs/>
          <w:iCs/>
          <w:spacing w:val="4"/>
          <w:sz w:val="22"/>
          <w:szCs w:val="22"/>
          <w:lang w:eastAsia="en-US" w:bidi="pl-PL"/>
        </w:rPr>
        <w:t xml:space="preserve">, na decyzję przysługuje prawo złożenia skargi do Wojewódzkiego Sądu Administracyjnego w Warszawie, za pośrednictwem Ministra Rozwoju i Technologii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w terminie 30 dni od dnia doręczenia decyzji.</w:t>
      </w:r>
    </w:p>
    <w:p w14:paraId="3323187C" w14:textId="31E10AE3" w:rsidR="0017640F" w:rsidRDefault="0017640F" w:rsidP="00F24C6D">
      <w:pPr>
        <w:spacing w:after="240" w:line="240" w:lineRule="exact"/>
        <w:jc w:val="both"/>
        <w:rPr>
          <w:rFonts w:ascii="Lato" w:eastAsiaTheme="minorHAnsi" w:hAnsi="Lato" w:cstheme="minorBidi"/>
          <w:bCs/>
          <w:i/>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Jednocześnie informuję, że do skargi należy załączyć dowód uiszczenia wpisu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w:t>
      </w:r>
      <w:r w:rsidRPr="00F24C6D">
        <w:rPr>
          <w:rFonts w:ascii="Lato" w:eastAsiaTheme="minorHAnsi" w:hAnsi="Lato" w:cstheme="minorBidi"/>
          <w:bCs/>
          <w:iCs/>
          <w:spacing w:val="4"/>
          <w:sz w:val="22"/>
          <w:szCs w:val="22"/>
          <w:lang w:eastAsia="en-US" w:bidi="pl-PL"/>
        </w:rPr>
        <w:lastRenderedPageBreak/>
        <w:t xml:space="preserve">lub radcy prawnego. Szczegółowe zasady dotyczące przyznawania prawa pomocy uregulowane są w art. 243-262 </w:t>
      </w:r>
      <w:r w:rsidRPr="00F24C6D">
        <w:rPr>
          <w:rFonts w:ascii="Lato" w:eastAsiaTheme="minorHAnsi" w:hAnsi="Lato" w:cstheme="minorBidi"/>
          <w:bCs/>
          <w:i/>
          <w:iCs/>
          <w:spacing w:val="4"/>
          <w:sz w:val="22"/>
          <w:szCs w:val="22"/>
          <w:lang w:eastAsia="en-US" w:bidi="pl-PL"/>
        </w:rPr>
        <w:t>ppsa.</w:t>
      </w:r>
    </w:p>
    <w:p w14:paraId="74A79067" w14:textId="77777777" w:rsidR="004A7ACC" w:rsidRDefault="004A7ACC" w:rsidP="004A7ACC">
      <w:pPr>
        <w:spacing w:after="120" w:line="240" w:lineRule="exact"/>
        <w:ind w:left="4253"/>
        <w:rPr>
          <w:rFonts w:ascii="Lato" w:eastAsia="Calibri" w:hAnsi="Lato"/>
          <w:b/>
          <w:bCs/>
          <w:sz w:val="22"/>
          <w:szCs w:val="22"/>
          <w:lang w:eastAsia="en-US"/>
        </w:rPr>
      </w:pPr>
      <w:r>
        <w:rPr>
          <w:rFonts w:ascii="Lato" w:eastAsia="Calibri" w:hAnsi="Lato"/>
          <w:b/>
          <w:bCs/>
          <w:sz w:val="22"/>
          <w:szCs w:val="22"/>
          <w:lang w:eastAsia="en-US"/>
        </w:rPr>
        <w:t>Z upoważnienia</w:t>
      </w:r>
    </w:p>
    <w:p w14:paraId="5B5BBB6C" w14:textId="139ABA8A" w:rsidR="004A7ACC" w:rsidRDefault="004A7ACC" w:rsidP="004A7ACC">
      <w:pPr>
        <w:spacing w:after="120" w:line="240" w:lineRule="exact"/>
        <w:ind w:left="4253"/>
        <w:rPr>
          <w:rFonts w:ascii="Lato" w:eastAsia="Calibri" w:hAnsi="Lato"/>
          <w:sz w:val="22"/>
          <w:szCs w:val="22"/>
          <w:lang w:eastAsia="en-US"/>
        </w:rPr>
      </w:pPr>
      <w:r>
        <w:rPr>
          <w:rFonts w:ascii="Lato" w:eastAsia="Calibri" w:hAnsi="Lato"/>
          <w:sz w:val="22"/>
          <w:szCs w:val="22"/>
          <w:lang w:eastAsia="en-US"/>
        </w:rPr>
        <w:t>Justyna Idczak</w:t>
      </w:r>
    </w:p>
    <w:p w14:paraId="69320FC0" w14:textId="77777777" w:rsidR="004A7ACC" w:rsidRDefault="004A7ACC" w:rsidP="004A7ACC">
      <w:pPr>
        <w:spacing w:after="120" w:line="240" w:lineRule="exact"/>
        <w:ind w:left="4253"/>
        <w:rPr>
          <w:rFonts w:ascii="Lato" w:eastAsia="Calibri" w:hAnsi="Lato"/>
          <w:sz w:val="22"/>
          <w:szCs w:val="22"/>
          <w:lang w:eastAsia="en-US"/>
        </w:rPr>
      </w:pPr>
      <w:r>
        <w:rPr>
          <w:rFonts w:ascii="Lato" w:eastAsia="Calibri" w:hAnsi="Lato"/>
          <w:sz w:val="22"/>
          <w:szCs w:val="22"/>
          <w:lang w:eastAsia="en-US"/>
        </w:rPr>
        <w:t>zastępca dyrektora departamentu</w:t>
      </w:r>
    </w:p>
    <w:p w14:paraId="409319B5" w14:textId="77777777" w:rsidR="004A7ACC" w:rsidRDefault="004A7ACC" w:rsidP="004A7ACC">
      <w:pPr>
        <w:spacing w:after="120" w:line="240" w:lineRule="exact"/>
        <w:ind w:left="4253"/>
        <w:rPr>
          <w:rFonts w:ascii="Lato" w:eastAsia="Calibri" w:hAnsi="Lato"/>
          <w:sz w:val="22"/>
          <w:szCs w:val="22"/>
          <w:lang w:eastAsia="en-US"/>
        </w:rPr>
      </w:pPr>
      <w:r>
        <w:rPr>
          <w:rFonts w:ascii="Lato" w:eastAsia="Calibri" w:hAnsi="Lato"/>
          <w:sz w:val="22"/>
          <w:szCs w:val="22"/>
          <w:lang w:eastAsia="en-US"/>
        </w:rPr>
        <w:t xml:space="preserve">/ kwalifikowany podpis elektroniczny / </w:t>
      </w:r>
    </w:p>
    <w:p w14:paraId="6091EEFB" w14:textId="77777777" w:rsidR="007F5213" w:rsidRDefault="007F5213" w:rsidP="00F24C6D">
      <w:pPr>
        <w:spacing w:after="240" w:line="240" w:lineRule="exact"/>
        <w:jc w:val="both"/>
        <w:rPr>
          <w:rFonts w:ascii="Lato" w:eastAsiaTheme="minorHAnsi" w:hAnsi="Lato" w:cstheme="minorBidi"/>
          <w:bCs/>
          <w:i/>
          <w:iCs/>
          <w:spacing w:val="4"/>
          <w:sz w:val="22"/>
          <w:szCs w:val="22"/>
          <w:lang w:eastAsia="en-US" w:bidi="pl-PL"/>
        </w:rPr>
      </w:pPr>
    </w:p>
    <w:p w14:paraId="1E2290A7" w14:textId="77777777" w:rsidR="007F5213" w:rsidRPr="00F24C6D" w:rsidRDefault="007F5213" w:rsidP="00F24C6D">
      <w:pPr>
        <w:spacing w:after="240" w:line="240" w:lineRule="exact"/>
        <w:jc w:val="both"/>
        <w:rPr>
          <w:rFonts w:ascii="Lato" w:eastAsiaTheme="minorHAnsi" w:hAnsi="Lato" w:cstheme="minorBidi"/>
          <w:bCs/>
          <w:i/>
          <w:iCs/>
          <w:spacing w:val="4"/>
          <w:sz w:val="22"/>
          <w:szCs w:val="22"/>
          <w:lang w:eastAsia="en-US" w:bidi="pl-PL"/>
        </w:rPr>
      </w:pPr>
    </w:p>
    <w:p w14:paraId="21069237" w14:textId="6D384298" w:rsidR="009B0198" w:rsidRPr="009357E7" w:rsidRDefault="009B0198" w:rsidP="009357E7">
      <w:pPr>
        <w:pStyle w:val="Akapitzlist"/>
        <w:suppressAutoHyphens/>
        <w:ind w:left="284"/>
        <w:jc w:val="both"/>
        <w:rPr>
          <w:rFonts w:ascii="Lato" w:eastAsia="Arial" w:hAnsi="Lato"/>
          <w:sz w:val="20"/>
          <w:szCs w:val="20"/>
          <w:lang w:bidi="pl-PL"/>
        </w:rPr>
      </w:pPr>
    </w:p>
    <w:sectPr w:rsidR="009B0198" w:rsidRPr="009357E7" w:rsidSect="004116FD">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46BB9" w14:textId="77777777" w:rsidR="004621E2" w:rsidRDefault="004621E2" w:rsidP="009276B2">
      <w:r>
        <w:separator/>
      </w:r>
    </w:p>
  </w:endnote>
  <w:endnote w:type="continuationSeparator" w:id="0">
    <w:p w14:paraId="6271FCA6" w14:textId="77777777" w:rsidR="004621E2" w:rsidRDefault="004621E2"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358C5A8A-B51D-4521-8844-531B849C750E}"/>
    <w:embedBold r:id="rId2" w:fontKey="{C134BE4A-91E1-45C6-B2A2-590E6D443C4C}"/>
    <w:embedItalic r:id="rId3" w:fontKey="{77DFC6EE-EDFF-4F2B-85BC-7103E2CE76E9}"/>
  </w:font>
  <w:font w:name="Calibri Light">
    <w:panose1 w:val="020F0302020204030204"/>
    <w:charset w:val="EE"/>
    <w:family w:val="swiss"/>
    <w:pitch w:val="variable"/>
    <w:sig w:usb0="E4002EFF" w:usb1="C000247B" w:usb2="00000009" w:usb3="00000000" w:csb0="000001FF" w:csb1="00000000"/>
    <w:embedRegular r:id="rId4" w:fontKey="{8BF34594-78FF-4666-84AE-FFE6ABC95244}"/>
  </w:font>
  <w:font w:name="Lato">
    <w:charset w:val="00"/>
    <w:family w:val="swiss"/>
    <w:pitch w:val="variable"/>
    <w:sig w:usb0="E10002FF" w:usb1="5000ECFF" w:usb2="00000021" w:usb3="00000000" w:csb0="0000019F" w:csb1="00000000"/>
    <w:embedRegular r:id="rId5" w:fontKey="{AC79B0FD-0645-4D12-AAF4-4AFD1AE75DD9}"/>
    <w:embedBold r:id="rId6" w:fontKey="{BA22B0F1-A5B8-40B1-8BC5-DE580B25A01C}"/>
    <w:embedItalic r:id="rId7" w:fontKey="{4AA28A0A-65B2-4AAE-B7A3-1F592F67267F}"/>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8" w:fontKey="{EB9A1F7B-DE63-47D4-9ED7-92372C1C33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98595"/>
      <w:docPartObj>
        <w:docPartGallery w:val="Page Numbers (Bottom of Page)"/>
        <w:docPartUnique/>
      </w:docPartObj>
    </w:sdtPr>
    <w:sdtContent>
      <w:p w14:paraId="20BF7B85" w14:textId="015A41E3"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F104F0">
          <w:rPr>
            <w:rFonts w:ascii="Lato" w:hAnsi="Lato"/>
            <w:sz w:val="16"/>
            <w:szCs w:val="16"/>
          </w:rPr>
          <w:t>2</w:t>
        </w:r>
        <w:r w:rsidR="00644150">
          <w:rPr>
            <w:rFonts w:ascii="Lato" w:hAnsi="Lato"/>
            <w:sz w:val="16"/>
            <w:szCs w:val="16"/>
          </w:rPr>
          <w:t>1</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3748" w14:textId="77777777" w:rsidR="004621E2" w:rsidRDefault="004621E2" w:rsidP="009276B2">
      <w:r>
        <w:separator/>
      </w:r>
    </w:p>
  </w:footnote>
  <w:footnote w:type="continuationSeparator" w:id="0">
    <w:p w14:paraId="7A961A55" w14:textId="77777777" w:rsidR="004621E2" w:rsidRDefault="004621E2"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0E08"/>
    <w:multiLevelType w:val="hybridMultilevel"/>
    <w:tmpl w:val="EB98AEA2"/>
    <w:lvl w:ilvl="0" w:tplc="A7CA944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 w15:restartNumberingAfterBreak="0">
    <w:nsid w:val="306E1F20"/>
    <w:multiLevelType w:val="hybridMultilevel"/>
    <w:tmpl w:val="1D34AF2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F66D5A"/>
    <w:multiLevelType w:val="hybridMultilevel"/>
    <w:tmpl w:val="BD7AAA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48147794"/>
    <w:multiLevelType w:val="hybridMultilevel"/>
    <w:tmpl w:val="FF9C946A"/>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6F5529"/>
    <w:multiLevelType w:val="hybridMultilevel"/>
    <w:tmpl w:val="BE1A5B0C"/>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D815F07"/>
    <w:multiLevelType w:val="hybridMultilevel"/>
    <w:tmpl w:val="126C1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DCE549E"/>
    <w:multiLevelType w:val="hybridMultilevel"/>
    <w:tmpl w:val="13B0B618"/>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D1278A2"/>
    <w:multiLevelType w:val="hybridMultilevel"/>
    <w:tmpl w:val="76204B6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40469650">
    <w:abstractNumId w:val="5"/>
  </w:num>
  <w:num w:numId="2" w16cid:durableId="2112705597">
    <w:abstractNumId w:val="7"/>
  </w:num>
  <w:num w:numId="3" w16cid:durableId="1660232794">
    <w:abstractNumId w:val="4"/>
  </w:num>
  <w:num w:numId="4" w16cid:durableId="912280295">
    <w:abstractNumId w:val="3"/>
  </w:num>
  <w:num w:numId="5" w16cid:durableId="1191845680">
    <w:abstractNumId w:val="1"/>
  </w:num>
  <w:num w:numId="6" w16cid:durableId="675616412">
    <w:abstractNumId w:val="0"/>
  </w:num>
  <w:num w:numId="7" w16cid:durableId="1753041744">
    <w:abstractNumId w:val="6"/>
  </w:num>
  <w:num w:numId="8" w16cid:durableId="84019593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374"/>
    <w:rsid w:val="00000D25"/>
    <w:rsid w:val="000034FF"/>
    <w:rsid w:val="000058A3"/>
    <w:rsid w:val="000068D0"/>
    <w:rsid w:val="00006D74"/>
    <w:rsid w:val="00010B8F"/>
    <w:rsid w:val="00011BA9"/>
    <w:rsid w:val="000159C2"/>
    <w:rsid w:val="000178F3"/>
    <w:rsid w:val="00020C84"/>
    <w:rsid w:val="00023090"/>
    <w:rsid w:val="00024A08"/>
    <w:rsid w:val="00024A88"/>
    <w:rsid w:val="000261F7"/>
    <w:rsid w:val="000314F8"/>
    <w:rsid w:val="0004147F"/>
    <w:rsid w:val="00041B79"/>
    <w:rsid w:val="0004209B"/>
    <w:rsid w:val="000426A6"/>
    <w:rsid w:val="00044B94"/>
    <w:rsid w:val="00046428"/>
    <w:rsid w:val="00051204"/>
    <w:rsid w:val="000524BB"/>
    <w:rsid w:val="00055F10"/>
    <w:rsid w:val="00056DD5"/>
    <w:rsid w:val="00057B57"/>
    <w:rsid w:val="00061FBE"/>
    <w:rsid w:val="0006798B"/>
    <w:rsid w:val="00070140"/>
    <w:rsid w:val="0007247E"/>
    <w:rsid w:val="00074F2C"/>
    <w:rsid w:val="00077558"/>
    <w:rsid w:val="0007787A"/>
    <w:rsid w:val="00077FAB"/>
    <w:rsid w:val="00081C99"/>
    <w:rsid w:val="00082A69"/>
    <w:rsid w:val="000945F2"/>
    <w:rsid w:val="0009492B"/>
    <w:rsid w:val="000A150D"/>
    <w:rsid w:val="000A2627"/>
    <w:rsid w:val="000B1CA2"/>
    <w:rsid w:val="000B5191"/>
    <w:rsid w:val="000B6DD6"/>
    <w:rsid w:val="000C0F48"/>
    <w:rsid w:val="000C4E91"/>
    <w:rsid w:val="000C5C29"/>
    <w:rsid w:val="000C6FAC"/>
    <w:rsid w:val="000C70C5"/>
    <w:rsid w:val="000C77AA"/>
    <w:rsid w:val="000D4D24"/>
    <w:rsid w:val="000D4E90"/>
    <w:rsid w:val="000D73A6"/>
    <w:rsid w:val="000D77EC"/>
    <w:rsid w:val="000E101A"/>
    <w:rsid w:val="000E33E6"/>
    <w:rsid w:val="000E3C8E"/>
    <w:rsid w:val="000E52AE"/>
    <w:rsid w:val="000E603A"/>
    <w:rsid w:val="000E60DA"/>
    <w:rsid w:val="000E6DC0"/>
    <w:rsid w:val="000E718A"/>
    <w:rsid w:val="000F1985"/>
    <w:rsid w:val="000F22B9"/>
    <w:rsid w:val="000F3B68"/>
    <w:rsid w:val="000F5C21"/>
    <w:rsid w:val="000F7C89"/>
    <w:rsid w:val="00100315"/>
    <w:rsid w:val="0010190A"/>
    <w:rsid w:val="00103258"/>
    <w:rsid w:val="00111E70"/>
    <w:rsid w:val="00113528"/>
    <w:rsid w:val="00114E27"/>
    <w:rsid w:val="0011621E"/>
    <w:rsid w:val="00116526"/>
    <w:rsid w:val="001236B0"/>
    <w:rsid w:val="00123D18"/>
    <w:rsid w:val="001266EB"/>
    <w:rsid w:val="001268E1"/>
    <w:rsid w:val="00126D9C"/>
    <w:rsid w:val="001315CD"/>
    <w:rsid w:val="001353FC"/>
    <w:rsid w:val="00135F54"/>
    <w:rsid w:val="00143AD4"/>
    <w:rsid w:val="0014781E"/>
    <w:rsid w:val="00150DC6"/>
    <w:rsid w:val="0015109A"/>
    <w:rsid w:val="00151312"/>
    <w:rsid w:val="00153253"/>
    <w:rsid w:val="00154B5E"/>
    <w:rsid w:val="00156EF8"/>
    <w:rsid w:val="00156F06"/>
    <w:rsid w:val="0016490B"/>
    <w:rsid w:val="00165BD6"/>
    <w:rsid w:val="00166A88"/>
    <w:rsid w:val="00166B41"/>
    <w:rsid w:val="00173BB2"/>
    <w:rsid w:val="0017431E"/>
    <w:rsid w:val="00174513"/>
    <w:rsid w:val="00174614"/>
    <w:rsid w:val="0017640F"/>
    <w:rsid w:val="00177629"/>
    <w:rsid w:val="00177C27"/>
    <w:rsid w:val="0018343C"/>
    <w:rsid w:val="00183B62"/>
    <w:rsid w:val="001867A6"/>
    <w:rsid w:val="001871FB"/>
    <w:rsid w:val="00190231"/>
    <w:rsid w:val="00190641"/>
    <w:rsid w:val="00194542"/>
    <w:rsid w:val="00195765"/>
    <w:rsid w:val="001A56D2"/>
    <w:rsid w:val="001A6C9B"/>
    <w:rsid w:val="001A75F6"/>
    <w:rsid w:val="001B0061"/>
    <w:rsid w:val="001B3670"/>
    <w:rsid w:val="001B4169"/>
    <w:rsid w:val="001B5AED"/>
    <w:rsid w:val="001B5E1D"/>
    <w:rsid w:val="001B70EB"/>
    <w:rsid w:val="001C2B37"/>
    <w:rsid w:val="001C2BD3"/>
    <w:rsid w:val="001C3B6F"/>
    <w:rsid w:val="001C4461"/>
    <w:rsid w:val="001C4C9D"/>
    <w:rsid w:val="001C68F5"/>
    <w:rsid w:val="001C6FDD"/>
    <w:rsid w:val="001C71DF"/>
    <w:rsid w:val="001D0D44"/>
    <w:rsid w:val="001D27FF"/>
    <w:rsid w:val="001D4DFA"/>
    <w:rsid w:val="001D5F9C"/>
    <w:rsid w:val="001E394B"/>
    <w:rsid w:val="001E3C5D"/>
    <w:rsid w:val="001F63BD"/>
    <w:rsid w:val="001F7CA9"/>
    <w:rsid w:val="002038A8"/>
    <w:rsid w:val="00203BDE"/>
    <w:rsid w:val="00206466"/>
    <w:rsid w:val="00211759"/>
    <w:rsid w:val="0021369E"/>
    <w:rsid w:val="00213D18"/>
    <w:rsid w:val="002179E3"/>
    <w:rsid w:val="00220572"/>
    <w:rsid w:val="00223890"/>
    <w:rsid w:val="00233EE5"/>
    <w:rsid w:val="0023423F"/>
    <w:rsid w:val="00235BB4"/>
    <w:rsid w:val="00240AD6"/>
    <w:rsid w:val="002410D8"/>
    <w:rsid w:val="00253FED"/>
    <w:rsid w:val="00254F51"/>
    <w:rsid w:val="00260269"/>
    <w:rsid w:val="0026700A"/>
    <w:rsid w:val="0026744F"/>
    <w:rsid w:val="002725BB"/>
    <w:rsid w:val="00273874"/>
    <w:rsid w:val="002748BD"/>
    <w:rsid w:val="00274D44"/>
    <w:rsid w:val="00276E53"/>
    <w:rsid w:val="00281EF4"/>
    <w:rsid w:val="002830CF"/>
    <w:rsid w:val="002838D7"/>
    <w:rsid w:val="00284E0D"/>
    <w:rsid w:val="00287406"/>
    <w:rsid w:val="00292821"/>
    <w:rsid w:val="00295D0C"/>
    <w:rsid w:val="002A1F17"/>
    <w:rsid w:val="002A22D3"/>
    <w:rsid w:val="002A2F6B"/>
    <w:rsid w:val="002A4B08"/>
    <w:rsid w:val="002C2C47"/>
    <w:rsid w:val="002C5A06"/>
    <w:rsid w:val="002C6FB5"/>
    <w:rsid w:val="002D0C9A"/>
    <w:rsid w:val="002D1BFF"/>
    <w:rsid w:val="002D2B6E"/>
    <w:rsid w:val="002D34AA"/>
    <w:rsid w:val="002D367A"/>
    <w:rsid w:val="002E0C9D"/>
    <w:rsid w:val="002E7C9C"/>
    <w:rsid w:val="002F3031"/>
    <w:rsid w:val="002F53DC"/>
    <w:rsid w:val="003000F2"/>
    <w:rsid w:val="0030474D"/>
    <w:rsid w:val="00307668"/>
    <w:rsid w:val="003131D7"/>
    <w:rsid w:val="00320816"/>
    <w:rsid w:val="003257D4"/>
    <w:rsid w:val="00330F64"/>
    <w:rsid w:val="003310C5"/>
    <w:rsid w:val="00332651"/>
    <w:rsid w:val="003335CD"/>
    <w:rsid w:val="00341547"/>
    <w:rsid w:val="00341994"/>
    <w:rsid w:val="00341BF8"/>
    <w:rsid w:val="00342351"/>
    <w:rsid w:val="00343330"/>
    <w:rsid w:val="00343A14"/>
    <w:rsid w:val="00345C8C"/>
    <w:rsid w:val="00350165"/>
    <w:rsid w:val="00357FCB"/>
    <w:rsid w:val="003619EA"/>
    <w:rsid w:val="00362CAD"/>
    <w:rsid w:val="00363198"/>
    <w:rsid w:val="0036375E"/>
    <w:rsid w:val="0036564F"/>
    <w:rsid w:val="00365CBF"/>
    <w:rsid w:val="00367017"/>
    <w:rsid w:val="00367E9F"/>
    <w:rsid w:val="003704A7"/>
    <w:rsid w:val="0037459C"/>
    <w:rsid w:val="0037622A"/>
    <w:rsid w:val="00380A1C"/>
    <w:rsid w:val="003821B4"/>
    <w:rsid w:val="003832FD"/>
    <w:rsid w:val="00385EDA"/>
    <w:rsid w:val="00391386"/>
    <w:rsid w:val="003914DC"/>
    <w:rsid w:val="003938FF"/>
    <w:rsid w:val="003A1976"/>
    <w:rsid w:val="003A493C"/>
    <w:rsid w:val="003A4B15"/>
    <w:rsid w:val="003A706C"/>
    <w:rsid w:val="003B1E5C"/>
    <w:rsid w:val="003B2059"/>
    <w:rsid w:val="003B2D5D"/>
    <w:rsid w:val="003B5801"/>
    <w:rsid w:val="003B5D5C"/>
    <w:rsid w:val="003C123B"/>
    <w:rsid w:val="003C25F0"/>
    <w:rsid w:val="003C328E"/>
    <w:rsid w:val="003C5031"/>
    <w:rsid w:val="003C7B66"/>
    <w:rsid w:val="003D17EF"/>
    <w:rsid w:val="003D2AD6"/>
    <w:rsid w:val="003D5B08"/>
    <w:rsid w:val="003E1865"/>
    <w:rsid w:val="003E2D7F"/>
    <w:rsid w:val="003E391F"/>
    <w:rsid w:val="003E3FE5"/>
    <w:rsid w:val="003E480D"/>
    <w:rsid w:val="003F0446"/>
    <w:rsid w:val="003F27C2"/>
    <w:rsid w:val="003F2B07"/>
    <w:rsid w:val="003F3B2A"/>
    <w:rsid w:val="00401B27"/>
    <w:rsid w:val="00404D38"/>
    <w:rsid w:val="00406555"/>
    <w:rsid w:val="00406BA8"/>
    <w:rsid w:val="004116FD"/>
    <w:rsid w:val="004141B5"/>
    <w:rsid w:val="00416811"/>
    <w:rsid w:val="00416BF7"/>
    <w:rsid w:val="004178BC"/>
    <w:rsid w:val="00420B65"/>
    <w:rsid w:val="00421CDD"/>
    <w:rsid w:val="00422BF1"/>
    <w:rsid w:val="00423144"/>
    <w:rsid w:val="00425977"/>
    <w:rsid w:val="00430031"/>
    <w:rsid w:val="00430DB0"/>
    <w:rsid w:val="00431603"/>
    <w:rsid w:val="004361C7"/>
    <w:rsid w:val="00437284"/>
    <w:rsid w:val="00442488"/>
    <w:rsid w:val="00446C53"/>
    <w:rsid w:val="00452FC6"/>
    <w:rsid w:val="00456390"/>
    <w:rsid w:val="00456B4E"/>
    <w:rsid w:val="004621E2"/>
    <w:rsid w:val="0046304B"/>
    <w:rsid w:val="00466288"/>
    <w:rsid w:val="00470295"/>
    <w:rsid w:val="00472C79"/>
    <w:rsid w:val="00474BAE"/>
    <w:rsid w:val="00475A9A"/>
    <w:rsid w:val="00476409"/>
    <w:rsid w:val="00476548"/>
    <w:rsid w:val="00477188"/>
    <w:rsid w:val="00480BB1"/>
    <w:rsid w:val="00485122"/>
    <w:rsid w:val="0049272C"/>
    <w:rsid w:val="00493031"/>
    <w:rsid w:val="00495C60"/>
    <w:rsid w:val="00496AE1"/>
    <w:rsid w:val="004A091E"/>
    <w:rsid w:val="004A2223"/>
    <w:rsid w:val="004A267A"/>
    <w:rsid w:val="004A3F2D"/>
    <w:rsid w:val="004A4AE9"/>
    <w:rsid w:val="004A7ACC"/>
    <w:rsid w:val="004A7B3C"/>
    <w:rsid w:val="004B5B58"/>
    <w:rsid w:val="004C220F"/>
    <w:rsid w:val="004C3032"/>
    <w:rsid w:val="004C4633"/>
    <w:rsid w:val="004C5CB7"/>
    <w:rsid w:val="004C61B6"/>
    <w:rsid w:val="004C7160"/>
    <w:rsid w:val="004D1E8D"/>
    <w:rsid w:val="004E106E"/>
    <w:rsid w:val="004E256E"/>
    <w:rsid w:val="004E4A8A"/>
    <w:rsid w:val="004F3E6D"/>
    <w:rsid w:val="004F5D02"/>
    <w:rsid w:val="004F6532"/>
    <w:rsid w:val="004F6D40"/>
    <w:rsid w:val="00500167"/>
    <w:rsid w:val="005001B2"/>
    <w:rsid w:val="00501A90"/>
    <w:rsid w:val="005027AA"/>
    <w:rsid w:val="005043A3"/>
    <w:rsid w:val="005107B1"/>
    <w:rsid w:val="00513A8B"/>
    <w:rsid w:val="0051478E"/>
    <w:rsid w:val="00515C02"/>
    <w:rsid w:val="00515F1E"/>
    <w:rsid w:val="00516D3D"/>
    <w:rsid w:val="0051735B"/>
    <w:rsid w:val="005200AF"/>
    <w:rsid w:val="005227DC"/>
    <w:rsid w:val="00522809"/>
    <w:rsid w:val="005254C5"/>
    <w:rsid w:val="0053058D"/>
    <w:rsid w:val="00531922"/>
    <w:rsid w:val="00532197"/>
    <w:rsid w:val="0053239F"/>
    <w:rsid w:val="005341C8"/>
    <w:rsid w:val="00540AC2"/>
    <w:rsid w:val="005451F6"/>
    <w:rsid w:val="00546068"/>
    <w:rsid w:val="00546184"/>
    <w:rsid w:val="0054644D"/>
    <w:rsid w:val="00551014"/>
    <w:rsid w:val="00553AF2"/>
    <w:rsid w:val="005569CD"/>
    <w:rsid w:val="00557D28"/>
    <w:rsid w:val="00561421"/>
    <w:rsid w:val="0056418E"/>
    <w:rsid w:val="0056425F"/>
    <w:rsid w:val="0056498C"/>
    <w:rsid w:val="0056514E"/>
    <w:rsid w:val="005659E4"/>
    <w:rsid w:val="00565D32"/>
    <w:rsid w:val="00566B1D"/>
    <w:rsid w:val="00567746"/>
    <w:rsid w:val="00570174"/>
    <w:rsid w:val="00574FFA"/>
    <w:rsid w:val="00582A89"/>
    <w:rsid w:val="00582ECE"/>
    <w:rsid w:val="00584CC7"/>
    <w:rsid w:val="005872CB"/>
    <w:rsid w:val="005902F7"/>
    <w:rsid w:val="00590C4E"/>
    <w:rsid w:val="00590EF6"/>
    <w:rsid w:val="0059434A"/>
    <w:rsid w:val="00594854"/>
    <w:rsid w:val="00594BA0"/>
    <w:rsid w:val="00595E37"/>
    <w:rsid w:val="005971C1"/>
    <w:rsid w:val="005A13E7"/>
    <w:rsid w:val="005A1B75"/>
    <w:rsid w:val="005A3CC9"/>
    <w:rsid w:val="005B0DB7"/>
    <w:rsid w:val="005B7BF4"/>
    <w:rsid w:val="005C1960"/>
    <w:rsid w:val="005C2BCD"/>
    <w:rsid w:val="005C3212"/>
    <w:rsid w:val="005C51D5"/>
    <w:rsid w:val="005C565F"/>
    <w:rsid w:val="005C6C68"/>
    <w:rsid w:val="005C749E"/>
    <w:rsid w:val="005D01A8"/>
    <w:rsid w:val="005D5386"/>
    <w:rsid w:val="005D54BA"/>
    <w:rsid w:val="005D5B7D"/>
    <w:rsid w:val="005E1C0A"/>
    <w:rsid w:val="005E1D0E"/>
    <w:rsid w:val="005E287C"/>
    <w:rsid w:val="005E56C6"/>
    <w:rsid w:val="005E6E77"/>
    <w:rsid w:val="005F1F0B"/>
    <w:rsid w:val="005F32BA"/>
    <w:rsid w:val="005F3538"/>
    <w:rsid w:val="005F4256"/>
    <w:rsid w:val="0060163E"/>
    <w:rsid w:val="00601D47"/>
    <w:rsid w:val="00602AE6"/>
    <w:rsid w:val="00605528"/>
    <w:rsid w:val="006068BD"/>
    <w:rsid w:val="00613D9D"/>
    <w:rsid w:val="00616EAC"/>
    <w:rsid w:val="006202BB"/>
    <w:rsid w:val="00623068"/>
    <w:rsid w:val="0062318B"/>
    <w:rsid w:val="006256A5"/>
    <w:rsid w:val="00625B62"/>
    <w:rsid w:val="00627036"/>
    <w:rsid w:val="0062778C"/>
    <w:rsid w:val="00627D68"/>
    <w:rsid w:val="006307AA"/>
    <w:rsid w:val="00630F21"/>
    <w:rsid w:val="006312A6"/>
    <w:rsid w:val="00636951"/>
    <w:rsid w:val="00637300"/>
    <w:rsid w:val="00640588"/>
    <w:rsid w:val="006410DE"/>
    <w:rsid w:val="00643AA8"/>
    <w:rsid w:val="00644150"/>
    <w:rsid w:val="006452C0"/>
    <w:rsid w:val="00645452"/>
    <w:rsid w:val="00646929"/>
    <w:rsid w:val="00647AF4"/>
    <w:rsid w:val="0065078B"/>
    <w:rsid w:val="00655015"/>
    <w:rsid w:val="006575E5"/>
    <w:rsid w:val="006649E2"/>
    <w:rsid w:val="00664EAC"/>
    <w:rsid w:val="00673E82"/>
    <w:rsid w:val="00675188"/>
    <w:rsid w:val="00675FC9"/>
    <w:rsid w:val="00680BEB"/>
    <w:rsid w:val="006834C5"/>
    <w:rsid w:val="00684438"/>
    <w:rsid w:val="0068535A"/>
    <w:rsid w:val="00686800"/>
    <w:rsid w:val="00690AE9"/>
    <w:rsid w:val="0069659C"/>
    <w:rsid w:val="006A1D23"/>
    <w:rsid w:val="006A2191"/>
    <w:rsid w:val="006A5FCC"/>
    <w:rsid w:val="006B0665"/>
    <w:rsid w:val="006B13C7"/>
    <w:rsid w:val="006B1C04"/>
    <w:rsid w:val="006B48F3"/>
    <w:rsid w:val="006B4F31"/>
    <w:rsid w:val="006B50E3"/>
    <w:rsid w:val="006B5736"/>
    <w:rsid w:val="006B6B99"/>
    <w:rsid w:val="006C0EC3"/>
    <w:rsid w:val="006C11ED"/>
    <w:rsid w:val="006C1662"/>
    <w:rsid w:val="006C5025"/>
    <w:rsid w:val="006C616E"/>
    <w:rsid w:val="006C66EF"/>
    <w:rsid w:val="006C7E10"/>
    <w:rsid w:val="006D0FFD"/>
    <w:rsid w:val="006D26CC"/>
    <w:rsid w:val="006D5806"/>
    <w:rsid w:val="006D6750"/>
    <w:rsid w:val="006D79BC"/>
    <w:rsid w:val="006E3137"/>
    <w:rsid w:val="006E4C7C"/>
    <w:rsid w:val="006E6A2F"/>
    <w:rsid w:val="006E6E81"/>
    <w:rsid w:val="006F0B12"/>
    <w:rsid w:val="006F1A38"/>
    <w:rsid w:val="006F6943"/>
    <w:rsid w:val="00701B69"/>
    <w:rsid w:val="00701DB7"/>
    <w:rsid w:val="00703063"/>
    <w:rsid w:val="00704881"/>
    <w:rsid w:val="00705CC3"/>
    <w:rsid w:val="00706289"/>
    <w:rsid w:val="0070631E"/>
    <w:rsid w:val="007108D5"/>
    <w:rsid w:val="00710912"/>
    <w:rsid w:val="00712D1B"/>
    <w:rsid w:val="00713FB4"/>
    <w:rsid w:val="00714532"/>
    <w:rsid w:val="0071498E"/>
    <w:rsid w:val="00715088"/>
    <w:rsid w:val="00716214"/>
    <w:rsid w:val="007163C0"/>
    <w:rsid w:val="00716ADC"/>
    <w:rsid w:val="007231E2"/>
    <w:rsid w:val="00724332"/>
    <w:rsid w:val="00725D13"/>
    <w:rsid w:val="007277A5"/>
    <w:rsid w:val="00727814"/>
    <w:rsid w:val="00730E59"/>
    <w:rsid w:val="00732FB5"/>
    <w:rsid w:val="00734D72"/>
    <w:rsid w:val="007354BC"/>
    <w:rsid w:val="00741D5C"/>
    <w:rsid w:val="007444D4"/>
    <w:rsid w:val="00745175"/>
    <w:rsid w:val="00745F39"/>
    <w:rsid w:val="007467A9"/>
    <w:rsid w:val="007475AB"/>
    <w:rsid w:val="00747B9E"/>
    <w:rsid w:val="00750B11"/>
    <w:rsid w:val="007518D3"/>
    <w:rsid w:val="007527E9"/>
    <w:rsid w:val="00757262"/>
    <w:rsid w:val="0076094C"/>
    <w:rsid w:val="00761C1D"/>
    <w:rsid w:val="00763C50"/>
    <w:rsid w:val="00763D93"/>
    <w:rsid w:val="007641EF"/>
    <w:rsid w:val="007673F5"/>
    <w:rsid w:val="00771CDC"/>
    <w:rsid w:val="00772D59"/>
    <w:rsid w:val="00773F03"/>
    <w:rsid w:val="007752C1"/>
    <w:rsid w:val="007763FB"/>
    <w:rsid w:val="007770D9"/>
    <w:rsid w:val="00780E1D"/>
    <w:rsid w:val="00782214"/>
    <w:rsid w:val="007822FB"/>
    <w:rsid w:val="00785976"/>
    <w:rsid w:val="0078758E"/>
    <w:rsid w:val="00793CBF"/>
    <w:rsid w:val="007961E1"/>
    <w:rsid w:val="00797577"/>
    <w:rsid w:val="00797A37"/>
    <w:rsid w:val="007A1C5F"/>
    <w:rsid w:val="007A3CAD"/>
    <w:rsid w:val="007B2192"/>
    <w:rsid w:val="007B371C"/>
    <w:rsid w:val="007B4367"/>
    <w:rsid w:val="007B4F7F"/>
    <w:rsid w:val="007B7FE7"/>
    <w:rsid w:val="007C0044"/>
    <w:rsid w:val="007C1543"/>
    <w:rsid w:val="007C59C2"/>
    <w:rsid w:val="007C6DEA"/>
    <w:rsid w:val="007C7203"/>
    <w:rsid w:val="007C7E50"/>
    <w:rsid w:val="007D2D31"/>
    <w:rsid w:val="007D72E3"/>
    <w:rsid w:val="007D7AAA"/>
    <w:rsid w:val="007E3ABD"/>
    <w:rsid w:val="007E6E92"/>
    <w:rsid w:val="007E7885"/>
    <w:rsid w:val="007F0754"/>
    <w:rsid w:val="007F30D6"/>
    <w:rsid w:val="007F4BE5"/>
    <w:rsid w:val="007F5213"/>
    <w:rsid w:val="0080020B"/>
    <w:rsid w:val="008036F8"/>
    <w:rsid w:val="00803B9C"/>
    <w:rsid w:val="008066B1"/>
    <w:rsid w:val="00815826"/>
    <w:rsid w:val="00815CA1"/>
    <w:rsid w:val="00820CC0"/>
    <w:rsid w:val="00824133"/>
    <w:rsid w:val="00824F89"/>
    <w:rsid w:val="00827EE9"/>
    <w:rsid w:val="00832F60"/>
    <w:rsid w:val="00833F81"/>
    <w:rsid w:val="00836578"/>
    <w:rsid w:val="00841349"/>
    <w:rsid w:val="00841AFD"/>
    <w:rsid w:val="00842198"/>
    <w:rsid w:val="008434AC"/>
    <w:rsid w:val="008434CC"/>
    <w:rsid w:val="00844110"/>
    <w:rsid w:val="0084475C"/>
    <w:rsid w:val="00850283"/>
    <w:rsid w:val="008539FA"/>
    <w:rsid w:val="00853BAA"/>
    <w:rsid w:val="00855053"/>
    <w:rsid w:val="008565AA"/>
    <w:rsid w:val="00862EAB"/>
    <w:rsid w:val="0086630F"/>
    <w:rsid w:val="008728F8"/>
    <w:rsid w:val="00874C1B"/>
    <w:rsid w:val="0087755B"/>
    <w:rsid w:val="00880739"/>
    <w:rsid w:val="00880C5F"/>
    <w:rsid w:val="00882574"/>
    <w:rsid w:val="00882CB0"/>
    <w:rsid w:val="00886A3B"/>
    <w:rsid w:val="008900C1"/>
    <w:rsid w:val="008903BA"/>
    <w:rsid w:val="00890A45"/>
    <w:rsid w:val="008947AE"/>
    <w:rsid w:val="00895273"/>
    <w:rsid w:val="00895564"/>
    <w:rsid w:val="008A26CE"/>
    <w:rsid w:val="008A3AE2"/>
    <w:rsid w:val="008A6EE5"/>
    <w:rsid w:val="008B10E0"/>
    <w:rsid w:val="008B2C0E"/>
    <w:rsid w:val="008B4BFF"/>
    <w:rsid w:val="008B5BBB"/>
    <w:rsid w:val="008C151E"/>
    <w:rsid w:val="008C21FA"/>
    <w:rsid w:val="008C47C6"/>
    <w:rsid w:val="008C5360"/>
    <w:rsid w:val="008C5916"/>
    <w:rsid w:val="008D14D1"/>
    <w:rsid w:val="008D1E87"/>
    <w:rsid w:val="008D2565"/>
    <w:rsid w:val="008D2762"/>
    <w:rsid w:val="008D2EFC"/>
    <w:rsid w:val="008E0475"/>
    <w:rsid w:val="008E0A67"/>
    <w:rsid w:val="008E18FE"/>
    <w:rsid w:val="008E3CCB"/>
    <w:rsid w:val="008E598C"/>
    <w:rsid w:val="008E6508"/>
    <w:rsid w:val="008E709F"/>
    <w:rsid w:val="008F0E2F"/>
    <w:rsid w:val="008F363D"/>
    <w:rsid w:val="008F3AC6"/>
    <w:rsid w:val="008F5152"/>
    <w:rsid w:val="008F5398"/>
    <w:rsid w:val="008F7FB6"/>
    <w:rsid w:val="0090054B"/>
    <w:rsid w:val="00903D73"/>
    <w:rsid w:val="00904E71"/>
    <w:rsid w:val="009215FC"/>
    <w:rsid w:val="009218FC"/>
    <w:rsid w:val="00926270"/>
    <w:rsid w:val="00926882"/>
    <w:rsid w:val="00927191"/>
    <w:rsid w:val="009276B2"/>
    <w:rsid w:val="00931782"/>
    <w:rsid w:val="0093525C"/>
    <w:rsid w:val="009357E7"/>
    <w:rsid w:val="00936918"/>
    <w:rsid w:val="00940C53"/>
    <w:rsid w:val="00944E9F"/>
    <w:rsid w:val="009456F3"/>
    <w:rsid w:val="00945FC7"/>
    <w:rsid w:val="0094751D"/>
    <w:rsid w:val="00947F4D"/>
    <w:rsid w:val="00954954"/>
    <w:rsid w:val="009554A5"/>
    <w:rsid w:val="00955F46"/>
    <w:rsid w:val="00960594"/>
    <w:rsid w:val="00960835"/>
    <w:rsid w:val="009619E4"/>
    <w:rsid w:val="00962B51"/>
    <w:rsid w:val="009673DD"/>
    <w:rsid w:val="009715EC"/>
    <w:rsid w:val="00974302"/>
    <w:rsid w:val="00974D38"/>
    <w:rsid w:val="00975E1D"/>
    <w:rsid w:val="00977482"/>
    <w:rsid w:val="009775C7"/>
    <w:rsid w:val="00980F82"/>
    <w:rsid w:val="00987549"/>
    <w:rsid w:val="00987730"/>
    <w:rsid w:val="009903C5"/>
    <w:rsid w:val="0099041C"/>
    <w:rsid w:val="0099135F"/>
    <w:rsid w:val="00991767"/>
    <w:rsid w:val="00992B5B"/>
    <w:rsid w:val="00992FCD"/>
    <w:rsid w:val="00993033"/>
    <w:rsid w:val="009961A4"/>
    <w:rsid w:val="00996F08"/>
    <w:rsid w:val="00996FB1"/>
    <w:rsid w:val="009A1AA4"/>
    <w:rsid w:val="009A4320"/>
    <w:rsid w:val="009B0198"/>
    <w:rsid w:val="009B2146"/>
    <w:rsid w:val="009B2188"/>
    <w:rsid w:val="009B2355"/>
    <w:rsid w:val="009B51E8"/>
    <w:rsid w:val="009B5892"/>
    <w:rsid w:val="009C18DC"/>
    <w:rsid w:val="009C2D8F"/>
    <w:rsid w:val="009C4255"/>
    <w:rsid w:val="009C47EF"/>
    <w:rsid w:val="009C6C7D"/>
    <w:rsid w:val="009C7EF8"/>
    <w:rsid w:val="009D2647"/>
    <w:rsid w:val="009D7B12"/>
    <w:rsid w:val="009D7E23"/>
    <w:rsid w:val="009E0982"/>
    <w:rsid w:val="009E246D"/>
    <w:rsid w:val="009E3E40"/>
    <w:rsid w:val="009E4833"/>
    <w:rsid w:val="009E4999"/>
    <w:rsid w:val="009E5E84"/>
    <w:rsid w:val="009E6BE9"/>
    <w:rsid w:val="009F1DC3"/>
    <w:rsid w:val="009F21F0"/>
    <w:rsid w:val="009F6C53"/>
    <w:rsid w:val="00A014CA"/>
    <w:rsid w:val="00A032A2"/>
    <w:rsid w:val="00A043BE"/>
    <w:rsid w:val="00A04E65"/>
    <w:rsid w:val="00A05416"/>
    <w:rsid w:val="00A07591"/>
    <w:rsid w:val="00A10471"/>
    <w:rsid w:val="00A13288"/>
    <w:rsid w:val="00A1542B"/>
    <w:rsid w:val="00A15527"/>
    <w:rsid w:val="00A21071"/>
    <w:rsid w:val="00A21355"/>
    <w:rsid w:val="00A21446"/>
    <w:rsid w:val="00A234F6"/>
    <w:rsid w:val="00A236F7"/>
    <w:rsid w:val="00A24732"/>
    <w:rsid w:val="00A261C7"/>
    <w:rsid w:val="00A31501"/>
    <w:rsid w:val="00A32177"/>
    <w:rsid w:val="00A34305"/>
    <w:rsid w:val="00A36A99"/>
    <w:rsid w:val="00A500D6"/>
    <w:rsid w:val="00A530DC"/>
    <w:rsid w:val="00A552FD"/>
    <w:rsid w:val="00A558D2"/>
    <w:rsid w:val="00A5686D"/>
    <w:rsid w:val="00A60FF2"/>
    <w:rsid w:val="00A61C2B"/>
    <w:rsid w:val="00A6530A"/>
    <w:rsid w:val="00A702B9"/>
    <w:rsid w:val="00A707E4"/>
    <w:rsid w:val="00A71E2C"/>
    <w:rsid w:val="00A73834"/>
    <w:rsid w:val="00A75E3E"/>
    <w:rsid w:val="00A824BC"/>
    <w:rsid w:val="00A827E3"/>
    <w:rsid w:val="00A82BD6"/>
    <w:rsid w:val="00A83C65"/>
    <w:rsid w:val="00A84267"/>
    <w:rsid w:val="00A86B86"/>
    <w:rsid w:val="00A91437"/>
    <w:rsid w:val="00A9269A"/>
    <w:rsid w:val="00A93EA3"/>
    <w:rsid w:val="00A9463B"/>
    <w:rsid w:val="00A95767"/>
    <w:rsid w:val="00A97D88"/>
    <w:rsid w:val="00AA0500"/>
    <w:rsid w:val="00AA2261"/>
    <w:rsid w:val="00AA3667"/>
    <w:rsid w:val="00AA577B"/>
    <w:rsid w:val="00AA5DBB"/>
    <w:rsid w:val="00AB12FA"/>
    <w:rsid w:val="00AB3E06"/>
    <w:rsid w:val="00AB49C5"/>
    <w:rsid w:val="00AB521F"/>
    <w:rsid w:val="00AC0339"/>
    <w:rsid w:val="00AC47A6"/>
    <w:rsid w:val="00AC696E"/>
    <w:rsid w:val="00AD0345"/>
    <w:rsid w:val="00AD0834"/>
    <w:rsid w:val="00AD3FB2"/>
    <w:rsid w:val="00AD65A5"/>
    <w:rsid w:val="00AD6984"/>
    <w:rsid w:val="00AE46FD"/>
    <w:rsid w:val="00AE63AF"/>
    <w:rsid w:val="00AE6415"/>
    <w:rsid w:val="00AF22B7"/>
    <w:rsid w:val="00AF2C75"/>
    <w:rsid w:val="00AF33FE"/>
    <w:rsid w:val="00AF4BC5"/>
    <w:rsid w:val="00AF5034"/>
    <w:rsid w:val="00AF5138"/>
    <w:rsid w:val="00AF56BD"/>
    <w:rsid w:val="00B0299A"/>
    <w:rsid w:val="00B02E8F"/>
    <w:rsid w:val="00B06652"/>
    <w:rsid w:val="00B06E81"/>
    <w:rsid w:val="00B07337"/>
    <w:rsid w:val="00B103C7"/>
    <w:rsid w:val="00B13111"/>
    <w:rsid w:val="00B14C5D"/>
    <w:rsid w:val="00B156D6"/>
    <w:rsid w:val="00B15849"/>
    <w:rsid w:val="00B20AD8"/>
    <w:rsid w:val="00B21B79"/>
    <w:rsid w:val="00B22111"/>
    <w:rsid w:val="00B22E3F"/>
    <w:rsid w:val="00B232E0"/>
    <w:rsid w:val="00B24A13"/>
    <w:rsid w:val="00B30680"/>
    <w:rsid w:val="00B309DC"/>
    <w:rsid w:val="00B36262"/>
    <w:rsid w:val="00B3772B"/>
    <w:rsid w:val="00B479CA"/>
    <w:rsid w:val="00B47DBB"/>
    <w:rsid w:val="00B515EF"/>
    <w:rsid w:val="00B52BE3"/>
    <w:rsid w:val="00B55613"/>
    <w:rsid w:val="00B574B6"/>
    <w:rsid w:val="00B61594"/>
    <w:rsid w:val="00B6538E"/>
    <w:rsid w:val="00B66591"/>
    <w:rsid w:val="00B71B53"/>
    <w:rsid w:val="00B751C1"/>
    <w:rsid w:val="00B8027A"/>
    <w:rsid w:val="00B809CB"/>
    <w:rsid w:val="00B8126E"/>
    <w:rsid w:val="00B8143A"/>
    <w:rsid w:val="00B82421"/>
    <w:rsid w:val="00B8265B"/>
    <w:rsid w:val="00B82951"/>
    <w:rsid w:val="00B84D3E"/>
    <w:rsid w:val="00B87744"/>
    <w:rsid w:val="00B87FB8"/>
    <w:rsid w:val="00B90498"/>
    <w:rsid w:val="00B92E2A"/>
    <w:rsid w:val="00B932A3"/>
    <w:rsid w:val="00B97815"/>
    <w:rsid w:val="00BA0BEF"/>
    <w:rsid w:val="00BA4A2E"/>
    <w:rsid w:val="00BA63BC"/>
    <w:rsid w:val="00BA7425"/>
    <w:rsid w:val="00BB0C59"/>
    <w:rsid w:val="00BB170E"/>
    <w:rsid w:val="00BB51D8"/>
    <w:rsid w:val="00BB5C6B"/>
    <w:rsid w:val="00BB6793"/>
    <w:rsid w:val="00BB67EC"/>
    <w:rsid w:val="00BB6934"/>
    <w:rsid w:val="00BB6F4C"/>
    <w:rsid w:val="00BC1545"/>
    <w:rsid w:val="00BC5AC7"/>
    <w:rsid w:val="00BD1152"/>
    <w:rsid w:val="00BD3132"/>
    <w:rsid w:val="00BD3614"/>
    <w:rsid w:val="00BD49E0"/>
    <w:rsid w:val="00BD6E58"/>
    <w:rsid w:val="00BD7B05"/>
    <w:rsid w:val="00BE1CD8"/>
    <w:rsid w:val="00BE2624"/>
    <w:rsid w:val="00BE2AD3"/>
    <w:rsid w:val="00BE48C9"/>
    <w:rsid w:val="00BE6444"/>
    <w:rsid w:val="00BE77FE"/>
    <w:rsid w:val="00BF120A"/>
    <w:rsid w:val="00BF2434"/>
    <w:rsid w:val="00BF24BF"/>
    <w:rsid w:val="00BF3EE5"/>
    <w:rsid w:val="00BF46BF"/>
    <w:rsid w:val="00BF552A"/>
    <w:rsid w:val="00C00069"/>
    <w:rsid w:val="00C051C8"/>
    <w:rsid w:val="00C06F1F"/>
    <w:rsid w:val="00C10D68"/>
    <w:rsid w:val="00C14BD9"/>
    <w:rsid w:val="00C163DF"/>
    <w:rsid w:val="00C16CAA"/>
    <w:rsid w:val="00C227DA"/>
    <w:rsid w:val="00C236D5"/>
    <w:rsid w:val="00C23919"/>
    <w:rsid w:val="00C23B92"/>
    <w:rsid w:val="00C244F9"/>
    <w:rsid w:val="00C25A83"/>
    <w:rsid w:val="00C26C84"/>
    <w:rsid w:val="00C41CAA"/>
    <w:rsid w:val="00C423D9"/>
    <w:rsid w:val="00C43B00"/>
    <w:rsid w:val="00C44309"/>
    <w:rsid w:val="00C44652"/>
    <w:rsid w:val="00C44F50"/>
    <w:rsid w:val="00C454E3"/>
    <w:rsid w:val="00C46371"/>
    <w:rsid w:val="00C46DD3"/>
    <w:rsid w:val="00C47E7B"/>
    <w:rsid w:val="00C510B2"/>
    <w:rsid w:val="00C5130B"/>
    <w:rsid w:val="00C52239"/>
    <w:rsid w:val="00C53583"/>
    <w:rsid w:val="00C53987"/>
    <w:rsid w:val="00C53B17"/>
    <w:rsid w:val="00C54FFF"/>
    <w:rsid w:val="00C55F15"/>
    <w:rsid w:val="00C56EB0"/>
    <w:rsid w:val="00C606C5"/>
    <w:rsid w:val="00C60F6F"/>
    <w:rsid w:val="00C66A03"/>
    <w:rsid w:val="00C7270D"/>
    <w:rsid w:val="00C73E7E"/>
    <w:rsid w:val="00C75859"/>
    <w:rsid w:val="00C7636C"/>
    <w:rsid w:val="00C77DAA"/>
    <w:rsid w:val="00C8064A"/>
    <w:rsid w:val="00C8157C"/>
    <w:rsid w:val="00C82F34"/>
    <w:rsid w:val="00C84C6F"/>
    <w:rsid w:val="00C852DE"/>
    <w:rsid w:val="00C85D56"/>
    <w:rsid w:val="00C9124B"/>
    <w:rsid w:val="00C91738"/>
    <w:rsid w:val="00C918D5"/>
    <w:rsid w:val="00C92871"/>
    <w:rsid w:val="00C93C57"/>
    <w:rsid w:val="00C946EB"/>
    <w:rsid w:val="00C97D25"/>
    <w:rsid w:val="00CA0596"/>
    <w:rsid w:val="00CA4E84"/>
    <w:rsid w:val="00CA732F"/>
    <w:rsid w:val="00CA7AE6"/>
    <w:rsid w:val="00CB2A1B"/>
    <w:rsid w:val="00CB2E0C"/>
    <w:rsid w:val="00CB32DB"/>
    <w:rsid w:val="00CB59EB"/>
    <w:rsid w:val="00CB7CC8"/>
    <w:rsid w:val="00CC407C"/>
    <w:rsid w:val="00CC4167"/>
    <w:rsid w:val="00CC5A46"/>
    <w:rsid w:val="00CC5E94"/>
    <w:rsid w:val="00CC7761"/>
    <w:rsid w:val="00CD0E98"/>
    <w:rsid w:val="00CD3F18"/>
    <w:rsid w:val="00CE2C7D"/>
    <w:rsid w:val="00CE438C"/>
    <w:rsid w:val="00CE4ED9"/>
    <w:rsid w:val="00CE6710"/>
    <w:rsid w:val="00CF102A"/>
    <w:rsid w:val="00CF1D4C"/>
    <w:rsid w:val="00CF21C3"/>
    <w:rsid w:val="00CF2CC4"/>
    <w:rsid w:val="00CF4A4C"/>
    <w:rsid w:val="00CF7FE5"/>
    <w:rsid w:val="00D070E0"/>
    <w:rsid w:val="00D07F68"/>
    <w:rsid w:val="00D132C0"/>
    <w:rsid w:val="00D23219"/>
    <w:rsid w:val="00D23D74"/>
    <w:rsid w:val="00D242E1"/>
    <w:rsid w:val="00D27431"/>
    <w:rsid w:val="00D31EB1"/>
    <w:rsid w:val="00D31ECE"/>
    <w:rsid w:val="00D3617C"/>
    <w:rsid w:val="00D37348"/>
    <w:rsid w:val="00D47AED"/>
    <w:rsid w:val="00D50422"/>
    <w:rsid w:val="00D54744"/>
    <w:rsid w:val="00D55407"/>
    <w:rsid w:val="00D5598E"/>
    <w:rsid w:val="00D60284"/>
    <w:rsid w:val="00D61726"/>
    <w:rsid w:val="00D62318"/>
    <w:rsid w:val="00D635A2"/>
    <w:rsid w:val="00D66090"/>
    <w:rsid w:val="00D6672F"/>
    <w:rsid w:val="00D723B5"/>
    <w:rsid w:val="00D72415"/>
    <w:rsid w:val="00D72472"/>
    <w:rsid w:val="00D73437"/>
    <w:rsid w:val="00D7376F"/>
    <w:rsid w:val="00D739C6"/>
    <w:rsid w:val="00D7712D"/>
    <w:rsid w:val="00D771A0"/>
    <w:rsid w:val="00D77201"/>
    <w:rsid w:val="00D773D6"/>
    <w:rsid w:val="00D81349"/>
    <w:rsid w:val="00D820CD"/>
    <w:rsid w:val="00D82B24"/>
    <w:rsid w:val="00D83006"/>
    <w:rsid w:val="00D8551C"/>
    <w:rsid w:val="00D87AB3"/>
    <w:rsid w:val="00D906A5"/>
    <w:rsid w:val="00D95857"/>
    <w:rsid w:val="00D963DA"/>
    <w:rsid w:val="00DA1A85"/>
    <w:rsid w:val="00DA2527"/>
    <w:rsid w:val="00DA386A"/>
    <w:rsid w:val="00DA46CC"/>
    <w:rsid w:val="00DA65F4"/>
    <w:rsid w:val="00DB3C54"/>
    <w:rsid w:val="00DB6B6E"/>
    <w:rsid w:val="00DC339B"/>
    <w:rsid w:val="00DC3C8E"/>
    <w:rsid w:val="00DC4FCC"/>
    <w:rsid w:val="00DD10C2"/>
    <w:rsid w:val="00DD163A"/>
    <w:rsid w:val="00DE2FF6"/>
    <w:rsid w:val="00DE3777"/>
    <w:rsid w:val="00DE5003"/>
    <w:rsid w:val="00DF1194"/>
    <w:rsid w:val="00DF1DED"/>
    <w:rsid w:val="00DF6EFD"/>
    <w:rsid w:val="00E01C9D"/>
    <w:rsid w:val="00E042D4"/>
    <w:rsid w:val="00E05CB5"/>
    <w:rsid w:val="00E07294"/>
    <w:rsid w:val="00E14456"/>
    <w:rsid w:val="00E215B9"/>
    <w:rsid w:val="00E22609"/>
    <w:rsid w:val="00E24454"/>
    <w:rsid w:val="00E2539E"/>
    <w:rsid w:val="00E270CB"/>
    <w:rsid w:val="00E32991"/>
    <w:rsid w:val="00E3400A"/>
    <w:rsid w:val="00E35519"/>
    <w:rsid w:val="00E358FA"/>
    <w:rsid w:val="00E36B04"/>
    <w:rsid w:val="00E3742E"/>
    <w:rsid w:val="00E50952"/>
    <w:rsid w:val="00E51077"/>
    <w:rsid w:val="00E52328"/>
    <w:rsid w:val="00E5442F"/>
    <w:rsid w:val="00E570FC"/>
    <w:rsid w:val="00E579DD"/>
    <w:rsid w:val="00E62DEF"/>
    <w:rsid w:val="00E62F85"/>
    <w:rsid w:val="00E6732F"/>
    <w:rsid w:val="00E67B10"/>
    <w:rsid w:val="00E70B58"/>
    <w:rsid w:val="00E71EC3"/>
    <w:rsid w:val="00E7403B"/>
    <w:rsid w:val="00E77021"/>
    <w:rsid w:val="00E83BBD"/>
    <w:rsid w:val="00E83E20"/>
    <w:rsid w:val="00E850E5"/>
    <w:rsid w:val="00E85AD9"/>
    <w:rsid w:val="00E953DB"/>
    <w:rsid w:val="00EA5982"/>
    <w:rsid w:val="00EA74BF"/>
    <w:rsid w:val="00EA7579"/>
    <w:rsid w:val="00EB222C"/>
    <w:rsid w:val="00EB3B09"/>
    <w:rsid w:val="00EB4A91"/>
    <w:rsid w:val="00EB4EA7"/>
    <w:rsid w:val="00EB56AC"/>
    <w:rsid w:val="00EB776E"/>
    <w:rsid w:val="00EC316C"/>
    <w:rsid w:val="00EC6598"/>
    <w:rsid w:val="00ED08A2"/>
    <w:rsid w:val="00ED08FB"/>
    <w:rsid w:val="00ED0A4E"/>
    <w:rsid w:val="00ED19E6"/>
    <w:rsid w:val="00ED34E3"/>
    <w:rsid w:val="00ED56DC"/>
    <w:rsid w:val="00ED5F33"/>
    <w:rsid w:val="00EE21F7"/>
    <w:rsid w:val="00EE28A4"/>
    <w:rsid w:val="00EE34A9"/>
    <w:rsid w:val="00EE570D"/>
    <w:rsid w:val="00EF0177"/>
    <w:rsid w:val="00EF3544"/>
    <w:rsid w:val="00F024AF"/>
    <w:rsid w:val="00F036ED"/>
    <w:rsid w:val="00F042A3"/>
    <w:rsid w:val="00F05F16"/>
    <w:rsid w:val="00F06F77"/>
    <w:rsid w:val="00F104F0"/>
    <w:rsid w:val="00F10B9F"/>
    <w:rsid w:val="00F1322C"/>
    <w:rsid w:val="00F13890"/>
    <w:rsid w:val="00F148EF"/>
    <w:rsid w:val="00F14AB8"/>
    <w:rsid w:val="00F16F03"/>
    <w:rsid w:val="00F21115"/>
    <w:rsid w:val="00F214B0"/>
    <w:rsid w:val="00F21553"/>
    <w:rsid w:val="00F22982"/>
    <w:rsid w:val="00F24C6D"/>
    <w:rsid w:val="00F2687C"/>
    <w:rsid w:val="00F301A0"/>
    <w:rsid w:val="00F321F5"/>
    <w:rsid w:val="00F33ABC"/>
    <w:rsid w:val="00F33D1B"/>
    <w:rsid w:val="00F40743"/>
    <w:rsid w:val="00F43208"/>
    <w:rsid w:val="00F46BAA"/>
    <w:rsid w:val="00F47534"/>
    <w:rsid w:val="00F47DA4"/>
    <w:rsid w:val="00F51E83"/>
    <w:rsid w:val="00F52E5A"/>
    <w:rsid w:val="00F54FAF"/>
    <w:rsid w:val="00F57063"/>
    <w:rsid w:val="00F57159"/>
    <w:rsid w:val="00F626C2"/>
    <w:rsid w:val="00F6452A"/>
    <w:rsid w:val="00F65242"/>
    <w:rsid w:val="00F716AB"/>
    <w:rsid w:val="00F71B9C"/>
    <w:rsid w:val="00F721C1"/>
    <w:rsid w:val="00F74A8F"/>
    <w:rsid w:val="00F771CF"/>
    <w:rsid w:val="00F80AC2"/>
    <w:rsid w:val="00F87373"/>
    <w:rsid w:val="00F90B07"/>
    <w:rsid w:val="00F92314"/>
    <w:rsid w:val="00F93925"/>
    <w:rsid w:val="00F94734"/>
    <w:rsid w:val="00F948E7"/>
    <w:rsid w:val="00F94C69"/>
    <w:rsid w:val="00F967AB"/>
    <w:rsid w:val="00F9689C"/>
    <w:rsid w:val="00FA109D"/>
    <w:rsid w:val="00FA4811"/>
    <w:rsid w:val="00FA66B6"/>
    <w:rsid w:val="00FA6BD4"/>
    <w:rsid w:val="00FA76E5"/>
    <w:rsid w:val="00FB3C84"/>
    <w:rsid w:val="00FB5003"/>
    <w:rsid w:val="00FB5DA8"/>
    <w:rsid w:val="00FC0A70"/>
    <w:rsid w:val="00FC498E"/>
    <w:rsid w:val="00FC5DAD"/>
    <w:rsid w:val="00FD328B"/>
    <w:rsid w:val="00FE21C0"/>
    <w:rsid w:val="00FE6A6B"/>
    <w:rsid w:val="00FE6C58"/>
    <w:rsid w:val="00FF01B3"/>
    <w:rsid w:val="00FF3177"/>
    <w:rsid w:val="00FF3B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5104DAAD-E0FF-4E17-ABDC-C9BD8713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styleId="Poprawka">
    <w:name w:val="Revision"/>
    <w:hidden/>
    <w:uiPriority w:val="99"/>
    <w:semiHidden/>
    <w:rsid w:val="007444D4"/>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444D4"/>
    <w:rPr>
      <w:sz w:val="16"/>
      <w:szCs w:val="16"/>
    </w:rPr>
  </w:style>
  <w:style w:type="paragraph" w:styleId="Tekstkomentarza">
    <w:name w:val="annotation text"/>
    <w:basedOn w:val="Normalny"/>
    <w:link w:val="TekstkomentarzaZnak"/>
    <w:uiPriority w:val="99"/>
    <w:unhideWhenUsed/>
    <w:rsid w:val="007444D4"/>
    <w:rPr>
      <w:sz w:val="20"/>
      <w:szCs w:val="20"/>
    </w:rPr>
  </w:style>
  <w:style w:type="character" w:customStyle="1" w:styleId="TekstkomentarzaZnak">
    <w:name w:val="Tekst komentarza Znak"/>
    <w:basedOn w:val="Domylnaczcionkaakapitu"/>
    <w:link w:val="Tekstkomentarza"/>
    <w:uiPriority w:val="99"/>
    <w:rsid w:val="007444D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44D4"/>
    <w:rPr>
      <w:b/>
      <w:bCs/>
    </w:rPr>
  </w:style>
  <w:style w:type="character" w:customStyle="1" w:styleId="TematkomentarzaZnak">
    <w:name w:val="Temat komentarza Znak"/>
    <w:basedOn w:val="TekstkomentarzaZnak"/>
    <w:link w:val="Tematkomentarza"/>
    <w:uiPriority w:val="99"/>
    <w:semiHidden/>
    <w:rsid w:val="007444D4"/>
    <w:rPr>
      <w:rFonts w:ascii="Times New Roman" w:eastAsia="Times New Roman" w:hAnsi="Times New Roman" w:cs="Times New Roman"/>
      <w:b/>
      <w:bCs/>
      <w:sz w:val="20"/>
      <w:szCs w:val="20"/>
      <w:lang w:eastAsia="pl-PL"/>
    </w:rPr>
  </w:style>
  <w:style w:type="paragraph" w:styleId="Tekstpodstawowywcity2">
    <w:name w:val="Body Text Indent 2"/>
    <w:basedOn w:val="Normalny"/>
    <w:link w:val="Tekstpodstawowywcity2Znak"/>
    <w:unhideWhenUsed/>
    <w:rsid w:val="005569CD"/>
    <w:pPr>
      <w:spacing w:after="120" w:line="480" w:lineRule="auto"/>
      <w:ind w:left="283"/>
    </w:pPr>
  </w:style>
  <w:style w:type="character" w:customStyle="1" w:styleId="Tekstpodstawowywcity2Znak">
    <w:name w:val="Tekst podstawowy wcięty 2 Znak"/>
    <w:basedOn w:val="Domylnaczcionkaakapitu"/>
    <w:link w:val="Tekstpodstawowywcity2"/>
    <w:rsid w:val="005569CD"/>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741D5C"/>
  </w:style>
  <w:style w:type="paragraph" w:customStyle="1" w:styleId="Default">
    <w:name w:val="Default"/>
    <w:rsid w:val="00797A37"/>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28">
      <w:bodyDiv w:val="1"/>
      <w:marLeft w:val="0"/>
      <w:marRight w:val="0"/>
      <w:marTop w:val="0"/>
      <w:marBottom w:val="0"/>
      <w:divBdr>
        <w:top w:val="none" w:sz="0" w:space="0" w:color="auto"/>
        <w:left w:val="none" w:sz="0" w:space="0" w:color="auto"/>
        <w:bottom w:val="none" w:sz="0" w:space="0" w:color="auto"/>
        <w:right w:val="none" w:sz="0" w:space="0" w:color="auto"/>
      </w:divBdr>
    </w:div>
    <w:div w:id="58482198">
      <w:bodyDiv w:val="1"/>
      <w:marLeft w:val="0"/>
      <w:marRight w:val="0"/>
      <w:marTop w:val="0"/>
      <w:marBottom w:val="0"/>
      <w:divBdr>
        <w:top w:val="none" w:sz="0" w:space="0" w:color="auto"/>
        <w:left w:val="none" w:sz="0" w:space="0" w:color="auto"/>
        <w:bottom w:val="none" w:sz="0" w:space="0" w:color="auto"/>
        <w:right w:val="none" w:sz="0" w:space="0" w:color="auto"/>
      </w:divBdr>
    </w:div>
    <w:div w:id="135807110">
      <w:bodyDiv w:val="1"/>
      <w:marLeft w:val="0"/>
      <w:marRight w:val="0"/>
      <w:marTop w:val="0"/>
      <w:marBottom w:val="0"/>
      <w:divBdr>
        <w:top w:val="none" w:sz="0" w:space="0" w:color="auto"/>
        <w:left w:val="none" w:sz="0" w:space="0" w:color="auto"/>
        <w:bottom w:val="none" w:sz="0" w:space="0" w:color="auto"/>
        <w:right w:val="none" w:sz="0" w:space="0" w:color="auto"/>
      </w:divBdr>
    </w:div>
    <w:div w:id="139689168">
      <w:bodyDiv w:val="1"/>
      <w:marLeft w:val="0"/>
      <w:marRight w:val="0"/>
      <w:marTop w:val="0"/>
      <w:marBottom w:val="0"/>
      <w:divBdr>
        <w:top w:val="none" w:sz="0" w:space="0" w:color="auto"/>
        <w:left w:val="none" w:sz="0" w:space="0" w:color="auto"/>
        <w:bottom w:val="none" w:sz="0" w:space="0" w:color="auto"/>
        <w:right w:val="none" w:sz="0" w:space="0" w:color="auto"/>
      </w:divBdr>
    </w:div>
    <w:div w:id="179856398">
      <w:bodyDiv w:val="1"/>
      <w:marLeft w:val="0"/>
      <w:marRight w:val="0"/>
      <w:marTop w:val="0"/>
      <w:marBottom w:val="0"/>
      <w:divBdr>
        <w:top w:val="none" w:sz="0" w:space="0" w:color="auto"/>
        <w:left w:val="none" w:sz="0" w:space="0" w:color="auto"/>
        <w:bottom w:val="none" w:sz="0" w:space="0" w:color="auto"/>
        <w:right w:val="none" w:sz="0" w:space="0" w:color="auto"/>
      </w:divBdr>
    </w:div>
    <w:div w:id="224150553">
      <w:bodyDiv w:val="1"/>
      <w:marLeft w:val="0"/>
      <w:marRight w:val="0"/>
      <w:marTop w:val="0"/>
      <w:marBottom w:val="0"/>
      <w:divBdr>
        <w:top w:val="none" w:sz="0" w:space="0" w:color="auto"/>
        <w:left w:val="none" w:sz="0" w:space="0" w:color="auto"/>
        <w:bottom w:val="none" w:sz="0" w:space="0" w:color="auto"/>
        <w:right w:val="none" w:sz="0" w:space="0" w:color="auto"/>
      </w:divBdr>
    </w:div>
    <w:div w:id="261958770">
      <w:bodyDiv w:val="1"/>
      <w:marLeft w:val="0"/>
      <w:marRight w:val="0"/>
      <w:marTop w:val="0"/>
      <w:marBottom w:val="0"/>
      <w:divBdr>
        <w:top w:val="none" w:sz="0" w:space="0" w:color="auto"/>
        <w:left w:val="none" w:sz="0" w:space="0" w:color="auto"/>
        <w:bottom w:val="none" w:sz="0" w:space="0" w:color="auto"/>
        <w:right w:val="none" w:sz="0" w:space="0" w:color="auto"/>
      </w:divBdr>
    </w:div>
    <w:div w:id="269435305">
      <w:bodyDiv w:val="1"/>
      <w:marLeft w:val="0"/>
      <w:marRight w:val="0"/>
      <w:marTop w:val="0"/>
      <w:marBottom w:val="0"/>
      <w:divBdr>
        <w:top w:val="none" w:sz="0" w:space="0" w:color="auto"/>
        <w:left w:val="none" w:sz="0" w:space="0" w:color="auto"/>
        <w:bottom w:val="none" w:sz="0" w:space="0" w:color="auto"/>
        <w:right w:val="none" w:sz="0" w:space="0" w:color="auto"/>
      </w:divBdr>
    </w:div>
    <w:div w:id="322048200">
      <w:bodyDiv w:val="1"/>
      <w:marLeft w:val="0"/>
      <w:marRight w:val="0"/>
      <w:marTop w:val="0"/>
      <w:marBottom w:val="0"/>
      <w:divBdr>
        <w:top w:val="none" w:sz="0" w:space="0" w:color="auto"/>
        <w:left w:val="none" w:sz="0" w:space="0" w:color="auto"/>
        <w:bottom w:val="none" w:sz="0" w:space="0" w:color="auto"/>
        <w:right w:val="none" w:sz="0" w:space="0" w:color="auto"/>
      </w:divBdr>
    </w:div>
    <w:div w:id="326448500">
      <w:bodyDiv w:val="1"/>
      <w:marLeft w:val="0"/>
      <w:marRight w:val="0"/>
      <w:marTop w:val="0"/>
      <w:marBottom w:val="0"/>
      <w:divBdr>
        <w:top w:val="none" w:sz="0" w:space="0" w:color="auto"/>
        <w:left w:val="none" w:sz="0" w:space="0" w:color="auto"/>
        <w:bottom w:val="none" w:sz="0" w:space="0" w:color="auto"/>
        <w:right w:val="none" w:sz="0" w:space="0" w:color="auto"/>
      </w:divBdr>
      <w:divsChild>
        <w:div w:id="2063362297">
          <w:marLeft w:val="0"/>
          <w:marRight w:val="0"/>
          <w:marTop w:val="0"/>
          <w:marBottom w:val="0"/>
          <w:divBdr>
            <w:top w:val="none" w:sz="0" w:space="0" w:color="auto"/>
            <w:left w:val="none" w:sz="0" w:space="0" w:color="auto"/>
            <w:bottom w:val="none" w:sz="0" w:space="0" w:color="auto"/>
            <w:right w:val="none" w:sz="0" w:space="0" w:color="auto"/>
          </w:divBdr>
        </w:div>
        <w:div w:id="723873493">
          <w:marLeft w:val="0"/>
          <w:marRight w:val="0"/>
          <w:marTop w:val="0"/>
          <w:marBottom w:val="0"/>
          <w:divBdr>
            <w:top w:val="none" w:sz="0" w:space="0" w:color="auto"/>
            <w:left w:val="none" w:sz="0" w:space="0" w:color="auto"/>
            <w:bottom w:val="none" w:sz="0" w:space="0" w:color="auto"/>
            <w:right w:val="none" w:sz="0" w:space="0" w:color="auto"/>
          </w:divBdr>
          <w:divsChild>
            <w:div w:id="108819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112">
      <w:bodyDiv w:val="1"/>
      <w:marLeft w:val="0"/>
      <w:marRight w:val="0"/>
      <w:marTop w:val="0"/>
      <w:marBottom w:val="0"/>
      <w:divBdr>
        <w:top w:val="none" w:sz="0" w:space="0" w:color="auto"/>
        <w:left w:val="none" w:sz="0" w:space="0" w:color="auto"/>
        <w:bottom w:val="none" w:sz="0" w:space="0" w:color="auto"/>
        <w:right w:val="none" w:sz="0" w:space="0" w:color="auto"/>
      </w:divBdr>
    </w:div>
    <w:div w:id="452023369">
      <w:bodyDiv w:val="1"/>
      <w:marLeft w:val="0"/>
      <w:marRight w:val="0"/>
      <w:marTop w:val="0"/>
      <w:marBottom w:val="0"/>
      <w:divBdr>
        <w:top w:val="none" w:sz="0" w:space="0" w:color="auto"/>
        <w:left w:val="none" w:sz="0" w:space="0" w:color="auto"/>
        <w:bottom w:val="none" w:sz="0" w:space="0" w:color="auto"/>
        <w:right w:val="none" w:sz="0" w:space="0" w:color="auto"/>
      </w:divBdr>
    </w:div>
    <w:div w:id="48162462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4781294">
      <w:bodyDiv w:val="1"/>
      <w:marLeft w:val="0"/>
      <w:marRight w:val="0"/>
      <w:marTop w:val="0"/>
      <w:marBottom w:val="0"/>
      <w:divBdr>
        <w:top w:val="none" w:sz="0" w:space="0" w:color="auto"/>
        <w:left w:val="none" w:sz="0" w:space="0" w:color="auto"/>
        <w:bottom w:val="none" w:sz="0" w:space="0" w:color="auto"/>
        <w:right w:val="none" w:sz="0" w:space="0" w:color="auto"/>
      </w:divBdr>
    </w:div>
    <w:div w:id="547690416">
      <w:bodyDiv w:val="1"/>
      <w:marLeft w:val="0"/>
      <w:marRight w:val="0"/>
      <w:marTop w:val="0"/>
      <w:marBottom w:val="0"/>
      <w:divBdr>
        <w:top w:val="none" w:sz="0" w:space="0" w:color="auto"/>
        <w:left w:val="none" w:sz="0" w:space="0" w:color="auto"/>
        <w:bottom w:val="none" w:sz="0" w:space="0" w:color="auto"/>
        <w:right w:val="none" w:sz="0" w:space="0" w:color="auto"/>
      </w:divBdr>
    </w:div>
    <w:div w:id="664864657">
      <w:bodyDiv w:val="1"/>
      <w:marLeft w:val="0"/>
      <w:marRight w:val="0"/>
      <w:marTop w:val="0"/>
      <w:marBottom w:val="0"/>
      <w:divBdr>
        <w:top w:val="none" w:sz="0" w:space="0" w:color="auto"/>
        <w:left w:val="none" w:sz="0" w:space="0" w:color="auto"/>
        <w:bottom w:val="none" w:sz="0" w:space="0" w:color="auto"/>
        <w:right w:val="none" w:sz="0" w:space="0" w:color="auto"/>
      </w:divBdr>
    </w:div>
    <w:div w:id="665937350">
      <w:bodyDiv w:val="1"/>
      <w:marLeft w:val="0"/>
      <w:marRight w:val="0"/>
      <w:marTop w:val="0"/>
      <w:marBottom w:val="0"/>
      <w:divBdr>
        <w:top w:val="none" w:sz="0" w:space="0" w:color="auto"/>
        <w:left w:val="none" w:sz="0" w:space="0" w:color="auto"/>
        <w:bottom w:val="none" w:sz="0" w:space="0" w:color="auto"/>
        <w:right w:val="none" w:sz="0" w:space="0" w:color="auto"/>
      </w:divBdr>
    </w:div>
    <w:div w:id="800460702">
      <w:bodyDiv w:val="1"/>
      <w:marLeft w:val="0"/>
      <w:marRight w:val="0"/>
      <w:marTop w:val="0"/>
      <w:marBottom w:val="0"/>
      <w:divBdr>
        <w:top w:val="none" w:sz="0" w:space="0" w:color="auto"/>
        <w:left w:val="none" w:sz="0" w:space="0" w:color="auto"/>
        <w:bottom w:val="none" w:sz="0" w:space="0" w:color="auto"/>
        <w:right w:val="none" w:sz="0" w:space="0" w:color="auto"/>
      </w:divBdr>
    </w:div>
    <w:div w:id="808085210">
      <w:bodyDiv w:val="1"/>
      <w:marLeft w:val="0"/>
      <w:marRight w:val="0"/>
      <w:marTop w:val="0"/>
      <w:marBottom w:val="0"/>
      <w:divBdr>
        <w:top w:val="none" w:sz="0" w:space="0" w:color="auto"/>
        <w:left w:val="none" w:sz="0" w:space="0" w:color="auto"/>
        <w:bottom w:val="none" w:sz="0" w:space="0" w:color="auto"/>
        <w:right w:val="none" w:sz="0" w:space="0" w:color="auto"/>
      </w:divBdr>
    </w:div>
    <w:div w:id="861282509">
      <w:bodyDiv w:val="1"/>
      <w:marLeft w:val="0"/>
      <w:marRight w:val="0"/>
      <w:marTop w:val="0"/>
      <w:marBottom w:val="0"/>
      <w:divBdr>
        <w:top w:val="none" w:sz="0" w:space="0" w:color="auto"/>
        <w:left w:val="none" w:sz="0" w:space="0" w:color="auto"/>
        <w:bottom w:val="none" w:sz="0" w:space="0" w:color="auto"/>
        <w:right w:val="none" w:sz="0" w:space="0" w:color="auto"/>
      </w:divBdr>
    </w:div>
    <w:div w:id="876308125">
      <w:bodyDiv w:val="1"/>
      <w:marLeft w:val="0"/>
      <w:marRight w:val="0"/>
      <w:marTop w:val="0"/>
      <w:marBottom w:val="0"/>
      <w:divBdr>
        <w:top w:val="none" w:sz="0" w:space="0" w:color="auto"/>
        <w:left w:val="none" w:sz="0" w:space="0" w:color="auto"/>
        <w:bottom w:val="none" w:sz="0" w:space="0" w:color="auto"/>
        <w:right w:val="none" w:sz="0" w:space="0" w:color="auto"/>
      </w:divBdr>
    </w:div>
    <w:div w:id="962423199">
      <w:bodyDiv w:val="1"/>
      <w:marLeft w:val="0"/>
      <w:marRight w:val="0"/>
      <w:marTop w:val="0"/>
      <w:marBottom w:val="0"/>
      <w:divBdr>
        <w:top w:val="none" w:sz="0" w:space="0" w:color="auto"/>
        <w:left w:val="none" w:sz="0" w:space="0" w:color="auto"/>
        <w:bottom w:val="none" w:sz="0" w:space="0" w:color="auto"/>
        <w:right w:val="none" w:sz="0" w:space="0" w:color="auto"/>
      </w:divBdr>
    </w:div>
    <w:div w:id="1024672154">
      <w:bodyDiv w:val="1"/>
      <w:marLeft w:val="0"/>
      <w:marRight w:val="0"/>
      <w:marTop w:val="0"/>
      <w:marBottom w:val="0"/>
      <w:divBdr>
        <w:top w:val="none" w:sz="0" w:space="0" w:color="auto"/>
        <w:left w:val="none" w:sz="0" w:space="0" w:color="auto"/>
        <w:bottom w:val="none" w:sz="0" w:space="0" w:color="auto"/>
        <w:right w:val="none" w:sz="0" w:space="0" w:color="auto"/>
      </w:divBdr>
    </w:div>
    <w:div w:id="1026256356">
      <w:bodyDiv w:val="1"/>
      <w:marLeft w:val="0"/>
      <w:marRight w:val="0"/>
      <w:marTop w:val="0"/>
      <w:marBottom w:val="0"/>
      <w:divBdr>
        <w:top w:val="none" w:sz="0" w:space="0" w:color="auto"/>
        <w:left w:val="none" w:sz="0" w:space="0" w:color="auto"/>
        <w:bottom w:val="none" w:sz="0" w:space="0" w:color="auto"/>
        <w:right w:val="none" w:sz="0" w:space="0" w:color="auto"/>
      </w:divBdr>
    </w:div>
    <w:div w:id="112427638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661267">
      <w:bodyDiv w:val="1"/>
      <w:marLeft w:val="0"/>
      <w:marRight w:val="0"/>
      <w:marTop w:val="0"/>
      <w:marBottom w:val="0"/>
      <w:divBdr>
        <w:top w:val="none" w:sz="0" w:space="0" w:color="auto"/>
        <w:left w:val="none" w:sz="0" w:space="0" w:color="auto"/>
        <w:bottom w:val="none" w:sz="0" w:space="0" w:color="auto"/>
        <w:right w:val="none" w:sz="0" w:space="0" w:color="auto"/>
      </w:divBdr>
    </w:div>
    <w:div w:id="1317567834">
      <w:bodyDiv w:val="1"/>
      <w:marLeft w:val="0"/>
      <w:marRight w:val="0"/>
      <w:marTop w:val="0"/>
      <w:marBottom w:val="0"/>
      <w:divBdr>
        <w:top w:val="none" w:sz="0" w:space="0" w:color="auto"/>
        <w:left w:val="none" w:sz="0" w:space="0" w:color="auto"/>
        <w:bottom w:val="none" w:sz="0" w:space="0" w:color="auto"/>
        <w:right w:val="none" w:sz="0" w:space="0" w:color="auto"/>
      </w:divBdr>
    </w:div>
    <w:div w:id="1337269885">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8372">
      <w:bodyDiv w:val="1"/>
      <w:marLeft w:val="0"/>
      <w:marRight w:val="0"/>
      <w:marTop w:val="0"/>
      <w:marBottom w:val="0"/>
      <w:divBdr>
        <w:top w:val="none" w:sz="0" w:space="0" w:color="auto"/>
        <w:left w:val="none" w:sz="0" w:space="0" w:color="auto"/>
        <w:bottom w:val="none" w:sz="0" w:space="0" w:color="auto"/>
        <w:right w:val="none" w:sz="0" w:space="0" w:color="auto"/>
      </w:divBdr>
    </w:div>
    <w:div w:id="1493444195">
      <w:bodyDiv w:val="1"/>
      <w:marLeft w:val="0"/>
      <w:marRight w:val="0"/>
      <w:marTop w:val="0"/>
      <w:marBottom w:val="0"/>
      <w:divBdr>
        <w:top w:val="none" w:sz="0" w:space="0" w:color="auto"/>
        <w:left w:val="none" w:sz="0" w:space="0" w:color="auto"/>
        <w:bottom w:val="none" w:sz="0" w:space="0" w:color="auto"/>
        <w:right w:val="none" w:sz="0" w:space="0" w:color="auto"/>
      </w:divBdr>
    </w:div>
    <w:div w:id="1498108679">
      <w:bodyDiv w:val="1"/>
      <w:marLeft w:val="0"/>
      <w:marRight w:val="0"/>
      <w:marTop w:val="0"/>
      <w:marBottom w:val="0"/>
      <w:divBdr>
        <w:top w:val="none" w:sz="0" w:space="0" w:color="auto"/>
        <w:left w:val="none" w:sz="0" w:space="0" w:color="auto"/>
        <w:bottom w:val="none" w:sz="0" w:space="0" w:color="auto"/>
        <w:right w:val="none" w:sz="0" w:space="0" w:color="auto"/>
      </w:divBdr>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653094426">
      <w:bodyDiv w:val="1"/>
      <w:marLeft w:val="0"/>
      <w:marRight w:val="0"/>
      <w:marTop w:val="0"/>
      <w:marBottom w:val="0"/>
      <w:divBdr>
        <w:top w:val="none" w:sz="0" w:space="0" w:color="auto"/>
        <w:left w:val="none" w:sz="0" w:space="0" w:color="auto"/>
        <w:bottom w:val="none" w:sz="0" w:space="0" w:color="auto"/>
        <w:right w:val="none" w:sz="0" w:space="0" w:color="auto"/>
      </w:divBdr>
    </w:div>
    <w:div w:id="1692992026">
      <w:bodyDiv w:val="1"/>
      <w:marLeft w:val="0"/>
      <w:marRight w:val="0"/>
      <w:marTop w:val="0"/>
      <w:marBottom w:val="0"/>
      <w:divBdr>
        <w:top w:val="none" w:sz="0" w:space="0" w:color="auto"/>
        <w:left w:val="none" w:sz="0" w:space="0" w:color="auto"/>
        <w:bottom w:val="none" w:sz="0" w:space="0" w:color="auto"/>
        <w:right w:val="none" w:sz="0" w:space="0" w:color="auto"/>
      </w:divBdr>
    </w:div>
    <w:div w:id="1718822144">
      <w:bodyDiv w:val="1"/>
      <w:marLeft w:val="0"/>
      <w:marRight w:val="0"/>
      <w:marTop w:val="0"/>
      <w:marBottom w:val="0"/>
      <w:divBdr>
        <w:top w:val="none" w:sz="0" w:space="0" w:color="auto"/>
        <w:left w:val="none" w:sz="0" w:space="0" w:color="auto"/>
        <w:bottom w:val="none" w:sz="0" w:space="0" w:color="auto"/>
        <w:right w:val="none" w:sz="0" w:space="0" w:color="auto"/>
      </w:divBdr>
      <w:divsChild>
        <w:div w:id="1502311991">
          <w:marLeft w:val="0"/>
          <w:marRight w:val="0"/>
          <w:marTop w:val="0"/>
          <w:marBottom w:val="0"/>
          <w:divBdr>
            <w:top w:val="none" w:sz="0" w:space="0" w:color="auto"/>
            <w:left w:val="none" w:sz="0" w:space="0" w:color="auto"/>
            <w:bottom w:val="none" w:sz="0" w:space="0" w:color="auto"/>
            <w:right w:val="none" w:sz="0" w:space="0" w:color="auto"/>
          </w:divBdr>
          <w:divsChild>
            <w:div w:id="79639244">
              <w:marLeft w:val="0"/>
              <w:marRight w:val="0"/>
              <w:marTop w:val="0"/>
              <w:marBottom w:val="0"/>
              <w:divBdr>
                <w:top w:val="none" w:sz="0" w:space="0" w:color="auto"/>
                <w:left w:val="none" w:sz="0" w:space="0" w:color="auto"/>
                <w:bottom w:val="none" w:sz="0" w:space="0" w:color="auto"/>
                <w:right w:val="none" w:sz="0" w:space="0" w:color="auto"/>
              </w:divBdr>
            </w:div>
          </w:divsChild>
        </w:div>
        <w:div w:id="1741244794">
          <w:marLeft w:val="0"/>
          <w:marRight w:val="0"/>
          <w:marTop w:val="0"/>
          <w:marBottom w:val="0"/>
          <w:divBdr>
            <w:top w:val="none" w:sz="0" w:space="0" w:color="auto"/>
            <w:left w:val="none" w:sz="0" w:space="0" w:color="auto"/>
            <w:bottom w:val="none" w:sz="0" w:space="0" w:color="auto"/>
            <w:right w:val="none" w:sz="0" w:space="0" w:color="auto"/>
          </w:divBdr>
          <w:divsChild>
            <w:div w:id="10172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349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796295668">
      <w:bodyDiv w:val="1"/>
      <w:marLeft w:val="0"/>
      <w:marRight w:val="0"/>
      <w:marTop w:val="0"/>
      <w:marBottom w:val="0"/>
      <w:divBdr>
        <w:top w:val="none" w:sz="0" w:space="0" w:color="auto"/>
        <w:left w:val="none" w:sz="0" w:space="0" w:color="auto"/>
        <w:bottom w:val="none" w:sz="0" w:space="0" w:color="auto"/>
        <w:right w:val="none" w:sz="0" w:space="0" w:color="auto"/>
      </w:divBdr>
    </w:div>
    <w:div w:id="1975136053">
      <w:bodyDiv w:val="1"/>
      <w:marLeft w:val="0"/>
      <w:marRight w:val="0"/>
      <w:marTop w:val="0"/>
      <w:marBottom w:val="0"/>
      <w:divBdr>
        <w:top w:val="none" w:sz="0" w:space="0" w:color="auto"/>
        <w:left w:val="none" w:sz="0" w:space="0" w:color="auto"/>
        <w:bottom w:val="none" w:sz="0" w:space="0" w:color="auto"/>
        <w:right w:val="none" w:sz="0" w:space="0" w:color="auto"/>
      </w:divBdr>
    </w:div>
    <w:div w:id="1980986846">
      <w:bodyDiv w:val="1"/>
      <w:marLeft w:val="0"/>
      <w:marRight w:val="0"/>
      <w:marTop w:val="0"/>
      <w:marBottom w:val="0"/>
      <w:divBdr>
        <w:top w:val="none" w:sz="0" w:space="0" w:color="auto"/>
        <w:left w:val="none" w:sz="0" w:space="0" w:color="auto"/>
        <w:bottom w:val="none" w:sz="0" w:space="0" w:color="auto"/>
        <w:right w:val="none" w:sz="0" w:space="0" w:color="auto"/>
      </w:divBdr>
    </w:div>
    <w:div w:id="2058502781">
      <w:bodyDiv w:val="1"/>
      <w:marLeft w:val="0"/>
      <w:marRight w:val="0"/>
      <w:marTop w:val="0"/>
      <w:marBottom w:val="0"/>
      <w:divBdr>
        <w:top w:val="none" w:sz="0" w:space="0" w:color="auto"/>
        <w:left w:val="none" w:sz="0" w:space="0" w:color="auto"/>
        <w:bottom w:val="none" w:sz="0" w:space="0" w:color="auto"/>
        <w:right w:val="none" w:sz="0" w:space="0" w:color="auto"/>
      </w:divBdr>
    </w:div>
    <w:div w:id="2068458247">
      <w:bodyDiv w:val="1"/>
      <w:marLeft w:val="0"/>
      <w:marRight w:val="0"/>
      <w:marTop w:val="0"/>
      <w:marBottom w:val="0"/>
      <w:divBdr>
        <w:top w:val="none" w:sz="0" w:space="0" w:color="auto"/>
        <w:left w:val="none" w:sz="0" w:space="0" w:color="auto"/>
        <w:bottom w:val="none" w:sz="0" w:space="0" w:color="auto"/>
        <w:right w:val="none" w:sz="0" w:space="0" w:color="auto"/>
      </w:divBdr>
    </w:div>
    <w:div w:id="2096856227">
      <w:bodyDiv w:val="1"/>
      <w:marLeft w:val="0"/>
      <w:marRight w:val="0"/>
      <w:marTop w:val="0"/>
      <w:marBottom w:val="0"/>
      <w:divBdr>
        <w:top w:val="none" w:sz="0" w:space="0" w:color="auto"/>
        <w:left w:val="none" w:sz="0" w:space="0" w:color="auto"/>
        <w:bottom w:val="none" w:sz="0" w:space="0" w:color="auto"/>
        <w:right w:val="none" w:sz="0" w:space="0" w:color="auto"/>
      </w:divBdr>
    </w:div>
    <w:div w:id="2112163061">
      <w:bodyDiv w:val="1"/>
      <w:marLeft w:val="0"/>
      <w:marRight w:val="0"/>
      <w:marTop w:val="0"/>
      <w:marBottom w:val="0"/>
      <w:divBdr>
        <w:top w:val="none" w:sz="0" w:space="0" w:color="auto"/>
        <w:left w:val="none" w:sz="0" w:space="0" w:color="auto"/>
        <w:bottom w:val="none" w:sz="0" w:space="0" w:color="auto"/>
        <w:right w:val="none" w:sz="0" w:space="0" w:color="auto"/>
      </w:divBdr>
    </w:div>
    <w:div w:id="21173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obrga4toltqmfyc4njwhe4tonzwgm&amp;refSource=hy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kobrga4toltqmfyc4njwhe4tonjxge&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kobrga4toltqmfyc4njwhe4tonzzgm&amp;refSource=hy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10273</Words>
  <Characters>61644</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2025-02-14T10:14:00Z</cp:lastPrinted>
  <dcterms:created xsi:type="dcterms:W3CDTF">2025-04-23T07:18:00Z</dcterms:created>
  <dcterms:modified xsi:type="dcterms:W3CDTF">2025-04-23T07:18:00Z</dcterms:modified>
</cp:coreProperties>
</file>