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94043980"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43087513"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380D99" w:rsidRPr="001E67FD">
        <w:rPr>
          <w:rFonts w:eastAsia="Lucida Sans Unicode" w:cstheme="minorHAnsi"/>
          <w:bCs/>
          <w:kern w:val="28"/>
          <w:sz w:val="24"/>
          <w:szCs w:val="24"/>
        </w:rPr>
        <w:t>19.2024.AZ.12</w:t>
      </w:r>
    </w:p>
    <w:p w14:paraId="633219AB" w14:textId="41D86FB1"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380D99" w:rsidRPr="001E67FD">
        <w:rPr>
          <w:rFonts w:eastAsia="Lucida Sans Unicode" w:cstheme="minorHAnsi"/>
          <w:bCs/>
          <w:kern w:val="28"/>
          <w:sz w:val="24"/>
          <w:szCs w:val="24"/>
        </w:rPr>
        <w:t>25 listopada 2024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0C25C95B" w14:textId="28983970" w:rsidR="00380D99" w:rsidRPr="00380D99" w:rsidRDefault="00380D99" w:rsidP="00380D99">
      <w:pPr>
        <w:spacing w:after="100" w:afterAutospacing="1" w:line="360" w:lineRule="auto"/>
        <w:rPr>
          <w:bCs/>
          <w:sz w:val="24"/>
          <w:szCs w:val="24"/>
          <w:lang w:eastAsia="zh-CN" w:bidi="hi-IN"/>
        </w:rPr>
      </w:pPr>
      <w:r w:rsidRPr="00380D99">
        <w:rPr>
          <w:sz w:val="24"/>
          <w:szCs w:val="24"/>
          <w:lang w:eastAsia="zh-CN" w:bidi="hi-IN"/>
        </w:rPr>
        <w:t xml:space="preserve">Na podstawie art. 71 ust. 2 pkt 2, art. 75 ust. 1 pkt 1c, art. 84 i art. 85 ust. 1 ustawy z dnia 3 października 2008 r. o udostępnianiu informacji o środowisku i jego ochronie, udziale społeczeństwa w ochronie środowiska oraz o ocenach oddziaływania na środowisko (Dz. U. z 2024 r. poz. 1112) oraz § 3 ust. 1 pkt 68 rozporządzenia Rady Ministrów z dnia 10 września 2019 r. w sprawie przedsięwzięć mogących znacząco oddziaływać na środowisko (Dz. U. </w:t>
      </w:r>
      <w:r w:rsidRPr="00380D99">
        <w:rPr>
          <w:sz w:val="24"/>
          <w:szCs w:val="24"/>
          <w:lang w:eastAsia="zh-CN" w:bidi="hi-IN"/>
        </w:rPr>
        <w:br/>
        <w:t xml:space="preserve">z 2019 r. poz. 1839, z późn. zm.), w związku z art. 104 ustawy z dnia 14 czerwca 1960 r. Kodeks postępowania administracyjnego (Dz. U. z 2024 r. poz. 572), po rozpatrzeniu wniosku złożonego przez </w:t>
      </w:r>
      <w:bookmarkStart w:id="1" w:name="_Hlk131072685"/>
      <w:r w:rsidRPr="00380D99">
        <w:rPr>
          <w:sz w:val="24"/>
          <w:szCs w:val="24"/>
          <w:lang w:eastAsia="zh-CN" w:bidi="hi-IN"/>
        </w:rPr>
        <w:t xml:space="preserve">Dyrektora Urzędu Morskiego w Gdyni, a także po zasięgnięciu opinii </w:t>
      </w:r>
      <w:bookmarkStart w:id="2" w:name="_Hlk179797491"/>
      <w:r w:rsidRPr="00380D99">
        <w:rPr>
          <w:iCs/>
          <w:sz w:val="24"/>
          <w:szCs w:val="24"/>
          <w:lang w:eastAsia="zh-CN" w:bidi="hi-IN"/>
        </w:rPr>
        <w:t>Dyrektor Regionalnego Zarządu Gospodarki Wodnej w Gdańsku</w:t>
      </w:r>
      <w:r w:rsidRPr="00380D99">
        <w:rPr>
          <w:bCs/>
          <w:sz w:val="24"/>
          <w:szCs w:val="24"/>
          <w:lang w:eastAsia="zh-CN" w:bidi="hi-IN"/>
        </w:rPr>
        <w:t xml:space="preserve"> </w:t>
      </w:r>
      <w:bookmarkEnd w:id="2"/>
      <w:r w:rsidRPr="00380D99">
        <w:rPr>
          <w:bCs/>
          <w:sz w:val="24"/>
          <w:szCs w:val="24"/>
          <w:lang w:eastAsia="zh-CN" w:bidi="hi-IN"/>
        </w:rPr>
        <w:t>(opinia</w:t>
      </w:r>
      <w:r>
        <w:rPr>
          <w:bCs/>
          <w:sz w:val="24"/>
          <w:szCs w:val="24"/>
          <w:lang w:eastAsia="zh-CN" w:bidi="hi-IN"/>
        </w:rPr>
        <w:t xml:space="preserve"> </w:t>
      </w:r>
      <w:r w:rsidRPr="00380D99">
        <w:rPr>
          <w:bCs/>
          <w:sz w:val="24"/>
          <w:szCs w:val="24"/>
          <w:lang w:eastAsia="zh-CN" w:bidi="hi-IN"/>
        </w:rPr>
        <w:t xml:space="preserve">z 2 października 2024 r., znak: GD.RZŚ.4901.65.2024.MBC.1), Państwowego Granicznego Inspektora Sanitarnego w Elblągu (opinia sanitarna z 1 października 2024 r., znak: ZNS.4316.2.2022), Dyrektora Urzędu Morskiego w Gdyni </w:t>
      </w:r>
      <w:bookmarkEnd w:id="1"/>
      <w:r w:rsidRPr="00380D99">
        <w:rPr>
          <w:bCs/>
          <w:sz w:val="24"/>
          <w:szCs w:val="24"/>
          <w:lang w:eastAsia="zh-CN" w:bidi="hi-IN"/>
        </w:rPr>
        <w:t>(postanowienie z 7 października 2024 r., znak: INZ.9202.126.202.AD)</w:t>
      </w:r>
    </w:p>
    <w:p w14:paraId="7FA60CD8" w14:textId="77777777" w:rsidR="00AA7C36" w:rsidRPr="00AA7C36" w:rsidRDefault="00AA7C36" w:rsidP="00463EB7">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orzekam</w:t>
      </w:r>
    </w:p>
    <w:p w14:paraId="0B79EAAC" w14:textId="77777777" w:rsidR="00380D99" w:rsidRDefault="00380D99" w:rsidP="00380D99">
      <w:pPr>
        <w:pStyle w:val="Akapitzlist"/>
        <w:numPr>
          <w:ilvl w:val="0"/>
          <w:numId w:val="14"/>
        </w:numPr>
        <w:spacing w:after="0" w:line="360" w:lineRule="auto"/>
        <w:rPr>
          <w:sz w:val="24"/>
          <w:szCs w:val="24"/>
        </w:rPr>
      </w:pPr>
      <w:r w:rsidRPr="00380D99">
        <w:rPr>
          <w:sz w:val="24"/>
          <w:szCs w:val="24"/>
        </w:rPr>
        <w:t>Brak potrzeby przeprowadzenia oceny oddziaływania na środowisko dla przedsięwzięcia pn. Tor wodny na rzece Elbląg na odcinku P2 - Port;</w:t>
      </w:r>
    </w:p>
    <w:p w14:paraId="0226F2EC" w14:textId="5CD5A724" w:rsidR="00380D99" w:rsidRDefault="00380D99" w:rsidP="00380D99">
      <w:pPr>
        <w:pStyle w:val="Akapitzlist"/>
        <w:numPr>
          <w:ilvl w:val="0"/>
          <w:numId w:val="14"/>
        </w:numPr>
        <w:spacing w:after="0" w:line="360" w:lineRule="auto"/>
        <w:rPr>
          <w:sz w:val="24"/>
          <w:szCs w:val="24"/>
        </w:rPr>
      </w:pPr>
      <w:r w:rsidRPr="00380D99">
        <w:rPr>
          <w:sz w:val="24"/>
          <w:szCs w:val="24"/>
        </w:rPr>
        <w:t>Na etapie realizacji i eksploatacji przedsięwzięcia wskazuję na konieczność podjęcia następujących działań:</w:t>
      </w:r>
    </w:p>
    <w:p w14:paraId="4D1E4D98" w14:textId="77777777" w:rsidR="00380D99" w:rsidRDefault="00380D99" w:rsidP="00380D99">
      <w:pPr>
        <w:pStyle w:val="Akapitzlist"/>
        <w:numPr>
          <w:ilvl w:val="0"/>
          <w:numId w:val="15"/>
        </w:numPr>
        <w:spacing w:after="0" w:line="360" w:lineRule="auto"/>
        <w:rPr>
          <w:sz w:val="24"/>
          <w:szCs w:val="24"/>
        </w:rPr>
      </w:pPr>
      <w:r w:rsidRPr="00380D99">
        <w:rPr>
          <w:sz w:val="24"/>
          <w:szCs w:val="24"/>
        </w:rPr>
        <w:t>Roboty czerpalne należy prowadzić z wyłączeniem okresu tarła, który</w:t>
      </w:r>
      <w:r>
        <w:rPr>
          <w:sz w:val="24"/>
          <w:szCs w:val="24"/>
        </w:rPr>
        <w:t xml:space="preserve"> </w:t>
      </w:r>
      <w:r w:rsidRPr="00380D99">
        <w:rPr>
          <w:sz w:val="24"/>
          <w:szCs w:val="24"/>
        </w:rPr>
        <w:t>przypada na okres od 1 kwietnia do 15 czerwca, ze względu na tarło ciosy oraz możliwości ewentualnego występowania kozy i różanki.</w:t>
      </w:r>
    </w:p>
    <w:p w14:paraId="24EB752B" w14:textId="77777777" w:rsidR="00380D99" w:rsidRDefault="00380D99" w:rsidP="00380D99">
      <w:pPr>
        <w:pStyle w:val="Akapitzlist"/>
        <w:numPr>
          <w:ilvl w:val="0"/>
          <w:numId w:val="15"/>
        </w:numPr>
        <w:spacing w:after="0" w:line="360" w:lineRule="auto"/>
        <w:rPr>
          <w:sz w:val="24"/>
          <w:szCs w:val="24"/>
        </w:rPr>
      </w:pPr>
      <w:r w:rsidRPr="00380D99">
        <w:rPr>
          <w:sz w:val="24"/>
          <w:szCs w:val="24"/>
        </w:rPr>
        <w:lastRenderedPageBreak/>
        <w:t>Ewentualne prace związane z usuwaniem trzciny prowadzić poza sezonem ptaków oraz sezonem tarła ryb, tj. z wyłączeniem terminów od 1 marca do 31 sierpnia.</w:t>
      </w:r>
    </w:p>
    <w:p w14:paraId="05F5678C" w14:textId="77777777" w:rsidR="00380D99" w:rsidRDefault="00380D99" w:rsidP="00380D99">
      <w:pPr>
        <w:pStyle w:val="Akapitzlist"/>
        <w:numPr>
          <w:ilvl w:val="0"/>
          <w:numId w:val="15"/>
        </w:numPr>
        <w:spacing w:after="0" w:line="360" w:lineRule="auto"/>
        <w:rPr>
          <w:sz w:val="24"/>
          <w:szCs w:val="24"/>
        </w:rPr>
      </w:pPr>
      <w:r w:rsidRPr="00380D99">
        <w:rPr>
          <w:sz w:val="24"/>
          <w:szCs w:val="24"/>
        </w:rPr>
        <w:t>W okresie migracji zstępującej węgorza tj. od 1 września do 30 listopada, prace czerpalne prowadzić wyłącznie w ciągu jasnej części doby, tj. od wschodu do zachodu słońca.</w:t>
      </w:r>
    </w:p>
    <w:p w14:paraId="2A90B193" w14:textId="5CFB75C1" w:rsidR="00380D99" w:rsidRDefault="00380D99" w:rsidP="00380D99">
      <w:pPr>
        <w:pStyle w:val="Akapitzlist"/>
        <w:numPr>
          <w:ilvl w:val="0"/>
          <w:numId w:val="15"/>
        </w:numPr>
        <w:spacing w:after="0" w:line="360" w:lineRule="auto"/>
        <w:rPr>
          <w:sz w:val="24"/>
          <w:szCs w:val="24"/>
        </w:rPr>
      </w:pPr>
      <w:r w:rsidRPr="00380D99">
        <w:rPr>
          <w:sz w:val="24"/>
          <w:szCs w:val="24"/>
        </w:rPr>
        <w:t>Usunięcie drzew, krzewów i szuwaru na cyplu w rozwidleniu rzeki Elbląg i Kanału Jagiellońskiego, związane z wykonaniem obrotnicy wykonać w okresie od 16 października do 28/29 lutego ze względu na okres lęgowy ptaków</w:t>
      </w:r>
      <w:r w:rsidR="006C552A">
        <w:rPr>
          <w:sz w:val="24"/>
          <w:szCs w:val="24"/>
        </w:rPr>
        <w:t>.</w:t>
      </w:r>
    </w:p>
    <w:p w14:paraId="0647D841" w14:textId="77777777" w:rsidR="00380D99" w:rsidRDefault="00380D99" w:rsidP="00380D99">
      <w:pPr>
        <w:pStyle w:val="Akapitzlist"/>
        <w:numPr>
          <w:ilvl w:val="0"/>
          <w:numId w:val="15"/>
        </w:numPr>
        <w:spacing w:after="0" w:line="360" w:lineRule="auto"/>
        <w:rPr>
          <w:sz w:val="24"/>
          <w:szCs w:val="24"/>
        </w:rPr>
      </w:pPr>
      <w:r w:rsidRPr="00380D99">
        <w:rPr>
          <w:sz w:val="24"/>
          <w:szCs w:val="24"/>
        </w:rPr>
        <w:t>W okresie trwania zjawiska cofki ani w czasie występowania lodu nie prowadzić prac czerpalnych.</w:t>
      </w:r>
    </w:p>
    <w:p w14:paraId="442779ED" w14:textId="77777777" w:rsidR="00380D99" w:rsidRDefault="00380D99" w:rsidP="00380D99">
      <w:pPr>
        <w:pStyle w:val="Akapitzlist"/>
        <w:numPr>
          <w:ilvl w:val="0"/>
          <w:numId w:val="15"/>
        </w:numPr>
        <w:spacing w:after="0" w:line="360" w:lineRule="auto"/>
        <w:rPr>
          <w:sz w:val="24"/>
          <w:szCs w:val="24"/>
        </w:rPr>
      </w:pPr>
      <w:r w:rsidRPr="00380D99">
        <w:rPr>
          <w:sz w:val="24"/>
          <w:szCs w:val="24"/>
        </w:rPr>
        <w:t>Urobek z prac czerpalnych transportować za pomocą barek/szaland i przepompowywać szczelnym rurociągiem przy użyciu pomp na sztuczną wyspę znajdującą się na Zalewie Wiślanym lub zagospodarować w inny sposób w przypadku gdy będzie on zanieczyszczony.</w:t>
      </w:r>
    </w:p>
    <w:p w14:paraId="0C9620D3" w14:textId="77777777" w:rsidR="00380D99" w:rsidRDefault="00380D99" w:rsidP="00380D99">
      <w:pPr>
        <w:pStyle w:val="Akapitzlist"/>
        <w:numPr>
          <w:ilvl w:val="0"/>
          <w:numId w:val="15"/>
        </w:numPr>
        <w:spacing w:after="0" w:line="360" w:lineRule="auto"/>
        <w:rPr>
          <w:sz w:val="24"/>
          <w:szCs w:val="24"/>
        </w:rPr>
      </w:pPr>
      <w:r w:rsidRPr="00380D99">
        <w:rPr>
          <w:sz w:val="24"/>
          <w:szCs w:val="24"/>
        </w:rPr>
        <w:t>W ramach przewidywanych prac nie umacniać brzegów.</w:t>
      </w:r>
    </w:p>
    <w:p w14:paraId="06B0FEDB" w14:textId="77777777" w:rsidR="00380D99" w:rsidRDefault="00380D99" w:rsidP="00380D99">
      <w:pPr>
        <w:pStyle w:val="Akapitzlist"/>
        <w:numPr>
          <w:ilvl w:val="0"/>
          <w:numId w:val="15"/>
        </w:numPr>
        <w:spacing w:after="0" w:line="360" w:lineRule="auto"/>
        <w:rPr>
          <w:sz w:val="24"/>
          <w:szCs w:val="24"/>
        </w:rPr>
      </w:pPr>
      <w:r w:rsidRPr="00380D99">
        <w:rPr>
          <w:sz w:val="24"/>
          <w:szCs w:val="24"/>
        </w:rPr>
        <w:t>Prace czerpalne prowadzić z wody za pomocą pogłębiarki chwytakowo-podsiębiernej ze szczelnymi chwytakami wraz z szalandą płaskodenną transportującą urobek na miejsce odkładu lub pogłębiarki ssąco-refulacyjnej z zastosowaniem szczelnych przesłon.</w:t>
      </w:r>
    </w:p>
    <w:p w14:paraId="1038B7E8" w14:textId="461E66D0" w:rsidR="00380D99" w:rsidRDefault="00380D99" w:rsidP="00380D99">
      <w:pPr>
        <w:pStyle w:val="Akapitzlist"/>
        <w:numPr>
          <w:ilvl w:val="0"/>
          <w:numId w:val="15"/>
        </w:numPr>
        <w:spacing w:after="0" w:line="360" w:lineRule="auto"/>
        <w:rPr>
          <w:sz w:val="24"/>
          <w:szCs w:val="24"/>
        </w:rPr>
      </w:pPr>
      <w:r w:rsidRPr="00380D99">
        <w:rPr>
          <w:sz w:val="24"/>
          <w:szCs w:val="24"/>
        </w:rPr>
        <w:t>W czasie realizacji prac czerpalnych używać sprzęt oraz maszyny i środki transportu w dobrym stanie technicznym, w celu niedopuszczenia do niekontrolowanych wycieków substancji ropopochodnych z maszyn  i</w:t>
      </w:r>
      <w:r w:rsidR="00DF5721">
        <w:rPr>
          <w:sz w:val="24"/>
          <w:szCs w:val="24"/>
        </w:rPr>
        <w:t xml:space="preserve"> </w:t>
      </w:r>
      <w:r w:rsidRPr="00380D99">
        <w:rPr>
          <w:sz w:val="24"/>
          <w:szCs w:val="24"/>
        </w:rPr>
        <w:t>urządzeń;</w:t>
      </w:r>
    </w:p>
    <w:p w14:paraId="4A9E1D86" w14:textId="77777777" w:rsidR="00380D99" w:rsidRDefault="00380D99" w:rsidP="00380D99">
      <w:pPr>
        <w:pStyle w:val="Akapitzlist"/>
        <w:numPr>
          <w:ilvl w:val="0"/>
          <w:numId w:val="15"/>
        </w:numPr>
        <w:spacing w:after="0" w:line="360" w:lineRule="auto"/>
        <w:rPr>
          <w:sz w:val="24"/>
          <w:szCs w:val="24"/>
        </w:rPr>
      </w:pPr>
      <w:r w:rsidRPr="00380D99">
        <w:rPr>
          <w:sz w:val="24"/>
          <w:szCs w:val="24"/>
        </w:rPr>
        <w:t>Jednostki pływające wyposażyć w sorbenty lub inne środki do zwalczania skutków incydentalnych wycieków substancji ropopochodnych (np. pływające zapory sorpcyjne, maty chłonne).</w:t>
      </w:r>
    </w:p>
    <w:p w14:paraId="30F3523B" w14:textId="43024F04" w:rsidR="00380D99" w:rsidRPr="00380D99" w:rsidRDefault="00380D99" w:rsidP="00380D99">
      <w:pPr>
        <w:pStyle w:val="Akapitzlist"/>
        <w:numPr>
          <w:ilvl w:val="0"/>
          <w:numId w:val="15"/>
        </w:numPr>
        <w:spacing w:after="0" w:line="360" w:lineRule="auto"/>
        <w:rPr>
          <w:sz w:val="24"/>
          <w:szCs w:val="24"/>
        </w:rPr>
      </w:pPr>
      <w:r w:rsidRPr="00380D99">
        <w:rPr>
          <w:sz w:val="24"/>
          <w:szCs w:val="24"/>
        </w:rPr>
        <w:t>Minimalizować zmętnienie wody podczas prowadzenia robót pogłębiarskich.</w:t>
      </w:r>
    </w:p>
    <w:p w14:paraId="077312AC" w14:textId="3A79C085" w:rsidR="00380D99" w:rsidRPr="00DF5721" w:rsidRDefault="00380D99" w:rsidP="00DF5721">
      <w:pPr>
        <w:pStyle w:val="Akapitzlist"/>
        <w:numPr>
          <w:ilvl w:val="0"/>
          <w:numId w:val="14"/>
        </w:numPr>
        <w:spacing w:after="100" w:afterAutospacing="1" w:line="360" w:lineRule="auto"/>
        <w:ind w:left="1077"/>
        <w:rPr>
          <w:sz w:val="24"/>
          <w:szCs w:val="24"/>
        </w:rPr>
      </w:pPr>
      <w:r w:rsidRPr="00380D99">
        <w:rPr>
          <w:sz w:val="24"/>
          <w:szCs w:val="24"/>
        </w:rPr>
        <w:t>Charakterystyka przedsięwzięcia stanowi załącznik do niniejszej decyzji.</w:t>
      </w:r>
    </w:p>
    <w:p w14:paraId="73758174"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lastRenderedPageBreak/>
        <w:t>Uzasadnienie</w:t>
      </w:r>
    </w:p>
    <w:p w14:paraId="29108C60"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Przedmiotowa inwestycja pn. Tor wodny na rzece Elbląg na odcinku P2 - Port, zgodnie </w:t>
      </w:r>
      <w:r w:rsidRPr="002C59D4">
        <w:rPr>
          <w:rFonts w:cstheme="minorHAnsi"/>
          <w:sz w:val="24"/>
          <w:szCs w:val="24"/>
          <w:lang w:eastAsia="zh-CN"/>
        </w:rPr>
        <w:br/>
        <w:t xml:space="preserve">z § 3 ust. 1 pkt 68 rozporządzenia Rady Ministrów z dnia 10 września 2019 r. w sprawie przedsięwzięć mogących znacząco oddziaływać na środowisko (Dz. U. z 2019 r. poz. 1839, </w:t>
      </w:r>
      <w:r w:rsidRPr="002C59D4">
        <w:rPr>
          <w:rFonts w:cstheme="minorHAnsi"/>
          <w:sz w:val="24"/>
          <w:szCs w:val="24"/>
          <w:lang w:eastAsia="zh-CN"/>
        </w:rPr>
        <w:br/>
        <w:t>z późn. zm.), kwalifikuje się do przedsięwzięć mogących zawsze znacząco oddziaływać na środowisko, tj. kanalizacja wód rozumiana jako zagospodarowanie wód umożliwiające ich wykorzystanie do celów żeglugowych.</w:t>
      </w:r>
    </w:p>
    <w:p w14:paraId="7AE6042E" w14:textId="4DB3681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Zgodnie z art. 71 ust. 2 pkt 2 ustawy z dnia 3 października 2008 r. o udostępnianiu informacji o środowisku i jego ochronie, udziale społeczeństwa w ochronie środowiska oraz o ocenach oddziaływania na środowisko (Dz. U. z 2024 r. poz. 1112) - zwanej dalej ustawą ooś dla planowanych przedsięwzięć mogących potencjalnie znacząco oddziaływać na środowisko wymagane jest uzyskanie decyzji o środowiskowych uwarunkowaniach. </w:t>
      </w:r>
    </w:p>
    <w:p w14:paraId="653B5996"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W myśl art. 75 ust. 1 pkt 1 lit. c ustawy ooś, organem właściwym do wydania decyzji                                  o środowiskowych uwarunkowaniach dla przedsięwzięć realizowanych na obszarach morskich jest regionalny dyrektor ochrony środowiska.</w:t>
      </w:r>
    </w:p>
    <w:p w14:paraId="30E8B984"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W związku z powyższym inwestor, tj. Dyrektor Urzędu Morskiego w Gdyni, wystąpił do Regionalnego Dyrektora Ochrony w Olsztynie wnioskiem z 28 sierpnia 2022 r., znak: OIŚ.2271.1.22.2024.PK (data wpływu 30.08.2024 r.) o wydanie decyzji o środowiskowych uwarunkowaniach dla przedsięwzięcia pn. Tor wodny na rzece Elbląg na odcinku P2 - Port. Do wniosku dołączono m.in. kartę informacyjną przedsięwzięcia wraz z załącznikami (w formie papierowe i elektronicznej). </w:t>
      </w:r>
    </w:p>
    <w:p w14:paraId="6B21D79D" w14:textId="685CDA4D"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O wszczęciu postępowania administracyjnego w przedmiocie wydania decyzji o środowiskowych uwarunkowaniach dla ww. przedsięwzięcia, strony zostały poinformowane zawiadomieniem z 13 września 2024 r., znak: WOOŚ.420.19.2024.AZ.2 oraz stosownie do art. 49 Kpa, w związku z art. 74 ust. 3 ustawy ooś w sposób zwyczajowo przyjęty - obwieszczeniem z 13 września 2024 r., znak: </w:t>
      </w:r>
      <w:bookmarkStart w:id="3" w:name="_Hlk103247727"/>
      <w:r w:rsidRPr="002C59D4">
        <w:rPr>
          <w:rFonts w:cstheme="minorHAnsi"/>
          <w:sz w:val="24"/>
          <w:szCs w:val="24"/>
          <w:lang w:eastAsia="zh-CN"/>
        </w:rPr>
        <w:t>WOOŚ.420.</w:t>
      </w:r>
      <w:bookmarkEnd w:id="3"/>
      <w:r w:rsidRPr="002C59D4">
        <w:rPr>
          <w:rFonts w:cstheme="minorHAnsi"/>
          <w:sz w:val="24"/>
          <w:szCs w:val="24"/>
          <w:lang w:eastAsia="zh-CN"/>
        </w:rPr>
        <w:t xml:space="preserve">19.2024.AZ.6, umieszczonym: na tablicy ogłoszeń i stronie Biuletynu Informacji Publicznej Regionalnej Dyrekcji Ochrony Środowiska w Olsztynie. Ponadto, Regionalny Dyrektor Ochrony Środowiska w Olsztynie pismem z 13 września 2024 r., znak: WOOŚ.420.19.2024.AZ.7 zgodnie z art. 74 ust. 3aa ustawy ooś powiadomił Organy Gminy właściwej ze względu na obszar realizacji inwestycji i jej oddziaływania, tj. Wójta Gminy Elbląg oraz Prezydenta Elbląga  o ww. czynnościach.  Zgodnie z ww. art. 74 ust. 3aa ustawy ooś „(…) Wójt, burmistrz lub prezydent </w:t>
      </w:r>
      <w:r w:rsidRPr="002C59D4">
        <w:rPr>
          <w:rFonts w:cstheme="minorHAnsi"/>
          <w:sz w:val="24"/>
          <w:szCs w:val="24"/>
          <w:lang w:eastAsia="zh-CN"/>
        </w:rPr>
        <w:lastRenderedPageBreak/>
        <w:t>miasta udostępnia powiadomienie w Biuletynie Informacji Publicznej lub dokonuje publicznego ogłoszenia w sposób zwyczajowo przyjęty w danej miejscowości."</w:t>
      </w:r>
    </w:p>
    <w:p w14:paraId="0C599A00"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W związku z powyższym Regionalny Dyrektor Ochrony Środowiska w Olsztynie pismem z 13 września 2024 r., znak: WOOŚ.19.2024.AZ.3 wystąpił do Dyrektora Regionalnego Zarządu Gospodarki Wodnej w Gdańsku oraz pismem z 13 września 2024 r., znak: WOOŚ.19.2024.AZ.4 do Państwowego Granicznego Inspektora Sanitarnego w Elblągu, a także pismem z 13 września 2024 r., znak: WOOŚ.19.2024.AZ.5 do Dyrektora Urzędu Morskiego w Gdyni o opinie w sprawie obowiązku przeprowadzenia dla przedmiotowego przedsięwzięcia oceny oddziaływania na środowisko.</w:t>
      </w:r>
    </w:p>
    <w:p w14:paraId="64759E22"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Państwowy Graniczny Inspektor Sanitarny w Elblągu w opinii sanitarnej z 1 października 2024 r., znak: ZNS.4316.2.2024 (data wpływu 1.10.2024 r.), wyraził opinię o braku potrzeby przeprowadzenia oceny oddziaływania na środowisko dla rozpatrywanego przedsięwzięcia.</w:t>
      </w:r>
    </w:p>
    <w:p w14:paraId="0F4057AB" w14:textId="16358250"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Dyrektor Regionalnego Zarządu Gospodarki Wodnej w Gdańsku w opinii z 2 października 2024 r., znak: GD.RZŚ.4901.65.2024.MBC.1 (data wpływu 2.10.2024 r.) wyraził opinię o braku potrzeby przeprowadzenia oceny oddziaływania na środowisko dla rozpatrywanego przedsięwzięcia oraz wskazał na konieczność uwzględnienia w decyzji o środowiskowych uwarunkowaniach warunków i wymagań, które zostały określone w sentencji niniejszej decyzji w pkt II</w:t>
      </w:r>
      <w:r w:rsidR="006C552A">
        <w:rPr>
          <w:rFonts w:cstheme="minorHAnsi"/>
          <w:sz w:val="24"/>
          <w:szCs w:val="24"/>
          <w:lang w:eastAsia="zh-CN"/>
        </w:rPr>
        <w:t xml:space="preserve">, pkt 5-11. </w:t>
      </w:r>
    </w:p>
    <w:p w14:paraId="32700261"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Dyrektor Urzędu Morskiego w Gdyni postanowieniem z 7 października 2024 r., znak: INZ.9202.126.2024.AD (data wpływu 7.10.2024 r.) zaopiniował przedmiotowe przedsięwzięcie jako niewymagające przeprowadzenia oceny oddziaływania na środowisko. </w:t>
      </w:r>
    </w:p>
    <w:p w14:paraId="0E18131D"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Działając zgodnie z art. 10 </w:t>
      </w:r>
      <w:bookmarkStart w:id="4" w:name="_Hlk179799081"/>
      <w:r w:rsidRPr="002C59D4">
        <w:rPr>
          <w:rFonts w:cstheme="minorHAnsi"/>
          <w:sz w:val="24"/>
          <w:szCs w:val="24"/>
          <w:lang w:eastAsia="zh-CN"/>
        </w:rPr>
        <w:t xml:space="preserve">§ 1 </w:t>
      </w:r>
      <w:bookmarkEnd w:id="4"/>
      <w:r w:rsidRPr="002C59D4">
        <w:rPr>
          <w:rFonts w:cstheme="minorHAnsi"/>
          <w:sz w:val="24"/>
          <w:szCs w:val="24"/>
          <w:lang w:eastAsia="zh-CN"/>
        </w:rPr>
        <w:t xml:space="preserve">ustawy z dnia 14 czerwca 1960 roku Kodeks postępowania administracyjnego, Regionalny Dyrektor Ochrony Środowiska w Olsztynie przed wydaniem decyzji o środowiskowych uwarunkowaniach pismem z 18 października 2024 r., znak: WOOŚ.420.19.2024.AZ.10 oraz obwieszczeniem z 18 października 2024 r., znak: WOOŚ.420.19.2024.AZ.9 powiadomił strony o zebranym materiale dowodowym. Jednocześnie poinformowano o możliwości zapoznania i wypowiedzenia się odnośnie do zgromadzonych dowodów i materiałów do dnia 8 listopada 2024 r. We wskazanym przez tutejszy organ terminie, strony postępowania nie wniosły żadnych uwag odnośnie do planowanego przedsięwzięcia. </w:t>
      </w:r>
    </w:p>
    <w:p w14:paraId="4CA20B23"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Planowane przedsięwzięcie polegało będzie na dostosowaniu warunków żeglugowych na odcinku ok. 900 m rzeki Elbląg od punktu P2 do punktu Port do warunków zaprojektowanych </w:t>
      </w:r>
      <w:r w:rsidRPr="002C59D4">
        <w:rPr>
          <w:rFonts w:cstheme="minorHAnsi"/>
          <w:sz w:val="24"/>
          <w:szCs w:val="24"/>
          <w:lang w:eastAsia="zh-CN"/>
        </w:rPr>
        <w:br/>
        <w:t xml:space="preserve">w ramach Programu Wieloletniego pn.: „Budowa drogi wodnej łączącej Zalew Wiślany z Zatoką Gdańską”, tj. pogłębienie toru wodnego na rzece Elbląg do głębokości ok. 5 m oraz wykonanie </w:t>
      </w:r>
      <w:r w:rsidRPr="002C59D4">
        <w:rPr>
          <w:rFonts w:cstheme="minorHAnsi"/>
          <w:sz w:val="24"/>
          <w:szCs w:val="24"/>
          <w:lang w:eastAsia="zh-CN"/>
        </w:rPr>
        <w:lastRenderedPageBreak/>
        <w:t>obrotnicy dla jednostek poruszających się torem. Sama przebudowa istniejącego toru na rzece Elbląg, ma umożliwić dostęp większych jednostek do Portu w Elblągu. Zadanie będzie stanowić kontynuację wykonywanych na rzece Elbląg prac pogłębiarskich na odcinku P1-P2, sąsiadującym z przedmiotowym odcinkiem (bliżej ujścia rzeki). Projektowany fragment toru wodnego pomiędzy punktem P2 a punktem Port (w okolicy wejścia do Basenu Oddziału Technicznego Kapitanatu Portu Elbląg (Urząd Morski w Gdyni) stanowi część drogi wodnej łączącej Zalew Wiślany i Port. Na tym odcinku rzeka jest wykorzystywana jako kanał żeglowny dla zalewowych i przybrzeżnych statków pasażerskich i towarowych. Na południe, w kierunku jeziora Drużno żegluga dotyczy tylko małych statków pasażerskich oraz jachtów rekreacyjnych. W okolicy punktu P2, poprzez Kanał Jagielloński, rzeka posiada połączenie z Nogatem.</w:t>
      </w:r>
    </w:p>
    <w:p w14:paraId="7F92221D"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Przedsięwzięcie realizowane będzie:</w:t>
      </w:r>
    </w:p>
    <w:p w14:paraId="10C51B18" w14:textId="77777777" w:rsidR="00DF5721" w:rsidRPr="002C59D4" w:rsidRDefault="00DF5721" w:rsidP="00DF5721">
      <w:pPr>
        <w:pStyle w:val="Akapitzlist"/>
        <w:numPr>
          <w:ilvl w:val="0"/>
          <w:numId w:val="22"/>
        </w:numPr>
        <w:spacing w:after="0" w:line="360" w:lineRule="auto"/>
        <w:rPr>
          <w:rFonts w:cstheme="minorHAnsi"/>
          <w:sz w:val="24"/>
          <w:szCs w:val="24"/>
          <w:lang w:eastAsia="zh-CN"/>
        </w:rPr>
      </w:pPr>
      <w:r w:rsidRPr="002C59D4">
        <w:rPr>
          <w:rFonts w:cstheme="minorHAnsi"/>
          <w:sz w:val="24"/>
          <w:szCs w:val="24"/>
          <w:lang w:eastAsia="zh-CN"/>
        </w:rPr>
        <w:t xml:space="preserve">w obrębie akwenu morskich wód wewnętrznych administrowanych przez Urząd Morski </w:t>
      </w:r>
      <w:r w:rsidRPr="002C59D4">
        <w:rPr>
          <w:rFonts w:cstheme="minorHAnsi"/>
          <w:sz w:val="24"/>
          <w:szCs w:val="24"/>
          <w:lang w:eastAsia="zh-CN"/>
        </w:rPr>
        <w:br/>
        <w:t>w Gdyni,</w:t>
      </w:r>
    </w:p>
    <w:p w14:paraId="6C1B6941" w14:textId="77777777" w:rsidR="00DF5721" w:rsidRPr="002C59D4" w:rsidRDefault="00DF5721" w:rsidP="00DF5721">
      <w:pPr>
        <w:pStyle w:val="Akapitzlist"/>
        <w:numPr>
          <w:ilvl w:val="0"/>
          <w:numId w:val="22"/>
        </w:numPr>
        <w:spacing w:after="0" w:line="360" w:lineRule="auto"/>
        <w:rPr>
          <w:rFonts w:cstheme="minorHAnsi"/>
          <w:sz w:val="24"/>
          <w:szCs w:val="24"/>
          <w:lang w:eastAsia="zh-CN"/>
        </w:rPr>
      </w:pPr>
      <w:r w:rsidRPr="002C59D4">
        <w:rPr>
          <w:rFonts w:cstheme="minorHAnsi"/>
          <w:sz w:val="24"/>
          <w:szCs w:val="24"/>
          <w:lang w:eastAsia="zh-CN"/>
        </w:rPr>
        <w:t>na obszarze miasta Elbląg,</w:t>
      </w:r>
    </w:p>
    <w:p w14:paraId="7A6669C1" w14:textId="77777777" w:rsidR="00DF5721" w:rsidRPr="002C59D4" w:rsidRDefault="00DF5721" w:rsidP="00DF5721">
      <w:pPr>
        <w:pStyle w:val="Akapitzlist"/>
        <w:numPr>
          <w:ilvl w:val="0"/>
          <w:numId w:val="22"/>
        </w:numPr>
        <w:spacing w:after="0" w:line="360" w:lineRule="auto"/>
        <w:rPr>
          <w:rFonts w:cstheme="minorHAnsi"/>
          <w:sz w:val="24"/>
          <w:szCs w:val="24"/>
          <w:lang w:eastAsia="zh-CN"/>
        </w:rPr>
      </w:pPr>
      <w:r w:rsidRPr="002C59D4">
        <w:rPr>
          <w:rFonts w:cstheme="minorHAnsi"/>
          <w:sz w:val="24"/>
          <w:szCs w:val="24"/>
          <w:lang w:eastAsia="zh-CN"/>
        </w:rPr>
        <w:t xml:space="preserve">na obszarze gminy Elbląg, </w:t>
      </w:r>
    </w:p>
    <w:p w14:paraId="2BB0B4B3" w14:textId="5DC8C625" w:rsidR="00DF5721" w:rsidRPr="002C59D4" w:rsidRDefault="00DF5721" w:rsidP="00DF5721">
      <w:pPr>
        <w:pStyle w:val="Akapitzlist"/>
        <w:numPr>
          <w:ilvl w:val="0"/>
          <w:numId w:val="22"/>
        </w:numPr>
        <w:spacing w:after="0" w:line="360" w:lineRule="auto"/>
        <w:rPr>
          <w:rFonts w:cstheme="minorHAnsi"/>
          <w:sz w:val="24"/>
          <w:szCs w:val="24"/>
          <w:lang w:eastAsia="zh-CN"/>
        </w:rPr>
      </w:pPr>
      <w:r w:rsidRPr="002C59D4">
        <w:rPr>
          <w:rFonts w:cstheme="minorHAnsi"/>
          <w:sz w:val="24"/>
          <w:szCs w:val="24"/>
          <w:lang w:eastAsia="zh-CN"/>
        </w:rPr>
        <w:t>w granicach portu w Elblągu.</w:t>
      </w:r>
    </w:p>
    <w:p w14:paraId="3510F538"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Tor wodny na odcinku od punktu P2 do wejścia do Basenu Oddziału Technicznego wraz </w:t>
      </w:r>
      <w:r w:rsidRPr="002C59D4">
        <w:rPr>
          <w:rFonts w:cstheme="minorHAnsi"/>
          <w:sz w:val="24"/>
          <w:szCs w:val="24"/>
          <w:lang w:eastAsia="zh-CN"/>
        </w:rPr>
        <w:br/>
        <w:t xml:space="preserve">z obrotnicą będzie miał łączną długość ok. 900 m, szerokość w dnie ok. 22 m oraz głębokość techniczną ok. 5,0 m (plus rezerwa bagrownicza tb=-0,1 m). Wykonanie obrotnicy o średnicy ok.110 m będzie się wiązało z ingerencją we fragmenty działek lądowych (położonych na cyplu </w:t>
      </w:r>
      <w:r w:rsidRPr="002C59D4">
        <w:rPr>
          <w:rFonts w:cstheme="minorHAnsi"/>
          <w:sz w:val="24"/>
          <w:szCs w:val="24"/>
          <w:lang w:eastAsia="zh-CN"/>
        </w:rPr>
        <w:br/>
        <w:t>w rozwidleniu Kanału Jagiellońskiego i rzeki Elbląg, w granicach Portu Morskiego Elbląg): nr 3 obręb 13 Miasto Elbląg, nr 626/3 obręb 16 Nowakowo i nr 615/2 obręb 16 Nowakowo, gmina Elbląg. Niewielki fragment działki nr 3 obręb 13 zostanie usunięty podczas prac czerpalnych, a na działkach 626/3 oraz 615/2 obręb 16 Nowakowo w wyniku prac czerpalnych wykonana zostanie skarpa o nachyleniu 1:3. Szacowana kubatura prac czerpalnych określona na podstawie dostępnych planów sondażowych będzie wynosić ok. 117 tys. m³. Powierzchnia podlegająca planowanym robotom czerpalnym wyniesie ok. 51 600 m². Ponadto na ww. odcinku toru planowane jest rozmieszczenie 6 szt. pław świetlnych: dwóch czerwonych po lewej stronie toru, trzech zielonych po prawej stronie toru oraz 1 żółtej po prawej stronie obrotnicy. Projektowane pławy będą odsunięte o 3 m od krawędzi projektowanego toru wodnego.</w:t>
      </w:r>
    </w:p>
    <w:p w14:paraId="669C360A"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Zapewnienie odpowiedniej szerokości i głębokości stanowi podstawę do pobudzenia (przywrócenia) ruchu pasażerskiego i towarowego w porcie Elbląg. Ożywienie przewozów pasażerskich i towarowych oraz wykorzystanie terminala przeładunkowo-składowego, </w:t>
      </w:r>
      <w:r w:rsidRPr="002C59D4">
        <w:rPr>
          <w:rFonts w:cstheme="minorHAnsi"/>
          <w:sz w:val="24"/>
          <w:szCs w:val="24"/>
          <w:lang w:eastAsia="zh-CN"/>
        </w:rPr>
        <w:lastRenderedPageBreak/>
        <w:t xml:space="preserve">znacznych powierzchni magazynowo - składowych oraz terminala pasażersko - promowego, będzie możliwe po pogłębieniu przedmiotowego fragmentu toru wodnego na rzece Elbląg. </w:t>
      </w:r>
    </w:p>
    <w:p w14:paraId="11D20F87" w14:textId="086C9E91"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Wzdłuż brzegu rzeki Elbląg, na terenach niezabudowanych znajdują się drogi o nawierzchni gruntowej lub z płyt betonowych. Część z nich urządzona jest na koronie wałów przeciwpowodziowych i funkcjonalnie związana z ochroną przeciwpowodziową. Zachodni brzeg rzeki w obrębie obszaru przedsięwzięcia jest częściowo niezabudowany i ma charakter polderu, na styku z wodą pokrytego szuwarem trzcinowym. Wschodni brzeg rzeki na odcinku objętym przedsięwzięciem jest prawie w całości zabudowany przez infrastrukturę portową, przemysłową     i umocniony wysokimi nabrzeżami z bocznicami kolejowymi wykorzystywanymi przez zakłady przemysłowe. Nad brzegiem rzeki góruje budynek elewatora zbożowego. </w:t>
      </w:r>
    </w:p>
    <w:p w14:paraId="42AA651E" w14:textId="4A0BC398" w:rsidR="00DF5721" w:rsidRPr="002C59D4" w:rsidRDefault="00DF5721" w:rsidP="00DF5721">
      <w:pPr>
        <w:spacing w:after="0" w:line="360" w:lineRule="auto"/>
        <w:rPr>
          <w:rFonts w:cstheme="minorHAnsi"/>
          <w:sz w:val="24"/>
          <w:szCs w:val="24"/>
          <w:lang w:eastAsia="zh-CN"/>
        </w:rPr>
      </w:pPr>
      <w:bookmarkStart w:id="5" w:name="_Hlk131077265"/>
      <w:r w:rsidRPr="002C59D4">
        <w:rPr>
          <w:rFonts w:cstheme="minorHAnsi"/>
          <w:sz w:val="24"/>
          <w:szCs w:val="24"/>
          <w:lang w:eastAsia="zh-CN"/>
        </w:rPr>
        <w:t>W fazie budowy roboty pogłębiarskie prowadzone będą od strony wód rzeki, przy użyciu sprzętu pływającego: np. pogłębiarki chwytakowo-podsiębiernej ze szczelnym chwytakiem wraz</w:t>
      </w:r>
      <w:r w:rsidRPr="002C59D4">
        <w:rPr>
          <w:rFonts w:cstheme="minorHAnsi"/>
          <w:sz w:val="24"/>
          <w:szCs w:val="24"/>
          <w:lang w:eastAsia="zh-CN"/>
        </w:rPr>
        <w:br/>
        <w:t xml:space="preserve"> z szalandą płaskodenną transportującą urobek na miejsce odkładu lub pogłębiarki ssąco-refulacyjnej z zastosowaniem szczelnych przesłon. Z informacji zawartych w karcie informacyjnej przedsięwzięcia wynika, że aktualna głębokość rzeki Elbląg na przedmiotowym odcinku wynosi</w:t>
      </w:r>
      <w:r w:rsidRPr="002C59D4">
        <w:rPr>
          <w:rFonts w:cstheme="minorHAnsi"/>
          <w:sz w:val="24"/>
          <w:szCs w:val="24"/>
          <w:lang w:eastAsia="zh-CN"/>
        </w:rPr>
        <w:br/>
        <w:t xml:space="preserve">w osi toru od ok. 3,0 do ok. 5,0 m. Zgodnie z planem batymetrycznym wykonanym przez Inwestora, „wzdłuż zachodniego brzegu rzeki, przy nieumocnionym brzegu głębokości wahają się od 0,5 do 0,9 m, natomiast wzdłuż nabrzeża terminala towarowego głębokości wahają się od 2,1 do 3,4 m. W osi istniejącego toru głębokości wahają się między od 2,6 do 4,4 m natomiast wzdłuż wschodniego brzegu rzeki głębokości wahają się między 1,1 a 2,8 m przy nabrzeżach umocnionych oraz 0,4-0,5 m przy przyczółkach mostu kolejowego”. Głównym kryterium doboru pogłębiarki będzie minimalizacja zmętnienia wody podczas robót pogłębiarskich, a więc dobór takiej techniki czerpania i wydobywania osadu, która charakteryzować się będzie jak najmniejszymi turbulencjami oraz minimalnymi stratami urobku (minimalna ilość materiału gubionego). Sprzęt pogłębiarski wykonujący prace czerpalne będzie wyposażony w system pozycjonowania DGPS. Poprawność wykonania prac czerpalnych zostanie zweryfikowana na podstawie pomiarów batymetrycznych.  </w:t>
      </w:r>
    </w:p>
    <w:p w14:paraId="1DF5F6C8" w14:textId="1F264C34"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Głębokości na rozpatrywanym odcinku toru rozkładają się równomiernie z tendencją do lekkiego wypłycania się w kierunku portu Elbląg. Na etapie prac czerpalnych urobek będzie ładowany na szalandy i transportowany w stanie nieprzekształconym poza obszar wydobycia, tj. odpowiednio do rozładunku na nabrzeże w porcie/na sztuczną wyspę na Zalewie Wiślanym. </w:t>
      </w:r>
      <w:r w:rsidRPr="002C59D4">
        <w:rPr>
          <w:rFonts w:cstheme="minorHAnsi"/>
          <w:sz w:val="24"/>
          <w:szCs w:val="24"/>
          <w:lang w:eastAsia="zh-CN"/>
        </w:rPr>
        <w:br/>
        <w:t xml:space="preserve">W związku z wykonaniem (pogłębieniem) obrotnicy, dla uzyskania jej projektowanej średnicy konieczne będzie usunięcie fragmentu brzegu o powierzchni ok. 740 m² w obrębie działki nr 3 </w:t>
      </w:r>
      <w:r w:rsidRPr="002C59D4">
        <w:rPr>
          <w:rFonts w:cstheme="minorHAnsi"/>
          <w:sz w:val="24"/>
          <w:szCs w:val="24"/>
          <w:lang w:eastAsia="zh-CN"/>
        </w:rPr>
        <w:lastRenderedPageBreak/>
        <w:t xml:space="preserve">obręb 13 (na cyplu w rozwidleniu rzeki i Kanału Jagiellońskiego) pokrytego roślinnością. </w:t>
      </w:r>
      <w:r w:rsidRPr="002C59D4">
        <w:rPr>
          <w:rFonts w:cstheme="minorHAnsi"/>
          <w:sz w:val="24"/>
          <w:szCs w:val="24"/>
          <w:lang w:eastAsia="zh-CN"/>
        </w:rPr>
        <w:br/>
        <w:t>W drodze prac czerpalnych przekształcony zostanie także fragment brzegu powyżej końca cypla (uformowanie nieumocnionej skarpy). Prace czerpalne będą prowadzone wyłącznie od strony wody.</w:t>
      </w:r>
    </w:p>
    <w:p w14:paraId="00092A0E" w14:textId="6B48FB80"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Faza realizacji inwestycji nie będzie wiązała się z wykorzystaniem surowców, materiałów, energii elektrycznej oraz wody</w:t>
      </w:r>
      <w:bookmarkEnd w:id="5"/>
      <w:r w:rsidRPr="002C59D4">
        <w:rPr>
          <w:rFonts w:cstheme="minorHAnsi"/>
          <w:sz w:val="24"/>
          <w:szCs w:val="24"/>
          <w:lang w:eastAsia="zh-CN"/>
        </w:rPr>
        <w:t>. W trakcie prac pogłębiarskich realizowanych w ramach planowanego przedsięwzięcia wykorzystywane będzie paliwo przez maszyny pływające. Zużycie paliwa spalanego w silnikach na obecnym etapie jest trudne do oszacowania, niemniej jednak można przyjąć, że zużycie paliwa przez pogłębiarkę wynosi ok. 35-40 l/h. Ilość zużywanego paliwa nie będzie znacząco wpływała na stan atmosfery oraz na uciążliwości związane z fazą budowy, ponieważ otoczenie toru wodnego na tym odcinku stanowią tereny zielone – taras zalewowy (lewy brzeg) oraz tereny magazynowe, przemysłowe i portowe (prawy brzeg i ok. połowy odcinka brzegu lewego). Zużycie wody dotyczyć będzie jedynie potrzeb bytowych załogi i będzie nieznaczące.</w:t>
      </w:r>
    </w:p>
    <w:p w14:paraId="7A9F14ED" w14:textId="6AA7EC0C" w:rsidR="00DF5721" w:rsidRPr="002C59D4" w:rsidRDefault="00DF5721" w:rsidP="00DF5721">
      <w:pPr>
        <w:spacing w:after="0" w:line="360" w:lineRule="auto"/>
        <w:rPr>
          <w:rFonts w:cstheme="minorHAnsi"/>
          <w:sz w:val="24"/>
          <w:szCs w:val="24"/>
          <w:lang w:val="pl" w:eastAsia="zh-CN"/>
        </w:rPr>
      </w:pPr>
      <w:r w:rsidRPr="002C59D4">
        <w:rPr>
          <w:rFonts w:cstheme="minorHAnsi"/>
          <w:sz w:val="24"/>
          <w:szCs w:val="24"/>
          <w:lang w:eastAsia="zh-CN"/>
        </w:rPr>
        <w:t>W celu minimalizacji przedmiotowego przedsięwzięcia na środowisko prace budowlane będą wykonywane w taki sposób, aby w maksymalnym stopniu ograniczyć możliwość przedostania się zanieczyszczeń do środowiska morskiego, w tym przede wszystkim poprzez właściwe gospodarowanie wytworzonymi ściekami i odpadami oraz korzystanie ze sprawnego sprzętu i jednostek pływających w dobrym stanie technicznym. Ponadto statki będą posiadać aktualne dokumenty wymagane właściwymi przepisami oraz będą spełniały wymagania w zakresie bezpieczeństwa żeglugi i ochrony środowiska. Roboty czerpalne realizowane będą przy użyciu sprzętów spełniających wszystkie wymagania techniczne, charakteryzujących się niską emisją zanieczyszczeń do powietrza atmosferycznego i niskim poziomem hałasu. Ponadto zastosowane zostaną metody ograniczające możliwość zanieczyszczenia wód tj. prowadzenia robót czerpalnych z wykorzystaniem przysłon na głowicach ssących. Urobek składowany będzie na sztucznej wyspie/polu refulacyjnym, które zostało zaplanowane i wykonane w celu zapewnienia optymalnego i docelowego miejsca odkładu, bezpiecznego dla ekosystemu Zalewu Wiślanego. Urobek transportowany będzie za pomocą barek/szaland na miejsce odkładu.</w:t>
      </w:r>
      <w:r w:rsidR="00C87EA9" w:rsidRPr="002C59D4">
        <w:rPr>
          <w:rFonts w:cstheme="minorHAnsi"/>
          <w:sz w:val="24"/>
          <w:szCs w:val="24"/>
          <w:lang w:eastAsia="zh-CN"/>
        </w:rPr>
        <w:t xml:space="preserve"> </w:t>
      </w:r>
      <w:r w:rsidRPr="002C59D4">
        <w:rPr>
          <w:rFonts w:cstheme="minorHAnsi"/>
          <w:sz w:val="24"/>
          <w:szCs w:val="24"/>
          <w:lang w:eastAsia="zh-CN"/>
        </w:rPr>
        <w:t>Z barek/szaland urobek będzie przepompowywany na miejsce odkładu rurociągiem przy użyciu pomp</w:t>
      </w:r>
      <w:r w:rsidRPr="002C59D4">
        <w:rPr>
          <w:rFonts w:cstheme="minorHAnsi"/>
          <w:sz w:val="24"/>
          <w:szCs w:val="24"/>
          <w:lang w:val="pl" w:eastAsia="zh-CN"/>
        </w:rPr>
        <w:t xml:space="preserve">. </w:t>
      </w:r>
    </w:p>
    <w:p w14:paraId="43F2D0FE" w14:textId="0270092A" w:rsidR="00DF5721" w:rsidRPr="002C59D4" w:rsidRDefault="00DF5721" w:rsidP="00DF5721">
      <w:pPr>
        <w:spacing w:after="0" w:line="360" w:lineRule="auto"/>
        <w:rPr>
          <w:rFonts w:cstheme="minorHAnsi"/>
          <w:sz w:val="24"/>
          <w:szCs w:val="24"/>
          <w:lang w:eastAsia="zh-CN"/>
        </w:rPr>
      </w:pPr>
      <w:bookmarkStart w:id="6" w:name="_Hlk131077296"/>
      <w:r w:rsidRPr="002C59D4">
        <w:rPr>
          <w:rFonts w:cstheme="minorHAnsi"/>
          <w:sz w:val="24"/>
          <w:szCs w:val="24"/>
          <w:lang w:eastAsia="zh-CN"/>
        </w:rPr>
        <w:t xml:space="preserve">Emisje do powietrza będą miały charakter niezorganizowany i okresowy, a ich wpływ na stan jakości powietrza będzie lokalny i krótkotrwały, ograniczony do bezpośredniego sąsiedztwa prowadzonych prac. Ze względu na ograniczony czas emisji wszelkie emitowane stężenia gazów i pyłów będą miały charakter mało znaczący i nie spowodują przekroczeń dopuszczalnych </w:t>
      </w:r>
      <w:r w:rsidRPr="002C59D4">
        <w:rPr>
          <w:rFonts w:cstheme="minorHAnsi"/>
          <w:sz w:val="24"/>
          <w:szCs w:val="24"/>
          <w:lang w:eastAsia="zh-CN"/>
        </w:rPr>
        <w:lastRenderedPageBreak/>
        <w:t>poziomów wynikających z Rozporządzenia Ministra Środowiska z dnia 24 sierpnia 2012 r.                   w sprawie poziomów niektórych substancji w powietrzu (Dz.U. z 2021 r., poz. 845).</w:t>
      </w:r>
      <w:r w:rsidRPr="002C59D4">
        <w:rPr>
          <w:rFonts w:cstheme="minorHAnsi"/>
          <w:sz w:val="24"/>
          <w:szCs w:val="24"/>
          <w:lang w:eastAsia="zh-CN"/>
        </w:rPr>
        <w:tab/>
      </w:r>
    </w:p>
    <w:p w14:paraId="5548825B" w14:textId="5A0B194B" w:rsidR="00DF5721" w:rsidRPr="002C59D4" w:rsidRDefault="00DF5721" w:rsidP="00DF5721">
      <w:pPr>
        <w:spacing w:after="0" w:line="360" w:lineRule="auto"/>
        <w:rPr>
          <w:rFonts w:cstheme="minorHAnsi"/>
          <w:sz w:val="24"/>
          <w:szCs w:val="24"/>
          <w:lang w:eastAsia="zh-CN"/>
        </w:rPr>
      </w:pPr>
      <w:bookmarkStart w:id="7" w:name="_Hlk102079929"/>
      <w:r w:rsidRPr="002C59D4">
        <w:rPr>
          <w:rFonts w:cstheme="minorHAnsi"/>
          <w:sz w:val="24"/>
          <w:szCs w:val="24"/>
          <w:lang w:eastAsia="zh-CN"/>
        </w:rPr>
        <w:t>Planowane przedsięwzięcie w fazie budowy będzie źródłem hałasu emitowanego z pracującej pogłębiarki i urządzeń pomocniczych (ew. szalanda). Hałas emitowany przez pogłębiarki jest porównywalny z hałasem emitowanym przez silniki przepływających statków, a więc podczas prowadzenia prac na obszarze objętym inwestycją nie dojdzie do istotnego pogorszenia klimatu akustycznego. Ponadto uciążliwości generowane przez pracujący sprzęt będą krótkookresowe i przejściowe. Poziom emisji hałasu przez pogłębiarki szacuje się na poziomie 48-51 dB. Inwestor zastosuje środki zapobiegające zakłóceniom klimatu akustycznego poprzez odpowiednią organizację i technologię prac, zastosowanie sprawnego sprzętu hydrotechnicznego i jednostek pływających (pogłębiarka i ew. szalanda) minimalizującego uciążliwości hałasowe. W sąsiedztwie rzeki Elbląg na analizowanym odcinku nie znajdują się tereny podlegające ochronie przed hałasem (tj. zabudowa mieszkaniowa). Otoczenie rzeki Elbląg na odcinku od P2 do punktu Port stanowią nieużytki oraz tereny magazynowo – przemysłowe i portowe.</w:t>
      </w:r>
    </w:p>
    <w:bookmarkEnd w:id="7"/>
    <w:p w14:paraId="59BDADFB" w14:textId="76D62856"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Wytworzone w fazie budowy odpady komunalne i ścieki bytowe będą odpowiednio magazynowane i zabezpieczone na statkach, zgodnie z obowiązującym na każdej jednostce pływającej planem zabezpieczenia przed zanieczyszczeniem morza, sporządzanym zgodnie                z wymogami Ustawy z dnia 16 marca 1995 r. o zapobieganiu zanieczyszczaniu morza przez statki (Dz.U. z 2023 r., poz. 1072), a następnie zostaną zdane do portowych urządzeń odbiorczych w Elblągu i zagospodarowane zgodnie z obowiązującym portowym planem gospodarowania odpadami oraz pozostałościami ładunkowymi ze statków.</w:t>
      </w:r>
      <w:bookmarkStart w:id="8" w:name="_Hlk131076259"/>
      <w:bookmarkEnd w:id="6"/>
    </w:p>
    <w:p w14:paraId="5CC8569D" w14:textId="10D66022" w:rsidR="00DF5721" w:rsidRPr="002C59D4" w:rsidRDefault="00DF5721" w:rsidP="00DF5721">
      <w:pPr>
        <w:spacing w:after="0" w:line="360" w:lineRule="auto"/>
        <w:rPr>
          <w:rFonts w:cstheme="minorHAnsi"/>
          <w:sz w:val="24"/>
          <w:szCs w:val="24"/>
          <w:lang w:eastAsia="zh-CN"/>
        </w:rPr>
      </w:pPr>
      <w:bookmarkStart w:id="9" w:name="_Hlk131077377"/>
      <w:bookmarkEnd w:id="8"/>
      <w:r w:rsidRPr="002C59D4">
        <w:rPr>
          <w:rFonts w:cstheme="minorHAnsi"/>
          <w:sz w:val="24"/>
          <w:szCs w:val="24"/>
          <w:lang w:eastAsia="zh-CN"/>
        </w:rPr>
        <w:t xml:space="preserve">Eksploatacja toru wodnego nie będzie bezpośrednio wiązała się z wykorzystaniem wody, surowców, materiałów, paliw oraz energii. </w:t>
      </w:r>
    </w:p>
    <w:p w14:paraId="0CAFBC79" w14:textId="0B32B99E"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W fazie funkcjonowania toru wodnego prowadzone będą okresowo roboty podczyszczeniowe w celu utrzymania założonej głębokości. Charakter robót będzie zbliżony do prac prowadzonych w fazie budowy, jednak objętości urobku będą znacznie mniejsze. Przedmiotowa inwestycja stanowi kontynuację przedsięwzięcia pn. Budowa drogi wodnej łączącej Zalew Wiślany z Zatoką Gdańską, w związku z tym w fazie budowy wystąpić może kumulacja oddziaływań robót czerpalnych z robotami prowadzonymi na odcinku P1-P2. Najprawdopodobniej jednak roboty na poszczególnych odcinkach (w tym na odcinku P2-Port) będą prowadzone po kolei. Nie powinno zatem dojść do sytuacji, w której na rzece pracować będzie kilka pogłębiarek w tym samym czasie.</w:t>
      </w:r>
    </w:p>
    <w:p w14:paraId="4CDE35F6" w14:textId="53BC14A8"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lastRenderedPageBreak/>
        <w:t>W fazie funkcjonowania przedsięwzięcia kumulacja oddziaływań może występować pośrednio i dotyczyć będzie zwiększenia natężenia oraz wielkości statków wpływających do i wypływających z Elbląga. Będzie to efektem dostosowania toru wodnego do ruchu większych jednostek. Pogłębienie toru od punktu P2 do punktu Port umożliwi korzystanie z toru wodnego na całej długości drogi wodnej. Może to powodować zwiększone natężenie hałasu w miejscach zabudowy mieszkaniowej sąsiadującej z rzeką Elbląg, a występującej poza terenem planowanego przedsięwzięcia (poza odcinkiem od P2 do Portu). Analiza akustyczna</w:t>
      </w:r>
      <w:r w:rsidR="00C87EA9" w:rsidRPr="002C59D4">
        <w:rPr>
          <w:rFonts w:cstheme="minorHAnsi"/>
          <w:sz w:val="24"/>
          <w:szCs w:val="24"/>
          <w:lang w:eastAsia="zh-CN"/>
        </w:rPr>
        <w:t xml:space="preserve"> </w:t>
      </w:r>
      <w:r w:rsidRPr="002C59D4">
        <w:rPr>
          <w:rFonts w:cstheme="minorHAnsi"/>
          <w:sz w:val="24"/>
          <w:szCs w:val="24"/>
          <w:lang w:eastAsia="zh-CN"/>
        </w:rPr>
        <w:t>przeprowadzona w ramach przedsięwzięcia pn. Budowa drogi wodnej łączącej Zalew Wiślany</w:t>
      </w:r>
      <w:r w:rsidRPr="002C59D4">
        <w:rPr>
          <w:rFonts w:cstheme="minorHAnsi"/>
          <w:sz w:val="24"/>
          <w:szCs w:val="24"/>
          <w:lang w:eastAsia="zh-CN"/>
        </w:rPr>
        <w:br/>
        <w:t xml:space="preserve">z Zatoką Gdańską, wskazała, że dla wartości równoważnego poziomu dźwięku A dla hałasu spodziewanego po realizacji planowanej inwestycji nie wystąpią przekroczenia dopuszczalnego poziomu dźwięku (LAeqD = 50 dB w porze dziennej) na granicach terenów zabudowy mieszkaniowej jednorodzinnej oraz zagrodowej, a także na elewacjach budynków mieszkalnych jednorodzinnych i zabudowy zagrodowej przy rzece Elbląg. Wzdłuż pogłębianego toru rzeki Elbląg na odcinku P2 do Portu po zachodniej stronie brzegu rzeki występują obszary niezabudowane, a po wschodniej stronie brzegu rzeki zlokalizowane są głównie zakłady przemysłowe, dla których nie określono standardów akustycznych. Ww. modelowanie hałasu dla eksploatacji drogi wodnej wykazało brak ryzyka przekroczeń norm hałasu na brzegach rzeki </w:t>
      </w:r>
      <w:r w:rsidRPr="002C59D4">
        <w:rPr>
          <w:rFonts w:cstheme="minorHAnsi"/>
          <w:sz w:val="24"/>
          <w:szCs w:val="24"/>
          <w:lang w:eastAsia="zh-CN"/>
        </w:rPr>
        <w:br/>
        <w:t>w związku z przyszłą eksploatacją toru wodnego.</w:t>
      </w:r>
      <w:bookmarkEnd w:id="9"/>
    </w:p>
    <w:p w14:paraId="03C90D91" w14:textId="3C5A4964"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Nie przewiduje się aby zanieczyszczenia, powstające w czasie realizacji i eksploatacji planowanego przedsięwzięcia, mogły znacząco wpłynąć na ogólny poziom zanieczyszczenia powietrza, a tym samym na zmiany klimatu oraz zwiększenie wrażliwości elementów środowiska na zmiany klimatu.</w:t>
      </w:r>
    </w:p>
    <w:p w14:paraId="531A1611" w14:textId="6EBE44E9"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Urobek z prac czerpalnych w zależności od jego stanu czystości oraz sposobu zagospodarowania można zaliczyć do odpadów lub nie. Inwestor wykonał badanie stanu czystości osadów dennych wiosną 2024 roku. Próby rdzeniowe pobrano z 12 punktów położonych przy brzegu i w nurcie rzeki na głębokościach od 0,8 do 4,0 m. Wyniki badań wskazały, że:</w:t>
      </w:r>
    </w:p>
    <w:p w14:paraId="5B345791" w14:textId="77777777" w:rsidR="00C87EA9" w:rsidRPr="002C59D4" w:rsidRDefault="00DF5721" w:rsidP="00DF5721">
      <w:pPr>
        <w:pStyle w:val="Akapitzlist"/>
        <w:numPr>
          <w:ilvl w:val="0"/>
          <w:numId w:val="23"/>
        </w:numPr>
        <w:spacing w:after="0" w:line="360" w:lineRule="auto"/>
        <w:rPr>
          <w:rFonts w:cstheme="minorHAnsi"/>
          <w:sz w:val="24"/>
          <w:szCs w:val="24"/>
          <w:lang w:eastAsia="zh-CN"/>
        </w:rPr>
      </w:pPr>
      <w:r w:rsidRPr="002C59D4">
        <w:rPr>
          <w:rFonts w:cstheme="minorHAnsi"/>
          <w:sz w:val="24"/>
          <w:szCs w:val="24"/>
          <w:lang w:eastAsia="zh-CN"/>
        </w:rPr>
        <w:t>stężenia metali ciężkich (ołów, miedź, cynk, nikiel, kadm, chrom i rtęć) nie przekraczają wartości granicznej w żadnej z badanych próbek;</w:t>
      </w:r>
    </w:p>
    <w:p w14:paraId="295934B1" w14:textId="77777777" w:rsidR="00C87EA9" w:rsidRPr="002C59D4" w:rsidRDefault="00DF5721" w:rsidP="00DF5721">
      <w:pPr>
        <w:pStyle w:val="Akapitzlist"/>
        <w:numPr>
          <w:ilvl w:val="0"/>
          <w:numId w:val="23"/>
        </w:numPr>
        <w:spacing w:after="0" w:line="360" w:lineRule="auto"/>
        <w:rPr>
          <w:rFonts w:cstheme="minorHAnsi"/>
          <w:sz w:val="24"/>
          <w:szCs w:val="24"/>
          <w:lang w:eastAsia="zh-CN"/>
        </w:rPr>
      </w:pPr>
      <w:r w:rsidRPr="002C59D4">
        <w:rPr>
          <w:rFonts w:cstheme="minorHAnsi"/>
          <w:sz w:val="24"/>
          <w:szCs w:val="24"/>
          <w:lang w:eastAsia="zh-CN"/>
        </w:rPr>
        <w:t xml:space="preserve">stężenia polichlorowanych bifenyli (PCB) w znaczeniu suma poziomu stężeń kongenerów PCB 28, 52, 101, 118, 138, 153 i 180 nie przekraczają wartości granicznej w żadnej </w:t>
      </w:r>
      <w:r w:rsidRPr="002C59D4">
        <w:rPr>
          <w:rFonts w:cstheme="minorHAnsi"/>
          <w:sz w:val="24"/>
          <w:szCs w:val="24"/>
          <w:lang w:eastAsia="zh-CN"/>
        </w:rPr>
        <w:br/>
        <w:t>z badanych próbek;</w:t>
      </w:r>
    </w:p>
    <w:p w14:paraId="67D4377D" w14:textId="77777777" w:rsidR="00C87EA9" w:rsidRPr="002C59D4" w:rsidRDefault="00DF5721" w:rsidP="00DF5721">
      <w:pPr>
        <w:pStyle w:val="Akapitzlist"/>
        <w:numPr>
          <w:ilvl w:val="0"/>
          <w:numId w:val="23"/>
        </w:numPr>
        <w:spacing w:after="0" w:line="360" w:lineRule="auto"/>
        <w:rPr>
          <w:rFonts w:cstheme="minorHAnsi"/>
          <w:sz w:val="24"/>
          <w:szCs w:val="24"/>
          <w:lang w:eastAsia="zh-CN"/>
        </w:rPr>
      </w:pPr>
      <w:r w:rsidRPr="002C59D4">
        <w:rPr>
          <w:rFonts w:cstheme="minorHAnsi"/>
          <w:sz w:val="24"/>
          <w:szCs w:val="24"/>
          <w:lang w:eastAsia="zh-CN"/>
        </w:rPr>
        <w:lastRenderedPageBreak/>
        <w:t>stężenia poszczególnych analizowanych wielopierścieniowych węglowodorów aromatycznych (WWA) w dwóch próbkach pobranych osadów dennych (tj. 1 i 2) nie przekraczają wartości granicznych;</w:t>
      </w:r>
    </w:p>
    <w:p w14:paraId="76C9C035" w14:textId="77777777" w:rsidR="00C87EA9" w:rsidRPr="002C59D4" w:rsidRDefault="00DF5721" w:rsidP="00DF5721">
      <w:pPr>
        <w:pStyle w:val="Akapitzlist"/>
        <w:numPr>
          <w:ilvl w:val="0"/>
          <w:numId w:val="23"/>
        </w:numPr>
        <w:spacing w:after="0" w:line="360" w:lineRule="auto"/>
        <w:rPr>
          <w:rFonts w:cstheme="minorHAnsi"/>
          <w:sz w:val="24"/>
          <w:szCs w:val="24"/>
          <w:lang w:eastAsia="zh-CN"/>
        </w:rPr>
      </w:pPr>
      <w:r w:rsidRPr="002C59D4">
        <w:rPr>
          <w:rFonts w:cstheme="minorHAnsi"/>
          <w:sz w:val="24"/>
          <w:szCs w:val="24"/>
          <w:lang w:eastAsia="zh-CN"/>
        </w:rPr>
        <w:t>w próbach pobranych z punktów 3, 4, 5 i 6 stwierdzono przekroczenie wartości granicznych dla następujących WWA: benzo(a)antracenu, benzo(b)fluorantenu, benzo(k)fluorantenu, benzo(a)pirenu, indeno(1,2,3-c,d)pirenu, benzo(g,h,i)perylenu; jedynie stężenie dibenzo(a,h)antracenu w tych próbkach nie przekroczyło wartości granicznej;</w:t>
      </w:r>
    </w:p>
    <w:p w14:paraId="09C14172" w14:textId="5ED39A0D" w:rsidR="00DF5721" w:rsidRPr="002C59D4" w:rsidRDefault="00DF5721" w:rsidP="00DF5721">
      <w:pPr>
        <w:pStyle w:val="Akapitzlist"/>
        <w:numPr>
          <w:ilvl w:val="0"/>
          <w:numId w:val="23"/>
        </w:numPr>
        <w:spacing w:after="0" w:line="360" w:lineRule="auto"/>
        <w:rPr>
          <w:rFonts w:cstheme="minorHAnsi"/>
          <w:sz w:val="24"/>
          <w:szCs w:val="24"/>
          <w:lang w:eastAsia="zh-CN"/>
        </w:rPr>
      </w:pPr>
      <w:r w:rsidRPr="002C59D4">
        <w:rPr>
          <w:rFonts w:cstheme="minorHAnsi"/>
          <w:sz w:val="24"/>
          <w:szCs w:val="24"/>
          <w:lang w:eastAsia="zh-CN"/>
        </w:rPr>
        <w:t>stwierdzono, że analizowane osady nie posiadają niebezpiecznych właściwości.</w:t>
      </w:r>
    </w:p>
    <w:p w14:paraId="35B46A23" w14:textId="5E3D58DF"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Powyższe badania wskazują, że urobek w rejonie punktu P2 (punkty poboru 1 i 2) spełnia wymagania rozporządzenia Ministra Środowiska z dnia 11 maja 2015 r. w sprawie odzysku odpadów poza instalacjami i urządzeniami (Dz. U. 2015 poz. 796) i możliwe jest jego przetwarzanie poza instalacjami i urządzeniami w procesie R5. Natomiast w rejonie obszaru portu (próbki 3 do 6) urobek jest zanieczyszczony, ale nie stanowi odpadu niebezpiecznego i wymaga odpowiedniego postępowania. Zgodnie z oszacowaniem wykonanym w ramach projektu architektoniczno-budowlanego robót czerpalnych, kubatura zanieczyszczonego urobku stanowi ok. ¼ objętości planowanego do wydobycia urobku. W przypadku urobku niezanieczyszczonego będzie on składowany na sztucznej wyspie utworzonej na Zalewie Wiślanym lub w inny sposób dopuszczony w procesie R5 zgodnie z ustawą o odpadach. W przypadku urobku zanieczyszczonego zostanie on zutylizowany przez wyspecjalizowaną firmę lub zagospodarowany w inny sposób, np. poprzez przetworzenie zgodnie z przepisami prawa.</w:t>
      </w:r>
      <w:r w:rsidR="00C87EA9" w:rsidRPr="002C59D4">
        <w:rPr>
          <w:rFonts w:cstheme="minorHAnsi"/>
          <w:sz w:val="24"/>
          <w:szCs w:val="24"/>
          <w:lang w:eastAsia="zh-CN"/>
        </w:rPr>
        <w:t xml:space="preserve"> </w:t>
      </w:r>
      <w:r w:rsidRPr="002C59D4">
        <w:rPr>
          <w:rFonts w:cstheme="minorHAnsi"/>
          <w:sz w:val="24"/>
          <w:szCs w:val="24"/>
          <w:lang w:eastAsia="zh-CN"/>
        </w:rPr>
        <w:t>Faza likwidacji będzie polegała na zaprzestaniu robót podczyszczeniowych, zatem nie będzie powodowała oddziaływań środowiskowych.</w:t>
      </w:r>
    </w:p>
    <w:p w14:paraId="6558A20B" w14:textId="77777777" w:rsidR="00DF5721" w:rsidRPr="002C59D4" w:rsidRDefault="00DF5721" w:rsidP="00DF5721">
      <w:pPr>
        <w:spacing w:after="0" w:line="360" w:lineRule="auto"/>
        <w:rPr>
          <w:rFonts w:cstheme="minorHAnsi"/>
          <w:sz w:val="24"/>
          <w:szCs w:val="24"/>
          <w:lang w:eastAsia="zh-CN"/>
        </w:rPr>
      </w:pPr>
      <w:bookmarkStart w:id="10" w:name="_Hlk131077404"/>
      <w:r w:rsidRPr="002C59D4">
        <w:rPr>
          <w:rFonts w:cstheme="minorHAnsi"/>
          <w:sz w:val="24"/>
          <w:szCs w:val="24"/>
          <w:lang w:eastAsia="zh-CN"/>
        </w:rPr>
        <w:t xml:space="preserve">Na podstawie danych z Planu gospodarowania wodami na obszarze dorzecza Wisły opublikowanym w Rozporządzeniu Rady Ministrów dnia 4 listopada 2022 r. (Dz. U. z 2023 r., poz. 300), stwierdzono iż przedsięwzięcie znajduje się w regionie wodnym Dolnej Wisły, na obszarze następujących jednolitych części wód: </w:t>
      </w:r>
    </w:p>
    <w:p w14:paraId="144D7E54" w14:textId="77777777" w:rsidR="00DF5721" w:rsidRPr="002C59D4" w:rsidRDefault="00DF5721" w:rsidP="001C51E6">
      <w:pPr>
        <w:pStyle w:val="Akapitzlist"/>
        <w:numPr>
          <w:ilvl w:val="0"/>
          <w:numId w:val="24"/>
        </w:numPr>
        <w:spacing w:after="0" w:line="360" w:lineRule="auto"/>
        <w:rPr>
          <w:rFonts w:cstheme="minorHAnsi"/>
          <w:sz w:val="24"/>
          <w:szCs w:val="24"/>
          <w:lang w:eastAsia="zh-CN"/>
        </w:rPr>
      </w:pPr>
      <w:r w:rsidRPr="002C59D4">
        <w:rPr>
          <w:rFonts w:cstheme="minorHAnsi"/>
          <w:sz w:val="24"/>
          <w:szCs w:val="24"/>
          <w:lang w:eastAsia="zh-CN"/>
        </w:rPr>
        <w:t xml:space="preserve">powierzchniowych: </w:t>
      </w:r>
    </w:p>
    <w:p w14:paraId="021BCB9E" w14:textId="77777777" w:rsidR="001C51E6" w:rsidRPr="002C59D4" w:rsidRDefault="00DF5721" w:rsidP="00DF5721">
      <w:pPr>
        <w:pStyle w:val="Akapitzlist"/>
        <w:numPr>
          <w:ilvl w:val="0"/>
          <w:numId w:val="25"/>
        </w:numPr>
        <w:spacing w:after="0" w:line="360" w:lineRule="auto"/>
        <w:rPr>
          <w:rFonts w:cstheme="minorHAnsi"/>
          <w:sz w:val="24"/>
          <w:szCs w:val="24"/>
          <w:lang w:eastAsia="zh-CN"/>
        </w:rPr>
      </w:pPr>
      <w:r w:rsidRPr="002C59D4">
        <w:rPr>
          <w:rFonts w:cstheme="minorHAnsi"/>
          <w:sz w:val="24"/>
          <w:szCs w:val="24"/>
          <w:lang w:eastAsia="zh-CN"/>
        </w:rPr>
        <w:t xml:space="preserve">kod PLRW2000165499 – Elbląg od Młynówki do ujścia. Stanowi ona silnie zmienioną część wód, jest monitorowana. Jej stan ogólny określono jako zły (potencjał ekologiczny zły, stan chemiczny poniżej dobrego). JCWP jest zagrożona ryzykiem nieosiągnięcia celów środowiskowych. Cel środowiskowy dla JCWP to dobry potencjał ekologiczny, zapewnienie drożności cieku dla migracji gatunków o znaczeniu gospodarczym na </w:t>
      </w:r>
      <w:r w:rsidRPr="002C59D4">
        <w:rPr>
          <w:rFonts w:cstheme="minorHAnsi"/>
          <w:sz w:val="24"/>
          <w:szCs w:val="24"/>
          <w:lang w:eastAsia="zh-CN"/>
        </w:rPr>
        <w:lastRenderedPageBreak/>
        <w:t xml:space="preserve">odcinku cieku głównego Elbląg od jez. Drużno do ujścia (dla węgorza europejskiego) oraz stan chemiczny: dla złagodzonych wskaźników [benzo(a)piren(w)] poniżej stanu dobrego, dla pozostałych wskaźników - stan dobry. W JCWP znajdują się obszary chronione przeznaczone do ochrony siedlisk lub gatunków, o których mowa w przepisach ustawy                 z dnia 16 kwietnia 2004 r. o ochronie przyrody, dla których utrzymanie lub poprawa stanu wód jest ważnym czynnikiem w ich ochronie dla którego cele środowiskowe zostały określone w akcie będącym podstawą prawną obszaru, planowane przedsięwzięcie znajduje się poza obszarami objętymi ochroną prawną; </w:t>
      </w:r>
    </w:p>
    <w:p w14:paraId="5E8084A6" w14:textId="7E0432BF" w:rsidR="00DF5721" w:rsidRPr="002C59D4" w:rsidRDefault="00DF5721" w:rsidP="00DF5721">
      <w:pPr>
        <w:pStyle w:val="Akapitzlist"/>
        <w:numPr>
          <w:ilvl w:val="0"/>
          <w:numId w:val="25"/>
        </w:numPr>
        <w:spacing w:after="0" w:line="360" w:lineRule="auto"/>
        <w:rPr>
          <w:rFonts w:cstheme="minorHAnsi"/>
          <w:sz w:val="24"/>
          <w:szCs w:val="24"/>
          <w:lang w:eastAsia="zh-CN"/>
        </w:rPr>
      </w:pPr>
      <w:r w:rsidRPr="002C59D4">
        <w:rPr>
          <w:rFonts w:cstheme="minorHAnsi"/>
          <w:sz w:val="24"/>
          <w:szCs w:val="24"/>
          <w:lang w:eastAsia="zh-CN"/>
        </w:rPr>
        <w:t>kod PLRW2000155269 – Kanał Jagielloński. Stanowi ona sztuczną część wód, jest monitorowana. Jej stan ogólny określono jako zły (umiarkowany potencjał ekologiczny). JCWP jest zagrożona ryzykiem nieosiągnięcia celów środowiskowych. Cel środowiskowy dla JCWP to umiarkowany potencjał ekologiczny (złagodzone wskaźniki: [przewodność elektrolityczna właściwa w 20°C (maksymalna dopuszczalna wartość w wodzie: do 2740 μS/cm)]; pozostałe wskaźniki - II klasa jakości) oraz dobry stan chemiczny. W JCWP znajdują się obszary chronione przeznaczone do ochrony siedlisk lub gatunków, o których mowa w przepisach ustawy z dnia 16 kwietnia 2004 r. o ochronie przyrody, dla których utrzymanie lub poprawa stanu wód jest ważnym czynnikiem w ich ochronie dla którego cele środowiskowe zostały określone w akcie będącym podstawą prawną obszaru, planowane przedsięwzięcie znajduje się poza obszarami objętymi ochroną prawną;</w:t>
      </w:r>
    </w:p>
    <w:p w14:paraId="036DBF88" w14:textId="77777777" w:rsidR="00DF5721" w:rsidRPr="002C59D4" w:rsidRDefault="00DF5721" w:rsidP="001C51E6">
      <w:pPr>
        <w:pStyle w:val="Akapitzlist"/>
        <w:numPr>
          <w:ilvl w:val="0"/>
          <w:numId w:val="24"/>
        </w:numPr>
        <w:spacing w:after="0" w:line="360" w:lineRule="auto"/>
        <w:rPr>
          <w:rFonts w:cstheme="minorHAnsi"/>
          <w:sz w:val="24"/>
          <w:szCs w:val="24"/>
          <w:lang w:eastAsia="zh-CN"/>
        </w:rPr>
      </w:pPr>
      <w:r w:rsidRPr="002C59D4">
        <w:rPr>
          <w:rFonts w:cstheme="minorHAnsi"/>
          <w:sz w:val="24"/>
          <w:szCs w:val="24"/>
          <w:lang w:eastAsia="zh-CN"/>
        </w:rPr>
        <w:t xml:space="preserve">podziemnych: </w:t>
      </w:r>
    </w:p>
    <w:p w14:paraId="220EA605" w14:textId="77777777" w:rsidR="001C51E6" w:rsidRPr="002C59D4" w:rsidRDefault="00DF5721" w:rsidP="00DF5721">
      <w:pPr>
        <w:pStyle w:val="Akapitzlist"/>
        <w:numPr>
          <w:ilvl w:val="0"/>
          <w:numId w:val="26"/>
        </w:numPr>
        <w:spacing w:after="0" w:line="360" w:lineRule="auto"/>
        <w:rPr>
          <w:rFonts w:cstheme="minorHAnsi"/>
          <w:sz w:val="24"/>
          <w:szCs w:val="24"/>
          <w:lang w:eastAsia="zh-CN"/>
        </w:rPr>
      </w:pPr>
      <w:r w:rsidRPr="002C59D4">
        <w:rPr>
          <w:rFonts w:cstheme="minorHAnsi"/>
          <w:sz w:val="24"/>
          <w:szCs w:val="24"/>
          <w:lang w:eastAsia="zh-CN"/>
        </w:rPr>
        <w:t>kod PLGW200018 – JCWPd charakteryzuje się dobrym stanem ilościowym oraz chemicznym. JCWPd nie jest zagrożona ryzykiem nieosiągnięcia celów środowiskowych. Cel środowiskowy dla JCWPd to utrzymanie dobrego stanu ilościowego oraz chemicznego;</w:t>
      </w:r>
    </w:p>
    <w:p w14:paraId="16EE8F90" w14:textId="47BC68D6" w:rsidR="00DF5721" w:rsidRPr="002C59D4" w:rsidRDefault="00DF5721" w:rsidP="00DF5721">
      <w:pPr>
        <w:pStyle w:val="Akapitzlist"/>
        <w:numPr>
          <w:ilvl w:val="0"/>
          <w:numId w:val="26"/>
        </w:numPr>
        <w:spacing w:after="0" w:line="360" w:lineRule="auto"/>
        <w:rPr>
          <w:rFonts w:cstheme="minorHAnsi"/>
          <w:sz w:val="24"/>
          <w:szCs w:val="24"/>
          <w:lang w:eastAsia="zh-CN"/>
        </w:rPr>
      </w:pPr>
      <w:r w:rsidRPr="002C59D4">
        <w:rPr>
          <w:rFonts w:cstheme="minorHAnsi"/>
          <w:sz w:val="24"/>
          <w:szCs w:val="24"/>
          <w:lang w:eastAsia="zh-CN"/>
        </w:rPr>
        <w:t>kod PLGW200016 – JCWPd charakteryzuje się dobrym stanem ilościowym oraz chemicznym. JCWPd nie jest zagrożona ryzykiem nieosiągnięcia celów środowiskowych. Cel środowiskowy dla JCWPd to utrzymanie dobrego stanu ilościowego oraz chemicznego.</w:t>
      </w:r>
    </w:p>
    <w:bookmarkEnd w:id="10"/>
    <w:p w14:paraId="5906395D" w14:textId="4041D84C"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Z opinii Dyrektora Regionalnego Zarządu Gospodarki Wodnej w Gdańsku wynika, że roboty czerpalne na odcinku toru wodnego od punktu P2 do punktu Port będą powodować oddziaływania na wody w fazie budowy, jednak ze względu na niewielki zakres robót (odcinek ok. 900 m, objętość urobku ok. 117 tys. m³) nie będą to oddziaływania znaczące. Dotyczą one </w:t>
      </w:r>
      <w:r w:rsidRPr="002C59D4">
        <w:rPr>
          <w:rFonts w:cstheme="minorHAnsi"/>
          <w:sz w:val="24"/>
          <w:szCs w:val="24"/>
          <w:lang w:eastAsia="zh-CN"/>
        </w:rPr>
        <w:lastRenderedPageBreak/>
        <w:t>chwilowego i lokalnego zwiększenia zawartości zawiesiny w wodzie podczas robót pogłębiarskich. Roboty czerpalne będą prowadzone poza okresem tarła ciosy. Podejmowanie zanieczyszczonego urobku (przekroczenia poziomów WWA w tym benzo(a)pirenu) przy zachowaniu należytej staranności nie spowoduje dodatkowej podaży benzo(a)pirenu w wodzie (objętych odstępstwem dla tego wskaźnika z art. 4.5 RDW).</w:t>
      </w:r>
    </w:p>
    <w:p w14:paraId="5ED38B83" w14:textId="508FA060"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Z uwagi na fakt, iż celem środowiskowym jest zapewnienie drożności cieku dla migracji gatunków o znaczeniu gospodarczym na odcinku cieku głównego Elbląg od jez. Drużno do ujścia (dla węgorza europejskiego) nałożono na Inwestora obowiązek, aby w okresie migracji zstępującej węgorza tj. od 1 września do 30 listopada, prace prowadzić w miarę możliwości wyłącznie w ciągu jasnej części doby, tj. od wschodu do zachodu słońca. Ponadto z karty informacyjnej wynika, że w okresie wiosennym rzeka Elbląg stanowi miejsce migracji rozrodczych ciosy z Zalewu Wiślanego w kierunku jeziora Drużno. W związku z tym w przypadku prowadzenia robót czerpalnych podczas tarła ciosy, tj. w okresie od 1 kwietnia do 15 czerwca może dojść do zaburzenia lub zniszczenia tarła, zatem warunkiem minimalizującym ten negatywny wpływ jest prowadzenia prac czerpalnych poza za tym okresem, do czego zobowiązano Inwestora w sentencji niniejszej decyzji. </w:t>
      </w:r>
    </w:p>
    <w:p w14:paraId="749BFB8D" w14:textId="2A88D6C1"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W fazie funkcjonowania nie przewiduje się możliwości wystąpienia negatywnych oddziaływań na cele środowiskowe ponieważ wykonanie robót pogłębiarskich nie zmieni charakteru koryta rzeki i nie będzie w sposób trwały ingerowało w brzegi rzeki. Wykonanie pogłębienia w</w:t>
      </w:r>
      <w:r w:rsidR="001C51E6" w:rsidRPr="002C59D4">
        <w:rPr>
          <w:rFonts w:cstheme="minorHAnsi"/>
          <w:sz w:val="24"/>
          <w:szCs w:val="24"/>
          <w:lang w:eastAsia="zh-CN"/>
        </w:rPr>
        <w:t xml:space="preserve"> </w:t>
      </w:r>
      <w:r w:rsidRPr="002C59D4">
        <w:rPr>
          <w:rFonts w:cstheme="minorHAnsi"/>
          <w:sz w:val="24"/>
          <w:szCs w:val="24"/>
          <w:lang w:eastAsia="zh-CN"/>
        </w:rPr>
        <w:t xml:space="preserve">środkowej części profilu poprzecznego – do głębokości 5 m i wybieranie namułów zalegających dno nie zmieni w sposób trwały warunków hydromorfologicznych. Planowana inwestycja nie wiąże się z przegradzaniem cieku w związku z tym nie przyczyni się do zakłócenia migracji węgorza. </w:t>
      </w:r>
    </w:p>
    <w:p w14:paraId="1F0E3DB2"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W związku z powyższym uwzględniając </w:t>
      </w:r>
      <w:bookmarkStart w:id="11" w:name="_Hlk131077496"/>
      <w:r w:rsidRPr="002C59D4">
        <w:rPr>
          <w:rFonts w:cstheme="minorHAnsi"/>
          <w:sz w:val="24"/>
          <w:szCs w:val="24"/>
          <w:lang w:eastAsia="zh-CN"/>
        </w:rPr>
        <w:t>charakter, skalę i lokalizację przedsięwzięcia nie przewiduje się negatywnego oddziaływania przedmiotowego przedsięwzięcia na stan jednolitych części wód oraz na realizację celów środowiskowych, określonych dla nich w „Planie gospodarowania wodami na obszarze dorzecza Wisły”, przyjętym rozporządzeniem Rady Ministrów z dnia 4 listopada 2022 r. (Dz. U. z 2023 r., poz. 300).</w:t>
      </w:r>
      <w:bookmarkStart w:id="12" w:name="_Hlk131076783"/>
      <w:bookmarkEnd w:id="11"/>
    </w:p>
    <w:p w14:paraId="4D7D6263" w14:textId="77777777" w:rsidR="001C51E6"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Inwestycja nie jest zlokalizowana na obszarze przyrodniczo cennym, objętym ochroną w rozumieniu ustawy z dnia 16 kwietnia 2004 r. o ochronie przyrody (Dz. U. z 2024 r. poz. 1478). Najbliżej zlokalizowane obszary Natura 2000 to Jezioro Drużno PLB280013 oddalony </w:t>
      </w:r>
      <w:r w:rsidRPr="002C59D4">
        <w:rPr>
          <w:rFonts w:cstheme="minorHAnsi"/>
          <w:sz w:val="24"/>
          <w:szCs w:val="24"/>
          <w:lang w:eastAsia="zh-CN"/>
        </w:rPr>
        <w:br/>
        <w:t xml:space="preserve">o ok. 3,5 km, Zalew Wiślany PLB280010 oraz Zalew Wiślany i Mierzeja Wiślana PLH28000, oddalone o ok. 4 km od planowanego przedsięwzięcia. Inwestycja będzie częściowo </w:t>
      </w:r>
      <w:r w:rsidRPr="002C59D4">
        <w:rPr>
          <w:rFonts w:cstheme="minorHAnsi"/>
          <w:sz w:val="24"/>
          <w:szCs w:val="24"/>
          <w:lang w:eastAsia="zh-CN"/>
        </w:rPr>
        <w:lastRenderedPageBreak/>
        <w:t xml:space="preserve">zlokalizowana w sąsiedztwie terenów zabudowanych i użytkowanych. Długość odcinka rzeki, na którym planowane są prace jest stosunkowo niewielka, a wschodni brzeg rzeki jest prawie                    w całości umocniony, wyjątkiem jest kilkadziesiąt metrów porośniętego roślinnością nabrzeża </w:t>
      </w:r>
      <w:r w:rsidRPr="002C59D4">
        <w:rPr>
          <w:rFonts w:cstheme="minorHAnsi"/>
          <w:sz w:val="24"/>
          <w:szCs w:val="24"/>
          <w:lang w:eastAsia="zh-CN"/>
        </w:rPr>
        <w:br/>
        <w:t>w okolicy punktu P2 i funkcjonuje jako betonowe nabrzeże portowe ze ścianką larsenowską. Otoczenie toru wodnego na odcinku P2 – Port stanowią tereny zielone – taras zalewowy (lewy brzeg) oraz tereny magazynowe, przemysłowe i portowe (prawy brzeg i ok. połowy odcinka brzegu lewego). Przedsięwzięcie będzie realizowana poza obszarowymi formami ochrony przyrody. Nie przewiduje się aby planowane prace, wykonywane w oddaleniu od obszarów Natura 2000, przy użyciu sprawnego sprzętu, odpowiedniej technologii oraz przy zachowaniu zasad bezpieczeństwa i środków minimalizujących wpływ na środowisko przyrodnicze miały znacząco negatywne oddziaływanie na cele, przedmioty ochrony i integralność obszarów Natura 2000.</w:t>
      </w:r>
    </w:p>
    <w:p w14:paraId="3B04A2A9" w14:textId="0213D274"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Przedmiotowa inwestycja zlokalizowana jest poza graniami korytarzy ekologicznych. Najbliższy korytarz ekologiczny przebiega przez rezerwat przyrody Zatoka Elbląska w odległości ok. 4 km od miejsca realizacji planowanego przedsięwzięcia. Niezależnie od braku formalnego uznania analizowanego odcinka rzeki Elbląg za korytarz ekologiczny, cała rzeka Elbląg pełni istotną funkcję korytarza migracyjnego ryb odbywających wędrówki rozrodcze, żerowiskowe oraz sezonowe między Zalewem Wiślanym a Jeziorem Drużno.</w:t>
      </w:r>
    </w:p>
    <w:p w14:paraId="3BE10CEE" w14:textId="0107997D"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Realizacja inwestycji w części lądowej będzie wiązała się ze zniszczeniem występujących tam siedlisk. W 2024 roku przeprowadzono weryfikację botaniczną i fitosocjologiczną aktualnego stanu płatów zbiorowisk roślinnych. Kontroli podlegały tereny położone w obrębie lądowej części obszaru przedsięwzięcia (fragment cypla u rozwidlenia rzeki Elbląg i Kanału Jagiellońskiego)</w:t>
      </w:r>
      <w:r w:rsidR="001C51E6" w:rsidRPr="002C59D4">
        <w:rPr>
          <w:rFonts w:cstheme="minorHAnsi"/>
          <w:sz w:val="24"/>
          <w:szCs w:val="24"/>
          <w:lang w:eastAsia="zh-CN"/>
        </w:rPr>
        <w:t xml:space="preserve"> </w:t>
      </w:r>
      <w:r w:rsidRPr="002C59D4">
        <w:rPr>
          <w:rFonts w:cstheme="minorHAnsi"/>
          <w:sz w:val="24"/>
          <w:szCs w:val="24"/>
          <w:lang w:eastAsia="zh-CN"/>
        </w:rPr>
        <w:t>i jego potencjalnego oddziaływania. Jedynym potwierdzonym podczas weryfikacji chronionym gatunkiem bezkręgowców był ślimak winniczek Helix pomatia. Lokalną populację tego gatunku z uwagi na korzystne warunki siedliskowe, oszacowano na 50 do 200 osobników. Nie przewiduje się negatywnego oddziaływania planowanej inwestycji na stan populacji krajowej czy też lokalnej ślimaka winniczka w wyniku realizacji inwestycji. Na obszarze planowanych przedsięwzięć poza winniczkiem nie stwierdzono innych gatunków bezkręgowców podlegających ochronie prawnej zgodnie z rozporządzeniem Ministra Środowiska z dnia 16 grudnia 2016 r. w sprawie ochrony gatunkowej zwierząt.</w:t>
      </w:r>
    </w:p>
    <w:p w14:paraId="43B9DF07" w14:textId="33555C11"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W badanym obszarze stwierdzono dwa gatunki chronionych ssaków lądowych tj.: kreta Talpa europaea oraz bobra europejskiego Castor fiber. Odnotowano obecność kretowisk, wskazujących na wykorzystanie części terenu przez 1-2 osobniki kreta oraz zlokalizowano dwie </w:t>
      </w:r>
      <w:r w:rsidRPr="002C59D4">
        <w:rPr>
          <w:rFonts w:cstheme="minorHAnsi"/>
          <w:sz w:val="24"/>
          <w:szCs w:val="24"/>
          <w:lang w:eastAsia="zh-CN"/>
        </w:rPr>
        <w:lastRenderedPageBreak/>
        <w:t>opuszczone nory bobra europejskiego. W związku z realizacją planowanej inwestycji ograniczeniu ulegnie powierzchnia, która może być wykorzystywana przez przedstawicieli teriofauny do żerowania. Jednak powierzchnia zajęcia ewentualnych żerowisk dla ssaków nie jest znacząca, dlatego nie przewiduje się aby realizacja planowanej inwestycji wpłynęła</w:t>
      </w:r>
      <w:r w:rsidR="001C51E6" w:rsidRPr="002C59D4">
        <w:rPr>
          <w:rFonts w:cstheme="minorHAnsi"/>
          <w:sz w:val="24"/>
          <w:szCs w:val="24"/>
          <w:lang w:eastAsia="zh-CN"/>
        </w:rPr>
        <w:t xml:space="preserve"> </w:t>
      </w:r>
      <w:r w:rsidRPr="002C59D4">
        <w:rPr>
          <w:rFonts w:cstheme="minorHAnsi"/>
          <w:sz w:val="24"/>
          <w:szCs w:val="24"/>
          <w:lang w:eastAsia="zh-CN"/>
        </w:rPr>
        <w:t>negatywnie na przedstawicieli teriofauny.</w:t>
      </w:r>
    </w:p>
    <w:p w14:paraId="4CADDDD8" w14:textId="07A38801"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W rejonie planowanego przedsięwzięcia odnotowano 12 gatunków ptaków, z czego</w:t>
      </w:r>
      <w:r w:rsidRPr="002C59D4">
        <w:rPr>
          <w:rFonts w:cstheme="minorHAnsi"/>
          <w:sz w:val="24"/>
          <w:szCs w:val="24"/>
          <w:lang w:eastAsia="zh-CN"/>
        </w:rPr>
        <w:br/>
        <w:t xml:space="preserve">w przypadku 4 gatunków były to stwierdzenia wyłącznie nielęgowe. Bezpośrednio w granicach obszaru ingerencji w brzeg stwierdzono możliwość lub prawdopodobieństwo gniazdowania </w:t>
      </w:r>
      <w:r w:rsidRPr="002C59D4">
        <w:rPr>
          <w:rFonts w:cstheme="minorHAnsi"/>
          <w:sz w:val="24"/>
          <w:szCs w:val="24"/>
          <w:lang w:eastAsia="zh-CN"/>
        </w:rPr>
        <w:br/>
        <w:t>5 gatunków ptaków. Analizując możliwość oddziaływania projektowanej inwestycji na awifaunę głównie lęgową należy podkreślić, że obszar na którym planuje się lokalizację obrotnicy ma niewielką powierzchnię. Należy więc przyjąć, że w związku z realizacją planowanego przedsięwzięcia nie dojdzie do wystąpienia znaczących negatywnych oddziaływań na grupę ptaków związanych z zadrzewieniami, zaroślami, szuwarem trzcinowym pod warunkiem, że zaplanowana wycinka przeprowadzona zostanie poza okresem lęgowym występujących na nim ptaków</w:t>
      </w:r>
      <w:r w:rsidR="006C552A">
        <w:rPr>
          <w:rFonts w:cstheme="minorHAnsi"/>
          <w:sz w:val="24"/>
          <w:szCs w:val="24"/>
          <w:lang w:eastAsia="zh-CN"/>
        </w:rPr>
        <w:t>.</w:t>
      </w:r>
    </w:p>
    <w:p w14:paraId="45247A31"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W stosunku do nietoperzy wskazano, że w granicach obszaru poddanego weryfikacji brak jest jakichkolwiek siedlisk/kryjówek mogących stanowić potencjalne schronienie letnie lub zimowe nietoperzy.</w:t>
      </w:r>
    </w:p>
    <w:p w14:paraId="237071A9" w14:textId="305A3DF3"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Na terenie planowanego przedsięwzięcia nie stwierdzono występowania gadów. Podczas prowadzonych oględzin terenu nie stwierdzono osobników płazów. Jednak z uwagi na występowania odpowiednich siedlisk i kryjówek dla tej grupy zwierząt na analizowanym obszarze zakłada się możliwość występowania przedstawicieli kompleksu żab zielonych - żaby wodnej i żaby śmieszki, w strefie brzegowej weryfikowanego obszaru. Prace terenowe były prowadzone podczas jednodniowej kontroli, która została wykonana poza okresem migracji wiosennej i jesiennej płazów. Na podstawie warunków siedliskowych założono, że obszar ten potencjalnie może być wykorzystywany przez osobniki należące do gatunków m.in. tj. ropucha szara Bufo bufo, żaba trawna Rana temporaria, grzebiuszka ziemna Pelobates fuscus, traszka zwyczajna Lissotriton vulgaris, które mogą okazjonalnie przemieszczać się w granicach obszaru oddziaływania planowanego przedsięwzięcia. Nie przewiduje się wystąpienia bezpośredniego negatywnego oddziaływania projektowanej inwestycji na płazy i stan ich siedlisk.</w:t>
      </w:r>
    </w:p>
    <w:p w14:paraId="2BC51B4A"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Zgodnie z przedłożoną dokumentacją koryto rzeki Elbląg na całym odcinku między Zalewem Wiślanym, a jeziorem Drużno jest sztucznie uregulowane z obu stron. Pomimo złych warunków siedliskowych (eutrofizacja, zamulenie) rzeka stanowi istotny łącznik między dwoma cennymi </w:t>
      </w:r>
      <w:r w:rsidRPr="002C59D4">
        <w:rPr>
          <w:rFonts w:cstheme="minorHAnsi"/>
          <w:sz w:val="24"/>
          <w:szCs w:val="24"/>
          <w:lang w:eastAsia="zh-CN"/>
        </w:rPr>
        <w:lastRenderedPageBreak/>
        <w:t xml:space="preserve">przyrodniczo akwenami, jakimi są jezioro Drużno i Zalew Wiślany. Rzeka Elbląg pełni funkcję korytarza migracyjnego ryb odbywających wędrówki rozrodcze, żerowiskowe oraz sezonowe między Zalewem Wiślanym, a Jeziorem Drużno. Najbardziej intensywne są migracje wiosenne ryb karpiowatych np. leszcz i ciosa z Zalewu Wiślanego w kierunku jeziora Drużno oraz prawdopodobnie również minogów rzecznych wędrujących z morza do wpływających do jeziora Drużno rzek Wąskiej i Dzierzgonki. W odwrotnym kierunku w tym okresie spływają smolty anadromicznych ryb łososiowatych. Natomiast w okresie jesiennym swoją migrację mają ryby dwuśrodowiskowe, jak troć wędrowna i węgorz, przy czym ta pierwsza wędruje w kierunku rzek, gdzie odbywa tarło, natomiast węgorze jako ryby katadromiczne migrują z wód słodkich do morza. Ciągłość i drożność rzeki Elbląg jest warunkiem utrzymania korytarza ekologicznego dla ichtiofauny. Zgodnie z informacjami zawartymi w Projekcie Prognozy oddziaływania na środowisko projektu Planu zagospodarowania przestrzennego akwenów portu morskiego </w:t>
      </w:r>
      <w:r w:rsidRPr="002C59D4">
        <w:rPr>
          <w:rFonts w:cstheme="minorHAnsi"/>
          <w:sz w:val="24"/>
          <w:szCs w:val="24"/>
          <w:lang w:eastAsia="zh-CN"/>
        </w:rPr>
        <w:br/>
        <w:t>w Elblągu v.3. opracowanym przez Instytut Morski Uniwersytetu Morskiego w Gdyni (Michałek M. i in., 2022) w rzece Elbląg stwierdzono występowanie 19 gatunków ryb. Najliczniejsze są ryby karpiowate (krąp, płoć, ukleja oraz okoń). Z gatunków cennych przyrodniczo stwierdzono kozę pospolitą Cobitis taenia i różankę Rhodeus amarus. W okresie wiosennym rzeka stanowi szlak migracji rozrodczych cennej przyrodniczo ciosy Pelecus cultratus z Zalewu Wiślanego w kierunku jeziora Drużno. Ponadto, do rzek w zlewni jeziora Drużno okresowo migrują stynka, troć wędrowna, minóg rzeczny, węgorz.</w:t>
      </w:r>
    </w:p>
    <w:p w14:paraId="43B4B6E1"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Roboty czerpalne na odcinku toru wodnego od punktu P2 do punktu Port będą powodować oddziaływania na wody w fazie budowy, jednak ze względu na niewielki zakres robót, odcinek ok. 900 m, objętość urobku ok. 117 tys. m² nie będą to oddziaływania znaczące. Dotyczą one chwilowego i lokalnego zwiększenia zawartości zawiesiny w wodzie podczas robót pogłębiarskich. Roboty czerpalne będą prowadzone poza okresem tarła ciosy. Prace nie będą wiązały się z przegradzaniem rzeki, dlatego nie spowodują zakłócenia drożności dla migracji ryb.</w:t>
      </w:r>
    </w:p>
    <w:p w14:paraId="06D8BD25"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W granicach obszaru objętego badaniami ponad 76 % powierzchni stanowią wody płynące, bez wykształconych zbiorowisk z wynurzoną roślinnością wodną. W części lądowej</w:t>
      </w:r>
      <w:r w:rsidRPr="002C59D4">
        <w:rPr>
          <w:rFonts w:cstheme="minorHAnsi"/>
          <w:sz w:val="24"/>
          <w:szCs w:val="24"/>
          <w:lang w:eastAsia="zh-CN"/>
        </w:rPr>
        <w:br/>
        <w:t>i przybrzeżnej dominują zbiorowiska krzewiaste oraz trzcinowiska i ziołorośla tj.:</w:t>
      </w:r>
    </w:p>
    <w:p w14:paraId="403C32BD" w14:textId="77777777" w:rsidR="002C59D4" w:rsidRPr="002C59D4" w:rsidRDefault="00DF5721" w:rsidP="00DF5721">
      <w:pPr>
        <w:pStyle w:val="Akapitzlist"/>
        <w:numPr>
          <w:ilvl w:val="0"/>
          <w:numId w:val="24"/>
        </w:numPr>
        <w:spacing w:after="0" w:line="360" w:lineRule="auto"/>
        <w:rPr>
          <w:rFonts w:cstheme="minorHAnsi"/>
          <w:sz w:val="24"/>
          <w:szCs w:val="24"/>
          <w:lang w:eastAsia="zh-CN"/>
        </w:rPr>
      </w:pPr>
      <w:r w:rsidRPr="002C59D4">
        <w:rPr>
          <w:rFonts w:cstheme="minorHAnsi"/>
          <w:sz w:val="24"/>
          <w:szCs w:val="24"/>
          <w:lang w:eastAsia="zh-CN"/>
        </w:rPr>
        <w:t>szuwar trzcinowy (Ass. Phragmitetum communis) – 9,6 % - ok. 0,77 ha;</w:t>
      </w:r>
    </w:p>
    <w:p w14:paraId="6C3F325A" w14:textId="77777777" w:rsidR="002C59D4" w:rsidRPr="002C59D4" w:rsidRDefault="00DF5721" w:rsidP="00DF5721">
      <w:pPr>
        <w:pStyle w:val="Akapitzlist"/>
        <w:numPr>
          <w:ilvl w:val="0"/>
          <w:numId w:val="24"/>
        </w:numPr>
        <w:spacing w:after="0" w:line="360" w:lineRule="auto"/>
        <w:rPr>
          <w:rFonts w:cstheme="minorHAnsi"/>
          <w:sz w:val="24"/>
          <w:szCs w:val="24"/>
          <w:lang w:eastAsia="zh-CN"/>
        </w:rPr>
      </w:pPr>
      <w:r w:rsidRPr="002C59D4">
        <w:rPr>
          <w:rFonts w:cstheme="minorHAnsi"/>
          <w:sz w:val="24"/>
          <w:szCs w:val="24"/>
          <w:lang w:eastAsia="zh-CN"/>
        </w:rPr>
        <w:t>zespół bzu czarnego (Ass. Sambucetum nigrae) – 8,2 % - ok. 0,66 ha;</w:t>
      </w:r>
    </w:p>
    <w:p w14:paraId="7CA37F66" w14:textId="77777777" w:rsidR="002C59D4" w:rsidRPr="002C59D4" w:rsidRDefault="00DF5721" w:rsidP="00DF5721">
      <w:pPr>
        <w:pStyle w:val="Akapitzlist"/>
        <w:numPr>
          <w:ilvl w:val="0"/>
          <w:numId w:val="24"/>
        </w:numPr>
        <w:spacing w:after="0" w:line="360" w:lineRule="auto"/>
        <w:rPr>
          <w:rFonts w:cstheme="minorHAnsi"/>
          <w:sz w:val="24"/>
          <w:szCs w:val="24"/>
          <w:lang w:eastAsia="zh-CN"/>
        </w:rPr>
      </w:pPr>
      <w:r w:rsidRPr="002C59D4">
        <w:rPr>
          <w:rFonts w:cstheme="minorHAnsi"/>
          <w:sz w:val="24"/>
          <w:szCs w:val="24"/>
          <w:lang w:eastAsia="zh-CN"/>
        </w:rPr>
        <w:t xml:space="preserve">zespół pokrzywy i kielisznika zaroślowego (Ass. Urtico-Calystegietum sepium) – 4,6% </w:t>
      </w:r>
      <w:r w:rsidRPr="002C59D4">
        <w:rPr>
          <w:rFonts w:cstheme="minorHAnsi"/>
          <w:sz w:val="24"/>
          <w:szCs w:val="24"/>
          <w:lang w:eastAsia="zh-CN"/>
        </w:rPr>
        <w:br/>
        <w:t>- ok. 0,37 ha;</w:t>
      </w:r>
    </w:p>
    <w:p w14:paraId="2DF56724" w14:textId="77777777" w:rsidR="002C59D4" w:rsidRPr="002C59D4" w:rsidRDefault="00DF5721" w:rsidP="00DF5721">
      <w:pPr>
        <w:pStyle w:val="Akapitzlist"/>
        <w:numPr>
          <w:ilvl w:val="0"/>
          <w:numId w:val="24"/>
        </w:numPr>
        <w:spacing w:after="0" w:line="360" w:lineRule="auto"/>
        <w:rPr>
          <w:rFonts w:cstheme="minorHAnsi"/>
          <w:sz w:val="24"/>
          <w:szCs w:val="24"/>
          <w:lang w:eastAsia="zh-CN"/>
        </w:rPr>
      </w:pPr>
      <w:r w:rsidRPr="002C59D4">
        <w:rPr>
          <w:rFonts w:cstheme="minorHAnsi"/>
          <w:sz w:val="24"/>
          <w:szCs w:val="24"/>
          <w:lang w:eastAsia="zh-CN"/>
        </w:rPr>
        <w:t xml:space="preserve">zadrzewienie (szpaler) wierzby białej (Salix alba) – 1,1 % - ok. 0,09 ha. </w:t>
      </w:r>
    </w:p>
    <w:p w14:paraId="6FCC7F15" w14:textId="757894E7" w:rsidR="00DF5721" w:rsidRPr="002C59D4" w:rsidRDefault="00DF5721" w:rsidP="002C59D4">
      <w:pPr>
        <w:spacing w:after="0" w:line="360" w:lineRule="auto"/>
        <w:rPr>
          <w:rFonts w:cstheme="minorHAnsi"/>
          <w:sz w:val="24"/>
          <w:szCs w:val="24"/>
          <w:lang w:eastAsia="zh-CN"/>
        </w:rPr>
      </w:pPr>
      <w:r w:rsidRPr="002C59D4">
        <w:rPr>
          <w:rFonts w:cstheme="minorHAnsi"/>
          <w:sz w:val="24"/>
          <w:szCs w:val="24"/>
          <w:lang w:eastAsia="zh-CN"/>
        </w:rPr>
        <w:lastRenderedPageBreak/>
        <w:t xml:space="preserve">Z przeprowadzonej weryfikacji przyrodniczej wynika, że powierzchnia zbiorowiska bzu czarnego w granicach obszaru przedsięwzięcia określona jako potencjalna powierzchnia usunięcia krzewów wynosić będzie ok. 0,22 ha. Wskazano, że pozostałe gatunki drzewiaste </w:t>
      </w:r>
      <w:r w:rsidRPr="002C59D4">
        <w:rPr>
          <w:rFonts w:cstheme="minorHAnsi"/>
          <w:sz w:val="24"/>
          <w:szCs w:val="24"/>
          <w:lang w:eastAsia="zh-CN"/>
        </w:rPr>
        <w:br/>
        <w:t xml:space="preserve">o obwodzie pnia przekraczającym 50 cm będą wymagały indywidualnych pomiarów pierśnicy, </w:t>
      </w:r>
      <w:r w:rsidRPr="002C59D4">
        <w:rPr>
          <w:rFonts w:cstheme="minorHAnsi"/>
          <w:sz w:val="24"/>
          <w:szCs w:val="24"/>
          <w:lang w:eastAsia="zh-CN"/>
        </w:rPr>
        <w:br/>
        <w:t xml:space="preserve">w celu indywidualnej kwalifikacji i wypełnienia wniosku o zezwolenie na wycinkę, składanego już po uzyskaniu decyzji na realizację przedsięwzięcia. Z uwagi na możliwość występowania gatunków chronionych w obrębie prowadzonej wycinki przed przystąpieniem do prac należy wykonać oględziny terenu w celu weryfikacji siedlisk, ukierunkowane na sprawdzenie zasiedlenie obszaru przez gatunki chronione roślin, zwierząt, grzybów, porostów w celu uzyskania stosownego zezwolenia na odstępstwa od zakazów w stosunku do chronionych gatunków roślin, zwierząt, grzybów, porostów. </w:t>
      </w:r>
    </w:p>
    <w:p w14:paraId="133449A9"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Planowane przedsięwzięcie spowoduje usunięcie fragmentu siedliska przyrodniczego 6430 – ok. 1260 m². W ujęciu procentowym stanowi to do 35 % powierzchni lokalnych płatów zbiorowiska stwierdzonych tylko w granicach weryfikowanego obszaru w rejonie południowego cypla Wyspy Nowakowskiej – czyli na ok. 300 m długości zwężeniu cypla. W trakcie przeprowadzonej weryfikacji nie stwierdzono obecności stanowisk gatunków roślin objętych ochroną gatunkową. Planowane przedsięwzięcie nie jest zlokalizowane w obszarze Europejskiej Sieci Ekologicznej Natura 2000. Wskazane powyżej zbiorowiska roślinne zajmują stosunkowo niewielkie powierzchnie, które ulegną przekształceniu oraz częściowemu zniszczeniu na potrzeby budowy obrotnicy. Efektami oddziaływania planowanego przedsięwzięcia przede wszystkim objęte będą ptaki lęgowe, osobniki ślimaka winniczka, osobniki kreta oraz bobra jeśli nadal występuje na tym obszarze, których siedliska zostaną bezpośrednio przekształcone podczas budowy obrotnicy oraz siedliska gatunków ryb związane z pracami w obrębie koryta rzeki. </w:t>
      </w:r>
      <w:r w:rsidRPr="002C59D4">
        <w:rPr>
          <w:rFonts w:cstheme="minorHAnsi"/>
          <w:sz w:val="24"/>
          <w:szCs w:val="24"/>
          <w:lang w:eastAsia="zh-CN"/>
        </w:rPr>
        <w:br/>
        <w:t>W wyniku prowadzonych prac może dojść również do płoszenia i niepokojenia gatunków objętych ochroną gatunkową zwierząt, jak również przypadkowego ich zabijania. W celu zminimalizowania wpływu na środowisko robót należy wprowadzić działania ochronne tj.:</w:t>
      </w:r>
    </w:p>
    <w:p w14:paraId="3FB45FC0" w14:textId="77777777" w:rsidR="002C59D4" w:rsidRPr="002C59D4" w:rsidRDefault="00DF5721" w:rsidP="002C59D4">
      <w:pPr>
        <w:pStyle w:val="Akapitzlist"/>
        <w:numPr>
          <w:ilvl w:val="0"/>
          <w:numId w:val="28"/>
        </w:numPr>
        <w:spacing w:after="0" w:line="360" w:lineRule="auto"/>
        <w:rPr>
          <w:rFonts w:cstheme="minorHAnsi"/>
          <w:sz w:val="24"/>
          <w:szCs w:val="24"/>
          <w:lang w:eastAsia="zh-CN"/>
        </w:rPr>
      </w:pPr>
      <w:bookmarkStart w:id="13" w:name="_Hlk180400155"/>
      <w:r w:rsidRPr="002C59D4">
        <w:rPr>
          <w:rFonts w:cstheme="minorHAnsi"/>
          <w:sz w:val="24"/>
          <w:szCs w:val="24"/>
          <w:lang w:eastAsia="zh-CN"/>
        </w:rPr>
        <w:t>roboty czerpalne należy prowadzić z wyłączeniem okresu tarła, który przypada na okres od 1 kwietnia do 15 czerwca, ze względu na tarło ciosy oraz możliwości ewentualnego występowania kozy i różanki,</w:t>
      </w:r>
      <w:r w:rsidR="002C59D4" w:rsidRPr="002C59D4">
        <w:rPr>
          <w:rFonts w:cstheme="minorHAnsi"/>
          <w:sz w:val="24"/>
          <w:szCs w:val="24"/>
          <w:lang w:eastAsia="zh-CN"/>
        </w:rPr>
        <w:t xml:space="preserve"> </w:t>
      </w:r>
    </w:p>
    <w:p w14:paraId="36A66C24" w14:textId="77777777" w:rsidR="002C59D4" w:rsidRPr="002C59D4" w:rsidRDefault="00DF5721" w:rsidP="002C59D4">
      <w:pPr>
        <w:pStyle w:val="Akapitzlist"/>
        <w:numPr>
          <w:ilvl w:val="0"/>
          <w:numId w:val="28"/>
        </w:numPr>
        <w:spacing w:after="0" w:line="360" w:lineRule="auto"/>
        <w:rPr>
          <w:rFonts w:cstheme="minorHAnsi"/>
          <w:sz w:val="24"/>
          <w:szCs w:val="24"/>
          <w:lang w:eastAsia="zh-CN"/>
        </w:rPr>
      </w:pPr>
      <w:r w:rsidRPr="002C59D4">
        <w:rPr>
          <w:rFonts w:cstheme="minorHAnsi"/>
          <w:sz w:val="24"/>
          <w:szCs w:val="24"/>
          <w:lang w:eastAsia="zh-CN"/>
        </w:rPr>
        <w:t xml:space="preserve">prace związane z pogłębianiem i poszerzeniem koryta rzeki należy prowadzić poza okresem migracji ryb, w okresie migracji zstępującej węgorza tj. od 1 września do 30 listopada, prace należy prowadzić w miarę możliwości wyłącznie w ciągu jasnej części doby, tj. od wschodu do zachodu słońca, </w:t>
      </w:r>
    </w:p>
    <w:p w14:paraId="1C6F609B" w14:textId="77777777" w:rsidR="002C59D4" w:rsidRPr="002C59D4" w:rsidRDefault="00DF5721" w:rsidP="00DF5721">
      <w:pPr>
        <w:pStyle w:val="Akapitzlist"/>
        <w:numPr>
          <w:ilvl w:val="0"/>
          <w:numId w:val="28"/>
        </w:numPr>
        <w:spacing w:after="0" w:line="360" w:lineRule="auto"/>
        <w:rPr>
          <w:rFonts w:cstheme="minorHAnsi"/>
          <w:sz w:val="24"/>
          <w:szCs w:val="24"/>
          <w:lang w:eastAsia="zh-CN"/>
        </w:rPr>
      </w:pPr>
      <w:r w:rsidRPr="002C59D4">
        <w:rPr>
          <w:rFonts w:cstheme="minorHAnsi"/>
          <w:sz w:val="24"/>
          <w:szCs w:val="24"/>
          <w:lang w:eastAsia="zh-CN"/>
        </w:rPr>
        <w:lastRenderedPageBreak/>
        <w:t>należy zaniechać prac czerpalnych podczas występowania zjawiska cofki,</w:t>
      </w:r>
    </w:p>
    <w:p w14:paraId="7984AC04" w14:textId="74C61393" w:rsidR="002C59D4" w:rsidRPr="002C59D4" w:rsidRDefault="00DF5721" w:rsidP="00DF5721">
      <w:pPr>
        <w:pStyle w:val="Akapitzlist"/>
        <w:numPr>
          <w:ilvl w:val="0"/>
          <w:numId w:val="28"/>
        </w:numPr>
        <w:spacing w:after="0" w:line="360" w:lineRule="auto"/>
        <w:rPr>
          <w:rFonts w:cstheme="minorHAnsi"/>
          <w:sz w:val="24"/>
          <w:szCs w:val="24"/>
          <w:lang w:eastAsia="zh-CN"/>
        </w:rPr>
      </w:pPr>
      <w:r w:rsidRPr="002C59D4">
        <w:rPr>
          <w:rFonts w:cstheme="minorHAnsi"/>
          <w:sz w:val="24"/>
          <w:szCs w:val="24"/>
          <w:lang w:eastAsia="zh-CN"/>
        </w:rPr>
        <w:t>usunięcie drzew, krzewów i szuwaru na cyplu w rozwidleniu rzeki Elbląg i Kanału Jagiellońskiego, związane z wykonaniem obrotnicy należy wykonać w okresie od 16 października do 28/29 lutego ze względu na okres lęgowy ptaków</w:t>
      </w:r>
      <w:r w:rsidR="0068663F">
        <w:rPr>
          <w:rFonts w:cstheme="minorHAnsi"/>
          <w:sz w:val="24"/>
          <w:szCs w:val="24"/>
          <w:lang w:eastAsia="zh-CN"/>
        </w:rPr>
        <w:t>.</w:t>
      </w:r>
    </w:p>
    <w:p w14:paraId="1944EA1A" w14:textId="77777777" w:rsidR="002C59D4" w:rsidRPr="002C59D4" w:rsidRDefault="00DF5721" w:rsidP="00DF5721">
      <w:pPr>
        <w:pStyle w:val="Akapitzlist"/>
        <w:numPr>
          <w:ilvl w:val="0"/>
          <w:numId w:val="28"/>
        </w:numPr>
        <w:spacing w:after="0" w:line="360" w:lineRule="auto"/>
        <w:rPr>
          <w:rFonts w:cstheme="minorHAnsi"/>
          <w:sz w:val="24"/>
          <w:szCs w:val="24"/>
          <w:lang w:eastAsia="zh-CN"/>
        </w:rPr>
      </w:pPr>
      <w:r w:rsidRPr="002C59D4">
        <w:rPr>
          <w:rFonts w:cstheme="minorHAnsi"/>
          <w:sz w:val="24"/>
          <w:szCs w:val="24"/>
          <w:lang w:eastAsia="zh-CN"/>
        </w:rPr>
        <w:t>przed przystąpieniem do prac związanych z budową obrotnicy należy przeprowadzić weryfikację siedlisk pod kątem występowania gatunków chronionych zwierząt, w celu uzyskania stosownych zezwoleń na odstępstwa od zakazów na czynności zabronione;</w:t>
      </w:r>
    </w:p>
    <w:p w14:paraId="7474FC8E" w14:textId="2380A4F4" w:rsidR="00DF5721" w:rsidRPr="002C59D4" w:rsidRDefault="00DF5721" w:rsidP="00DF5721">
      <w:pPr>
        <w:pStyle w:val="Akapitzlist"/>
        <w:numPr>
          <w:ilvl w:val="0"/>
          <w:numId w:val="28"/>
        </w:numPr>
        <w:spacing w:after="0" w:line="360" w:lineRule="auto"/>
        <w:rPr>
          <w:rFonts w:cstheme="minorHAnsi"/>
          <w:sz w:val="24"/>
          <w:szCs w:val="24"/>
          <w:lang w:eastAsia="zh-CN"/>
        </w:rPr>
      </w:pPr>
      <w:r w:rsidRPr="002C59D4">
        <w:rPr>
          <w:rFonts w:cstheme="minorHAnsi"/>
          <w:sz w:val="24"/>
          <w:szCs w:val="24"/>
          <w:lang w:eastAsia="zh-CN"/>
        </w:rPr>
        <w:t>ewentualne prace związane z usuwaniem trzciny należy prowadzić poza sezonem ptaków oraz sezonem tarła ryb tj. z wyłączeniem terminów od 1 marca do 31 sierpnia.</w:t>
      </w:r>
    </w:p>
    <w:bookmarkEnd w:id="13"/>
    <w:p w14:paraId="4709D057"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W związku z powyższym nie przewiduje się, aby nastąpiły negatywne skutki dla stanu podlegających ochronie prawnej elementów fauny i flory w wyniku realizacji planowanego przedsięwzięcia jeżeli będą wykonane zgodnie z obowiązującymi na danym terenie przepisami prawa oraz z zachowaniem zasad bezpieczeństwa, odpowiedniej technologii i przy użyciu sprawnego sprzętu. Dokumentacja nie zawiera sporządzonego szczegółowego wykazu drzew przewidzianych do wycinki, w tym liczby drzew wymagających uzyskania zezwolenia na ich usunięcie, w tym miejscu należy wskazać, że informacje te będą niezbędne do uzyskania stosownych zezwoleń na wycinkę drzew. Niemniej jednak przedłożenie tych informacji na tym etapie nie wpłynie na zmianę stanowiska w przedmiotowej sprawie. </w:t>
      </w:r>
      <w:bookmarkEnd w:id="12"/>
    </w:p>
    <w:p w14:paraId="5E8A8414" w14:textId="36D5A830"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jasno wskazuje, że wszelkie odstępstwa od wprowadzonych zakazów są możliwe jedynie po uzyskaniu zgody regionalnego dyrektora ochrony środowiska na podstawie:</w:t>
      </w:r>
    </w:p>
    <w:p w14:paraId="30B0A3FD" w14:textId="77777777" w:rsidR="002C59D4" w:rsidRPr="002C59D4" w:rsidRDefault="00DF5721" w:rsidP="00DF5721">
      <w:pPr>
        <w:pStyle w:val="Akapitzlist"/>
        <w:numPr>
          <w:ilvl w:val="0"/>
          <w:numId w:val="29"/>
        </w:numPr>
        <w:spacing w:after="0" w:line="360" w:lineRule="auto"/>
        <w:rPr>
          <w:rFonts w:cstheme="minorHAnsi"/>
          <w:sz w:val="24"/>
          <w:szCs w:val="24"/>
          <w:lang w:eastAsia="zh-CN"/>
        </w:rPr>
      </w:pPr>
      <w:r w:rsidRPr="002C59D4">
        <w:rPr>
          <w:rFonts w:cstheme="minorHAnsi"/>
          <w:sz w:val="24"/>
          <w:szCs w:val="24"/>
          <w:lang w:eastAsia="zh-CN"/>
        </w:rPr>
        <w:t>rozporządzenia Ministra Środowiska z dnia 09 października 2014 r. w sprawie ochrony gatunkowej grzybów (Dz. U. z 2014 r., poz. 1408),</w:t>
      </w:r>
    </w:p>
    <w:p w14:paraId="05369AB7" w14:textId="77777777" w:rsidR="002C59D4" w:rsidRPr="002C59D4" w:rsidRDefault="00DF5721" w:rsidP="00DF5721">
      <w:pPr>
        <w:pStyle w:val="Akapitzlist"/>
        <w:numPr>
          <w:ilvl w:val="0"/>
          <w:numId w:val="29"/>
        </w:numPr>
        <w:spacing w:after="0" w:line="360" w:lineRule="auto"/>
        <w:rPr>
          <w:rFonts w:cstheme="minorHAnsi"/>
          <w:sz w:val="24"/>
          <w:szCs w:val="24"/>
          <w:lang w:eastAsia="zh-CN"/>
        </w:rPr>
      </w:pPr>
      <w:r w:rsidRPr="002C59D4">
        <w:rPr>
          <w:rFonts w:cstheme="minorHAnsi"/>
          <w:sz w:val="24"/>
          <w:szCs w:val="24"/>
          <w:lang w:eastAsia="zh-CN"/>
        </w:rPr>
        <w:t>rozporządzenia Ministra Środowiska z dnia 09 października 2014 r. w sprawie ochrony gatunkowej roślin (Dz. U. z 2014 r., poz. 1409),</w:t>
      </w:r>
    </w:p>
    <w:p w14:paraId="343619D8" w14:textId="2914275B" w:rsidR="00DF5721" w:rsidRPr="002C59D4" w:rsidRDefault="00DF5721" w:rsidP="00DF5721">
      <w:pPr>
        <w:pStyle w:val="Akapitzlist"/>
        <w:numPr>
          <w:ilvl w:val="0"/>
          <w:numId w:val="29"/>
        </w:numPr>
        <w:spacing w:after="0" w:line="360" w:lineRule="auto"/>
        <w:rPr>
          <w:rFonts w:cstheme="minorHAnsi"/>
          <w:sz w:val="24"/>
          <w:szCs w:val="24"/>
          <w:lang w:eastAsia="zh-CN"/>
        </w:rPr>
      </w:pPr>
      <w:r w:rsidRPr="002C59D4">
        <w:rPr>
          <w:rFonts w:cstheme="minorHAnsi"/>
          <w:sz w:val="24"/>
          <w:szCs w:val="24"/>
          <w:lang w:eastAsia="zh-CN"/>
        </w:rPr>
        <w:t>rozporządzenia Ministra Środowiska z dnia 16 grudnia 2016 r. w sprawie ochrony gatunkowej zwierząt (Dz. U. z 2022 r., poz. 2380).</w:t>
      </w:r>
    </w:p>
    <w:p w14:paraId="1A8A47B1" w14:textId="6E5C4A7F"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W związku z powyższym przed wykonaniem jakichkolwiek prac, które będą się wiązały z niszczeniem siedlisk przyrodniczych, miejsc rozrodu i regularnego przebywania zwierząt, umyślnym zabijaniem osobników, wycinką drzew, zgodnie z art. 56 ustawy o ochronie przyrody należy każdorazowo wystąpić do Regionalnego Dyrektora Ochrony Środowiska w Olsztynie z </w:t>
      </w:r>
      <w:r w:rsidRPr="002C59D4">
        <w:rPr>
          <w:rFonts w:cstheme="minorHAnsi"/>
          <w:sz w:val="24"/>
          <w:szCs w:val="24"/>
          <w:lang w:eastAsia="zh-CN"/>
        </w:rPr>
        <w:lastRenderedPageBreak/>
        <w:t>odpowiednim wnioskiem o wydanie stosownego zezwolenia na wykonanie czynności zabronionych.</w:t>
      </w:r>
    </w:p>
    <w:p w14:paraId="45ED0B12" w14:textId="3A41EF0D" w:rsidR="00DF5721" w:rsidRPr="002C59D4" w:rsidRDefault="00DF5721" w:rsidP="00DF5721">
      <w:pPr>
        <w:spacing w:after="0" w:line="360" w:lineRule="auto"/>
        <w:rPr>
          <w:rFonts w:cstheme="minorHAnsi"/>
          <w:sz w:val="24"/>
          <w:szCs w:val="24"/>
          <w:lang w:eastAsia="zh-CN"/>
        </w:rPr>
      </w:pPr>
      <w:bookmarkStart w:id="14" w:name="_Hlk131076822"/>
      <w:r w:rsidRPr="002C59D4">
        <w:rPr>
          <w:rFonts w:cstheme="minorHAnsi"/>
          <w:sz w:val="24"/>
          <w:szCs w:val="24"/>
          <w:lang w:eastAsia="zh-CN"/>
        </w:rPr>
        <w:t>Przedsięwzięcie nie będzie zlokalizowane na obszarach górskich, kompleksów leśnych. Na terenie inwestycji nie występują strefy ochrony wód i obszary ochronne zbiorników wód śródlądowych, obszary uzdrowisk i ochrony uzdrowiskowej oraz obszary o krajobrazie mającym znaczenie archeologiczne. Tereny objęte ochroną konserwatorską obejmują część obszarów wzdłuż rzeki Elbląg. Ujście Kanału Jagiellońskiego objęte jest strefą konserwatorskiej ochrony krajobrazu. W sąsiedztwie planowanego przedsięwzięcia znajdują się również obiekty wpisane do gminnej ewidencji zabytków. Odcinek rzeki Elbląg od ujścia do Zalewu Wiślanego do jeziora Drużno włącznie stanowi część Kanału Elbląskiego uznanego za Pomnik Historii na mocy rozporządzenia Prezydenta RP z dnia 14.01.2011 r. (Dz. U. z 2011, nr 20, poz. 100) ze względu na unikatowe dziewiętnastowieczne rozwiązania techniczne z zakresu hydrotechniki i mechaniki. Najważniejsze elementy, w tym 5 pochylni, 4 śluzy, 4 bramy ochronne - przeciwpowodziowe,              3 jazy, zabudowa usprawniająca funkcjonowanie kanału, kanały obiegowe, systemy zaopatrzeniowe w wodę oraz towarzyszące budynki administracyjne i mieszkalne pracowników kanału znajdują się na terenie nieobjętym planowanym przedsięwzięciem, w odległości ponad   10 kilometrów od planowanego pogłębionego kanału żeglugowego na rzece Elbląg.</w:t>
      </w:r>
    </w:p>
    <w:p w14:paraId="31CE8D1A" w14:textId="0E7C8916"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Planowane przedsięwzięcie zlokalizowane jest na obszarze szczególnego zagrożenia powodzią w rozumieniu art. 16 pkt 34 Ustawy z dnia 20 lipca 2017 r. Prawo wodne (Dz. U. z 2024, poz. 1087). Na ewentualne działania w tym obszarze Inwestor musi uzyskać niezbędne zgody wodnoprawne. Planowane przedsięwzięcie zostanie zaprojektowane przy uwzględnieniu zagrożenia powodziowego.</w:t>
      </w:r>
    </w:p>
    <w:bookmarkEnd w:id="14"/>
    <w:p w14:paraId="5C07F6EF"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Roboty pogłębiarskie, transport ładunków lub ludzi może wiązać się z ryzykiem różnego rodzaju zdarzeń awaryjnych, następstwem których mogą być lokalne skażenie wód, osadów oraz organizmów. W przypadku awarii na rzece Elbląg istnieje ryzyko przedostania się zanieczyszczeń z rozlewu olejowego do rezerwatu przyrody Zatoka Elbląska lub rezerwatu Jezioro Drużno, np. rozlew olejowy w wyniku uszkodzenia pogłębiarki/statku. Prowadzenie robót w sprzyjających warunkach atmosferycznych spowoduje zminimalizowanie tego zagrożenia. Silne wiatry                       z kierunków północnych mogą powodować cofkę w rzece Elbląg i przepływ wód w kierunku jeziora Drużno, niemniej jednak jest to sytuacja mało prawdopodobna, ponieważ roboty na wodzie nie  będą prowadzone przy niekorzystnych warunkach atmosferycznych. </w:t>
      </w:r>
    </w:p>
    <w:p w14:paraId="38991C85" w14:textId="77777777"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 xml:space="preserve">Z uwagi na rodzaj i skalę przedsięwzięcia, oddziaływania będą miały zasięg lokalny bez ryzyka transgranicznych oddziaływań i nie spowodują istotnych zmian w środowisku. Ponadto,               z </w:t>
      </w:r>
      <w:r w:rsidRPr="002C59D4">
        <w:rPr>
          <w:rFonts w:cstheme="minorHAnsi"/>
          <w:sz w:val="24"/>
          <w:szCs w:val="24"/>
          <w:lang w:eastAsia="zh-CN"/>
        </w:rPr>
        <w:lastRenderedPageBreak/>
        <w:t>uwagi na zakres oddziaływań planowanej inwestycji oraz istniejący sposób zagospodarowania terenów sąsiednich nie przewiduje się możliwości kumulowania negatywnych oddziaływań.</w:t>
      </w:r>
    </w:p>
    <w:p w14:paraId="64E7F128" w14:textId="59670DBC" w:rsidR="00DF5721" w:rsidRPr="002C59D4" w:rsidRDefault="00DF5721" w:rsidP="00DF5721">
      <w:pPr>
        <w:spacing w:after="0" w:line="360" w:lineRule="auto"/>
        <w:rPr>
          <w:rFonts w:cstheme="minorHAnsi"/>
          <w:sz w:val="24"/>
          <w:szCs w:val="24"/>
          <w:lang w:eastAsia="zh-CN"/>
        </w:rPr>
      </w:pPr>
      <w:r w:rsidRPr="002C59D4">
        <w:rPr>
          <w:rFonts w:cstheme="minorHAnsi"/>
          <w:sz w:val="24"/>
          <w:szCs w:val="24"/>
          <w:lang w:eastAsia="zh-CN"/>
        </w:rPr>
        <w:t>Regionalny Dyrektor Ochrony Środowiska w Olsztynie, po przeanalizowaniu karty informacyjnej przedsięwzięcia oraz uwzględnieniu łącznych uwarunkowań określonych w art. 63 ust. 1 ww. ustawy z dnia 3 października 2008 r. o udostępnianiu informacji o środowisku…, a w szczególności rodzaju, charakteru, usytuowania oraz skali możliwego oddziaływania przedsięwzięcia stwierdził, że dla planowanego przedsięwzięcia nie istnieje konieczność</w:t>
      </w:r>
      <w:r w:rsidR="002C59D4" w:rsidRPr="002C59D4">
        <w:rPr>
          <w:rFonts w:cstheme="minorHAnsi"/>
          <w:sz w:val="24"/>
          <w:szCs w:val="24"/>
          <w:lang w:eastAsia="zh-CN"/>
        </w:rPr>
        <w:t xml:space="preserve"> </w:t>
      </w:r>
      <w:r w:rsidRPr="002C59D4">
        <w:rPr>
          <w:rFonts w:cstheme="minorHAnsi"/>
          <w:sz w:val="24"/>
          <w:szCs w:val="24"/>
          <w:lang w:eastAsia="zh-CN"/>
        </w:rPr>
        <w:t>przeprowadzenia oceny oddziaływania na środowisko.</w:t>
      </w:r>
    </w:p>
    <w:p w14:paraId="0908B0C5" w14:textId="40A9A4AC" w:rsidR="00DF5721" w:rsidRPr="0044167F" w:rsidRDefault="00DF5721" w:rsidP="0044167F">
      <w:pPr>
        <w:spacing w:after="100" w:afterAutospacing="1" w:line="360" w:lineRule="auto"/>
        <w:rPr>
          <w:rFonts w:cstheme="minorHAnsi"/>
          <w:sz w:val="24"/>
          <w:szCs w:val="24"/>
          <w:lang w:eastAsia="zh-CN"/>
        </w:rPr>
      </w:pPr>
      <w:r w:rsidRPr="002C59D4">
        <w:rPr>
          <w:rFonts w:cstheme="minorHAnsi"/>
          <w:sz w:val="24"/>
          <w:szCs w:val="24"/>
          <w:lang w:eastAsia="zh-CN"/>
        </w:rPr>
        <w:t>Mając powyższe na uwadze orzeczono jak w sentencji.</w:t>
      </w:r>
    </w:p>
    <w:p w14:paraId="62944F4B"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06CFD2D4" w14:textId="77777777" w:rsidR="0044167F" w:rsidRPr="0044167F" w:rsidRDefault="0044167F" w:rsidP="0044167F">
      <w:pPr>
        <w:spacing w:after="0" w:line="360" w:lineRule="auto"/>
        <w:rPr>
          <w:sz w:val="24"/>
          <w:szCs w:val="24"/>
          <w:lang w:eastAsia="zh-CN"/>
        </w:rPr>
      </w:pPr>
      <w:r w:rsidRPr="0044167F">
        <w:rPr>
          <w:sz w:val="24"/>
          <w:szCs w:val="24"/>
          <w:lang w:eastAsia="zh-CN"/>
        </w:rPr>
        <w:t xml:space="preserve">Od niniejszej decyzji, stosownie do art. 127 § 1 i § 2 oraz art. 129  § 1 i § 2 </w:t>
      </w:r>
      <w:r w:rsidRPr="0044167F">
        <w:rPr>
          <w:i/>
          <w:sz w:val="24"/>
          <w:szCs w:val="24"/>
          <w:lang w:eastAsia="zh-CN"/>
        </w:rPr>
        <w:t>Kodeksu postępowania administracyjnego</w:t>
      </w:r>
      <w:r w:rsidRPr="0044167F">
        <w:rPr>
          <w:sz w:val="24"/>
          <w:szCs w:val="24"/>
          <w:lang w:eastAsia="zh-CN"/>
        </w:rPr>
        <w:t xml:space="preserve"> służy stronom odwołanie do Generalnego Dyrektora Ochrony Środowiska za pośrednictwem Regionalnego Dyrektora Ochrony Środowiska w Olsztynie w terminie 14 dni od dnia doręczenia niniejszej decyzji. Zgodnie z art. 57 § 5 Kodeksu postępowania administracyjnego termin uważa się za zachowany jeżeli przed jego upływem pismo zostało m. 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w:t>
      </w:r>
    </w:p>
    <w:p w14:paraId="25F6C427" w14:textId="594D2EB2" w:rsidR="0044167F" w:rsidRPr="0044167F" w:rsidRDefault="0044167F" w:rsidP="0044167F">
      <w:pPr>
        <w:spacing w:after="100" w:afterAutospacing="1" w:line="360" w:lineRule="auto"/>
        <w:rPr>
          <w:sz w:val="24"/>
          <w:szCs w:val="24"/>
          <w:lang w:eastAsia="zh-CN"/>
        </w:rPr>
      </w:pPr>
      <w:r w:rsidRPr="0044167F">
        <w:rPr>
          <w:sz w:val="24"/>
          <w:szCs w:val="24"/>
          <w:lang w:eastAsia="zh-CN"/>
        </w:rPr>
        <w:t xml:space="preserve">W myśl art. 127a § 1 i § 2 </w:t>
      </w:r>
      <w:r w:rsidRPr="0044167F">
        <w:rPr>
          <w:i/>
          <w:sz w:val="24"/>
          <w:szCs w:val="24"/>
          <w:lang w:eastAsia="zh-CN"/>
        </w:rPr>
        <w:t>Kodeksu postępowania administracyjnego</w:t>
      </w:r>
      <w:r w:rsidRPr="0044167F">
        <w:rPr>
          <w:sz w:val="24"/>
          <w:szCs w:val="24"/>
          <w:lang w:eastAsia="zh-CN"/>
        </w:rPr>
        <w:t xml:space="preserve">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7DB141DC" w14:textId="77777777" w:rsidR="001B5B56" w:rsidRPr="0044167F" w:rsidRDefault="001B5B56" w:rsidP="0044167F">
      <w:pPr>
        <w:widowControl w:val="0"/>
        <w:suppressAutoHyphens/>
        <w:spacing w:after="0" w:line="360" w:lineRule="auto"/>
        <w:rPr>
          <w:rFonts w:eastAsia="Lucida Sans Unicode" w:cstheme="minorHAnsi"/>
          <w:kern w:val="1"/>
          <w:sz w:val="24"/>
          <w:szCs w:val="24"/>
        </w:rPr>
      </w:pPr>
      <w:r w:rsidRPr="0044167F">
        <w:rPr>
          <w:rFonts w:eastAsia="Lucida Sans Unicode" w:cstheme="minorHAnsi"/>
          <w:kern w:val="1"/>
          <w:sz w:val="24"/>
          <w:szCs w:val="24"/>
        </w:rPr>
        <w:t>Regionalny Dyrektor</w:t>
      </w:r>
    </w:p>
    <w:p w14:paraId="14388ADD" w14:textId="77777777" w:rsidR="00BB7E65" w:rsidRPr="0044167F" w:rsidRDefault="001B5B56" w:rsidP="0044167F">
      <w:pPr>
        <w:widowControl w:val="0"/>
        <w:suppressAutoHyphens/>
        <w:spacing w:after="0" w:line="360" w:lineRule="auto"/>
        <w:rPr>
          <w:rFonts w:eastAsia="Lucida Sans Unicode" w:cstheme="minorHAnsi"/>
          <w:kern w:val="1"/>
          <w:sz w:val="24"/>
          <w:szCs w:val="24"/>
        </w:rPr>
      </w:pPr>
      <w:r w:rsidRPr="0044167F">
        <w:rPr>
          <w:rFonts w:eastAsia="Lucida Sans Unicode" w:cstheme="minorHAnsi"/>
          <w:kern w:val="1"/>
          <w:sz w:val="24"/>
          <w:szCs w:val="24"/>
        </w:rPr>
        <w:t xml:space="preserve">Ochrony Środowiska </w:t>
      </w:r>
    </w:p>
    <w:p w14:paraId="5833F02A" w14:textId="77777777" w:rsidR="001B5B56" w:rsidRPr="0044167F" w:rsidRDefault="001B5B56" w:rsidP="0044167F">
      <w:pPr>
        <w:widowControl w:val="0"/>
        <w:suppressAutoHyphens/>
        <w:spacing w:after="0" w:line="360" w:lineRule="auto"/>
        <w:rPr>
          <w:rFonts w:eastAsia="Lucida Sans Unicode" w:cstheme="minorHAnsi"/>
          <w:kern w:val="1"/>
          <w:sz w:val="24"/>
          <w:szCs w:val="24"/>
        </w:rPr>
      </w:pPr>
      <w:r w:rsidRPr="0044167F">
        <w:rPr>
          <w:rFonts w:eastAsia="Lucida Sans Unicode" w:cstheme="minorHAnsi"/>
          <w:kern w:val="1"/>
          <w:sz w:val="24"/>
          <w:szCs w:val="24"/>
        </w:rPr>
        <w:t>w Olsztynie</w:t>
      </w:r>
    </w:p>
    <w:p w14:paraId="5B9157B8" w14:textId="77777777" w:rsidR="00AA7C36" w:rsidRPr="0044167F" w:rsidRDefault="001B5B56" w:rsidP="0044167F">
      <w:pPr>
        <w:widowControl w:val="0"/>
        <w:suppressAutoHyphens/>
        <w:spacing w:after="0" w:line="360" w:lineRule="auto"/>
        <w:rPr>
          <w:rFonts w:eastAsia="Lucida Sans Unicode" w:cstheme="minorHAnsi"/>
          <w:kern w:val="1"/>
          <w:sz w:val="24"/>
          <w:szCs w:val="24"/>
        </w:rPr>
      </w:pPr>
      <w:r w:rsidRPr="0044167F">
        <w:rPr>
          <w:rFonts w:eastAsia="Lucida Sans Unicode" w:cstheme="minorHAnsi"/>
          <w:kern w:val="1"/>
          <w:sz w:val="24"/>
          <w:szCs w:val="24"/>
        </w:rPr>
        <w:lastRenderedPageBreak/>
        <w:t>Agata Moździerz</w:t>
      </w:r>
    </w:p>
    <w:p w14:paraId="16F40B82" w14:textId="455ED9C2" w:rsidR="0044167F" w:rsidRPr="0044167F" w:rsidRDefault="0044167F" w:rsidP="0044167F">
      <w:pPr>
        <w:widowControl w:val="0"/>
        <w:suppressAutoHyphens/>
        <w:spacing w:after="100" w:afterAutospacing="1" w:line="360" w:lineRule="auto"/>
        <w:rPr>
          <w:rFonts w:eastAsia="Lucida Sans Unicode" w:cstheme="minorHAnsi"/>
          <w:kern w:val="1"/>
          <w:sz w:val="24"/>
          <w:szCs w:val="24"/>
        </w:rPr>
      </w:pPr>
      <w:r w:rsidRPr="0044167F">
        <w:rPr>
          <w:rFonts w:eastAsia="Lucida Sans Unicode" w:cstheme="minorHAnsi"/>
          <w:kern w:val="1"/>
          <w:sz w:val="24"/>
          <w:szCs w:val="24"/>
        </w:rPr>
        <w:t>/podpis elektroniczny/</w:t>
      </w:r>
    </w:p>
    <w:p w14:paraId="397E9CE6" w14:textId="77777777" w:rsidR="0044167F" w:rsidRPr="0044167F" w:rsidRDefault="0044167F"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u w:val="single"/>
          <w:lang w:eastAsia="zh-CN"/>
        </w:rPr>
      </w:pPr>
      <w:r w:rsidRPr="0044167F">
        <w:rPr>
          <w:rFonts w:eastAsia="Lucida Sans Unicode" w:cstheme="minorHAnsi"/>
          <w:color w:val="000000" w:themeColor="text1"/>
          <w:kern w:val="3"/>
          <w:sz w:val="24"/>
          <w:szCs w:val="24"/>
          <w:u w:val="single"/>
          <w:lang w:eastAsia="zh-CN"/>
        </w:rPr>
        <w:t>Załącznik:</w:t>
      </w:r>
    </w:p>
    <w:p w14:paraId="2D2EFC63" w14:textId="410742A6" w:rsidR="0044167F" w:rsidRPr="0044167F" w:rsidRDefault="0044167F" w:rsidP="0044167F">
      <w:pPr>
        <w:widowControl w:val="0"/>
        <w:numPr>
          <w:ilvl w:val="1"/>
          <w:numId w:val="30"/>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44167F">
        <w:rPr>
          <w:rFonts w:eastAsia="Lucida Sans Unicode" w:cstheme="minorHAnsi"/>
          <w:color w:val="000000" w:themeColor="text1"/>
          <w:kern w:val="3"/>
          <w:sz w:val="24"/>
          <w:szCs w:val="24"/>
          <w:lang w:eastAsia="zh-CN"/>
        </w:rPr>
        <w:t>Charakterystyka planowanego przedsięwzięcia</w:t>
      </w:r>
    </w:p>
    <w:p w14:paraId="7E951E6E" w14:textId="77777777" w:rsidR="0044167F" w:rsidRPr="0044167F" w:rsidRDefault="0044167F"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u w:val="single"/>
          <w:lang w:val="es-ES_tradnl" w:eastAsia="zh-CN"/>
        </w:rPr>
      </w:pPr>
      <w:r w:rsidRPr="0044167F">
        <w:rPr>
          <w:rFonts w:eastAsia="Lucida Sans Unicode" w:cstheme="minorHAnsi"/>
          <w:color w:val="000000" w:themeColor="text1"/>
          <w:kern w:val="3"/>
          <w:sz w:val="24"/>
          <w:szCs w:val="24"/>
          <w:u w:val="single"/>
          <w:lang w:val="es-ES_tradnl" w:eastAsia="zh-CN"/>
        </w:rPr>
        <w:t>Otrzymują:</w:t>
      </w:r>
    </w:p>
    <w:p w14:paraId="39BD5234" w14:textId="77777777" w:rsidR="0044167F" w:rsidRPr="0044167F" w:rsidRDefault="0044167F" w:rsidP="0044167F">
      <w:pPr>
        <w:widowControl w:val="0"/>
        <w:numPr>
          <w:ilvl w:val="0"/>
          <w:numId w:val="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44167F">
        <w:rPr>
          <w:rFonts w:eastAsia="Lucida Sans Unicode" w:cstheme="minorHAnsi"/>
          <w:color w:val="000000" w:themeColor="text1"/>
          <w:kern w:val="3"/>
          <w:sz w:val="24"/>
          <w:szCs w:val="24"/>
          <w:lang w:eastAsia="zh-CN"/>
        </w:rPr>
        <w:t>Dyrektor Urzędu Morskiego w Gdyni  - doręczanie elektroniczne poprzez platformę ePUAP</w:t>
      </w:r>
    </w:p>
    <w:p w14:paraId="2F0772A1" w14:textId="77777777" w:rsidR="0044167F" w:rsidRPr="0044167F" w:rsidRDefault="0044167F" w:rsidP="0044167F">
      <w:pPr>
        <w:widowControl w:val="0"/>
        <w:numPr>
          <w:ilvl w:val="0"/>
          <w:numId w:val="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44167F">
        <w:rPr>
          <w:rFonts w:eastAsia="Lucida Sans Unicode" w:cstheme="minorHAnsi"/>
          <w:color w:val="000000" w:themeColor="text1"/>
          <w:kern w:val="3"/>
          <w:sz w:val="24"/>
          <w:szCs w:val="24"/>
          <w:lang w:eastAsia="zh-CN"/>
        </w:rPr>
        <w:t>pozostałe strony postępowania zgodnie z art. 49 Kpa – obwieszczenie</w:t>
      </w:r>
    </w:p>
    <w:p w14:paraId="4BC546E1" w14:textId="77777777" w:rsidR="0044167F" w:rsidRPr="0044167F" w:rsidRDefault="0044167F" w:rsidP="0044167F">
      <w:pPr>
        <w:widowControl w:val="0"/>
        <w:numPr>
          <w:ilvl w:val="0"/>
          <w:numId w:val="8"/>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44167F">
        <w:rPr>
          <w:rFonts w:eastAsia="Lucida Sans Unicode" w:cstheme="minorHAnsi"/>
          <w:color w:val="000000" w:themeColor="text1"/>
          <w:kern w:val="3"/>
          <w:sz w:val="24"/>
          <w:szCs w:val="24"/>
          <w:lang w:eastAsia="zh-CN"/>
        </w:rPr>
        <w:t>aa</w:t>
      </w:r>
    </w:p>
    <w:p w14:paraId="6A3D0F03" w14:textId="77777777" w:rsidR="0044167F" w:rsidRPr="0044167F" w:rsidRDefault="0044167F"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u w:val="single"/>
          <w:lang w:eastAsia="zh-CN"/>
        </w:rPr>
      </w:pPr>
      <w:r w:rsidRPr="0044167F">
        <w:rPr>
          <w:rFonts w:eastAsia="Lucida Sans Unicode" w:cstheme="minorHAnsi"/>
          <w:color w:val="000000" w:themeColor="text1"/>
          <w:kern w:val="3"/>
          <w:sz w:val="24"/>
          <w:szCs w:val="24"/>
          <w:u w:val="single"/>
          <w:lang w:eastAsia="zh-CN"/>
        </w:rPr>
        <w:t>Do wiadomości - doręczanie elektroniczne poprzez platformę ePUAP:</w:t>
      </w:r>
    </w:p>
    <w:p w14:paraId="4375C7CC" w14:textId="77777777" w:rsidR="0044167F" w:rsidRPr="0044167F" w:rsidRDefault="0044167F" w:rsidP="0044167F">
      <w:pPr>
        <w:widowControl w:val="0"/>
        <w:numPr>
          <w:ilvl w:val="0"/>
          <w:numId w:val="5"/>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44167F">
        <w:rPr>
          <w:rFonts w:eastAsia="Lucida Sans Unicode" w:cstheme="minorHAnsi"/>
          <w:color w:val="000000" w:themeColor="text1"/>
          <w:kern w:val="3"/>
          <w:sz w:val="24"/>
          <w:szCs w:val="24"/>
          <w:lang w:eastAsia="zh-CN"/>
        </w:rPr>
        <w:t>Urząd Morski w Gdyni</w:t>
      </w:r>
    </w:p>
    <w:p w14:paraId="187EB18E" w14:textId="77777777" w:rsidR="0044167F" w:rsidRPr="0044167F" w:rsidRDefault="0044167F" w:rsidP="0044167F">
      <w:pPr>
        <w:widowControl w:val="0"/>
        <w:numPr>
          <w:ilvl w:val="0"/>
          <w:numId w:val="5"/>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44167F">
        <w:rPr>
          <w:rFonts w:eastAsia="Lucida Sans Unicode" w:cstheme="minorHAnsi"/>
          <w:iCs/>
          <w:color w:val="000000" w:themeColor="text1"/>
          <w:kern w:val="3"/>
          <w:sz w:val="24"/>
          <w:szCs w:val="24"/>
          <w:lang w:eastAsia="zh-CN"/>
        </w:rPr>
        <w:t>Państwowe Gospodarstwo Wodne Wody Polskie, Regionalny Zarządu Gospodarki Wodnej w Gdańsku</w:t>
      </w:r>
      <w:r w:rsidRPr="0044167F">
        <w:rPr>
          <w:rFonts w:eastAsia="Lucida Sans Unicode" w:cstheme="minorHAnsi"/>
          <w:bCs/>
          <w:color w:val="000000" w:themeColor="text1"/>
          <w:kern w:val="3"/>
          <w:sz w:val="24"/>
          <w:szCs w:val="24"/>
          <w:lang w:eastAsia="zh-CN"/>
        </w:rPr>
        <w:t xml:space="preserve"> </w:t>
      </w:r>
    </w:p>
    <w:p w14:paraId="58E2D08A" w14:textId="2966905A" w:rsidR="0044167F" w:rsidRPr="0044167F" w:rsidRDefault="0044167F" w:rsidP="0044167F">
      <w:pPr>
        <w:widowControl w:val="0"/>
        <w:numPr>
          <w:ilvl w:val="0"/>
          <w:numId w:val="5"/>
        </w:numPr>
        <w:suppressAutoHyphens/>
        <w:autoSpaceDN w:val="0"/>
        <w:spacing w:after="100" w:afterAutospacing="1" w:line="360" w:lineRule="auto"/>
        <w:ind w:left="714" w:hanging="357"/>
        <w:textAlignment w:val="baseline"/>
        <w:rPr>
          <w:rFonts w:eastAsia="Lucida Sans Unicode" w:cstheme="minorHAnsi"/>
          <w:color w:val="000000" w:themeColor="text1"/>
          <w:kern w:val="3"/>
          <w:sz w:val="24"/>
          <w:szCs w:val="24"/>
          <w:lang w:eastAsia="zh-CN"/>
        </w:rPr>
      </w:pPr>
      <w:r w:rsidRPr="0044167F">
        <w:rPr>
          <w:rFonts w:eastAsia="Lucida Sans Unicode" w:cstheme="minorHAnsi"/>
          <w:bCs/>
          <w:color w:val="000000" w:themeColor="text1"/>
          <w:kern w:val="3"/>
          <w:sz w:val="24"/>
          <w:szCs w:val="24"/>
          <w:lang w:eastAsia="zh-CN"/>
        </w:rPr>
        <w:t xml:space="preserve">Państwowy Graniczny Inspektor Sanitarny w Elblągu </w:t>
      </w:r>
    </w:p>
    <w:p w14:paraId="106717C0" w14:textId="396C69DA" w:rsidR="0044167F" w:rsidRPr="0044167F" w:rsidRDefault="0044167F" w:rsidP="0044167F">
      <w:pPr>
        <w:widowControl w:val="0"/>
        <w:suppressAutoHyphens/>
        <w:autoSpaceDN w:val="0"/>
        <w:spacing w:after="0" w:line="360" w:lineRule="auto"/>
        <w:textAlignment w:val="baseline"/>
        <w:rPr>
          <w:rFonts w:eastAsia="Lucida Sans Unicode" w:cstheme="minorHAnsi"/>
          <w:iCs/>
          <w:color w:val="000000" w:themeColor="text1"/>
          <w:kern w:val="3"/>
          <w:sz w:val="24"/>
          <w:szCs w:val="24"/>
          <w:lang w:eastAsia="zh-CN"/>
        </w:rPr>
      </w:pPr>
      <w:r w:rsidRPr="0044167F">
        <w:rPr>
          <w:rFonts w:eastAsia="Lucida Sans Unicode" w:cstheme="minorHAnsi"/>
          <w:iCs/>
          <w:color w:val="000000" w:themeColor="text1"/>
          <w:kern w:val="3"/>
          <w:sz w:val="24"/>
          <w:szCs w:val="24"/>
          <w:lang w:eastAsia="zh-CN"/>
        </w:rPr>
        <w:t>Na podstawie art. 7 pkt 2 ustawy z 16 listopada 2006 r. o opłacie skarbowej (Dz. U. z 2023 r. poz. 2111, z późn. zm.) Urząd Morski jako jednostka budżetowa, jest zwolniony od opłaty skarbowej za wydanie decyzji o środowiskowych uwarunkowaniach.</w:t>
      </w:r>
    </w:p>
    <w:p w14:paraId="0B4A310C" w14:textId="67CFAE7A" w:rsidR="002E129B" w:rsidRPr="008E1960" w:rsidRDefault="002E129B"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2E129B"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6"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3798382">
    <w:abstractNumId w:val="11"/>
  </w:num>
  <w:num w:numId="2" w16cid:durableId="1417284205">
    <w:abstractNumId w:val="1"/>
  </w:num>
  <w:num w:numId="3" w16cid:durableId="1356467563">
    <w:abstractNumId w:val="23"/>
  </w:num>
  <w:num w:numId="4" w16cid:durableId="1859658921">
    <w:abstractNumId w:val="20"/>
  </w:num>
  <w:num w:numId="5" w16cid:durableId="915630617">
    <w:abstractNumId w:val="8"/>
  </w:num>
  <w:num w:numId="6" w16cid:durableId="1347295324">
    <w:abstractNumId w:val="16"/>
  </w:num>
  <w:num w:numId="7" w16cid:durableId="1633629088">
    <w:abstractNumId w:val="5"/>
  </w:num>
  <w:num w:numId="8" w16cid:durableId="1191332095">
    <w:abstractNumId w:val="3"/>
  </w:num>
  <w:num w:numId="9" w16cid:durableId="261843586">
    <w:abstractNumId w:val="19"/>
  </w:num>
  <w:num w:numId="10" w16cid:durableId="826743694">
    <w:abstractNumId w:val="22"/>
  </w:num>
  <w:num w:numId="11" w16cid:durableId="428358676">
    <w:abstractNumId w:val="21"/>
  </w:num>
  <w:num w:numId="12" w16cid:durableId="1303274008">
    <w:abstractNumId w:val="27"/>
  </w:num>
  <w:num w:numId="13" w16cid:durableId="597252380">
    <w:abstractNumId w:val="9"/>
  </w:num>
  <w:num w:numId="14" w16cid:durableId="2076124830">
    <w:abstractNumId w:val="25"/>
  </w:num>
  <w:num w:numId="15" w16cid:durableId="362172128">
    <w:abstractNumId w:val="14"/>
  </w:num>
  <w:num w:numId="16" w16cid:durableId="474105921">
    <w:abstractNumId w:val="6"/>
  </w:num>
  <w:num w:numId="17" w16cid:durableId="761605357">
    <w:abstractNumId w:val="2"/>
  </w:num>
  <w:num w:numId="18" w16cid:durableId="1254974020">
    <w:abstractNumId w:val="26"/>
  </w:num>
  <w:num w:numId="19" w16cid:durableId="583564138">
    <w:abstractNumId w:val="18"/>
  </w:num>
  <w:num w:numId="20" w16cid:durableId="1674915006">
    <w:abstractNumId w:val="28"/>
  </w:num>
  <w:num w:numId="21" w16cid:durableId="527570585">
    <w:abstractNumId w:val="10"/>
  </w:num>
  <w:num w:numId="22" w16cid:durableId="644895534">
    <w:abstractNumId w:val="24"/>
  </w:num>
  <w:num w:numId="23" w16cid:durableId="549682951">
    <w:abstractNumId w:val="0"/>
  </w:num>
  <w:num w:numId="24" w16cid:durableId="1109664907">
    <w:abstractNumId w:val="12"/>
  </w:num>
  <w:num w:numId="25" w16cid:durableId="652223864">
    <w:abstractNumId w:val="7"/>
  </w:num>
  <w:num w:numId="26" w16cid:durableId="1238520016">
    <w:abstractNumId w:val="29"/>
  </w:num>
  <w:num w:numId="27" w16cid:durableId="1645045129">
    <w:abstractNumId w:val="4"/>
  </w:num>
  <w:num w:numId="28" w16cid:durableId="1804500347">
    <w:abstractNumId w:val="13"/>
  </w:num>
  <w:num w:numId="29" w16cid:durableId="675499100">
    <w:abstractNumId w:val="17"/>
  </w:num>
  <w:num w:numId="30" w16cid:durableId="2084912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0E4460"/>
    <w:rsid w:val="001947A7"/>
    <w:rsid w:val="001B44C4"/>
    <w:rsid w:val="001B5B56"/>
    <w:rsid w:val="001C51E6"/>
    <w:rsid w:val="001E67FD"/>
    <w:rsid w:val="0026188F"/>
    <w:rsid w:val="00267220"/>
    <w:rsid w:val="002C59D4"/>
    <w:rsid w:val="002E129B"/>
    <w:rsid w:val="00380D99"/>
    <w:rsid w:val="00384379"/>
    <w:rsid w:val="003A51F9"/>
    <w:rsid w:val="003D0F6B"/>
    <w:rsid w:val="00403DE4"/>
    <w:rsid w:val="00414A88"/>
    <w:rsid w:val="0044167F"/>
    <w:rsid w:val="00463EB7"/>
    <w:rsid w:val="004D7E42"/>
    <w:rsid w:val="00565A42"/>
    <w:rsid w:val="005726A9"/>
    <w:rsid w:val="00586F86"/>
    <w:rsid w:val="006021BE"/>
    <w:rsid w:val="00665B79"/>
    <w:rsid w:val="0068663F"/>
    <w:rsid w:val="006C552A"/>
    <w:rsid w:val="006E0E17"/>
    <w:rsid w:val="007352DF"/>
    <w:rsid w:val="00753934"/>
    <w:rsid w:val="0077526D"/>
    <w:rsid w:val="007D755D"/>
    <w:rsid w:val="0081118A"/>
    <w:rsid w:val="008159C8"/>
    <w:rsid w:val="00824D9D"/>
    <w:rsid w:val="00825D9D"/>
    <w:rsid w:val="008448DF"/>
    <w:rsid w:val="00857867"/>
    <w:rsid w:val="008C033D"/>
    <w:rsid w:val="008E1960"/>
    <w:rsid w:val="008E3B98"/>
    <w:rsid w:val="008F64EA"/>
    <w:rsid w:val="00921D97"/>
    <w:rsid w:val="00927E2C"/>
    <w:rsid w:val="009F0EDF"/>
    <w:rsid w:val="00A55D8E"/>
    <w:rsid w:val="00A77D11"/>
    <w:rsid w:val="00A94971"/>
    <w:rsid w:val="00AA7C36"/>
    <w:rsid w:val="00AD624D"/>
    <w:rsid w:val="00B675D6"/>
    <w:rsid w:val="00BB7E65"/>
    <w:rsid w:val="00C503ED"/>
    <w:rsid w:val="00C576CD"/>
    <w:rsid w:val="00C73352"/>
    <w:rsid w:val="00C806FA"/>
    <w:rsid w:val="00C83D6B"/>
    <w:rsid w:val="00C87EA9"/>
    <w:rsid w:val="00CA5A82"/>
    <w:rsid w:val="00D0663F"/>
    <w:rsid w:val="00D233B4"/>
    <w:rsid w:val="00D84FB0"/>
    <w:rsid w:val="00DD1A15"/>
    <w:rsid w:val="00DF5721"/>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20</Pages>
  <Words>6989</Words>
  <Characters>41935</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Kamila Kutryb</cp:lastModifiedBy>
  <cp:revision>68</cp:revision>
  <dcterms:created xsi:type="dcterms:W3CDTF">2020-09-07T10:53:00Z</dcterms:created>
  <dcterms:modified xsi:type="dcterms:W3CDTF">2024-11-25T11:47:00Z</dcterms:modified>
</cp:coreProperties>
</file>