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02A2" w:rsidRPr="007002A2" w:rsidRDefault="007002A2" w:rsidP="007002A2">
      <w:pPr>
        <w:tabs>
          <w:tab w:val="right" w:leader="hyphen" w:pos="9072"/>
        </w:tabs>
        <w:jc w:val="center"/>
        <w:rPr>
          <w:b/>
        </w:rPr>
      </w:pPr>
      <w:bookmarkStart w:id="0" w:name="_GoBack"/>
      <w:bookmarkEnd w:id="0"/>
      <w:r w:rsidRPr="007002A2">
        <w:rPr>
          <w:b/>
        </w:rPr>
        <w:t>Uchwała numer 5</w:t>
      </w:r>
    </w:p>
    <w:p w:rsidR="007002A2" w:rsidRPr="007002A2" w:rsidRDefault="007002A2" w:rsidP="007002A2">
      <w:pPr>
        <w:tabs>
          <w:tab w:val="right" w:leader="hyphen" w:pos="9072"/>
        </w:tabs>
        <w:jc w:val="center"/>
        <w:rPr>
          <w:b/>
        </w:rPr>
      </w:pPr>
      <w:r w:rsidRPr="007002A2">
        <w:rPr>
          <w:b/>
        </w:rPr>
        <w:t>Nadzwyczajnego Walnego Zgromadzenia</w:t>
      </w:r>
    </w:p>
    <w:p w:rsidR="007002A2" w:rsidRPr="007002A2" w:rsidRDefault="007002A2" w:rsidP="007002A2">
      <w:pPr>
        <w:tabs>
          <w:tab w:val="right" w:leader="hyphen" w:pos="9072"/>
        </w:tabs>
        <w:jc w:val="center"/>
        <w:rPr>
          <w:b/>
        </w:rPr>
      </w:pPr>
      <w:r w:rsidRPr="007002A2">
        <w:rPr>
          <w:b/>
        </w:rPr>
        <w:t xml:space="preserve">ElectroMobility Poland S.A. </w:t>
      </w:r>
    </w:p>
    <w:p w:rsidR="007002A2" w:rsidRPr="007002A2" w:rsidRDefault="007002A2" w:rsidP="007002A2">
      <w:pPr>
        <w:tabs>
          <w:tab w:val="right" w:leader="hyphen" w:pos="9072"/>
        </w:tabs>
        <w:jc w:val="center"/>
        <w:rPr>
          <w:b/>
        </w:rPr>
      </w:pPr>
      <w:r w:rsidRPr="007002A2">
        <w:rPr>
          <w:b/>
        </w:rPr>
        <w:t>z dnia 10 listopada 2021 roku</w:t>
      </w:r>
    </w:p>
    <w:p w:rsidR="007002A2" w:rsidRPr="007002A2" w:rsidRDefault="007002A2" w:rsidP="007002A2">
      <w:pPr>
        <w:tabs>
          <w:tab w:val="right" w:leader="hyphen" w:pos="9072"/>
        </w:tabs>
        <w:jc w:val="center"/>
        <w:rPr>
          <w:rStyle w:val="Teksttreci"/>
          <w:rFonts w:asciiTheme="minorHAnsi" w:hAnsiTheme="minorHAnsi"/>
          <w:b/>
          <w:bCs/>
          <w:color w:val="000000"/>
          <w:sz w:val="22"/>
          <w:szCs w:val="22"/>
        </w:rPr>
      </w:pPr>
      <w:r w:rsidRPr="007002A2">
        <w:rPr>
          <w:b/>
        </w:rPr>
        <w:t>w sprawie</w:t>
      </w:r>
      <w:r w:rsidRPr="007002A2">
        <w:rPr>
          <w:rFonts w:cs="Times New Roman"/>
          <w:b/>
          <w:bCs/>
        </w:rPr>
        <w:t xml:space="preserve"> </w:t>
      </w:r>
      <w:r w:rsidRPr="007002A2">
        <w:rPr>
          <w:rStyle w:val="Teksttreci"/>
          <w:rFonts w:asciiTheme="minorHAnsi" w:hAnsiTheme="minorHAnsi"/>
          <w:b/>
          <w:bCs/>
          <w:color w:val="000000"/>
          <w:sz w:val="22"/>
          <w:szCs w:val="22"/>
        </w:rPr>
        <w:t>zasad kształtowania wynagrodzeń</w:t>
      </w:r>
    </w:p>
    <w:p w:rsidR="007002A2" w:rsidRDefault="007002A2" w:rsidP="007002A2">
      <w:pPr>
        <w:tabs>
          <w:tab w:val="right" w:leader="hyphen" w:pos="9072"/>
        </w:tabs>
        <w:jc w:val="center"/>
        <w:rPr>
          <w:rStyle w:val="Teksttreci"/>
          <w:rFonts w:asciiTheme="minorHAnsi" w:hAnsiTheme="minorHAnsi"/>
          <w:b/>
          <w:bCs/>
          <w:color w:val="000000"/>
          <w:sz w:val="22"/>
          <w:szCs w:val="22"/>
        </w:rPr>
      </w:pPr>
      <w:r w:rsidRPr="007002A2">
        <w:rPr>
          <w:rStyle w:val="Teksttreci"/>
          <w:rFonts w:asciiTheme="minorHAnsi" w:hAnsiTheme="minorHAnsi"/>
          <w:b/>
          <w:bCs/>
          <w:color w:val="000000"/>
          <w:sz w:val="22"/>
          <w:szCs w:val="22"/>
        </w:rPr>
        <w:t xml:space="preserve"> Członków Rady Nadzorczej Spółki</w:t>
      </w:r>
    </w:p>
    <w:p w:rsidR="007002A2" w:rsidRDefault="007002A2" w:rsidP="007002A2">
      <w:pPr>
        <w:tabs>
          <w:tab w:val="right" w:leader="hyphen" w:pos="9072"/>
        </w:tabs>
        <w:jc w:val="center"/>
        <w:rPr>
          <w:rStyle w:val="Teksttreci"/>
          <w:rFonts w:asciiTheme="minorHAnsi" w:hAnsiTheme="minorHAnsi"/>
          <w:b/>
          <w:bCs/>
          <w:color w:val="000000"/>
          <w:sz w:val="22"/>
          <w:szCs w:val="22"/>
        </w:rPr>
      </w:pPr>
    </w:p>
    <w:p w:rsidR="007002A2" w:rsidRPr="007002A2" w:rsidRDefault="007002A2" w:rsidP="007002A2">
      <w:pPr>
        <w:tabs>
          <w:tab w:val="right" w:leader="hyphen" w:pos="9072"/>
        </w:tabs>
        <w:jc w:val="center"/>
        <w:rPr>
          <w:rFonts w:cs="Times New Roman"/>
          <w:b/>
          <w:bCs/>
        </w:rPr>
      </w:pPr>
    </w:p>
    <w:p w:rsidR="007002A2" w:rsidRPr="007002A2" w:rsidRDefault="007002A2" w:rsidP="007002A2">
      <w:pPr>
        <w:pStyle w:val="Default"/>
        <w:tabs>
          <w:tab w:val="right" w:leader="hyphen" w:pos="9072"/>
        </w:tabs>
        <w:jc w:val="both"/>
        <w:rPr>
          <w:rFonts w:asciiTheme="minorHAnsi" w:hAnsiTheme="minorHAnsi"/>
          <w:bCs/>
          <w:sz w:val="22"/>
          <w:szCs w:val="22"/>
        </w:rPr>
      </w:pPr>
      <w:r w:rsidRPr="007002A2">
        <w:rPr>
          <w:rFonts w:asciiTheme="minorHAnsi" w:hAnsiTheme="minorHAnsi"/>
          <w:bCs/>
          <w:sz w:val="22"/>
          <w:szCs w:val="22"/>
        </w:rPr>
        <w:t xml:space="preserve">Działając na podstawie art. 392 § 1 Kodeksu spółek handlowych, art. 2 ust. 2 pkt 1 i art. 10 ustawy z dnia 9 czerwca 2016 r. o zasadach kształtowania wynagrodzeń osób kierujących niektórymi spółkami (Dz.U. z 2020 r. poz. 1907) oraz § 22 ust.2 Statutu spółki ElectroMobility Poland Spółka Akcyjna </w:t>
      </w:r>
      <w:r w:rsidR="00A04AE0">
        <w:rPr>
          <w:rFonts w:asciiTheme="minorHAnsi" w:hAnsiTheme="minorHAnsi"/>
          <w:bCs/>
          <w:sz w:val="22"/>
          <w:szCs w:val="22"/>
        </w:rPr>
        <w:br/>
      </w:r>
      <w:r w:rsidRPr="007002A2">
        <w:rPr>
          <w:rFonts w:asciiTheme="minorHAnsi" w:hAnsiTheme="minorHAnsi"/>
          <w:bCs/>
          <w:sz w:val="22"/>
          <w:szCs w:val="22"/>
        </w:rPr>
        <w:t>z siedzibą w Warszawie („Spółka”), Nadzwyczajne Walne Zgromadzenie Spółki uchwala, co następuje:</w:t>
      </w:r>
    </w:p>
    <w:p w:rsidR="007002A2" w:rsidRPr="007002A2" w:rsidRDefault="007002A2" w:rsidP="007002A2">
      <w:pPr>
        <w:pStyle w:val="Default"/>
        <w:tabs>
          <w:tab w:val="right" w:leader="hyphen" w:pos="9072"/>
        </w:tabs>
        <w:spacing w:before="240" w:after="240"/>
        <w:jc w:val="center"/>
        <w:rPr>
          <w:rFonts w:asciiTheme="minorHAnsi" w:hAnsiTheme="minorHAnsi"/>
          <w:sz w:val="22"/>
          <w:szCs w:val="22"/>
        </w:rPr>
      </w:pPr>
      <w:r w:rsidRPr="007002A2">
        <w:rPr>
          <w:rFonts w:asciiTheme="minorHAnsi" w:hAnsiTheme="minorHAnsi"/>
          <w:b/>
          <w:bCs/>
          <w:sz w:val="22"/>
          <w:szCs w:val="22"/>
        </w:rPr>
        <w:t>§ 1</w:t>
      </w:r>
    </w:p>
    <w:p w:rsidR="007002A2" w:rsidRPr="007002A2" w:rsidRDefault="007002A2" w:rsidP="007002A2">
      <w:pPr>
        <w:pStyle w:val="Default"/>
        <w:numPr>
          <w:ilvl w:val="0"/>
          <w:numId w:val="1"/>
        </w:numPr>
        <w:tabs>
          <w:tab w:val="right" w:leader="hyphen" w:pos="9072"/>
        </w:tabs>
        <w:ind w:left="426" w:hanging="426"/>
        <w:jc w:val="both"/>
        <w:rPr>
          <w:rFonts w:asciiTheme="minorHAnsi" w:hAnsiTheme="minorHAnsi"/>
          <w:sz w:val="22"/>
          <w:szCs w:val="22"/>
        </w:rPr>
      </w:pPr>
      <w:r w:rsidRPr="007002A2">
        <w:rPr>
          <w:rFonts w:asciiTheme="minorHAnsi" w:hAnsiTheme="minorHAnsi"/>
          <w:sz w:val="22"/>
          <w:szCs w:val="22"/>
          <w:lang w:bidi="pl-PL"/>
        </w:rPr>
        <w:t xml:space="preserve">Ustala się miesięczne wynagrodzenie Członków Rady Nadzorczej Spółki jako iloczyn </w:t>
      </w:r>
      <w:r w:rsidRPr="007002A2">
        <w:rPr>
          <w:rFonts w:asciiTheme="minorHAnsi" w:hAnsiTheme="minorHAnsi"/>
          <w:bCs/>
          <w:sz w:val="22"/>
          <w:szCs w:val="22"/>
          <w:lang w:bidi="pl-PL"/>
        </w:rPr>
        <w:t xml:space="preserve">podstawy wymiaru, o której mowa w art. 1 ust. 3 pkt 11 ustawy z dnia 09 czerwca 2016 r. o zasadach kształtowania wynagrodzeń osób kierujących niektórymi spółkami </w:t>
      </w:r>
      <w:r w:rsidRPr="007002A2">
        <w:rPr>
          <w:rFonts w:asciiTheme="minorHAnsi" w:hAnsiTheme="minorHAnsi"/>
          <w:sz w:val="22"/>
          <w:szCs w:val="22"/>
          <w:lang w:bidi="pl-PL"/>
        </w:rPr>
        <w:t>oraz mnożnika 0,75 (siedemdziesiąt pięć setnych)</w:t>
      </w:r>
      <w:r w:rsidRPr="007002A2">
        <w:rPr>
          <w:rFonts w:asciiTheme="minorHAnsi" w:hAnsiTheme="minorHAnsi"/>
          <w:sz w:val="22"/>
          <w:szCs w:val="22"/>
        </w:rPr>
        <w:t xml:space="preserve">. </w:t>
      </w:r>
    </w:p>
    <w:p w:rsidR="007002A2" w:rsidRPr="007002A2" w:rsidRDefault="007002A2" w:rsidP="007002A2">
      <w:pPr>
        <w:pStyle w:val="Default"/>
        <w:numPr>
          <w:ilvl w:val="0"/>
          <w:numId w:val="1"/>
        </w:numPr>
        <w:tabs>
          <w:tab w:val="right" w:leader="hyphen" w:pos="9072"/>
        </w:tabs>
        <w:ind w:left="426" w:hanging="426"/>
        <w:jc w:val="both"/>
        <w:rPr>
          <w:rFonts w:asciiTheme="minorHAnsi" w:hAnsiTheme="minorHAnsi"/>
          <w:sz w:val="22"/>
          <w:szCs w:val="22"/>
        </w:rPr>
      </w:pPr>
      <w:r w:rsidRPr="007002A2">
        <w:rPr>
          <w:rFonts w:asciiTheme="minorHAnsi" w:hAnsiTheme="minorHAnsi"/>
          <w:sz w:val="22"/>
          <w:szCs w:val="22"/>
        </w:rPr>
        <w:t xml:space="preserve">Dla Przewodniczącego Rady Nadzorczej podwyższa się o 10% (dziesięć procent) miesięczne wynagrodzenie określone w ust. 1. </w:t>
      </w:r>
    </w:p>
    <w:p w:rsidR="007002A2" w:rsidRPr="007002A2" w:rsidRDefault="007002A2" w:rsidP="007002A2">
      <w:pPr>
        <w:pStyle w:val="Default"/>
        <w:tabs>
          <w:tab w:val="right" w:leader="hyphen" w:pos="9072"/>
        </w:tabs>
        <w:spacing w:before="240" w:after="240"/>
        <w:ind w:left="425" w:hanging="425"/>
        <w:jc w:val="center"/>
        <w:rPr>
          <w:rFonts w:asciiTheme="minorHAnsi" w:hAnsiTheme="minorHAnsi"/>
          <w:b/>
          <w:bCs/>
          <w:color w:val="auto"/>
          <w:sz w:val="22"/>
          <w:szCs w:val="22"/>
        </w:rPr>
      </w:pPr>
      <w:r w:rsidRPr="007002A2">
        <w:rPr>
          <w:rFonts w:asciiTheme="minorHAnsi" w:hAnsiTheme="minorHAnsi"/>
          <w:b/>
          <w:bCs/>
          <w:color w:val="auto"/>
          <w:sz w:val="22"/>
          <w:szCs w:val="22"/>
        </w:rPr>
        <w:t>§ 2</w:t>
      </w:r>
    </w:p>
    <w:p w:rsidR="007002A2" w:rsidRPr="007002A2" w:rsidRDefault="007002A2" w:rsidP="007002A2">
      <w:pPr>
        <w:pStyle w:val="Default"/>
        <w:numPr>
          <w:ilvl w:val="0"/>
          <w:numId w:val="2"/>
        </w:numPr>
        <w:tabs>
          <w:tab w:val="right" w:leader="hyphen" w:pos="9072"/>
        </w:tabs>
        <w:ind w:left="426" w:hanging="426"/>
        <w:jc w:val="both"/>
        <w:rPr>
          <w:rFonts w:asciiTheme="minorHAnsi" w:hAnsiTheme="minorHAnsi"/>
          <w:bCs/>
          <w:color w:val="auto"/>
          <w:sz w:val="22"/>
          <w:szCs w:val="22"/>
        </w:rPr>
      </w:pPr>
      <w:r w:rsidRPr="007002A2">
        <w:rPr>
          <w:rFonts w:asciiTheme="minorHAnsi" w:hAnsiTheme="minorHAnsi"/>
          <w:bCs/>
          <w:color w:val="auto"/>
          <w:sz w:val="22"/>
          <w:szCs w:val="22"/>
        </w:rPr>
        <w:t>Członkom Rady Nadzorczej przysługu</w:t>
      </w:r>
      <w:r>
        <w:rPr>
          <w:rFonts w:asciiTheme="minorHAnsi" w:hAnsiTheme="minorHAnsi"/>
          <w:bCs/>
          <w:color w:val="auto"/>
          <w:sz w:val="22"/>
          <w:szCs w:val="22"/>
        </w:rPr>
        <w:t xml:space="preserve">je wynagrodzenie, o którym mowa </w:t>
      </w:r>
      <w:r w:rsidRPr="007002A2">
        <w:rPr>
          <w:rFonts w:asciiTheme="minorHAnsi" w:hAnsiTheme="minorHAnsi"/>
          <w:bCs/>
          <w:color w:val="auto"/>
          <w:sz w:val="22"/>
          <w:szCs w:val="22"/>
        </w:rPr>
        <w:t xml:space="preserve">w </w:t>
      </w:r>
      <w:r w:rsidRPr="007002A2">
        <w:rPr>
          <w:rFonts w:asciiTheme="minorHAnsi" w:hAnsiTheme="minorHAnsi" w:cstheme="minorHAnsi"/>
          <w:bCs/>
          <w:color w:val="auto"/>
          <w:sz w:val="22"/>
          <w:szCs w:val="22"/>
        </w:rPr>
        <w:t>§</w:t>
      </w:r>
      <w:r w:rsidRPr="007002A2">
        <w:rPr>
          <w:rFonts w:asciiTheme="minorHAnsi" w:hAnsiTheme="minorHAnsi"/>
          <w:bCs/>
          <w:color w:val="auto"/>
          <w:sz w:val="22"/>
          <w:szCs w:val="22"/>
        </w:rPr>
        <w:t xml:space="preserve"> 1, bez względu na liczbę zwołanych posiedzeń.</w:t>
      </w:r>
    </w:p>
    <w:p w:rsidR="007002A2" w:rsidRPr="007002A2" w:rsidRDefault="007002A2" w:rsidP="007002A2">
      <w:pPr>
        <w:pStyle w:val="Default"/>
        <w:numPr>
          <w:ilvl w:val="0"/>
          <w:numId w:val="2"/>
        </w:numPr>
        <w:tabs>
          <w:tab w:val="right" w:leader="hyphen" w:pos="9072"/>
        </w:tabs>
        <w:ind w:left="426" w:hanging="426"/>
        <w:jc w:val="both"/>
        <w:rPr>
          <w:rFonts w:asciiTheme="minorHAnsi" w:hAnsiTheme="minorHAnsi"/>
          <w:bCs/>
          <w:color w:val="auto"/>
          <w:sz w:val="22"/>
          <w:szCs w:val="22"/>
        </w:rPr>
      </w:pPr>
      <w:r w:rsidRPr="007002A2">
        <w:rPr>
          <w:rFonts w:asciiTheme="minorHAnsi" w:hAnsiTheme="minorHAnsi"/>
          <w:bCs/>
          <w:color w:val="auto"/>
          <w:sz w:val="22"/>
          <w:szCs w:val="22"/>
        </w:rPr>
        <w:lastRenderedPageBreak/>
        <w:t xml:space="preserve">Wynagrodzenie nie przysługuje za ten miesiąc, w którym Członek Rady Nadzorczej nie był obecny na żadnym z prawidłowo zwołanych posiedzeń, a nieobecność nie została usprawiedliwiona. </w:t>
      </w:r>
      <w:r w:rsidR="00A04AE0">
        <w:rPr>
          <w:rFonts w:asciiTheme="minorHAnsi" w:hAnsiTheme="minorHAnsi"/>
          <w:bCs/>
          <w:color w:val="auto"/>
          <w:sz w:val="22"/>
          <w:szCs w:val="22"/>
        </w:rPr>
        <w:br/>
      </w:r>
      <w:r w:rsidRPr="007002A2">
        <w:rPr>
          <w:rFonts w:asciiTheme="minorHAnsi" w:hAnsiTheme="minorHAnsi"/>
          <w:bCs/>
          <w:color w:val="auto"/>
          <w:sz w:val="22"/>
          <w:szCs w:val="22"/>
        </w:rPr>
        <w:t>O usprawiedliwieniu albo nieusprawiedliwieniu nieobecności Członka Rady Nadzorczej na posiedzeniu decyduje Rada Nadzorcza w drodze uchwały.</w:t>
      </w:r>
    </w:p>
    <w:p w:rsidR="007002A2" w:rsidRPr="007002A2" w:rsidRDefault="007002A2" w:rsidP="007002A2">
      <w:pPr>
        <w:pStyle w:val="Default"/>
        <w:numPr>
          <w:ilvl w:val="0"/>
          <w:numId w:val="2"/>
        </w:numPr>
        <w:tabs>
          <w:tab w:val="right" w:leader="hyphen" w:pos="9072"/>
        </w:tabs>
        <w:ind w:left="426" w:hanging="426"/>
        <w:jc w:val="both"/>
        <w:rPr>
          <w:rFonts w:asciiTheme="minorHAnsi" w:hAnsiTheme="minorHAnsi"/>
          <w:bCs/>
          <w:color w:val="auto"/>
          <w:sz w:val="22"/>
          <w:szCs w:val="22"/>
        </w:rPr>
      </w:pPr>
      <w:r w:rsidRPr="007002A2">
        <w:rPr>
          <w:rFonts w:asciiTheme="minorHAnsi" w:hAnsiTheme="minorHAnsi"/>
          <w:bCs/>
          <w:color w:val="auto"/>
          <w:sz w:val="22"/>
          <w:szCs w:val="22"/>
        </w:rPr>
        <w:t xml:space="preserve">Wynagrodzenie, o którym mowa w </w:t>
      </w:r>
      <w:r w:rsidRPr="007002A2">
        <w:rPr>
          <w:rFonts w:asciiTheme="minorHAnsi" w:hAnsiTheme="minorHAnsi" w:cstheme="minorHAnsi"/>
          <w:bCs/>
          <w:color w:val="auto"/>
          <w:sz w:val="22"/>
          <w:szCs w:val="22"/>
        </w:rPr>
        <w:t>§</w:t>
      </w:r>
      <w:r w:rsidRPr="007002A2">
        <w:rPr>
          <w:rFonts w:asciiTheme="minorHAnsi" w:hAnsiTheme="minorHAnsi"/>
          <w:bCs/>
          <w:color w:val="auto"/>
          <w:sz w:val="22"/>
          <w:szCs w:val="22"/>
        </w:rPr>
        <w:t xml:space="preserve"> 1, jest obliczane proporcjonalnie do ilości dni pełnienia funkcji w przypadku, gdy powołanie lub odwołanie nastąpiło w czasie trwania miesiąca kalendarzowego.</w:t>
      </w:r>
    </w:p>
    <w:p w:rsidR="007002A2" w:rsidRPr="007002A2" w:rsidRDefault="007002A2" w:rsidP="007002A2">
      <w:pPr>
        <w:pStyle w:val="Default"/>
        <w:numPr>
          <w:ilvl w:val="0"/>
          <w:numId w:val="2"/>
        </w:numPr>
        <w:tabs>
          <w:tab w:val="right" w:leader="hyphen" w:pos="9072"/>
        </w:tabs>
        <w:ind w:left="426" w:hanging="426"/>
        <w:jc w:val="both"/>
        <w:rPr>
          <w:rFonts w:asciiTheme="minorHAnsi" w:hAnsiTheme="minorHAnsi"/>
          <w:bCs/>
          <w:color w:val="auto"/>
          <w:sz w:val="22"/>
          <w:szCs w:val="22"/>
        </w:rPr>
      </w:pPr>
      <w:r w:rsidRPr="007002A2">
        <w:rPr>
          <w:rFonts w:asciiTheme="minorHAnsi" w:hAnsiTheme="minorHAnsi"/>
          <w:bCs/>
          <w:color w:val="auto"/>
          <w:sz w:val="22"/>
          <w:szCs w:val="22"/>
        </w:rPr>
        <w:t xml:space="preserve">Wynagrodzenie, o którym mowa w </w:t>
      </w:r>
      <w:r w:rsidRPr="007002A2">
        <w:rPr>
          <w:rFonts w:asciiTheme="minorHAnsi" w:hAnsiTheme="minorHAnsi" w:cstheme="minorHAnsi"/>
          <w:bCs/>
          <w:color w:val="auto"/>
          <w:sz w:val="22"/>
          <w:szCs w:val="22"/>
        </w:rPr>
        <w:t>§</w:t>
      </w:r>
      <w:r w:rsidRPr="007002A2">
        <w:rPr>
          <w:rFonts w:asciiTheme="minorHAnsi" w:hAnsiTheme="minorHAnsi"/>
          <w:bCs/>
          <w:color w:val="auto"/>
          <w:sz w:val="22"/>
          <w:szCs w:val="22"/>
        </w:rPr>
        <w:t xml:space="preserve"> 1, jest wypłacane z dołu, do 10 (dziesiątego) dnia każdego miesiąca.</w:t>
      </w:r>
    </w:p>
    <w:p w:rsidR="007002A2" w:rsidRPr="007002A2" w:rsidRDefault="007002A2" w:rsidP="007002A2">
      <w:pPr>
        <w:pStyle w:val="Default"/>
        <w:numPr>
          <w:ilvl w:val="0"/>
          <w:numId w:val="2"/>
        </w:numPr>
        <w:tabs>
          <w:tab w:val="right" w:leader="hyphen" w:pos="9072"/>
        </w:tabs>
        <w:ind w:left="426" w:hanging="426"/>
        <w:jc w:val="both"/>
        <w:rPr>
          <w:rFonts w:asciiTheme="minorHAnsi" w:hAnsiTheme="minorHAnsi"/>
          <w:bCs/>
          <w:color w:val="auto"/>
          <w:sz w:val="22"/>
          <w:szCs w:val="22"/>
        </w:rPr>
      </w:pPr>
      <w:r w:rsidRPr="007002A2">
        <w:rPr>
          <w:rFonts w:asciiTheme="minorHAnsi" w:hAnsiTheme="minorHAnsi"/>
          <w:bCs/>
          <w:color w:val="auto"/>
          <w:sz w:val="22"/>
          <w:szCs w:val="22"/>
        </w:rPr>
        <w:t>Wynagrodzenie obciąża koszty działalności Spółki.</w:t>
      </w:r>
    </w:p>
    <w:p w:rsidR="007002A2" w:rsidRPr="007002A2" w:rsidRDefault="007002A2" w:rsidP="007002A2">
      <w:pPr>
        <w:pStyle w:val="Default"/>
        <w:numPr>
          <w:ilvl w:val="0"/>
          <w:numId w:val="2"/>
        </w:numPr>
        <w:tabs>
          <w:tab w:val="right" w:leader="hyphen" w:pos="9072"/>
        </w:tabs>
        <w:ind w:left="426" w:hanging="426"/>
        <w:jc w:val="both"/>
        <w:rPr>
          <w:rFonts w:asciiTheme="minorHAnsi" w:hAnsiTheme="minorHAnsi"/>
          <w:bCs/>
          <w:color w:val="auto"/>
          <w:sz w:val="22"/>
          <w:szCs w:val="22"/>
        </w:rPr>
      </w:pPr>
      <w:r w:rsidRPr="007002A2">
        <w:rPr>
          <w:rFonts w:asciiTheme="minorHAnsi" w:hAnsiTheme="minorHAnsi"/>
          <w:bCs/>
          <w:color w:val="auto"/>
          <w:sz w:val="22"/>
          <w:szCs w:val="22"/>
        </w:rPr>
        <w:t>Spółka pokrywa również koszty poniesione w związku z wykonywaniem przez członków Rady Nadzorczej powierzonych im funkcji, w szczególności koszty przejazdu z miejsca zamieszkania do miejsca odbycia posiedzenia Rady Nadzorczej i z powrotem lub koszty wykonywania indywidualnego nadzoru oraz koszty zakwaterowania i wyżywienia.</w:t>
      </w:r>
    </w:p>
    <w:p w:rsidR="007002A2" w:rsidRPr="007002A2" w:rsidRDefault="007002A2" w:rsidP="007002A2">
      <w:pPr>
        <w:pStyle w:val="Default"/>
        <w:tabs>
          <w:tab w:val="right" w:leader="hyphen" w:pos="9072"/>
        </w:tabs>
        <w:spacing w:before="240" w:after="240"/>
        <w:ind w:left="425" w:hanging="425"/>
        <w:jc w:val="center"/>
        <w:rPr>
          <w:rFonts w:asciiTheme="minorHAnsi" w:hAnsiTheme="minorHAnsi"/>
          <w:b/>
          <w:bCs/>
          <w:sz w:val="22"/>
          <w:szCs w:val="22"/>
        </w:rPr>
      </w:pPr>
      <w:r w:rsidRPr="007002A2">
        <w:rPr>
          <w:rFonts w:asciiTheme="minorHAnsi" w:hAnsiTheme="minorHAnsi"/>
          <w:b/>
          <w:bCs/>
          <w:sz w:val="22"/>
          <w:szCs w:val="22"/>
        </w:rPr>
        <w:t>§ 3</w:t>
      </w:r>
    </w:p>
    <w:p w:rsidR="007002A2" w:rsidRPr="007002A2" w:rsidRDefault="007002A2" w:rsidP="007002A2">
      <w:pPr>
        <w:pStyle w:val="Default"/>
        <w:tabs>
          <w:tab w:val="right" w:leader="hyphen" w:pos="9072"/>
        </w:tabs>
        <w:jc w:val="both"/>
        <w:rPr>
          <w:rFonts w:asciiTheme="minorHAnsi" w:hAnsiTheme="minorHAnsi"/>
          <w:iCs/>
          <w:sz w:val="22"/>
          <w:szCs w:val="22"/>
        </w:rPr>
      </w:pPr>
      <w:r w:rsidRPr="007002A2">
        <w:rPr>
          <w:rFonts w:asciiTheme="minorHAnsi" w:hAnsiTheme="minorHAnsi" w:cs="Arial"/>
          <w:color w:val="auto"/>
          <w:sz w:val="22"/>
          <w:szCs w:val="22"/>
        </w:rPr>
        <w:t xml:space="preserve">Uchyla się </w:t>
      </w:r>
      <w:r w:rsidRPr="007002A2">
        <w:rPr>
          <w:rFonts w:asciiTheme="minorHAnsi" w:hAnsiTheme="minorHAnsi"/>
          <w:bCs/>
          <w:sz w:val="22"/>
          <w:szCs w:val="22"/>
        </w:rPr>
        <w:t xml:space="preserve">Uchwałę numer 6 Nadzwyczajnego Walnego Zgromadzenia Spółki pod firmą ElectroMobility Poland Spółka Akcyjna z siedzibą w Warszawie z dnia 4 października 2018 r. </w:t>
      </w:r>
      <w:r w:rsidRPr="007002A2">
        <w:rPr>
          <w:rFonts w:asciiTheme="minorHAnsi" w:hAnsiTheme="minorHAnsi"/>
          <w:iCs/>
          <w:sz w:val="22"/>
          <w:szCs w:val="22"/>
        </w:rPr>
        <w:t>w sprawie określenia wynagrodzenia Członków Rady Nadzorczej Spółki.</w:t>
      </w:r>
    </w:p>
    <w:p w:rsidR="007002A2" w:rsidRPr="007002A2" w:rsidRDefault="007002A2" w:rsidP="007002A2">
      <w:pPr>
        <w:pStyle w:val="Default"/>
        <w:tabs>
          <w:tab w:val="right" w:leader="hyphen" w:pos="9072"/>
        </w:tabs>
        <w:spacing w:before="240" w:after="240"/>
        <w:ind w:left="425" w:hanging="425"/>
        <w:jc w:val="center"/>
        <w:rPr>
          <w:rFonts w:asciiTheme="minorHAnsi" w:hAnsiTheme="minorHAnsi"/>
          <w:b/>
          <w:bCs/>
          <w:sz w:val="22"/>
          <w:szCs w:val="22"/>
        </w:rPr>
      </w:pPr>
      <w:r w:rsidRPr="007002A2">
        <w:rPr>
          <w:rFonts w:asciiTheme="minorHAnsi" w:hAnsiTheme="minorHAnsi"/>
          <w:b/>
          <w:bCs/>
          <w:sz w:val="22"/>
          <w:szCs w:val="22"/>
        </w:rPr>
        <w:t>§ 4</w:t>
      </w:r>
    </w:p>
    <w:p w:rsidR="007002A2" w:rsidRPr="007002A2" w:rsidRDefault="007002A2" w:rsidP="007002A2">
      <w:pPr>
        <w:tabs>
          <w:tab w:val="right" w:leader="hyphen" w:pos="9072"/>
        </w:tabs>
        <w:ind w:left="426" w:hanging="426"/>
        <w:jc w:val="both"/>
        <w:rPr>
          <w:rFonts w:cs="Times New Roman"/>
        </w:rPr>
      </w:pPr>
      <w:r w:rsidRPr="007002A2">
        <w:rPr>
          <w:rFonts w:cs="Times New Roman"/>
        </w:rPr>
        <w:t>Uchwała wchodzi w życie z dniem podjęcia.</w:t>
      </w:r>
    </w:p>
    <w:p w:rsidR="00076201" w:rsidRDefault="00076201"/>
    <w:sectPr w:rsidR="000762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D049E"/>
    <w:multiLevelType w:val="hybridMultilevel"/>
    <w:tmpl w:val="815C29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E339E2"/>
    <w:multiLevelType w:val="hybridMultilevel"/>
    <w:tmpl w:val="6A2A4A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2A2"/>
    <w:rsid w:val="00070079"/>
    <w:rsid w:val="00076201"/>
    <w:rsid w:val="007002A2"/>
    <w:rsid w:val="00A04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40BBF0-77C8-411C-9904-81A94F174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002A2"/>
    <w:pPr>
      <w:spacing w:after="0" w:line="240" w:lineRule="auto"/>
      <w:jc w:val="right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basedOn w:val="Domylnaczcionkaakapitu"/>
    <w:link w:val="Teksttreci0"/>
    <w:uiPriority w:val="99"/>
    <w:rsid w:val="007002A2"/>
    <w:rPr>
      <w:rFonts w:ascii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uiPriority w:val="99"/>
    <w:rsid w:val="007002A2"/>
    <w:pPr>
      <w:widowControl w:val="0"/>
      <w:shd w:val="clear" w:color="auto" w:fill="FFFFFF"/>
      <w:spacing w:before="300" w:line="278" w:lineRule="exact"/>
      <w:ind w:hanging="340"/>
      <w:jc w:val="left"/>
    </w:pPr>
    <w:rPr>
      <w:rFonts w:ascii="Arial" w:hAnsi="Arial" w:cs="Arial"/>
      <w:sz w:val="19"/>
      <w:szCs w:val="19"/>
    </w:rPr>
  </w:style>
  <w:style w:type="paragraph" w:customStyle="1" w:styleId="Default">
    <w:name w:val="Default"/>
    <w:rsid w:val="007002A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04AE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4A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343</Words>
  <Characters>2061</Characters>
  <Application>Microsoft Office Word</Application>
  <DocSecurity>4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Czajkowski Piotr</dc:creator>
  <cp:keywords/>
  <dc:description/>
  <cp:lastModifiedBy>Sierpińska Aleksandra</cp:lastModifiedBy>
  <cp:revision>2</cp:revision>
  <cp:lastPrinted>2021-12-09T10:44:00Z</cp:lastPrinted>
  <dcterms:created xsi:type="dcterms:W3CDTF">2021-12-09T15:03:00Z</dcterms:created>
  <dcterms:modified xsi:type="dcterms:W3CDTF">2021-12-09T15:03:00Z</dcterms:modified>
</cp:coreProperties>
</file>