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5" o:title=""/>
          </v:shape>
          <o:OLEObject Type="Embed" ProgID="Word.Picture.8" ShapeID="_x0000_i1025" DrawAspect="Content" ObjectID="_1846920679"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580E6BFA"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7171B9">
        <w:rPr>
          <w:rFonts w:ascii="Calibri" w:eastAsia="Lucida Sans Unicode" w:hAnsi="Calibri" w:cs="Calibri"/>
          <w:bCs/>
          <w:kern w:val="28"/>
          <w:sz w:val="24"/>
          <w:szCs w:val="24"/>
        </w:rPr>
        <w:t>7</w:t>
      </w:r>
      <w:r w:rsidR="007D6812">
        <w:rPr>
          <w:rFonts w:ascii="Calibri" w:eastAsia="Lucida Sans Unicode" w:hAnsi="Calibri" w:cs="Calibri"/>
          <w:bCs/>
          <w:kern w:val="28"/>
          <w:sz w:val="24"/>
          <w:szCs w:val="24"/>
        </w:rPr>
        <w:t>.2026.KT.</w:t>
      </w:r>
      <w:r w:rsidR="007171B9">
        <w:rPr>
          <w:rFonts w:ascii="Calibri" w:eastAsia="Lucida Sans Unicode" w:hAnsi="Calibri" w:cs="Calibri"/>
          <w:bCs/>
          <w:kern w:val="28"/>
          <w:sz w:val="24"/>
          <w:szCs w:val="24"/>
        </w:rPr>
        <w:t>9</w:t>
      </w:r>
    </w:p>
    <w:p w14:paraId="74919869" w14:textId="7189CC0E"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7D6812">
        <w:rPr>
          <w:rFonts w:ascii="Calibri" w:eastAsia="Lucida Sans Unicode" w:hAnsi="Calibri" w:cs="Calibri"/>
          <w:bCs/>
          <w:kern w:val="28"/>
          <w:sz w:val="24"/>
          <w:szCs w:val="24"/>
        </w:rPr>
        <w:t>30 lipca</w:t>
      </w:r>
      <w:r w:rsidR="00050F4B">
        <w:rPr>
          <w:rFonts w:ascii="Calibri" w:eastAsia="Lucida Sans Unicode" w:hAnsi="Calibri" w:cs="Calibri"/>
          <w:bCs/>
          <w:kern w:val="28"/>
          <w:sz w:val="24"/>
          <w:szCs w:val="24"/>
        </w:rPr>
        <w:t xml:space="preserve"> 2026 r.</w:t>
      </w:r>
    </w:p>
    <w:p w14:paraId="1C95D171" w14:textId="3B8EB6AA" w:rsidR="00050F4B" w:rsidRDefault="00050F4B" w:rsidP="00C503ED">
      <w:pPr>
        <w:widowControl w:val="0"/>
        <w:suppressAutoHyphens/>
        <w:spacing w:after="100" w:afterAutospacing="1" w:line="360" w:lineRule="auto"/>
        <w:rPr>
          <w:rFonts w:ascii="Calibri" w:eastAsia="Lucida Sans Unicode" w:hAnsi="Calibri" w:cs="Calibri"/>
          <w:bCs/>
          <w:kern w:val="28"/>
          <w:sz w:val="24"/>
          <w:szCs w:val="24"/>
        </w:rPr>
      </w:pPr>
      <w:r w:rsidRPr="00050F4B">
        <w:rPr>
          <w:rFonts w:ascii="Calibri" w:eastAsia="Lucida Sans Unicode" w:hAnsi="Calibri" w:cs="Calibri"/>
          <w:bCs/>
          <w:kern w:val="28"/>
          <w:sz w:val="24"/>
          <w:szCs w:val="24"/>
        </w:rPr>
        <w:t xml:space="preserve">Załącznik </w:t>
      </w:r>
      <w:r w:rsidR="007D6812">
        <w:rPr>
          <w:rFonts w:ascii="Calibri" w:eastAsia="Lucida Sans Unicode" w:hAnsi="Calibri" w:cs="Calibri"/>
          <w:bCs/>
          <w:kern w:val="28"/>
          <w:sz w:val="24"/>
          <w:szCs w:val="24"/>
        </w:rPr>
        <w:t xml:space="preserve">nr 1 </w:t>
      </w:r>
      <w:r w:rsidR="000A6018" w:rsidRPr="000A6018">
        <w:rPr>
          <w:rFonts w:ascii="Calibri" w:eastAsia="Lucida Sans Unicode" w:hAnsi="Calibri" w:cs="Calibri"/>
          <w:bCs/>
          <w:kern w:val="28"/>
          <w:sz w:val="24"/>
          <w:szCs w:val="24"/>
        </w:rPr>
        <w:t xml:space="preserve">do </w:t>
      </w:r>
      <w:r w:rsidR="007171B9" w:rsidRPr="007171B9">
        <w:rPr>
          <w:rFonts w:ascii="Calibri" w:eastAsia="Lucida Sans Unicode" w:hAnsi="Calibri" w:cs="Calibri"/>
          <w:bCs/>
          <w:kern w:val="28"/>
          <w:sz w:val="24"/>
          <w:szCs w:val="24"/>
        </w:rPr>
        <w:t>decyzji Regionalnego Dyrektora Ochrony Środowiska w Olsztynie z 30 lipca  2026 r., znak: WOOŚ.420.7.2026.KT.9 o środowiskowych uwarunkowaniach dla przedsięwzięcia polegającego na zmianie lasu na użytek rolny na działce nr 3/1 obręb Wilkasy (0,3783 ha) oraz działce nr 28 obręb Niedźwiedzkie (0,2121 ha), gm. Wieliczki, pow. olecki, woj. warmińsko-mazurskie</w:t>
      </w:r>
      <w:r w:rsidR="007D6812" w:rsidRPr="007D6812">
        <w:rPr>
          <w:rFonts w:ascii="Calibri" w:eastAsia="Lucida Sans Unicode" w:hAnsi="Calibri" w:cs="Calibri"/>
          <w:bCs/>
          <w:kern w:val="28"/>
          <w:sz w:val="24"/>
          <w:szCs w:val="24"/>
        </w:rPr>
        <w:t>.</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2A98DE40" w14:textId="77777777" w:rsidR="007171B9" w:rsidRPr="007171B9" w:rsidRDefault="000A6018" w:rsidP="007171B9">
      <w:pPr>
        <w:spacing w:after="0" w:line="360" w:lineRule="auto"/>
        <w:rPr>
          <w:rFonts w:cstheme="minorHAnsi"/>
          <w:sz w:val="24"/>
          <w:szCs w:val="24"/>
        </w:rPr>
      </w:pPr>
      <w:r>
        <w:rPr>
          <w:rFonts w:cstheme="minorHAnsi"/>
          <w:sz w:val="24"/>
          <w:szCs w:val="24"/>
        </w:rPr>
        <w:t>Plan</w:t>
      </w:r>
      <w:r w:rsidR="007D6812">
        <w:rPr>
          <w:rFonts w:cstheme="minorHAnsi"/>
          <w:sz w:val="24"/>
          <w:szCs w:val="24"/>
        </w:rPr>
        <w:t xml:space="preserve">owane </w:t>
      </w:r>
      <w:r w:rsidR="007171B9" w:rsidRPr="007171B9">
        <w:rPr>
          <w:rFonts w:cstheme="minorHAnsi"/>
          <w:sz w:val="24"/>
          <w:szCs w:val="24"/>
        </w:rPr>
        <w:t>przedsięwzięcie polega na zmianie przeznaczenia części gruntów leśnych na użytki rolne na działce nr 3/1, obręb 0021 Wilkasy, oraz na działce nr 28, obręb 0012 Niedźwiedzkie, położonych w gminie Wieliczki, powiecie oleckim, województwie warmińsko-mazurskim.</w:t>
      </w:r>
    </w:p>
    <w:p w14:paraId="763D57AA" w14:textId="77777777" w:rsidR="007171B9" w:rsidRDefault="007171B9" w:rsidP="007171B9">
      <w:pPr>
        <w:spacing w:after="0" w:line="360" w:lineRule="auto"/>
        <w:rPr>
          <w:rFonts w:cstheme="minorHAnsi"/>
          <w:sz w:val="24"/>
          <w:szCs w:val="24"/>
        </w:rPr>
      </w:pPr>
      <w:r w:rsidRPr="007171B9">
        <w:rPr>
          <w:rFonts w:cstheme="minorHAnsi"/>
          <w:sz w:val="24"/>
          <w:szCs w:val="24"/>
        </w:rPr>
        <w:t>Teren objęty przedsięwzięciem nie jest objęty miejscowym planem zagospodarowania przestrzennego.</w:t>
      </w:r>
    </w:p>
    <w:p w14:paraId="4639D0AE" w14:textId="77777777" w:rsidR="007171B9" w:rsidRDefault="007171B9" w:rsidP="007171B9">
      <w:pPr>
        <w:spacing w:after="0" w:line="360" w:lineRule="auto"/>
        <w:rPr>
          <w:rFonts w:cstheme="minorHAnsi"/>
          <w:sz w:val="24"/>
          <w:szCs w:val="24"/>
        </w:rPr>
      </w:pPr>
      <w:r w:rsidRPr="007171B9">
        <w:rPr>
          <w:rFonts w:cstheme="minorHAnsi"/>
          <w:sz w:val="24"/>
          <w:szCs w:val="24"/>
        </w:rPr>
        <w:t>Na działce nr 3/1 obręb Wilkasy planowana jest zmiana przeznaczenia dwóch niewielkich fragmentów gruntów leśnych o powierzchni 0,2781 ha oraz 0,1002 ha, natomiast na działce nr 28 obręb Niedźwiedzkie – jednego fragmentu o powierzchni 0,2121 ha. Łączna powierzchnia gruntów objętych zmianą wynosi 0,5904 ha.</w:t>
      </w:r>
    </w:p>
    <w:p w14:paraId="52937CAB" w14:textId="77777777" w:rsidR="007171B9" w:rsidRDefault="007171B9" w:rsidP="007171B9">
      <w:pPr>
        <w:spacing w:after="0" w:line="360" w:lineRule="auto"/>
        <w:rPr>
          <w:rFonts w:cstheme="minorHAnsi"/>
          <w:sz w:val="24"/>
          <w:szCs w:val="24"/>
        </w:rPr>
      </w:pPr>
      <w:r w:rsidRPr="007171B9">
        <w:rPr>
          <w:rFonts w:cstheme="minorHAnsi"/>
          <w:sz w:val="24"/>
          <w:szCs w:val="24"/>
        </w:rPr>
        <w:t>Przedmiotowe fragmenty stanowią obrzeża większej enklawy leśnej zlokalizowanej na działkach nr 3/1 i 1 w obrębie Wilkasy oraz na działce nr 28 w obrębie Niedźwiedzkie. Zgodnie z uproszczonym wypisem z rejestru gruntów, na działce nr 3/1 o powierzchni 9,3780 ha lasy (</w:t>
      </w:r>
      <w:proofErr w:type="spellStart"/>
      <w:r w:rsidRPr="007171B9">
        <w:rPr>
          <w:rFonts w:cstheme="minorHAnsi"/>
          <w:sz w:val="24"/>
          <w:szCs w:val="24"/>
        </w:rPr>
        <w:t>LsV</w:t>
      </w:r>
      <w:proofErr w:type="spellEnd"/>
      <w:r w:rsidRPr="007171B9">
        <w:rPr>
          <w:rFonts w:cstheme="minorHAnsi"/>
          <w:sz w:val="24"/>
          <w:szCs w:val="24"/>
        </w:rPr>
        <w:t>) zajmują 2,87 ha, na działce nr 1 o powierzchni 3,99 ha – 1,07 ha, natomiast na działce nr 28 o powierzchni 6,74 ha – 1,08 ha. Łączna powierzchnia gruntów leśnych w obrębie wskazanej enklawy wynosi zatem 5,02 ha, z czego zmianą przeznaczenia objętych zostanie jedynie 0,5904 ha, co stanowi ok. 11,8% jej powierzchni.</w:t>
      </w:r>
    </w:p>
    <w:p w14:paraId="6C9E9208" w14:textId="77777777" w:rsidR="007171B9" w:rsidRDefault="007171B9" w:rsidP="007171B9">
      <w:pPr>
        <w:spacing w:after="0" w:line="360" w:lineRule="auto"/>
        <w:rPr>
          <w:rFonts w:cstheme="minorHAnsi"/>
          <w:sz w:val="24"/>
          <w:szCs w:val="24"/>
        </w:rPr>
      </w:pPr>
      <w:r w:rsidRPr="007171B9">
        <w:rPr>
          <w:rFonts w:cstheme="minorHAnsi"/>
          <w:sz w:val="24"/>
          <w:szCs w:val="24"/>
        </w:rPr>
        <w:lastRenderedPageBreak/>
        <w:t>Grunty planowane do zmiany położone są na obrzeżach kompleksu leśnego, przy czym jeden z fragmentów bezpośrednio przylega do istniejącej zabudowy. Obecnie tereny te nie są porośnięte roślinnością leśną i nie pełnią funkcji leśnych.</w:t>
      </w:r>
    </w:p>
    <w:p w14:paraId="3EE6D4FF" w14:textId="77777777" w:rsidR="007171B9" w:rsidRDefault="007171B9" w:rsidP="007171B9">
      <w:pPr>
        <w:spacing w:after="0" w:line="360" w:lineRule="auto"/>
        <w:rPr>
          <w:rFonts w:cstheme="minorHAnsi"/>
          <w:sz w:val="24"/>
          <w:szCs w:val="24"/>
        </w:rPr>
      </w:pPr>
      <w:r w:rsidRPr="007171B9">
        <w:rPr>
          <w:rFonts w:cstheme="minorHAnsi"/>
          <w:sz w:val="24"/>
          <w:szCs w:val="24"/>
        </w:rPr>
        <w:t>Przedsięwzięcie ma charakter wyłącznie formalno-prawny i polega na dostosowaniu zapisów ewidencji gruntów do rzeczywistego sposobu użytkowania terenu. Nie przewiduje się wycinki drzew ani prowadzenia innych prac skutkujących usunięciem drzewostanu lub przekształceniem istniejących terenów leśnych.</w:t>
      </w:r>
    </w:p>
    <w:p w14:paraId="6D6EBC07" w14:textId="77777777" w:rsidR="007171B9" w:rsidRDefault="007171B9" w:rsidP="007171B9">
      <w:pPr>
        <w:spacing w:after="0" w:line="360" w:lineRule="auto"/>
        <w:rPr>
          <w:rFonts w:cstheme="minorHAnsi"/>
          <w:sz w:val="24"/>
          <w:szCs w:val="24"/>
        </w:rPr>
      </w:pPr>
      <w:r w:rsidRPr="007171B9">
        <w:rPr>
          <w:rFonts w:cstheme="minorHAnsi"/>
          <w:sz w:val="24"/>
          <w:szCs w:val="24"/>
        </w:rPr>
        <w:t>Realizacja przedsięwzięcia pozwoli na uporządkowanie stanu prawnego nieruchomości poprzez dostosowanie klasyfikacji gruntów do ich faktycznego zagospodarowania oraz umożliwi powiększenie powierzchni użytków rolnych.</w:t>
      </w:r>
    </w:p>
    <w:p w14:paraId="70C5DFA7" w14:textId="77777777" w:rsidR="007171B9" w:rsidRDefault="007171B9" w:rsidP="007171B9">
      <w:pPr>
        <w:spacing w:after="0" w:line="360" w:lineRule="auto"/>
        <w:rPr>
          <w:rFonts w:cstheme="minorHAnsi"/>
          <w:sz w:val="24"/>
          <w:szCs w:val="24"/>
        </w:rPr>
      </w:pPr>
      <w:r w:rsidRPr="007171B9">
        <w:rPr>
          <w:rFonts w:cstheme="minorHAnsi"/>
          <w:sz w:val="24"/>
          <w:szCs w:val="24"/>
        </w:rPr>
        <w:t>Mając na uwadze, że powierzchnia leśna wnioskowana do zmiany na użytek rolny - 0,5904  ha w rzeczywistości faktycznie nie pełni funkcji leśnych, to nie przewiduje się etapu realizacji przedsięwzięcia. Planowana zmiana lasu na użytek rolny nie będzie wiązała się z wykonywaniem żadnych prac w terenie, w tym z wykonywaniem wycinki drzew i krzewów. Stan obecny na wnioskowanej powierzchni pozostanie bez zmian.</w:t>
      </w:r>
    </w:p>
    <w:p w14:paraId="486E07C8" w14:textId="77777777" w:rsidR="007171B9" w:rsidRDefault="007171B9" w:rsidP="007171B9">
      <w:pPr>
        <w:spacing w:after="0" w:line="360" w:lineRule="auto"/>
        <w:rPr>
          <w:rFonts w:cstheme="minorHAnsi"/>
          <w:sz w:val="24"/>
          <w:szCs w:val="24"/>
        </w:rPr>
      </w:pPr>
      <w:r w:rsidRPr="007171B9">
        <w:rPr>
          <w:rFonts w:cstheme="minorHAnsi"/>
          <w:sz w:val="24"/>
          <w:szCs w:val="24"/>
        </w:rPr>
        <w:t xml:space="preserve">Planowane przedsięwzięcie nie będzie powodowało istotnego wpływu na klimat ani nie będzie miało znaczenia dla procesów związanych ze zmianami klimatu. Przedsięwzięcie ma charakter formalno-prawny i polega na dostosowaniu zapisów ewidencji gruntów do faktycznego sposobu użytkowania terenu poprzez zmianę przeznaczenia części gruntów leśnych na użytki rolne. Biorąc pod uwagę niewielką powierzchnię objętą zmianą (0,5904 ha), brak robót budowlanych i ziemnych oraz fakt, że nie przewiduje się wycinki drzew ani krzewów, nie wystąpi emisja gazów cieplarnianych związana z realizacją przedsięwzięcia. Zmiana przeznaczenia gruntów nie będzie wiązała się również z likwidacją istniejącego drzewostanu ani ograniczeniem powierzchni faktycznie pełniącej funkcje leśne, ponieważ obszary objęte przedsięwzięciem obecnie nie są porośnięte roślinnością leśną i nie pełnią funkcji lasu. Realizacja przedsięwzięcia nie wpłynie na lokalny mikroklimat, retencję terenową, bilans wodny ani zdolność terenu do pochłaniania dwutlenku węgla. Nie spowoduje także zwiększenia emisji zanieczyszczeń do powietrza ani wzrostu zapotrzebowania na energię. Z uwagi na charakter przedsięwzięcia nie przewiduje się również, aby było ono narażone na negatywne skutki zmian klimatu, takie jak wzrost temperatury, występowanie susz, intensywnych opadów czy silnych wiatrów. Przedsięwzięcie nie obejmuje budowy nowych obiektów ani infrastruktury, dlatego jego realizacja nie wpłynie na odporność obszaru na zjawiska klimatyczne. W związku z powyższym należy stwierdzić, że </w:t>
      </w:r>
      <w:r w:rsidRPr="007171B9">
        <w:rPr>
          <w:rFonts w:cstheme="minorHAnsi"/>
          <w:sz w:val="24"/>
          <w:szCs w:val="24"/>
        </w:rPr>
        <w:lastRenderedPageBreak/>
        <w:t>planowane przedsięwzięcie nie będzie wywierało istotnego wpływu na klimat ani na procesy związane ze zmianami klimatu.</w:t>
      </w:r>
    </w:p>
    <w:p w14:paraId="07DB32C4" w14:textId="77777777" w:rsidR="007171B9" w:rsidRDefault="007171B9" w:rsidP="007171B9">
      <w:pPr>
        <w:spacing w:after="0" w:line="360" w:lineRule="auto"/>
        <w:rPr>
          <w:rFonts w:cstheme="minorHAnsi"/>
          <w:sz w:val="24"/>
          <w:szCs w:val="24"/>
        </w:rPr>
      </w:pPr>
      <w:r w:rsidRPr="007171B9">
        <w:rPr>
          <w:rFonts w:cstheme="minorHAnsi"/>
          <w:sz w:val="24"/>
          <w:szCs w:val="24"/>
        </w:rPr>
        <w:t>Przedmiotowe przedsięwzięcie zlokalizowane jest na obszarze dorzecza Wisły, dla którego opracowano Plan gospodarowania wodami na obszarze dorzecza Wisły, przyjęty rozporządzeniem Ministra Infrastruktury z dnia 4 listopada 2022 r. w sprawie Planu gospodarowania wodami na obszarze dorzecza Wisły (Dz. U. z 2023 r. poz. 300). Planowane zamierzenie znajduje się w zlewni jednolitej części wód powierzchniowych rzecznych (JCWP) o nazwie „Wieliczka” (krajowy kod: RW200009262615349) oraz  w obszarze jednolitej części wód podziemnych (</w:t>
      </w:r>
      <w:proofErr w:type="spellStart"/>
      <w:r w:rsidRPr="007171B9">
        <w:rPr>
          <w:rFonts w:cstheme="minorHAnsi"/>
          <w:sz w:val="24"/>
          <w:szCs w:val="24"/>
        </w:rPr>
        <w:t>JCWPd</w:t>
      </w:r>
      <w:proofErr w:type="spellEnd"/>
      <w:r w:rsidRPr="007171B9">
        <w:rPr>
          <w:rFonts w:cstheme="minorHAnsi"/>
          <w:sz w:val="24"/>
          <w:szCs w:val="24"/>
        </w:rPr>
        <w:t>) o krajowym kodzie GW200032. Biorąc pod uwagę opinię Państwowego Gospodarstwa Wodnego Wody Polskie Zarządu Zlewni w Augustowie z dnia 30.06.2026 r., znak: BA.ZZŚ.4130.214.2026.AN, w której stwierdzono brak potrzeby przeprowadzenia oceny oddziaływania na środowisko oraz charakter przedsięwzięcia, polegającego na dostosowaniu zapisów w ewidencji do rzeczywistego stanu zagospodarowania terenu (brak lasu), stwierdza się, że realizacja przedmiotowego przedsięwzięcia nie będzie powodować negatywnego oddziaływania na jednolite części wód.</w:t>
      </w:r>
    </w:p>
    <w:p w14:paraId="4951ED74" w14:textId="77777777" w:rsidR="007171B9" w:rsidRDefault="007171B9" w:rsidP="007171B9">
      <w:pPr>
        <w:spacing w:after="0" w:line="360" w:lineRule="auto"/>
        <w:rPr>
          <w:rFonts w:cstheme="minorHAnsi"/>
          <w:sz w:val="24"/>
          <w:szCs w:val="24"/>
        </w:rPr>
      </w:pPr>
      <w:r w:rsidRPr="007171B9">
        <w:rPr>
          <w:rFonts w:cstheme="minorHAnsi"/>
          <w:sz w:val="24"/>
          <w:szCs w:val="24"/>
        </w:rPr>
        <w:t>Przedmiotowe przedsięwzięcie nie jest zlokalizowane na: obszarach wybrzeży i środowiska morskiego, obszarach górskich, obszarach wodno-błotnych, innych obszarach o płytkim zaleganiu wód podziemnych, w tym siedliskach łęgowych oraz ujściach rzek, obszarach przylegających do jezior, w strefach ochronnych ujęć wód i obszarach ochronnych zbiorników wód śródlądowych, obszarach, na których standardy jakości środowiska zostały przekroczone lub istnieje prawdopodobieństwo ich przekroczenia, obszarach o krajobrazie mającym znaczenie historyczne, kulturowe lub archeologiczne, uzdrowiskach i obszarach ochrony uzdrowiskowej.</w:t>
      </w:r>
    </w:p>
    <w:p w14:paraId="4EE8C4A0" w14:textId="77777777" w:rsidR="007171B9" w:rsidRDefault="007171B9" w:rsidP="007171B9">
      <w:pPr>
        <w:spacing w:after="0" w:line="360" w:lineRule="auto"/>
        <w:rPr>
          <w:rFonts w:cstheme="minorHAnsi"/>
          <w:sz w:val="24"/>
          <w:szCs w:val="24"/>
        </w:rPr>
      </w:pPr>
      <w:r w:rsidRPr="007171B9">
        <w:rPr>
          <w:rFonts w:cstheme="minorHAnsi"/>
          <w:sz w:val="24"/>
          <w:szCs w:val="24"/>
        </w:rPr>
        <w:t>Planowane przedsięwzięcie zlokalizowane jest poza obszarami Natura 2000 oraz poza innymi formami ochrony przyrody.</w:t>
      </w:r>
    </w:p>
    <w:p w14:paraId="12E4321F" w14:textId="77777777" w:rsidR="007171B9" w:rsidRDefault="007171B9" w:rsidP="007171B9">
      <w:pPr>
        <w:spacing w:after="0" w:line="360" w:lineRule="auto"/>
        <w:rPr>
          <w:rFonts w:cstheme="minorHAnsi"/>
          <w:sz w:val="24"/>
          <w:szCs w:val="24"/>
        </w:rPr>
      </w:pPr>
      <w:r w:rsidRPr="007171B9">
        <w:rPr>
          <w:rFonts w:cstheme="minorHAnsi"/>
          <w:sz w:val="24"/>
          <w:szCs w:val="24"/>
        </w:rPr>
        <w:t>Najbliżej zlokalizowanym obszarem Natura 2000 jest obszar mający znaczenie dla Wspólnoty Dolina Górnej Rospudy PLH200022, położony ok. 7,2 km od planowanego przedsięwzięcia. Mając na uwadze oddalenie planowanego przedsięwzięcia od przedmiotowej formy ochrony przyrody nie przewiduje się możliwości negatywnego oddziaływania planowanego przedsięwzięcia na cele i przedmioty ochrony ww. obszaru Natura 2000 oraz jego integralność.</w:t>
      </w:r>
    </w:p>
    <w:p w14:paraId="0475FFB1" w14:textId="77777777" w:rsidR="007171B9" w:rsidRDefault="007171B9" w:rsidP="007171B9">
      <w:pPr>
        <w:spacing w:after="0" w:line="360" w:lineRule="auto"/>
        <w:rPr>
          <w:rFonts w:cstheme="minorHAnsi"/>
          <w:sz w:val="24"/>
          <w:szCs w:val="24"/>
        </w:rPr>
      </w:pPr>
      <w:r w:rsidRPr="007171B9">
        <w:rPr>
          <w:rFonts w:cstheme="minorHAnsi"/>
          <w:sz w:val="24"/>
          <w:szCs w:val="24"/>
        </w:rPr>
        <w:t>Przedsięwzięcie nie jest położone na korytarzach ekologicznych, istotnych dla populacji dużych ssaków leśnych oraz spójności siedlisk leśnych i wodno-błotnych w skali krajowej i kontynentalnej.</w:t>
      </w:r>
    </w:p>
    <w:p w14:paraId="3CE17D6A" w14:textId="2786C9F6" w:rsidR="007171B9" w:rsidRPr="00050F4B" w:rsidRDefault="007171B9" w:rsidP="007171B9">
      <w:pPr>
        <w:spacing w:after="100" w:afterAutospacing="1" w:line="360" w:lineRule="auto"/>
        <w:rPr>
          <w:rFonts w:cstheme="minorHAnsi"/>
          <w:sz w:val="24"/>
          <w:szCs w:val="24"/>
        </w:rPr>
      </w:pPr>
      <w:r w:rsidRPr="007171B9">
        <w:rPr>
          <w:rFonts w:cstheme="minorHAnsi"/>
          <w:sz w:val="24"/>
          <w:szCs w:val="24"/>
        </w:rPr>
        <w:lastRenderedPageBreak/>
        <w:t>Na terenie przedsięwzięcia oraz w obszarze jego oddziaływania nie są planowane inne przedsięwzięcia o podobnym charakterze, których oddziaływania mogłyby się kumulować z planowanym przedsięwzięciem. Wystąpienie poważnej awarii lub katastrofy naturalnej i budowlanej będzie zerowe. Z uwagi na skalę i zakres  planowanego przedsięwzięcia oddziaływania będą miały zasięg lokalny, bez ryzyka transgranicznych oddziaływań na środowisko.</w:t>
      </w:r>
    </w:p>
    <w:p w14:paraId="0B3661BB" w14:textId="77777777" w:rsidR="00105399" w:rsidRPr="009F39F1" w:rsidRDefault="00105399" w:rsidP="00105399">
      <w:pPr>
        <w:spacing w:after="0" w:line="360" w:lineRule="auto"/>
        <w:rPr>
          <w:sz w:val="24"/>
        </w:rPr>
      </w:pPr>
      <w:r w:rsidRPr="009F39F1">
        <w:rPr>
          <w:sz w:val="24"/>
        </w:rPr>
        <w:t>Regionalny Dyrektor</w:t>
      </w:r>
    </w:p>
    <w:p w14:paraId="55FAB3D5" w14:textId="3A7FBAD5" w:rsidR="00105399" w:rsidRPr="009F39F1" w:rsidRDefault="00105399" w:rsidP="00105399">
      <w:pPr>
        <w:spacing w:after="0" w:line="360" w:lineRule="auto"/>
        <w:rPr>
          <w:sz w:val="24"/>
        </w:rPr>
      </w:pPr>
      <w:r w:rsidRPr="009F39F1">
        <w:rPr>
          <w:sz w:val="24"/>
        </w:rPr>
        <w:t>Ochrony Środowiska w Olsztynie</w:t>
      </w:r>
    </w:p>
    <w:p w14:paraId="0DD1E519" w14:textId="77777777" w:rsidR="00105399" w:rsidRPr="009F39F1" w:rsidRDefault="00105399" w:rsidP="00105399">
      <w:pPr>
        <w:spacing w:after="0" w:line="360" w:lineRule="auto"/>
        <w:rPr>
          <w:sz w:val="24"/>
        </w:rPr>
      </w:pPr>
      <w:r w:rsidRPr="009F39F1">
        <w:rPr>
          <w:sz w:val="24"/>
        </w:rPr>
        <w:t>Agata Moździerz</w:t>
      </w:r>
    </w:p>
    <w:p w14:paraId="484EA714" w14:textId="77777777" w:rsidR="00105399" w:rsidRPr="009F39F1" w:rsidRDefault="00105399" w:rsidP="00105399">
      <w:pPr>
        <w:spacing w:after="100" w:afterAutospacing="1" w:line="360" w:lineRule="auto"/>
        <w:rPr>
          <w:sz w:val="24"/>
        </w:rPr>
      </w:pPr>
      <w:r w:rsidRPr="009F39F1">
        <w:rPr>
          <w:sz w:val="24"/>
        </w:rPr>
        <w:t>/podpis elektroniczny/</w:t>
      </w:r>
    </w:p>
    <w:p w14:paraId="733FC3AA" w14:textId="77777777" w:rsidR="00B71BB8" w:rsidRPr="00B71BB8" w:rsidRDefault="00B71BB8" w:rsidP="00B71BB8">
      <w:pPr>
        <w:spacing w:after="0" w:line="360" w:lineRule="auto"/>
        <w:rPr>
          <w:bCs/>
          <w:sz w:val="24"/>
          <w:szCs w:val="24"/>
        </w:rPr>
      </w:pPr>
    </w:p>
    <w:p w14:paraId="020542E3" w14:textId="0FEDC8D9" w:rsidR="00B11B26" w:rsidRPr="00B71BB8" w:rsidRDefault="00B11B26" w:rsidP="00B71BB8">
      <w:pPr>
        <w:spacing w:after="0" w:line="360" w:lineRule="auto"/>
        <w:rPr>
          <w:bCs/>
          <w:sz w:val="24"/>
          <w:szCs w:val="24"/>
        </w:rPr>
      </w:pPr>
    </w:p>
    <w:sectPr w:rsidR="00B11B26" w:rsidRPr="00B71B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4D068D"/>
    <w:multiLevelType w:val="hybridMultilevel"/>
    <w:tmpl w:val="89224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C0439A"/>
    <w:multiLevelType w:val="hybridMultilevel"/>
    <w:tmpl w:val="3E06B784"/>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7367A61"/>
    <w:multiLevelType w:val="hybridMultilevel"/>
    <w:tmpl w:val="64DA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0339E2"/>
    <w:multiLevelType w:val="hybridMultilevel"/>
    <w:tmpl w:val="E466C0FC"/>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ADB25D9"/>
    <w:multiLevelType w:val="hybridMultilevel"/>
    <w:tmpl w:val="75362414"/>
    <w:lvl w:ilvl="0" w:tplc="0752135A">
      <w:numFmt w:val="bullet"/>
      <w:lvlText w:val="•"/>
      <w:lvlJc w:val="left"/>
      <w:pPr>
        <w:ind w:left="780" w:hanging="360"/>
      </w:pPr>
      <w:rPr>
        <w:rFonts w:ascii="Arial" w:eastAsiaTheme="minorHAnsi" w:hAnsi="Arial" w:cs="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3B9F15C2"/>
    <w:multiLevelType w:val="hybridMultilevel"/>
    <w:tmpl w:val="B95A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AE1038"/>
    <w:multiLevelType w:val="hybridMultilevel"/>
    <w:tmpl w:val="B70AAEC2"/>
    <w:lvl w:ilvl="0" w:tplc="9E1C255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BD6289F"/>
    <w:multiLevelType w:val="hybridMultilevel"/>
    <w:tmpl w:val="74DC885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5CAF6727"/>
    <w:multiLevelType w:val="hybridMultilevel"/>
    <w:tmpl w:val="17E8A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9B3034"/>
    <w:multiLevelType w:val="hybridMultilevel"/>
    <w:tmpl w:val="D97C1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69506D2A"/>
    <w:multiLevelType w:val="hybridMultilevel"/>
    <w:tmpl w:val="8496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B02579C"/>
    <w:multiLevelType w:val="hybridMultilevel"/>
    <w:tmpl w:val="B7941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E32052A"/>
    <w:multiLevelType w:val="hybridMultilevel"/>
    <w:tmpl w:val="8DE63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E65402F"/>
    <w:multiLevelType w:val="hybridMultilevel"/>
    <w:tmpl w:val="F508B74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EBA6C26"/>
    <w:multiLevelType w:val="hybridMultilevel"/>
    <w:tmpl w:val="85300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6"/>
  </w:num>
  <w:num w:numId="2" w16cid:durableId="96407533">
    <w:abstractNumId w:val="0"/>
  </w:num>
  <w:num w:numId="3" w16cid:durableId="2142772320">
    <w:abstractNumId w:val="17"/>
  </w:num>
  <w:num w:numId="4" w16cid:durableId="848956055">
    <w:abstractNumId w:val="7"/>
  </w:num>
  <w:num w:numId="5" w16cid:durableId="2048527953">
    <w:abstractNumId w:val="14"/>
  </w:num>
  <w:num w:numId="6" w16cid:durableId="729694602">
    <w:abstractNumId w:val="20"/>
  </w:num>
  <w:num w:numId="7" w16cid:durableId="99227012">
    <w:abstractNumId w:val="3"/>
  </w:num>
  <w:num w:numId="8" w16cid:durableId="554462814">
    <w:abstractNumId w:val="13"/>
  </w:num>
  <w:num w:numId="9" w16cid:durableId="914167776">
    <w:abstractNumId w:val="1"/>
  </w:num>
  <w:num w:numId="10" w16cid:durableId="612904832">
    <w:abstractNumId w:val="21"/>
  </w:num>
  <w:num w:numId="11" w16cid:durableId="1584221152">
    <w:abstractNumId w:val="8"/>
  </w:num>
  <w:num w:numId="12" w16cid:durableId="777725818">
    <w:abstractNumId w:val="9"/>
  </w:num>
  <w:num w:numId="13" w16cid:durableId="220750000">
    <w:abstractNumId w:val="22"/>
  </w:num>
  <w:num w:numId="14" w16cid:durableId="1951355120">
    <w:abstractNumId w:val="12"/>
  </w:num>
  <w:num w:numId="15" w16cid:durableId="1312951118">
    <w:abstractNumId w:val="15"/>
  </w:num>
  <w:num w:numId="16" w16cid:durableId="1755778884">
    <w:abstractNumId w:val="16"/>
  </w:num>
  <w:num w:numId="17" w16cid:durableId="1785534517">
    <w:abstractNumId w:val="18"/>
  </w:num>
  <w:num w:numId="18" w16cid:durableId="250941584">
    <w:abstractNumId w:val="5"/>
  </w:num>
  <w:num w:numId="19" w16cid:durableId="893469884">
    <w:abstractNumId w:val="2"/>
  </w:num>
  <w:num w:numId="20" w16cid:durableId="1508786625">
    <w:abstractNumId w:val="10"/>
  </w:num>
  <w:num w:numId="21" w16cid:durableId="946931164">
    <w:abstractNumId w:val="19"/>
  </w:num>
  <w:num w:numId="22" w16cid:durableId="839933090">
    <w:abstractNumId w:val="23"/>
  </w:num>
  <w:num w:numId="23" w16cid:durableId="751320673">
    <w:abstractNumId w:val="11"/>
  </w:num>
  <w:num w:numId="24" w16cid:durableId="1029573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0F4B"/>
    <w:rsid w:val="00085114"/>
    <w:rsid w:val="000A6018"/>
    <w:rsid w:val="000B373D"/>
    <w:rsid w:val="000B503D"/>
    <w:rsid w:val="000C4F16"/>
    <w:rsid w:val="000C5EB4"/>
    <w:rsid w:val="000D09DF"/>
    <w:rsid w:val="000E4460"/>
    <w:rsid w:val="00105399"/>
    <w:rsid w:val="001947A7"/>
    <w:rsid w:val="001B44C4"/>
    <w:rsid w:val="0020383E"/>
    <w:rsid w:val="0026188F"/>
    <w:rsid w:val="002C1283"/>
    <w:rsid w:val="002E129B"/>
    <w:rsid w:val="0039460E"/>
    <w:rsid w:val="003A1A23"/>
    <w:rsid w:val="003A51F9"/>
    <w:rsid w:val="003D0F6B"/>
    <w:rsid w:val="00412867"/>
    <w:rsid w:val="00414A88"/>
    <w:rsid w:val="00420B20"/>
    <w:rsid w:val="00422BB8"/>
    <w:rsid w:val="00565A42"/>
    <w:rsid w:val="0057080A"/>
    <w:rsid w:val="005C0DED"/>
    <w:rsid w:val="006021BE"/>
    <w:rsid w:val="00615D35"/>
    <w:rsid w:val="00655B42"/>
    <w:rsid w:val="00665B79"/>
    <w:rsid w:val="00682693"/>
    <w:rsid w:val="006B0556"/>
    <w:rsid w:val="00712417"/>
    <w:rsid w:val="00714EB8"/>
    <w:rsid w:val="007171B9"/>
    <w:rsid w:val="00753934"/>
    <w:rsid w:val="007D6812"/>
    <w:rsid w:val="007D755D"/>
    <w:rsid w:val="007E03C7"/>
    <w:rsid w:val="0081118A"/>
    <w:rsid w:val="00882FAF"/>
    <w:rsid w:val="00894B9B"/>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05556"/>
    <w:rsid w:val="00C503ED"/>
    <w:rsid w:val="00C576CD"/>
    <w:rsid w:val="00C806FA"/>
    <w:rsid w:val="00CA32B2"/>
    <w:rsid w:val="00CA5A82"/>
    <w:rsid w:val="00CF4F1C"/>
    <w:rsid w:val="00D233B4"/>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1082</Words>
  <Characters>6496</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Charakterystyka planowanego przedsięwzięcia</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Iwona Bobek</cp:lastModifiedBy>
  <cp:revision>5</cp:revision>
  <dcterms:created xsi:type="dcterms:W3CDTF">2026-03-27T11:21:00Z</dcterms:created>
  <dcterms:modified xsi:type="dcterms:W3CDTF">2026-07-30T10:45:00Z</dcterms:modified>
</cp:coreProperties>
</file>