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1C2702" w:rsidP="00C66D2A">
      <w:pPr>
        <w:rPr>
          <w:rFonts w:ascii="Arial" w:hAnsi="Arial" w:cs="Arial"/>
        </w:rPr>
      </w:pPr>
    </w:p>
    <w:p w:rsidR="0015295C" w:rsidRDefault="0015295C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Pr="00E23130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E23130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E23130">
        <w:rPr>
          <w:rFonts w:ascii="Arial" w:hAnsi="Arial" w:cs="Arial"/>
          <w:b/>
          <w:color w:val="E31837"/>
          <w:sz w:val="40"/>
          <w:szCs w:val="40"/>
        </w:rPr>
        <w:t> </w:t>
      </w:r>
      <w:r w:rsidRPr="00E23130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E23130">
        <w:rPr>
          <w:rFonts w:ascii="Arial" w:hAnsi="Arial" w:cs="Arial"/>
          <w:b/>
          <w:color w:val="E31837"/>
          <w:sz w:val="40"/>
          <w:szCs w:val="40"/>
        </w:rPr>
        <w:t>W I</w:t>
      </w:r>
      <w:r w:rsidR="00E23130" w:rsidRPr="00E23130">
        <w:rPr>
          <w:rFonts w:ascii="Arial" w:hAnsi="Arial" w:cs="Arial"/>
          <w:b/>
          <w:color w:val="E31837"/>
          <w:sz w:val="40"/>
          <w:szCs w:val="40"/>
        </w:rPr>
        <w:t>I</w:t>
      </w:r>
      <w:r w:rsidR="00D073CB" w:rsidRPr="00E23130">
        <w:rPr>
          <w:rFonts w:ascii="Arial" w:hAnsi="Arial" w:cs="Arial"/>
          <w:b/>
          <w:color w:val="E31837"/>
          <w:sz w:val="40"/>
          <w:szCs w:val="40"/>
        </w:rPr>
        <w:t xml:space="preserve"> KWARTALE 201</w:t>
      </w:r>
      <w:r w:rsidR="007E05E7" w:rsidRPr="00E23130">
        <w:rPr>
          <w:rFonts w:ascii="Arial" w:hAnsi="Arial" w:cs="Arial"/>
          <w:b/>
          <w:color w:val="E31837"/>
          <w:sz w:val="40"/>
          <w:szCs w:val="40"/>
        </w:rPr>
        <w:t>9</w:t>
      </w:r>
      <w:r w:rsidR="00D073CB" w:rsidRPr="00E23130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E23130">
        <w:rPr>
          <w:rFonts w:ascii="Arial" w:hAnsi="Arial" w:cs="Arial"/>
          <w:b/>
          <w:color w:val="E31837"/>
          <w:sz w:val="40"/>
          <w:szCs w:val="40"/>
        </w:rPr>
        <w:t xml:space="preserve"> </w:t>
      </w:r>
    </w:p>
    <w:p w:rsidR="00973D15" w:rsidRPr="00E23130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E23130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E23130" w:rsidRPr="00E23130">
        <w:rPr>
          <w:rFonts w:ascii="Arial" w:hAnsi="Arial" w:cs="Arial"/>
          <w:b/>
          <w:color w:val="A6A6A6"/>
          <w:sz w:val="28"/>
          <w:szCs w:val="28"/>
        </w:rPr>
        <w:t>4</w:t>
      </w:r>
      <w:r w:rsidRPr="00E23130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E23130">
        <w:rPr>
          <w:rFonts w:ascii="Arial" w:hAnsi="Arial" w:cs="Arial"/>
          <w:b/>
          <w:color w:val="A6A6A6"/>
          <w:sz w:val="28"/>
          <w:szCs w:val="28"/>
        </w:rPr>
        <w:t>/</w:t>
      </w:r>
      <w:r w:rsidRPr="00E23130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1A4D91" w:rsidRPr="00E23130">
        <w:rPr>
          <w:rFonts w:ascii="Arial" w:hAnsi="Arial" w:cs="Arial"/>
          <w:b/>
          <w:color w:val="A6A6A6"/>
          <w:sz w:val="28"/>
          <w:szCs w:val="28"/>
        </w:rPr>
        <w:t>1</w:t>
      </w:r>
      <w:r w:rsidR="00052018" w:rsidRPr="00E23130">
        <w:rPr>
          <w:rFonts w:ascii="Arial" w:hAnsi="Arial" w:cs="Arial"/>
          <w:b/>
          <w:color w:val="A6A6A6"/>
          <w:sz w:val="28"/>
          <w:szCs w:val="28"/>
        </w:rPr>
        <w:t>9</w:t>
      </w:r>
    </w:p>
    <w:p w:rsidR="00E64CDB" w:rsidRPr="00E23130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 w:rsidRPr="00E23130"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:rsidR="00E64CDB" w:rsidRPr="00E23130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E23130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E23130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E23130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E23130">
        <w:rPr>
          <w:rFonts w:ascii="Arial" w:hAnsi="Arial" w:cs="Arial"/>
          <w:b/>
          <w:color w:val="ADAFB2"/>
          <w:sz w:val="24"/>
          <w:szCs w:val="24"/>
        </w:rPr>
        <w:t>jest zaprezentowani</w:t>
      </w:r>
      <w:bookmarkStart w:id="0" w:name="_GoBack"/>
      <w:bookmarkEnd w:id="0"/>
      <w:r w:rsidRPr="00E23130">
        <w:rPr>
          <w:rFonts w:ascii="Arial" w:hAnsi="Arial" w:cs="Arial"/>
          <w:b/>
          <w:color w:val="ADAFB2"/>
          <w:sz w:val="24"/>
          <w:szCs w:val="24"/>
        </w:rPr>
        <w:t>e dostępnych informacji na temat sektora finansów publicznych:</w:t>
      </w:r>
    </w:p>
    <w:p w:rsidR="00E64CDB" w:rsidRPr="00E23130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•</w:t>
      </w:r>
      <w:r w:rsidRPr="00E23130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E23130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:rsidR="00E64CDB" w:rsidRPr="00E23130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•</w:t>
      </w:r>
      <w:r w:rsidRPr="00E23130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E23130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E23130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:rsidR="00C66D2A" w:rsidRPr="00E23130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•</w:t>
      </w:r>
      <w:r w:rsidRPr="00E23130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E23130">
        <w:rPr>
          <w:rFonts w:ascii="Arial" w:hAnsi="Arial" w:cs="Arial"/>
          <w:b/>
          <w:color w:val="ADAFB2"/>
          <w:sz w:val="24"/>
          <w:szCs w:val="24"/>
        </w:rPr>
        <w:t> </w:t>
      </w:r>
      <w:r w:rsidRPr="00E23130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E23130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 w:rsidRPr="00E23130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E23130">
        <w:rPr>
          <w:rFonts w:ascii="Arial" w:hAnsi="Arial" w:cs="Arial"/>
          <w:b/>
          <w:color w:val="ADAFB2"/>
          <w:sz w:val="24"/>
          <w:szCs w:val="24"/>
        </w:rPr>
        <w:t>)</w:t>
      </w:r>
      <w:r w:rsidRPr="00E23130">
        <w:rPr>
          <w:rFonts w:ascii="Arial" w:hAnsi="Arial" w:cs="Arial"/>
          <w:b/>
          <w:color w:val="ADAFB2"/>
          <w:sz w:val="24"/>
          <w:szCs w:val="24"/>
        </w:rPr>
        <w:t>.</w:t>
      </w:r>
    </w:p>
    <w:p w:rsidR="00973D15" w:rsidRPr="00E23130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E23130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E23130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Pr="00E23130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E23130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E23130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E23130" w:rsidSect="00EC43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594840" w:rsidRPr="00E23130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E23130">
        <w:rPr>
          <w:rFonts w:ascii="Arial" w:hAnsi="Arial" w:cs="Arial"/>
          <w:b/>
          <w:color w:val="333333"/>
          <w:sz w:val="24"/>
          <w:szCs w:val="24"/>
        </w:rPr>
        <w:t>I</w:t>
      </w:r>
      <w:r w:rsidR="00E23130" w:rsidRPr="00E23130">
        <w:rPr>
          <w:rFonts w:ascii="Arial" w:hAnsi="Arial" w:cs="Arial"/>
          <w:b/>
          <w:color w:val="333333"/>
          <w:sz w:val="24"/>
          <w:szCs w:val="24"/>
        </w:rPr>
        <w:t>I</w:t>
      </w:r>
      <w:r w:rsidR="0009641C" w:rsidRPr="00E23130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E23130">
        <w:rPr>
          <w:rFonts w:ascii="Arial" w:hAnsi="Arial" w:cs="Arial"/>
          <w:b/>
          <w:color w:val="333333"/>
          <w:sz w:val="24"/>
          <w:szCs w:val="24"/>
        </w:rPr>
        <w:t>kwartału 201</w:t>
      </w:r>
      <w:r w:rsidR="004F0702" w:rsidRPr="00E23130">
        <w:rPr>
          <w:rFonts w:ascii="Arial" w:hAnsi="Arial" w:cs="Arial"/>
          <w:b/>
          <w:color w:val="333333"/>
          <w:sz w:val="24"/>
          <w:szCs w:val="24"/>
        </w:rPr>
        <w:t>9</w:t>
      </w:r>
      <w:r w:rsidR="00C23366" w:rsidRPr="00E23130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 w:rsidRPr="00E23130">
        <w:rPr>
          <w:rFonts w:ascii="Arial" w:hAnsi="Arial" w:cs="Arial"/>
          <w:b/>
          <w:color w:val="333333"/>
          <w:sz w:val="24"/>
          <w:szCs w:val="24"/>
        </w:rPr>
        <w:t>.</w:t>
      </w: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8101FD" w:rsidRPr="00E23130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E2313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E2313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E2313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690F9E" w:rsidRPr="00E23130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E23130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E23130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</w:t>
      </w:r>
      <w:r w:rsidR="00BC5828" w:rsidRPr="00E23130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E23130">
        <w:rPr>
          <w:rFonts w:ascii="Arial" w:hAnsi="Arial" w:cs="Arial"/>
          <w:b/>
          <w:color w:val="E31837"/>
          <w:sz w:val="28"/>
          <w:szCs w:val="28"/>
        </w:rPr>
        <w:t>I</w:t>
      </w:r>
      <w:r w:rsidR="00E23130" w:rsidRPr="00E23130">
        <w:rPr>
          <w:rFonts w:ascii="Arial" w:hAnsi="Arial" w:cs="Arial"/>
          <w:b/>
          <w:color w:val="E31837"/>
          <w:sz w:val="28"/>
          <w:szCs w:val="28"/>
        </w:rPr>
        <w:t>I</w:t>
      </w:r>
      <w:r w:rsidRPr="00E23130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7E1B4D" w:rsidRPr="00E23130">
        <w:rPr>
          <w:rFonts w:ascii="Arial" w:hAnsi="Arial" w:cs="Arial"/>
          <w:b/>
          <w:color w:val="E31837"/>
          <w:sz w:val="28"/>
          <w:szCs w:val="28"/>
        </w:rPr>
        <w:t>201</w:t>
      </w:r>
      <w:r w:rsidR="007E05E7" w:rsidRPr="00E23130">
        <w:rPr>
          <w:rFonts w:ascii="Arial" w:hAnsi="Arial" w:cs="Arial"/>
          <w:b/>
          <w:color w:val="E31837"/>
          <w:sz w:val="28"/>
          <w:szCs w:val="28"/>
        </w:rPr>
        <w:t>9</w:t>
      </w:r>
      <w:r w:rsidRPr="00E23130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Pr="00E23130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E23130">
        <w:rPr>
          <w:rFonts w:ascii="Arial" w:hAnsi="Arial" w:cs="Arial"/>
          <w:b/>
          <w:color w:val="ADAFB2"/>
          <w:sz w:val="24"/>
          <w:szCs w:val="24"/>
        </w:rPr>
        <w:t xml:space="preserve">w </w:t>
      </w:r>
      <w:r w:rsidR="00E23130" w:rsidRPr="00E23130">
        <w:rPr>
          <w:rFonts w:ascii="Arial" w:hAnsi="Arial" w:cs="Arial"/>
          <w:b/>
          <w:color w:val="ADAFB2"/>
          <w:sz w:val="24"/>
          <w:szCs w:val="24"/>
        </w:rPr>
        <w:t>I</w:t>
      </w:r>
      <w:r w:rsidR="00BC5828" w:rsidRPr="00E23130">
        <w:rPr>
          <w:rFonts w:ascii="Arial" w:hAnsi="Arial" w:cs="Arial"/>
          <w:b/>
          <w:color w:val="ADAFB2"/>
          <w:sz w:val="24"/>
          <w:szCs w:val="24"/>
        </w:rPr>
        <w:t xml:space="preserve">I kw. </w:t>
      </w: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E23130" w:rsidRPr="00E23130">
        <w:rPr>
          <w:rFonts w:ascii="Arial" w:hAnsi="Arial" w:cs="Arial"/>
          <w:b/>
          <w:color w:val="E31837"/>
          <w:sz w:val="24"/>
          <w:szCs w:val="24"/>
        </w:rPr>
        <w:t>-0,2</w:t>
      </w:r>
      <w:r w:rsidR="007140F6" w:rsidRPr="00E23130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7E1B4D" w:rsidRPr="00E23130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E23130" w:rsidRPr="00E23130">
        <w:rPr>
          <w:rFonts w:ascii="Arial" w:hAnsi="Arial" w:cs="Arial"/>
          <w:b/>
          <w:color w:val="E31837"/>
          <w:sz w:val="24"/>
          <w:szCs w:val="24"/>
        </w:rPr>
        <w:t>(0,0</w:t>
      </w:r>
      <w:r w:rsidR="002E22EC" w:rsidRPr="00E23130">
        <w:rPr>
          <w:rFonts w:ascii="Arial" w:hAnsi="Arial" w:cs="Arial"/>
          <w:b/>
          <w:color w:val="E31837"/>
          <w:sz w:val="24"/>
          <w:szCs w:val="24"/>
        </w:rPr>
        <w:t>%PKB)</w:t>
      </w:r>
    </w:p>
    <w:p w:rsidR="00E210E5" w:rsidRPr="002A5133" w:rsidRDefault="003F725B" w:rsidP="00FC3C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2A5133"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2A5133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A700BC" w:rsidRPr="002A5133">
        <w:rPr>
          <w:rFonts w:ascii="Arial" w:hAnsi="Arial" w:cs="Arial"/>
          <w:b/>
          <w:color w:val="ADAFB2"/>
          <w:sz w:val="24"/>
          <w:szCs w:val="24"/>
        </w:rPr>
        <w:t xml:space="preserve">na koniec </w:t>
      </w:r>
      <w:r w:rsidR="008B6DA0">
        <w:rPr>
          <w:rFonts w:ascii="Arial" w:hAnsi="Arial" w:cs="Arial"/>
          <w:b/>
          <w:color w:val="ADAFB2"/>
          <w:sz w:val="24"/>
          <w:szCs w:val="24"/>
        </w:rPr>
        <w:t>I</w:t>
      </w:r>
      <w:r w:rsidR="007E05E7" w:rsidRPr="002A5133">
        <w:rPr>
          <w:rFonts w:ascii="Arial" w:hAnsi="Arial" w:cs="Arial"/>
          <w:b/>
          <w:color w:val="ADAFB2"/>
          <w:sz w:val="24"/>
          <w:szCs w:val="24"/>
        </w:rPr>
        <w:t xml:space="preserve">I kw. </w:t>
      </w:r>
      <w:r w:rsidR="00A700BC" w:rsidRPr="002A5133">
        <w:rPr>
          <w:rFonts w:ascii="Arial" w:hAnsi="Arial" w:cs="Arial"/>
          <w:b/>
          <w:color w:val="ADAFB2"/>
          <w:sz w:val="24"/>
          <w:szCs w:val="24"/>
        </w:rPr>
        <w:t>201</w:t>
      </w:r>
      <w:r w:rsidR="007E05E7" w:rsidRPr="002A5133">
        <w:rPr>
          <w:rFonts w:ascii="Arial" w:hAnsi="Arial" w:cs="Arial"/>
          <w:b/>
          <w:color w:val="ADAFB2"/>
          <w:sz w:val="24"/>
          <w:szCs w:val="24"/>
        </w:rPr>
        <w:t>9</w:t>
      </w:r>
      <w:r w:rsidR="00A700BC" w:rsidRPr="002A5133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2A5133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FC3C00" w:rsidRPr="002A5133">
        <w:rPr>
          <w:rFonts w:ascii="Arial" w:hAnsi="Arial" w:cs="Arial"/>
          <w:b/>
          <w:color w:val="E31837"/>
          <w:sz w:val="24"/>
          <w:szCs w:val="24"/>
        </w:rPr>
        <w:t xml:space="preserve">1.050,9 </w:t>
      </w:r>
      <w:r w:rsidR="00D55FD4" w:rsidRPr="002A5133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BF7964" w:rsidRPr="002A5133">
        <w:rPr>
          <w:rFonts w:ascii="Arial" w:hAnsi="Arial" w:cs="Arial"/>
          <w:b/>
          <w:color w:val="E31837"/>
          <w:sz w:val="24"/>
          <w:szCs w:val="24"/>
        </w:rPr>
        <w:t> </w:t>
      </w:r>
      <w:r w:rsidR="00190BCF" w:rsidRPr="002A5133">
        <w:rPr>
          <w:rFonts w:ascii="Arial" w:hAnsi="Arial" w:cs="Arial"/>
          <w:b/>
          <w:color w:val="E31837"/>
          <w:sz w:val="24"/>
          <w:szCs w:val="24"/>
        </w:rPr>
        <w:t>4</w:t>
      </w:r>
      <w:r w:rsidR="002A5133" w:rsidRPr="002A5133">
        <w:rPr>
          <w:rFonts w:ascii="Arial" w:hAnsi="Arial" w:cs="Arial"/>
          <w:b/>
          <w:color w:val="E31837"/>
          <w:sz w:val="24"/>
          <w:szCs w:val="24"/>
        </w:rPr>
        <w:t>8</w:t>
      </w:r>
      <w:r w:rsidR="00190BCF" w:rsidRPr="002A5133">
        <w:rPr>
          <w:rFonts w:ascii="Arial" w:hAnsi="Arial" w:cs="Arial"/>
          <w:b/>
          <w:color w:val="E31837"/>
          <w:sz w:val="24"/>
          <w:szCs w:val="24"/>
        </w:rPr>
        <w:t>,1</w:t>
      </w:r>
      <w:r w:rsidR="00C102A9" w:rsidRPr="002A5133">
        <w:rPr>
          <w:rFonts w:ascii="Arial" w:hAnsi="Arial" w:cs="Arial"/>
          <w:b/>
          <w:color w:val="E31837"/>
          <w:sz w:val="24"/>
          <w:szCs w:val="24"/>
        </w:rPr>
        <w:t>% PKB)</w:t>
      </w:r>
    </w:p>
    <w:p w:rsidR="003E0424" w:rsidRPr="00E23130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E2313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Pr="00E23130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E23130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 w:rsidRPr="00E23130">
        <w:rPr>
          <w:rFonts w:ascii="Arial" w:hAnsi="Arial" w:cs="Arial"/>
          <w:b/>
          <w:color w:val="ADAFB2"/>
          <w:sz w:val="20"/>
          <w:szCs w:val="20"/>
        </w:rPr>
        <w:t> </w:t>
      </w:r>
      <w:r w:rsidRPr="00E23130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 w:rsidRPr="00E23130">
        <w:rPr>
          <w:rFonts w:ascii="Arial" w:hAnsi="Arial" w:cs="Arial"/>
          <w:b/>
          <w:color w:val="ADAFB2"/>
          <w:sz w:val="20"/>
          <w:szCs w:val="20"/>
        </w:rPr>
        <w:t> </w:t>
      </w:r>
      <w:r w:rsidRPr="00E23130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 w:rsidRPr="00E23130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Pr="00E23130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E23130" w:rsidSect="00EC4394">
          <w:footerReference w:type="first" r:id="rId15"/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E0424" w:rsidRPr="00E23130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BF757A" w:rsidRPr="00E23130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DE5957" w:rsidRPr="00BE6EC1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BE6EC1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7F3038" w:rsidRPr="00BE6EC1" w:rsidRDefault="007F3038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</w:p>
    <w:p w:rsidR="00BE6EC1" w:rsidRPr="00BE6EC1" w:rsidRDefault="00A3676D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BE6EC1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BE6EC1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BE6EC1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22904038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II kw. 2019 r.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_Toc22904038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39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_Toc22904039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40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_Toc22904040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41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_Toc22904041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42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_Toc22904042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43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_Toc22904043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44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2.2. Potrzeby pożyczkowe budżetu państwa i ich finansowanie w II kwartale 2019 r.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_Toc22904044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45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_Toc22904045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BE6EC1" w:rsidRPr="00BE6EC1" w:rsidRDefault="00D312CA" w:rsidP="00BE6EC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22904046" w:history="1">
        <w:r w:rsidR="00BE6EC1" w:rsidRPr="00BE6EC1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_Toc22904046 \h </w:instrTex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D3ED6">
          <w:rPr>
            <w:rStyle w:val="Hipercze"/>
            <w:rFonts w:ascii="Arial" w:hAnsi="Arial" w:cs="Arial"/>
            <w:b/>
            <w:noProof/>
            <w:webHidden/>
            <w:color w:val="ADAFB2"/>
          </w:rPr>
          <w:t>10</w:t>
        </w:r>
        <w:r w:rsidR="00BE6EC1" w:rsidRPr="00BE6EC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A3676D" w:rsidRPr="00BE6EC1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BE6EC1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:rsidR="003A6FCB" w:rsidRPr="00E23130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E23130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E23130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157279" w:rsidRPr="00E23130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157279" w:rsidRPr="00E23130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E23130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B8175F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22904038"/>
      <w:r w:rsidRPr="00B8175F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B8175F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B8175F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B8175F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B8175F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B8175F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 w:rsidRPr="00B8175F">
        <w:rPr>
          <w:rFonts w:ascii="Arial" w:hAnsi="Arial" w:cs="Arial"/>
          <w:color w:val="ADAFB2"/>
          <w:sz w:val="28"/>
          <w:szCs w:val="28"/>
        </w:rPr>
        <w:t>w I</w:t>
      </w:r>
      <w:r w:rsidR="00B8175F" w:rsidRPr="00B8175F">
        <w:rPr>
          <w:rFonts w:ascii="Arial" w:hAnsi="Arial" w:cs="Arial"/>
          <w:color w:val="ADAFB2"/>
          <w:sz w:val="28"/>
          <w:szCs w:val="28"/>
        </w:rPr>
        <w:t>I</w:t>
      </w:r>
      <w:r w:rsidR="00101324" w:rsidRPr="00B8175F">
        <w:rPr>
          <w:rFonts w:ascii="Arial" w:hAnsi="Arial" w:cs="Arial"/>
          <w:color w:val="ADAFB2"/>
          <w:sz w:val="28"/>
          <w:szCs w:val="28"/>
        </w:rPr>
        <w:t xml:space="preserve"> kw.</w:t>
      </w:r>
      <w:r w:rsidR="000A6CA0" w:rsidRPr="00B8175F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 w:rsidRPr="00B8175F">
        <w:rPr>
          <w:rFonts w:ascii="Arial" w:hAnsi="Arial" w:cs="Arial"/>
          <w:color w:val="ADAFB2"/>
          <w:sz w:val="28"/>
          <w:szCs w:val="28"/>
        </w:rPr>
        <w:t>201</w:t>
      </w:r>
      <w:r w:rsidR="007E05E7" w:rsidRPr="00B8175F">
        <w:rPr>
          <w:rFonts w:ascii="Arial" w:hAnsi="Arial" w:cs="Arial"/>
          <w:color w:val="ADAFB2"/>
          <w:sz w:val="28"/>
          <w:szCs w:val="28"/>
        </w:rPr>
        <w:t>9</w:t>
      </w:r>
      <w:r w:rsidR="00730D3C" w:rsidRPr="00B8175F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:rsidR="006A5483" w:rsidRPr="00B8175F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8175F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B8175F">
        <w:rPr>
          <w:rFonts w:ascii="Times New Roman" w:hAnsi="Times New Roman"/>
          <w:bCs/>
          <w:sz w:val="20"/>
          <w:szCs w:val="20"/>
        </w:rPr>
        <w:t>podstawow</w:t>
      </w:r>
      <w:r w:rsidRPr="00B8175F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B8175F">
        <w:rPr>
          <w:rFonts w:ascii="Times New Roman" w:hAnsi="Times New Roman"/>
          <w:bCs/>
          <w:sz w:val="20"/>
          <w:szCs w:val="20"/>
        </w:rPr>
        <w:t>cji w finansach publicznych w</w:t>
      </w:r>
      <w:r w:rsidR="006678BB" w:rsidRPr="00B8175F">
        <w:rPr>
          <w:rFonts w:ascii="Times New Roman" w:hAnsi="Times New Roman"/>
          <w:bCs/>
          <w:sz w:val="20"/>
          <w:szCs w:val="20"/>
        </w:rPr>
        <w:t> </w:t>
      </w:r>
      <w:r w:rsidR="00B8175F" w:rsidRPr="00B8175F">
        <w:rPr>
          <w:rFonts w:ascii="Times New Roman" w:hAnsi="Times New Roman"/>
          <w:bCs/>
          <w:sz w:val="20"/>
          <w:szCs w:val="20"/>
        </w:rPr>
        <w:t>I</w:t>
      </w:r>
      <w:r w:rsidR="00BC5828" w:rsidRPr="00B8175F">
        <w:rPr>
          <w:rFonts w:ascii="Times New Roman" w:hAnsi="Times New Roman"/>
          <w:bCs/>
          <w:sz w:val="20"/>
          <w:szCs w:val="20"/>
        </w:rPr>
        <w:t>I</w:t>
      </w:r>
      <w:r w:rsidR="006678BB" w:rsidRPr="00B8175F">
        <w:rPr>
          <w:rFonts w:ascii="Times New Roman" w:hAnsi="Times New Roman"/>
          <w:bCs/>
          <w:sz w:val="20"/>
          <w:szCs w:val="20"/>
        </w:rPr>
        <w:t> </w:t>
      </w:r>
      <w:r w:rsidR="00323461" w:rsidRPr="00B8175F">
        <w:rPr>
          <w:rFonts w:ascii="Times New Roman" w:hAnsi="Times New Roman"/>
          <w:bCs/>
          <w:sz w:val="20"/>
          <w:szCs w:val="20"/>
        </w:rPr>
        <w:t>kw.</w:t>
      </w:r>
      <w:r w:rsidR="006678BB" w:rsidRPr="00B8175F">
        <w:rPr>
          <w:rFonts w:ascii="Times New Roman" w:hAnsi="Times New Roman"/>
          <w:bCs/>
          <w:sz w:val="20"/>
          <w:szCs w:val="20"/>
        </w:rPr>
        <w:t> </w:t>
      </w:r>
      <w:r w:rsidR="00323461" w:rsidRPr="00B8175F">
        <w:rPr>
          <w:rFonts w:ascii="Times New Roman" w:hAnsi="Times New Roman"/>
          <w:bCs/>
          <w:sz w:val="20"/>
          <w:szCs w:val="20"/>
        </w:rPr>
        <w:t>201</w:t>
      </w:r>
      <w:r w:rsidR="007E05E7" w:rsidRPr="00B8175F">
        <w:rPr>
          <w:rFonts w:ascii="Times New Roman" w:hAnsi="Times New Roman"/>
          <w:bCs/>
          <w:sz w:val="20"/>
          <w:szCs w:val="20"/>
        </w:rPr>
        <w:t>9</w:t>
      </w:r>
      <w:r w:rsidR="006678BB" w:rsidRPr="00B8175F">
        <w:rPr>
          <w:rFonts w:ascii="Times New Roman" w:hAnsi="Times New Roman"/>
          <w:bCs/>
          <w:sz w:val="20"/>
          <w:szCs w:val="20"/>
        </w:rPr>
        <w:t> </w:t>
      </w:r>
      <w:r w:rsidRPr="00B8175F">
        <w:rPr>
          <w:rFonts w:ascii="Times New Roman" w:hAnsi="Times New Roman"/>
          <w:bCs/>
          <w:sz w:val="20"/>
          <w:szCs w:val="20"/>
        </w:rPr>
        <w:t>r</w:t>
      </w:r>
      <w:r w:rsidR="0072464B" w:rsidRPr="00B8175F">
        <w:rPr>
          <w:rFonts w:ascii="Times New Roman" w:hAnsi="Times New Roman"/>
          <w:bCs/>
          <w:sz w:val="20"/>
          <w:szCs w:val="20"/>
        </w:rPr>
        <w:t>.</w:t>
      </w:r>
    </w:p>
    <w:p w:rsidR="00D55ED6" w:rsidRPr="00B8175F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22904039"/>
      <w:r w:rsidRPr="00B8175F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2"/>
      <w:r w:rsidRPr="00B8175F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F93774" w:rsidRDefault="0079633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B8175F">
        <w:rPr>
          <w:rFonts w:ascii="Times New Roman" w:hAnsi="Times New Roman" w:cs="Arial"/>
          <w:sz w:val="20"/>
          <w:szCs w:val="20"/>
        </w:rPr>
        <w:t>Według danych GUS w</w:t>
      </w:r>
      <w:r w:rsidR="00D55ED6" w:rsidRPr="00B8175F">
        <w:rPr>
          <w:rFonts w:ascii="Times New Roman" w:hAnsi="Times New Roman" w:cs="Arial"/>
          <w:sz w:val="20"/>
          <w:szCs w:val="20"/>
        </w:rPr>
        <w:t>ynik sektora instytucj</w:t>
      </w:r>
      <w:r w:rsidR="00977680" w:rsidRPr="00B8175F">
        <w:rPr>
          <w:rFonts w:ascii="Times New Roman" w:hAnsi="Times New Roman" w:cs="Arial"/>
          <w:sz w:val="20"/>
          <w:szCs w:val="20"/>
        </w:rPr>
        <w:t>i rządowych i samorządowych w I</w:t>
      </w:r>
      <w:r w:rsidR="00B8175F" w:rsidRPr="00B8175F">
        <w:rPr>
          <w:rFonts w:ascii="Times New Roman" w:hAnsi="Times New Roman" w:cs="Arial"/>
          <w:sz w:val="20"/>
          <w:szCs w:val="20"/>
        </w:rPr>
        <w:t>I</w:t>
      </w:r>
      <w:r w:rsidR="00D55ED6" w:rsidRPr="00B8175F">
        <w:rPr>
          <w:rFonts w:ascii="Times New Roman" w:hAnsi="Times New Roman" w:cs="Arial"/>
          <w:sz w:val="20"/>
          <w:szCs w:val="20"/>
        </w:rPr>
        <w:t xml:space="preserve"> kw. 20</w:t>
      </w:r>
      <w:r w:rsidR="00977680" w:rsidRPr="00B8175F">
        <w:rPr>
          <w:rFonts w:ascii="Times New Roman" w:hAnsi="Times New Roman" w:cs="Arial"/>
          <w:sz w:val="20"/>
          <w:szCs w:val="20"/>
        </w:rPr>
        <w:t>19</w:t>
      </w:r>
      <w:r w:rsidR="00B8175F" w:rsidRPr="00B8175F">
        <w:rPr>
          <w:rFonts w:ascii="Times New Roman" w:hAnsi="Times New Roman" w:cs="Arial"/>
          <w:sz w:val="20"/>
          <w:szCs w:val="20"/>
        </w:rPr>
        <w:t xml:space="preserve"> r. wyniósł   -0,2</w:t>
      </w:r>
      <w:r w:rsidR="00D55ED6" w:rsidRPr="00B8175F">
        <w:rPr>
          <w:rFonts w:ascii="Times New Roman" w:hAnsi="Times New Roman" w:cs="Arial"/>
          <w:sz w:val="20"/>
          <w:szCs w:val="20"/>
        </w:rPr>
        <w:t xml:space="preserve"> mld zł</w:t>
      </w:r>
      <w:r w:rsidR="00977680" w:rsidRPr="00B8175F">
        <w:rPr>
          <w:rFonts w:ascii="Times New Roman" w:hAnsi="Times New Roman" w:cs="Arial"/>
          <w:sz w:val="20"/>
          <w:szCs w:val="20"/>
        </w:rPr>
        <w:t xml:space="preserve"> (</w:t>
      </w:r>
      <w:r w:rsidR="00B8175F" w:rsidRPr="00B8175F">
        <w:rPr>
          <w:rFonts w:ascii="Times New Roman" w:hAnsi="Times New Roman" w:cs="Arial"/>
          <w:sz w:val="20"/>
          <w:szCs w:val="20"/>
        </w:rPr>
        <w:t>0,0</w:t>
      </w:r>
      <w:r w:rsidR="006678BB" w:rsidRPr="00B8175F">
        <w:rPr>
          <w:rFonts w:ascii="Times New Roman" w:hAnsi="Times New Roman" w:cs="Arial"/>
          <w:sz w:val="20"/>
          <w:szCs w:val="20"/>
        </w:rPr>
        <w:t xml:space="preserve"> %</w:t>
      </w:r>
      <w:r w:rsidR="0003235C">
        <w:rPr>
          <w:rFonts w:ascii="Times New Roman" w:hAnsi="Times New Roman" w:cs="Arial"/>
          <w:sz w:val="20"/>
          <w:szCs w:val="20"/>
        </w:rPr>
        <w:t xml:space="preserve"> </w:t>
      </w:r>
      <w:r w:rsidR="006678BB" w:rsidRPr="00B8175F">
        <w:rPr>
          <w:rFonts w:ascii="Times New Roman" w:hAnsi="Times New Roman" w:cs="Arial"/>
          <w:sz w:val="20"/>
          <w:szCs w:val="20"/>
        </w:rPr>
        <w:t>PKB) i w stosunku do I</w:t>
      </w:r>
      <w:r w:rsidR="00B8175F" w:rsidRPr="00B8175F">
        <w:rPr>
          <w:rFonts w:ascii="Times New Roman" w:hAnsi="Times New Roman" w:cs="Arial"/>
          <w:sz w:val="20"/>
          <w:szCs w:val="20"/>
        </w:rPr>
        <w:t>I</w:t>
      </w:r>
      <w:r w:rsidR="006678BB" w:rsidRPr="00B8175F">
        <w:rPr>
          <w:rFonts w:ascii="Times New Roman" w:hAnsi="Times New Roman" w:cs="Arial"/>
          <w:sz w:val="20"/>
          <w:szCs w:val="20"/>
        </w:rPr>
        <w:t xml:space="preserve"> kw. roku poprzedniego uległ poprawie o ok. </w:t>
      </w:r>
      <w:r w:rsidR="00B8175F" w:rsidRPr="00B8175F">
        <w:rPr>
          <w:rFonts w:ascii="Times New Roman" w:hAnsi="Times New Roman" w:cs="Arial"/>
          <w:sz w:val="20"/>
          <w:szCs w:val="20"/>
        </w:rPr>
        <w:t>1,2</w:t>
      </w:r>
      <w:r w:rsidR="006678BB" w:rsidRPr="00B8175F">
        <w:rPr>
          <w:rFonts w:ascii="Times New Roman" w:hAnsi="Times New Roman" w:cs="Arial"/>
          <w:sz w:val="20"/>
          <w:szCs w:val="20"/>
        </w:rPr>
        <w:t> mld zł (</w:t>
      </w:r>
      <w:r w:rsidR="00B8175F" w:rsidRPr="00B8175F">
        <w:rPr>
          <w:rFonts w:ascii="Times New Roman" w:hAnsi="Times New Roman" w:cs="Arial"/>
          <w:sz w:val="20"/>
          <w:szCs w:val="20"/>
        </w:rPr>
        <w:t xml:space="preserve">poprawa </w:t>
      </w:r>
      <w:r w:rsidR="00B8175F" w:rsidRPr="00F93774">
        <w:rPr>
          <w:rFonts w:ascii="Times New Roman" w:hAnsi="Times New Roman" w:cs="Arial"/>
          <w:sz w:val="20"/>
          <w:szCs w:val="20"/>
        </w:rPr>
        <w:t xml:space="preserve">relacji o 0,2 </w:t>
      </w:r>
      <w:r w:rsidR="006678BB" w:rsidRPr="00F93774">
        <w:rPr>
          <w:rFonts w:ascii="Times New Roman" w:hAnsi="Times New Roman" w:cs="Arial"/>
          <w:sz w:val="20"/>
          <w:szCs w:val="20"/>
        </w:rPr>
        <w:t>pkt. proc. 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F93774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F93774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F93774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F93774" w:rsidRDefault="00DD3220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6545" cy="2051685"/>
                  <wp:effectExtent l="0" t="0" r="1905" b="571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54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F93774" w:rsidTr="00415A43">
        <w:tc>
          <w:tcPr>
            <w:tcW w:w="4680" w:type="dxa"/>
          </w:tcPr>
          <w:p w:rsidR="00D55ED6" w:rsidRPr="00F93774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F9377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F93774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:rsidR="002460E7" w:rsidRPr="001E72B9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22904040"/>
      <w:r w:rsidRPr="00F93774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F93774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F93774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3"/>
    </w:p>
    <w:p w:rsidR="00F82DB2" w:rsidRPr="001E72B9" w:rsidRDefault="0043791B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E72B9">
        <w:rPr>
          <w:rFonts w:ascii="Times New Roman" w:hAnsi="Times New Roman"/>
          <w:bCs/>
          <w:sz w:val="20"/>
          <w:szCs w:val="20"/>
        </w:rPr>
        <w:t xml:space="preserve">W </w:t>
      </w:r>
      <w:r w:rsidR="001E72B9" w:rsidRPr="001E72B9">
        <w:rPr>
          <w:rFonts w:ascii="Times New Roman" w:hAnsi="Times New Roman"/>
          <w:bCs/>
          <w:sz w:val="20"/>
          <w:szCs w:val="20"/>
        </w:rPr>
        <w:t>I</w:t>
      </w:r>
      <w:r w:rsidRPr="001E72B9">
        <w:rPr>
          <w:rFonts w:ascii="Times New Roman" w:hAnsi="Times New Roman"/>
          <w:bCs/>
          <w:sz w:val="20"/>
          <w:szCs w:val="20"/>
        </w:rPr>
        <w:t>I</w:t>
      </w:r>
      <w:r w:rsidR="0072464B" w:rsidRPr="001E72B9">
        <w:rPr>
          <w:rFonts w:ascii="Times New Roman" w:hAnsi="Times New Roman"/>
          <w:bCs/>
          <w:sz w:val="20"/>
          <w:szCs w:val="20"/>
        </w:rPr>
        <w:t xml:space="preserve"> kw.</w:t>
      </w:r>
      <w:r w:rsidRPr="001E72B9">
        <w:rPr>
          <w:rFonts w:ascii="Times New Roman" w:hAnsi="Times New Roman"/>
          <w:bCs/>
          <w:sz w:val="20"/>
          <w:szCs w:val="20"/>
        </w:rPr>
        <w:t xml:space="preserve"> 2019</w:t>
      </w:r>
      <w:r w:rsidR="002826C7" w:rsidRPr="001E72B9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1E72B9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1E72B9">
        <w:rPr>
          <w:rFonts w:ascii="Times New Roman" w:hAnsi="Times New Roman"/>
          <w:bCs/>
          <w:sz w:val="20"/>
          <w:szCs w:val="20"/>
        </w:rPr>
        <w:t>samorządowych</w:t>
      </w:r>
      <w:r w:rsidR="0020557E" w:rsidRPr="001E72B9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1E72B9">
        <w:rPr>
          <w:rFonts w:ascii="Times New Roman" w:hAnsi="Times New Roman"/>
          <w:bCs/>
          <w:sz w:val="20"/>
          <w:szCs w:val="20"/>
        </w:rPr>
        <w:t xml:space="preserve">ESA2010) wyniosły </w:t>
      </w:r>
      <w:r w:rsidR="001E72B9" w:rsidRPr="001E72B9">
        <w:rPr>
          <w:rFonts w:ascii="Times New Roman" w:hAnsi="Times New Roman"/>
          <w:bCs/>
          <w:sz w:val="20"/>
          <w:szCs w:val="20"/>
        </w:rPr>
        <w:t>227,1</w:t>
      </w:r>
      <w:r w:rsidR="0072464B" w:rsidRPr="001E72B9">
        <w:rPr>
          <w:rFonts w:ascii="Times New Roman" w:hAnsi="Times New Roman"/>
          <w:bCs/>
          <w:sz w:val="20"/>
          <w:szCs w:val="20"/>
        </w:rPr>
        <w:t> </w:t>
      </w:r>
      <w:r w:rsidR="002826C7" w:rsidRPr="001E72B9">
        <w:rPr>
          <w:rFonts w:ascii="Times New Roman" w:hAnsi="Times New Roman"/>
          <w:bCs/>
          <w:sz w:val="20"/>
          <w:szCs w:val="20"/>
        </w:rPr>
        <w:t>ml</w:t>
      </w:r>
      <w:r w:rsidR="00A43C11" w:rsidRPr="001E72B9">
        <w:rPr>
          <w:rFonts w:ascii="Times New Roman" w:hAnsi="Times New Roman"/>
          <w:bCs/>
          <w:sz w:val="20"/>
          <w:szCs w:val="20"/>
        </w:rPr>
        <w:t>d</w:t>
      </w:r>
      <w:r w:rsidR="002826C7" w:rsidRPr="001E72B9">
        <w:rPr>
          <w:rFonts w:ascii="Times New Roman" w:hAnsi="Times New Roman"/>
          <w:bCs/>
          <w:sz w:val="20"/>
          <w:szCs w:val="20"/>
        </w:rPr>
        <w:t xml:space="preserve"> zł i</w:t>
      </w:r>
      <w:r w:rsidR="00F82DB2" w:rsidRPr="001E72B9">
        <w:rPr>
          <w:rFonts w:ascii="Times New Roman" w:hAnsi="Times New Roman"/>
          <w:bCs/>
          <w:sz w:val="20"/>
          <w:szCs w:val="20"/>
        </w:rPr>
        <w:t> </w:t>
      </w:r>
      <w:r w:rsidR="002826C7" w:rsidRPr="001E72B9">
        <w:rPr>
          <w:rFonts w:ascii="Times New Roman" w:hAnsi="Times New Roman"/>
          <w:bCs/>
          <w:sz w:val="20"/>
          <w:szCs w:val="20"/>
        </w:rPr>
        <w:t xml:space="preserve">były </w:t>
      </w:r>
      <w:r w:rsidR="00F82DB2" w:rsidRPr="001E72B9">
        <w:rPr>
          <w:rFonts w:ascii="Times New Roman" w:hAnsi="Times New Roman"/>
          <w:bCs/>
          <w:sz w:val="20"/>
          <w:szCs w:val="20"/>
        </w:rPr>
        <w:t xml:space="preserve">nominalnie </w:t>
      </w:r>
      <w:r w:rsidR="00F0195E" w:rsidRPr="001E72B9">
        <w:rPr>
          <w:rFonts w:ascii="Times New Roman" w:hAnsi="Times New Roman"/>
          <w:bCs/>
          <w:sz w:val="20"/>
          <w:szCs w:val="20"/>
        </w:rPr>
        <w:t>wyższe</w:t>
      </w:r>
      <w:r w:rsidR="002826C7" w:rsidRPr="001E72B9">
        <w:rPr>
          <w:rFonts w:ascii="Times New Roman" w:hAnsi="Times New Roman"/>
          <w:bCs/>
          <w:sz w:val="20"/>
          <w:szCs w:val="20"/>
        </w:rPr>
        <w:t xml:space="preserve"> </w:t>
      </w:r>
      <w:r w:rsidR="00F82DB2" w:rsidRPr="001E72B9">
        <w:rPr>
          <w:rFonts w:ascii="Times New Roman" w:hAnsi="Times New Roman"/>
          <w:bCs/>
          <w:sz w:val="20"/>
          <w:szCs w:val="20"/>
        </w:rPr>
        <w:t>o</w:t>
      </w:r>
      <w:r w:rsidR="0052514A" w:rsidRPr="001E72B9">
        <w:rPr>
          <w:rFonts w:ascii="Times New Roman" w:hAnsi="Times New Roman"/>
          <w:bCs/>
          <w:sz w:val="20"/>
          <w:szCs w:val="20"/>
        </w:rPr>
        <w:t> </w:t>
      </w:r>
      <w:r w:rsidR="001E72B9" w:rsidRPr="001E72B9">
        <w:rPr>
          <w:rFonts w:ascii="Times New Roman" w:hAnsi="Times New Roman"/>
          <w:bCs/>
          <w:sz w:val="20"/>
          <w:szCs w:val="20"/>
        </w:rPr>
        <w:t>10,1</w:t>
      </w:r>
      <w:r w:rsidR="002826C7" w:rsidRPr="001E72B9">
        <w:rPr>
          <w:rFonts w:ascii="Times New Roman" w:hAnsi="Times New Roman"/>
          <w:bCs/>
          <w:sz w:val="20"/>
          <w:szCs w:val="20"/>
        </w:rPr>
        <w:t>%</w:t>
      </w:r>
      <w:r w:rsidR="0095058D" w:rsidRPr="001E72B9">
        <w:rPr>
          <w:rFonts w:ascii="Times New Roman" w:hAnsi="Times New Roman"/>
          <w:bCs/>
          <w:sz w:val="20"/>
          <w:szCs w:val="20"/>
        </w:rPr>
        <w:t> </w:t>
      </w:r>
      <w:r w:rsidR="00F82DB2" w:rsidRPr="001E72B9">
        <w:rPr>
          <w:rFonts w:ascii="Times New Roman" w:hAnsi="Times New Roman"/>
          <w:bCs/>
          <w:sz w:val="20"/>
          <w:szCs w:val="20"/>
        </w:rPr>
        <w:t xml:space="preserve">r/r, odnotowując </w:t>
      </w:r>
      <w:r w:rsidR="00F07090" w:rsidRPr="001E72B9">
        <w:rPr>
          <w:rFonts w:ascii="Times New Roman" w:hAnsi="Times New Roman"/>
          <w:bCs/>
          <w:sz w:val="20"/>
          <w:szCs w:val="20"/>
        </w:rPr>
        <w:t xml:space="preserve">wzrost relacji </w:t>
      </w:r>
      <w:r w:rsidR="00F82DB2" w:rsidRPr="001E72B9">
        <w:rPr>
          <w:rFonts w:ascii="Times New Roman" w:hAnsi="Times New Roman"/>
          <w:bCs/>
          <w:sz w:val="20"/>
          <w:szCs w:val="20"/>
        </w:rPr>
        <w:t xml:space="preserve">do PKB </w:t>
      </w:r>
      <w:r w:rsidR="00F07090" w:rsidRPr="001E72B9">
        <w:rPr>
          <w:rFonts w:ascii="Times New Roman" w:hAnsi="Times New Roman"/>
          <w:bCs/>
          <w:sz w:val="20"/>
          <w:szCs w:val="20"/>
        </w:rPr>
        <w:t xml:space="preserve">o </w:t>
      </w:r>
      <w:r w:rsidR="001E72B9" w:rsidRPr="001E72B9">
        <w:rPr>
          <w:rFonts w:ascii="Times New Roman" w:hAnsi="Times New Roman"/>
          <w:bCs/>
          <w:sz w:val="20"/>
          <w:szCs w:val="20"/>
        </w:rPr>
        <w:t>1,0</w:t>
      </w:r>
      <w:r w:rsidR="00F0195E" w:rsidRPr="001E72B9">
        <w:rPr>
          <w:rFonts w:ascii="Times New Roman" w:hAnsi="Times New Roman"/>
          <w:bCs/>
          <w:sz w:val="20"/>
          <w:szCs w:val="20"/>
        </w:rPr>
        <w:t xml:space="preserve"> p</w:t>
      </w:r>
      <w:r w:rsidR="00F82DB2" w:rsidRPr="001E72B9">
        <w:rPr>
          <w:rFonts w:ascii="Times New Roman" w:hAnsi="Times New Roman"/>
          <w:bCs/>
          <w:sz w:val="20"/>
          <w:szCs w:val="20"/>
        </w:rPr>
        <w:t xml:space="preserve">kt. </w:t>
      </w:r>
      <w:r w:rsidR="00F0195E" w:rsidRPr="001E72B9">
        <w:rPr>
          <w:rFonts w:ascii="Times New Roman" w:hAnsi="Times New Roman"/>
          <w:bCs/>
          <w:sz w:val="20"/>
          <w:szCs w:val="20"/>
        </w:rPr>
        <w:t>p</w:t>
      </w:r>
      <w:r w:rsidR="00F82DB2" w:rsidRPr="001E72B9">
        <w:rPr>
          <w:rFonts w:ascii="Times New Roman" w:hAnsi="Times New Roman"/>
          <w:bCs/>
          <w:sz w:val="20"/>
          <w:szCs w:val="20"/>
        </w:rPr>
        <w:t>roc</w:t>
      </w:r>
      <w:r w:rsidR="003E77B8" w:rsidRPr="001E72B9">
        <w:rPr>
          <w:rFonts w:ascii="Times New Roman" w:hAnsi="Times New Roman"/>
          <w:bCs/>
          <w:sz w:val="20"/>
          <w:szCs w:val="20"/>
        </w:rPr>
        <w:t xml:space="preserve">. </w:t>
      </w:r>
    </w:p>
    <w:p w:rsidR="00562706" w:rsidRPr="001E72B9" w:rsidRDefault="00F82DB2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E72B9">
        <w:rPr>
          <w:rFonts w:ascii="Times New Roman" w:hAnsi="Times New Roman"/>
          <w:bCs/>
          <w:sz w:val="20"/>
          <w:szCs w:val="20"/>
        </w:rPr>
        <w:t>Największy wpływ we wzrost miały dochody podatkowe (ESA2010), które wzrosły nominalnie o </w:t>
      </w:r>
      <w:r w:rsidR="001E72B9" w:rsidRPr="001E72B9">
        <w:rPr>
          <w:rFonts w:ascii="Times New Roman" w:hAnsi="Times New Roman"/>
          <w:bCs/>
          <w:sz w:val="20"/>
          <w:szCs w:val="20"/>
        </w:rPr>
        <w:t>15,7</w:t>
      </w:r>
      <w:r w:rsidR="003E77B8" w:rsidRPr="001E72B9">
        <w:rPr>
          <w:rFonts w:ascii="Times New Roman" w:hAnsi="Times New Roman"/>
          <w:bCs/>
          <w:sz w:val="20"/>
          <w:szCs w:val="20"/>
        </w:rPr>
        <w:t>% r/r</w:t>
      </w:r>
      <w:r w:rsidR="009D4908" w:rsidRPr="001E72B9">
        <w:rPr>
          <w:rFonts w:ascii="Times New Roman" w:hAnsi="Times New Roman"/>
          <w:bCs/>
          <w:sz w:val="20"/>
          <w:szCs w:val="20"/>
        </w:rPr>
        <w:t xml:space="preserve"> (wzrost </w:t>
      </w:r>
      <w:r w:rsidR="006678BB" w:rsidRPr="001E72B9">
        <w:rPr>
          <w:rFonts w:ascii="Times New Roman" w:hAnsi="Times New Roman"/>
          <w:bCs/>
          <w:sz w:val="20"/>
          <w:szCs w:val="20"/>
        </w:rPr>
        <w:t xml:space="preserve">relacji </w:t>
      </w:r>
      <w:r w:rsidR="009D4908" w:rsidRPr="001E72B9">
        <w:rPr>
          <w:rFonts w:ascii="Times New Roman" w:hAnsi="Times New Roman"/>
          <w:bCs/>
          <w:sz w:val="20"/>
          <w:szCs w:val="20"/>
        </w:rPr>
        <w:t xml:space="preserve">r/r o </w:t>
      </w:r>
      <w:r w:rsidR="001E72B9" w:rsidRPr="001E72B9">
        <w:rPr>
          <w:rFonts w:ascii="Times New Roman" w:hAnsi="Times New Roman"/>
          <w:bCs/>
          <w:sz w:val="20"/>
          <w:szCs w:val="20"/>
        </w:rPr>
        <w:t>1,6</w:t>
      </w:r>
      <w:r w:rsidR="009D4908" w:rsidRPr="001E72B9">
        <w:rPr>
          <w:rFonts w:ascii="Times New Roman" w:hAnsi="Times New Roman"/>
          <w:bCs/>
          <w:sz w:val="20"/>
          <w:szCs w:val="20"/>
        </w:rPr>
        <w:t xml:space="preserve"> pkt. proc. PKB).</w:t>
      </w:r>
    </w:p>
    <w:p w:rsidR="00424B41" w:rsidRPr="004A0EC9" w:rsidRDefault="00F74AE1" w:rsidP="00424B4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 wzrostu dochodów przyczynił się </w:t>
      </w:r>
      <w:r>
        <w:rPr>
          <w:rFonts w:ascii="Times New Roman" w:hAnsi="Times New Roman"/>
          <w:bCs/>
          <w:sz w:val="20"/>
          <w:szCs w:val="20"/>
        </w:rPr>
        <w:t xml:space="preserve">także 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wzrost </w:t>
      </w:r>
      <w:r>
        <w:rPr>
          <w:rFonts w:ascii="Times New Roman" w:hAnsi="Times New Roman"/>
          <w:bCs/>
          <w:sz w:val="20"/>
          <w:szCs w:val="20"/>
        </w:rPr>
        <w:t>wpływów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 z </w:t>
      </w:r>
      <w:r w:rsidR="00424B41" w:rsidRPr="004A0EC9">
        <w:rPr>
          <w:rFonts w:ascii="Times New Roman" w:hAnsi="Times New Roman"/>
          <w:bCs/>
          <w:sz w:val="20"/>
          <w:szCs w:val="20"/>
        </w:rPr>
        <w:t>tytułu składek na ubezpieczenie społeczne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, rejestrowanych </w:t>
      </w:r>
      <w:r w:rsidR="0095332B" w:rsidRPr="004A0EC9">
        <w:rPr>
          <w:rFonts w:ascii="Times New Roman" w:hAnsi="Times New Roman"/>
          <w:bCs/>
          <w:sz w:val="20"/>
          <w:szCs w:val="20"/>
        </w:rPr>
        <w:t>w </w:t>
      </w:r>
      <w:r w:rsidR="00D95ADB" w:rsidRPr="004A0EC9">
        <w:rPr>
          <w:rFonts w:ascii="Times New Roman" w:hAnsi="Times New Roman"/>
          <w:bCs/>
          <w:sz w:val="20"/>
          <w:szCs w:val="20"/>
        </w:rPr>
        <w:t>pods</w:t>
      </w:r>
      <w:r w:rsidR="005372DF" w:rsidRPr="004A0EC9">
        <w:rPr>
          <w:rFonts w:ascii="Times New Roman" w:hAnsi="Times New Roman"/>
          <w:bCs/>
          <w:sz w:val="20"/>
          <w:szCs w:val="20"/>
        </w:rPr>
        <w:t>ektorze ubezpieczeń społecznych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0EC9">
        <w:rPr>
          <w:rFonts w:ascii="Times New Roman" w:hAnsi="Times New Roman"/>
          <w:bCs/>
          <w:sz w:val="20"/>
          <w:szCs w:val="20"/>
        </w:rPr>
        <w:t>nominalnie o 10,0% r/r</w:t>
      </w:r>
      <w:r>
        <w:rPr>
          <w:rFonts w:ascii="Times New Roman" w:hAnsi="Times New Roman"/>
          <w:bCs/>
          <w:sz w:val="20"/>
          <w:szCs w:val="20"/>
        </w:rPr>
        <w:t xml:space="preserve"> (wzrost relacji r/r </w:t>
      </w:r>
      <w:r w:rsidRPr="004A0EC9">
        <w:rPr>
          <w:rFonts w:ascii="Times New Roman" w:hAnsi="Times New Roman"/>
          <w:bCs/>
          <w:sz w:val="20"/>
          <w:szCs w:val="20"/>
        </w:rPr>
        <w:t>o 0,3 pkt. proc. PKB</w:t>
      </w:r>
      <w:r>
        <w:rPr>
          <w:rFonts w:ascii="Times New Roman" w:hAnsi="Times New Roman"/>
          <w:bCs/>
          <w:sz w:val="20"/>
          <w:szCs w:val="20"/>
        </w:rPr>
        <w:t>)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. Wzrost </w:t>
      </w:r>
      <w:r>
        <w:rPr>
          <w:rFonts w:ascii="Times New Roman" w:hAnsi="Times New Roman"/>
          <w:bCs/>
          <w:sz w:val="20"/>
          <w:szCs w:val="20"/>
        </w:rPr>
        <w:t xml:space="preserve">ten 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był głównie rezultatem </w:t>
      </w:r>
      <w:r>
        <w:rPr>
          <w:rFonts w:ascii="Times New Roman" w:hAnsi="Times New Roman"/>
          <w:bCs/>
          <w:sz w:val="20"/>
          <w:szCs w:val="20"/>
        </w:rPr>
        <w:t xml:space="preserve">utrzymującej się bardzo </w:t>
      </w:r>
      <w:r w:rsidR="005372DF" w:rsidRPr="004A0EC9">
        <w:rPr>
          <w:rFonts w:ascii="Times New Roman" w:hAnsi="Times New Roman"/>
          <w:bCs/>
          <w:sz w:val="20"/>
          <w:szCs w:val="20"/>
        </w:rPr>
        <w:t>dobrej sytuacji na rynku pracy, w</w:t>
      </w:r>
      <w:r w:rsidR="009D4908" w:rsidRPr="004A0EC9">
        <w:rPr>
          <w:rFonts w:ascii="Times New Roman" w:hAnsi="Times New Roman"/>
          <w:bCs/>
          <w:sz w:val="20"/>
          <w:szCs w:val="20"/>
        </w:rPr>
        <w:t> 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wyniku </w:t>
      </w:r>
      <w:r>
        <w:rPr>
          <w:rFonts w:ascii="Times New Roman" w:hAnsi="Times New Roman"/>
          <w:bCs/>
          <w:sz w:val="20"/>
          <w:szCs w:val="20"/>
        </w:rPr>
        <w:t>której</w:t>
      </w:r>
      <w:r w:rsidR="005372DF" w:rsidRPr="004A0EC9">
        <w:rPr>
          <w:rFonts w:ascii="Times New Roman" w:hAnsi="Times New Roman"/>
          <w:bCs/>
          <w:sz w:val="20"/>
          <w:szCs w:val="20"/>
        </w:rPr>
        <w:t xml:space="preserve"> </w:t>
      </w:r>
      <w:r w:rsidR="0062692F" w:rsidRPr="004A0EC9">
        <w:rPr>
          <w:rFonts w:ascii="Times New Roman" w:hAnsi="Times New Roman"/>
          <w:bCs/>
          <w:sz w:val="20"/>
          <w:szCs w:val="20"/>
        </w:rPr>
        <w:t>temp</w:t>
      </w:r>
      <w:r w:rsidR="005372DF" w:rsidRPr="004A0EC9">
        <w:rPr>
          <w:rFonts w:ascii="Times New Roman" w:hAnsi="Times New Roman"/>
          <w:bCs/>
          <w:sz w:val="20"/>
          <w:szCs w:val="20"/>
        </w:rPr>
        <w:t>o</w:t>
      </w:r>
      <w:r w:rsidR="0062692F" w:rsidRPr="004A0EC9">
        <w:rPr>
          <w:rFonts w:ascii="Times New Roman" w:hAnsi="Times New Roman"/>
          <w:bCs/>
          <w:sz w:val="20"/>
          <w:szCs w:val="20"/>
        </w:rPr>
        <w:t xml:space="preserve"> wzrostu funduszu wynagrodzeń w gospodarce narodowej (bez tzw. jednostek małych) </w:t>
      </w:r>
      <w:r w:rsidR="0062692F" w:rsidRPr="004A0EC9">
        <w:rPr>
          <w:rFonts w:ascii="Times New Roman" w:hAnsi="Times New Roman"/>
          <w:bCs/>
          <w:sz w:val="20"/>
          <w:szCs w:val="20"/>
        </w:rPr>
        <w:lastRenderedPageBreak/>
        <w:t>wyn</w:t>
      </w:r>
      <w:r w:rsidR="005372DF" w:rsidRPr="004A0EC9">
        <w:rPr>
          <w:rFonts w:ascii="Times New Roman" w:hAnsi="Times New Roman"/>
          <w:bCs/>
          <w:sz w:val="20"/>
          <w:szCs w:val="20"/>
        </w:rPr>
        <w:t>iosło</w:t>
      </w:r>
      <w:r w:rsidR="004A0EC9" w:rsidRPr="004A0EC9">
        <w:rPr>
          <w:rFonts w:ascii="Times New Roman" w:hAnsi="Times New Roman"/>
          <w:bCs/>
          <w:sz w:val="20"/>
          <w:szCs w:val="20"/>
        </w:rPr>
        <w:t xml:space="preserve"> 9,3</w:t>
      </w:r>
      <w:r w:rsidR="0062692F" w:rsidRPr="004A0EC9">
        <w:rPr>
          <w:rFonts w:ascii="Times New Roman" w:hAnsi="Times New Roman"/>
          <w:bCs/>
          <w:sz w:val="20"/>
          <w:szCs w:val="20"/>
        </w:rPr>
        <w:t>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F93774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F93774" w:rsidRDefault="00CE4AD9" w:rsidP="00D321D9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844B6E"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ch i samorządowych w </w:t>
            </w:r>
            <w:r w:rsidR="00FC3C00"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844B6E"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 kw. 201</w:t>
            </w:r>
            <w:r w:rsidR="00D321D9"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9</w:t>
            </w:r>
            <w:r w:rsidRPr="00F9377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F93774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F93774" w:rsidRDefault="00DD3220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79725" cy="1749425"/>
                  <wp:effectExtent l="0" t="0" r="0" b="317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F93774" w:rsidTr="00415A43">
        <w:tc>
          <w:tcPr>
            <w:tcW w:w="4680" w:type="dxa"/>
          </w:tcPr>
          <w:p w:rsidR="00CE4AD9" w:rsidRPr="00F93774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F9377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43791B" w:rsidRPr="00E23130" w:rsidRDefault="00F558B4" w:rsidP="0043791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>
        <w:rPr>
          <w:rFonts w:ascii="Times New Roman" w:hAnsi="Times New Roman"/>
          <w:bCs/>
          <w:sz w:val="20"/>
          <w:szCs w:val="20"/>
        </w:rPr>
        <w:t>Według danych GUS d</w:t>
      </w:r>
      <w:r w:rsidR="000C1CCE" w:rsidRPr="00F93774">
        <w:rPr>
          <w:rFonts w:ascii="Times New Roman" w:hAnsi="Times New Roman"/>
          <w:bCs/>
          <w:sz w:val="20"/>
          <w:szCs w:val="20"/>
        </w:rPr>
        <w:t>ochody z tytułu podatku VAT (wg zasad ESA2010), w II kw. 2019 r. były nominalnie wyższe o 18,3% niż w</w:t>
      </w:r>
      <w:r w:rsidR="00382FDE">
        <w:rPr>
          <w:rFonts w:ascii="Times New Roman" w:hAnsi="Times New Roman"/>
          <w:bCs/>
          <w:sz w:val="20"/>
          <w:szCs w:val="20"/>
        </w:rPr>
        <w:t> </w:t>
      </w:r>
      <w:r w:rsidR="000C1CCE" w:rsidRPr="000C1CCE">
        <w:rPr>
          <w:rFonts w:ascii="Times New Roman" w:hAnsi="Times New Roman"/>
          <w:bCs/>
          <w:sz w:val="20"/>
          <w:szCs w:val="20"/>
        </w:rPr>
        <w:t xml:space="preserve">analogicznym okresie 2018 r. </w:t>
      </w:r>
      <w:r w:rsidR="00482481">
        <w:rPr>
          <w:rFonts w:ascii="Times New Roman" w:hAnsi="Times New Roman"/>
          <w:bCs/>
          <w:sz w:val="20"/>
          <w:szCs w:val="20"/>
        </w:rPr>
        <w:t>przekraczając odnotowany w</w:t>
      </w:r>
      <w:r w:rsidR="000C1CCE" w:rsidRPr="000C1CCE">
        <w:rPr>
          <w:rFonts w:ascii="Times New Roman" w:hAnsi="Times New Roman"/>
          <w:bCs/>
          <w:sz w:val="20"/>
          <w:szCs w:val="20"/>
        </w:rPr>
        <w:t xml:space="preserve"> II kw. wzrost sprzedaży detalicznej </w:t>
      </w:r>
      <w:r w:rsidR="00482481">
        <w:rPr>
          <w:rFonts w:ascii="Times New Roman" w:hAnsi="Times New Roman"/>
          <w:bCs/>
          <w:sz w:val="20"/>
          <w:szCs w:val="20"/>
        </w:rPr>
        <w:t>o</w:t>
      </w:r>
      <w:r w:rsidR="00382FDE">
        <w:rPr>
          <w:rFonts w:ascii="Times New Roman" w:hAnsi="Times New Roman"/>
          <w:bCs/>
          <w:sz w:val="20"/>
          <w:szCs w:val="20"/>
        </w:rPr>
        <w:t> </w:t>
      </w:r>
      <w:r w:rsidR="000C1CCE" w:rsidRPr="000C1CCE">
        <w:rPr>
          <w:rFonts w:ascii="Times New Roman" w:hAnsi="Times New Roman"/>
          <w:bCs/>
          <w:sz w:val="20"/>
          <w:szCs w:val="20"/>
        </w:rPr>
        <w:t>8,1% r/r, a</w:t>
      </w:r>
      <w:r w:rsidR="000C1CCE">
        <w:rPr>
          <w:rFonts w:ascii="Times New Roman" w:hAnsi="Times New Roman"/>
          <w:bCs/>
          <w:sz w:val="20"/>
          <w:szCs w:val="20"/>
        </w:rPr>
        <w:t xml:space="preserve"> produkcji sprzedanej </w:t>
      </w:r>
      <w:r w:rsidR="00482481">
        <w:rPr>
          <w:rFonts w:ascii="Times New Roman" w:hAnsi="Times New Roman"/>
          <w:bCs/>
          <w:sz w:val="20"/>
          <w:szCs w:val="20"/>
        </w:rPr>
        <w:t xml:space="preserve">o </w:t>
      </w:r>
      <w:r w:rsidR="000C1CCE">
        <w:rPr>
          <w:rFonts w:ascii="Times New Roman" w:hAnsi="Times New Roman"/>
          <w:bCs/>
          <w:sz w:val="20"/>
          <w:szCs w:val="20"/>
        </w:rPr>
        <w:t>6,0% r/r.</w:t>
      </w:r>
      <w:r w:rsidR="0043791B" w:rsidRPr="00E23130">
        <w:rPr>
          <w:rFonts w:ascii="Times New Roman" w:hAnsi="Times New Roman"/>
          <w:bCs/>
          <w:sz w:val="20"/>
          <w:szCs w:val="20"/>
          <w:highlight w:val="yellow"/>
        </w:rPr>
        <w:t xml:space="preserve"> </w:t>
      </w:r>
    </w:p>
    <w:p w:rsidR="0043791B" w:rsidRPr="00E23130" w:rsidRDefault="000C1CCE" w:rsidP="0043791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0C1CCE">
        <w:rPr>
          <w:rFonts w:ascii="Times New Roman" w:hAnsi="Times New Roman"/>
          <w:bCs/>
          <w:sz w:val="20"/>
          <w:szCs w:val="20"/>
        </w:rPr>
        <w:t>Dochody</w:t>
      </w:r>
      <w:r w:rsidR="00382FDE">
        <w:rPr>
          <w:rFonts w:ascii="Times New Roman" w:hAnsi="Times New Roman"/>
          <w:bCs/>
          <w:sz w:val="20"/>
          <w:szCs w:val="20"/>
        </w:rPr>
        <w:t xml:space="preserve"> sektora instytucji rządowych i </w:t>
      </w:r>
      <w:r w:rsidRPr="000C1CCE">
        <w:rPr>
          <w:rFonts w:ascii="Times New Roman" w:hAnsi="Times New Roman"/>
          <w:bCs/>
          <w:sz w:val="20"/>
          <w:szCs w:val="20"/>
        </w:rPr>
        <w:t>samorządowych z PIT (ESA2010), wyniosły w II kw. 2019 r. 29,7 mld zł i były nominalnie wyższe o 25,3% r/r. Wysoka dynamika była skutkiem wysokich wpływów podatku pobieranego według skali podatkowej (wzro</w:t>
      </w:r>
      <w:r w:rsidR="00382FDE">
        <w:rPr>
          <w:rFonts w:ascii="Times New Roman" w:hAnsi="Times New Roman"/>
          <w:bCs/>
          <w:sz w:val="20"/>
          <w:szCs w:val="20"/>
        </w:rPr>
        <w:t>st o 31,2%), co miało związek z </w:t>
      </w:r>
      <w:r w:rsidRPr="000C1CCE">
        <w:rPr>
          <w:rFonts w:ascii="Times New Roman" w:hAnsi="Times New Roman"/>
          <w:bCs/>
          <w:sz w:val="20"/>
          <w:szCs w:val="20"/>
        </w:rPr>
        <w:t xml:space="preserve">szybszymi zwrotami podatku w 2019 r. w ramach rozliczenia rocznego za 2018 r. W 2019 r. podatnicy korzystali z systemu internetowego rozliczenia podatku </w:t>
      </w:r>
      <w:proofErr w:type="spellStart"/>
      <w:r w:rsidRPr="000C1CCE">
        <w:rPr>
          <w:rFonts w:ascii="Times New Roman" w:hAnsi="Times New Roman"/>
          <w:bCs/>
          <w:sz w:val="20"/>
          <w:szCs w:val="20"/>
        </w:rPr>
        <w:t>ePIT</w:t>
      </w:r>
      <w:proofErr w:type="spellEnd"/>
      <w:r w:rsidRPr="000C1CCE">
        <w:rPr>
          <w:rFonts w:ascii="Times New Roman" w:hAnsi="Times New Roman"/>
          <w:bCs/>
          <w:sz w:val="20"/>
          <w:szCs w:val="20"/>
        </w:rPr>
        <w:t>, co przełożyło się na niższą niż w poprzednich latach dynamikę wpływów w I kw</w:t>
      </w:r>
      <w:r w:rsidR="000034E3">
        <w:rPr>
          <w:rFonts w:ascii="Times New Roman" w:hAnsi="Times New Roman"/>
          <w:bCs/>
          <w:sz w:val="20"/>
          <w:szCs w:val="20"/>
        </w:rPr>
        <w:t>.</w:t>
      </w:r>
      <w:r w:rsidRPr="000C1CCE">
        <w:rPr>
          <w:rFonts w:ascii="Times New Roman" w:hAnsi="Times New Roman"/>
          <w:bCs/>
          <w:sz w:val="20"/>
          <w:szCs w:val="20"/>
        </w:rPr>
        <w:t xml:space="preserve"> </w:t>
      </w:r>
      <w:r w:rsidR="00382FDE">
        <w:rPr>
          <w:rFonts w:ascii="Times New Roman" w:hAnsi="Times New Roman"/>
          <w:bCs/>
          <w:sz w:val="20"/>
          <w:szCs w:val="20"/>
        </w:rPr>
        <w:t>oraz, w </w:t>
      </w:r>
      <w:r w:rsidRPr="000C1CCE">
        <w:rPr>
          <w:rFonts w:ascii="Times New Roman" w:hAnsi="Times New Roman"/>
          <w:bCs/>
          <w:sz w:val="20"/>
          <w:szCs w:val="20"/>
        </w:rPr>
        <w:t>konsekwencji, wyższą w II kw</w:t>
      </w:r>
      <w:r w:rsidR="000034E3">
        <w:rPr>
          <w:rFonts w:ascii="Times New Roman" w:hAnsi="Times New Roman"/>
          <w:bCs/>
          <w:sz w:val="20"/>
          <w:szCs w:val="20"/>
        </w:rPr>
        <w:t>.</w:t>
      </w:r>
      <w:r w:rsidRPr="000C1CCE">
        <w:rPr>
          <w:rFonts w:ascii="Times New Roman" w:hAnsi="Times New Roman"/>
          <w:bCs/>
          <w:sz w:val="20"/>
          <w:szCs w:val="20"/>
        </w:rPr>
        <w:t xml:space="preserve"> Kolejną przyczyną wzrostu wpływów z tego źródła była wypłata Emerytury Plus (tzw. </w:t>
      </w:r>
      <w:r w:rsidR="000034E3">
        <w:rPr>
          <w:rFonts w:ascii="Times New Roman" w:hAnsi="Times New Roman"/>
          <w:bCs/>
          <w:sz w:val="20"/>
          <w:szCs w:val="20"/>
        </w:rPr>
        <w:t>„</w:t>
      </w:r>
      <w:r w:rsidRPr="000C1CCE">
        <w:rPr>
          <w:rFonts w:ascii="Times New Roman" w:hAnsi="Times New Roman"/>
          <w:bCs/>
          <w:sz w:val="20"/>
          <w:szCs w:val="20"/>
        </w:rPr>
        <w:t xml:space="preserve">13 </w:t>
      </w:r>
      <w:r w:rsidR="000034E3">
        <w:rPr>
          <w:rFonts w:ascii="Times New Roman" w:hAnsi="Times New Roman"/>
          <w:bCs/>
          <w:sz w:val="20"/>
          <w:szCs w:val="20"/>
        </w:rPr>
        <w:t>e</w:t>
      </w:r>
      <w:r w:rsidRPr="000C1CCE">
        <w:rPr>
          <w:rFonts w:ascii="Times New Roman" w:hAnsi="Times New Roman"/>
          <w:bCs/>
          <w:sz w:val="20"/>
          <w:szCs w:val="20"/>
        </w:rPr>
        <w:t>merytur</w:t>
      </w:r>
      <w:r w:rsidR="000034E3">
        <w:rPr>
          <w:rFonts w:ascii="Times New Roman" w:hAnsi="Times New Roman"/>
          <w:bCs/>
          <w:sz w:val="20"/>
          <w:szCs w:val="20"/>
        </w:rPr>
        <w:t>a”</w:t>
      </w:r>
      <w:r w:rsidR="00382FDE">
        <w:rPr>
          <w:rFonts w:ascii="Times New Roman" w:hAnsi="Times New Roman"/>
          <w:bCs/>
          <w:sz w:val="20"/>
          <w:szCs w:val="20"/>
        </w:rPr>
        <w:t>) w kwietniu i </w:t>
      </w:r>
      <w:r w:rsidRPr="000C1CCE">
        <w:rPr>
          <w:rFonts w:ascii="Times New Roman" w:hAnsi="Times New Roman"/>
          <w:bCs/>
          <w:sz w:val="20"/>
          <w:szCs w:val="20"/>
        </w:rPr>
        <w:t>maju 2019 r. Nominalne tempo wzrostu przeciętnego funduszu wynagrodzeń w gospodarce narodowej oraz emerytur i rent w II kw. 2019 r. wyniosło 8,4% r/r. Wciąż wysokie były dochody podatkowe od działalności gosp</w:t>
      </w:r>
      <w:r w:rsidR="00382FDE">
        <w:rPr>
          <w:rFonts w:ascii="Times New Roman" w:hAnsi="Times New Roman"/>
          <w:bCs/>
          <w:sz w:val="20"/>
          <w:szCs w:val="20"/>
        </w:rPr>
        <w:t>odarczej: w przypadku wpływów z </w:t>
      </w:r>
      <w:r w:rsidRPr="000C1CCE">
        <w:rPr>
          <w:rFonts w:ascii="Times New Roman" w:hAnsi="Times New Roman"/>
          <w:bCs/>
          <w:sz w:val="20"/>
          <w:szCs w:val="20"/>
        </w:rPr>
        <w:t>19% podatku wzrost wyniósł 17,2% r/r, a dla podatku od przychodów ewidencjonowanych 15,8%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791B" w:rsidRPr="00E23130" w:rsidTr="00A51C8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3791B" w:rsidRPr="00BE6EC1" w:rsidRDefault="0043791B" w:rsidP="0043791B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BE6EC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 xml:space="preserve"> Wyk. 3. Dynamika memoriałowych wpływów z podatku VAT (r/r).</w:t>
            </w:r>
          </w:p>
        </w:tc>
      </w:tr>
      <w:tr w:rsidR="0043791B" w:rsidRPr="00E23130" w:rsidTr="00A51C8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3791B" w:rsidRPr="00BE6EC1" w:rsidRDefault="003B049F" w:rsidP="0043791B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51150" cy="2051685"/>
                  <wp:effectExtent l="0" t="0" r="6350" b="571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91B" w:rsidRPr="00E23130" w:rsidTr="00A51C86">
        <w:tc>
          <w:tcPr>
            <w:tcW w:w="4680" w:type="dxa"/>
          </w:tcPr>
          <w:p w:rsidR="0043791B" w:rsidRPr="00BE6EC1" w:rsidRDefault="0043791B" w:rsidP="0043791B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BE6EC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BE6EC1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7451A1" w:rsidRPr="007451A1" w:rsidRDefault="007451A1" w:rsidP="007451A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451A1">
        <w:rPr>
          <w:rFonts w:ascii="Times New Roman" w:hAnsi="Times New Roman"/>
          <w:bCs/>
          <w:sz w:val="20"/>
          <w:szCs w:val="20"/>
        </w:rPr>
        <w:t>Dochody</w:t>
      </w:r>
      <w:r w:rsidR="00DD3220">
        <w:rPr>
          <w:rFonts w:ascii="Times New Roman" w:hAnsi="Times New Roman"/>
          <w:bCs/>
          <w:sz w:val="20"/>
          <w:szCs w:val="20"/>
        </w:rPr>
        <w:t xml:space="preserve"> sektora instytucji rządowych i </w:t>
      </w:r>
      <w:r w:rsidRPr="007451A1">
        <w:rPr>
          <w:rFonts w:ascii="Times New Roman" w:hAnsi="Times New Roman"/>
          <w:bCs/>
          <w:sz w:val="20"/>
          <w:szCs w:val="20"/>
        </w:rPr>
        <w:t xml:space="preserve">samorządowych z CIT (wg zasad ESA2010) wyniosły w II kw. 2019 r. 8,6 mld zł i były wyższe o 20,2% r/r. Wpływy od banków i pozostałych instytucji finansowych wzrosły o 8,1% r/r, a wpływy od pozostałych przedsiębiorstw wzrosły o 24,0% r/r. Wysokie wpływy z podatku CIT wynikają z dokonania przez podatników rozliczenia rocznego za 2018 r., które było korzystne dla </w:t>
      </w:r>
      <w:r w:rsidR="00382FDE">
        <w:rPr>
          <w:rFonts w:ascii="Times New Roman" w:hAnsi="Times New Roman"/>
          <w:bCs/>
          <w:sz w:val="20"/>
          <w:szCs w:val="20"/>
        </w:rPr>
        <w:t>sektora finansów publicznych, a </w:t>
      </w:r>
      <w:r w:rsidRPr="007451A1">
        <w:rPr>
          <w:rFonts w:ascii="Times New Roman" w:hAnsi="Times New Roman"/>
          <w:bCs/>
          <w:sz w:val="20"/>
          <w:szCs w:val="20"/>
        </w:rPr>
        <w:t>także z dobrych wyników finansowych przedsiębiorstw. W II kw. 2019 r. według GUS wynik finansowy brutto przedsiębiorstw niefi</w:t>
      </w:r>
      <w:r w:rsidR="00382FDE">
        <w:rPr>
          <w:rFonts w:ascii="Times New Roman" w:hAnsi="Times New Roman"/>
          <w:bCs/>
          <w:sz w:val="20"/>
          <w:szCs w:val="20"/>
        </w:rPr>
        <w:t>nansowych wzrósł o 12,2% r/r, a </w:t>
      </w:r>
      <w:r w:rsidRPr="007451A1">
        <w:rPr>
          <w:rFonts w:ascii="Times New Roman" w:hAnsi="Times New Roman"/>
          <w:bCs/>
          <w:sz w:val="20"/>
          <w:szCs w:val="20"/>
        </w:rPr>
        <w:t xml:space="preserve">zysk brutto tych podmiotów wzrósł o 6,9% r/r. Wynik finansowy brutto banków w </w:t>
      </w:r>
      <w:r w:rsidR="00382FDE">
        <w:rPr>
          <w:rFonts w:ascii="Times New Roman" w:hAnsi="Times New Roman"/>
          <w:bCs/>
          <w:sz w:val="20"/>
          <w:szCs w:val="20"/>
        </w:rPr>
        <w:t>II</w:t>
      </w:r>
      <w:r w:rsidRPr="007451A1">
        <w:rPr>
          <w:rFonts w:ascii="Times New Roman" w:hAnsi="Times New Roman"/>
          <w:bCs/>
          <w:sz w:val="20"/>
          <w:szCs w:val="20"/>
        </w:rPr>
        <w:t xml:space="preserve"> kw</w:t>
      </w:r>
      <w:r w:rsidR="000034E3">
        <w:rPr>
          <w:rFonts w:ascii="Times New Roman" w:hAnsi="Times New Roman"/>
          <w:bCs/>
          <w:sz w:val="20"/>
          <w:szCs w:val="20"/>
        </w:rPr>
        <w:t>.</w:t>
      </w:r>
      <w:r w:rsidRPr="007451A1">
        <w:rPr>
          <w:rFonts w:ascii="Times New Roman" w:hAnsi="Times New Roman"/>
          <w:bCs/>
          <w:sz w:val="20"/>
          <w:szCs w:val="20"/>
        </w:rPr>
        <w:t xml:space="preserve"> 2019 r. wzrósł o 13,3% r/r. </w:t>
      </w:r>
    </w:p>
    <w:p w:rsidR="0043791B" w:rsidRPr="00E23130" w:rsidRDefault="007451A1" w:rsidP="007451A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7451A1">
        <w:rPr>
          <w:rFonts w:ascii="Times New Roman" w:hAnsi="Times New Roman"/>
          <w:bCs/>
          <w:sz w:val="20"/>
          <w:szCs w:val="20"/>
        </w:rPr>
        <w:t>Dochody z akcyzy, (wg zasad ESA2010), wyniosły w II kw. 2019 r. 18,5 mld zł i były niższe o 2,1% r/r. Niska dynamika wpływów z podatku akcyzowego wynika między innymi z wprowadzenia od 1 stycznia 2019 r. obniżonej o 75% stawki podatku na energię elektryczną. Dochody z akcyzy od energii elektrycznej spadły w II kw.</w:t>
      </w:r>
      <w:r w:rsidR="00382FDE">
        <w:rPr>
          <w:rFonts w:ascii="Times New Roman" w:hAnsi="Times New Roman"/>
          <w:bCs/>
          <w:sz w:val="20"/>
          <w:szCs w:val="20"/>
        </w:rPr>
        <w:t xml:space="preserve"> 2019 r. o 78,0% r/r.</w:t>
      </w:r>
      <w:r w:rsidRPr="007451A1">
        <w:rPr>
          <w:rFonts w:ascii="Times New Roman" w:hAnsi="Times New Roman"/>
          <w:bCs/>
          <w:sz w:val="20"/>
          <w:szCs w:val="20"/>
        </w:rPr>
        <w:t xml:space="preserve"> Ujemne tempo zaobserwowano również w przyp</w:t>
      </w:r>
      <w:r w:rsidR="00382FDE">
        <w:rPr>
          <w:rFonts w:ascii="Times New Roman" w:hAnsi="Times New Roman"/>
          <w:bCs/>
          <w:sz w:val="20"/>
          <w:szCs w:val="20"/>
        </w:rPr>
        <w:t>adku dochodów od piwa (spadek o </w:t>
      </w:r>
      <w:r w:rsidRPr="007451A1">
        <w:rPr>
          <w:rFonts w:ascii="Times New Roman" w:hAnsi="Times New Roman"/>
          <w:bCs/>
          <w:sz w:val="20"/>
          <w:szCs w:val="20"/>
        </w:rPr>
        <w:t>10,2% r/r) oraz od paliw silnikowych (spadek o 0,6% r/r). Wysokie w tym okresie było tempo zmian dochodów od wyrobów tytoniowych (wzrost o 3,4% r/r), od samochodów osobowych (wzrost o 11,1% r/r) oraz od oleju opałowego (wzrost o 37,5% r/r</w:t>
      </w:r>
      <w:r w:rsidR="000034E3">
        <w:rPr>
          <w:rFonts w:ascii="Times New Roman" w:hAnsi="Times New Roman"/>
          <w:bCs/>
          <w:sz w:val="20"/>
          <w:szCs w:val="20"/>
        </w:rPr>
        <w:t>)</w:t>
      </w:r>
      <w:r w:rsidRPr="007451A1">
        <w:rPr>
          <w:rFonts w:ascii="Times New Roman" w:hAnsi="Times New Roman"/>
          <w:bCs/>
          <w:sz w:val="20"/>
          <w:szCs w:val="20"/>
        </w:rPr>
        <w:t>.</w:t>
      </w:r>
    </w:p>
    <w:p w:rsidR="0043791B" w:rsidRPr="00582B69" w:rsidRDefault="0043791B" w:rsidP="000034E3">
      <w:pPr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11803">
        <w:rPr>
          <w:rFonts w:ascii="Times New Roman" w:hAnsi="Times New Roman"/>
          <w:bCs/>
          <w:sz w:val="20"/>
          <w:szCs w:val="20"/>
        </w:rPr>
        <w:t>Pozostałe dochody sektora instytucji rządowych i samorządowych w</w:t>
      </w:r>
      <w:r w:rsidR="009D4908" w:rsidRPr="00B11803">
        <w:rPr>
          <w:rFonts w:ascii="Times New Roman" w:hAnsi="Times New Roman"/>
          <w:bCs/>
          <w:sz w:val="20"/>
          <w:szCs w:val="20"/>
        </w:rPr>
        <w:t xml:space="preserve"> I</w:t>
      </w:r>
      <w:r w:rsidR="00582B69" w:rsidRPr="00B11803">
        <w:rPr>
          <w:rFonts w:ascii="Times New Roman" w:hAnsi="Times New Roman"/>
          <w:bCs/>
          <w:sz w:val="20"/>
          <w:szCs w:val="20"/>
        </w:rPr>
        <w:t>I</w:t>
      </w:r>
      <w:r w:rsidR="009D4908" w:rsidRPr="00B11803">
        <w:rPr>
          <w:rFonts w:ascii="Times New Roman" w:hAnsi="Times New Roman"/>
          <w:bCs/>
          <w:sz w:val="20"/>
          <w:szCs w:val="20"/>
        </w:rPr>
        <w:t xml:space="preserve"> kw. 2019 r. </w:t>
      </w:r>
      <w:r w:rsidR="00582B69" w:rsidRPr="00B11803">
        <w:rPr>
          <w:rFonts w:ascii="Times New Roman" w:hAnsi="Times New Roman"/>
          <w:bCs/>
          <w:sz w:val="20"/>
          <w:szCs w:val="20"/>
        </w:rPr>
        <w:t>spadły</w:t>
      </w:r>
      <w:r w:rsidR="009D4908" w:rsidRPr="00B11803">
        <w:rPr>
          <w:rFonts w:ascii="Times New Roman" w:hAnsi="Times New Roman"/>
          <w:bCs/>
          <w:sz w:val="20"/>
          <w:szCs w:val="20"/>
        </w:rPr>
        <w:t xml:space="preserve"> </w:t>
      </w:r>
      <w:r w:rsidRPr="00B11803">
        <w:rPr>
          <w:rFonts w:ascii="Times New Roman" w:hAnsi="Times New Roman"/>
          <w:bCs/>
          <w:sz w:val="20"/>
          <w:szCs w:val="20"/>
        </w:rPr>
        <w:t>nominalnie o </w:t>
      </w:r>
      <w:r w:rsidR="00582B69" w:rsidRPr="00B11803">
        <w:rPr>
          <w:rFonts w:ascii="Times New Roman" w:hAnsi="Times New Roman"/>
          <w:bCs/>
          <w:sz w:val="20"/>
          <w:szCs w:val="20"/>
        </w:rPr>
        <w:t>11,2</w:t>
      </w:r>
      <w:r w:rsidR="00B11803" w:rsidRPr="00B11803">
        <w:rPr>
          <w:rFonts w:ascii="Times New Roman" w:hAnsi="Times New Roman"/>
          <w:bCs/>
          <w:sz w:val="20"/>
          <w:szCs w:val="20"/>
        </w:rPr>
        <w:t xml:space="preserve">% r/r, za co w głównej mierze odpowiadały niskie </w:t>
      </w:r>
      <w:r w:rsidR="00B11803" w:rsidRPr="00B11803">
        <w:rPr>
          <w:rFonts w:ascii="Times New Roman" w:hAnsi="Times New Roman"/>
          <w:bCs/>
          <w:sz w:val="20"/>
          <w:szCs w:val="20"/>
        </w:rPr>
        <w:lastRenderedPageBreak/>
        <w:t xml:space="preserve">dochody z tytułu własności (inne niż odsetki) – spadek o </w:t>
      </w:r>
      <w:r w:rsidR="0065293D">
        <w:rPr>
          <w:rFonts w:ascii="Times New Roman" w:hAnsi="Times New Roman"/>
          <w:bCs/>
          <w:sz w:val="20"/>
          <w:szCs w:val="20"/>
        </w:rPr>
        <w:t>56,2</w:t>
      </w:r>
      <w:r w:rsidR="00B11803" w:rsidRPr="00B11803">
        <w:rPr>
          <w:rFonts w:ascii="Times New Roman" w:hAnsi="Times New Roman"/>
          <w:bCs/>
          <w:sz w:val="20"/>
          <w:szCs w:val="20"/>
        </w:rPr>
        <w:t>% r/r.</w:t>
      </w:r>
      <w:r w:rsidR="000034E3">
        <w:rPr>
          <w:rFonts w:ascii="Times New Roman" w:hAnsi="Times New Roman"/>
          <w:bCs/>
          <w:sz w:val="20"/>
          <w:szCs w:val="20"/>
        </w:rPr>
        <w:t xml:space="preserve"> </w:t>
      </w:r>
      <w:r w:rsidR="00B11803" w:rsidRPr="00B11803">
        <w:rPr>
          <w:rFonts w:ascii="Times New Roman" w:hAnsi="Times New Roman"/>
          <w:bCs/>
          <w:sz w:val="20"/>
          <w:szCs w:val="20"/>
        </w:rPr>
        <w:t>Wpływy z dywidend i wpłat z zysku przedsiębiorstw do</w:t>
      </w:r>
      <w:r w:rsidR="00FC3C00">
        <w:rPr>
          <w:rFonts w:ascii="Times New Roman" w:hAnsi="Times New Roman"/>
          <w:bCs/>
          <w:sz w:val="20"/>
          <w:szCs w:val="20"/>
        </w:rPr>
        <w:t xml:space="preserve"> </w:t>
      </w:r>
      <w:r w:rsidR="00B11803" w:rsidRPr="00B11803">
        <w:rPr>
          <w:rFonts w:ascii="Times New Roman" w:hAnsi="Times New Roman"/>
          <w:bCs/>
          <w:sz w:val="20"/>
          <w:szCs w:val="20"/>
        </w:rPr>
        <w:t xml:space="preserve">budżetu państwa </w:t>
      </w:r>
      <w:r w:rsidR="000034E3">
        <w:rPr>
          <w:rFonts w:ascii="Times New Roman" w:hAnsi="Times New Roman"/>
          <w:bCs/>
          <w:sz w:val="20"/>
          <w:szCs w:val="20"/>
        </w:rPr>
        <w:t xml:space="preserve">w tym okresie </w:t>
      </w:r>
      <w:r w:rsidR="00B11803" w:rsidRPr="00B11803">
        <w:rPr>
          <w:rFonts w:ascii="Times New Roman" w:hAnsi="Times New Roman"/>
          <w:bCs/>
          <w:sz w:val="20"/>
          <w:szCs w:val="20"/>
        </w:rPr>
        <w:t xml:space="preserve">spadły </w:t>
      </w:r>
      <w:r w:rsidR="00B11803" w:rsidRPr="00863193">
        <w:rPr>
          <w:rFonts w:ascii="Times New Roman" w:hAnsi="Times New Roman"/>
          <w:bCs/>
          <w:sz w:val="20"/>
          <w:szCs w:val="20"/>
        </w:rPr>
        <w:t>o 47,9%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791B" w:rsidRPr="00BE6EC1" w:rsidTr="00A51C8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3791B" w:rsidRPr="00BE6EC1" w:rsidRDefault="0043791B" w:rsidP="0043791B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BE6EC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4. Wpływy z podatku VAT (memoriałowe) w relacji do PKB.</w:t>
            </w:r>
          </w:p>
        </w:tc>
      </w:tr>
      <w:tr w:rsidR="0043791B" w:rsidRPr="00BE6EC1" w:rsidTr="00A51C8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3791B" w:rsidRPr="00BE6EC1" w:rsidRDefault="003B049F" w:rsidP="0043791B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51150" cy="2051685"/>
                  <wp:effectExtent l="0" t="0" r="6350" b="571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91B" w:rsidRPr="00BE6EC1" w:rsidTr="00A51C86">
        <w:tc>
          <w:tcPr>
            <w:tcW w:w="4680" w:type="dxa"/>
          </w:tcPr>
          <w:p w:rsidR="0043791B" w:rsidRPr="00BE6EC1" w:rsidRDefault="0043791B" w:rsidP="0043791B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BE6EC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BE6EC1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78543D" w:rsidRPr="002C1E7F" w:rsidRDefault="002C1E7F" w:rsidP="00BE6EC1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E6EC1">
        <w:rPr>
          <w:rFonts w:ascii="Times New Roman" w:hAnsi="Times New Roman"/>
          <w:bCs/>
          <w:sz w:val="20"/>
          <w:szCs w:val="20"/>
        </w:rPr>
        <w:t>Ponadto, wysoką</w:t>
      </w:r>
      <w:r w:rsidR="00FE2837" w:rsidRPr="00BE6EC1">
        <w:rPr>
          <w:rFonts w:ascii="Times New Roman" w:hAnsi="Times New Roman"/>
          <w:bCs/>
          <w:sz w:val="20"/>
          <w:szCs w:val="20"/>
        </w:rPr>
        <w:t xml:space="preserve"> dynamikę</w:t>
      </w:r>
      <w:r w:rsidR="00FE2837" w:rsidRPr="002C1E7F">
        <w:rPr>
          <w:rFonts w:ascii="Times New Roman" w:hAnsi="Times New Roman"/>
          <w:bCs/>
          <w:sz w:val="20"/>
          <w:szCs w:val="20"/>
        </w:rPr>
        <w:t xml:space="preserve"> </w:t>
      </w:r>
      <w:r w:rsidR="00B11803" w:rsidRPr="002C1E7F">
        <w:rPr>
          <w:rFonts w:ascii="Times New Roman" w:hAnsi="Times New Roman"/>
          <w:bCs/>
          <w:sz w:val="20"/>
          <w:szCs w:val="20"/>
        </w:rPr>
        <w:t xml:space="preserve">spadku </w:t>
      </w:r>
      <w:r w:rsidR="00FE2837" w:rsidRPr="002C1E7F">
        <w:rPr>
          <w:rFonts w:ascii="Times New Roman" w:hAnsi="Times New Roman"/>
          <w:bCs/>
          <w:sz w:val="20"/>
          <w:szCs w:val="20"/>
        </w:rPr>
        <w:t xml:space="preserve">zanotowały </w:t>
      </w:r>
      <w:r w:rsidR="005F459E" w:rsidRPr="002C1E7F">
        <w:rPr>
          <w:rFonts w:ascii="Times New Roman" w:hAnsi="Times New Roman"/>
          <w:bCs/>
          <w:sz w:val="20"/>
          <w:szCs w:val="20"/>
        </w:rPr>
        <w:t xml:space="preserve">dochody z tytułu transferów </w:t>
      </w:r>
      <w:r w:rsidR="000B2EB1" w:rsidRPr="002C1E7F">
        <w:rPr>
          <w:rFonts w:ascii="Times New Roman" w:hAnsi="Times New Roman"/>
          <w:bCs/>
          <w:sz w:val="20"/>
          <w:szCs w:val="20"/>
        </w:rPr>
        <w:t>kapitałowych</w:t>
      </w:r>
      <w:r w:rsidR="0052514A" w:rsidRPr="002C1E7F">
        <w:rPr>
          <w:rFonts w:ascii="Times New Roman" w:hAnsi="Times New Roman"/>
          <w:bCs/>
          <w:sz w:val="20"/>
          <w:szCs w:val="20"/>
        </w:rPr>
        <w:t xml:space="preserve"> (</w:t>
      </w:r>
      <w:r w:rsidRPr="002C1E7F">
        <w:rPr>
          <w:rFonts w:ascii="Times New Roman" w:hAnsi="Times New Roman"/>
          <w:bCs/>
          <w:sz w:val="20"/>
          <w:szCs w:val="20"/>
        </w:rPr>
        <w:t>spadek</w:t>
      </w:r>
      <w:r w:rsidR="0052514A" w:rsidRPr="002C1E7F">
        <w:rPr>
          <w:rFonts w:ascii="Times New Roman" w:hAnsi="Times New Roman"/>
          <w:bCs/>
          <w:sz w:val="20"/>
          <w:szCs w:val="20"/>
        </w:rPr>
        <w:t xml:space="preserve"> aż o </w:t>
      </w:r>
      <w:r w:rsidRPr="002C1E7F">
        <w:rPr>
          <w:rFonts w:ascii="Times New Roman" w:hAnsi="Times New Roman"/>
          <w:bCs/>
          <w:sz w:val="20"/>
          <w:szCs w:val="20"/>
        </w:rPr>
        <w:t>38,3</w:t>
      </w:r>
      <w:r w:rsidR="001D1B9F" w:rsidRPr="002C1E7F">
        <w:rPr>
          <w:rFonts w:ascii="Times New Roman" w:hAnsi="Times New Roman"/>
          <w:bCs/>
          <w:sz w:val="20"/>
          <w:szCs w:val="20"/>
        </w:rPr>
        <w:t>%</w:t>
      </w:r>
      <w:r w:rsidR="003F6C6C" w:rsidRPr="002C1E7F">
        <w:rPr>
          <w:rFonts w:ascii="Times New Roman" w:hAnsi="Times New Roman"/>
          <w:bCs/>
          <w:sz w:val="20"/>
          <w:szCs w:val="20"/>
        </w:rPr>
        <w:t> </w:t>
      </w:r>
      <w:r w:rsidR="0078543D" w:rsidRPr="002C1E7F">
        <w:rPr>
          <w:rFonts w:ascii="Times New Roman" w:hAnsi="Times New Roman"/>
          <w:bCs/>
          <w:sz w:val="20"/>
          <w:szCs w:val="20"/>
        </w:rPr>
        <w:t xml:space="preserve"> r/r</w:t>
      </w:r>
      <w:r w:rsidRPr="002C1E7F">
        <w:rPr>
          <w:rFonts w:ascii="Times New Roman" w:hAnsi="Times New Roman"/>
          <w:bCs/>
          <w:sz w:val="20"/>
          <w:szCs w:val="20"/>
        </w:rPr>
        <w:t>), co powiązane jest z tempem</w:t>
      </w:r>
      <w:r w:rsidR="0078543D" w:rsidRPr="002C1E7F">
        <w:rPr>
          <w:rFonts w:ascii="Times New Roman" w:hAnsi="Times New Roman"/>
          <w:bCs/>
          <w:sz w:val="20"/>
          <w:szCs w:val="20"/>
        </w:rPr>
        <w:t xml:space="preserve"> absorbcji środków unijnych.</w:t>
      </w:r>
    </w:p>
    <w:p w:rsidR="00EF223A" w:rsidRPr="00D47819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22904041"/>
      <w:r w:rsidRPr="00D47819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D47819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D47819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4"/>
    </w:p>
    <w:p w:rsidR="006678BB" w:rsidRPr="00D47819" w:rsidRDefault="00E62A46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47819">
        <w:rPr>
          <w:rFonts w:ascii="Times New Roman" w:hAnsi="Times New Roman"/>
          <w:bCs/>
          <w:sz w:val="20"/>
          <w:szCs w:val="20"/>
        </w:rPr>
        <w:t>W I</w:t>
      </w:r>
      <w:r w:rsidR="00D47819" w:rsidRPr="00D47819">
        <w:rPr>
          <w:rFonts w:ascii="Times New Roman" w:hAnsi="Times New Roman"/>
          <w:bCs/>
          <w:sz w:val="20"/>
          <w:szCs w:val="20"/>
        </w:rPr>
        <w:t>I</w:t>
      </w:r>
      <w:r w:rsidR="00F15FF6" w:rsidRPr="00D47819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D47819">
        <w:rPr>
          <w:rFonts w:ascii="Times New Roman" w:hAnsi="Times New Roman"/>
          <w:bCs/>
          <w:sz w:val="20"/>
          <w:szCs w:val="20"/>
        </w:rPr>
        <w:t>.</w:t>
      </w:r>
      <w:r w:rsidRPr="00D47819">
        <w:rPr>
          <w:rFonts w:ascii="Times New Roman" w:hAnsi="Times New Roman"/>
          <w:bCs/>
          <w:sz w:val="20"/>
          <w:szCs w:val="20"/>
        </w:rPr>
        <w:t xml:space="preserve"> 2019</w:t>
      </w:r>
      <w:r w:rsidR="00F15FF6" w:rsidRPr="00D47819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D47819">
        <w:rPr>
          <w:rFonts w:ascii="Times New Roman" w:hAnsi="Times New Roman"/>
          <w:bCs/>
          <w:sz w:val="20"/>
          <w:szCs w:val="20"/>
        </w:rPr>
        <w:t> </w:t>
      </w:r>
      <w:r w:rsidR="00F15FF6" w:rsidRPr="00D47819">
        <w:rPr>
          <w:rFonts w:ascii="Times New Roman" w:hAnsi="Times New Roman"/>
          <w:bCs/>
          <w:sz w:val="20"/>
          <w:szCs w:val="20"/>
        </w:rPr>
        <w:t>samorządowych (ES</w:t>
      </w:r>
      <w:r w:rsidR="00AF066D" w:rsidRPr="00D47819">
        <w:rPr>
          <w:rFonts w:ascii="Times New Roman" w:hAnsi="Times New Roman"/>
          <w:bCs/>
          <w:sz w:val="20"/>
          <w:szCs w:val="20"/>
        </w:rPr>
        <w:t xml:space="preserve">A2010) wyniosły </w:t>
      </w:r>
      <w:r w:rsidR="00D47819" w:rsidRPr="00D47819">
        <w:rPr>
          <w:rFonts w:ascii="Times New Roman" w:hAnsi="Times New Roman"/>
          <w:bCs/>
          <w:sz w:val="20"/>
          <w:szCs w:val="20"/>
        </w:rPr>
        <w:t>227,3</w:t>
      </w:r>
      <w:r w:rsidR="003B2E14" w:rsidRPr="00D47819">
        <w:rPr>
          <w:rFonts w:ascii="Times New Roman" w:hAnsi="Times New Roman"/>
          <w:bCs/>
          <w:sz w:val="20"/>
          <w:szCs w:val="20"/>
        </w:rPr>
        <w:t> </w:t>
      </w:r>
      <w:r w:rsidR="0020557E" w:rsidRPr="00D47819">
        <w:rPr>
          <w:rFonts w:ascii="Times New Roman" w:hAnsi="Times New Roman"/>
          <w:bCs/>
          <w:sz w:val="20"/>
          <w:szCs w:val="20"/>
        </w:rPr>
        <w:t>mld zł i</w:t>
      </w:r>
      <w:r w:rsidR="009D4908" w:rsidRPr="00D47819">
        <w:rPr>
          <w:rFonts w:ascii="Times New Roman" w:hAnsi="Times New Roman"/>
          <w:bCs/>
          <w:sz w:val="20"/>
          <w:szCs w:val="20"/>
        </w:rPr>
        <w:t> </w:t>
      </w:r>
      <w:r w:rsidR="0020557E" w:rsidRPr="00D47819">
        <w:rPr>
          <w:rFonts w:ascii="Times New Roman" w:hAnsi="Times New Roman"/>
          <w:bCs/>
          <w:sz w:val="20"/>
          <w:szCs w:val="20"/>
        </w:rPr>
        <w:t xml:space="preserve">były </w:t>
      </w:r>
      <w:r w:rsidR="009D4908" w:rsidRPr="00D47819">
        <w:rPr>
          <w:rFonts w:ascii="Times New Roman" w:hAnsi="Times New Roman"/>
          <w:bCs/>
          <w:sz w:val="20"/>
          <w:szCs w:val="20"/>
        </w:rPr>
        <w:t xml:space="preserve">nominalnie wyższe </w:t>
      </w:r>
      <w:r w:rsidR="00D47819" w:rsidRPr="00D47819">
        <w:rPr>
          <w:rFonts w:ascii="Times New Roman" w:hAnsi="Times New Roman"/>
          <w:bCs/>
          <w:sz w:val="20"/>
          <w:szCs w:val="20"/>
        </w:rPr>
        <w:t>o 9,5</w:t>
      </w:r>
      <w:r w:rsidR="006678BB" w:rsidRPr="00D47819">
        <w:rPr>
          <w:rFonts w:ascii="Times New Roman" w:hAnsi="Times New Roman"/>
          <w:bCs/>
          <w:sz w:val="20"/>
          <w:szCs w:val="20"/>
        </w:rPr>
        <w:t xml:space="preserve">% </w:t>
      </w:r>
      <w:r w:rsidR="003B2E14" w:rsidRPr="00D47819">
        <w:rPr>
          <w:rFonts w:ascii="Times New Roman" w:hAnsi="Times New Roman"/>
          <w:bCs/>
          <w:sz w:val="20"/>
          <w:szCs w:val="20"/>
        </w:rPr>
        <w:t>r/r</w:t>
      </w:r>
      <w:r w:rsidR="00F15FF6" w:rsidRPr="00D47819">
        <w:rPr>
          <w:rFonts w:ascii="Times New Roman" w:hAnsi="Times New Roman"/>
          <w:bCs/>
          <w:sz w:val="20"/>
          <w:szCs w:val="20"/>
        </w:rPr>
        <w:t xml:space="preserve"> </w:t>
      </w:r>
      <w:r w:rsidR="006678BB" w:rsidRPr="00D47819">
        <w:rPr>
          <w:rFonts w:ascii="Times New Roman" w:hAnsi="Times New Roman"/>
          <w:bCs/>
          <w:sz w:val="20"/>
          <w:szCs w:val="20"/>
        </w:rPr>
        <w:t>(</w:t>
      </w:r>
      <w:r w:rsidR="00D47819" w:rsidRPr="00D47819">
        <w:rPr>
          <w:rFonts w:ascii="Times New Roman" w:hAnsi="Times New Roman"/>
          <w:bCs/>
          <w:sz w:val="20"/>
          <w:szCs w:val="20"/>
        </w:rPr>
        <w:t>wzrost relacji r/r o 0,8</w:t>
      </w:r>
      <w:r w:rsidR="006678BB" w:rsidRPr="00D47819">
        <w:rPr>
          <w:rFonts w:ascii="Times New Roman" w:hAnsi="Times New Roman"/>
          <w:bCs/>
          <w:sz w:val="20"/>
          <w:szCs w:val="20"/>
        </w:rPr>
        <w:t> pkt. proc. PKB)</w:t>
      </w:r>
    </w:p>
    <w:p w:rsidR="00EF223A" w:rsidRPr="00D47819" w:rsidRDefault="00F15FF6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47819">
        <w:rPr>
          <w:rFonts w:ascii="Times New Roman" w:hAnsi="Times New Roman"/>
          <w:bCs/>
          <w:sz w:val="20"/>
          <w:szCs w:val="20"/>
        </w:rPr>
        <w:t>Największy udział w wydatkach sektora instytucji rządowych i</w:t>
      </w:r>
      <w:r w:rsidR="00F142BF" w:rsidRPr="00D47819">
        <w:rPr>
          <w:rFonts w:ascii="Times New Roman" w:hAnsi="Times New Roman"/>
          <w:bCs/>
          <w:sz w:val="20"/>
          <w:szCs w:val="20"/>
        </w:rPr>
        <w:t> </w:t>
      </w:r>
      <w:r w:rsidRPr="00D47819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D47819">
        <w:rPr>
          <w:rFonts w:ascii="Times New Roman" w:hAnsi="Times New Roman"/>
          <w:bCs/>
          <w:sz w:val="20"/>
          <w:szCs w:val="20"/>
        </w:rPr>
        <w:t>zakup towarów i usług (</w:t>
      </w:r>
      <w:r w:rsidR="000034E3">
        <w:rPr>
          <w:rFonts w:ascii="Times New Roman" w:hAnsi="Times New Roman"/>
          <w:bCs/>
          <w:sz w:val="20"/>
          <w:szCs w:val="20"/>
        </w:rPr>
        <w:t xml:space="preserve">tzw. </w:t>
      </w:r>
      <w:r w:rsidR="000106DF" w:rsidRPr="00D47819">
        <w:rPr>
          <w:rFonts w:ascii="Times New Roman" w:hAnsi="Times New Roman"/>
          <w:bCs/>
          <w:sz w:val="20"/>
          <w:szCs w:val="20"/>
        </w:rPr>
        <w:t>zużycie pośrednie)</w:t>
      </w:r>
      <w:r w:rsidRPr="00D47819">
        <w:rPr>
          <w:rFonts w:ascii="Times New Roman" w:hAnsi="Times New Roman"/>
          <w:bCs/>
          <w:sz w:val="20"/>
          <w:szCs w:val="20"/>
        </w:rPr>
        <w:t>.</w:t>
      </w:r>
    </w:p>
    <w:p w:rsidR="00266236" w:rsidRPr="006D2F1D" w:rsidRDefault="00D32822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D2F1D">
        <w:rPr>
          <w:rFonts w:ascii="Times New Roman" w:hAnsi="Times New Roman"/>
          <w:bCs/>
          <w:sz w:val="20"/>
          <w:szCs w:val="20"/>
        </w:rPr>
        <w:t>W I</w:t>
      </w:r>
      <w:r w:rsidR="00D47819" w:rsidRPr="006D2F1D">
        <w:rPr>
          <w:rFonts w:ascii="Times New Roman" w:hAnsi="Times New Roman"/>
          <w:bCs/>
          <w:sz w:val="20"/>
          <w:szCs w:val="20"/>
        </w:rPr>
        <w:t>I</w:t>
      </w:r>
      <w:r w:rsidR="004F2B88" w:rsidRPr="006D2F1D">
        <w:rPr>
          <w:rFonts w:ascii="Times New Roman" w:hAnsi="Times New Roman"/>
          <w:bCs/>
          <w:sz w:val="20"/>
          <w:szCs w:val="20"/>
        </w:rPr>
        <w:t xml:space="preserve"> kw. 201</w:t>
      </w:r>
      <w:r w:rsidRPr="006D2F1D">
        <w:rPr>
          <w:rFonts w:ascii="Times New Roman" w:hAnsi="Times New Roman"/>
          <w:bCs/>
          <w:sz w:val="20"/>
          <w:szCs w:val="20"/>
        </w:rPr>
        <w:t>9</w:t>
      </w:r>
      <w:r w:rsidR="009E157D" w:rsidRPr="006D2F1D">
        <w:rPr>
          <w:rFonts w:ascii="Times New Roman" w:hAnsi="Times New Roman"/>
          <w:bCs/>
          <w:sz w:val="20"/>
          <w:szCs w:val="20"/>
        </w:rPr>
        <w:t xml:space="preserve"> r. świadczenia socjalne wzrosły nominalnie o </w:t>
      </w:r>
      <w:r w:rsidR="00D47819" w:rsidRPr="006D2F1D">
        <w:rPr>
          <w:rFonts w:ascii="Times New Roman" w:hAnsi="Times New Roman"/>
          <w:bCs/>
          <w:sz w:val="20"/>
          <w:szCs w:val="20"/>
        </w:rPr>
        <w:t>14,1</w:t>
      </w:r>
      <w:r w:rsidR="009E157D" w:rsidRPr="006D2F1D">
        <w:rPr>
          <w:rFonts w:ascii="Times New Roman" w:hAnsi="Times New Roman"/>
          <w:bCs/>
          <w:sz w:val="20"/>
          <w:szCs w:val="20"/>
        </w:rPr>
        <w:t>% r/r,</w:t>
      </w:r>
      <w:r w:rsidR="009E157D" w:rsidRPr="006D2F1D">
        <w:t xml:space="preserve"> </w:t>
      </w:r>
      <w:r w:rsidR="00D47819" w:rsidRPr="006D2F1D">
        <w:rPr>
          <w:rFonts w:ascii="Times New Roman" w:hAnsi="Times New Roman"/>
          <w:bCs/>
          <w:sz w:val="20"/>
          <w:szCs w:val="20"/>
        </w:rPr>
        <w:t>za co w głównej mierze odpowiadał</w:t>
      </w:r>
      <w:r w:rsidR="006D2F1D">
        <w:rPr>
          <w:rFonts w:ascii="Times New Roman" w:hAnsi="Times New Roman"/>
          <w:bCs/>
          <w:sz w:val="20"/>
          <w:szCs w:val="20"/>
        </w:rPr>
        <w:t>a wypłata</w:t>
      </w:r>
      <w:r w:rsidR="00683539" w:rsidRPr="006D2F1D">
        <w:rPr>
          <w:rFonts w:ascii="Times New Roman" w:hAnsi="Times New Roman"/>
          <w:bCs/>
          <w:sz w:val="20"/>
          <w:szCs w:val="20"/>
        </w:rPr>
        <w:t xml:space="preserve"> tzw. „13 emerytury” (</w:t>
      </w:r>
      <w:r w:rsidR="006D2F1D" w:rsidRPr="006D2F1D">
        <w:rPr>
          <w:rFonts w:ascii="Times New Roman" w:hAnsi="Times New Roman"/>
          <w:bCs/>
          <w:sz w:val="20"/>
          <w:szCs w:val="20"/>
        </w:rPr>
        <w:t>jednorazowe świadczenie pieni</w:t>
      </w:r>
      <w:r w:rsidR="00382FDE">
        <w:rPr>
          <w:rFonts w:ascii="Times New Roman" w:hAnsi="Times New Roman"/>
          <w:bCs/>
          <w:sz w:val="20"/>
          <w:szCs w:val="20"/>
        </w:rPr>
        <w:t>ężne dla emerytów i rencistów w </w:t>
      </w:r>
      <w:r w:rsidR="006D2F1D" w:rsidRPr="006D2F1D">
        <w:rPr>
          <w:rFonts w:ascii="Times New Roman" w:hAnsi="Times New Roman"/>
          <w:bCs/>
          <w:sz w:val="20"/>
          <w:szCs w:val="20"/>
        </w:rPr>
        <w:t xml:space="preserve">wysokości najniższej emerytury, czyli 1100 zł brutto </w:t>
      </w:r>
      <w:r w:rsidR="00683539" w:rsidRPr="006D2F1D">
        <w:rPr>
          <w:rFonts w:ascii="Times New Roman" w:hAnsi="Times New Roman"/>
          <w:bCs/>
          <w:sz w:val="20"/>
          <w:szCs w:val="20"/>
        </w:rPr>
        <w:t xml:space="preserve">w ramach programu </w:t>
      </w:r>
      <w:r w:rsidR="006D2F1D" w:rsidRPr="006D2F1D">
        <w:rPr>
          <w:rFonts w:ascii="Times New Roman" w:hAnsi="Times New Roman"/>
          <w:bCs/>
          <w:sz w:val="20"/>
          <w:szCs w:val="20"/>
        </w:rPr>
        <w:t>rządowego E</w:t>
      </w:r>
      <w:r w:rsidR="00683539" w:rsidRPr="006D2F1D">
        <w:rPr>
          <w:rFonts w:ascii="Times New Roman" w:hAnsi="Times New Roman"/>
          <w:bCs/>
          <w:sz w:val="20"/>
          <w:szCs w:val="20"/>
        </w:rPr>
        <w:t>merytura</w:t>
      </w:r>
      <w:r w:rsidR="006D2F1D" w:rsidRPr="006D2F1D">
        <w:rPr>
          <w:rFonts w:ascii="Times New Roman" w:hAnsi="Times New Roman"/>
          <w:bCs/>
          <w:sz w:val="20"/>
          <w:szCs w:val="20"/>
        </w:rPr>
        <w:t xml:space="preserve"> Pl</w:t>
      </w:r>
      <w:r w:rsidR="00683539" w:rsidRPr="006D2F1D">
        <w:rPr>
          <w:rFonts w:ascii="Times New Roman" w:hAnsi="Times New Roman"/>
          <w:bCs/>
          <w:sz w:val="20"/>
          <w:szCs w:val="20"/>
        </w:rPr>
        <w:t>us).</w:t>
      </w:r>
      <w:r w:rsidR="00776A04" w:rsidRPr="006D2F1D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E23130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F93774" w:rsidRDefault="00CE4AD9" w:rsidP="004B0BE5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lastRenderedPageBreak/>
              <w:t xml:space="preserve">Wyk. </w:t>
            </w:r>
            <w:r w:rsidR="004B0BE5"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5</w:t>
            </w:r>
            <w:r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. Struktura wydatków sektora instytucji rządowych i samorządowych w </w:t>
            </w:r>
            <w:r w:rsidR="00FC3C00"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 kw. 201</w:t>
            </w:r>
            <w:r w:rsidR="00D321D9"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9</w:t>
            </w:r>
            <w:r w:rsidRPr="00F9377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E4AD9" w:rsidRPr="00E23130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F93774" w:rsidRDefault="00500B30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79725" cy="1771015"/>
                  <wp:effectExtent l="0" t="0" r="0" b="63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7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E23130" w:rsidTr="00415A43">
        <w:tc>
          <w:tcPr>
            <w:tcW w:w="4680" w:type="dxa"/>
          </w:tcPr>
          <w:p w:rsidR="00CE4AD9" w:rsidRPr="00F93774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F9377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C42F96" w:rsidRPr="00C42F96" w:rsidRDefault="003B6037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42F96">
        <w:rPr>
          <w:rFonts w:ascii="Times New Roman" w:hAnsi="Times New Roman"/>
          <w:bCs/>
          <w:sz w:val="20"/>
          <w:szCs w:val="20"/>
        </w:rPr>
        <w:t>W I</w:t>
      </w:r>
      <w:r w:rsidR="00CD4C3B" w:rsidRPr="00C42F96">
        <w:rPr>
          <w:rFonts w:ascii="Times New Roman" w:hAnsi="Times New Roman"/>
          <w:bCs/>
          <w:sz w:val="20"/>
          <w:szCs w:val="20"/>
        </w:rPr>
        <w:t>I</w:t>
      </w:r>
      <w:r w:rsidRPr="00C42F96">
        <w:rPr>
          <w:rFonts w:ascii="Times New Roman" w:hAnsi="Times New Roman"/>
          <w:bCs/>
          <w:sz w:val="20"/>
          <w:szCs w:val="20"/>
        </w:rPr>
        <w:t xml:space="preserve"> kw. 2019 r. odnotowano wz</w:t>
      </w:r>
      <w:r w:rsidR="0094645D" w:rsidRPr="00C42F96">
        <w:rPr>
          <w:rFonts w:ascii="Times New Roman" w:hAnsi="Times New Roman"/>
          <w:bCs/>
          <w:sz w:val="20"/>
          <w:szCs w:val="20"/>
        </w:rPr>
        <w:t>rost wy</w:t>
      </w:r>
      <w:r w:rsidR="00F76424" w:rsidRPr="00C42F96">
        <w:rPr>
          <w:rFonts w:ascii="Times New Roman" w:hAnsi="Times New Roman"/>
          <w:bCs/>
          <w:sz w:val="20"/>
          <w:szCs w:val="20"/>
        </w:rPr>
        <w:t>datków na zużycie pośrednie (</w:t>
      </w:r>
      <w:r w:rsidR="00CD4C3B" w:rsidRPr="00C42F96">
        <w:rPr>
          <w:rFonts w:ascii="Times New Roman" w:hAnsi="Times New Roman"/>
          <w:bCs/>
          <w:sz w:val="20"/>
          <w:szCs w:val="20"/>
        </w:rPr>
        <w:t>6</w:t>
      </w:r>
      <w:r w:rsidR="002D2C1E" w:rsidRPr="00C42F96">
        <w:rPr>
          <w:rFonts w:ascii="Times New Roman" w:hAnsi="Times New Roman"/>
          <w:bCs/>
          <w:sz w:val="20"/>
          <w:szCs w:val="20"/>
        </w:rPr>
        <w:t>,5</w:t>
      </w:r>
      <w:r w:rsidR="00F76424" w:rsidRPr="00C42F96">
        <w:rPr>
          <w:rFonts w:ascii="Times New Roman" w:hAnsi="Times New Roman"/>
          <w:bCs/>
          <w:sz w:val="20"/>
          <w:szCs w:val="20"/>
        </w:rPr>
        <w:t>% r/r) oraz koszt</w:t>
      </w:r>
      <w:r w:rsidRPr="00C42F96">
        <w:rPr>
          <w:rFonts w:ascii="Times New Roman" w:hAnsi="Times New Roman"/>
          <w:bCs/>
          <w:sz w:val="20"/>
          <w:szCs w:val="20"/>
        </w:rPr>
        <w:t>ów</w:t>
      </w:r>
      <w:r w:rsidR="00F76424" w:rsidRPr="00C42F96">
        <w:rPr>
          <w:rFonts w:ascii="Times New Roman" w:hAnsi="Times New Roman"/>
          <w:bCs/>
          <w:sz w:val="20"/>
          <w:szCs w:val="20"/>
        </w:rPr>
        <w:t xml:space="preserve"> pracy (</w:t>
      </w:r>
      <w:r w:rsidR="00CD4C3B" w:rsidRPr="00C42F96">
        <w:rPr>
          <w:rFonts w:ascii="Times New Roman" w:hAnsi="Times New Roman"/>
          <w:bCs/>
          <w:sz w:val="20"/>
          <w:szCs w:val="20"/>
        </w:rPr>
        <w:t>4,7% </w:t>
      </w:r>
      <w:r w:rsidR="0094645D" w:rsidRPr="00C42F96">
        <w:rPr>
          <w:rFonts w:ascii="Times New Roman" w:hAnsi="Times New Roman"/>
          <w:bCs/>
          <w:sz w:val="20"/>
          <w:szCs w:val="20"/>
        </w:rPr>
        <w:t>r/r)</w:t>
      </w:r>
      <w:r w:rsidRPr="00C42F96">
        <w:rPr>
          <w:rFonts w:ascii="Times New Roman" w:hAnsi="Times New Roman"/>
          <w:bCs/>
          <w:sz w:val="20"/>
          <w:szCs w:val="20"/>
        </w:rPr>
        <w:t xml:space="preserve">, który przyczynił się do wzrostu spożycia publicznego o </w:t>
      </w:r>
      <w:r w:rsidR="00C42F96" w:rsidRPr="00C42F96">
        <w:rPr>
          <w:rFonts w:ascii="Times New Roman" w:hAnsi="Times New Roman"/>
          <w:bCs/>
          <w:sz w:val="20"/>
          <w:szCs w:val="20"/>
        </w:rPr>
        <w:t>5,7% r/r.</w:t>
      </w:r>
      <w:r w:rsidRPr="00C42F96">
        <w:rPr>
          <w:rFonts w:ascii="Times New Roman" w:hAnsi="Times New Roman"/>
          <w:bCs/>
          <w:sz w:val="20"/>
          <w:szCs w:val="20"/>
        </w:rPr>
        <w:t xml:space="preserve"> </w:t>
      </w:r>
    </w:p>
    <w:p w:rsidR="003101BB" w:rsidRPr="003101BB" w:rsidRDefault="003101BB" w:rsidP="003101B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II kw. br., nastąpił umiarkowany wzrost</w:t>
      </w:r>
      <w:r w:rsidRPr="003101BB">
        <w:rPr>
          <w:rFonts w:ascii="Times New Roman" w:hAnsi="Times New Roman"/>
          <w:bCs/>
          <w:sz w:val="20"/>
          <w:szCs w:val="20"/>
        </w:rPr>
        <w:t xml:space="preserve"> wydatków </w:t>
      </w:r>
      <w:r w:rsidRPr="00930A3C">
        <w:rPr>
          <w:rFonts w:ascii="Times New Roman" w:hAnsi="Times New Roman"/>
          <w:bCs/>
          <w:sz w:val="20"/>
          <w:szCs w:val="20"/>
        </w:rPr>
        <w:t>inwestycyjnych</w:t>
      </w:r>
      <w:r w:rsidR="00382FDE">
        <w:rPr>
          <w:rFonts w:ascii="Times New Roman" w:hAnsi="Times New Roman"/>
          <w:bCs/>
          <w:sz w:val="20"/>
          <w:szCs w:val="20"/>
        </w:rPr>
        <w:t xml:space="preserve"> sektora instytucji rządowych i </w:t>
      </w:r>
      <w:r w:rsidRPr="00930A3C">
        <w:rPr>
          <w:rFonts w:ascii="Times New Roman" w:hAnsi="Times New Roman"/>
          <w:bCs/>
          <w:sz w:val="20"/>
          <w:szCs w:val="20"/>
        </w:rPr>
        <w:t>samorządowych o 6,2% r/r</w:t>
      </w:r>
      <w:r w:rsidR="00930A3C" w:rsidRPr="00930A3C">
        <w:rPr>
          <w:rFonts w:ascii="Times New Roman" w:hAnsi="Times New Roman"/>
          <w:bCs/>
          <w:sz w:val="20"/>
          <w:szCs w:val="20"/>
        </w:rPr>
        <w:t xml:space="preserve">, </w:t>
      </w:r>
      <w:r w:rsidR="000034E3">
        <w:rPr>
          <w:rFonts w:ascii="Times New Roman" w:hAnsi="Times New Roman"/>
          <w:bCs/>
          <w:sz w:val="20"/>
          <w:szCs w:val="20"/>
        </w:rPr>
        <w:t xml:space="preserve">do którego przyczynił się głównie </w:t>
      </w:r>
      <w:r w:rsidR="00930A3C" w:rsidRPr="00930A3C">
        <w:rPr>
          <w:rFonts w:ascii="Times New Roman" w:hAnsi="Times New Roman"/>
          <w:bCs/>
          <w:sz w:val="20"/>
          <w:szCs w:val="20"/>
        </w:rPr>
        <w:t xml:space="preserve">wzrost wydatków w jednostkach samorządu terytorialnego </w:t>
      </w:r>
      <w:r w:rsidR="000034E3">
        <w:rPr>
          <w:rFonts w:ascii="Times New Roman" w:hAnsi="Times New Roman"/>
          <w:bCs/>
          <w:sz w:val="20"/>
          <w:szCs w:val="20"/>
        </w:rPr>
        <w:t xml:space="preserve">- </w:t>
      </w:r>
      <w:r w:rsidR="00930A3C" w:rsidRPr="00930A3C">
        <w:rPr>
          <w:rFonts w:ascii="Times New Roman" w:hAnsi="Times New Roman"/>
          <w:bCs/>
          <w:sz w:val="20"/>
          <w:szCs w:val="20"/>
        </w:rPr>
        <w:t>w ujęciu kasowym o 10,2% r/r.</w:t>
      </w:r>
    </w:p>
    <w:p w:rsidR="00424B41" w:rsidRPr="00E23130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E23130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:rsidR="00D321D9" w:rsidRPr="00FC3C00" w:rsidRDefault="00D321D9" w:rsidP="00D321D9">
      <w:pPr>
        <w:pStyle w:val="Nagwek1"/>
        <w:spacing w:before="120" w:line="288" w:lineRule="auto"/>
      </w:pPr>
      <w:bookmarkStart w:id="5" w:name="_Toc378241155"/>
      <w:bookmarkStart w:id="6" w:name="_Toc472594681"/>
      <w:bookmarkStart w:id="7" w:name="_Toc536019015"/>
      <w:bookmarkStart w:id="8" w:name="_Toc22904042"/>
      <w:r w:rsidRPr="00FC3C00">
        <w:rPr>
          <w:rFonts w:ascii="Arial" w:hAnsi="Arial" w:cs="Arial"/>
          <w:color w:val="ADAFB2"/>
          <w:sz w:val="28"/>
          <w:szCs w:val="28"/>
        </w:rPr>
        <w:lastRenderedPageBreak/>
        <w:t xml:space="preserve">2. </w:t>
      </w:r>
      <w:bookmarkEnd w:id="5"/>
      <w:r w:rsidRPr="00FC3C00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6"/>
      <w:bookmarkEnd w:id="7"/>
      <w:bookmarkEnd w:id="8"/>
    </w:p>
    <w:p w:rsidR="00D321D9" w:rsidRPr="00FC3C00" w:rsidRDefault="00D321D9" w:rsidP="007F3038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9" w:name="_Toc472594682"/>
      <w:bookmarkStart w:id="10" w:name="_Toc536019016"/>
      <w:bookmarkStart w:id="11" w:name="_Toc22904043"/>
      <w:r w:rsidRPr="00FC3C00">
        <w:rPr>
          <w:rFonts w:ascii="Arial" w:hAnsi="Arial" w:cs="Arial"/>
          <w:i w:val="0"/>
          <w:color w:val="E31837"/>
          <w:sz w:val="20"/>
          <w:szCs w:val="20"/>
        </w:rPr>
        <w:t>2.1. Dług sektora instytucji rządowych i samorządowych (wg definicji UE)</w:t>
      </w:r>
      <w:bookmarkEnd w:id="9"/>
      <w:bookmarkEnd w:id="10"/>
      <w:bookmarkEnd w:id="11"/>
    </w:p>
    <w:p w:rsidR="00FC3C00" w:rsidRPr="00FC3C00" w:rsidRDefault="00FC3C00" w:rsidP="00FC3C00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FC3C00">
        <w:rPr>
          <w:rFonts w:ascii="Times New Roman" w:hAnsi="Times New Roman" w:cs="Arial"/>
          <w:sz w:val="20"/>
          <w:szCs w:val="20"/>
        </w:rPr>
        <w:t xml:space="preserve">Na koniec II kwartału 2019 r. dług sektora instytucji rządowych i samorządowych (dług EDP) stanowiący jeden z elementów kryterium fiskalnego z </w:t>
      </w:r>
      <w:proofErr w:type="spellStart"/>
      <w:r w:rsidRPr="00FC3C00">
        <w:rPr>
          <w:rFonts w:ascii="Times New Roman" w:hAnsi="Times New Roman" w:cs="Arial"/>
          <w:sz w:val="20"/>
          <w:szCs w:val="20"/>
        </w:rPr>
        <w:t>Maastricht</w:t>
      </w:r>
      <w:proofErr w:type="spellEnd"/>
      <w:r w:rsidRPr="00FC3C00">
        <w:rPr>
          <w:rFonts w:ascii="Times New Roman" w:hAnsi="Times New Roman" w:cs="Arial"/>
          <w:sz w:val="20"/>
          <w:szCs w:val="20"/>
        </w:rPr>
        <w:t xml:space="preserve"> wyniósł 1.050,9 mld zł, co oznaczało:</w:t>
      </w:r>
    </w:p>
    <w:p w:rsidR="00FC3C00" w:rsidRPr="00FC3C00" w:rsidRDefault="00FC3C00" w:rsidP="00FC3C00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FC3C00">
        <w:rPr>
          <w:rFonts w:ascii="Times New Roman" w:hAnsi="Times New Roman" w:cs="Arial"/>
          <w:sz w:val="20"/>
          <w:szCs w:val="20"/>
        </w:rPr>
        <w:t>•</w:t>
      </w:r>
      <w:r w:rsidRPr="00FC3C00">
        <w:rPr>
          <w:rFonts w:ascii="Times New Roman" w:hAnsi="Times New Roman" w:cs="Arial"/>
          <w:sz w:val="20"/>
          <w:szCs w:val="20"/>
        </w:rPr>
        <w:tab/>
        <w:t>spadek o 5,</w:t>
      </w:r>
      <w:r w:rsidR="00382FDE">
        <w:rPr>
          <w:rFonts w:ascii="Times New Roman" w:hAnsi="Times New Roman" w:cs="Arial"/>
          <w:sz w:val="20"/>
          <w:szCs w:val="20"/>
        </w:rPr>
        <w:t>0 mld zł (-0,5%) w porównaniu z </w:t>
      </w:r>
      <w:r w:rsidRPr="00FC3C00">
        <w:rPr>
          <w:rFonts w:ascii="Times New Roman" w:hAnsi="Times New Roman" w:cs="Arial"/>
          <w:sz w:val="20"/>
          <w:szCs w:val="20"/>
        </w:rPr>
        <w:t>poprzednim kwartałem,</w:t>
      </w:r>
    </w:p>
    <w:p w:rsidR="00D321D9" w:rsidRDefault="00FC3C00" w:rsidP="00FC3C00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FC3C00">
        <w:rPr>
          <w:rFonts w:ascii="Times New Roman" w:hAnsi="Times New Roman" w:cs="Arial"/>
          <w:sz w:val="20"/>
          <w:szCs w:val="20"/>
        </w:rPr>
        <w:t>•</w:t>
      </w:r>
      <w:r w:rsidRPr="00FC3C00">
        <w:rPr>
          <w:rFonts w:ascii="Times New Roman" w:hAnsi="Times New Roman" w:cs="Arial"/>
          <w:sz w:val="20"/>
          <w:szCs w:val="20"/>
        </w:rPr>
        <w:tab/>
        <w:t>wzrost o 15,</w:t>
      </w:r>
      <w:r w:rsidR="00A424A3">
        <w:rPr>
          <w:rFonts w:ascii="Times New Roman" w:hAnsi="Times New Roman" w:cs="Arial"/>
          <w:sz w:val="20"/>
          <w:szCs w:val="20"/>
        </w:rPr>
        <w:t>6 mld zł (+1,5%) w porównaniu z </w:t>
      </w:r>
      <w:r w:rsidRPr="00FC3C00">
        <w:rPr>
          <w:rFonts w:ascii="Times New Roman" w:hAnsi="Times New Roman" w:cs="Arial"/>
          <w:sz w:val="20"/>
          <w:szCs w:val="20"/>
        </w:rPr>
        <w:t>końcem 2018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863193" w:rsidRPr="00863193" w:rsidTr="00ED05AB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863193" w:rsidRPr="00863193" w:rsidRDefault="00863193" w:rsidP="00863193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86319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863193" w:rsidRPr="00863193" w:rsidTr="00ED05AB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863193" w:rsidRPr="00863193" w:rsidRDefault="00863193" w:rsidP="00863193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863193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E4E4069" wp14:editId="7B09D5AE">
                  <wp:extent cx="2957885" cy="213801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120" cy="214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193" w:rsidRPr="00863193" w:rsidTr="00ED05AB">
        <w:tc>
          <w:tcPr>
            <w:tcW w:w="4680" w:type="dxa"/>
          </w:tcPr>
          <w:p w:rsidR="00863193" w:rsidRPr="00863193" w:rsidRDefault="00863193" w:rsidP="0086319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863193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FC3C00" w:rsidRPr="0061515D" w:rsidRDefault="00FC3C00" w:rsidP="00FC3C0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dług EDP złożyło się zadłużenie podsektorów:</w:t>
      </w:r>
    </w:p>
    <w:p w:rsidR="00FC3C00" w:rsidRPr="0061515D" w:rsidRDefault="00FC3C00" w:rsidP="00FC3C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rządowego 9</w:t>
      </w:r>
      <w:r>
        <w:rPr>
          <w:rFonts w:ascii="Times New Roman" w:hAnsi="Times New Roman"/>
          <w:sz w:val="20"/>
          <w:szCs w:val="20"/>
        </w:rPr>
        <w:t>68,7</w:t>
      </w:r>
      <w:r w:rsidRPr="0061515D">
        <w:rPr>
          <w:rFonts w:ascii="Times New Roman" w:hAnsi="Times New Roman"/>
          <w:sz w:val="20"/>
          <w:szCs w:val="20"/>
        </w:rPr>
        <w:t xml:space="preserve"> mld zł  (</w:t>
      </w: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6,1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> 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:rsidR="00FC3C00" w:rsidRPr="0061515D" w:rsidRDefault="00FC3C00" w:rsidP="00FC3C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samorządowego </w:t>
      </w:r>
      <w:r>
        <w:rPr>
          <w:rFonts w:ascii="Times New Roman" w:hAnsi="Times New Roman"/>
          <w:sz w:val="20"/>
          <w:szCs w:val="20"/>
        </w:rPr>
        <w:t>82,1</w:t>
      </w:r>
      <w:r w:rsidRPr="0061515D">
        <w:rPr>
          <w:rFonts w:ascii="Times New Roman" w:hAnsi="Times New Roman"/>
          <w:sz w:val="20"/>
          <w:szCs w:val="20"/>
        </w:rPr>
        <w:t> mld zł, (</w:t>
      </w: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1,1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 xml:space="preserve"> 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:rsidR="00FC3C00" w:rsidRPr="0061515D" w:rsidRDefault="00FC3C00" w:rsidP="00FC3C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FC3C00" w:rsidRPr="0061515D" w:rsidRDefault="00FC3C00" w:rsidP="00FC3C0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Zmiana długu EDP w </w:t>
      </w:r>
      <w:r>
        <w:rPr>
          <w:rFonts w:ascii="Times New Roman" w:hAnsi="Times New Roman"/>
          <w:sz w:val="20"/>
          <w:szCs w:val="20"/>
        </w:rPr>
        <w:t>II</w:t>
      </w:r>
      <w:r w:rsidRPr="0061515D">
        <w:rPr>
          <w:rFonts w:ascii="Times New Roman" w:hAnsi="Times New Roman"/>
          <w:sz w:val="20"/>
          <w:szCs w:val="20"/>
        </w:rPr>
        <w:t xml:space="preserve"> 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wynikała głównie ze zmian zadłużenia SP. Ponadto innymi znaczącymi czynnikami były:</w:t>
      </w:r>
    </w:p>
    <w:p w:rsidR="00FC3C00" w:rsidRPr="0061515D" w:rsidRDefault="00FC3C00" w:rsidP="00FC3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zadłużenia Krajowego Funduszu Drogowego (o </w:t>
      </w:r>
      <w:r>
        <w:rPr>
          <w:rFonts w:ascii="Times New Roman" w:hAnsi="Times New Roman"/>
          <w:sz w:val="20"/>
          <w:szCs w:val="20"/>
        </w:rPr>
        <w:t>0,4</w:t>
      </w:r>
      <w:r w:rsidRPr="0061515D">
        <w:rPr>
          <w:rFonts w:ascii="Times New Roman" w:hAnsi="Times New Roman"/>
          <w:sz w:val="20"/>
          <w:szCs w:val="20"/>
        </w:rPr>
        <w:t xml:space="preserve"> mld zł),</w:t>
      </w:r>
    </w:p>
    <w:p w:rsidR="00FC3C00" w:rsidRPr="0061515D" w:rsidRDefault="00FC3C00" w:rsidP="00FC3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A1E5A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mniejszenie </w:t>
      </w:r>
      <w:r w:rsidRPr="003A1E5A">
        <w:rPr>
          <w:rFonts w:ascii="Times New Roman" w:hAnsi="Times New Roman"/>
          <w:sz w:val="20"/>
          <w:szCs w:val="20"/>
        </w:rPr>
        <w:t>stanu portfela skarbowych papierów wartościowych (SPW) posiadanych przez Bankowy Fundusz Gwarancyjny (wraz z funduszami ochrony środków gwarantowanych) oraz fu</w:t>
      </w:r>
      <w:r>
        <w:rPr>
          <w:rFonts w:ascii="Times New Roman" w:hAnsi="Times New Roman"/>
          <w:sz w:val="20"/>
          <w:szCs w:val="20"/>
        </w:rPr>
        <w:t>nduszy umiejscowionych w BGK (w </w:t>
      </w:r>
      <w:r w:rsidRPr="003A1E5A">
        <w:rPr>
          <w:rFonts w:ascii="Times New Roman" w:hAnsi="Times New Roman"/>
          <w:sz w:val="20"/>
          <w:szCs w:val="20"/>
        </w:rPr>
        <w:t xml:space="preserve">tym KFD) </w:t>
      </w:r>
      <w:r>
        <w:rPr>
          <w:rFonts w:ascii="Times New Roman" w:hAnsi="Times New Roman"/>
          <w:sz w:val="20"/>
          <w:szCs w:val="20"/>
        </w:rPr>
        <w:t xml:space="preserve">łącznie </w:t>
      </w:r>
      <w:r w:rsidR="00A424A3">
        <w:rPr>
          <w:rFonts w:ascii="Times New Roman" w:hAnsi="Times New Roman"/>
          <w:sz w:val="20"/>
          <w:szCs w:val="20"/>
        </w:rPr>
        <w:lastRenderedPageBreak/>
        <w:t>o </w:t>
      </w:r>
      <w:r>
        <w:rPr>
          <w:rFonts w:ascii="Times New Roman" w:hAnsi="Times New Roman"/>
          <w:sz w:val="20"/>
          <w:szCs w:val="20"/>
        </w:rPr>
        <w:t>2,6</w:t>
      </w:r>
      <w:r w:rsidRPr="003A1E5A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</w:t>
      </w:r>
      <w:r w:rsidRPr="003A1E5A">
        <w:rPr>
          <w:rFonts w:ascii="Times New Roman" w:hAnsi="Times New Roman"/>
          <w:sz w:val="20"/>
          <w:szCs w:val="20"/>
        </w:rPr>
        <w:t xml:space="preserve"> zł, co łącznie spowodowało </w:t>
      </w:r>
      <w:r>
        <w:rPr>
          <w:rFonts w:ascii="Times New Roman" w:hAnsi="Times New Roman"/>
          <w:sz w:val="20"/>
          <w:szCs w:val="20"/>
        </w:rPr>
        <w:t>wzrost</w:t>
      </w:r>
      <w:r w:rsidRPr="003A1E5A">
        <w:rPr>
          <w:rFonts w:ascii="Times New Roman" w:hAnsi="Times New Roman"/>
          <w:sz w:val="20"/>
          <w:szCs w:val="20"/>
        </w:rPr>
        <w:t xml:space="preserve"> długu EDP w wyniku </w:t>
      </w:r>
      <w:r>
        <w:rPr>
          <w:rFonts w:ascii="Times New Roman" w:hAnsi="Times New Roman"/>
          <w:sz w:val="20"/>
          <w:szCs w:val="20"/>
        </w:rPr>
        <w:t>spadku</w:t>
      </w:r>
      <w:r w:rsidRPr="003A1E5A">
        <w:rPr>
          <w:rFonts w:ascii="Times New Roman" w:hAnsi="Times New Roman"/>
          <w:sz w:val="20"/>
          <w:szCs w:val="20"/>
        </w:rPr>
        <w:t xml:space="preserve"> konsolidacji wzajemnych zobowiązań sektora</w:t>
      </w:r>
      <w:r w:rsidRPr="0061515D">
        <w:rPr>
          <w:rFonts w:ascii="Times New Roman" w:hAnsi="Times New Roman"/>
          <w:sz w:val="20"/>
          <w:szCs w:val="20"/>
        </w:rPr>
        <w:t>,</w:t>
      </w:r>
    </w:p>
    <w:p w:rsidR="00FC3C00" w:rsidRPr="003A1E5A" w:rsidRDefault="00FC3C00" w:rsidP="00FC3C0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</w:t>
      </w:r>
      <w:r w:rsidRPr="00A5404E">
        <w:rPr>
          <w:rFonts w:ascii="Times New Roman" w:hAnsi="Times New Roman"/>
          <w:sz w:val="20"/>
          <w:szCs w:val="20"/>
        </w:rPr>
        <w:t xml:space="preserve"> zadłużenia wynikający z wyceny transakcji CIRS w rezultacie zmian kursów walut obcych</w:t>
      </w:r>
      <w:r w:rsidRPr="003A1E5A">
        <w:rPr>
          <w:rFonts w:ascii="Times New Roman" w:hAnsi="Times New Roman"/>
          <w:sz w:val="20"/>
          <w:szCs w:val="20"/>
        </w:rPr>
        <w:t xml:space="preserve"> (o 0,</w:t>
      </w:r>
      <w:r>
        <w:rPr>
          <w:rFonts w:ascii="Times New Roman" w:hAnsi="Times New Roman"/>
          <w:sz w:val="20"/>
          <w:szCs w:val="20"/>
        </w:rPr>
        <w:t>3</w:t>
      </w:r>
      <w:r w:rsidRPr="003A1E5A">
        <w:rPr>
          <w:rFonts w:ascii="Times New Roman" w:hAnsi="Times New Roman"/>
          <w:sz w:val="20"/>
          <w:szCs w:val="20"/>
        </w:rPr>
        <w:t xml:space="preserve"> mld zł).</w:t>
      </w:r>
    </w:p>
    <w:p w:rsidR="00FC3C00" w:rsidRPr="0061515D" w:rsidRDefault="00FC3C00" w:rsidP="00FC3C0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Największy udział w </w:t>
      </w:r>
      <w:r w:rsidRPr="0061515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61515D">
        <w:rPr>
          <w:rFonts w:ascii="Times New Roman" w:hAnsi="Times New Roman"/>
          <w:sz w:val="20"/>
          <w:szCs w:val="20"/>
        </w:rPr>
        <w:t>dług Skarbu Państwa (SP).</w:t>
      </w:r>
    </w:p>
    <w:p w:rsidR="00FC3C00" w:rsidRPr="0061515D" w:rsidRDefault="00FC3C00" w:rsidP="00FC3C0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Na koniec 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>I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dług SP wyniósł 9</w:t>
      </w:r>
      <w:r>
        <w:rPr>
          <w:rFonts w:ascii="Times New Roman" w:hAnsi="Times New Roman"/>
          <w:sz w:val="20"/>
          <w:szCs w:val="20"/>
        </w:rPr>
        <w:t>75,1</w:t>
      </w:r>
      <w:r w:rsidRPr="0061515D">
        <w:rPr>
          <w:rFonts w:ascii="Times New Roman" w:hAnsi="Times New Roman"/>
          <w:sz w:val="20"/>
          <w:szCs w:val="20"/>
        </w:rPr>
        <w:t xml:space="preserve"> mld zł, co oznaczało </w:t>
      </w: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3,9</w:t>
      </w:r>
      <w:r w:rsidRPr="0061515D">
        <w:rPr>
          <w:rFonts w:ascii="Times New Roman" w:hAnsi="Times New Roman"/>
          <w:sz w:val="20"/>
          <w:szCs w:val="20"/>
        </w:rPr>
        <w:t xml:space="preserve"> mld zł (</w:t>
      </w:r>
      <w:r>
        <w:rPr>
          <w:rFonts w:ascii="Times New Roman" w:hAnsi="Times New Roman"/>
          <w:sz w:val="20"/>
          <w:szCs w:val="20"/>
        </w:rPr>
        <w:t>0,4</w:t>
      </w:r>
      <w:r w:rsidRPr="0061515D">
        <w:rPr>
          <w:rFonts w:ascii="Times New Roman" w:hAnsi="Times New Roman"/>
          <w:sz w:val="20"/>
          <w:szCs w:val="20"/>
        </w:rPr>
        <w:t>%) względem poprzedniego kwartału.</w:t>
      </w:r>
    </w:p>
    <w:p w:rsidR="00FC3C00" w:rsidRPr="0061515D" w:rsidRDefault="00FC3C00" w:rsidP="00FC3C0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długu SP w 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>I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był przede wszystkim wypadkową:</w:t>
      </w:r>
    </w:p>
    <w:p w:rsidR="00FC3C00" w:rsidRPr="006E3E4F" w:rsidRDefault="00FC3C00" w:rsidP="00FC3C0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E3E4F">
        <w:rPr>
          <w:rFonts w:ascii="Times New Roman" w:hAnsi="Times New Roman"/>
          <w:sz w:val="20"/>
          <w:szCs w:val="20"/>
        </w:rPr>
        <w:t>potrzeb pożyczkowych netto budżetu państwa (-8,1 mld zł),</w:t>
      </w:r>
    </w:p>
    <w:p w:rsidR="00FC3C00" w:rsidRPr="006E3E4F" w:rsidRDefault="00FC3C00" w:rsidP="00FC3C0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E3E4F">
        <w:rPr>
          <w:rFonts w:ascii="Times New Roman" w:hAnsi="Times New Roman"/>
          <w:sz w:val="20"/>
          <w:szCs w:val="20"/>
        </w:rPr>
        <w:t>zwiększenia stanu środków na rachunkach budżetowych (2,7 mld zł),</w:t>
      </w:r>
    </w:p>
    <w:p w:rsidR="00FC3C00" w:rsidRPr="006E3E4F" w:rsidRDefault="00FC3C00" w:rsidP="00FC3C0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E3E4F">
        <w:rPr>
          <w:rFonts w:ascii="Times New Roman" w:hAnsi="Times New Roman"/>
          <w:sz w:val="20"/>
          <w:szCs w:val="20"/>
        </w:rPr>
        <w:t>różnic kursowych (-3,9 mld zł).</w:t>
      </w:r>
    </w:p>
    <w:p w:rsidR="00FC3C00" w:rsidRPr="0061515D" w:rsidRDefault="00FC3C00" w:rsidP="00FC3C0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koniec 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 xml:space="preserve">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udział długu w walutach obcych w całym długu SP wyniósł </w:t>
      </w:r>
      <w:r>
        <w:rPr>
          <w:rFonts w:ascii="Times New Roman" w:hAnsi="Times New Roman"/>
          <w:sz w:val="20"/>
          <w:szCs w:val="20"/>
        </w:rPr>
        <w:t>28,1</w:t>
      </w:r>
      <w:r w:rsidRPr="0061515D">
        <w:rPr>
          <w:rFonts w:ascii="Times New Roman" w:hAnsi="Times New Roman"/>
          <w:sz w:val="20"/>
          <w:szCs w:val="20"/>
        </w:rPr>
        <w:t xml:space="preserve">%, tj. </w:t>
      </w:r>
      <w:r>
        <w:rPr>
          <w:rFonts w:ascii="Times New Roman" w:hAnsi="Times New Roman"/>
          <w:sz w:val="20"/>
          <w:szCs w:val="20"/>
        </w:rPr>
        <w:t xml:space="preserve">spadł o 0,8 pp. </w:t>
      </w:r>
      <w:r w:rsidRPr="0061515D">
        <w:rPr>
          <w:rFonts w:ascii="Times New Roman" w:hAnsi="Times New Roman"/>
          <w:sz w:val="20"/>
          <w:szCs w:val="20"/>
        </w:rPr>
        <w:t>w stosunku do poprzedniego kwartału.</w:t>
      </w:r>
    </w:p>
    <w:p w:rsidR="00FC3C00" w:rsidRDefault="00FC3C00" w:rsidP="00FC3C0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Udział długu wobec nierezydentów w długu ogółem na koniec 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 xml:space="preserve">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wyniósł 4</w:t>
      </w:r>
      <w:r>
        <w:rPr>
          <w:rFonts w:ascii="Times New Roman" w:hAnsi="Times New Roman"/>
          <w:sz w:val="20"/>
          <w:szCs w:val="20"/>
        </w:rPr>
        <w:t>3,7</w:t>
      </w:r>
      <w:r w:rsidRPr="0061515D">
        <w:rPr>
          <w:rFonts w:ascii="Times New Roman" w:hAnsi="Times New Roman"/>
          <w:sz w:val="20"/>
          <w:szCs w:val="20"/>
        </w:rPr>
        <w:t xml:space="preserve">% wobec </w:t>
      </w:r>
      <w:r>
        <w:rPr>
          <w:rFonts w:ascii="Times New Roman" w:hAnsi="Times New Roman"/>
          <w:sz w:val="20"/>
          <w:szCs w:val="20"/>
        </w:rPr>
        <w:t>44,7</w:t>
      </w:r>
      <w:r w:rsidRPr="0061515D">
        <w:rPr>
          <w:rFonts w:ascii="Times New Roman" w:hAnsi="Times New Roman"/>
          <w:sz w:val="20"/>
          <w:szCs w:val="20"/>
        </w:rPr>
        <w:t>% na</w:t>
      </w:r>
      <w:r w:rsidRPr="0061515D">
        <w:t xml:space="preserve"> </w:t>
      </w:r>
      <w:r>
        <w:rPr>
          <w:rFonts w:ascii="Times New Roman" w:hAnsi="Times New Roman"/>
          <w:sz w:val="20"/>
          <w:szCs w:val="20"/>
        </w:rPr>
        <w:t>koniec poprzedniego kwartału.</w:t>
      </w:r>
    </w:p>
    <w:p w:rsidR="002209A3" w:rsidRPr="00FC3C00" w:rsidRDefault="002209A3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D321D9" w:rsidRPr="00FC3C00" w:rsidRDefault="00D321D9" w:rsidP="007F3038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2" w:name="_Toc22904044"/>
      <w:r w:rsidRPr="00FC3C00">
        <w:rPr>
          <w:rFonts w:ascii="Arial" w:hAnsi="Arial" w:cs="Arial"/>
          <w:i w:val="0"/>
          <w:color w:val="E31837"/>
          <w:sz w:val="20"/>
          <w:szCs w:val="20"/>
        </w:rPr>
        <w:t>2.2. Potrzeby pożyczkowe budżetu państwa</w:t>
      </w:r>
      <w:r w:rsidRPr="00FC3C00">
        <w:rPr>
          <w:rFonts w:ascii="Arial" w:hAnsi="Arial" w:cs="Arial"/>
          <w:i w:val="0"/>
          <w:color w:val="E31837"/>
          <w:sz w:val="20"/>
          <w:szCs w:val="20"/>
        </w:rPr>
        <w:br/>
        <w:t>i ich finansowanie w I</w:t>
      </w:r>
      <w:r w:rsidR="00FC3C00" w:rsidRPr="00FC3C00">
        <w:rPr>
          <w:rFonts w:ascii="Arial" w:hAnsi="Arial" w:cs="Arial"/>
          <w:i w:val="0"/>
          <w:color w:val="E31837"/>
          <w:sz w:val="20"/>
          <w:szCs w:val="20"/>
        </w:rPr>
        <w:t>I</w:t>
      </w:r>
      <w:r w:rsidRPr="00FC3C00">
        <w:rPr>
          <w:rFonts w:ascii="Arial" w:hAnsi="Arial" w:cs="Arial"/>
          <w:i w:val="0"/>
          <w:color w:val="E31837"/>
          <w:sz w:val="20"/>
          <w:szCs w:val="20"/>
        </w:rPr>
        <w:t xml:space="preserve"> kwartale 2019 r.</w:t>
      </w:r>
      <w:bookmarkEnd w:id="12"/>
    </w:p>
    <w:p w:rsidR="00FC3C00" w:rsidRDefault="00FC3C00" w:rsidP="00FC3C00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C0CA7">
        <w:rPr>
          <w:rFonts w:ascii="Times New Roman" w:hAnsi="Times New Roman"/>
          <w:sz w:val="20"/>
          <w:szCs w:val="20"/>
        </w:rPr>
        <w:t xml:space="preserve">Saldo potrzeb pożyczkowych netto budżetu państwa było ujemne i ukształtowało się na poziomie </w:t>
      </w:r>
      <w:r>
        <w:rPr>
          <w:rFonts w:ascii="Times New Roman" w:hAnsi="Times New Roman"/>
          <w:sz w:val="20"/>
          <w:szCs w:val="20"/>
        </w:rPr>
        <w:t>8</w:t>
      </w:r>
      <w:r w:rsidRPr="00AC0CA7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</w:t>
      </w:r>
      <w:r w:rsidRPr="00AC0CA7">
        <w:rPr>
          <w:rFonts w:ascii="Times New Roman" w:hAnsi="Times New Roman"/>
          <w:sz w:val="20"/>
          <w:szCs w:val="20"/>
        </w:rPr>
        <w:t> mld zł</w:t>
      </w:r>
      <w:r>
        <w:rPr>
          <w:rFonts w:ascii="Times New Roman" w:hAnsi="Times New Roman"/>
          <w:sz w:val="20"/>
          <w:szCs w:val="20"/>
        </w:rPr>
        <w:t>, w tym:</w:t>
      </w:r>
    </w:p>
    <w:p w:rsidR="00FC3C00" w:rsidRPr="00AC0CA7" w:rsidRDefault="00FC3C00" w:rsidP="00FC3C0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0CA7">
        <w:rPr>
          <w:rFonts w:ascii="Times New Roman" w:hAnsi="Times New Roman"/>
          <w:sz w:val="20"/>
          <w:szCs w:val="20"/>
        </w:rPr>
        <w:t>deficyt budżetu państwa</w:t>
      </w:r>
      <w:r>
        <w:rPr>
          <w:rFonts w:ascii="Times New Roman" w:hAnsi="Times New Roman"/>
          <w:sz w:val="20"/>
          <w:szCs w:val="20"/>
        </w:rPr>
        <w:t xml:space="preserve"> wyniósł</w:t>
      </w:r>
      <w:r w:rsidRPr="00AC0C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0,6</w:t>
      </w:r>
      <w:r w:rsidRPr="00AC0CA7">
        <w:rPr>
          <w:rFonts w:ascii="Times New Roman" w:hAnsi="Times New Roman"/>
          <w:sz w:val="20"/>
          <w:szCs w:val="20"/>
        </w:rPr>
        <w:t xml:space="preserve"> mld zł,</w:t>
      </w:r>
    </w:p>
    <w:p w:rsidR="00FC3C00" w:rsidRPr="00AC0CA7" w:rsidRDefault="00FC3C00" w:rsidP="00FC3C0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0CA7">
        <w:rPr>
          <w:rFonts w:ascii="Times New Roman" w:hAnsi="Times New Roman"/>
          <w:sz w:val="20"/>
          <w:szCs w:val="20"/>
        </w:rPr>
        <w:t xml:space="preserve">pozostałe pozycje wpływały na pomniejszenie potrzeb w wysokości </w:t>
      </w:r>
      <w:r>
        <w:rPr>
          <w:rFonts w:ascii="Times New Roman" w:hAnsi="Times New Roman"/>
          <w:sz w:val="20"/>
          <w:szCs w:val="20"/>
        </w:rPr>
        <w:t>8,6</w:t>
      </w:r>
      <w:r w:rsidRPr="00AC0CA7">
        <w:rPr>
          <w:rFonts w:ascii="Times New Roman" w:hAnsi="Times New Roman"/>
          <w:sz w:val="20"/>
          <w:szCs w:val="20"/>
        </w:rPr>
        <w:t xml:space="preserve"> mld zł, w tym: zarządzani</w:t>
      </w:r>
      <w:r>
        <w:rPr>
          <w:rFonts w:ascii="Times New Roman" w:hAnsi="Times New Roman"/>
          <w:sz w:val="20"/>
          <w:szCs w:val="20"/>
        </w:rPr>
        <w:t>e</w:t>
      </w:r>
      <w:r w:rsidRPr="00AC0CA7">
        <w:rPr>
          <w:rFonts w:ascii="Times New Roman" w:hAnsi="Times New Roman"/>
          <w:sz w:val="20"/>
          <w:szCs w:val="20"/>
        </w:rPr>
        <w:t xml:space="preserve"> płynnością</w:t>
      </w:r>
      <w:r>
        <w:rPr>
          <w:rFonts w:ascii="Times New Roman" w:hAnsi="Times New Roman"/>
          <w:sz w:val="20"/>
          <w:szCs w:val="20"/>
        </w:rPr>
        <w:t xml:space="preserve"> sektora finansów publicznych (5</w:t>
      </w:r>
      <w:r w:rsidRPr="00AC0CA7">
        <w:rPr>
          <w:rFonts w:ascii="Times New Roman" w:hAnsi="Times New Roman"/>
          <w:sz w:val="20"/>
          <w:szCs w:val="20"/>
        </w:rPr>
        <w:t>,4 mld zł)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C0CA7">
        <w:rPr>
          <w:rFonts w:ascii="Times New Roman" w:hAnsi="Times New Roman"/>
          <w:sz w:val="20"/>
          <w:szCs w:val="20"/>
        </w:rPr>
        <w:t>zarz</w:t>
      </w:r>
      <w:r>
        <w:rPr>
          <w:rFonts w:ascii="Times New Roman" w:hAnsi="Times New Roman"/>
          <w:sz w:val="20"/>
          <w:szCs w:val="20"/>
        </w:rPr>
        <w:t>ądzanie środkami europejskimi (2,8</w:t>
      </w:r>
      <w:r w:rsidRPr="00AC0CA7">
        <w:rPr>
          <w:rFonts w:ascii="Times New Roman" w:hAnsi="Times New Roman"/>
          <w:sz w:val="20"/>
          <w:szCs w:val="20"/>
        </w:rPr>
        <w:t xml:space="preserve"> mld zł), oraz saldo pozosta</w:t>
      </w:r>
      <w:r>
        <w:rPr>
          <w:rFonts w:ascii="Times New Roman" w:hAnsi="Times New Roman"/>
          <w:sz w:val="20"/>
          <w:szCs w:val="20"/>
        </w:rPr>
        <w:t>łych przychodów i rozchodów (0,3</w:t>
      </w:r>
      <w:r w:rsidRPr="00AC0CA7">
        <w:rPr>
          <w:rFonts w:ascii="Times New Roman" w:hAnsi="Times New Roman"/>
          <w:sz w:val="20"/>
          <w:szCs w:val="20"/>
        </w:rPr>
        <w:t xml:space="preserve"> mld zł)</w:t>
      </w:r>
      <w:r>
        <w:rPr>
          <w:rFonts w:ascii="Times New Roman" w:hAnsi="Times New Roman"/>
          <w:sz w:val="20"/>
          <w:szCs w:val="20"/>
        </w:rPr>
        <w:t>.</w:t>
      </w:r>
    </w:p>
    <w:p w:rsidR="00FC3C00" w:rsidRPr="00FC3C00" w:rsidRDefault="00FC3C00" w:rsidP="00FC3C00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962535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</w:t>
      </w:r>
      <w:r>
        <w:rPr>
          <w:rFonts w:ascii="Times New Roman" w:hAnsi="Times New Roman"/>
          <w:sz w:val="20"/>
          <w:szCs w:val="20"/>
        </w:rPr>
        <w:t>26</w:t>
      </w:r>
      <w:r w:rsidRPr="0096253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6</w:t>
      </w:r>
      <w:r w:rsidRPr="00962535">
        <w:rPr>
          <w:rFonts w:ascii="Times New Roman" w:hAnsi="Times New Roman"/>
          <w:sz w:val="20"/>
          <w:szCs w:val="20"/>
        </w:rPr>
        <w:t> mld zł, w tym krajowego 2</w:t>
      </w:r>
      <w:r>
        <w:rPr>
          <w:rFonts w:ascii="Times New Roman" w:hAnsi="Times New Roman"/>
          <w:sz w:val="20"/>
          <w:szCs w:val="20"/>
        </w:rPr>
        <w:t>1</w:t>
      </w:r>
      <w:r w:rsidRPr="0096253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5</w:t>
      </w:r>
      <w:r w:rsidR="00A424A3">
        <w:rPr>
          <w:rFonts w:ascii="Times New Roman" w:hAnsi="Times New Roman"/>
          <w:sz w:val="20"/>
          <w:szCs w:val="20"/>
        </w:rPr>
        <w:t> mld zł, a </w:t>
      </w:r>
      <w:r w:rsidRPr="00962535">
        <w:rPr>
          <w:rFonts w:ascii="Times New Roman" w:hAnsi="Times New Roman"/>
          <w:sz w:val="20"/>
          <w:szCs w:val="20"/>
        </w:rPr>
        <w:t xml:space="preserve">zagranicznego </w:t>
      </w:r>
      <w:r>
        <w:rPr>
          <w:rFonts w:ascii="Times New Roman" w:hAnsi="Times New Roman"/>
          <w:sz w:val="20"/>
          <w:szCs w:val="20"/>
        </w:rPr>
        <w:t>5</w:t>
      </w:r>
      <w:r w:rsidRPr="0096253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1</w:t>
      </w:r>
      <w:r w:rsidRPr="00962535">
        <w:rPr>
          <w:rFonts w:ascii="Times New Roman" w:hAnsi="Times New Roman"/>
          <w:sz w:val="20"/>
          <w:szCs w:val="20"/>
        </w:rPr>
        <w:t xml:space="preserve"> mld zł. </w:t>
      </w:r>
      <w:r w:rsidRPr="0027793D">
        <w:rPr>
          <w:rFonts w:ascii="Times New Roman" w:hAnsi="Times New Roman"/>
          <w:b/>
          <w:sz w:val="20"/>
          <w:szCs w:val="20"/>
        </w:rPr>
        <w:t>Potrzeby pożyczkowe brutto</w:t>
      </w:r>
      <w:r w:rsidRPr="0027793D">
        <w:rPr>
          <w:rFonts w:ascii="Times New Roman" w:hAnsi="Times New Roman"/>
          <w:sz w:val="20"/>
          <w:szCs w:val="20"/>
        </w:rPr>
        <w:t xml:space="preserve">, tj. suma potrzeb netto </w:t>
      </w:r>
      <w:r w:rsidRPr="004279C0">
        <w:rPr>
          <w:rFonts w:ascii="Times New Roman" w:hAnsi="Times New Roman"/>
          <w:sz w:val="20"/>
          <w:szCs w:val="20"/>
        </w:rPr>
        <w:t xml:space="preserve">i długu przypadającego do wykupu, wyniosły </w:t>
      </w:r>
      <w:r>
        <w:rPr>
          <w:rFonts w:ascii="Times New Roman" w:hAnsi="Times New Roman"/>
          <w:sz w:val="20"/>
          <w:szCs w:val="20"/>
        </w:rPr>
        <w:t>18</w:t>
      </w:r>
      <w:r w:rsidRPr="004279C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6</w:t>
      </w:r>
      <w:r w:rsidRPr="004279C0">
        <w:rPr>
          <w:rFonts w:ascii="Times New Roman" w:hAnsi="Times New Roman"/>
          <w:sz w:val="20"/>
          <w:szCs w:val="20"/>
        </w:rPr>
        <w:t> mld zł. Po uwzględnieniu przedterminowych odkupów, wykup długu wyniósł 3</w:t>
      </w:r>
      <w:r>
        <w:rPr>
          <w:rFonts w:ascii="Times New Roman" w:hAnsi="Times New Roman"/>
          <w:sz w:val="20"/>
          <w:szCs w:val="20"/>
        </w:rPr>
        <w:t>3</w:t>
      </w:r>
      <w:r w:rsidRPr="004279C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4</w:t>
      </w:r>
      <w:r w:rsidRPr="004279C0">
        <w:rPr>
          <w:rFonts w:ascii="Times New Roman" w:hAnsi="Times New Roman"/>
          <w:sz w:val="20"/>
          <w:szCs w:val="20"/>
        </w:rPr>
        <w:t xml:space="preserve"> mld zł (w tym krajowego </w:t>
      </w:r>
      <w:r>
        <w:rPr>
          <w:rFonts w:ascii="Times New Roman" w:hAnsi="Times New Roman"/>
          <w:sz w:val="20"/>
          <w:szCs w:val="20"/>
        </w:rPr>
        <w:t>28</w:t>
      </w:r>
      <w:r w:rsidRPr="004279C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4279C0">
        <w:rPr>
          <w:rFonts w:ascii="Times New Roman" w:hAnsi="Times New Roman"/>
          <w:sz w:val="20"/>
          <w:szCs w:val="20"/>
        </w:rPr>
        <w:t xml:space="preserve"> mld </w:t>
      </w:r>
      <w:r w:rsidRPr="004279C0">
        <w:rPr>
          <w:rFonts w:ascii="Times New Roman" w:hAnsi="Times New Roman"/>
          <w:sz w:val="20"/>
          <w:szCs w:val="20"/>
        </w:rPr>
        <w:lastRenderedPageBreak/>
        <w:t xml:space="preserve">zł  i zagranicznego </w:t>
      </w:r>
      <w:r>
        <w:rPr>
          <w:rFonts w:ascii="Times New Roman" w:hAnsi="Times New Roman"/>
          <w:sz w:val="20"/>
          <w:szCs w:val="20"/>
        </w:rPr>
        <w:t>5</w:t>
      </w:r>
      <w:r w:rsidRPr="004279C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1</w:t>
      </w:r>
      <w:r w:rsidRPr="004279C0">
        <w:rPr>
          <w:rFonts w:ascii="Times New Roman" w:hAnsi="Times New Roman"/>
          <w:sz w:val="20"/>
          <w:szCs w:val="20"/>
        </w:rPr>
        <w:t xml:space="preserve"> mld zł).</w:t>
      </w:r>
    </w:p>
    <w:p w:rsidR="00FC3C00" w:rsidRPr="00D93A1A" w:rsidRDefault="00FC3C00" w:rsidP="00FC3C00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:rsidR="00FC3C00" w:rsidRPr="00D93A1A" w:rsidRDefault="00FC3C00" w:rsidP="00FC3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>na rynku krajowym środki pozyskano z emisji:</w:t>
      </w:r>
    </w:p>
    <w:p w:rsidR="00FC3C00" w:rsidRPr="00D93A1A" w:rsidRDefault="00FC3C00" w:rsidP="00FC3C00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 xml:space="preserve">obligacji hurtowych: </w:t>
      </w:r>
      <w:r>
        <w:rPr>
          <w:rFonts w:ascii="Times New Roman" w:hAnsi="Times New Roman"/>
          <w:sz w:val="20"/>
          <w:szCs w:val="20"/>
        </w:rPr>
        <w:t>24</w:t>
      </w:r>
      <w:r w:rsidRPr="00D93A1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2</w:t>
      </w:r>
      <w:r w:rsidRPr="00D93A1A">
        <w:rPr>
          <w:rFonts w:ascii="Times New Roman" w:hAnsi="Times New Roman"/>
          <w:sz w:val="20"/>
          <w:szCs w:val="20"/>
        </w:rPr>
        <w:t> mld zł,</w:t>
      </w:r>
    </w:p>
    <w:p w:rsidR="00FC3C00" w:rsidRPr="00D93A1A" w:rsidRDefault="00FC3C00" w:rsidP="00FC3C00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 xml:space="preserve">obligacji detalicznych: </w:t>
      </w:r>
      <w:r>
        <w:rPr>
          <w:rFonts w:ascii="Times New Roman" w:hAnsi="Times New Roman"/>
          <w:sz w:val="20"/>
          <w:szCs w:val="20"/>
        </w:rPr>
        <w:t>2</w:t>
      </w:r>
      <w:r w:rsidRPr="00D93A1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7</w:t>
      </w:r>
      <w:r w:rsidRPr="00D93A1A">
        <w:rPr>
          <w:rFonts w:ascii="Times New Roman" w:hAnsi="Times New Roman"/>
          <w:sz w:val="20"/>
          <w:szCs w:val="20"/>
        </w:rPr>
        <w:t> mld zł,</w:t>
      </w:r>
    </w:p>
    <w:p w:rsidR="00FC3C00" w:rsidRPr="009816C2" w:rsidRDefault="00FC3C00" w:rsidP="00FC3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>n</w:t>
      </w:r>
      <w:r w:rsidRPr="00D93A1A">
        <w:rPr>
          <w:rFonts w:ascii="Times New Roman" w:hAnsi="Times New Roman" w:cs="Arial"/>
          <w:sz w:val="20"/>
          <w:szCs w:val="20"/>
        </w:rPr>
        <w:t xml:space="preserve">a rynkach </w:t>
      </w:r>
      <w:r w:rsidRPr="00D93A1A">
        <w:rPr>
          <w:rFonts w:ascii="Times New Roman" w:hAnsi="Times New Roman"/>
          <w:sz w:val="20"/>
          <w:szCs w:val="20"/>
        </w:rPr>
        <w:t>zagranicznych</w:t>
      </w:r>
      <w:r w:rsidRPr="00D93A1A">
        <w:rPr>
          <w:rFonts w:ascii="Times New Roman" w:hAnsi="Times New Roman" w:cs="Arial"/>
          <w:sz w:val="20"/>
          <w:szCs w:val="20"/>
        </w:rPr>
        <w:t xml:space="preserve"> środki pozyskano </w:t>
      </w:r>
      <w:r w:rsidRPr="00A424A3">
        <w:t>z</w:t>
      </w:r>
      <w:r w:rsidR="002D0B26">
        <w:t> </w:t>
      </w:r>
      <w:r w:rsidRPr="00A424A3">
        <w:t>kredytów</w:t>
      </w:r>
      <w:r w:rsidRPr="009816C2">
        <w:rPr>
          <w:rFonts w:ascii="Times New Roman" w:hAnsi="Times New Roman"/>
          <w:sz w:val="20"/>
          <w:szCs w:val="20"/>
        </w:rPr>
        <w:t xml:space="preserve"> w międzynarodowych instytucjach finansowych</w:t>
      </w:r>
      <w:r w:rsidRPr="009816C2">
        <w:rPr>
          <w:rFonts w:ascii="Times New Roman" w:hAnsi="Times New Roman" w:cs="Arial"/>
          <w:sz w:val="20"/>
          <w:szCs w:val="20"/>
        </w:rPr>
        <w:t>: 0,039 mld zł (0,009 mld EUR)</w:t>
      </w:r>
      <w:r w:rsidRPr="009816C2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199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F93774" w:rsidRPr="00863193" w:rsidTr="00F93774">
        <w:trPr>
          <w:gridAfter w:val="1"/>
          <w:wAfter w:w="38" w:type="dxa"/>
          <w:trHeight w:val="611"/>
        </w:trPr>
        <w:tc>
          <w:tcPr>
            <w:tcW w:w="4515" w:type="dxa"/>
          </w:tcPr>
          <w:p w:rsidR="00F93774" w:rsidRPr="00863193" w:rsidRDefault="00F93774" w:rsidP="00F93774">
            <w:pPr>
              <w:keepNext/>
              <w:spacing w:before="120" w:after="0" w:line="288" w:lineRule="auto"/>
              <w:rPr>
                <w:bCs/>
                <w:sz w:val="18"/>
                <w:szCs w:val="18"/>
              </w:rPr>
            </w:pPr>
            <w:r w:rsidRPr="0086319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Wyk.7. Rentowności SPW – rynek wtórny</w:t>
            </w:r>
          </w:p>
        </w:tc>
      </w:tr>
      <w:tr w:rsidR="00F93774" w:rsidRPr="00863193" w:rsidTr="00F93774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F93774" w:rsidRPr="00863193" w:rsidRDefault="00F93774" w:rsidP="00F93774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 w:rsidRPr="00863193">
              <w:rPr>
                <w:b/>
                <w:noProof/>
              </w:rPr>
              <w:drawing>
                <wp:inline distT="0" distB="0" distL="0" distR="0" wp14:anchorId="5FCA84B2" wp14:editId="7751860A">
                  <wp:extent cx="2799080" cy="1979930"/>
                  <wp:effectExtent l="0" t="0" r="1270" b="127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774" w:rsidRPr="00E23130" w:rsidTr="00F93774">
        <w:trPr>
          <w:gridAfter w:val="1"/>
          <w:wAfter w:w="38" w:type="dxa"/>
          <w:trHeight w:val="144"/>
        </w:trPr>
        <w:tc>
          <w:tcPr>
            <w:tcW w:w="4515" w:type="dxa"/>
          </w:tcPr>
          <w:p w:rsidR="00F93774" w:rsidRPr="00863193" w:rsidRDefault="00F93774" w:rsidP="00F93774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 w:rsidRPr="00863193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FC3C00" w:rsidRPr="00521157" w:rsidRDefault="00FC3C00" w:rsidP="00FC3C00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521157">
        <w:rPr>
          <w:rFonts w:ascii="Times New Roman" w:hAnsi="Times New Roman"/>
          <w:sz w:val="20"/>
          <w:szCs w:val="20"/>
        </w:rPr>
        <w:t>W I</w:t>
      </w:r>
      <w:r>
        <w:rPr>
          <w:rFonts w:ascii="Times New Roman" w:hAnsi="Times New Roman"/>
          <w:sz w:val="20"/>
          <w:szCs w:val="20"/>
        </w:rPr>
        <w:t>I</w:t>
      </w:r>
      <w:r w:rsidRPr="00521157">
        <w:rPr>
          <w:rFonts w:ascii="Times New Roman" w:hAnsi="Times New Roman"/>
          <w:sz w:val="20"/>
          <w:szCs w:val="20"/>
        </w:rPr>
        <w:t xml:space="preserve"> kw. 2019 r. nastąpił:</w:t>
      </w:r>
    </w:p>
    <w:p w:rsidR="00FC3C00" w:rsidRPr="00521157" w:rsidRDefault="00FC3C00" w:rsidP="00BE6EC1">
      <w:pPr>
        <w:pStyle w:val="Akapitzlist"/>
        <w:numPr>
          <w:ilvl w:val="0"/>
          <w:numId w:val="7"/>
        </w:numPr>
        <w:spacing w:before="6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21157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FC3C00" w:rsidRPr="00521157" w:rsidRDefault="00FC3C00" w:rsidP="00BE6EC1">
      <w:pPr>
        <w:pStyle w:val="Akapitzlist"/>
        <w:spacing w:after="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21157">
        <w:rPr>
          <w:rFonts w:ascii="Times New Roman" w:hAnsi="Times New Roman"/>
          <w:sz w:val="20"/>
          <w:szCs w:val="20"/>
        </w:rPr>
        <w:t xml:space="preserve">wzrost środków na rachunkach budżetowych </w:t>
      </w:r>
      <w:r w:rsidRPr="007815DB">
        <w:rPr>
          <w:rFonts w:ascii="Times New Roman" w:hAnsi="Times New Roman"/>
          <w:sz w:val="20"/>
          <w:szCs w:val="20"/>
        </w:rPr>
        <w:t>o 2,4 mld zł do 66,1 mld zł,</w:t>
      </w:r>
      <w:r w:rsidRPr="00521157">
        <w:rPr>
          <w:rFonts w:ascii="Times New Roman" w:hAnsi="Times New Roman"/>
          <w:sz w:val="20"/>
          <w:szCs w:val="20"/>
        </w:rPr>
        <w:t xml:space="preserve"> </w:t>
      </w:r>
    </w:p>
    <w:p w:rsidR="00FC3C00" w:rsidRPr="00773550" w:rsidRDefault="00FC3C00" w:rsidP="00FC3C00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73550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FC3C00" w:rsidRPr="00773550" w:rsidRDefault="00FC3C00" w:rsidP="00BE6EC1">
      <w:pPr>
        <w:pStyle w:val="Akapitzlist"/>
        <w:spacing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73550">
        <w:rPr>
          <w:rFonts w:ascii="Times New Roman" w:hAnsi="Times New Roman"/>
          <w:sz w:val="20"/>
          <w:szCs w:val="20"/>
        </w:rPr>
        <w:t xml:space="preserve">wzrost zadłużenia wobec </w:t>
      </w:r>
      <w:r w:rsidRPr="007815DB">
        <w:rPr>
          <w:rFonts w:ascii="Times New Roman" w:hAnsi="Times New Roman"/>
          <w:sz w:val="20"/>
          <w:szCs w:val="20"/>
        </w:rPr>
        <w:t xml:space="preserve">banków o 3,0 mld zł oraz krajowego sektora </w:t>
      </w:r>
      <w:proofErr w:type="spellStart"/>
      <w:r w:rsidRPr="007815DB">
        <w:rPr>
          <w:rFonts w:ascii="Times New Roman" w:hAnsi="Times New Roman"/>
          <w:sz w:val="20"/>
          <w:szCs w:val="20"/>
        </w:rPr>
        <w:t>pozabankowego</w:t>
      </w:r>
      <w:proofErr w:type="spellEnd"/>
      <w:r w:rsidRPr="007815DB">
        <w:rPr>
          <w:rFonts w:ascii="Times New Roman" w:hAnsi="Times New Roman"/>
          <w:sz w:val="20"/>
          <w:szCs w:val="20"/>
        </w:rPr>
        <w:t xml:space="preserve"> o 1,8 mld zł, przy spadku zadłużenia wobec nierezydentów o 2,1 mld</w:t>
      </w:r>
      <w:r w:rsidRPr="00773550">
        <w:rPr>
          <w:rFonts w:ascii="Times New Roman" w:hAnsi="Times New Roman"/>
          <w:sz w:val="20"/>
          <w:szCs w:val="20"/>
        </w:rPr>
        <w:t xml:space="preserve"> zł,</w:t>
      </w:r>
    </w:p>
    <w:p w:rsidR="00FC3C00" w:rsidRPr="003F312F" w:rsidRDefault="00FC3C00" w:rsidP="00FC3C00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F312F">
        <w:rPr>
          <w:rFonts w:ascii="Times New Roman" w:hAnsi="Times New Roman"/>
          <w:sz w:val="20"/>
          <w:szCs w:val="20"/>
        </w:rPr>
        <w:t>na rynku polskich obligacji:</w:t>
      </w:r>
    </w:p>
    <w:p w:rsidR="00FC3C00" w:rsidRPr="003F312F" w:rsidRDefault="00FC3C00" w:rsidP="00BE6EC1">
      <w:pPr>
        <w:widowControl w:val="0"/>
        <w:numPr>
          <w:ilvl w:val="0"/>
          <w:numId w:val="1"/>
        </w:numPr>
        <w:tabs>
          <w:tab w:val="clear" w:pos="360"/>
        </w:tabs>
        <w:spacing w:before="60" w:after="6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3F312F">
        <w:rPr>
          <w:rFonts w:ascii="Times New Roman" w:hAnsi="Times New Roman"/>
          <w:sz w:val="20"/>
          <w:szCs w:val="20"/>
        </w:rPr>
        <w:t xml:space="preserve">na rynku krajowym: </w:t>
      </w:r>
      <w:r>
        <w:rPr>
          <w:rFonts w:ascii="Times New Roman" w:hAnsi="Times New Roman"/>
          <w:sz w:val="20"/>
          <w:szCs w:val="20"/>
        </w:rPr>
        <w:t>spadek rentowności wzdłuż całej</w:t>
      </w:r>
      <w:r w:rsidRPr="003F312F">
        <w:rPr>
          <w:rFonts w:ascii="Times New Roman" w:hAnsi="Times New Roman"/>
          <w:sz w:val="20"/>
          <w:szCs w:val="20"/>
        </w:rPr>
        <w:t xml:space="preserve"> krzywej</w:t>
      </w:r>
      <w:r>
        <w:rPr>
          <w:rFonts w:ascii="Times New Roman" w:hAnsi="Times New Roman"/>
          <w:sz w:val="20"/>
          <w:szCs w:val="20"/>
        </w:rPr>
        <w:t xml:space="preserve"> dochodowości</w:t>
      </w:r>
      <w:r w:rsidRPr="003F312F">
        <w:rPr>
          <w:rFonts w:ascii="Times New Roman" w:hAnsi="Times New Roman"/>
          <w:sz w:val="20"/>
          <w:szCs w:val="20"/>
        </w:rPr>
        <w:t xml:space="preserve"> - na koniec kwartału rentowności</w:t>
      </w:r>
      <w:r w:rsidRPr="003F312F" w:rsidDel="0064738C">
        <w:rPr>
          <w:rFonts w:ascii="Times New Roman" w:hAnsi="Times New Roman"/>
          <w:sz w:val="20"/>
          <w:szCs w:val="20"/>
        </w:rPr>
        <w:t xml:space="preserve"> </w:t>
      </w:r>
      <w:r w:rsidRPr="003F312F">
        <w:rPr>
          <w:rFonts w:ascii="Times New Roman" w:hAnsi="Times New Roman"/>
          <w:sz w:val="20"/>
          <w:szCs w:val="20"/>
        </w:rPr>
        <w:t>obligacji 2-, 5- i 10-letnich wyniosły odpowiednio 1,</w:t>
      </w:r>
      <w:r>
        <w:rPr>
          <w:rFonts w:ascii="Times New Roman" w:hAnsi="Times New Roman"/>
          <w:sz w:val="20"/>
          <w:szCs w:val="20"/>
        </w:rPr>
        <w:t>6</w:t>
      </w:r>
      <w:r w:rsidRPr="003F312F">
        <w:rPr>
          <w:rFonts w:ascii="Times New Roman" w:hAnsi="Times New Roman"/>
          <w:sz w:val="20"/>
          <w:szCs w:val="20"/>
        </w:rPr>
        <w:t>% (</w:t>
      </w:r>
      <w:r>
        <w:rPr>
          <w:rFonts w:ascii="Times New Roman" w:hAnsi="Times New Roman"/>
          <w:sz w:val="20"/>
          <w:szCs w:val="20"/>
        </w:rPr>
        <w:t>-</w:t>
      </w:r>
      <w:r w:rsidRPr="003F312F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1</w:t>
      </w:r>
      <w:r w:rsidRPr="003F31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F312F">
        <w:rPr>
          <w:rFonts w:ascii="Times New Roman" w:hAnsi="Times New Roman"/>
          <w:sz w:val="20"/>
          <w:szCs w:val="20"/>
        </w:rPr>
        <w:t>p.p</w:t>
      </w:r>
      <w:proofErr w:type="spellEnd"/>
      <w:r w:rsidRPr="003F312F">
        <w:rPr>
          <w:rFonts w:ascii="Times New Roman" w:hAnsi="Times New Roman"/>
          <w:sz w:val="20"/>
          <w:szCs w:val="20"/>
        </w:rPr>
        <w:t>.), 2,</w:t>
      </w:r>
      <w:r>
        <w:rPr>
          <w:rFonts w:ascii="Times New Roman" w:hAnsi="Times New Roman"/>
          <w:sz w:val="20"/>
          <w:szCs w:val="20"/>
        </w:rPr>
        <w:t>0</w:t>
      </w:r>
      <w:r w:rsidRPr="003F312F">
        <w:rPr>
          <w:rFonts w:ascii="Times New Roman" w:hAnsi="Times New Roman"/>
          <w:sz w:val="20"/>
          <w:szCs w:val="20"/>
        </w:rPr>
        <w:t>% (-0,</w:t>
      </w:r>
      <w:r>
        <w:rPr>
          <w:rFonts w:ascii="Times New Roman" w:hAnsi="Times New Roman"/>
          <w:sz w:val="20"/>
          <w:szCs w:val="20"/>
        </w:rPr>
        <w:t>2</w:t>
      </w:r>
      <w:r w:rsidRPr="003F31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F312F">
        <w:rPr>
          <w:rFonts w:ascii="Times New Roman" w:hAnsi="Times New Roman"/>
          <w:sz w:val="20"/>
          <w:szCs w:val="20"/>
        </w:rPr>
        <w:t>p.p</w:t>
      </w:r>
      <w:proofErr w:type="spellEnd"/>
      <w:r w:rsidRPr="003F312F">
        <w:rPr>
          <w:rFonts w:ascii="Times New Roman" w:hAnsi="Times New Roman"/>
          <w:sz w:val="20"/>
          <w:szCs w:val="20"/>
        </w:rPr>
        <w:t>.) oraz 2,</w:t>
      </w:r>
      <w:r>
        <w:rPr>
          <w:rFonts w:ascii="Times New Roman" w:hAnsi="Times New Roman"/>
          <w:sz w:val="20"/>
          <w:szCs w:val="20"/>
        </w:rPr>
        <w:t>4</w:t>
      </w:r>
      <w:r w:rsidRPr="003F312F">
        <w:rPr>
          <w:rFonts w:ascii="Times New Roman" w:hAnsi="Times New Roman"/>
          <w:sz w:val="20"/>
          <w:szCs w:val="20"/>
        </w:rPr>
        <w:t>% (</w:t>
      </w:r>
      <w:r>
        <w:rPr>
          <w:rFonts w:ascii="Times New Roman" w:hAnsi="Times New Roman"/>
          <w:sz w:val="20"/>
          <w:szCs w:val="20"/>
        </w:rPr>
        <w:t xml:space="preserve">-0,4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3F312F">
        <w:rPr>
          <w:rFonts w:ascii="Times New Roman" w:hAnsi="Times New Roman"/>
          <w:sz w:val="20"/>
          <w:szCs w:val="20"/>
        </w:rPr>
        <w:t>),</w:t>
      </w:r>
    </w:p>
    <w:p w:rsidR="00FC3C00" w:rsidRPr="003322F4" w:rsidRDefault="00FC3C00" w:rsidP="00FC3C00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3322F4">
        <w:rPr>
          <w:rFonts w:ascii="Times New Roman" w:hAnsi="Times New Roman"/>
          <w:sz w:val="20"/>
          <w:szCs w:val="20"/>
        </w:rPr>
        <w:t>na rynku obligacji w euro: spadek rentowności wzdłuż całej krzywej dochodowości: na koniec kwartału rentowności obligacji 2-, 5- i 10-letnich wyniosły odpowie</w:t>
      </w:r>
      <w:r w:rsidRPr="003322F4">
        <w:rPr>
          <w:rFonts w:ascii="Times New Roman" w:hAnsi="Times New Roman"/>
          <w:sz w:val="20"/>
          <w:szCs w:val="20"/>
        </w:rPr>
        <w:softHyphen/>
        <w:t>dnio -0,</w:t>
      </w:r>
      <w:r>
        <w:rPr>
          <w:rFonts w:ascii="Times New Roman" w:hAnsi="Times New Roman"/>
          <w:sz w:val="20"/>
          <w:szCs w:val="20"/>
        </w:rPr>
        <w:t>3</w:t>
      </w:r>
      <w:r w:rsidRPr="003322F4">
        <w:rPr>
          <w:rFonts w:ascii="Times New Roman" w:hAnsi="Times New Roman"/>
          <w:sz w:val="20"/>
          <w:szCs w:val="20"/>
        </w:rPr>
        <w:t>% (</w:t>
      </w:r>
      <w:r>
        <w:rPr>
          <w:rFonts w:ascii="Times New Roman" w:hAnsi="Times New Roman"/>
          <w:sz w:val="20"/>
          <w:szCs w:val="20"/>
        </w:rPr>
        <w:t xml:space="preserve">-0,2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3322F4">
        <w:rPr>
          <w:rFonts w:ascii="Times New Roman" w:hAnsi="Times New Roman"/>
          <w:sz w:val="20"/>
          <w:szCs w:val="20"/>
        </w:rPr>
        <w:t xml:space="preserve">), </w:t>
      </w:r>
      <w:r>
        <w:rPr>
          <w:rFonts w:ascii="Times New Roman" w:hAnsi="Times New Roman"/>
          <w:sz w:val="20"/>
          <w:szCs w:val="20"/>
        </w:rPr>
        <w:t>-</w:t>
      </w:r>
      <w:r w:rsidRPr="003322F4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1</w:t>
      </w:r>
      <w:r w:rsidRPr="003322F4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br/>
      </w:r>
      <w:r w:rsidRPr="003322F4">
        <w:rPr>
          <w:rFonts w:ascii="Times New Roman" w:hAnsi="Times New Roman"/>
          <w:sz w:val="20"/>
          <w:szCs w:val="20"/>
        </w:rPr>
        <w:t>(-0,</w:t>
      </w:r>
      <w:r>
        <w:rPr>
          <w:rFonts w:ascii="Times New Roman" w:hAnsi="Times New Roman"/>
          <w:sz w:val="20"/>
          <w:szCs w:val="20"/>
        </w:rPr>
        <w:t>2</w:t>
      </w:r>
      <w:r w:rsidRPr="003322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F4">
        <w:rPr>
          <w:rFonts w:ascii="Times New Roman" w:hAnsi="Times New Roman"/>
          <w:sz w:val="20"/>
          <w:szCs w:val="20"/>
        </w:rPr>
        <w:t>p.p</w:t>
      </w:r>
      <w:proofErr w:type="spellEnd"/>
      <w:r w:rsidRPr="003322F4">
        <w:rPr>
          <w:rFonts w:ascii="Times New Roman" w:hAnsi="Times New Roman"/>
          <w:sz w:val="20"/>
          <w:szCs w:val="20"/>
        </w:rPr>
        <w:t>.) oraz 0,</w:t>
      </w:r>
      <w:r>
        <w:rPr>
          <w:rFonts w:ascii="Times New Roman" w:hAnsi="Times New Roman"/>
          <w:sz w:val="20"/>
          <w:szCs w:val="20"/>
        </w:rPr>
        <w:t>3</w:t>
      </w:r>
      <w:r w:rsidRPr="003322F4">
        <w:rPr>
          <w:rFonts w:ascii="Times New Roman" w:hAnsi="Times New Roman"/>
          <w:sz w:val="20"/>
          <w:szCs w:val="20"/>
        </w:rPr>
        <w:t>% (-0,</w:t>
      </w:r>
      <w:r>
        <w:rPr>
          <w:rFonts w:ascii="Times New Roman" w:hAnsi="Times New Roman"/>
          <w:sz w:val="20"/>
          <w:szCs w:val="20"/>
        </w:rPr>
        <w:t>5</w:t>
      </w:r>
      <w:r w:rsidRPr="003322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F4">
        <w:rPr>
          <w:rFonts w:ascii="Times New Roman" w:hAnsi="Times New Roman"/>
          <w:sz w:val="20"/>
          <w:szCs w:val="20"/>
        </w:rPr>
        <w:t>p.p</w:t>
      </w:r>
      <w:proofErr w:type="spellEnd"/>
      <w:r w:rsidRPr="003322F4">
        <w:rPr>
          <w:rFonts w:ascii="Times New Roman" w:hAnsi="Times New Roman"/>
          <w:sz w:val="20"/>
          <w:szCs w:val="20"/>
        </w:rPr>
        <w:t xml:space="preserve">.). </w:t>
      </w:r>
    </w:p>
    <w:p w:rsidR="00BD7445" w:rsidRPr="00E23130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84F5D" w:rsidRPr="00E23130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  <w:highlight w:val="yellow"/>
        </w:rPr>
        <w:sectPr w:rsidR="00D84F5D" w:rsidRPr="00E23130" w:rsidSect="005725A7">
          <w:headerReference w:type="first" r:id="rId23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:rsidR="003262D7" w:rsidRPr="00863193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3" w:name="_Toc22904045"/>
      <w:r w:rsidRPr="00863193">
        <w:rPr>
          <w:rFonts w:ascii="Arial" w:hAnsi="Arial" w:cs="Arial"/>
          <w:bCs w:val="0"/>
          <w:color w:val="E31837"/>
          <w:kern w:val="0"/>
          <w:sz w:val="28"/>
          <w:szCs w:val="28"/>
        </w:rPr>
        <w:lastRenderedPageBreak/>
        <w:t>NOTA METODYCZNA</w:t>
      </w:r>
      <w:bookmarkEnd w:id="13"/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863193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 xml:space="preserve">Dane o budżecie państwa prezentowane są zgodnie z krajową metodologią, tj. w układzie kasowym (z pewnymi wyjątkami) i  zgodnie z definicjami przejętymi w Ustawie z dnia 27 sierpnia 2009 r. o finansach publicznych (tekst jednolity Dz.U. z 2013 poz. 885 z </w:t>
      </w:r>
      <w:proofErr w:type="spellStart"/>
      <w:r w:rsidRPr="00863193"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 w:rsidRPr="00863193">
        <w:rPr>
          <w:rFonts w:ascii="Arial" w:hAnsi="Arial" w:cs="Arial"/>
          <w:b/>
          <w:color w:val="ADAFB2"/>
          <w:sz w:val="20"/>
          <w:szCs w:val="20"/>
        </w:rPr>
        <w:t>. zm.):</w:t>
      </w:r>
    </w:p>
    <w:p w:rsidR="003262D7" w:rsidRPr="00863193" w:rsidRDefault="00D312CA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4" w:history="1">
        <w:r w:rsidR="003262D7" w:rsidRPr="00863193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863193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 xml:space="preserve"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 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 szczeblu centralnym prezentowane są w ujęciu kasowym oraz po eliminacji wewnętrznych przepływów.  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 xml:space="preserve">Więcej na: </w:t>
      </w:r>
      <w:hyperlink r:id="rId25" w:history="1">
        <w:r w:rsidRPr="00863193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:rsidR="003262D7" w:rsidRPr="00863193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863193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 zgodnie z Rozporządzeniem PE i 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są prezentowane, podobnie jak w GFSM2001, po eliminacji wewnętrznych przepływów, jednak różnią się od danych GFSM2001 odmienną koncepcją rachunkową (są to dane memoriałowe, z pewnymi dostosowaniami) oraz odmienną klasyfikacją niektórych transakcji. Deficyt sektora instytucji rządowych i samorządowych obliczony według zasad ESA2010 stanowi jeden z elementów kryterium fiskaln</w:t>
      </w:r>
      <w:r w:rsidR="00A82C2A" w:rsidRPr="00863193">
        <w:rPr>
          <w:rFonts w:ascii="Arial" w:hAnsi="Arial" w:cs="Arial"/>
          <w:b/>
          <w:color w:val="ADAFB2"/>
          <w:sz w:val="20"/>
          <w:szCs w:val="20"/>
        </w:rPr>
        <w:t xml:space="preserve">ego z </w:t>
      </w:r>
      <w:proofErr w:type="spellStart"/>
      <w:r w:rsidR="00A82C2A" w:rsidRPr="00863193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="00A82C2A" w:rsidRPr="00863193">
        <w:rPr>
          <w:rFonts w:ascii="Arial" w:hAnsi="Arial" w:cs="Arial"/>
          <w:b/>
          <w:color w:val="ADAFB2"/>
          <w:sz w:val="20"/>
          <w:szCs w:val="20"/>
        </w:rPr>
        <w:t xml:space="preserve"> (drugim jest dł</w:t>
      </w:r>
      <w:r w:rsidRPr="00863193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863193">
        <w:rPr>
          <w:rFonts w:ascii="Arial" w:hAnsi="Arial" w:cs="Arial"/>
          <w:b/>
          <w:color w:val="ADAFB2"/>
          <w:sz w:val="24"/>
          <w:szCs w:val="24"/>
        </w:rPr>
        <w:t xml:space="preserve">: </w:t>
      </w:r>
      <w:hyperlink r:id="rId26" w:history="1">
        <w:r w:rsidRPr="00863193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863193">
        <w:rPr>
          <w:rFonts w:ascii="Arial" w:hAnsi="Arial" w:cs="Arial"/>
          <w:b/>
          <w:color w:val="ADAFB2"/>
          <w:sz w:val="20"/>
          <w:szCs w:val="20"/>
        </w:rPr>
        <w:t xml:space="preserve">. </w:t>
      </w:r>
    </w:p>
    <w:p w:rsidR="003262D7" w:rsidRPr="00863193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5B7F4B" w:rsidRPr="00E23130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804DD1" w:rsidRPr="00E23130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C2261E" w:rsidRPr="00E23130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  <w:r w:rsidRPr="00E23130">
        <w:rPr>
          <w:rFonts w:ascii="Arial" w:hAnsi="Arial" w:cs="Arial"/>
          <w:noProof/>
          <w:sz w:val="18"/>
          <w:szCs w:val="18"/>
          <w:highlight w:val="yellow"/>
          <w:lang w:eastAsia="pl-PL"/>
        </w:rPr>
        <w:drawing>
          <wp:anchor distT="0" distB="0" distL="114300" distR="114300" simplePos="0" relativeHeight="251656704" behindDoc="1" locked="0" layoutInCell="1" allowOverlap="1" wp14:anchorId="6A97C269" wp14:editId="5B0A2A6F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E" w:rsidRPr="00E23130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5B7F4B" w:rsidRPr="00E23130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EB6D6D" w:rsidRPr="00E23130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5B7F4B" w:rsidRPr="00BE6EC1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4" w:name="_Toc22904046"/>
      <w:r w:rsidRPr="00BE6EC1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BE6EC1">
        <w:rPr>
          <w:rFonts w:ascii="Arial" w:hAnsi="Arial" w:cs="Arial"/>
          <w:color w:val="E31837"/>
          <w:sz w:val="40"/>
          <w:szCs w:val="40"/>
        </w:rPr>
        <w:t xml:space="preserve"> </w:t>
      </w:r>
      <w:r w:rsidRPr="00BE6EC1">
        <w:rPr>
          <w:rFonts w:ascii="Arial" w:hAnsi="Arial" w:cs="Arial"/>
          <w:color w:val="E31837"/>
          <w:sz w:val="40"/>
          <w:szCs w:val="40"/>
        </w:rPr>
        <w:t>STATYSTYCZNY</w:t>
      </w:r>
      <w:bookmarkEnd w:id="14"/>
      <w:r w:rsidR="009F1CD8" w:rsidRPr="00BE6EC1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 w:rsidRPr="00BE6EC1">
        <w:rPr>
          <w:rFonts w:ascii="Arial" w:hAnsi="Arial" w:cs="Arial"/>
          <w:color w:val="E31837"/>
          <w:sz w:val="40"/>
          <w:szCs w:val="40"/>
        </w:rPr>
        <w:br/>
      </w:r>
    </w:p>
    <w:p w:rsidR="00E120D2" w:rsidRPr="00BE6EC1" w:rsidRDefault="00E120D2" w:rsidP="00E120D2"/>
    <w:p w:rsidR="00E120D2" w:rsidRPr="00BE6EC1" w:rsidRDefault="00E120D2" w:rsidP="00E120D2"/>
    <w:p w:rsidR="00E120D2" w:rsidRPr="00BE6EC1" w:rsidRDefault="00E120D2" w:rsidP="009567F0"/>
    <w:p w:rsidR="009567F0" w:rsidRPr="00BE6EC1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BE6EC1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 w:rsidRPr="00BE6EC1">
        <w:rPr>
          <w:rFonts w:ascii="Arial" w:hAnsi="Arial" w:cs="Arial"/>
          <w:b/>
          <w:color w:val="E31837"/>
          <w:sz w:val="28"/>
          <w:szCs w:val="28"/>
        </w:rPr>
        <w:t>ABLIC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5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9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:rsidR="00D074C7" w:rsidRPr="00BE6EC1" w:rsidRDefault="00D074C7" w:rsidP="00D074C7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10- 1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1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3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9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Tablice 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20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22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3</w:t>
      </w:r>
      <w:r w:rsidRPr="00BE6EC1">
        <w:rPr>
          <w:rFonts w:ascii="Arial" w:hAnsi="Arial" w:cs="Arial"/>
          <w:b/>
          <w:color w:val="ADAFB2"/>
          <w:sz w:val="20"/>
          <w:szCs w:val="20"/>
        </w:rPr>
        <w:t>-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4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5</w:t>
      </w:r>
      <w:r w:rsidRPr="00BE6EC1">
        <w:rPr>
          <w:rFonts w:ascii="Arial" w:hAnsi="Arial" w:cs="Arial"/>
          <w:b/>
          <w:color w:val="ADAFB2"/>
          <w:sz w:val="20"/>
          <w:szCs w:val="20"/>
        </w:rPr>
        <w:t>-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6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 w:rsidRPr="00BE6EC1">
        <w:rPr>
          <w:rFonts w:ascii="Arial" w:hAnsi="Arial" w:cs="Arial"/>
          <w:b/>
          <w:color w:val="ADAFB2"/>
          <w:sz w:val="20"/>
          <w:szCs w:val="20"/>
        </w:rPr>
        <w:t>D</w:t>
      </w: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 w:rsidRPr="00BE6EC1">
        <w:rPr>
          <w:rFonts w:ascii="Arial" w:hAnsi="Arial" w:cs="Arial"/>
          <w:b/>
          <w:color w:val="ADAFB2"/>
          <w:sz w:val="20"/>
          <w:szCs w:val="20"/>
        </w:rPr>
        <w:t>P</w:t>
      </w:r>
      <w:r w:rsidRPr="00BE6EC1">
        <w:rPr>
          <w:rFonts w:ascii="Arial" w:hAnsi="Arial" w:cs="Arial"/>
          <w:b/>
          <w:color w:val="ADAFB2"/>
          <w:sz w:val="20"/>
          <w:szCs w:val="20"/>
        </w:rPr>
        <w:t>ubliczny</w:t>
      </w:r>
    </w:p>
    <w:p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7</w:t>
      </w:r>
      <w:r w:rsidRPr="00BE6EC1">
        <w:rPr>
          <w:rFonts w:ascii="Arial" w:hAnsi="Arial" w:cs="Arial"/>
          <w:b/>
          <w:color w:val="ADAFB2"/>
          <w:sz w:val="20"/>
          <w:szCs w:val="20"/>
        </w:rPr>
        <w:t>-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8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 w:rsidRPr="00BE6EC1">
        <w:rPr>
          <w:rFonts w:ascii="Arial" w:hAnsi="Arial" w:cs="Arial"/>
          <w:b/>
          <w:color w:val="ADAFB2"/>
          <w:sz w:val="20"/>
          <w:szCs w:val="20"/>
        </w:rPr>
        <w:t>Z</w:t>
      </w:r>
      <w:r w:rsidRPr="00BE6EC1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4C" w:rsidRDefault="006D274C" w:rsidP="0015295C">
      <w:pPr>
        <w:spacing w:after="0" w:line="240" w:lineRule="auto"/>
      </w:pPr>
      <w:r>
        <w:separator/>
      </w:r>
    </w:p>
  </w:endnote>
  <w:end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CA" w:rsidRDefault="00D31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D312CA">
      <w:rPr>
        <w:rStyle w:val="Numerstrony"/>
        <w:noProof/>
        <w:color w:val="ADAFB2"/>
      </w:rPr>
      <w:t>10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C251D0">
      <w:rPr>
        <w:color w:val="ADAFB2"/>
      </w:rPr>
      <w:t>4</w:t>
    </w:r>
    <w:r w:rsidRPr="005221F8">
      <w:rPr>
        <w:color w:val="ADAFB2"/>
      </w:rPr>
      <w:t xml:space="preserve"> / 201</w:t>
    </w:r>
    <w:r w:rsidR="00FF4641">
      <w:rPr>
        <w:color w:val="ADAFB2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CA" w:rsidRDefault="00D312C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D312CA">
      <w:rPr>
        <w:rStyle w:val="Numerstrony"/>
        <w:noProof/>
        <w:color w:val="ADAFB2"/>
      </w:rPr>
      <w:t>9</w:t>
    </w:r>
    <w:r w:rsidR="0081680F" w:rsidRPr="005221F8">
      <w:rPr>
        <w:rStyle w:val="Numerstrony"/>
        <w:color w:val="ADAFB2"/>
      </w:rPr>
      <w:fldChar w:fldCharType="end"/>
    </w:r>
  </w:p>
  <w:p w:rsidR="0081680F" w:rsidRPr="005221F8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C251D0">
      <w:rPr>
        <w:color w:val="ADAFB2"/>
      </w:rPr>
      <w:t>4</w:t>
    </w:r>
    <w:r w:rsidRPr="005221F8">
      <w:rPr>
        <w:color w:val="ADAFB2"/>
      </w:rPr>
      <w:t xml:space="preserve"> / 201</w:t>
    </w:r>
    <w:r w:rsidR="00FF4641">
      <w:rPr>
        <w:color w:val="ADAFB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4C" w:rsidRDefault="006D274C" w:rsidP="0015295C">
      <w:pPr>
        <w:spacing w:after="0" w:line="240" w:lineRule="auto"/>
      </w:pPr>
      <w:r>
        <w:separator/>
      </w:r>
    </w:p>
  </w:footnote>
  <w:foot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CA" w:rsidRDefault="00D312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CA" w:rsidRDefault="00D312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26F1F1" wp14:editId="191C7448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825F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3A5BDCD" wp14:editId="386F64E6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7E95F6" wp14:editId="274BC002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47E9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1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34E3"/>
    <w:rsid w:val="0000421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30A43"/>
    <w:rsid w:val="0003235C"/>
    <w:rsid w:val="000404D4"/>
    <w:rsid w:val="000406B8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C08"/>
    <w:rsid w:val="00054DD0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4812"/>
    <w:rsid w:val="000B534A"/>
    <w:rsid w:val="000B570F"/>
    <w:rsid w:val="000C08CF"/>
    <w:rsid w:val="000C1CCE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D8A"/>
    <w:rsid w:val="00130EB1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391"/>
    <w:rsid w:val="00147DCE"/>
    <w:rsid w:val="0015152D"/>
    <w:rsid w:val="0015295C"/>
    <w:rsid w:val="0015452B"/>
    <w:rsid w:val="00155BEC"/>
    <w:rsid w:val="00157279"/>
    <w:rsid w:val="00161044"/>
    <w:rsid w:val="00161969"/>
    <w:rsid w:val="00162265"/>
    <w:rsid w:val="00162356"/>
    <w:rsid w:val="00162480"/>
    <w:rsid w:val="001642FC"/>
    <w:rsid w:val="00165075"/>
    <w:rsid w:val="001676EF"/>
    <w:rsid w:val="00176E8C"/>
    <w:rsid w:val="00184FD0"/>
    <w:rsid w:val="0018746D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60"/>
    <w:rsid w:val="001A41AF"/>
    <w:rsid w:val="001A4D91"/>
    <w:rsid w:val="001A4F79"/>
    <w:rsid w:val="001A55F7"/>
    <w:rsid w:val="001B1928"/>
    <w:rsid w:val="001B31A2"/>
    <w:rsid w:val="001B3346"/>
    <w:rsid w:val="001C13AB"/>
    <w:rsid w:val="001C2702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E72B9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C9E"/>
    <w:rsid w:val="002170A8"/>
    <w:rsid w:val="00217D67"/>
    <w:rsid w:val="00217DDE"/>
    <w:rsid w:val="002209A3"/>
    <w:rsid w:val="00224B34"/>
    <w:rsid w:val="00224FBD"/>
    <w:rsid w:val="0022526B"/>
    <w:rsid w:val="00225E4E"/>
    <w:rsid w:val="00230793"/>
    <w:rsid w:val="002312B6"/>
    <w:rsid w:val="00235554"/>
    <w:rsid w:val="00236D89"/>
    <w:rsid w:val="00241B7D"/>
    <w:rsid w:val="00241D40"/>
    <w:rsid w:val="00242355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6799"/>
    <w:rsid w:val="00280EF7"/>
    <w:rsid w:val="0028194A"/>
    <w:rsid w:val="002826C7"/>
    <w:rsid w:val="002863AE"/>
    <w:rsid w:val="002874B7"/>
    <w:rsid w:val="002903F3"/>
    <w:rsid w:val="00292DA1"/>
    <w:rsid w:val="00293690"/>
    <w:rsid w:val="00294612"/>
    <w:rsid w:val="002A17A6"/>
    <w:rsid w:val="002A1BD0"/>
    <w:rsid w:val="002A1FE9"/>
    <w:rsid w:val="002A20F0"/>
    <w:rsid w:val="002A5133"/>
    <w:rsid w:val="002A5765"/>
    <w:rsid w:val="002B0128"/>
    <w:rsid w:val="002B447C"/>
    <w:rsid w:val="002C1E7F"/>
    <w:rsid w:val="002C5142"/>
    <w:rsid w:val="002D0B26"/>
    <w:rsid w:val="002D2C1E"/>
    <w:rsid w:val="002D3ED6"/>
    <w:rsid w:val="002D42B8"/>
    <w:rsid w:val="002D5495"/>
    <w:rsid w:val="002D591E"/>
    <w:rsid w:val="002D6C49"/>
    <w:rsid w:val="002E066A"/>
    <w:rsid w:val="002E22EC"/>
    <w:rsid w:val="002E28B5"/>
    <w:rsid w:val="002E4402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101BB"/>
    <w:rsid w:val="0031062E"/>
    <w:rsid w:val="00310ED7"/>
    <w:rsid w:val="00311967"/>
    <w:rsid w:val="00311BD1"/>
    <w:rsid w:val="00313D06"/>
    <w:rsid w:val="00314CB3"/>
    <w:rsid w:val="00314F49"/>
    <w:rsid w:val="003154A4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2FDE"/>
    <w:rsid w:val="003846B1"/>
    <w:rsid w:val="00384F40"/>
    <w:rsid w:val="00386304"/>
    <w:rsid w:val="00390CE0"/>
    <w:rsid w:val="0039302F"/>
    <w:rsid w:val="00393A9E"/>
    <w:rsid w:val="0039404A"/>
    <w:rsid w:val="00394091"/>
    <w:rsid w:val="00396DDA"/>
    <w:rsid w:val="003A416F"/>
    <w:rsid w:val="003A4E3C"/>
    <w:rsid w:val="003A5602"/>
    <w:rsid w:val="003A6FCB"/>
    <w:rsid w:val="003B049F"/>
    <w:rsid w:val="003B07BD"/>
    <w:rsid w:val="003B09B7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D5AAE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21EA8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2B4F"/>
    <w:rsid w:val="00433755"/>
    <w:rsid w:val="0043411D"/>
    <w:rsid w:val="0043694A"/>
    <w:rsid w:val="0043791B"/>
    <w:rsid w:val="00437D9D"/>
    <w:rsid w:val="0044114E"/>
    <w:rsid w:val="00442FB0"/>
    <w:rsid w:val="00443694"/>
    <w:rsid w:val="004440B1"/>
    <w:rsid w:val="00444EA8"/>
    <w:rsid w:val="0044556D"/>
    <w:rsid w:val="00445E65"/>
    <w:rsid w:val="0044706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2481"/>
    <w:rsid w:val="004876AC"/>
    <w:rsid w:val="00492D38"/>
    <w:rsid w:val="00494650"/>
    <w:rsid w:val="004948E9"/>
    <w:rsid w:val="00494DAC"/>
    <w:rsid w:val="00495B22"/>
    <w:rsid w:val="004A0EC9"/>
    <w:rsid w:val="004A2492"/>
    <w:rsid w:val="004A2D95"/>
    <w:rsid w:val="004A62DC"/>
    <w:rsid w:val="004B0528"/>
    <w:rsid w:val="004B0BE5"/>
    <w:rsid w:val="004B1EE6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73FD"/>
    <w:rsid w:val="004F0702"/>
    <w:rsid w:val="004F0998"/>
    <w:rsid w:val="004F2624"/>
    <w:rsid w:val="004F2B88"/>
    <w:rsid w:val="004F39F6"/>
    <w:rsid w:val="004F479F"/>
    <w:rsid w:val="004F731B"/>
    <w:rsid w:val="005004B1"/>
    <w:rsid w:val="005004E9"/>
    <w:rsid w:val="00500B30"/>
    <w:rsid w:val="00500EB3"/>
    <w:rsid w:val="00500EF4"/>
    <w:rsid w:val="005010AD"/>
    <w:rsid w:val="0050312A"/>
    <w:rsid w:val="00506046"/>
    <w:rsid w:val="0050706F"/>
    <w:rsid w:val="0050739B"/>
    <w:rsid w:val="00507ADE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2B69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5661"/>
    <w:rsid w:val="005C68EB"/>
    <w:rsid w:val="005C6992"/>
    <w:rsid w:val="005C6B6D"/>
    <w:rsid w:val="005D1A4A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69CE"/>
    <w:rsid w:val="00607B5E"/>
    <w:rsid w:val="00610ECB"/>
    <w:rsid w:val="00612DF6"/>
    <w:rsid w:val="00614E93"/>
    <w:rsid w:val="0061552C"/>
    <w:rsid w:val="00620756"/>
    <w:rsid w:val="0062692F"/>
    <w:rsid w:val="0062777B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D03"/>
    <w:rsid w:val="0065293D"/>
    <w:rsid w:val="00653269"/>
    <w:rsid w:val="00654326"/>
    <w:rsid w:val="0065494E"/>
    <w:rsid w:val="00654E61"/>
    <w:rsid w:val="00656A63"/>
    <w:rsid w:val="006611F2"/>
    <w:rsid w:val="00662E32"/>
    <w:rsid w:val="006642F6"/>
    <w:rsid w:val="006652E2"/>
    <w:rsid w:val="00665B00"/>
    <w:rsid w:val="006670F5"/>
    <w:rsid w:val="006678BB"/>
    <w:rsid w:val="00673265"/>
    <w:rsid w:val="006759B5"/>
    <w:rsid w:val="00675FFE"/>
    <w:rsid w:val="00677B76"/>
    <w:rsid w:val="00680242"/>
    <w:rsid w:val="00682D29"/>
    <w:rsid w:val="0068353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2F1D"/>
    <w:rsid w:val="006D51BD"/>
    <w:rsid w:val="006D6CAE"/>
    <w:rsid w:val="006D7D89"/>
    <w:rsid w:val="006D7FF1"/>
    <w:rsid w:val="006E2E0C"/>
    <w:rsid w:val="006E543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2913"/>
    <w:rsid w:val="0072464B"/>
    <w:rsid w:val="007260DD"/>
    <w:rsid w:val="00726233"/>
    <w:rsid w:val="007262FB"/>
    <w:rsid w:val="00730D3C"/>
    <w:rsid w:val="00732846"/>
    <w:rsid w:val="007332A3"/>
    <w:rsid w:val="00734133"/>
    <w:rsid w:val="00734EC9"/>
    <w:rsid w:val="00736726"/>
    <w:rsid w:val="00737ED4"/>
    <w:rsid w:val="00740A4E"/>
    <w:rsid w:val="007451A1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63DE"/>
    <w:rsid w:val="00767277"/>
    <w:rsid w:val="007705EA"/>
    <w:rsid w:val="00771493"/>
    <w:rsid w:val="007732CA"/>
    <w:rsid w:val="007732CE"/>
    <w:rsid w:val="00775296"/>
    <w:rsid w:val="00775A72"/>
    <w:rsid w:val="007767BA"/>
    <w:rsid w:val="00776A04"/>
    <w:rsid w:val="00781699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41D0"/>
    <w:rsid w:val="00794873"/>
    <w:rsid w:val="007959AC"/>
    <w:rsid w:val="00796336"/>
    <w:rsid w:val="007A1D9D"/>
    <w:rsid w:val="007A2F5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795C"/>
    <w:rsid w:val="00860700"/>
    <w:rsid w:val="008617C4"/>
    <w:rsid w:val="00863181"/>
    <w:rsid w:val="00863193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32C9"/>
    <w:rsid w:val="008B3B46"/>
    <w:rsid w:val="008B591C"/>
    <w:rsid w:val="008B6DA0"/>
    <w:rsid w:val="008C4018"/>
    <w:rsid w:val="008C5034"/>
    <w:rsid w:val="008C59F4"/>
    <w:rsid w:val="008C63BB"/>
    <w:rsid w:val="008C68B0"/>
    <w:rsid w:val="008C6D2E"/>
    <w:rsid w:val="008D3305"/>
    <w:rsid w:val="008D3C3A"/>
    <w:rsid w:val="008D4E78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25C6C"/>
    <w:rsid w:val="00930A3C"/>
    <w:rsid w:val="00932B10"/>
    <w:rsid w:val="00937FFB"/>
    <w:rsid w:val="00944C34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77680"/>
    <w:rsid w:val="00981401"/>
    <w:rsid w:val="009846E2"/>
    <w:rsid w:val="00985984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354F"/>
    <w:rsid w:val="009B5309"/>
    <w:rsid w:val="009C1604"/>
    <w:rsid w:val="009C3AFB"/>
    <w:rsid w:val="009C7706"/>
    <w:rsid w:val="009C7A74"/>
    <w:rsid w:val="009D0144"/>
    <w:rsid w:val="009D070C"/>
    <w:rsid w:val="009D076A"/>
    <w:rsid w:val="009D0BFE"/>
    <w:rsid w:val="009D282C"/>
    <w:rsid w:val="009D2F37"/>
    <w:rsid w:val="009D3974"/>
    <w:rsid w:val="009D3D43"/>
    <w:rsid w:val="009D4908"/>
    <w:rsid w:val="009D4E91"/>
    <w:rsid w:val="009D57DB"/>
    <w:rsid w:val="009D6445"/>
    <w:rsid w:val="009D6FCC"/>
    <w:rsid w:val="009D7690"/>
    <w:rsid w:val="009D7E4F"/>
    <w:rsid w:val="009E157D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24A3"/>
    <w:rsid w:val="00A43C11"/>
    <w:rsid w:val="00A45DCC"/>
    <w:rsid w:val="00A46899"/>
    <w:rsid w:val="00A5223F"/>
    <w:rsid w:val="00A52E00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C7548"/>
    <w:rsid w:val="00AD1EC0"/>
    <w:rsid w:val="00AD1FD7"/>
    <w:rsid w:val="00AD3640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56DD"/>
    <w:rsid w:val="00AE6020"/>
    <w:rsid w:val="00AE637C"/>
    <w:rsid w:val="00AF066D"/>
    <w:rsid w:val="00AF4E30"/>
    <w:rsid w:val="00AF5A1C"/>
    <w:rsid w:val="00AF6608"/>
    <w:rsid w:val="00AF78B3"/>
    <w:rsid w:val="00B0044B"/>
    <w:rsid w:val="00B01B95"/>
    <w:rsid w:val="00B0297B"/>
    <w:rsid w:val="00B0329E"/>
    <w:rsid w:val="00B03A5A"/>
    <w:rsid w:val="00B03B2E"/>
    <w:rsid w:val="00B0737B"/>
    <w:rsid w:val="00B07BA5"/>
    <w:rsid w:val="00B11803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6E4D"/>
    <w:rsid w:val="00B52806"/>
    <w:rsid w:val="00B53616"/>
    <w:rsid w:val="00B53FB7"/>
    <w:rsid w:val="00B56D8F"/>
    <w:rsid w:val="00B61E9E"/>
    <w:rsid w:val="00B63E77"/>
    <w:rsid w:val="00B646BD"/>
    <w:rsid w:val="00B652B6"/>
    <w:rsid w:val="00B6680F"/>
    <w:rsid w:val="00B67867"/>
    <w:rsid w:val="00B70CC9"/>
    <w:rsid w:val="00B74F34"/>
    <w:rsid w:val="00B7510E"/>
    <w:rsid w:val="00B80E07"/>
    <w:rsid w:val="00B81609"/>
    <w:rsid w:val="00B8175F"/>
    <w:rsid w:val="00B83D13"/>
    <w:rsid w:val="00B84874"/>
    <w:rsid w:val="00B84B57"/>
    <w:rsid w:val="00B84FA1"/>
    <w:rsid w:val="00B877E6"/>
    <w:rsid w:val="00B87801"/>
    <w:rsid w:val="00B87F47"/>
    <w:rsid w:val="00B91BF1"/>
    <w:rsid w:val="00B9273E"/>
    <w:rsid w:val="00B970AD"/>
    <w:rsid w:val="00BA19D4"/>
    <w:rsid w:val="00BA4C3B"/>
    <w:rsid w:val="00BA55EE"/>
    <w:rsid w:val="00BA5B2E"/>
    <w:rsid w:val="00BA66D7"/>
    <w:rsid w:val="00BA6FBD"/>
    <w:rsid w:val="00BB029E"/>
    <w:rsid w:val="00BB1ACD"/>
    <w:rsid w:val="00BB268C"/>
    <w:rsid w:val="00BB5B1E"/>
    <w:rsid w:val="00BB5E71"/>
    <w:rsid w:val="00BB71B8"/>
    <w:rsid w:val="00BC27D4"/>
    <w:rsid w:val="00BC2882"/>
    <w:rsid w:val="00BC3600"/>
    <w:rsid w:val="00BC4CB2"/>
    <w:rsid w:val="00BC5828"/>
    <w:rsid w:val="00BC6594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6EC1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3F17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1D0"/>
    <w:rsid w:val="00C254EE"/>
    <w:rsid w:val="00C32080"/>
    <w:rsid w:val="00C3419F"/>
    <w:rsid w:val="00C36052"/>
    <w:rsid w:val="00C36B9D"/>
    <w:rsid w:val="00C3704D"/>
    <w:rsid w:val="00C400D6"/>
    <w:rsid w:val="00C40135"/>
    <w:rsid w:val="00C41924"/>
    <w:rsid w:val="00C42F96"/>
    <w:rsid w:val="00C43A87"/>
    <w:rsid w:val="00C44D15"/>
    <w:rsid w:val="00C44D44"/>
    <w:rsid w:val="00C462DF"/>
    <w:rsid w:val="00C47439"/>
    <w:rsid w:val="00C50DB3"/>
    <w:rsid w:val="00C53F72"/>
    <w:rsid w:val="00C56083"/>
    <w:rsid w:val="00C56BD7"/>
    <w:rsid w:val="00C56DD6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05E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33F5"/>
    <w:rsid w:val="00CA4029"/>
    <w:rsid w:val="00CA6080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C3B"/>
    <w:rsid w:val="00CD4F02"/>
    <w:rsid w:val="00CD61FE"/>
    <w:rsid w:val="00CE0C4C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E95"/>
    <w:rsid w:val="00D312CA"/>
    <w:rsid w:val="00D31A84"/>
    <w:rsid w:val="00D321D9"/>
    <w:rsid w:val="00D32822"/>
    <w:rsid w:val="00D33E09"/>
    <w:rsid w:val="00D37B5A"/>
    <w:rsid w:val="00D400CC"/>
    <w:rsid w:val="00D42C00"/>
    <w:rsid w:val="00D4337F"/>
    <w:rsid w:val="00D43CC5"/>
    <w:rsid w:val="00D44B43"/>
    <w:rsid w:val="00D46960"/>
    <w:rsid w:val="00D474DD"/>
    <w:rsid w:val="00D47819"/>
    <w:rsid w:val="00D52942"/>
    <w:rsid w:val="00D5306A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AA3"/>
    <w:rsid w:val="00D91A53"/>
    <w:rsid w:val="00D95ADB"/>
    <w:rsid w:val="00D95E7C"/>
    <w:rsid w:val="00DA07F9"/>
    <w:rsid w:val="00DA28B2"/>
    <w:rsid w:val="00DA52B8"/>
    <w:rsid w:val="00DA6577"/>
    <w:rsid w:val="00DA6BB2"/>
    <w:rsid w:val="00DB1992"/>
    <w:rsid w:val="00DB2008"/>
    <w:rsid w:val="00DB3193"/>
    <w:rsid w:val="00DB7B31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220"/>
    <w:rsid w:val="00DD3527"/>
    <w:rsid w:val="00DD4693"/>
    <w:rsid w:val="00DD5191"/>
    <w:rsid w:val="00DD6DDE"/>
    <w:rsid w:val="00DD7309"/>
    <w:rsid w:val="00DE1745"/>
    <w:rsid w:val="00DE5957"/>
    <w:rsid w:val="00DE638C"/>
    <w:rsid w:val="00DE715B"/>
    <w:rsid w:val="00DF0CD2"/>
    <w:rsid w:val="00DF31AE"/>
    <w:rsid w:val="00DF3655"/>
    <w:rsid w:val="00E02682"/>
    <w:rsid w:val="00E0439F"/>
    <w:rsid w:val="00E05345"/>
    <w:rsid w:val="00E0691F"/>
    <w:rsid w:val="00E0710D"/>
    <w:rsid w:val="00E1196E"/>
    <w:rsid w:val="00E120D2"/>
    <w:rsid w:val="00E144C3"/>
    <w:rsid w:val="00E154D7"/>
    <w:rsid w:val="00E16007"/>
    <w:rsid w:val="00E16073"/>
    <w:rsid w:val="00E16C5E"/>
    <w:rsid w:val="00E210E5"/>
    <w:rsid w:val="00E22B5B"/>
    <w:rsid w:val="00E23130"/>
    <w:rsid w:val="00E25091"/>
    <w:rsid w:val="00E2609F"/>
    <w:rsid w:val="00E30E0B"/>
    <w:rsid w:val="00E31053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54688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54A5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F223A"/>
    <w:rsid w:val="00EF3946"/>
    <w:rsid w:val="00EF4CFA"/>
    <w:rsid w:val="00EF6620"/>
    <w:rsid w:val="00F0001C"/>
    <w:rsid w:val="00F0195E"/>
    <w:rsid w:val="00F064B4"/>
    <w:rsid w:val="00F06B6B"/>
    <w:rsid w:val="00F07090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D1C"/>
    <w:rsid w:val="00F23F20"/>
    <w:rsid w:val="00F2547F"/>
    <w:rsid w:val="00F277BE"/>
    <w:rsid w:val="00F278FC"/>
    <w:rsid w:val="00F30E4D"/>
    <w:rsid w:val="00F31AC4"/>
    <w:rsid w:val="00F32849"/>
    <w:rsid w:val="00F337B3"/>
    <w:rsid w:val="00F35EA0"/>
    <w:rsid w:val="00F400FA"/>
    <w:rsid w:val="00F413DD"/>
    <w:rsid w:val="00F43FB5"/>
    <w:rsid w:val="00F4547B"/>
    <w:rsid w:val="00F47859"/>
    <w:rsid w:val="00F51545"/>
    <w:rsid w:val="00F522D2"/>
    <w:rsid w:val="00F54E40"/>
    <w:rsid w:val="00F558B4"/>
    <w:rsid w:val="00F60497"/>
    <w:rsid w:val="00F60B82"/>
    <w:rsid w:val="00F60D96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AE1"/>
    <w:rsid w:val="00F74E2F"/>
    <w:rsid w:val="00F74FD4"/>
    <w:rsid w:val="00F76424"/>
    <w:rsid w:val="00F772D5"/>
    <w:rsid w:val="00F77622"/>
    <w:rsid w:val="00F811E7"/>
    <w:rsid w:val="00F82DB2"/>
    <w:rsid w:val="00F830B1"/>
    <w:rsid w:val="00F84B6D"/>
    <w:rsid w:val="00F86A5E"/>
    <w:rsid w:val="00F875B7"/>
    <w:rsid w:val="00F930FF"/>
    <w:rsid w:val="00F93774"/>
    <w:rsid w:val="00F956D6"/>
    <w:rsid w:val="00F95D71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3C00"/>
    <w:rsid w:val="00FC661E"/>
    <w:rsid w:val="00FC7A92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26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hyperlink" Target="http://www.mf.gov.pl/documents/764034/1002148/metodologia+wersja+polska2001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isap.sejm.gov.pl/DetailsServlet?id=WDU20091571240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emf"/><Relationship Id="rId27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983-7DD3-4286-B298-464082EE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2377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16609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2019-10-17T09:42:00Z</dcterms:created>
  <dcterms:modified xsi:type="dcterms:W3CDTF">2019-10-31T12:00:00Z</dcterms:modified>
</cp:coreProperties>
</file>