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552450</wp:posOffset>
            </wp:positionH>
            <wp:positionV relativeFrom="paragraph">
              <wp:posOffset>12700</wp:posOffset>
            </wp:positionV>
            <wp:extent cx="676910" cy="731520"/>
            <wp:wrapTight wrapText="bothSides">
              <wp:wrapPolygon>
                <wp:start x="0" y="0"/>
                <wp:lineTo x="21600" y="0"/>
                <wp:lineTo x="21600" y="9000"/>
                <wp:lineTo x="19743" y="9000"/>
                <wp:lineTo x="19743" y="14850"/>
                <wp:lineTo x="21600" y="14850"/>
                <wp:lineTo x="21600" y="21600"/>
                <wp:lineTo x="0" y="21600"/>
                <wp:lineTo x="0" y="0"/>
              </wp:wrapPolygon>
            </wp:wrapTight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76910" cy="73152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3"/>
        </w:rPr>
        <w:t>Ministerstwo</w:t>
      </w:r>
      <w:bookmarkEnd w:id="0"/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500" w:line="202" w:lineRule="auto"/>
        <w:ind w:left="0" w:right="0" w:firstLine="0"/>
        <w:jc w:val="left"/>
      </w:pPr>
      <w:r>
        <w:rPr>
          <w:rStyle w:val="CharStyle3"/>
          <w:color w:val="1C1C1C"/>
        </w:rPr>
        <w:t xml:space="preserve">^ </w:t>
      </w:r>
      <w:r>
        <w:rPr>
          <w:rStyle w:val="CharStyle3"/>
        </w:rPr>
        <w:t>Klimatu i Środowiska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220"/>
        <w:jc w:val="both"/>
      </w:pPr>
      <w:r>
        <w:rPr>
          <w:rStyle w:val="CharStyle6"/>
        </w:rPr>
        <w:t>Departament Leśnictwa i Łowiectwa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both"/>
      </w:pPr>
      <w:r>
        <w:rPr>
          <w:rStyle w:val="CharStyle6"/>
        </w:rPr>
        <w:t>DLŁ-WNO.053.1.2025.KK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both"/>
        <w:rPr>
          <w:sz w:val="18"/>
          <w:szCs w:val="18"/>
        </w:rPr>
      </w:pPr>
      <w:r>
        <w:rPr>
          <w:rStyle w:val="CharStyle6"/>
          <w:sz w:val="18"/>
          <w:szCs w:val="18"/>
        </w:rPr>
        <w:t>3755075.15128008.12307633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080" w:line="240" w:lineRule="auto"/>
        <w:ind w:left="0" w:right="0" w:firstLine="220"/>
        <w:jc w:val="both"/>
      </w:pPr>
      <w:r>
        <w:rPr>
          <w:rStyle w:val="CharStyle6"/>
        </w:rPr>
        <w:t>Warszawa, 10-06-2025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220"/>
        <w:jc w:val="both"/>
      </w:pPr>
      <w:r>
        <w:rPr>
          <w:rStyle w:val="CharStyle6"/>
          <w:i/>
          <w:iCs/>
        </w:rPr>
        <w:t>Szanowna Pani Burmistrz,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302" w:lineRule="auto"/>
        <w:ind w:left="220" w:right="0" w:firstLine="0"/>
        <w:jc w:val="both"/>
      </w:pPr>
      <w:r>
        <w:rPr>
          <w:rStyle w:val="CharStyle6"/>
        </w:rPr>
        <w:t>w odpowiedzi pismo zawierające „stanowisko dotyczące podjęcia pilnych działań legislacyjnych dotyczących zagrożenia ze strony zwierząt łownych na terenach zurbanizowanych”, wyjaśniam co następuje.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6"/>
        </w:rPr>
        <w:t>Ustawa z dnia 13 października 1995 r. – Prawo łowieckie (Dz. U. z 2025 r. poz. 539) wprowadza rozwiązania prawne umożliwiające realizację odłowu, odłowu połączonego z uśmierceniem oraz odstrzału redukcyjnego zwierzyny, na podstawie decyzji starosty, w przypadku wystąpienia szczególnego zagrożenia dla prawidłowego funkcjonowania obiektów użyteczności publicznej lub obiektów produkcyjnych, spowodowanego przez zwierzynę. Wydanie takiej decyzji uzależnione jest od stwierdzenia szczególnego zagrożenia, którego ocena należy do starosty.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6"/>
        </w:rPr>
        <w:t>Odłów, odłów połączony z uśmierceniem oraz odstrzał redukcyjny mogą być realizowane zarówno na terenach obwodów łowieckich, jak i poza nimi – na przykład na terenach administracyjnych miast.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6"/>
        </w:rPr>
        <w:t>Mając jednak na względzie trudności związane z realizacją przez starostów zadań wynikających z art. 45 ust. 3 ustawy – w szczególności dotyczących kwestii finansowania tych działań – informuję, że rozwiązanie problemu leży w zakresie zainteresowania tut. resortu w przypadku podjęcia decyzji o nowelizacji ustawy – Prawo łowieckie.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6"/>
        </w:rPr>
        <w:t>Ponadto, w obwodach łowieckich istnieje możliwość wpływania na liczebność zwierzyny w ramach procedury zatwierdzania rocznych planów łowieckich. Zgodnie z art. 8a ustawy – projekt rocznego planu łowieckiego sporządza dzierżawca albo zarządca obwodu łowieckiego. W toku opiniowania tego projektu obowiązek wyrażenia opinii spoczywa na właściwym terytorialnie wójcie, burmistrzu albo prezydencie miasta, a także – jeżeli plan obejmuje obszar parku narodowego – na właściwym dyrektorze tego parku. Organy te mogą wnioskować o podniesienie limitów odstrzału zwierzyny na dany rok gospodarczy.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6"/>
        </w:rPr>
        <w:t>Dodatkowo, zgodnie z art. 8a ust. 9 ustawy, nadleśniczy jako organ zatwierdzający roczny plan łowiecki ocenia zasadność planowanych działań, w tym również racjonalność przewidywanej liczby odstrzałów poszczególnych gatunków zwierzyny, w oparciu o przesłanki gospodarki łowieckiej oraz ochrony zasobów przyrodniczych.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80"/>
        <w:ind w:left="220" w:right="0" w:firstLine="0"/>
        <w:jc w:val="both"/>
      </w:pPr>
      <w:r>
        <w:rPr>
          <w:rStyle w:val="CharStyle6"/>
        </w:rPr>
        <w:t>Należy również wskazać, że problematyka postępowania ze zwierzętami w szczególnych przypadkach znajduje się na styku dwóch aktów prawnych: ustawy o ochronie zwierząt, za której realizację odpowiada Minister Rolnictwa i Rozwoju Wsi, oraz ustawy o samorządzie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10"/>
        </w:rPr>
        <w:t xml:space="preserve">Telefon: (+48) 223-692-550 ul. Wawelska 52/54, 00-922 Warszawa </w:t>
      </w:r>
      <w:r>
        <w:fldChar w:fldCharType="begin"/>
      </w:r>
      <w:r>
        <w:rPr/>
        <w:instrText> HYPERLINK "mailto:departament.lesnictwa.i.lowiectwa@klimat.gov.pl" </w:instrText>
      </w:r>
      <w:r>
        <w:fldChar w:fldCharType="separate"/>
      </w:r>
      <w:r>
        <w:rPr>
          <w:rStyle w:val="CharStyle10"/>
        </w:rPr>
        <w:t>departament.lesnictwa.i.lowiectwa@klimat.gov.pl</w:t>
      </w:r>
      <w:r>
        <w:fldChar w:fldCharType="end"/>
      </w:r>
      <w:r>
        <w:rPr>
          <w:rStyle w:val="CharStyle10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10"/>
        </w:rPr>
        <w:t>www.gov.pl/klimat</w:t>
      </w:r>
      <w:r>
        <w:fldChar w:fldCharType="end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rStyle w:val="CharStyle12"/>
        </w:rPr>
        <w:t>Działamy zgodnie z EMAS - zarządzając instytucją, dbamy o środowisko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6"/>
        </w:rPr>
        <w:t>gminnym, pozostającej we właściwości Ministra Spraw Wewnętrznych i Administracji. W związku z powyższym, ewentualne wprowadzenie dodatkowych regulacji prawnych w zakresie postępowania ze zwierzętami powinno być przedmiotem analizy przez wskazane wyżej organy.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480"/>
        <w:ind w:left="0" w:right="0" w:firstLine="0"/>
        <w:jc w:val="both"/>
      </w:pPr>
      <w:r>
        <w:rPr>
          <w:rStyle w:val="CharStyle6"/>
        </w:rPr>
        <w:t>Występujące w praktyce problemy wynikają między innymi z faktu, że w niektórych przypadkach – na przykład dotyczących zadań własnych gminy – obowiązujące przepisy nie precyzują jednoznacznie zakresu kompetencji tych jednostek.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both"/>
      </w:pPr>
      <w:r>
        <w:rPr>
          <w:rStyle w:val="CharStyle6"/>
          <w:i/>
          <w:iCs/>
        </w:rPr>
        <w:t>Z wyrazami szacunku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6"/>
        </w:rPr>
        <w:t>Departament Leśnictwa i Łowiectwa Ministerstwo Klimatu i Środowiska / – podpisany cyfrowo/</w:t>
      </w:r>
    </w:p>
    <w:sectPr>
      <w:footnotePr>
        <w:pos w:val="pageBottom"/>
        <w:numFmt w:val="decimal"/>
        <w:numRestart w:val="continuous"/>
      </w:footnotePr>
      <w:pgSz w:w="11900" w:h="16840"/>
      <w:pgMar w:top="735" w:right="1905" w:bottom="727" w:left="1806" w:header="307" w:footer="299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Nagłówek #1_"/>
    <w:basedOn w:val="DefaultParagraphFont"/>
    <w:link w:val="Style2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CharStyle6">
    <w:name w:val="Tekst treści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0">
    <w:name w:val="Tekst treści (2)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2">
    <w:name w:val="Tekst treści (3)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2">
    <w:name w:val="Nagłówek #1"/>
    <w:basedOn w:val="Normal"/>
    <w:link w:val="CharStyle3"/>
    <w:pPr>
      <w:widowControl w:val="0"/>
      <w:shd w:val="clear" w:color="auto" w:fill="auto"/>
      <w:spacing w:after="250" w:line="221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Style5">
    <w:name w:val="Tekst treści"/>
    <w:basedOn w:val="Normal"/>
    <w:link w:val="CharStyle6"/>
    <w:pPr>
      <w:widowControl w:val="0"/>
      <w:shd w:val="clear" w:color="auto" w:fill="auto"/>
      <w:spacing w:after="16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9">
    <w:name w:val="Tekst treści (2)"/>
    <w:basedOn w:val="Normal"/>
    <w:link w:val="CharStyle10"/>
    <w:pPr>
      <w:widowControl w:val="0"/>
      <w:shd w:val="clear" w:color="auto" w:fill="auto"/>
      <w:ind w:left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1">
    <w:name w:val="Tekst treści (3)"/>
    <w:basedOn w:val="Normal"/>
    <w:link w:val="CharStyle12"/>
    <w:pPr>
      <w:widowControl w:val="0"/>
      <w:shd w:val="clear" w:color="auto" w:fill="auto"/>
      <w:spacing w:after="180" w:line="286" w:lineRule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

<file path=docProps/core.xml><?xml version="1.0" encoding="utf-8"?>
<cp:coreProperties xmlns:cp="http://schemas.openxmlformats.org/package/2006/metadata/core-properties" xmlns:dc="http://purl.org/dc/elements/1.1/">
  <dc:title>Uniwersalny szablondepartamentu/biura kolor</dc:title>
  <dc:subject/>
  <dc:creator/>
  <cp:keywords>PL, KOLOR</cp:keywords>
</cp:coreProperties>
</file>