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</w:rPr>
        <w:t>Ministerstwo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3"/>
          <w:color w:val="1C1C1C"/>
        </w:rPr>
        <w:t xml:space="preserve">^ </w:t>
      </w:r>
      <w:r>
        <w:rPr>
          <w:rStyle w:val="CharStyle3"/>
        </w:rPr>
        <w:t>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20"/>
        <w:jc w:val="both"/>
      </w:pPr>
      <w:r>
        <w:rPr>
          <w:rStyle w:val="CharStyle6"/>
        </w:rPr>
        <w:t>Departament Leśnictwa i Łowiectwa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both"/>
      </w:pPr>
      <w:r>
        <w:rPr>
          <w:rStyle w:val="CharStyle6"/>
        </w:rPr>
        <w:t>DLŁ-WNO.053.1.2025.KK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both"/>
        <w:rPr>
          <w:sz w:val="18"/>
          <w:szCs w:val="18"/>
        </w:rPr>
      </w:pPr>
      <w:r>
        <w:rPr>
          <w:rStyle w:val="CharStyle6"/>
          <w:sz w:val="18"/>
          <w:szCs w:val="18"/>
        </w:rPr>
        <w:t>3755075.15128008.12307633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80" w:line="240" w:lineRule="auto"/>
        <w:ind w:left="0" w:right="0" w:firstLine="220"/>
        <w:jc w:val="both"/>
      </w:pPr>
      <w:r>
        <w:rPr>
          <w:rStyle w:val="CharStyle6"/>
        </w:rPr>
        <w:t>Warszawa, 10-06-2025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220"/>
        <w:jc w:val="both"/>
      </w:pPr>
      <w:r>
        <w:rPr>
          <w:rStyle w:val="CharStyle6"/>
          <w:i/>
          <w:iCs/>
        </w:rPr>
        <w:t>Szanowna Pani Burmistrz,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2" w:lineRule="auto"/>
        <w:ind w:left="220" w:right="0" w:firstLine="0"/>
        <w:jc w:val="both"/>
      </w:pPr>
      <w:r>
        <w:rPr>
          <w:rStyle w:val="CharStyle6"/>
        </w:rPr>
        <w:t>w odpowiedzi pismo zawierające „stanowisko dotyczące podjęcia pilnych działań legislacyjnych dotyczących zagrożenia ze strony zwierząt łownych na terenach zurbanizowanych”, wyjaśniam co następuje.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Ustawa z dnia 13 października 1995 r. – Prawo łowieckie (Dz. U. z 2025 r. poz. 539) wprowadza rozwiązania prawne umożliwiające realizację odłowu, odłowu połączonego z uśmierceniem oraz odstrzału redukcyjnego zwierzyny, na podstawie decyzji starosty, w przypadku wystąpienia szczególnego zagrożenia dla prawidłowego funkcjonowania obiektów użyteczności publicznej lub obiektów produkcyjnych, spowodowanego przez zwierzynę. Wydanie takiej decyzji uzależnione jest od stwierdzenia szczególnego zagrożenia, którego ocena należy do starosty.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Odłów, odłów połączony z uśmierceniem oraz odstrzał redukcyjny mogą być realizowane zarówno na terenach obwodów łowieckich, jak i poza nimi – na przykład na terenach administracyjnych miast.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Mając jednak na względzie trudności związane z realizacją przez starostów zadań wynikających z art. 45 ust. 3 ustawy – w szczególności dotyczących kwestii finansowania tych działań – informuję, że rozwiązanie problemu leży w zakresie zainteresowania tut. resortu w przypadku podjęcia decyzji o nowelizacji ustawy – Prawo łowieckie.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Ponadto, w obwodach łowieckich istnieje możliwość wpływania na liczebność zwierzyny w ramach procedury zatwierdzania rocznych planów łowieckich. Zgodnie z art. 8a ustawy – projekt rocznego planu łowieckiego sporządza dzierżawca albo zarządca obwodu łowieckiego. W toku opiniowania tego projektu obowiązek wyrażenia opinii spoczywa na właściwym terytorialnie wójcie, burmistrzu albo prezydencie miasta, a także – jeżeli plan obejmuje obszar parku narodowego – na właściwym dyrektorze tego parku. Organy te mogą wnioskować o podniesienie limitów odstrzału zwierzyny na dany rok gospodarczy.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6"/>
        </w:rPr>
        <w:t>Dodatkowo, zgodnie z art. 8a ust. 9 ustawy, nadleśniczy jako organ zatwierdzający roczny plan łowiecki ocenia zasadność planowanych działań, w tym również racjonalność przewidywanej liczby odstrzałów poszczególnych gatunków zwierzyny, w oparciu o przesłanki gospodarki łowieckiej oraz ochrony zasobów przyrodniczych.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/>
        <w:ind w:left="220" w:right="0" w:firstLine="0"/>
        <w:jc w:val="both"/>
      </w:pPr>
      <w:r>
        <w:rPr>
          <w:rStyle w:val="CharStyle6"/>
        </w:rPr>
        <w:t>Należy również wskazać, że problematyka postępowania ze zwierzętami w szczególnych przypadkach znajduje się na styku dwóch aktów prawnych: ustawy o ochronie zwierząt, za której realizację odpowiada Minister Rolnictwa i Rozwoju Wsi, oraz ustawy o samorządzie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rStyle w:val="CharStyle10"/>
        </w:rPr>
        <w:t xml:space="preserve">Telefon: (+48) 223-692-550 ul. Wawelska 52/54, 00-922 Warszawa </w:t>
      </w:r>
      <w:r>
        <w:fldChar w:fldCharType="begin"/>
      </w:r>
      <w:r>
        <w:rPr/>
        <w:instrText> HYPERLINK "mailto:departament.lesnictwa.i.lowiectwa@klimat.gov.pl" </w:instrText>
      </w:r>
      <w:r>
        <w:fldChar w:fldCharType="separate"/>
      </w:r>
      <w:r>
        <w:rPr>
          <w:rStyle w:val="CharStyle10"/>
        </w:rPr>
        <w:t>departament.lesnictwa.i.lowiectwa@klimat.gov.pl</w:t>
      </w:r>
      <w:r>
        <w:fldChar w:fldCharType="end"/>
      </w:r>
      <w:r>
        <w:rPr>
          <w:rStyle w:val="CharStyle10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0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</w:rPr>
        <w:t>Działamy zgodnie z EMAS - zarządzając instytucją, dbamy o środowisko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gminnym, pozostającej we właściwości Ministra Spraw Wewnętrznych i Administracji. W związku z powyższym, ewentualne wprowadzenie dodatkowych regulacji prawnych w zakresie postępowania ze zwierzętami powinno być przedmiotem analizy przez wskazane wyżej organy.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80"/>
        <w:ind w:left="0" w:right="0" w:firstLine="0"/>
        <w:jc w:val="both"/>
      </w:pPr>
      <w:r>
        <w:rPr>
          <w:rStyle w:val="CharStyle6"/>
        </w:rPr>
        <w:t>Występujące w praktyce problemy wynikają między innymi z faktu, że w niektórych przypadkach – na przykład dotyczących zadań własnych gminy – obowiązujące przepisy nie precyzują jednoznacznie zakresu kompetencji tych jednostek.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rStyle w:val="CharStyle6"/>
          <w:i/>
          <w:iCs/>
        </w:rPr>
        <w:t>Z wyrazami szacunku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6"/>
        </w:rPr>
        <w:t>Departament Leśnictwa i Łowiectwa Ministerstwo Klimatu i Środowiska / – podpisany cyfrowo/</w:t>
      </w:r>
    </w:p>
    <w:sectPr>
      <w:footnotePr>
        <w:pos w:val="pageBottom"/>
        <w:numFmt w:val="decimal"/>
        <w:numRestart w:val="continuous"/>
      </w:footnotePr>
      <w:pgSz w:w="11900" w:h="16840"/>
      <w:pgMar w:top="735" w:right="1905" w:bottom="727" w:left="1806" w:header="307" w:footer="29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Nagłówek #1_"/>
    <w:basedOn w:val="DefaultParagraphFont"/>
    <w:link w:val="Style2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6">
    <w:name w:val="Tekst treści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ekst treści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Tekst treści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ekst treści (2)"/>
    <w:basedOn w:val="Normal"/>
    <w:link w:val="CharStyle10"/>
    <w:pPr>
      <w:widowControl w:val="0"/>
      <w:shd w:val="clear" w:color="auto" w:fill="auto"/>
      <w:ind w:lef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Tekst treści (3)"/>
    <w:basedOn w:val="Normal"/>
    <w:link w:val="CharStyle12"/>
    <w:pPr>
      <w:widowControl w:val="0"/>
      <w:shd w:val="clear" w:color="auto" w:fill="auto"/>
      <w:spacing w:after="180" w:line="28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