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45D3B6F9" w:rsidR="009276B2" w:rsidRPr="000F07A9" w:rsidRDefault="009276B2" w:rsidP="00D61726">
      <w:pPr>
        <w:spacing w:after="0" w:line="260" w:lineRule="exact"/>
        <w:rPr>
          <w:rFonts w:ascii="Lato" w:hAnsi="Lato"/>
          <w:spacing w:val="4"/>
        </w:rPr>
      </w:pPr>
      <w:r w:rsidRPr="000F07A9">
        <w:rPr>
          <w:rFonts w:ascii="Lato" w:hAnsi="Lato"/>
          <w:spacing w:val="4"/>
        </w:rPr>
        <w:t xml:space="preserve">Znak </w:t>
      </w:r>
      <w:r w:rsidR="00D66308" w:rsidRPr="000F07A9">
        <w:rPr>
          <w:rFonts w:ascii="Lato" w:hAnsi="Lato"/>
          <w:spacing w:val="4"/>
        </w:rPr>
        <w:t>sprawy</w:t>
      </w:r>
      <w:r w:rsidR="00B36262" w:rsidRPr="000F07A9">
        <w:rPr>
          <w:rFonts w:ascii="Lato" w:hAnsi="Lato"/>
          <w:spacing w:val="4"/>
        </w:rPr>
        <w:t>:</w:t>
      </w:r>
      <w:bookmarkStart w:id="0" w:name="_Hlk109295568"/>
      <w:bookmarkStart w:id="1" w:name="_Hlk120801089"/>
      <w:r w:rsidR="00BF6894" w:rsidRPr="000F07A9">
        <w:rPr>
          <w:rFonts w:ascii="Lato" w:hAnsi="Lato"/>
          <w:spacing w:val="4"/>
        </w:rPr>
        <w:t xml:space="preserve"> </w:t>
      </w:r>
      <w:r w:rsidR="00F84E8C" w:rsidRPr="00184F85">
        <w:rPr>
          <w:rFonts w:ascii="Lato" w:hAnsi="Lato"/>
          <w:spacing w:val="4"/>
        </w:rPr>
        <w:t>DLI-II.7620.</w:t>
      </w:r>
      <w:r w:rsidR="00DD03DD" w:rsidRPr="00184F85">
        <w:rPr>
          <w:rFonts w:ascii="Lato" w:hAnsi="Lato"/>
          <w:spacing w:val="4"/>
        </w:rPr>
        <w:t>21</w:t>
      </w:r>
      <w:r w:rsidR="00F84E8C" w:rsidRPr="00184F85">
        <w:rPr>
          <w:rFonts w:ascii="Lato" w:hAnsi="Lato"/>
          <w:spacing w:val="4"/>
        </w:rPr>
        <w:t>.202</w:t>
      </w:r>
      <w:r w:rsidR="00DD03DD" w:rsidRPr="00184F85">
        <w:rPr>
          <w:rFonts w:ascii="Lato" w:hAnsi="Lato"/>
          <w:spacing w:val="4"/>
        </w:rPr>
        <w:t>3</w:t>
      </w:r>
      <w:r w:rsidR="00F84E8C" w:rsidRPr="00184F85">
        <w:rPr>
          <w:rFonts w:ascii="Lato" w:hAnsi="Lato"/>
          <w:spacing w:val="4"/>
        </w:rPr>
        <w:t>.</w:t>
      </w:r>
      <w:bookmarkEnd w:id="0"/>
      <w:bookmarkEnd w:id="1"/>
      <w:r w:rsidR="00F84E8C" w:rsidRPr="00184F85">
        <w:rPr>
          <w:rFonts w:ascii="Lato" w:hAnsi="Lato"/>
          <w:spacing w:val="4"/>
        </w:rPr>
        <w:t>KR</w:t>
      </w:r>
      <w:r w:rsidR="004E05D0" w:rsidRPr="000E5B26">
        <w:rPr>
          <w:rFonts w:ascii="Lato" w:hAnsi="Lato"/>
          <w:spacing w:val="4"/>
        </w:rPr>
        <w:t>/</w:t>
      </w:r>
      <w:r w:rsidR="00DD03DD" w:rsidRPr="00184F85">
        <w:rPr>
          <w:rFonts w:ascii="Lato" w:hAnsi="Lato"/>
          <w:spacing w:val="4"/>
        </w:rPr>
        <w:t>JK</w:t>
      </w:r>
      <w:r w:rsidR="00BB3209" w:rsidRPr="00184F85">
        <w:rPr>
          <w:rFonts w:ascii="Lato" w:hAnsi="Lato"/>
          <w:spacing w:val="4"/>
        </w:rPr>
        <w:t>.</w:t>
      </w:r>
      <w:r w:rsidR="00DD03DD" w:rsidRPr="00184F85">
        <w:rPr>
          <w:rFonts w:ascii="Lato" w:hAnsi="Lato"/>
          <w:spacing w:val="4"/>
        </w:rPr>
        <w:t>18</w:t>
      </w:r>
    </w:p>
    <w:p w14:paraId="45F8E480" w14:textId="2C981EC7" w:rsidR="009276B2" w:rsidRPr="000F07A9" w:rsidRDefault="0087162F" w:rsidP="00C260A9">
      <w:pPr>
        <w:spacing w:after="720" w:line="240" w:lineRule="exact"/>
        <w:rPr>
          <w:rFonts w:ascii="Lato" w:hAnsi="Lato"/>
          <w:spacing w:val="4"/>
        </w:rPr>
      </w:pPr>
      <w:r w:rsidRPr="000F07A9">
        <w:rPr>
          <w:rFonts w:ascii="Lato" w:hAnsi="Lato"/>
          <w:spacing w:val="4"/>
        </w:rPr>
        <w:t>Warszawa,</w:t>
      </w:r>
      <w:r w:rsidR="001D45A5" w:rsidRPr="000F07A9">
        <w:rPr>
          <w:rFonts w:ascii="Lato" w:hAnsi="Lato"/>
          <w:spacing w:val="4"/>
        </w:rPr>
        <w:t xml:space="preserve"> </w:t>
      </w:r>
      <w:r w:rsidR="00B37583">
        <w:rPr>
          <w:rFonts w:ascii="Lato" w:hAnsi="Lato"/>
          <w:spacing w:val="4"/>
        </w:rPr>
        <w:t>7</w:t>
      </w:r>
      <w:r w:rsidR="001D45A5" w:rsidRPr="000F07A9">
        <w:rPr>
          <w:rFonts w:ascii="Lato" w:hAnsi="Lato"/>
          <w:spacing w:val="4"/>
        </w:rPr>
        <w:t xml:space="preserve"> </w:t>
      </w:r>
      <w:r w:rsidR="00DD03DD" w:rsidRPr="000F07A9">
        <w:rPr>
          <w:rFonts w:ascii="Lato" w:hAnsi="Lato"/>
          <w:spacing w:val="4"/>
        </w:rPr>
        <w:t>lipca</w:t>
      </w:r>
      <w:r w:rsidR="0076117A" w:rsidRPr="000F07A9">
        <w:rPr>
          <w:rFonts w:ascii="Lato" w:hAnsi="Lato"/>
          <w:spacing w:val="4"/>
        </w:rPr>
        <w:t xml:space="preserve"> 202</w:t>
      </w:r>
      <w:r w:rsidR="00BB3209" w:rsidRPr="000F07A9">
        <w:rPr>
          <w:rFonts w:ascii="Lato" w:hAnsi="Lato"/>
          <w:spacing w:val="4"/>
        </w:rPr>
        <w:t>6</w:t>
      </w:r>
      <w:r w:rsidR="0076117A" w:rsidRPr="000F07A9">
        <w:rPr>
          <w:rFonts w:ascii="Lato" w:hAnsi="Lato"/>
          <w:spacing w:val="4"/>
        </w:rPr>
        <w:t xml:space="preserve"> r.</w:t>
      </w:r>
      <w:r w:rsidR="000469AD" w:rsidRPr="000F07A9">
        <w:rPr>
          <w:rFonts w:ascii="Lato" w:hAnsi="Lato"/>
          <w:spacing w:val="4"/>
        </w:rPr>
        <w:t xml:space="preserve"> </w:t>
      </w:r>
    </w:p>
    <w:p w14:paraId="634FB89B" w14:textId="77777777" w:rsidR="00F84E8C" w:rsidRPr="000F07A9" w:rsidRDefault="00F84E8C" w:rsidP="00F84E8C">
      <w:pPr>
        <w:spacing w:after="360" w:line="240" w:lineRule="exact"/>
        <w:jc w:val="center"/>
        <w:rPr>
          <w:rFonts w:ascii="Lato" w:hAnsi="Lato"/>
        </w:rPr>
      </w:pPr>
      <w:r w:rsidRPr="000F07A9">
        <w:rPr>
          <w:rFonts w:ascii="Lato" w:hAnsi="Lato"/>
          <w:b/>
        </w:rPr>
        <w:t>DECYZJA</w:t>
      </w:r>
    </w:p>
    <w:p w14:paraId="0469F452" w14:textId="4E7D9EEA" w:rsidR="00F84E8C" w:rsidRPr="000F07A9" w:rsidRDefault="00F84E8C" w:rsidP="00B40594">
      <w:pPr>
        <w:widowControl w:val="0"/>
        <w:spacing w:after="240" w:line="240" w:lineRule="exact"/>
        <w:ind w:right="40"/>
        <w:jc w:val="both"/>
        <w:rPr>
          <w:rFonts w:ascii="Lato" w:hAnsi="Lato" w:cs="Arial"/>
          <w:spacing w:val="4"/>
        </w:rPr>
      </w:pPr>
      <w:r w:rsidRPr="000F07A9">
        <w:rPr>
          <w:rFonts w:ascii="Lato" w:eastAsia="Times New Roman" w:hAnsi="Lato" w:cs="Arial"/>
          <w:color w:val="000000"/>
          <w:spacing w:val="4"/>
          <w:lang w:eastAsia="pl-PL"/>
        </w:rPr>
        <w:t xml:space="preserve">Na podstawie art. 138 § 1 pkt </w:t>
      </w:r>
      <w:r w:rsidR="00BF6894" w:rsidRPr="000F07A9">
        <w:rPr>
          <w:rFonts w:ascii="Lato" w:eastAsia="Times New Roman" w:hAnsi="Lato" w:cs="Arial"/>
          <w:color w:val="000000"/>
          <w:spacing w:val="4"/>
          <w:lang w:eastAsia="pl-PL"/>
        </w:rPr>
        <w:t>2</w:t>
      </w:r>
      <w:r w:rsidRPr="000F07A9">
        <w:rPr>
          <w:rFonts w:ascii="Lato" w:eastAsia="Times New Roman" w:hAnsi="Lato" w:cs="Arial"/>
          <w:color w:val="000000"/>
          <w:spacing w:val="4"/>
          <w:lang w:eastAsia="pl-PL"/>
        </w:rPr>
        <w:t xml:space="preserve"> ustawy z dnia 14 czerwca 1960 r. - Kodeks postępowania administracyjnego (t.j. </w:t>
      </w:r>
      <w:r w:rsidR="00A00640" w:rsidRPr="000F07A9">
        <w:rPr>
          <w:rFonts w:ascii="Lato" w:eastAsia="Times New Roman" w:hAnsi="Lato" w:cs="Arial"/>
          <w:color w:val="000000"/>
          <w:spacing w:val="4"/>
          <w:lang w:eastAsia="pl-PL"/>
        </w:rPr>
        <w:t>Dz.U. z 2025 r. poz. 1691</w:t>
      </w:r>
      <w:r w:rsidRPr="000F07A9">
        <w:rPr>
          <w:rFonts w:ascii="Lato" w:eastAsia="Times New Roman" w:hAnsi="Lato" w:cs="Arial"/>
          <w:color w:val="000000"/>
          <w:spacing w:val="4"/>
          <w:lang w:eastAsia="pl-PL"/>
        </w:rPr>
        <w:t>), zwanej dalej „kpa</w:t>
      </w:r>
      <w:r w:rsidR="006610C5" w:rsidRPr="000F07A9">
        <w:rPr>
          <w:rFonts w:ascii="Lato" w:eastAsia="Times New Roman" w:hAnsi="Lato" w:cs="Arial"/>
          <w:color w:val="000000"/>
          <w:spacing w:val="4"/>
          <w:lang w:eastAsia="pl-PL"/>
        </w:rPr>
        <w:t>”</w:t>
      </w:r>
      <w:r w:rsidRPr="000F07A9">
        <w:rPr>
          <w:rFonts w:ascii="Lato" w:eastAsia="Times New Roman" w:hAnsi="Lato" w:cs="Arial"/>
          <w:color w:val="000000"/>
          <w:spacing w:val="4"/>
          <w:lang w:eastAsia="pl-PL"/>
        </w:rPr>
        <w:t xml:space="preserve">, </w:t>
      </w:r>
      <w:r w:rsidR="009B154E" w:rsidRPr="000F07A9">
        <w:rPr>
          <w:rFonts w:ascii="Lato" w:hAnsi="Lato" w:cs="Arial"/>
          <w:spacing w:val="4"/>
        </w:rPr>
        <w:t xml:space="preserve">oraz art. 5 ust. 3 </w:t>
      </w:r>
      <w:r w:rsidR="004E05D0">
        <w:rPr>
          <w:rFonts w:ascii="Lato" w:hAnsi="Lato" w:cs="Arial"/>
          <w:spacing w:val="4"/>
        </w:rPr>
        <w:br/>
      </w:r>
      <w:r w:rsidR="009B154E" w:rsidRPr="000F07A9">
        <w:rPr>
          <w:rFonts w:ascii="Lato" w:hAnsi="Lato" w:cs="Arial"/>
          <w:spacing w:val="4"/>
        </w:rPr>
        <w:t xml:space="preserve">w zw. z art. 39 ust. 1 </w:t>
      </w:r>
      <w:bookmarkStart w:id="2" w:name="_Hlk144907730"/>
      <w:r w:rsidR="009B154E" w:rsidRPr="000F07A9">
        <w:rPr>
          <w:rFonts w:ascii="Lato" w:hAnsi="Lato" w:cs="Arial"/>
          <w:spacing w:val="4"/>
        </w:rPr>
        <w:t xml:space="preserve">ustawy z dnia 24 kwietnia 2009 r. o inwestycjach w zakresie terminalu regazyfikacyjnego skroplonego gazu ziemnego w Świnoujściu </w:t>
      </w:r>
      <w:bookmarkEnd w:id="2"/>
      <w:r w:rsidR="009B154E" w:rsidRPr="000F07A9">
        <w:rPr>
          <w:rFonts w:ascii="Lato" w:hAnsi="Lato" w:cs="Arial"/>
          <w:spacing w:val="4"/>
        </w:rPr>
        <w:t xml:space="preserve">(t.j. Dz.U. </w:t>
      </w:r>
      <w:r w:rsidR="00184F85">
        <w:rPr>
          <w:rFonts w:ascii="Lato" w:hAnsi="Lato" w:cs="Arial"/>
          <w:spacing w:val="4"/>
        </w:rPr>
        <w:br/>
      </w:r>
      <w:r w:rsidR="009B154E" w:rsidRPr="000F07A9">
        <w:rPr>
          <w:rFonts w:ascii="Lato" w:hAnsi="Lato" w:cs="Arial"/>
          <w:spacing w:val="4"/>
        </w:rPr>
        <w:t>z 2025 r. poz. 1222), zwanej dalej „specustawą gazową”, po rozpatrzeniu odwoła</w:t>
      </w:r>
      <w:r w:rsidR="00DD03DD" w:rsidRPr="000F07A9">
        <w:rPr>
          <w:rFonts w:ascii="Lato" w:hAnsi="Lato" w:cs="Arial"/>
          <w:spacing w:val="4"/>
        </w:rPr>
        <w:t>nia</w:t>
      </w:r>
      <w:r w:rsidR="009B154E" w:rsidRPr="000F07A9">
        <w:rPr>
          <w:rFonts w:ascii="Lato" w:hAnsi="Lato" w:cs="Arial"/>
          <w:spacing w:val="4"/>
        </w:rPr>
        <w:t xml:space="preserve"> Pana </w:t>
      </w:r>
      <w:r w:rsidR="00DD03DD" w:rsidRPr="000F07A9">
        <w:rPr>
          <w:rFonts w:ascii="Lato" w:hAnsi="Lato" w:cs="Arial"/>
          <w:spacing w:val="4"/>
        </w:rPr>
        <w:t>P</w:t>
      </w:r>
      <w:r w:rsidR="00423BF9">
        <w:rPr>
          <w:rFonts w:ascii="Lato" w:hAnsi="Lato" w:cs="Arial"/>
          <w:spacing w:val="4"/>
        </w:rPr>
        <w:t>.</w:t>
      </w:r>
      <w:r w:rsidR="00DD03DD" w:rsidRPr="000F07A9">
        <w:rPr>
          <w:rFonts w:ascii="Lato" w:hAnsi="Lato" w:cs="Arial"/>
          <w:spacing w:val="4"/>
        </w:rPr>
        <w:t xml:space="preserve"> L</w:t>
      </w:r>
      <w:r w:rsidR="00423BF9">
        <w:rPr>
          <w:rFonts w:ascii="Lato" w:hAnsi="Lato" w:cs="Arial"/>
          <w:spacing w:val="4"/>
        </w:rPr>
        <w:t>.</w:t>
      </w:r>
      <w:r w:rsidR="00DD03DD" w:rsidRPr="000F07A9">
        <w:rPr>
          <w:rFonts w:ascii="Lato" w:hAnsi="Lato" w:cs="Arial"/>
          <w:spacing w:val="4"/>
        </w:rPr>
        <w:t xml:space="preserve"> </w:t>
      </w:r>
      <w:r w:rsidRPr="000F07A9">
        <w:rPr>
          <w:rFonts w:ascii="Lato" w:eastAsia="Times New Roman" w:hAnsi="Lato" w:cs="Arial"/>
          <w:color w:val="000000"/>
          <w:spacing w:val="4"/>
          <w:lang w:eastAsia="pl-PL"/>
        </w:rPr>
        <w:t>od decyzji</w:t>
      </w:r>
      <w:r w:rsidR="009B154E" w:rsidRPr="000F07A9">
        <w:rPr>
          <w:rFonts w:ascii="Lato" w:hAnsi="Lato" w:cs="Arial"/>
          <w:bCs/>
          <w:spacing w:val="4"/>
        </w:rPr>
        <w:t xml:space="preserve"> </w:t>
      </w:r>
      <w:r w:rsidR="00DD03DD" w:rsidRPr="000F07A9">
        <w:rPr>
          <w:rFonts w:ascii="Lato" w:hAnsi="Lato" w:cs="Arial"/>
          <w:bCs/>
          <w:spacing w:val="4"/>
        </w:rPr>
        <w:t xml:space="preserve">Wojewody Opolskiego z dnia 24 lipca 2023 r., znak: IN.I.747.7.2023.AZ, </w:t>
      </w:r>
      <w:bookmarkStart w:id="3" w:name="_Hlk150940095"/>
      <w:r w:rsidR="00DD03DD" w:rsidRPr="000F07A9">
        <w:rPr>
          <w:rFonts w:ascii="Lato" w:hAnsi="Lato" w:cs="Arial"/>
          <w:bCs/>
          <w:spacing w:val="4"/>
        </w:rPr>
        <w:t>o ustaleniu lokalizacji inwestycji towarzyszącej inwestycj</w:t>
      </w:r>
      <w:r w:rsidR="00153D84">
        <w:rPr>
          <w:rFonts w:ascii="Lato" w:hAnsi="Lato" w:cs="Arial"/>
          <w:bCs/>
          <w:spacing w:val="4"/>
        </w:rPr>
        <w:t>om</w:t>
      </w:r>
      <w:r w:rsidR="00DD03DD" w:rsidRPr="000F07A9">
        <w:rPr>
          <w:rFonts w:ascii="Lato" w:hAnsi="Lato" w:cs="Arial"/>
          <w:bCs/>
          <w:spacing w:val="4"/>
        </w:rPr>
        <w:t xml:space="preserve"> </w:t>
      </w:r>
      <w:r w:rsidR="004E05D0">
        <w:rPr>
          <w:rFonts w:ascii="Lato" w:hAnsi="Lato" w:cs="Arial"/>
          <w:bCs/>
          <w:spacing w:val="4"/>
        </w:rPr>
        <w:br/>
      </w:r>
      <w:r w:rsidR="00DD03DD" w:rsidRPr="000F07A9">
        <w:rPr>
          <w:rFonts w:ascii="Lato" w:hAnsi="Lato" w:cs="Arial"/>
          <w:bCs/>
          <w:spacing w:val="4"/>
        </w:rPr>
        <w:t xml:space="preserve">w zakresie terminalu </w:t>
      </w:r>
      <w:bookmarkEnd w:id="3"/>
      <w:r w:rsidR="00DD03DD" w:rsidRPr="000F07A9">
        <w:rPr>
          <w:rFonts w:ascii="Lato" w:hAnsi="Lato" w:cs="Arial"/>
          <w:bCs/>
          <w:spacing w:val="4"/>
        </w:rPr>
        <w:t>regazyfikacyjnego skroplonego gazu ziemnego w Świnoujściu dla inwestycji pn.: „Budowa gazociągu DN500, MOP 8,4MPa relacji Lewin Brzeski - Nysa wraz z odgałęzieniami do SG - Lewin Brzeski; Skoroszyce; Grodków ul. Żeromskiego; Grodków ul. Warszawska”</w:t>
      </w:r>
      <w:r w:rsidRPr="000F07A9">
        <w:rPr>
          <w:rFonts w:ascii="Lato" w:eastAsia="Times New Roman" w:hAnsi="Lato" w:cs="Arial"/>
          <w:color w:val="000000"/>
          <w:spacing w:val="4"/>
          <w:lang w:eastAsia="pl-PL"/>
        </w:rPr>
        <w:t>,</w:t>
      </w:r>
    </w:p>
    <w:p w14:paraId="3123385A" w14:textId="77777777" w:rsidR="005A2964" w:rsidRPr="000F07A9" w:rsidRDefault="005A2964" w:rsidP="00B40594">
      <w:pPr>
        <w:numPr>
          <w:ilvl w:val="0"/>
          <w:numId w:val="29"/>
        </w:numPr>
        <w:tabs>
          <w:tab w:val="left" w:pos="284"/>
        </w:tabs>
        <w:spacing w:after="240" w:line="240" w:lineRule="exact"/>
        <w:ind w:left="426" w:hanging="284"/>
        <w:jc w:val="both"/>
        <w:rPr>
          <w:rFonts w:ascii="Lato" w:eastAsia="Times New Roman" w:hAnsi="Lato" w:cs="Arial"/>
          <w:b/>
          <w:spacing w:val="4"/>
          <w:lang w:eastAsia="pl-PL"/>
        </w:rPr>
      </w:pPr>
      <w:r w:rsidRPr="000F07A9">
        <w:rPr>
          <w:rFonts w:ascii="Lato" w:eastAsia="Times New Roman" w:hAnsi="Lato" w:cs="Arial"/>
          <w:b/>
          <w:spacing w:val="4"/>
          <w:lang w:eastAsia="pl-PL"/>
        </w:rPr>
        <w:t>Uchylam:</w:t>
      </w:r>
    </w:p>
    <w:p w14:paraId="038F0559" w14:textId="1C39720C" w:rsidR="00327879" w:rsidRPr="00184F85" w:rsidRDefault="00327879" w:rsidP="00C260A9">
      <w:pPr>
        <w:numPr>
          <w:ilvl w:val="0"/>
          <w:numId w:val="30"/>
        </w:numPr>
        <w:spacing w:after="240" w:line="240" w:lineRule="exact"/>
        <w:ind w:left="567" w:hanging="283"/>
        <w:jc w:val="both"/>
        <w:rPr>
          <w:rFonts w:ascii="Lato" w:hAnsi="Lato" w:cs="Arial"/>
          <w:bCs/>
          <w:spacing w:val="4"/>
          <w:lang w:bidi="pl-PL"/>
        </w:rPr>
      </w:pPr>
      <w:bookmarkStart w:id="4" w:name="_Hlk170371860"/>
      <w:r w:rsidRPr="00184F85">
        <w:rPr>
          <w:rFonts w:ascii="Lato" w:eastAsia="Times New Roman" w:hAnsi="Lato" w:cs="Arial"/>
          <w:spacing w:val="4"/>
          <w:lang w:eastAsia="pl-PL"/>
        </w:rPr>
        <w:t>w rozstrzygnięciu zaskarżonej decyzji</w:t>
      </w:r>
      <w:r w:rsidRPr="00184F85">
        <w:rPr>
          <w:rFonts w:ascii="Lato" w:hAnsi="Lato" w:cs="Arial"/>
          <w:bCs/>
          <w:spacing w:val="4"/>
          <w:lang w:bidi="pl-PL"/>
        </w:rPr>
        <w:t>, znajdujący się na stronie 10, w wierszu 4, licząc od dołu strony, zapis:</w:t>
      </w:r>
    </w:p>
    <w:p w14:paraId="0FB73C3F" w14:textId="402EF7A9" w:rsidR="00327879" w:rsidRPr="000F07A9" w:rsidRDefault="00327879" w:rsidP="00C260A9">
      <w:pPr>
        <w:spacing w:after="240" w:line="240" w:lineRule="exact"/>
        <w:ind w:left="567"/>
        <w:jc w:val="both"/>
        <w:rPr>
          <w:rFonts w:ascii="Lato" w:hAnsi="Lato" w:cs="Arial"/>
          <w:bCs/>
          <w:spacing w:val="4"/>
          <w:lang w:bidi="pl-PL"/>
        </w:rPr>
      </w:pPr>
      <w:r w:rsidRPr="00184F85">
        <w:rPr>
          <w:rFonts w:ascii="Lato" w:eastAsia="Times New Roman" w:hAnsi="Lato" w:cs="Arial"/>
          <w:bCs/>
          <w:spacing w:val="4"/>
          <w:lang w:eastAsia="pl-PL" w:bidi="pl-PL"/>
        </w:rPr>
        <w:t>„</w:t>
      </w:r>
      <w:r w:rsidRPr="00184F85">
        <w:rPr>
          <w:rFonts w:ascii="Lato" w:eastAsia="Calibri" w:hAnsi="Lato" w:cs="Arial"/>
          <w:spacing w:val="4"/>
        </w:rPr>
        <w:t xml:space="preserve">32 (KW </w:t>
      </w:r>
      <w:r w:rsidR="00423BF9">
        <w:rPr>
          <w:rFonts w:ascii="Lato" w:eastAsia="Calibri" w:hAnsi="Lato" w:cs="Arial"/>
          <w:spacing w:val="4"/>
        </w:rPr>
        <w:t xml:space="preserve"> </w:t>
      </w:r>
      <w:r w:rsidRPr="00184F85">
        <w:rPr>
          <w:rFonts w:ascii="Lato" w:eastAsia="Calibri" w:hAnsi="Lato" w:cs="Arial"/>
          <w:spacing w:val="4"/>
        </w:rPr>
        <w:t>),</w:t>
      </w:r>
      <w:r w:rsidRPr="00184F85">
        <w:rPr>
          <w:rFonts w:ascii="Lato" w:eastAsia="Times New Roman" w:hAnsi="Lato" w:cs="Arial"/>
          <w:bCs/>
          <w:spacing w:val="4"/>
          <w:lang w:eastAsia="pl-PL" w:bidi="pl-PL"/>
        </w:rPr>
        <w:t>”,</w:t>
      </w:r>
    </w:p>
    <w:p w14:paraId="2A2486B9" w14:textId="77DEEAA4" w:rsidR="00327879" w:rsidRPr="00184F85" w:rsidRDefault="00327879" w:rsidP="00C260A9">
      <w:pPr>
        <w:numPr>
          <w:ilvl w:val="0"/>
          <w:numId w:val="30"/>
        </w:numPr>
        <w:spacing w:after="240" w:line="240" w:lineRule="exact"/>
        <w:ind w:left="567" w:hanging="283"/>
        <w:jc w:val="both"/>
        <w:rPr>
          <w:rFonts w:ascii="Lato" w:hAnsi="Lato" w:cs="Arial"/>
          <w:bCs/>
          <w:spacing w:val="4"/>
          <w:lang w:bidi="pl-PL"/>
        </w:rPr>
      </w:pPr>
      <w:r w:rsidRPr="00184F85">
        <w:rPr>
          <w:rFonts w:ascii="Lato" w:eastAsia="Times New Roman" w:hAnsi="Lato" w:cs="Arial"/>
          <w:spacing w:val="4"/>
          <w:lang w:eastAsia="pl-PL"/>
        </w:rPr>
        <w:t>w rozstrzygnięciu zaskarżonej decyzji, tabelę znajdującą się w pkt X.3 – w</w:t>
      </w:r>
      <w:r w:rsidR="00A854E1" w:rsidRPr="00184F85">
        <w:rPr>
          <w:rFonts w:ascii="Lato" w:eastAsia="Times New Roman" w:hAnsi="Lato" w:cs="Arial"/>
          <w:spacing w:val="4"/>
          <w:lang w:eastAsia="pl-PL"/>
        </w:rPr>
        <w:t xml:space="preserve"> </w:t>
      </w:r>
      <w:r w:rsidRPr="00184F85">
        <w:rPr>
          <w:rFonts w:ascii="Lato" w:eastAsia="Times New Roman" w:hAnsi="Lato" w:cs="Arial"/>
          <w:spacing w:val="4"/>
          <w:lang w:eastAsia="pl-PL"/>
        </w:rPr>
        <w:t>zakresie znajdującej się na stronie 53 pozycj</w:t>
      </w:r>
      <w:r w:rsidR="00A854E1" w:rsidRPr="00184F85">
        <w:rPr>
          <w:rFonts w:ascii="Lato" w:eastAsia="Times New Roman" w:hAnsi="Lato" w:cs="Arial"/>
          <w:spacing w:val="4"/>
          <w:lang w:eastAsia="pl-PL"/>
        </w:rPr>
        <w:t>i</w:t>
      </w:r>
      <w:r w:rsidRPr="00184F85">
        <w:rPr>
          <w:rFonts w:ascii="Lato" w:eastAsia="Times New Roman" w:hAnsi="Lato" w:cs="Arial"/>
          <w:spacing w:val="4"/>
          <w:lang w:eastAsia="pl-PL"/>
        </w:rPr>
        <w:t xml:space="preserve"> nr 587</w:t>
      </w:r>
      <w:r w:rsidR="006D4C3F" w:rsidRPr="00184F85">
        <w:rPr>
          <w:rFonts w:ascii="Lato" w:eastAsia="Times New Roman" w:hAnsi="Lato" w:cs="Arial"/>
          <w:spacing w:val="4"/>
          <w:lang w:eastAsia="pl-PL"/>
        </w:rPr>
        <w:t xml:space="preserve"> dotyczącej działki nr 32, z obrębu Brzeziny, gmina Skoroszyce</w:t>
      </w:r>
      <w:r w:rsidR="00184F85" w:rsidRPr="00C260A9">
        <w:rPr>
          <w:rFonts w:ascii="Lato" w:eastAsia="Times New Roman" w:hAnsi="Lato" w:cs="Arial"/>
          <w:spacing w:val="4"/>
          <w:lang w:eastAsia="pl-PL"/>
        </w:rPr>
        <w:t>,</w:t>
      </w:r>
    </w:p>
    <w:p w14:paraId="6BD96C38" w14:textId="4336AB65" w:rsidR="005A2964" w:rsidRPr="00184F85" w:rsidRDefault="006D4C3F" w:rsidP="00B40594">
      <w:pPr>
        <w:numPr>
          <w:ilvl w:val="0"/>
          <w:numId w:val="30"/>
        </w:numPr>
        <w:spacing w:after="240" w:line="240" w:lineRule="exact"/>
        <w:ind w:left="567" w:hanging="283"/>
        <w:jc w:val="both"/>
        <w:rPr>
          <w:rFonts w:ascii="Lato" w:eastAsia="Times New Roman" w:hAnsi="Lato" w:cs="Arial"/>
          <w:spacing w:val="4"/>
          <w:lang w:eastAsia="pl-PL"/>
        </w:rPr>
      </w:pPr>
      <w:r w:rsidRPr="00184F85">
        <w:rPr>
          <w:rFonts w:ascii="Lato" w:eastAsia="Times New Roman" w:hAnsi="Lato" w:cs="Arial"/>
          <w:spacing w:val="4"/>
          <w:lang w:eastAsia="pl-PL"/>
        </w:rPr>
        <w:t xml:space="preserve">arkusz nr 56/93 </w:t>
      </w:r>
      <w:r w:rsidR="006E78F5" w:rsidRPr="00184F85">
        <w:rPr>
          <w:rFonts w:ascii="Lato" w:eastAsia="Times New Roman" w:hAnsi="Lato" w:cs="Arial"/>
          <w:spacing w:val="4"/>
          <w:lang w:eastAsia="pl-PL"/>
        </w:rPr>
        <w:t>mapy określającej granice terenu objętego inwestycją</w:t>
      </w:r>
      <w:r w:rsidR="005A2964" w:rsidRPr="00184F85">
        <w:rPr>
          <w:rFonts w:ascii="Lato" w:eastAsia="Times New Roman" w:hAnsi="Lato" w:cs="Arial"/>
          <w:spacing w:val="4"/>
          <w:lang w:eastAsia="pl-PL"/>
        </w:rPr>
        <w:t>, stanowiąc</w:t>
      </w:r>
      <w:r w:rsidRPr="00184F85">
        <w:rPr>
          <w:rFonts w:ascii="Lato" w:eastAsia="Times New Roman" w:hAnsi="Lato" w:cs="Arial"/>
          <w:spacing w:val="4"/>
          <w:lang w:eastAsia="pl-PL"/>
        </w:rPr>
        <w:t>ej</w:t>
      </w:r>
      <w:r w:rsidR="005A2964" w:rsidRPr="00184F85">
        <w:rPr>
          <w:rFonts w:ascii="Lato" w:eastAsia="Times New Roman" w:hAnsi="Lato" w:cs="Arial"/>
          <w:spacing w:val="4"/>
          <w:lang w:eastAsia="pl-PL"/>
        </w:rPr>
        <w:t xml:space="preserve"> załącznik nr 1 do zaskarżonej decyzji,</w:t>
      </w:r>
    </w:p>
    <w:bookmarkEnd w:id="4"/>
    <w:p w14:paraId="0F198919" w14:textId="77777777" w:rsidR="005A2964" w:rsidRPr="000F07A9" w:rsidRDefault="005A2964" w:rsidP="00C260A9">
      <w:pPr>
        <w:spacing w:after="240" w:line="240" w:lineRule="exact"/>
        <w:ind w:left="284"/>
        <w:jc w:val="both"/>
        <w:rPr>
          <w:rFonts w:ascii="Lato" w:eastAsia="Times New Roman" w:hAnsi="Lato" w:cs="Arial"/>
          <w:b/>
          <w:spacing w:val="4"/>
          <w:lang w:eastAsia="pl-PL"/>
        </w:rPr>
      </w:pPr>
      <w:r w:rsidRPr="000F07A9">
        <w:rPr>
          <w:rFonts w:ascii="Lato" w:eastAsia="Times New Roman" w:hAnsi="Lato" w:cs="Arial"/>
          <w:b/>
          <w:spacing w:val="4"/>
          <w:lang w:eastAsia="pl-PL"/>
        </w:rPr>
        <w:t xml:space="preserve">i orzekam w tym zakresie </w:t>
      </w:r>
      <w:r w:rsidRPr="000F07A9">
        <w:rPr>
          <w:rFonts w:ascii="Lato" w:eastAsia="Times New Roman" w:hAnsi="Lato" w:cs="Arial"/>
          <w:spacing w:val="4"/>
          <w:lang w:eastAsia="pl-PL"/>
        </w:rPr>
        <w:t>poprzez:</w:t>
      </w:r>
    </w:p>
    <w:p w14:paraId="027F0E6D" w14:textId="235A2520" w:rsidR="004E10D9" w:rsidRPr="00184F85" w:rsidRDefault="004E10D9" w:rsidP="00B40594">
      <w:pPr>
        <w:numPr>
          <w:ilvl w:val="0"/>
          <w:numId w:val="30"/>
        </w:numPr>
        <w:spacing w:after="240" w:line="240" w:lineRule="exact"/>
        <w:ind w:left="568" w:hanging="284"/>
        <w:jc w:val="both"/>
        <w:rPr>
          <w:rFonts w:ascii="Lato" w:eastAsia="Times New Roman" w:hAnsi="Lato" w:cs="Arial"/>
          <w:spacing w:val="4"/>
          <w:lang w:eastAsia="pl-PL"/>
        </w:rPr>
      </w:pPr>
      <w:r w:rsidRPr="00184F85">
        <w:rPr>
          <w:rFonts w:ascii="Lato" w:eastAsia="Times New Roman" w:hAnsi="Lato" w:cs="Arial"/>
          <w:bCs/>
          <w:spacing w:val="4"/>
          <w:lang w:eastAsia="pl-PL" w:bidi="pl-PL"/>
        </w:rPr>
        <w:t xml:space="preserve">ustalenie, w rozstrzygnięciu zaskarżonej decyzji, </w:t>
      </w:r>
      <w:r w:rsidR="00DC77DC" w:rsidRPr="00184F85">
        <w:rPr>
          <w:rFonts w:ascii="Lato" w:eastAsia="Times New Roman" w:hAnsi="Lato" w:cs="Arial"/>
          <w:bCs/>
          <w:spacing w:val="4"/>
          <w:lang w:eastAsia="pl-PL" w:bidi="pl-PL"/>
        </w:rPr>
        <w:t xml:space="preserve">poprzez dodanie </w:t>
      </w:r>
      <w:r w:rsidRPr="00184F85">
        <w:rPr>
          <w:rFonts w:ascii="Lato" w:eastAsia="Times New Roman" w:hAnsi="Lato" w:cs="Arial"/>
          <w:bCs/>
          <w:spacing w:val="4"/>
          <w:lang w:eastAsia="pl-PL" w:bidi="pl-PL"/>
        </w:rPr>
        <w:t xml:space="preserve">na stronie 79, </w:t>
      </w:r>
      <w:r w:rsidR="004F32FD" w:rsidRPr="00184F85">
        <w:rPr>
          <w:rFonts w:ascii="Lato" w:eastAsia="Times New Roman" w:hAnsi="Lato" w:cs="Arial"/>
          <w:bCs/>
          <w:spacing w:val="4"/>
          <w:lang w:eastAsia="pl-PL" w:bidi="pl-PL"/>
        </w:rPr>
        <w:br/>
      </w:r>
      <w:r w:rsidR="00DC77DC" w:rsidRPr="00184F85">
        <w:rPr>
          <w:rFonts w:ascii="Lato" w:eastAsia="Calibri" w:hAnsi="Lato" w:cs="Arial"/>
          <w:spacing w:val="4"/>
        </w:rPr>
        <w:t xml:space="preserve">po zapisie znajdującym się w wierszu </w:t>
      </w:r>
      <w:r w:rsidR="00084F55" w:rsidRPr="00184F85">
        <w:rPr>
          <w:rFonts w:ascii="Lato" w:eastAsia="Times New Roman" w:hAnsi="Lato" w:cs="Arial"/>
          <w:bCs/>
          <w:spacing w:val="4"/>
          <w:lang w:eastAsia="pl-PL" w:bidi="pl-PL"/>
        </w:rPr>
        <w:t>1</w:t>
      </w:r>
      <w:r w:rsidR="004F32FD" w:rsidRPr="00184F85">
        <w:rPr>
          <w:rFonts w:ascii="Lato" w:eastAsia="Times New Roman" w:hAnsi="Lato" w:cs="Arial"/>
          <w:bCs/>
          <w:spacing w:val="4"/>
          <w:lang w:eastAsia="pl-PL" w:bidi="pl-PL"/>
        </w:rPr>
        <w:t>5</w:t>
      </w:r>
      <w:r w:rsidRPr="00184F85">
        <w:rPr>
          <w:rFonts w:ascii="Lato" w:eastAsia="Times New Roman" w:hAnsi="Lato" w:cs="Arial"/>
          <w:bCs/>
          <w:spacing w:val="4"/>
          <w:lang w:eastAsia="pl-PL" w:bidi="pl-PL"/>
        </w:rPr>
        <w:t>, licząc od góry strony, nowego zapisu:</w:t>
      </w:r>
    </w:p>
    <w:p w14:paraId="4FE67B6D" w14:textId="739484A8" w:rsidR="004E10D9" w:rsidRPr="000F07A9" w:rsidRDefault="004E10D9" w:rsidP="00C260A9">
      <w:pPr>
        <w:pStyle w:val="Akapitzlist"/>
        <w:spacing w:after="240" w:line="240" w:lineRule="exact"/>
        <w:ind w:left="568"/>
        <w:contextualSpacing w:val="0"/>
        <w:jc w:val="both"/>
        <w:rPr>
          <w:rFonts w:ascii="Lato" w:hAnsi="Lato" w:cs="Arial"/>
          <w:bCs/>
          <w:spacing w:val="4"/>
          <w:sz w:val="22"/>
          <w:szCs w:val="22"/>
          <w:lang w:bidi="pl-PL"/>
        </w:rPr>
      </w:pPr>
      <w:r w:rsidRPr="00184F85">
        <w:rPr>
          <w:rFonts w:ascii="Lato" w:hAnsi="Lato" w:cs="Arial"/>
          <w:bCs/>
          <w:spacing w:val="4"/>
          <w:sz w:val="22"/>
          <w:szCs w:val="22"/>
          <w:lang w:bidi="pl-PL"/>
        </w:rPr>
        <w:t>„</w:t>
      </w:r>
      <w:r w:rsidR="002A60EC" w:rsidRPr="00184F85">
        <w:rPr>
          <w:rFonts w:ascii="Lato" w:hAnsi="Lato" w:cs="Arial"/>
          <w:bCs/>
          <w:spacing w:val="4"/>
          <w:sz w:val="22"/>
          <w:szCs w:val="22"/>
          <w:lang w:bidi="pl-PL"/>
        </w:rPr>
        <w:t xml:space="preserve">Projektowany </w:t>
      </w:r>
      <w:r w:rsidR="002A60EC" w:rsidRPr="00184F85">
        <w:rPr>
          <w:rFonts w:ascii="Lato" w:eastAsia="Calibri" w:hAnsi="Lato" w:cs="Arial"/>
          <w:spacing w:val="4"/>
          <w:sz w:val="22"/>
          <w:szCs w:val="22"/>
        </w:rPr>
        <w:t>z</w:t>
      </w:r>
      <w:r w:rsidR="00A40E81" w:rsidRPr="00184F85">
        <w:rPr>
          <w:rFonts w:ascii="Lato" w:eastAsia="Calibri" w:hAnsi="Lato" w:cs="Arial"/>
          <w:spacing w:val="4"/>
          <w:sz w:val="22"/>
          <w:szCs w:val="22"/>
          <w:lang w:eastAsia="en-US"/>
        </w:rPr>
        <w:t xml:space="preserve">jazd na czas stały </w:t>
      </w:r>
      <w:r w:rsidR="00A40E81" w:rsidRPr="00184F85">
        <w:rPr>
          <w:rFonts w:ascii="Lato" w:hAnsi="Lato" w:cs="Arial"/>
          <w:bCs/>
          <w:spacing w:val="4"/>
          <w:sz w:val="22"/>
          <w:szCs w:val="22"/>
          <w:lang w:bidi="pl-PL"/>
        </w:rPr>
        <w:t xml:space="preserve">będzie posiadał </w:t>
      </w:r>
      <w:r w:rsidRPr="00184F85">
        <w:rPr>
          <w:rFonts w:ascii="Lato" w:hAnsi="Lato" w:cs="Arial"/>
          <w:bCs/>
          <w:spacing w:val="4"/>
          <w:sz w:val="22"/>
          <w:szCs w:val="22"/>
          <w:lang w:bidi="pl-PL"/>
        </w:rPr>
        <w:t>jezdni</w:t>
      </w:r>
      <w:r w:rsidR="00A40E81" w:rsidRPr="00184F85">
        <w:rPr>
          <w:rFonts w:ascii="Lato" w:hAnsi="Lato" w:cs="Arial"/>
          <w:bCs/>
          <w:spacing w:val="4"/>
          <w:sz w:val="22"/>
          <w:szCs w:val="22"/>
          <w:lang w:bidi="pl-PL"/>
        </w:rPr>
        <w:t>ę</w:t>
      </w:r>
      <w:r w:rsidRPr="00184F85">
        <w:rPr>
          <w:rFonts w:ascii="Lato" w:hAnsi="Lato" w:cs="Arial"/>
          <w:bCs/>
          <w:spacing w:val="4"/>
          <w:sz w:val="22"/>
          <w:szCs w:val="22"/>
          <w:lang w:bidi="pl-PL"/>
        </w:rPr>
        <w:t xml:space="preserve"> o szerokości min. 5 m. Nawierzchnia jezdni zjazdu zostanie wykonana jako nawierzchnia twarda ulepszona. Przecięcie krawędzi jezdni zjazdu i drogi publicznej wyokrąglone zostanie łukiem kołowym o promieniu min. 5 m. Pochylenie podłużne zjazdu dostosowane zostanie do ukształtowania elementów drogi, które ten zjazd przecina, jednak nie większe niż 5,0%. Szerokość obustronnych poboczy min. 0,75 m każde.”,</w:t>
      </w:r>
    </w:p>
    <w:p w14:paraId="40330B39" w14:textId="0E064C4D" w:rsidR="005A2964" w:rsidRPr="00184F85" w:rsidRDefault="005A2964" w:rsidP="00B40594">
      <w:pPr>
        <w:numPr>
          <w:ilvl w:val="0"/>
          <w:numId w:val="31"/>
        </w:numPr>
        <w:spacing w:after="240" w:line="240" w:lineRule="exact"/>
        <w:ind w:left="568" w:hanging="284"/>
        <w:jc w:val="both"/>
        <w:rPr>
          <w:rFonts w:ascii="Lato" w:eastAsia="Calibri" w:hAnsi="Lato" w:cs="Arial"/>
          <w:bCs/>
          <w:spacing w:val="4"/>
        </w:rPr>
      </w:pPr>
      <w:r w:rsidRPr="00184F85">
        <w:rPr>
          <w:rFonts w:ascii="Lato" w:eastAsia="Calibri" w:hAnsi="Lato" w:cs="Arial"/>
          <w:bCs/>
          <w:spacing w:val="4"/>
          <w:lang w:bidi="pl-PL"/>
        </w:rPr>
        <w:t>zatwierdzenie, w miejsce uchylenia,</w:t>
      </w:r>
      <w:r w:rsidRPr="00184F85">
        <w:rPr>
          <w:rFonts w:ascii="Lato" w:eastAsia="Calibri" w:hAnsi="Lato" w:cs="Arial"/>
          <w:spacing w:val="4"/>
        </w:rPr>
        <w:t xml:space="preserve"> </w:t>
      </w:r>
      <w:r w:rsidR="006D4C3F" w:rsidRPr="00184F85">
        <w:rPr>
          <w:rFonts w:ascii="Lato" w:eastAsia="Calibri" w:hAnsi="Lato" w:cs="Arial"/>
          <w:spacing w:val="4"/>
        </w:rPr>
        <w:t>arkusza nr 56/93</w:t>
      </w:r>
      <w:r w:rsidR="007E1AE6" w:rsidRPr="00184F85">
        <w:rPr>
          <w:rFonts w:ascii="Lato" w:eastAsia="Calibri" w:hAnsi="Lato" w:cs="Arial"/>
          <w:bCs/>
          <w:spacing w:val="4"/>
        </w:rPr>
        <w:t xml:space="preserve"> </w:t>
      </w:r>
      <w:r w:rsidRPr="00184F85">
        <w:rPr>
          <w:rFonts w:ascii="Lato" w:eastAsia="Calibri" w:hAnsi="Lato" w:cs="Arial"/>
          <w:spacing w:val="4"/>
        </w:rPr>
        <w:t>mapy określającej granice terenu objętego inwestycją</w:t>
      </w:r>
      <w:r w:rsidRPr="00184F85">
        <w:rPr>
          <w:rFonts w:ascii="Lato" w:eastAsia="Calibri" w:hAnsi="Lato" w:cs="Arial"/>
          <w:bCs/>
          <w:spacing w:val="4"/>
        </w:rPr>
        <w:t xml:space="preserve">, </w:t>
      </w:r>
      <w:r w:rsidRPr="00184F85">
        <w:rPr>
          <w:rFonts w:ascii="Lato" w:eastAsia="Calibri" w:hAnsi="Lato" w:cs="Arial"/>
          <w:spacing w:val="4"/>
        </w:rPr>
        <w:t>stanowiące</w:t>
      </w:r>
      <w:r w:rsidR="00831E43" w:rsidRPr="00184F85">
        <w:rPr>
          <w:rFonts w:ascii="Lato" w:eastAsia="Calibri" w:hAnsi="Lato" w:cs="Arial"/>
          <w:spacing w:val="4"/>
        </w:rPr>
        <w:t>go</w:t>
      </w:r>
      <w:r w:rsidRPr="00184F85">
        <w:rPr>
          <w:rFonts w:ascii="Lato" w:eastAsia="Calibri" w:hAnsi="Lato" w:cs="Arial"/>
          <w:spacing w:val="4"/>
        </w:rPr>
        <w:t xml:space="preserve"> załącznik nr 1 do niniejszej decyzji.</w:t>
      </w:r>
    </w:p>
    <w:p w14:paraId="6A4B0B08" w14:textId="70E9C9BD" w:rsidR="005A2964" w:rsidRPr="000F07A9" w:rsidRDefault="00024723" w:rsidP="00C260A9">
      <w:pPr>
        <w:numPr>
          <w:ilvl w:val="0"/>
          <w:numId w:val="29"/>
        </w:numPr>
        <w:tabs>
          <w:tab w:val="left" w:pos="284"/>
        </w:tabs>
        <w:spacing w:after="840" w:line="240" w:lineRule="exact"/>
        <w:ind w:left="284" w:hanging="142"/>
        <w:jc w:val="both"/>
        <w:rPr>
          <w:rFonts w:ascii="Lato" w:eastAsia="Times New Roman" w:hAnsi="Lato" w:cs="Arial"/>
          <w:b/>
          <w:bCs/>
          <w:spacing w:val="4"/>
          <w:lang w:eastAsia="pl-PL"/>
        </w:rPr>
      </w:pPr>
      <w:r w:rsidRPr="000F07A9">
        <w:rPr>
          <w:rFonts w:ascii="Lato" w:eastAsia="Times New Roman" w:hAnsi="Lato" w:cs="Arial"/>
          <w:b/>
          <w:spacing w:val="4"/>
          <w:lang w:eastAsia="pl-PL"/>
        </w:rPr>
        <w:t>W pozostałej części zaskarżoną decyzję</w:t>
      </w:r>
      <w:r w:rsidRPr="000F07A9">
        <w:rPr>
          <w:rFonts w:ascii="Lato" w:eastAsia="Times New Roman" w:hAnsi="Lato" w:cs="Arial"/>
          <w:spacing w:val="4"/>
          <w:lang w:eastAsia="pl-PL"/>
        </w:rPr>
        <w:t xml:space="preserve"> </w:t>
      </w:r>
      <w:r w:rsidRPr="000F07A9">
        <w:rPr>
          <w:rFonts w:ascii="Lato" w:eastAsia="Times New Roman" w:hAnsi="Lato" w:cs="Arial"/>
          <w:b/>
          <w:spacing w:val="4"/>
          <w:lang w:eastAsia="pl-PL"/>
        </w:rPr>
        <w:t>utrzymuję w mocy</w:t>
      </w:r>
      <w:r w:rsidR="005A2964" w:rsidRPr="000F07A9">
        <w:rPr>
          <w:rFonts w:ascii="Lato" w:eastAsia="Times New Roman" w:hAnsi="Lato" w:cs="Arial"/>
          <w:b/>
          <w:bCs/>
          <w:spacing w:val="4"/>
          <w:lang w:eastAsia="pl-PL"/>
        </w:rPr>
        <w:t>.</w:t>
      </w:r>
    </w:p>
    <w:p w14:paraId="34EED8F3" w14:textId="77777777" w:rsidR="00244C2E" w:rsidRPr="000F07A9" w:rsidRDefault="00244C2E" w:rsidP="00244C2E">
      <w:pPr>
        <w:spacing w:after="240" w:line="240" w:lineRule="exact"/>
        <w:jc w:val="center"/>
        <w:rPr>
          <w:rFonts w:ascii="Lato" w:hAnsi="Lato" w:cs="Arial"/>
          <w:b/>
          <w:bCs/>
          <w:spacing w:val="4"/>
        </w:rPr>
      </w:pPr>
      <w:r w:rsidRPr="000F07A9">
        <w:rPr>
          <w:rFonts w:ascii="Lato" w:hAnsi="Lato" w:cs="Arial"/>
          <w:b/>
          <w:bCs/>
          <w:spacing w:val="4"/>
        </w:rPr>
        <w:lastRenderedPageBreak/>
        <w:t>UZASADNIENIE</w:t>
      </w:r>
    </w:p>
    <w:p w14:paraId="4A05BD77" w14:textId="7A4351A8" w:rsidR="00244C2E" w:rsidRPr="000F07A9" w:rsidRDefault="00244C2E" w:rsidP="007C3A26">
      <w:pPr>
        <w:spacing w:after="240" w:line="240" w:lineRule="exact"/>
        <w:jc w:val="both"/>
        <w:rPr>
          <w:rFonts w:ascii="Lato" w:hAnsi="Lato" w:cs="Arial"/>
          <w:spacing w:val="4"/>
        </w:rPr>
      </w:pPr>
      <w:bookmarkStart w:id="5" w:name="_Hlk198014366"/>
      <w:r w:rsidRPr="00D119D3">
        <w:rPr>
          <w:rFonts w:ascii="Lato" w:hAnsi="Lato" w:cs="Arial"/>
          <w:spacing w:val="4"/>
        </w:rPr>
        <w:t xml:space="preserve">Wnioskiem z dnia </w:t>
      </w:r>
      <w:r w:rsidR="00745EED" w:rsidRPr="00D119D3">
        <w:rPr>
          <w:rFonts w:ascii="Lato" w:hAnsi="Lato" w:cs="Arial"/>
          <w:spacing w:val="4"/>
        </w:rPr>
        <w:t>2</w:t>
      </w:r>
      <w:r w:rsidR="00153D84" w:rsidRPr="00D119D3">
        <w:rPr>
          <w:rFonts w:ascii="Lato" w:hAnsi="Lato" w:cs="Arial"/>
          <w:spacing w:val="4"/>
        </w:rPr>
        <w:t>5</w:t>
      </w:r>
      <w:r w:rsidR="00745EED" w:rsidRPr="00D119D3">
        <w:rPr>
          <w:rFonts w:ascii="Lato" w:hAnsi="Lato" w:cs="Arial"/>
          <w:spacing w:val="4"/>
        </w:rPr>
        <w:t xml:space="preserve"> maja</w:t>
      </w:r>
      <w:r w:rsidRPr="00D119D3">
        <w:rPr>
          <w:rFonts w:ascii="Lato" w:hAnsi="Lato" w:cs="Arial"/>
          <w:spacing w:val="4"/>
        </w:rPr>
        <w:t xml:space="preserve"> 2023 r</w:t>
      </w:r>
      <w:r w:rsidR="00DD0080" w:rsidRPr="00D119D3">
        <w:rPr>
          <w:rFonts w:ascii="Lato" w:hAnsi="Lato" w:cs="Arial"/>
          <w:spacing w:val="4"/>
        </w:rPr>
        <w:t>.</w:t>
      </w:r>
      <w:r w:rsidR="00184F85">
        <w:rPr>
          <w:rFonts w:ascii="Lato" w:hAnsi="Lato" w:cs="Arial"/>
          <w:spacing w:val="4"/>
        </w:rPr>
        <w:t xml:space="preserve"> (wpływ do Opolskiego Urzędu Wojewódzkiego </w:t>
      </w:r>
      <w:r w:rsidR="00184F85">
        <w:rPr>
          <w:rFonts w:ascii="Lato" w:hAnsi="Lato" w:cs="Arial"/>
          <w:spacing w:val="4"/>
        </w:rPr>
        <w:br/>
        <w:t xml:space="preserve">w Opolu w dniu 29 maja 2023 r.), </w:t>
      </w:r>
      <w:r w:rsidR="009203BC" w:rsidRPr="00D119D3">
        <w:rPr>
          <w:rFonts w:ascii="Lato" w:hAnsi="Lato" w:cs="Arial"/>
          <w:spacing w:val="4"/>
        </w:rPr>
        <w:t xml:space="preserve">skorygowanym </w:t>
      </w:r>
      <w:r w:rsidR="00B37156" w:rsidRPr="00D119D3">
        <w:rPr>
          <w:rFonts w:ascii="Lato" w:hAnsi="Lato" w:cs="Arial"/>
          <w:spacing w:val="4"/>
        </w:rPr>
        <w:t>w trakcie prowadzonego</w:t>
      </w:r>
      <w:r w:rsidR="00DD0080" w:rsidRPr="00D119D3">
        <w:rPr>
          <w:rFonts w:ascii="Lato" w:hAnsi="Lato" w:cs="Arial"/>
          <w:spacing w:val="4"/>
        </w:rPr>
        <w:t xml:space="preserve"> </w:t>
      </w:r>
      <w:r w:rsidR="00B37156" w:rsidRPr="00D119D3">
        <w:rPr>
          <w:rFonts w:ascii="Lato" w:hAnsi="Lato" w:cs="Arial"/>
          <w:spacing w:val="4"/>
        </w:rPr>
        <w:t>postępowania</w:t>
      </w:r>
      <w:r w:rsidR="005219D3" w:rsidRPr="00D119D3">
        <w:rPr>
          <w:rFonts w:ascii="Lato" w:hAnsi="Lato" w:cs="Arial"/>
          <w:spacing w:val="4"/>
        </w:rPr>
        <w:t xml:space="preserve">, </w:t>
      </w:r>
      <w:r w:rsidRPr="00D119D3">
        <w:rPr>
          <w:rFonts w:ascii="Lato" w:hAnsi="Lato" w:cs="Arial"/>
          <w:spacing w:val="4"/>
        </w:rPr>
        <w:t>Operator Gazociągów Przesyłowych GAZ-SYSTEM S.A. z siedzibą w Warszawie, zwan</w:t>
      </w:r>
      <w:r w:rsidR="001A38A8" w:rsidRPr="00D119D3">
        <w:rPr>
          <w:rFonts w:ascii="Lato" w:hAnsi="Lato" w:cs="Arial"/>
          <w:spacing w:val="4"/>
        </w:rPr>
        <w:t>y</w:t>
      </w:r>
      <w:r w:rsidRPr="00D119D3">
        <w:rPr>
          <w:rFonts w:ascii="Lato" w:hAnsi="Lato" w:cs="Arial"/>
          <w:spacing w:val="4"/>
        </w:rPr>
        <w:t xml:space="preserve"> dalej „inwestorem”, wystąpił do Wojewody </w:t>
      </w:r>
      <w:r w:rsidR="00745EED" w:rsidRPr="00D119D3">
        <w:rPr>
          <w:rFonts w:ascii="Lato" w:hAnsi="Lato" w:cs="Arial"/>
          <w:spacing w:val="4"/>
        </w:rPr>
        <w:t>Opolskiego</w:t>
      </w:r>
      <w:r w:rsidRPr="00D119D3">
        <w:rPr>
          <w:rFonts w:ascii="Lato" w:hAnsi="Lato" w:cs="Arial"/>
          <w:spacing w:val="4"/>
        </w:rPr>
        <w:t xml:space="preserve"> o wydanie decyzji </w:t>
      </w:r>
      <w:bookmarkEnd w:id="5"/>
      <w:r w:rsidR="0054691E" w:rsidRPr="00D119D3">
        <w:rPr>
          <w:rFonts w:ascii="Lato" w:hAnsi="Lato" w:cs="Arial"/>
          <w:bCs/>
          <w:spacing w:val="4"/>
        </w:rPr>
        <w:t>o ustaleniu lokalizacji inwestycji towarzyszącej inwestycj</w:t>
      </w:r>
      <w:r w:rsidR="00143D05">
        <w:rPr>
          <w:rFonts w:ascii="Lato" w:hAnsi="Lato" w:cs="Arial"/>
          <w:bCs/>
          <w:spacing w:val="4"/>
        </w:rPr>
        <w:t>om</w:t>
      </w:r>
      <w:r w:rsidR="0054691E" w:rsidRPr="00D119D3">
        <w:rPr>
          <w:rFonts w:ascii="Lato" w:hAnsi="Lato" w:cs="Arial"/>
          <w:bCs/>
          <w:spacing w:val="4"/>
        </w:rPr>
        <w:t xml:space="preserve"> w zakresie terminalu regazyfikacyjnego skroplonego gazu ziemnego w Świnoujściu dla inwestycji pn.: </w:t>
      </w:r>
      <w:r w:rsidR="00745EED" w:rsidRPr="00D119D3">
        <w:rPr>
          <w:rFonts w:ascii="Lato" w:hAnsi="Lato" w:cs="Arial"/>
          <w:bCs/>
          <w:spacing w:val="4"/>
        </w:rPr>
        <w:t>„Budowa gazociągu DN500, MOP 8,4MPa relacji Lewin Brzeski – Nysa wraz z odgałęzieniami do SG - Lewin Brzeski; Skoroszyce; Grodków ul. Żeromskiego; Grodków ul. Warszawska”</w:t>
      </w:r>
      <w:r w:rsidRPr="00D119D3">
        <w:rPr>
          <w:rFonts w:ascii="Lato" w:hAnsi="Lato" w:cs="Arial"/>
          <w:spacing w:val="4"/>
        </w:rPr>
        <w:t>.</w:t>
      </w:r>
      <w:r w:rsidRPr="000F07A9">
        <w:rPr>
          <w:rFonts w:ascii="Lato" w:hAnsi="Lato" w:cs="Arial"/>
          <w:spacing w:val="4"/>
        </w:rPr>
        <w:t xml:space="preserve"> </w:t>
      </w:r>
    </w:p>
    <w:p w14:paraId="59425A3E" w14:textId="03A08F9A" w:rsidR="00244C2E" w:rsidRPr="000F07A9" w:rsidRDefault="00244C2E" w:rsidP="007C3A26">
      <w:pPr>
        <w:spacing w:after="240" w:line="240" w:lineRule="exact"/>
        <w:jc w:val="both"/>
        <w:rPr>
          <w:rFonts w:ascii="Lato" w:hAnsi="Lato" w:cs="Arial"/>
          <w:spacing w:val="4"/>
        </w:rPr>
      </w:pPr>
      <w:r w:rsidRPr="000F07A9">
        <w:rPr>
          <w:rFonts w:ascii="Lato" w:hAnsi="Lato" w:cs="Arial"/>
          <w:spacing w:val="4"/>
        </w:rPr>
        <w:t xml:space="preserve">Po przeprowadzeniu postępowania w sprawie ww. wniosku, Wojewoda </w:t>
      </w:r>
      <w:r w:rsidR="00745EED" w:rsidRPr="000F07A9">
        <w:rPr>
          <w:rFonts w:ascii="Lato" w:hAnsi="Lato" w:cs="Arial"/>
          <w:spacing w:val="4"/>
        </w:rPr>
        <w:t>Opolski</w:t>
      </w:r>
      <w:r w:rsidRPr="000F07A9">
        <w:rPr>
          <w:rFonts w:ascii="Lato" w:hAnsi="Lato" w:cs="Arial"/>
          <w:spacing w:val="4"/>
        </w:rPr>
        <w:t xml:space="preserve"> wydał </w:t>
      </w:r>
      <w:r w:rsidR="00745EED" w:rsidRPr="000F07A9">
        <w:rPr>
          <w:rFonts w:ascii="Lato" w:hAnsi="Lato" w:cs="Arial"/>
          <w:bCs/>
          <w:spacing w:val="4"/>
        </w:rPr>
        <w:t>decyzję</w:t>
      </w:r>
      <w:r w:rsidR="00745EED" w:rsidRPr="000F07A9">
        <w:rPr>
          <w:rFonts w:ascii="Lato" w:hAnsi="Lato" w:cs="Arial"/>
          <w:spacing w:val="4"/>
        </w:rPr>
        <w:t xml:space="preserve"> </w:t>
      </w:r>
      <w:r w:rsidRPr="000F07A9">
        <w:rPr>
          <w:rFonts w:ascii="Lato" w:hAnsi="Lato" w:cs="Arial"/>
          <w:spacing w:val="4"/>
        </w:rPr>
        <w:t xml:space="preserve">w dniu </w:t>
      </w:r>
      <w:r w:rsidR="00745EED" w:rsidRPr="000F07A9">
        <w:rPr>
          <w:rFonts w:ascii="Lato" w:hAnsi="Lato" w:cs="Arial"/>
          <w:bCs/>
          <w:spacing w:val="4"/>
        </w:rPr>
        <w:t>24 lipca</w:t>
      </w:r>
      <w:r w:rsidR="0054691E" w:rsidRPr="000F07A9">
        <w:rPr>
          <w:rFonts w:ascii="Lato" w:hAnsi="Lato" w:cs="Arial"/>
          <w:bCs/>
          <w:spacing w:val="4"/>
        </w:rPr>
        <w:t xml:space="preserve"> 202</w:t>
      </w:r>
      <w:r w:rsidR="00745EED" w:rsidRPr="000F07A9">
        <w:rPr>
          <w:rFonts w:ascii="Lato" w:hAnsi="Lato" w:cs="Arial"/>
          <w:bCs/>
          <w:spacing w:val="4"/>
        </w:rPr>
        <w:t>3</w:t>
      </w:r>
      <w:r w:rsidR="0054691E" w:rsidRPr="000F07A9">
        <w:rPr>
          <w:rFonts w:ascii="Lato" w:hAnsi="Lato" w:cs="Arial"/>
          <w:bCs/>
          <w:spacing w:val="4"/>
        </w:rPr>
        <w:t xml:space="preserve"> r., znak: </w:t>
      </w:r>
      <w:r w:rsidR="00745EED" w:rsidRPr="000F07A9">
        <w:rPr>
          <w:rFonts w:ascii="Lato" w:hAnsi="Lato" w:cs="Arial"/>
          <w:bCs/>
          <w:spacing w:val="4"/>
        </w:rPr>
        <w:t>IN.I.747.7.2023.AZ</w:t>
      </w:r>
      <w:r w:rsidRPr="000F07A9">
        <w:rPr>
          <w:rFonts w:ascii="Lato" w:hAnsi="Lato" w:cs="Arial"/>
          <w:spacing w:val="4"/>
        </w:rPr>
        <w:t xml:space="preserve">, </w:t>
      </w:r>
      <w:r w:rsidR="0054691E" w:rsidRPr="000F07A9">
        <w:rPr>
          <w:rFonts w:ascii="Lato" w:hAnsi="Lato" w:cs="Arial"/>
          <w:bCs/>
          <w:spacing w:val="4"/>
        </w:rPr>
        <w:t>o ustaleniu lokalizacji inwestycji towarzyszącej inwestycj</w:t>
      </w:r>
      <w:r w:rsidR="00153D84">
        <w:rPr>
          <w:rFonts w:ascii="Lato" w:hAnsi="Lato" w:cs="Arial"/>
          <w:bCs/>
          <w:spacing w:val="4"/>
        </w:rPr>
        <w:t>om</w:t>
      </w:r>
      <w:r w:rsidR="0054691E" w:rsidRPr="000F07A9">
        <w:rPr>
          <w:rFonts w:ascii="Lato" w:hAnsi="Lato" w:cs="Arial"/>
          <w:bCs/>
          <w:spacing w:val="4"/>
        </w:rPr>
        <w:t xml:space="preserve"> w zakresie terminalu regazyfikacyjnego skroplonego gazu ziemnego w Świnoujściu dla inwestycji pn.: „</w:t>
      </w:r>
      <w:r w:rsidR="00745EED" w:rsidRPr="000F07A9">
        <w:rPr>
          <w:rFonts w:ascii="Lato" w:hAnsi="Lato" w:cs="Arial"/>
          <w:bCs/>
          <w:spacing w:val="4"/>
        </w:rPr>
        <w:t>Budowa gazociągu DN500, MOP 8,4MPa relacji Lewin Brzeski - Nysa wraz z odgałęzieniami do SG - Lewin Brzeski; Skoroszyce; Grodków ul. Żeromskiego; Grodków ul. Warszawska”</w:t>
      </w:r>
      <w:r w:rsidR="005219D3" w:rsidRPr="000F07A9">
        <w:rPr>
          <w:rFonts w:ascii="Lato" w:eastAsia="Calibri" w:hAnsi="Lato" w:cs="Times New Roman"/>
          <w:bCs/>
          <w:spacing w:val="4"/>
        </w:rPr>
        <w:t xml:space="preserve">, </w:t>
      </w:r>
      <w:r w:rsidR="005219D3" w:rsidRPr="000F07A9">
        <w:rPr>
          <w:rFonts w:ascii="Lato" w:hAnsi="Lato" w:cs="Arial"/>
          <w:bCs/>
          <w:spacing w:val="4"/>
        </w:rPr>
        <w:t xml:space="preserve">zwaną dalej „decyzją Wojewody </w:t>
      </w:r>
      <w:r w:rsidR="00745EED" w:rsidRPr="000F07A9">
        <w:rPr>
          <w:rFonts w:ascii="Lato" w:hAnsi="Lato" w:cs="Arial"/>
          <w:bCs/>
          <w:spacing w:val="4"/>
        </w:rPr>
        <w:t>Opolskiego</w:t>
      </w:r>
      <w:r w:rsidR="005219D3" w:rsidRPr="000F07A9">
        <w:rPr>
          <w:rFonts w:ascii="Lato" w:hAnsi="Lato" w:cs="Arial"/>
          <w:bCs/>
          <w:spacing w:val="4"/>
        </w:rPr>
        <w:t>”.</w:t>
      </w:r>
    </w:p>
    <w:p w14:paraId="65F29653" w14:textId="25AFB40D" w:rsidR="00F75693" w:rsidRPr="000F07A9" w:rsidRDefault="00244C2E" w:rsidP="007C3A26">
      <w:pPr>
        <w:spacing w:after="240" w:line="240" w:lineRule="exact"/>
        <w:jc w:val="both"/>
        <w:rPr>
          <w:rFonts w:ascii="Lato" w:hAnsi="Lato" w:cs="Arial"/>
          <w:spacing w:val="4"/>
        </w:rPr>
      </w:pPr>
      <w:r w:rsidRPr="000F07A9">
        <w:rPr>
          <w:rFonts w:ascii="Lato" w:hAnsi="Lato" w:cs="Arial"/>
          <w:spacing w:val="4"/>
        </w:rPr>
        <w:t xml:space="preserve">Od decyzji Wojewody </w:t>
      </w:r>
      <w:r w:rsidR="00745EED" w:rsidRPr="000F07A9">
        <w:rPr>
          <w:rFonts w:ascii="Lato" w:hAnsi="Lato" w:cs="Arial"/>
          <w:spacing w:val="4"/>
        </w:rPr>
        <w:t>Opolskiego</w:t>
      </w:r>
      <w:r w:rsidRPr="000F07A9">
        <w:rPr>
          <w:rFonts w:ascii="Lato" w:hAnsi="Lato" w:cs="Arial"/>
          <w:spacing w:val="4"/>
        </w:rPr>
        <w:t xml:space="preserve"> odwołani</w:t>
      </w:r>
      <w:r w:rsidR="00F75693">
        <w:rPr>
          <w:rFonts w:ascii="Lato" w:hAnsi="Lato" w:cs="Arial"/>
          <w:spacing w:val="4"/>
        </w:rPr>
        <w:t>e</w:t>
      </w:r>
      <w:r w:rsidRPr="000F07A9">
        <w:rPr>
          <w:rFonts w:ascii="Lato" w:hAnsi="Lato" w:cs="Arial"/>
          <w:spacing w:val="4"/>
        </w:rPr>
        <w:t xml:space="preserve">, </w:t>
      </w:r>
      <w:bookmarkStart w:id="6" w:name="_Hlk197524896"/>
      <w:r w:rsidRPr="000F07A9">
        <w:rPr>
          <w:rFonts w:ascii="Lato" w:hAnsi="Lato" w:cs="Arial"/>
          <w:spacing w:val="4"/>
        </w:rPr>
        <w:t>za pośrednictwem organu I instancji, wni</w:t>
      </w:r>
      <w:bookmarkEnd w:id="6"/>
      <w:r w:rsidR="00745EED" w:rsidRPr="000F07A9">
        <w:rPr>
          <w:rFonts w:ascii="Lato" w:hAnsi="Lato" w:cs="Arial"/>
          <w:spacing w:val="4"/>
        </w:rPr>
        <w:t>ósł P</w:t>
      </w:r>
      <w:r w:rsidR="005219D3" w:rsidRPr="000F07A9">
        <w:rPr>
          <w:rFonts w:ascii="Lato" w:hAnsi="Lato" w:cs="Arial"/>
          <w:spacing w:val="4"/>
        </w:rPr>
        <w:t xml:space="preserve">an </w:t>
      </w:r>
      <w:r w:rsidR="00423BF9">
        <w:rPr>
          <w:rFonts w:ascii="Lato" w:hAnsi="Lato" w:cs="Arial"/>
          <w:spacing w:val="4"/>
        </w:rPr>
        <w:t>P. L.</w:t>
      </w:r>
      <w:r w:rsidRPr="000F07A9">
        <w:rPr>
          <w:rFonts w:ascii="Lato" w:hAnsi="Lato" w:cs="Arial"/>
          <w:spacing w:val="4"/>
        </w:rPr>
        <w:t>. W odwołani</w:t>
      </w:r>
      <w:r w:rsidR="00745EED" w:rsidRPr="000F07A9">
        <w:rPr>
          <w:rFonts w:ascii="Lato" w:hAnsi="Lato" w:cs="Arial"/>
          <w:spacing w:val="4"/>
        </w:rPr>
        <w:t>u</w:t>
      </w:r>
      <w:r w:rsidR="00F75693">
        <w:rPr>
          <w:rFonts w:ascii="Lato" w:hAnsi="Lato" w:cs="Arial"/>
          <w:spacing w:val="4"/>
        </w:rPr>
        <w:t xml:space="preserve"> z dnia 5 września 2023 r.</w:t>
      </w:r>
      <w:r w:rsidRPr="000F07A9">
        <w:rPr>
          <w:rFonts w:ascii="Lato" w:hAnsi="Lato" w:cs="Arial"/>
          <w:spacing w:val="4"/>
        </w:rPr>
        <w:t xml:space="preserve">, </w:t>
      </w:r>
      <w:r w:rsidRPr="0058638F">
        <w:rPr>
          <w:rFonts w:ascii="Lato" w:hAnsi="Lato" w:cs="Arial"/>
          <w:spacing w:val="4"/>
        </w:rPr>
        <w:t>uzupełniony</w:t>
      </w:r>
      <w:r w:rsidR="00745EED" w:rsidRPr="0058638F">
        <w:rPr>
          <w:rFonts w:ascii="Lato" w:hAnsi="Lato" w:cs="Arial"/>
          <w:spacing w:val="4"/>
        </w:rPr>
        <w:t>m</w:t>
      </w:r>
      <w:r w:rsidRPr="0058638F">
        <w:rPr>
          <w:rFonts w:ascii="Lato" w:hAnsi="Lato" w:cs="Arial"/>
          <w:spacing w:val="4"/>
        </w:rPr>
        <w:t xml:space="preserve"> w trakcie prowadzonego postępowania</w:t>
      </w:r>
      <w:r w:rsidR="004F542D" w:rsidRPr="0058638F">
        <w:rPr>
          <w:rFonts w:ascii="Lato" w:eastAsia="Calibri" w:hAnsi="Lato" w:cs="Times New Roman"/>
          <w:bCs/>
          <w:spacing w:val="4"/>
        </w:rPr>
        <w:t xml:space="preserve"> </w:t>
      </w:r>
      <w:r w:rsidR="004F542D" w:rsidRPr="0058638F">
        <w:rPr>
          <w:rFonts w:ascii="Lato" w:hAnsi="Lato" w:cs="Arial"/>
          <w:bCs/>
          <w:spacing w:val="4"/>
        </w:rPr>
        <w:t>odwoławczego</w:t>
      </w:r>
      <w:r w:rsidRPr="0058638F">
        <w:rPr>
          <w:rFonts w:ascii="Lato" w:hAnsi="Lato" w:cs="Arial"/>
          <w:spacing w:val="4"/>
        </w:rPr>
        <w:t>,</w:t>
      </w:r>
      <w:r w:rsidRPr="000F07A9">
        <w:rPr>
          <w:rFonts w:ascii="Lato" w:hAnsi="Lato" w:cs="Arial"/>
          <w:spacing w:val="4"/>
        </w:rPr>
        <w:t xml:space="preserve"> skarżący podni</w:t>
      </w:r>
      <w:r w:rsidR="00745EED" w:rsidRPr="000F07A9">
        <w:rPr>
          <w:rFonts w:ascii="Lato" w:hAnsi="Lato" w:cs="Arial"/>
          <w:spacing w:val="4"/>
        </w:rPr>
        <w:t>ósł</w:t>
      </w:r>
      <w:r w:rsidRPr="000F07A9">
        <w:rPr>
          <w:rFonts w:ascii="Lato" w:hAnsi="Lato" w:cs="Arial"/>
          <w:spacing w:val="4"/>
        </w:rPr>
        <w:t xml:space="preserve"> zarzuty odnoszące się do decyzji Wojewody </w:t>
      </w:r>
      <w:r w:rsidR="00745EED" w:rsidRPr="000F07A9">
        <w:rPr>
          <w:rFonts w:ascii="Lato" w:hAnsi="Lato" w:cs="Arial"/>
          <w:spacing w:val="4"/>
        </w:rPr>
        <w:t>Opolskiego</w:t>
      </w:r>
      <w:r w:rsidRPr="000F07A9">
        <w:rPr>
          <w:rFonts w:ascii="Lato" w:hAnsi="Lato" w:cs="Arial"/>
          <w:spacing w:val="4"/>
        </w:rPr>
        <w:t>, określ</w:t>
      </w:r>
      <w:r w:rsidR="00745EED" w:rsidRPr="000F07A9">
        <w:rPr>
          <w:rFonts w:ascii="Lato" w:hAnsi="Lato" w:cs="Arial"/>
          <w:spacing w:val="4"/>
        </w:rPr>
        <w:t>ił</w:t>
      </w:r>
      <w:r w:rsidRPr="000F07A9">
        <w:rPr>
          <w:rFonts w:ascii="Lato" w:hAnsi="Lato" w:cs="Arial"/>
          <w:spacing w:val="4"/>
        </w:rPr>
        <w:t xml:space="preserve"> istotę i zakres żądania będącego przedmiotem odwołania oraz wskaza</w:t>
      </w:r>
      <w:r w:rsidR="00745EED" w:rsidRPr="000F07A9">
        <w:rPr>
          <w:rFonts w:ascii="Lato" w:hAnsi="Lato" w:cs="Arial"/>
          <w:spacing w:val="4"/>
        </w:rPr>
        <w:t>ł</w:t>
      </w:r>
      <w:r w:rsidRPr="000F07A9">
        <w:rPr>
          <w:rFonts w:ascii="Lato" w:hAnsi="Lato" w:cs="Arial"/>
          <w:spacing w:val="4"/>
        </w:rPr>
        <w:t xml:space="preserve"> na dowody uzasadniające to żądanie.</w:t>
      </w:r>
    </w:p>
    <w:p w14:paraId="7355D8DF" w14:textId="021BF716" w:rsidR="00553B2E" w:rsidRDefault="00553B2E" w:rsidP="007C3A26">
      <w:pPr>
        <w:spacing w:after="240" w:line="240" w:lineRule="exact"/>
        <w:jc w:val="both"/>
        <w:rPr>
          <w:rFonts w:ascii="Lato" w:eastAsia="Times New Roman" w:hAnsi="Lato" w:cs="Arial"/>
          <w:bCs/>
          <w:spacing w:val="4"/>
          <w:lang w:eastAsia="pl-PL"/>
        </w:rPr>
      </w:pPr>
      <w:r w:rsidRPr="000F07A9">
        <w:rPr>
          <w:rFonts w:ascii="Lato" w:eastAsia="Times New Roman" w:hAnsi="Lato" w:cs="Times New Roman"/>
          <w:spacing w:val="4"/>
          <w:lang w:eastAsia="pl-PL"/>
        </w:rPr>
        <w:t>Organ</w:t>
      </w:r>
      <w:r w:rsidR="004F542D" w:rsidRPr="000F07A9">
        <w:rPr>
          <w:rFonts w:ascii="Lato" w:eastAsia="Times New Roman" w:hAnsi="Lato" w:cs="Times New Roman"/>
          <w:spacing w:val="4"/>
          <w:lang w:eastAsia="pl-PL"/>
        </w:rPr>
        <w:t xml:space="preserve"> </w:t>
      </w:r>
      <w:r w:rsidRPr="000F07A9">
        <w:rPr>
          <w:rFonts w:ascii="Lato" w:eastAsia="Times New Roman" w:hAnsi="Lato" w:cs="Times New Roman"/>
          <w:spacing w:val="4"/>
          <w:lang w:eastAsia="pl-PL"/>
        </w:rPr>
        <w:t xml:space="preserve">odwoławczy </w:t>
      </w:r>
      <w:r w:rsidRPr="000F07A9">
        <w:rPr>
          <w:rFonts w:ascii="Lato" w:eastAsia="Times New Roman" w:hAnsi="Lato" w:cs="Times New Roman"/>
          <w:bCs/>
          <w:spacing w:val="4"/>
          <w:lang w:eastAsia="pl-PL"/>
        </w:rPr>
        <w:t xml:space="preserve">stwierdził, co następuje. </w:t>
      </w:r>
      <w:r w:rsidR="00F75693">
        <w:rPr>
          <w:rFonts w:ascii="Lato" w:eastAsia="Times New Roman" w:hAnsi="Lato" w:cs="Times New Roman"/>
          <w:bCs/>
          <w:spacing w:val="4"/>
          <w:lang w:eastAsia="pl-PL"/>
        </w:rPr>
        <w:t>W</w:t>
      </w:r>
      <w:r w:rsidRPr="000F07A9">
        <w:rPr>
          <w:rFonts w:ascii="Lato" w:eastAsia="Times New Roman" w:hAnsi="Lato" w:cs="Times New Roman"/>
          <w:bCs/>
          <w:spacing w:val="4"/>
          <w:lang w:eastAsia="pl-PL"/>
        </w:rPr>
        <w:t xml:space="preserve">yjaśnić należy, iż </w:t>
      </w:r>
      <w:r w:rsidRPr="000F07A9">
        <w:rPr>
          <w:rFonts w:ascii="Lato" w:eastAsia="Times New Roman" w:hAnsi="Lato" w:cs="Arial"/>
          <w:bCs/>
          <w:spacing w:val="4"/>
          <w:lang w:eastAsia="pl-PL"/>
        </w:rPr>
        <w:t xml:space="preserve">właściwym </w:t>
      </w:r>
      <w:r w:rsidR="00C770D2">
        <w:rPr>
          <w:rFonts w:ascii="Lato" w:eastAsia="Times New Roman" w:hAnsi="Lato" w:cs="Arial"/>
          <w:bCs/>
          <w:spacing w:val="4"/>
          <w:lang w:eastAsia="pl-PL"/>
        </w:rPr>
        <w:br/>
      </w:r>
      <w:r w:rsidRPr="000F07A9">
        <w:rPr>
          <w:rFonts w:ascii="Lato" w:eastAsia="Times New Roman" w:hAnsi="Lato" w:cs="Arial"/>
          <w:bCs/>
          <w:spacing w:val="4"/>
          <w:lang w:eastAsia="pl-PL"/>
        </w:rPr>
        <w:t>w przedmiotowej sprawie – stosownie do treści rozporządzenia Prezesa Rady Ministrów</w:t>
      </w:r>
      <w:r w:rsidR="00F75693">
        <w:rPr>
          <w:rFonts w:ascii="Lato" w:eastAsia="Times New Roman" w:hAnsi="Lato" w:cs="Arial"/>
          <w:bCs/>
          <w:spacing w:val="4"/>
          <w:lang w:eastAsia="pl-PL"/>
        </w:rPr>
        <w:br/>
      </w:r>
      <w:r w:rsidRPr="000F07A9">
        <w:rPr>
          <w:rFonts w:ascii="Lato" w:eastAsia="Times New Roman" w:hAnsi="Lato" w:cs="Arial"/>
          <w:bCs/>
          <w:spacing w:val="4"/>
          <w:lang w:eastAsia="pl-PL"/>
        </w:rPr>
        <w:t xml:space="preserve">z dnia 25 lipca 2025 r. w sprawie szczegółowego zakresu działania Ministra Finansów </w:t>
      </w:r>
      <w:r w:rsidRPr="000F07A9">
        <w:rPr>
          <w:rFonts w:ascii="Lato" w:eastAsia="Times New Roman" w:hAnsi="Lato" w:cs="Arial"/>
          <w:bCs/>
          <w:spacing w:val="4"/>
          <w:lang w:eastAsia="pl-PL"/>
        </w:rPr>
        <w:br/>
        <w:t>i Gospodarki (Dz.U. z 2025 r. poz. 997) – jest obecnie Minister Finansów i Gospodarki, zwany dalej „Ministrem”. Natomiast zgodnie z § 1 ust. 4 pkt 1 lit. a i b ww. rozporządzenia Prezesa Rady Ministrów z dnia 25 lipca 2025 r. obsługę Ministra Finansów i Gospodarki zapewnia Ministerstwo Rozwoju i Technologii w zakresie działów administracji rządowej: budownictwo, planowanie i zagospodarowanie przestrzenne oraz mieszkalnictwo; gospodarka.</w:t>
      </w:r>
    </w:p>
    <w:p w14:paraId="3DB21BAE" w14:textId="1337C71B" w:rsidR="00F75693" w:rsidRPr="00C260A9" w:rsidRDefault="00F75693" w:rsidP="007C3A26">
      <w:pPr>
        <w:spacing w:after="240" w:line="240" w:lineRule="exact"/>
        <w:jc w:val="both"/>
        <w:rPr>
          <w:rFonts w:ascii="Lato" w:eastAsia="Calibri" w:hAnsi="Lato" w:cs="Arial"/>
          <w:spacing w:val="4"/>
        </w:rPr>
      </w:pPr>
      <w:r w:rsidRPr="00F75693">
        <w:rPr>
          <w:rFonts w:ascii="Lato" w:eastAsia="Calibri" w:hAnsi="Lato" w:cs="Arial"/>
          <w:bCs/>
          <w:iCs/>
          <w:spacing w:val="4"/>
        </w:rPr>
        <w:t xml:space="preserve">Na wstępie, odnosząc się do stwierdzenia Wojewody Opolskiego zawartego w piśmie </w:t>
      </w:r>
      <w:r w:rsidRPr="00F75693">
        <w:rPr>
          <w:rFonts w:ascii="Lato" w:eastAsia="Calibri" w:hAnsi="Lato" w:cs="Arial"/>
          <w:bCs/>
          <w:iCs/>
          <w:spacing w:val="4"/>
        </w:rPr>
        <w:br/>
      </w:r>
      <w:r w:rsidRPr="00F75693">
        <w:rPr>
          <w:rFonts w:ascii="Lato" w:eastAsia="Calibri" w:hAnsi="Lato" w:cs="Arial"/>
          <w:spacing w:val="4"/>
        </w:rPr>
        <w:t>z dnia 18 września 2023 r., znak: IN-I.747.7.2023.AZ/DH</w:t>
      </w:r>
      <w:r>
        <w:rPr>
          <w:rFonts w:ascii="Lato" w:eastAsia="Calibri" w:hAnsi="Lato" w:cs="Arial"/>
          <w:spacing w:val="4"/>
        </w:rPr>
        <w:t xml:space="preserve"> (przekazującym odwołanie wraz z aktami sprawy) </w:t>
      </w:r>
      <w:r w:rsidRPr="00F75693">
        <w:rPr>
          <w:rFonts w:ascii="Lato" w:eastAsia="Calibri" w:hAnsi="Lato" w:cs="Arial"/>
          <w:spacing w:val="4"/>
        </w:rPr>
        <w:t xml:space="preserve">dotyczącego tego, iż odwołanie Pana </w:t>
      </w:r>
      <w:r w:rsidR="00423BF9">
        <w:rPr>
          <w:rFonts w:ascii="Lato" w:hAnsi="Lato" w:cs="Arial"/>
          <w:spacing w:val="4"/>
        </w:rPr>
        <w:t>P. L.</w:t>
      </w:r>
      <w:r w:rsidRPr="00F75693">
        <w:rPr>
          <w:rFonts w:ascii="Lato" w:eastAsia="Calibri" w:hAnsi="Lato" w:cs="Arial"/>
          <w:spacing w:val="4"/>
        </w:rPr>
        <w:t xml:space="preserve"> wniesiono </w:t>
      </w:r>
      <w:r>
        <w:rPr>
          <w:rFonts w:ascii="Lato" w:eastAsia="Calibri" w:hAnsi="Lato" w:cs="Arial"/>
          <w:spacing w:val="4"/>
        </w:rPr>
        <w:br/>
      </w:r>
      <w:r w:rsidRPr="00F75693">
        <w:rPr>
          <w:rFonts w:ascii="Lato" w:eastAsia="Calibri" w:hAnsi="Lato" w:cs="Arial"/>
          <w:spacing w:val="4"/>
        </w:rPr>
        <w:t xml:space="preserve">po terminie, wyjaśnić należy, </w:t>
      </w:r>
      <w:r w:rsidR="008F6B17">
        <w:rPr>
          <w:rFonts w:ascii="Lato" w:eastAsia="Calibri" w:hAnsi="Lato" w:cs="Arial"/>
          <w:spacing w:val="4"/>
        </w:rPr>
        <w:t xml:space="preserve">że </w:t>
      </w:r>
      <w:r w:rsidRPr="00F75693">
        <w:rPr>
          <w:rFonts w:ascii="Lato" w:eastAsia="Calibri" w:hAnsi="Lato" w:cs="Arial"/>
          <w:spacing w:val="4"/>
        </w:rPr>
        <w:t xml:space="preserve">odwołanie zostało wniesione skutecznie, mimo że skarżący uchybił terminowi do wniesienia odwołania określonemu w art. 129 § 2 </w:t>
      </w:r>
      <w:r w:rsidRPr="00C260A9">
        <w:rPr>
          <w:rFonts w:ascii="Lato" w:eastAsia="Calibri" w:hAnsi="Lato" w:cs="Arial"/>
          <w:iCs/>
          <w:spacing w:val="4"/>
        </w:rPr>
        <w:t>kpa</w:t>
      </w:r>
      <w:r w:rsidRPr="00F75693">
        <w:rPr>
          <w:rFonts w:ascii="Lato" w:eastAsia="Calibri" w:hAnsi="Lato" w:cs="Arial"/>
          <w:spacing w:val="4"/>
        </w:rPr>
        <w:t xml:space="preserve"> </w:t>
      </w:r>
      <w:r w:rsidR="008F6B17">
        <w:rPr>
          <w:rFonts w:ascii="Lato" w:eastAsia="Calibri" w:hAnsi="Lato" w:cs="Arial"/>
          <w:spacing w:val="4"/>
        </w:rPr>
        <w:br/>
      </w:r>
      <w:r w:rsidRPr="00F75693">
        <w:rPr>
          <w:rFonts w:ascii="Lato" w:eastAsia="Calibri" w:hAnsi="Lato" w:cs="Arial"/>
          <w:spacing w:val="4"/>
        </w:rPr>
        <w:t xml:space="preserve">w zw. z art. 34 ust. 2 </w:t>
      </w:r>
      <w:r w:rsidRPr="00C260A9">
        <w:rPr>
          <w:rFonts w:ascii="Lato" w:eastAsia="Calibri" w:hAnsi="Lato" w:cs="Arial"/>
          <w:spacing w:val="4"/>
        </w:rPr>
        <w:t>specustawy gazowej</w:t>
      </w:r>
      <w:r w:rsidRPr="00F75693">
        <w:rPr>
          <w:rFonts w:ascii="Lato" w:eastAsia="Calibri" w:hAnsi="Lato" w:cs="Arial"/>
          <w:spacing w:val="4"/>
        </w:rPr>
        <w:t>.</w:t>
      </w:r>
      <w:r w:rsidR="00143D05">
        <w:rPr>
          <w:rFonts w:ascii="Lato" w:eastAsia="Calibri" w:hAnsi="Lato" w:cs="Arial"/>
          <w:spacing w:val="4"/>
        </w:rPr>
        <w:t xml:space="preserve"> </w:t>
      </w:r>
      <w:r w:rsidRPr="00F75693">
        <w:rPr>
          <w:rFonts w:ascii="Lato" w:hAnsi="Lato" w:cs="Arial"/>
          <w:bCs/>
          <w:spacing w:val="4"/>
        </w:rPr>
        <w:t xml:space="preserve">Zgodnie z art. 129 § 2 </w:t>
      </w:r>
      <w:r w:rsidRPr="00C260A9">
        <w:rPr>
          <w:rFonts w:ascii="Lato" w:hAnsi="Lato" w:cs="Arial"/>
          <w:bCs/>
          <w:iCs/>
          <w:spacing w:val="4"/>
        </w:rPr>
        <w:t>kpa</w:t>
      </w:r>
      <w:r w:rsidRPr="00F75693">
        <w:rPr>
          <w:rFonts w:ascii="Lato" w:hAnsi="Lato" w:cs="Arial"/>
          <w:bCs/>
          <w:spacing w:val="4"/>
        </w:rPr>
        <w:t xml:space="preserve">, odwołanie wnosi się w terminie 14 dni od dnia doręczenia decyzji stronie. Należy mieć na względzie, że </w:t>
      </w:r>
      <w:r w:rsidRPr="00C260A9">
        <w:rPr>
          <w:rFonts w:ascii="Lato" w:hAnsi="Lato" w:cs="Arial"/>
          <w:bCs/>
          <w:iCs/>
          <w:spacing w:val="4"/>
        </w:rPr>
        <w:t>decyzja Wojewody Opolskiego</w:t>
      </w:r>
      <w:r w:rsidRPr="00F75693">
        <w:rPr>
          <w:rFonts w:ascii="Lato" w:hAnsi="Lato" w:cs="Arial"/>
          <w:bCs/>
          <w:i/>
          <w:spacing w:val="4"/>
        </w:rPr>
        <w:t xml:space="preserve"> </w:t>
      </w:r>
      <w:r w:rsidRPr="00F75693">
        <w:rPr>
          <w:rFonts w:ascii="Lato" w:hAnsi="Lato" w:cs="Arial"/>
          <w:bCs/>
          <w:spacing w:val="4"/>
        </w:rPr>
        <w:t xml:space="preserve">została wydana na podstawie przepisów </w:t>
      </w:r>
      <w:r w:rsidRPr="00C260A9">
        <w:rPr>
          <w:rFonts w:ascii="Lato" w:hAnsi="Lato" w:cs="Arial"/>
          <w:bCs/>
          <w:iCs/>
          <w:spacing w:val="4"/>
        </w:rPr>
        <w:t>specustawy gazowej</w:t>
      </w:r>
      <w:r w:rsidRPr="00F75693">
        <w:rPr>
          <w:rFonts w:ascii="Lato" w:hAnsi="Lato" w:cs="Arial"/>
          <w:bCs/>
          <w:i/>
          <w:spacing w:val="4"/>
        </w:rPr>
        <w:t xml:space="preserve">, </w:t>
      </w:r>
      <w:r w:rsidRPr="00F75693">
        <w:rPr>
          <w:rFonts w:ascii="Lato" w:hAnsi="Lato" w:cs="Arial"/>
          <w:bCs/>
          <w:spacing w:val="4"/>
        </w:rPr>
        <w:t xml:space="preserve">która w sposób szczególny reguluje sposób doręczenia decyzji o ustaleniu lokalizacji inwestycji </w:t>
      </w:r>
      <w:r w:rsidRPr="00F75693">
        <w:rPr>
          <w:rFonts w:ascii="Lato" w:hAnsi="Lato" w:cs="Arial"/>
          <w:spacing w:val="4"/>
        </w:rPr>
        <w:t>towarzyszącej inwestycj</w:t>
      </w:r>
      <w:r w:rsidR="00143D05">
        <w:rPr>
          <w:rFonts w:ascii="Lato" w:hAnsi="Lato" w:cs="Arial"/>
          <w:spacing w:val="4"/>
        </w:rPr>
        <w:t>om</w:t>
      </w:r>
      <w:r w:rsidRPr="00F75693">
        <w:rPr>
          <w:rFonts w:ascii="Lato" w:hAnsi="Lato" w:cs="Arial"/>
          <w:spacing w:val="4"/>
        </w:rPr>
        <w:t xml:space="preserve"> w zakresie terminalu regazyfikacyjnego skroplonego gazu ziemnego w Świnoujściu</w:t>
      </w:r>
      <w:r w:rsidRPr="00F75693">
        <w:rPr>
          <w:rFonts w:ascii="Lato" w:hAnsi="Lato" w:cs="Arial"/>
          <w:bCs/>
          <w:spacing w:val="4"/>
        </w:rPr>
        <w:t xml:space="preserve"> stronom postępowania.</w:t>
      </w:r>
      <w:r>
        <w:rPr>
          <w:rFonts w:ascii="Lato" w:hAnsi="Lato" w:cs="Arial"/>
          <w:bCs/>
          <w:spacing w:val="4"/>
        </w:rPr>
        <w:t xml:space="preserve"> </w:t>
      </w:r>
      <w:r w:rsidRPr="00F75693">
        <w:rPr>
          <w:rFonts w:ascii="Lato" w:hAnsi="Lato" w:cs="Arial"/>
          <w:iCs/>
          <w:spacing w:val="4"/>
        </w:rPr>
        <w:t xml:space="preserve">Stosownie do art. 12 ust. 1 </w:t>
      </w:r>
      <w:r w:rsidRPr="00C260A9">
        <w:rPr>
          <w:rFonts w:ascii="Lato" w:hAnsi="Lato" w:cs="Arial"/>
          <w:spacing w:val="4"/>
        </w:rPr>
        <w:t>specustawy gazowej</w:t>
      </w:r>
      <w:r w:rsidRPr="00F75693">
        <w:rPr>
          <w:rFonts w:ascii="Lato" w:hAnsi="Lato" w:cs="Arial"/>
          <w:iCs/>
          <w:spacing w:val="4"/>
        </w:rPr>
        <w:t xml:space="preserve">, Wojewoda doręcza </w:t>
      </w:r>
      <w:r w:rsidRPr="00F75693">
        <w:rPr>
          <w:rFonts w:ascii="Lato" w:hAnsi="Lato"/>
          <w:spacing w:val="4"/>
        </w:rPr>
        <w:t xml:space="preserve">decyzję o ustaleniu lokalizacji inwestycji wnioskodawcy oraz zawiadamia pozostałe strony o jej wydaniu, w drodze obwieszczenia, w urzędzie wojewódzkim i urzędach gmin właściwych ze względu na lokalizację inwestycji, w Biuletynie Informacji Publicznej, na stronach podmiotowych urzędów tych gmin oraz urzędu wojewódzkiego, a także w prasie o zasięgu ogólnopolskim. Właścicielom i użytkownikom wieczystym nieruchomości objętych decyzją o ustaleniu lokalizacji inwestycji zawiadomienie o wydaniu decyzji wysyła się na adres określony </w:t>
      </w:r>
      <w:r w:rsidR="00143D05">
        <w:rPr>
          <w:rFonts w:ascii="Lato" w:hAnsi="Lato"/>
          <w:spacing w:val="4"/>
        </w:rPr>
        <w:br/>
      </w:r>
      <w:r w:rsidRPr="00F75693">
        <w:rPr>
          <w:rFonts w:ascii="Lato" w:hAnsi="Lato"/>
          <w:spacing w:val="4"/>
        </w:rPr>
        <w:t xml:space="preserve">w katastrze nieruchomości. Doręczenie zawiadomienia na adres wskazany w katastrze </w:t>
      </w:r>
      <w:r w:rsidRPr="00F75693">
        <w:rPr>
          <w:rFonts w:ascii="Lato" w:hAnsi="Lato"/>
          <w:spacing w:val="4"/>
        </w:rPr>
        <w:lastRenderedPageBreak/>
        <w:t>nieruchomości jest skuteczne.</w:t>
      </w:r>
      <w:r w:rsidRPr="00F75693">
        <w:rPr>
          <w:rFonts w:ascii="Lato" w:hAnsi="Lato" w:cs="Arial"/>
          <w:iCs/>
          <w:spacing w:val="4"/>
        </w:rPr>
        <w:t xml:space="preserve"> W myśl art. 12 ust. 2a </w:t>
      </w:r>
      <w:r w:rsidRPr="00C260A9">
        <w:rPr>
          <w:rFonts w:ascii="Lato" w:hAnsi="Lato" w:cs="Arial"/>
          <w:spacing w:val="4"/>
        </w:rPr>
        <w:t>specustawy gazowej</w:t>
      </w:r>
      <w:r w:rsidRPr="00F75693">
        <w:rPr>
          <w:rFonts w:ascii="Lato" w:hAnsi="Lato" w:cs="Arial"/>
          <w:iCs/>
          <w:spacing w:val="4"/>
        </w:rPr>
        <w:t xml:space="preserve">, </w:t>
      </w:r>
      <w:r w:rsidRPr="00F75693">
        <w:rPr>
          <w:rFonts w:ascii="Lato" w:hAnsi="Lato"/>
          <w:spacing w:val="4"/>
        </w:rPr>
        <w:t xml:space="preserve">zawiadomienie, o którym mowa w ust. 1 zdanie pierwsze, uważa się za dokonane </w:t>
      </w:r>
      <w:r w:rsidR="00084072">
        <w:rPr>
          <w:rFonts w:ascii="Lato" w:hAnsi="Lato"/>
          <w:spacing w:val="4"/>
        </w:rPr>
        <w:br/>
      </w:r>
      <w:r w:rsidRPr="00F75693">
        <w:rPr>
          <w:rFonts w:ascii="Lato" w:hAnsi="Lato"/>
          <w:spacing w:val="4"/>
        </w:rPr>
        <w:t>po upływie 14 dni od dnia, w którym nastąpiło obwieszczenie w urzędzie wojewódzkim.</w:t>
      </w:r>
      <w:r w:rsidRPr="00F75693">
        <w:rPr>
          <w:rFonts w:ascii="Lato" w:hAnsi="Lato" w:cs="Arial"/>
          <w:iCs/>
          <w:spacing w:val="4"/>
        </w:rPr>
        <w:t xml:space="preserve"> Stosownie zaś do art. 12 ust. 2b </w:t>
      </w:r>
      <w:r w:rsidRPr="00C260A9">
        <w:rPr>
          <w:rFonts w:ascii="Lato" w:hAnsi="Lato" w:cs="Arial"/>
          <w:spacing w:val="4"/>
        </w:rPr>
        <w:t>specustawy gazowej</w:t>
      </w:r>
      <w:r w:rsidRPr="00F75693">
        <w:rPr>
          <w:rFonts w:ascii="Lato" w:hAnsi="Lato" w:cs="Arial"/>
          <w:iCs/>
          <w:spacing w:val="4"/>
        </w:rPr>
        <w:t xml:space="preserve">, </w:t>
      </w:r>
      <w:r w:rsidRPr="00F75693">
        <w:rPr>
          <w:rFonts w:ascii="Lato" w:hAnsi="Lato"/>
          <w:spacing w:val="4"/>
        </w:rPr>
        <w:t xml:space="preserve">obwieszczenie, o którym mowa </w:t>
      </w:r>
      <w:r w:rsidR="00D119D3">
        <w:rPr>
          <w:rFonts w:ascii="Lato" w:hAnsi="Lato"/>
          <w:spacing w:val="4"/>
        </w:rPr>
        <w:br/>
      </w:r>
      <w:r w:rsidRPr="00F75693">
        <w:rPr>
          <w:rFonts w:ascii="Lato" w:hAnsi="Lato"/>
          <w:spacing w:val="4"/>
        </w:rPr>
        <w:t xml:space="preserve">w ust. 1 zdanie pierwsze, oraz zawiadomienie, o którym mowa w ust. 1 zdanie drugie, zawierają również pouczenie o rozpoczęciu biegu terminu do wniesienia </w:t>
      </w:r>
      <w:bookmarkStart w:id="7" w:name="highlightHit_0"/>
      <w:bookmarkEnd w:id="7"/>
      <w:r w:rsidRPr="00F75693">
        <w:rPr>
          <w:rFonts w:ascii="Lato" w:hAnsi="Lato"/>
          <w:spacing w:val="4"/>
        </w:rPr>
        <w:t xml:space="preserve">odwołania </w:t>
      </w:r>
      <w:r w:rsidR="00D119D3">
        <w:rPr>
          <w:rFonts w:ascii="Lato" w:hAnsi="Lato"/>
          <w:spacing w:val="4"/>
        </w:rPr>
        <w:br/>
      </w:r>
      <w:r w:rsidRPr="00F75693">
        <w:rPr>
          <w:rFonts w:ascii="Lato" w:hAnsi="Lato"/>
          <w:spacing w:val="4"/>
        </w:rPr>
        <w:t>od decyzji o ustaleniu lokalizacji inwestycji w terminie 14 dni od dnia, w którym zawiadomienie,</w:t>
      </w:r>
      <w:r>
        <w:rPr>
          <w:rFonts w:ascii="Lato" w:hAnsi="Lato"/>
          <w:spacing w:val="4"/>
        </w:rPr>
        <w:t xml:space="preserve"> </w:t>
      </w:r>
      <w:r w:rsidRPr="00F75693">
        <w:rPr>
          <w:rFonts w:ascii="Lato" w:hAnsi="Lato"/>
          <w:spacing w:val="4"/>
        </w:rPr>
        <w:t xml:space="preserve">o którym mowa w ust. 1 zdanie pierwsze, uważa się za dokonane. </w:t>
      </w:r>
    </w:p>
    <w:p w14:paraId="74DCAD36" w14:textId="77777777" w:rsidR="00F75693" w:rsidRPr="00F75693" w:rsidRDefault="00F75693" w:rsidP="007C3A26">
      <w:pPr>
        <w:spacing w:after="240" w:line="240" w:lineRule="exact"/>
        <w:jc w:val="both"/>
        <w:rPr>
          <w:rFonts w:ascii="Lato" w:hAnsi="Lato"/>
          <w:spacing w:val="4"/>
        </w:rPr>
      </w:pPr>
      <w:r w:rsidRPr="00F75693">
        <w:rPr>
          <w:rFonts w:ascii="Lato" w:hAnsi="Lato"/>
          <w:spacing w:val="4"/>
        </w:rPr>
        <w:t xml:space="preserve">Z kolei art. 34 ust. 2 </w:t>
      </w:r>
      <w:r w:rsidRPr="00C260A9">
        <w:rPr>
          <w:rFonts w:ascii="Lato" w:hAnsi="Lato"/>
          <w:spacing w:val="4"/>
        </w:rPr>
        <w:t>specustawy gazowej</w:t>
      </w:r>
      <w:r w:rsidRPr="00F75693">
        <w:rPr>
          <w:rFonts w:ascii="Lato" w:hAnsi="Lato"/>
          <w:spacing w:val="4"/>
        </w:rPr>
        <w:t xml:space="preserve"> określa termin w jakim może być złożone odwołanie od decyzji o ustaleniu lokalizacji </w:t>
      </w:r>
      <w:bookmarkStart w:id="8" w:name="_Hlk127876654"/>
      <w:r w:rsidRPr="00F75693">
        <w:rPr>
          <w:rFonts w:ascii="Lato" w:hAnsi="Lato"/>
          <w:spacing w:val="4"/>
        </w:rPr>
        <w:t xml:space="preserve">inwestycji towarzyszącej inwestycjom </w:t>
      </w:r>
      <w:r w:rsidRPr="00F75693">
        <w:rPr>
          <w:rFonts w:ascii="Lato" w:hAnsi="Lato"/>
          <w:spacing w:val="4"/>
        </w:rPr>
        <w:br/>
        <w:t>w zakresie terminalu</w:t>
      </w:r>
      <w:bookmarkEnd w:id="8"/>
      <w:r w:rsidRPr="00F75693">
        <w:rPr>
          <w:rFonts w:ascii="Lato" w:hAnsi="Lato"/>
          <w:spacing w:val="4"/>
        </w:rPr>
        <w:t>. Zgodnie z tym przepisem,</w:t>
      </w:r>
      <w:bookmarkStart w:id="9" w:name="mip60614698"/>
      <w:bookmarkEnd w:id="9"/>
      <w:r w:rsidRPr="00F75693">
        <w:rPr>
          <w:rFonts w:ascii="Lato" w:eastAsia="Times New Roman" w:hAnsi="Lato" w:cs="Times New Roman"/>
          <w:spacing w:val="4"/>
          <w:lang w:eastAsia="pl-PL"/>
        </w:rPr>
        <w:t xml:space="preserve"> </w:t>
      </w:r>
      <w:r w:rsidRPr="00F75693">
        <w:rPr>
          <w:rFonts w:ascii="Lato" w:hAnsi="Lato"/>
          <w:spacing w:val="4"/>
        </w:rPr>
        <w:t>odwołanie od decyzji administracyjnych, o których mowa w niniejszej ustawie, wnosi się w terminie 7 dni od dnia ich doręczenia stronie albo w terminie 14 dni od dnia, w którym zawiadomienie o ich wydaniu w drodze obwieszczenia uważa się za dokonane. Z powyższego wynika, iż wnioskodawca (</w:t>
      </w:r>
      <w:r w:rsidRPr="00F75693">
        <w:rPr>
          <w:rFonts w:ascii="Lato" w:hAnsi="Lato"/>
          <w:iCs/>
          <w:spacing w:val="4"/>
        </w:rPr>
        <w:t>inwestor</w:t>
      </w:r>
      <w:r w:rsidRPr="00F75693">
        <w:rPr>
          <w:rFonts w:ascii="Lato" w:hAnsi="Lato"/>
          <w:spacing w:val="4"/>
        </w:rPr>
        <w:t xml:space="preserve">) może złożyć odwołanie w terminie 7 dni od dnia doręczenia decyzji, natomiast </w:t>
      </w:r>
      <w:r w:rsidRPr="00F75693">
        <w:rPr>
          <w:rFonts w:ascii="Lato" w:hAnsi="Lato"/>
          <w:iCs/>
          <w:spacing w:val="4"/>
        </w:rPr>
        <w:t>pozostałe strony</w:t>
      </w:r>
      <w:r w:rsidRPr="00F75693">
        <w:rPr>
          <w:rFonts w:ascii="Lato" w:hAnsi="Lato"/>
          <w:spacing w:val="4"/>
        </w:rPr>
        <w:t xml:space="preserve"> - w terminie 14 dni od dnia obwieszczenia o wydaniu decyzji w urzędzie wojewódzkim. </w:t>
      </w:r>
      <w:r w:rsidRPr="00F75693">
        <w:rPr>
          <w:rFonts w:ascii="Lato" w:hAnsi="Lato" w:cs="Arial"/>
          <w:spacing w:val="4"/>
        </w:rPr>
        <w:t xml:space="preserve">W niniejszej sprawie obwieszczenie o wydaniu </w:t>
      </w:r>
      <w:r w:rsidRPr="00C260A9">
        <w:rPr>
          <w:rFonts w:ascii="Lato" w:hAnsi="Lato" w:cs="Arial"/>
          <w:iCs/>
          <w:spacing w:val="4"/>
        </w:rPr>
        <w:t>decyzji Wojewody Opolskiego</w:t>
      </w:r>
      <w:r w:rsidRPr="00F75693">
        <w:rPr>
          <w:rFonts w:ascii="Lato" w:hAnsi="Lato" w:cs="Arial"/>
          <w:i/>
          <w:spacing w:val="4"/>
        </w:rPr>
        <w:t xml:space="preserve"> </w:t>
      </w:r>
      <w:r w:rsidRPr="00F75693">
        <w:rPr>
          <w:rFonts w:ascii="Lato" w:hAnsi="Lato" w:cs="Arial"/>
          <w:spacing w:val="4"/>
        </w:rPr>
        <w:t xml:space="preserve">nastąpiło w Opolskim Urzędzie Wojewódzkim w Opolu w dniu 3 sierpnia </w:t>
      </w:r>
      <w:r w:rsidRPr="00F75693">
        <w:rPr>
          <w:rFonts w:ascii="Lato" w:hAnsi="Lato" w:cs="Arial"/>
          <w:spacing w:val="4"/>
        </w:rPr>
        <w:br/>
        <w:t xml:space="preserve">2023 r., a więc przewidziany w przepisie art. 12 ust. 2a </w:t>
      </w:r>
      <w:r w:rsidRPr="00C260A9">
        <w:rPr>
          <w:rFonts w:ascii="Lato" w:hAnsi="Lato" w:cs="Arial"/>
          <w:iCs/>
          <w:spacing w:val="4"/>
        </w:rPr>
        <w:t>specustawy gazowej</w:t>
      </w:r>
      <w:r w:rsidRPr="00F75693">
        <w:rPr>
          <w:rFonts w:ascii="Lato" w:hAnsi="Lato" w:cs="Arial"/>
          <w:spacing w:val="4"/>
        </w:rPr>
        <w:t xml:space="preserve">, 14-dniowy termin skutkujący doręczeniem </w:t>
      </w:r>
      <w:r w:rsidRPr="00C260A9">
        <w:rPr>
          <w:rFonts w:ascii="Lato" w:hAnsi="Lato" w:cs="Arial"/>
          <w:iCs/>
          <w:spacing w:val="4"/>
        </w:rPr>
        <w:t>decyzji Wojewody Opolskiego</w:t>
      </w:r>
      <w:r w:rsidRPr="00F75693">
        <w:rPr>
          <w:rFonts w:ascii="Lato" w:hAnsi="Lato" w:cs="Arial"/>
          <w:i/>
          <w:spacing w:val="4"/>
        </w:rPr>
        <w:t xml:space="preserve"> </w:t>
      </w:r>
      <w:r w:rsidRPr="00F75693">
        <w:rPr>
          <w:rFonts w:ascii="Lato" w:hAnsi="Lato" w:cs="Arial"/>
          <w:spacing w:val="4"/>
        </w:rPr>
        <w:t xml:space="preserve">upłynął w dniu 17 sierpnia 2023 r. Jak wskazano powyżej, </w:t>
      </w:r>
      <w:r w:rsidRPr="00F75693">
        <w:rPr>
          <w:rFonts w:ascii="Lato" w:hAnsi="Lato" w:cs="Arial"/>
          <w:iCs/>
          <w:spacing w:val="4"/>
        </w:rPr>
        <w:t xml:space="preserve">zgodnie z </w:t>
      </w:r>
      <w:r w:rsidRPr="00F75693">
        <w:rPr>
          <w:rFonts w:ascii="Lato" w:hAnsi="Lato"/>
          <w:spacing w:val="4"/>
        </w:rPr>
        <w:t xml:space="preserve">art. 34 ust. 2 </w:t>
      </w:r>
      <w:r w:rsidRPr="00C260A9">
        <w:rPr>
          <w:rFonts w:ascii="Lato" w:hAnsi="Lato"/>
          <w:spacing w:val="4"/>
        </w:rPr>
        <w:t>specustawy gazowej</w:t>
      </w:r>
      <w:r w:rsidRPr="00F75693">
        <w:rPr>
          <w:rFonts w:ascii="Lato" w:hAnsi="Lato"/>
          <w:spacing w:val="4"/>
        </w:rPr>
        <w:t xml:space="preserve"> </w:t>
      </w:r>
      <w:r w:rsidRPr="00F75693">
        <w:rPr>
          <w:rFonts w:ascii="Lato" w:hAnsi="Lato" w:cs="Arial"/>
          <w:iCs/>
          <w:spacing w:val="4"/>
        </w:rPr>
        <w:t xml:space="preserve">w zw. z art. 12 ust. 2a </w:t>
      </w:r>
      <w:r w:rsidRPr="00C260A9">
        <w:rPr>
          <w:rFonts w:ascii="Lato" w:hAnsi="Lato" w:cs="Arial"/>
          <w:spacing w:val="4"/>
        </w:rPr>
        <w:t>specustawy gazowej</w:t>
      </w:r>
      <w:r w:rsidRPr="00F75693">
        <w:rPr>
          <w:rFonts w:ascii="Lato" w:hAnsi="Lato" w:cs="Arial"/>
          <w:iCs/>
          <w:spacing w:val="4"/>
        </w:rPr>
        <w:t xml:space="preserve">, odwołanie wnosi się w terminie 14 dni od dnia, w którym zawiadomienie o jej wydaniu w drodze obwieszczenia w urzędzie wojewódzkim uważa się za dokonane. Należy zatem uznać, że w przedmiotowej sprawie 14-dniowy termin </w:t>
      </w:r>
      <w:r w:rsidRPr="00F75693">
        <w:rPr>
          <w:rFonts w:ascii="Lato" w:hAnsi="Lato" w:cs="Arial"/>
          <w:iCs/>
          <w:spacing w:val="4"/>
        </w:rPr>
        <w:br/>
        <w:t xml:space="preserve">na wniesienie odwołania od </w:t>
      </w:r>
      <w:r w:rsidRPr="00C260A9">
        <w:rPr>
          <w:rFonts w:ascii="Lato" w:hAnsi="Lato" w:cs="Arial"/>
          <w:spacing w:val="4"/>
        </w:rPr>
        <w:t>decyzji Wojewody Opolskiego</w:t>
      </w:r>
      <w:r w:rsidRPr="00F75693">
        <w:rPr>
          <w:rFonts w:ascii="Lato" w:hAnsi="Lato" w:cs="Arial"/>
          <w:i/>
          <w:iCs/>
          <w:spacing w:val="4"/>
        </w:rPr>
        <w:t xml:space="preserve"> </w:t>
      </w:r>
      <w:r w:rsidRPr="00F75693">
        <w:rPr>
          <w:rFonts w:ascii="Lato" w:hAnsi="Lato" w:cs="Arial"/>
          <w:iCs/>
          <w:spacing w:val="4"/>
        </w:rPr>
        <w:t>dla strony niebędącej wnioskodawcą (</w:t>
      </w:r>
      <w:r w:rsidRPr="00F75693">
        <w:rPr>
          <w:rFonts w:ascii="Lato" w:hAnsi="Lato" w:cs="Arial"/>
          <w:spacing w:val="4"/>
        </w:rPr>
        <w:t>inwestorem</w:t>
      </w:r>
      <w:r w:rsidRPr="00F75693">
        <w:rPr>
          <w:rFonts w:ascii="Lato" w:hAnsi="Lato" w:cs="Arial"/>
          <w:iCs/>
          <w:spacing w:val="4"/>
        </w:rPr>
        <w:t>) upłynął w dniu 31 sierpnia 2023 r.</w:t>
      </w:r>
    </w:p>
    <w:p w14:paraId="5236E5BB" w14:textId="5AAE41B2" w:rsidR="00F75693" w:rsidRPr="00C260A9" w:rsidRDefault="00F75693" w:rsidP="007C3A26">
      <w:pPr>
        <w:spacing w:after="240" w:line="240" w:lineRule="exact"/>
        <w:jc w:val="both"/>
        <w:rPr>
          <w:rFonts w:ascii="Lato" w:hAnsi="Lato" w:cs="Arial"/>
          <w:spacing w:val="4"/>
        </w:rPr>
      </w:pPr>
      <w:r w:rsidRPr="00F75693">
        <w:rPr>
          <w:rFonts w:ascii="Lato" w:hAnsi="Lato" w:cs="Arial"/>
          <w:spacing w:val="4"/>
        </w:rPr>
        <w:t xml:space="preserve">Jeżeli pisma nie złożono w przewidzianym w przepisach prawa terminie w siedzibie organu administracji publicznej, to zgodnie z art. 57 § 5 pkt 2 </w:t>
      </w:r>
      <w:r w:rsidRPr="00C260A9">
        <w:rPr>
          <w:rFonts w:ascii="Lato" w:hAnsi="Lato" w:cs="Arial"/>
          <w:iCs/>
          <w:spacing w:val="4"/>
        </w:rPr>
        <w:t>kpa</w:t>
      </w:r>
      <w:r w:rsidRPr="00F75693">
        <w:rPr>
          <w:rFonts w:ascii="Lato" w:hAnsi="Lato" w:cs="Arial"/>
          <w:spacing w:val="4"/>
        </w:rPr>
        <w:t xml:space="preserve"> termin uważa się </w:t>
      </w:r>
      <w:r w:rsidRPr="00F75693">
        <w:rPr>
          <w:rFonts w:ascii="Lato" w:hAnsi="Lato" w:cs="Arial"/>
          <w:spacing w:val="4"/>
        </w:rPr>
        <w:br/>
        <w:t xml:space="preserve">za zachowany jeżeli przed jego upływem pismo zostało nadane </w:t>
      </w:r>
      <w:r w:rsidR="00143D05">
        <w:rPr>
          <w:rFonts w:ascii="Lato" w:hAnsi="Lato" w:cs="Arial"/>
          <w:spacing w:val="4"/>
        </w:rPr>
        <w:t xml:space="preserve">m.in. </w:t>
      </w:r>
      <w:r w:rsidRPr="00F75693">
        <w:rPr>
          <w:rFonts w:ascii="Lato" w:hAnsi="Lato" w:cs="Arial"/>
          <w:spacing w:val="4"/>
        </w:rPr>
        <w:t xml:space="preserve">w polskiej placówce pocztowej operatora wyznaczonego w rozumieniu ustawy z dnia 23 listopada 2012 r. </w:t>
      </w:r>
      <w:r w:rsidRPr="00F75693">
        <w:rPr>
          <w:rFonts w:ascii="Lato" w:hAnsi="Lato" w:cs="Arial"/>
          <w:spacing w:val="4"/>
        </w:rPr>
        <w:br/>
        <w:t xml:space="preserve">– Prawo pocztowe (t.j. </w:t>
      </w:r>
      <w:r w:rsidR="005A29E6" w:rsidRPr="005A29E6">
        <w:rPr>
          <w:rFonts w:ascii="Lato" w:hAnsi="Lato" w:cs="Arial"/>
          <w:spacing w:val="4"/>
        </w:rPr>
        <w:t>Dz.U. z 2026 r. poz. 558)</w:t>
      </w:r>
      <w:r w:rsidRPr="00F75693">
        <w:rPr>
          <w:rFonts w:ascii="Lato" w:hAnsi="Lato" w:cs="Arial"/>
          <w:spacing w:val="4"/>
        </w:rPr>
        <w:t>, zwanej dalej „</w:t>
      </w:r>
      <w:r w:rsidRPr="00C260A9">
        <w:rPr>
          <w:rFonts w:ascii="Lato" w:hAnsi="Lato" w:cs="Arial"/>
          <w:iCs/>
          <w:spacing w:val="4"/>
        </w:rPr>
        <w:t>ustawą Prawo pocztowe</w:t>
      </w:r>
      <w:r w:rsidRPr="00F75693">
        <w:rPr>
          <w:rFonts w:ascii="Lato" w:hAnsi="Lato" w:cs="Arial"/>
          <w:spacing w:val="4"/>
        </w:rPr>
        <w:t>”.</w:t>
      </w:r>
      <w:r w:rsidR="00725565">
        <w:rPr>
          <w:rFonts w:ascii="Lato" w:hAnsi="Lato" w:cs="Arial"/>
          <w:spacing w:val="4"/>
        </w:rPr>
        <w:t xml:space="preserve"> </w:t>
      </w:r>
      <w:r w:rsidRPr="00F75693">
        <w:rPr>
          <w:rFonts w:ascii="Lato" w:hAnsi="Lato" w:cs="Arial"/>
          <w:spacing w:val="4"/>
        </w:rPr>
        <w:t xml:space="preserve">W związku z upływem w dniu 31 sierpnia 2023 r. terminu do wniesienia odwołania </w:t>
      </w:r>
      <w:r w:rsidRPr="00F75693">
        <w:rPr>
          <w:rFonts w:ascii="Lato" w:hAnsi="Lato" w:cs="Arial"/>
          <w:spacing w:val="4"/>
        </w:rPr>
        <w:br/>
        <w:t xml:space="preserve">od </w:t>
      </w:r>
      <w:r w:rsidRPr="00C260A9">
        <w:rPr>
          <w:rFonts w:ascii="Lato" w:hAnsi="Lato" w:cs="Arial"/>
          <w:iCs/>
          <w:spacing w:val="4"/>
        </w:rPr>
        <w:t>decyzji Wojewody Opolskiego</w:t>
      </w:r>
      <w:r w:rsidRPr="00F75693">
        <w:rPr>
          <w:rFonts w:ascii="Lato" w:hAnsi="Lato" w:cs="Arial"/>
          <w:spacing w:val="4"/>
        </w:rPr>
        <w:t xml:space="preserve">, odwołanie Pana </w:t>
      </w:r>
      <w:r w:rsidR="00423BF9">
        <w:rPr>
          <w:rFonts w:ascii="Lato" w:hAnsi="Lato" w:cs="Arial"/>
          <w:spacing w:val="4"/>
        </w:rPr>
        <w:t>P. L.</w:t>
      </w:r>
      <w:r w:rsidR="00423BF9">
        <w:rPr>
          <w:rFonts w:ascii="Lato" w:hAnsi="Lato" w:cs="Arial"/>
          <w:spacing w:val="4"/>
        </w:rPr>
        <w:t xml:space="preserve"> </w:t>
      </w:r>
      <w:r w:rsidRPr="00F75693">
        <w:rPr>
          <w:rFonts w:ascii="Lato" w:hAnsi="Lato" w:cs="Arial"/>
          <w:spacing w:val="4"/>
        </w:rPr>
        <w:t xml:space="preserve">z dnia 5 września 2023 r., nadane w polskiej placówce pocztowej operatora wyznaczonego w rozumieniu </w:t>
      </w:r>
      <w:r w:rsidRPr="00C260A9">
        <w:rPr>
          <w:rFonts w:ascii="Lato" w:hAnsi="Lato" w:cs="Arial"/>
          <w:iCs/>
          <w:spacing w:val="4"/>
        </w:rPr>
        <w:t>ustawy Prawo pocztowe</w:t>
      </w:r>
      <w:r w:rsidRPr="00F75693">
        <w:rPr>
          <w:rFonts w:ascii="Lato" w:hAnsi="Lato" w:cs="Arial"/>
          <w:spacing w:val="4"/>
        </w:rPr>
        <w:t xml:space="preserve"> w dniu 6 września 2023 r., zostało wniesione z uchybieniem terminu </w:t>
      </w:r>
      <w:r w:rsidRPr="00F75693">
        <w:rPr>
          <w:rFonts w:ascii="Lato" w:hAnsi="Lato" w:cs="Arial"/>
          <w:spacing w:val="4"/>
        </w:rPr>
        <w:br/>
        <w:t xml:space="preserve">do jego wniesienia. Taka sytuacja winna mieć miejsce w przypadku prawidłowości doręczenia zawiadomienia oraz zawartego w nim pouczenia, co do terminu wniesienia odwołania. Zawiadomienie </w:t>
      </w:r>
      <w:bookmarkStart w:id="10" w:name="_Hlk150947209"/>
      <w:r w:rsidRPr="00F75693">
        <w:rPr>
          <w:rFonts w:ascii="Lato" w:hAnsi="Lato" w:cs="Arial"/>
          <w:spacing w:val="4"/>
        </w:rPr>
        <w:t xml:space="preserve">Wojewody Opolskiego z dnia 2 sierpnia 2023 r., znak: IN.I.747.7.2023.AZ, informujące o wydaniu </w:t>
      </w:r>
      <w:r w:rsidRPr="00C260A9">
        <w:rPr>
          <w:rFonts w:ascii="Lato" w:hAnsi="Lato" w:cs="Arial"/>
          <w:spacing w:val="4"/>
        </w:rPr>
        <w:t>decyzji Wojewody Opolskiego</w:t>
      </w:r>
      <w:r w:rsidRPr="00F75693">
        <w:rPr>
          <w:rFonts w:ascii="Lato" w:hAnsi="Lato" w:cs="Arial"/>
          <w:spacing w:val="4"/>
        </w:rPr>
        <w:t xml:space="preserve"> </w:t>
      </w:r>
      <w:bookmarkEnd w:id="10"/>
      <w:r w:rsidRPr="00F75693">
        <w:rPr>
          <w:rFonts w:ascii="Lato" w:hAnsi="Lato" w:cs="Arial"/>
          <w:spacing w:val="4"/>
        </w:rPr>
        <w:t xml:space="preserve">zostało natomiast doręczone Panu </w:t>
      </w:r>
      <w:r w:rsidR="00423BF9">
        <w:rPr>
          <w:rFonts w:ascii="Lato" w:hAnsi="Lato" w:cs="Arial"/>
          <w:spacing w:val="4"/>
        </w:rPr>
        <w:t>P. L.</w:t>
      </w:r>
      <w:r w:rsidR="00423BF9" w:rsidRPr="00F75693">
        <w:rPr>
          <w:rFonts w:ascii="Lato" w:hAnsi="Lato" w:cs="Arial"/>
          <w:spacing w:val="4"/>
        </w:rPr>
        <w:t xml:space="preserve"> </w:t>
      </w:r>
      <w:r w:rsidRPr="00F75693">
        <w:rPr>
          <w:rFonts w:ascii="Lato" w:hAnsi="Lato" w:cs="Arial"/>
          <w:spacing w:val="4"/>
        </w:rPr>
        <w:t xml:space="preserve">(jak i innym właścicielom i użytkownikom wieczystym nieruchomości objętych </w:t>
      </w:r>
      <w:r w:rsidRPr="00C260A9">
        <w:rPr>
          <w:rFonts w:ascii="Lato" w:hAnsi="Lato" w:cs="Arial"/>
          <w:spacing w:val="4"/>
        </w:rPr>
        <w:t>decyzją Wojewody Opolskiego</w:t>
      </w:r>
      <w:r w:rsidRPr="00F75693">
        <w:rPr>
          <w:rFonts w:ascii="Lato" w:hAnsi="Lato" w:cs="Arial"/>
          <w:spacing w:val="4"/>
        </w:rPr>
        <w:t>) z następującym pouczeniem: „</w:t>
      </w:r>
      <w:bookmarkStart w:id="11" w:name="bookmark0"/>
      <w:r w:rsidRPr="00C260A9">
        <w:rPr>
          <w:rFonts w:ascii="Lato" w:hAnsi="Lato" w:cs="Arial"/>
          <w:spacing w:val="4"/>
        </w:rPr>
        <w:t>Odwołanie od ww. decyzji strona może wnieść do Ministra Rozwoju</w:t>
      </w:r>
      <w:bookmarkEnd w:id="11"/>
      <w:r w:rsidRPr="00C260A9">
        <w:rPr>
          <w:rFonts w:ascii="Lato" w:hAnsi="Lato" w:cs="Arial"/>
          <w:spacing w:val="4"/>
        </w:rPr>
        <w:t xml:space="preserve"> </w:t>
      </w:r>
      <w:r w:rsidRPr="00C260A9">
        <w:rPr>
          <w:rFonts w:ascii="Lato" w:hAnsi="Lato" w:cs="Arial"/>
          <w:spacing w:val="4"/>
        </w:rPr>
        <w:br/>
        <w:t xml:space="preserve">i Technologii za pośrednictwem Wojewody Opolskiego, w </w:t>
      </w:r>
      <w:bookmarkStart w:id="12" w:name="_Hlk150947782"/>
      <w:r w:rsidRPr="00C260A9">
        <w:rPr>
          <w:rFonts w:ascii="Lato" w:hAnsi="Lato" w:cs="Arial"/>
          <w:spacing w:val="4"/>
        </w:rPr>
        <w:t>terminie 14 dni od doręczenia niniejszego zawiadomienia</w:t>
      </w:r>
      <w:bookmarkEnd w:id="12"/>
      <w:r w:rsidRPr="00F75693">
        <w:rPr>
          <w:rFonts w:ascii="Lato" w:hAnsi="Lato" w:cs="Arial"/>
          <w:spacing w:val="4"/>
        </w:rPr>
        <w:t>”.</w:t>
      </w:r>
    </w:p>
    <w:p w14:paraId="1F1807B5" w14:textId="75D88E92" w:rsidR="00F75693" w:rsidRPr="00F75693" w:rsidRDefault="00F75693" w:rsidP="007C3A26">
      <w:pPr>
        <w:spacing w:after="240" w:line="240" w:lineRule="exact"/>
        <w:jc w:val="both"/>
        <w:rPr>
          <w:rFonts w:ascii="Lato" w:hAnsi="Lato" w:cs="Arial"/>
          <w:spacing w:val="4"/>
        </w:rPr>
      </w:pPr>
      <w:r w:rsidRPr="00F75693">
        <w:rPr>
          <w:rFonts w:ascii="Lato" w:hAnsi="Lato" w:cs="Arial"/>
          <w:spacing w:val="4"/>
        </w:rPr>
        <w:t xml:space="preserve">Z powyższego pouczenia wynika więc w sposób jasny i niebudzący żadnych wątpliwości, że Pan </w:t>
      </w:r>
      <w:r w:rsidR="00423BF9">
        <w:rPr>
          <w:rFonts w:ascii="Lato" w:hAnsi="Lato" w:cs="Arial"/>
          <w:spacing w:val="4"/>
        </w:rPr>
        <w:t>P. L.</w:t>
      </w:r>
      <w:r w:rsidR="00423BF9">
        <w:rPr>
          <w:rFonts w:ascii="Lato" w:hAnsi="Lato" w:cs="Arial"/>
          <w:spacing w:val="4"/>
        </w:rPr>
        <w:t xml:space="preserve"> </w:t>
      </w:r>
      <w:r w:rsidRPr="00F75693">
        <w:rPr>
          <w:rFonts w:ascii="Lato" w:hAnsi="Lato" w:cs="Arial"/>
          <w:spacing w:val="4"/>
        </w:rPr>
        <w:t xml:space="preserve">został poinformowany, iż bieg terminu do wniesienia odwołania będzie liczony od dnia doręczenia zawiadomienia Wojewody Opolskiego z dnia 2 sierpnia </w:t>
      </w:r>
      <w:r w:rsidRPr="00F75693">
        <w:rPr>
          <w:rFonts w:ascii="Lato" w:hAnsi="Lato" w:cs="Arial"/>
          <w:spacing w:val="4"/>
        </w:rPr>
        <w:br/>
        <w:t xml:space="preserve">2023 r., znak: IN.I.747.7.2023.AZ, informującego o wydaniu </w:t>
      </w:r>
      <w:r w:rsidRPr="00C260A9">
        <w:rPr>
          <w:rFonts w:ascii="Lato" w:hAnsi="Lato" w:cs="Arial"/>
          <w:spacing w:val="4"/>
        </w:rPr>
        <w:t>decyzji Wojewody Opolskiego</w:t>
      </w:r>
      <w:r w:rsidRPr="00F75693">
        <w:rPr>
          <w:rFonts w:ascii="Lato" w:hAnsi="Lato" w:cs="Arial"/>
          <w:spacing w:val="4"/>
        </w:rPr>
        <w:t xml:space="preserve">. Zgodnie z art. 112 </w:t>
      </w:r>
      <w:r w:rsidRPr="00C260A9">
        <w:rPr>
          <w:rFonts w:ascii="Lato" w:hAnsi="Lato" w:cs="Arial"/>
          <w:iCs/>
          <w:spacing w:val="4"/>
        </w:rPr>
        <w:t>kpa</w:t>
      </w:r>
      <w:r w:rsidRPr="00F75693">
        <w:rPr>
          <w:rFonts w:ascii="Lato" w:hAnsi="Lato" w:cs="Arial"/>
          <w:spacing w:val="4"/>
        </w:rPr>
        <w:t xml:space="preserve"> błędne pouczenie co do prawa odwołania albo wniesienia powództwa do sądu powszechnego lub skargi do sądu administracyjnego nie może szkodzić stronie, która zastosowała się do tego pouczenia. W niniejszej sprawie, </w:t>
      </w:r>
      <w:r w:rsidRPr="00F75693">
        <w:rPr>
          <w:rFonts w:ascii="Lato" w:hAnsi="Lato" w:cs="Arial"/>
          <w:spacing w:val="4"/>
        </w:rPr>
        <w:br/>
      </w:r>
      <w:r w:rsidRPr="00F75693">
        <w:rPr>
          <w:rFonts w:ascii="Lato" w:hAnsi="Lato" w:cs="Arial"/>
          <w:spacing w:val="4"/>
        </w:rPr>
        <w:lastRenderedPageBreak/>
        <w:t xml:space="preserve">ww. zawiadomienie Wojewody Opolskiego z dnia 2 sierpnia 2023 r., znak: IN.I.747.7.2023.AZ, informujące o wydaniu </w:t>
      </w:r>
      <w:r w:rsidRPr="00C260A9">
        <w:rPr>
          <w:rFonts w:ascii="Lato" w:hAnsi="Lato" w:cs="Arial"/>
          <w:spacing w:val="4"/>
        </w:rPr>
        <w:t>decyzji Wojewody Opolskiego</w:t>
      </w:r>
      <w:r w:rsidRPr="00F75693">
        <w:rPr>
          <w:rFonts w:ascii="Lato" w:hAnsi="Lato" w:cs="Arial"/>
          <w:spacing w:val="4"/>
        </w:rPr>
        <w:t xml:space="preserve">, zostało doręczone skarżącemu w dniu 23 sierpnia 2023 r. Tym samym, 14 - dniowy termin </w:t>
      </w:r>
      <w:r w:rsidRPr="00F75693">
        <w:rPr>
          <w:rFonts w:ascii="Lato" w:hAnsi="Lato" w:cs="Arial"/>
          <w:spacing w:val="4"/>
        </w:rPr>
        <w:br/>
        <w:t xml:space="preserve">na złożenie odwołania od </w:t>
      </w:r>
      <w:r w:rsidRPr="00C260A9">
        <w:rPr>
          <w:rFonts w:ascii="Lato" w:hAnsi="Lato" w:cs="Arial"/>
          <w:iCs/>
          <w:spacing w:val="4"/>
        </w:rPr>
        <w:t>decyzji Wojewody Opolskiego</w:t>
      </w:r>
      <w:r w:rsidRPr="00F75693">
        <w:rPr>
          <w:rFonts w:ascii="Lato" w:hAnsi="Lato" w:cs="Arial"/>
          <w:i/>
          <w:spacing w:val="4"/>
        </w:rPr>
        <w:t xml:space="preserve"> </w:t>
      </w:r>
      <w:r w:rsidRPr="00F75693">
        <w:rPr>
          <w:rFonts w:ascii="Lato" w:hAnsi="Lato" w:cs="Arial"/>
          <w:iCs/>
          <w:spacing w:val="4"/>
        </w:rPr>
        <w:t xml:space="preserve">(liczony od dnia doręczenia tego zawiadomienia) </w:t>
      </w:r>
      <w:r w:rsidRPr="00F75693">
        <w:rPr>
          <w:rFonts w:ascii="Lato" w:hAnsi="Lato" w:cs="Arial"/>
          <w:spacing w:val="4"/>
        </w:rPr>
        <w:t xml:space="preserve">upłynął dla Pana </w:t>
      </w:r>
      <w:r w:rsidR="00423BF9">
        <w:rPr>
          <w:rFonts w:ascii="Lato" w:hAnsi="Lato" w:cs="Arial"/>
          <w:spacing w:val="4"/>
        </w:rPr>
        <w:t>P. L.</w:t>
      </w:r>
      <w:r w:rsidR="00423BF9">
        <w:rPr>
          <w:rFonts w:ascii="Lato" w:hAnsi="Lato" w:cs="Arial"/>
          <w:spacing w:val="4"/>
        </w:rPr>
        <w:t xml:space="preserve"> </w:t>
      </w:r>
      <w:r w:rsidRPr="00F75693">
        <w:rPr>
          <w:rFonts w:ascii="Lato" w:hAnsi="Lato" w:cs="Arial"/>
          <w:spacing w:val="4"/>
        </w:rPr>
        <w:t xml:space="preserve">w dniu 6 września 2023 r. W piśmie z dnia 5 października 2023 r. Pan </w:t>
      </w:r>
      <w:r w:rsidR="00423BF9">
        <w:rPr>
          <w:rFonts w:ascii="Lato" w:hAnsi="Lato" w:cs="Arial"/>
          <w:spacing w:val="4"/>
        </w:rPr>
        <w:t>P. L.</w:t>
      </w:r>
      <w:r w:rsidR="00423BF9">
        <w:rPr>
          <w:rFonts w:ascii="Lato" w:hAnsi="Lato" w:cs="Arial"/>
          <w:spacing w:val="4"/>
        </w:rPr>
        <w:t xml:space="preserve"> </w:t>
      </w:r>
      <w:r w:rsidRPr="00F75693">
        <w:rPr>
          <w:rFonts w:ascii="Lato" w:hAnsi="Lato" w:cs="Arial"/>
          <w:spacing w:val="4"/>
        </w:rPr>
        <w:t xml:space="preserve">potwierdził, iż wnosząc rzeczone odwołanie zastosował się do terminu odwoławczego </w:t>
      </w:r>
      <w:r w:rsidR="005A29E6" w:rsidRPr="005A29E6">
        <w:rPr>
          <w:rFonts w:ascii="Lato" w:hAnsi="Lato" w:cs="Arial"/>
          <w:spacing w:val="4"/>
        </w:rPr>
        <w:t>(jakkolwiek błędneg</w:t>
      </w:r>
      <w:r w:rsidR="005A29E6">
        <w:rPr>
          <w:rFonts w:ascii="Lato" w:hAnsi="Lato" w:cs="Arial"/>
          <w:spacing w:val="4"/>
        </w:rPr>
        <w:t>o</w:t>
      </w:r>
      <w:r w:rsidR="005A29E6" w:rsidRPr="005A29E6">
        <w:rPr>
          <w:rFonts w:ascii="Lato" w:hAnsi="Lato" w:cs="Arial"/>
          <w:spacing w:val="4"/>
        </w:rPr>
        <w:t>)</w:t>
      </w:r>
      <w:r w:rsidR="005A29E6">
        <w:rPr>
          <w:rFonts w:ascii="Lato" w:hAnsi="Lato" w:cs="Arial"/>
          <w:spacing w:val="4"/>
        </w:rPr>
        <w:t xml:space="preserve"> </w:t>
      </w:r>
      <w:r w:rsidRPr="00F75693">
        <w:rPr>
          <w:rFonts w:ascii="Lato" w:hAnsi="Lato" w:cs="Arial"/>
          <w:spacing w:val="4"/>
        </w:rPr>
        <w:t>wskazanego w ww. zawiadomieniu Wojewody Opolskiego z dnia 2 sierpnia 2023 r., znak: IN.I.747.7.2023.AZ, tj. terminu 14 dni</w:t>
      </w:r>
      <w:r w:rsidR="00D119D3">
        <w:rPr>
          <w:rFonts w:ascii="Lato" w:hAnsi="Lato" w:cs="Arial"/>
          <w:spacing w:val="4"/>
        </w:rPr>
        <w:t xml:space="preserve"> </w:t>
      </w:r>
      <w:r w:rsidRPr="00F75693">
        <w:rPr>
          <w:rFonts w:ascii="Lato" w:hAnsi="Lato" w:cs="Arial"/>
          <w:spacing w:val="4"/>
        </w:rPr>
        <w:t>od doręczenia tego zawiadomienia.</w:t>
      </w:r>
    </w:p>
    <w:p w14:paraId="6408ED20" w14:textId="25AF52F7" w:rsidR="005A29E6" w:rsidRDefault="00F75693" w:rsidP="007C3A26">
      <w:pPr>
        <w:spacing w:after="240" w:line="240" w:lineRule="exact"/>
        <w:jc w:val="both"/>
        <w:rPr>
          <w:rFonts w:ascii="Lato" w:hAnsi="Lato" w:cs="Arial"/>
          <w:spacing w:val="4"/>
          <w:lang w:val="x-none"/>
        </w:rPr>
      </w:pPr>
      <w:r w:rsidRPr="00F75693">
        <w:rPr>
          <w:rFonts w:ascii="Lato" w:hAnsi="Lato" w:cs="Arial"/>
          <w:spacing w:val="4"/>
          <w:lang w:val="x-none"/>
        </w:rPr>
        <w:t xml:space="preserve">Biorąc pod uwagę, że odwołanie </w:t>
      </w:r>
      <w:r w:rsidRPr="00F75693">
        <w:rPr>
          <w:rFonts w:ascii="Lato" w:hAnsi="Lato" w:cs="Arial"/>
          <w:spacing w:val="4"/>
        </w:rPr>
        <w:t xml:space="preserve">Pana </w:t>
      </w:r>
      <w:r w:rsidR="00423BF9">
        <w:rPr>
          <w:rFonts w:ascii="Lato" w:hAnsi="Lato" w:cs="Arial"/>
          <w:spacing w:val="4"/>
        </w:rPr>
        <w:t>P. L.</w:t>
      </w:r>
      <w:r w:rsidR="00423BF9">
        <w:rPr>
          <w:rFonts w:ascii="Lato" w:hAnsi="Lato" w:cs="Arial"/>
          <w:spacing w:val="4"/>
        </w:rPr>
        <w:t xml:space="preserve"> </w:t>
      </w:r>
      <w:r w:rsidRPr="00F75693">
        <w:rPr>
          <w:rFonts w:ascii="Lato" w:hAnsi="Lato" w:cs="Arial"/>
          <w:spacing w:val="4"/>
        </w:rPr>
        <w:t xml:space="preserve">z dnia 5 września 2023 r. zostało nadane w polskiej placówce pocztowej operatora wyznaczonego w rozumieniu </w:t>
      </w:r>
      <w:r w:rsidRPr="00C260A9">
        <w:rPr>
          <w:rFonts w:ascii="Lato" w:hAnsi="Lato" w:cs="Arial"/>
          <w:iCs/>
          <w:spacing w:val="4"/>
        </w:rPr>
        <w:t>ustawy Prawo pocztowe</w:t>
      </w:r>
      <w:r w:rsidRPr="00F75693">
        <w:rPr>
          <w:rFonts w:ascii="Lato" w:hAnsi="Lato" w:cs="Arial"/>
          <w:spacing w:val="4"/>
        </w:rPr>
        <w:t xml:space="preserve"> w dniu 6 września 2023 r.</w:t>
      </w:r>
      <w:r w:rsidRPr="00F75693">
        <w:rPr>
          <w:rFonts w:ascii="Lato" w:hAnsi="Lato" w:cs="Arial"/>
          <w:spacing w:val="4"/>
          <w:lang w:val="x-none"/>
        </w:rPr>
        <w:t xml:space="preserve">, a w rozpatrywanym przypadku błąd </w:t>
      </w:r>
      <w:r w:rsidRPr="00F75693">
        <w:rPr>
          <w:rFonts w:ascii="Lato" w:hAnsi="Lato" w:cs="Arial"/>
          <w:spacing w:val="4"/>
          <w:lang w:val="x-none"/>
        </w:rPr>
        <w:br/>
        <w:t xml:space="preserve">w pouczeniu polegał na wskazaniu błędnej daty, od której należy liczyć początek biegu terminu do wniesienia odwołania, stwierdzić należy, że odwołanie wniesione przez </w:t>
      </w:r>
      <w:r w:rsidRPr="00F75693">
        <w:rPr>
          <w:rFonts w:ascii="Lato" w:hAnsi="Lato" w:cs="Arial"/>
          <w:spacing w:val="4"/>
        </w:rPr>
        <w:t xml:space="preserve">Pana </w:t>
      </w:r>
      <w:r w:rsidR="00423BF9">
        <w:rPr>
          <w:rFonts w:ascii="Lato" w:hAnsi="Lato" w:cs="Arial"/>
          <w:spacing w:val="4"/>
        </w:rPr>
        <w:t>P. L.</w:t>
      </w:r>
      <w:r w:rsidRPr="00F75693">
        <w:rPr>
          <w:rFonts w:ascii="Lato" w:hAnsi="Lato" w:cs="Arial"/>
          <w:spacing w:val="4"/>
          <w:lang w:val="x-none"/>
        </w:rPr>
        <w:t xml:space="preserve">, mimo że dokonane po terminie ustawowym, </w:t>
      </w:r>
      <w:r w:rsidRPr="00F75693">
        <w:rPr>
          <w:rFonts w:ascii="Lato" w:hAnsi="Lato" w:cs="Arial"/>
          <w:spacing w:val="4"/>
        </w:rPr>
        <w:t xml:space="preserve">jest </w:t>
      </w:r>
      <w:r w:rsidRPr="00F75693">
        <w:rPr>
          <w:rFonts w:ascii="Lato" w:hAnsi="Lato" w:cs="Arial"/>
          <w:spacing w:val="4"/>
          <w:lang w:val="x-none"/>
        </w:rPr>
        <w:t xml:space="preserve">skuteczne z mocy przepisu art. 112 </w:t>
      </w:r>
      <w:r w:rsidRPr="00C260A9">
        <w:rPr>
          <w:rFonts w:ascii="Lato" w:hAnsi="Lato" w:cs="Arial"/>
          <w:iCs/>
          <w:spacing w:val="4"/>
          <w:lang w:val="x-none"/>
        </w:rPr>
        <w:t>kpa</w:t>
      </w:r>
      <w:r w:rsidRPr="00F75693">
        <w:rPr>
          <w:rFonts w:ascii="Lato" w:hAnsi="Lato" w:cs="Arial"/>
          <w:spacing w:val="4"/>
          <w:lang w:val="x-none"/>
        </w:rPr>
        <w:t xml:space="preserve"> (vide: wyrok Naczelnego Sądu Administracyjnego z dnia 20 lipca 2010 r., sygn. akt I OSK840/10, LEX nr 593399, wyrok Wojewódzkiego Sądu Administracyjnego w Warszawie z dnia 11 czerwca 2015 r., sygn. akt IV SA/</w:t>
      </w:r>
      <w:proofErr w:type="spellStart"/>
      <w:r w:rsidRPr="00F75693">
        <w:rPr>
          <w:rFonts w:ascii="Lato" w:hAnsi="Lato" w:cs="Arial"/>
          <w:spacing w:val="4"/>
          <w:lang w:val="x-none"/>
        </w:rPr>
        <w:t>Wa</w:t>
      </w:r>
      <w:proofErr w:type="spellEnd"/>
      <w:r w:rsidRPr="00F75693">
        <w:rPr>
          <w:rFonts w:ascii="Lato" w:hAnsi="Lato" w:cs="Arial"/>
          <w:spacing w:val="4"/>
          <w:lang w:val="x-none"/>
        </w:rPr>
        <w:t xml:space="preserve"> 782/15, </w:t>
      </w:r>
      <w:proofErr w:type="spellStart"/>
      <w:r w:rsidRPr="00F75693">
        <w:rPr>
          <w:rFonts w:ascii="Lato" w:hAnsi="Lato" w:cs="Arial"/>
          <w:spacing w:val="4"/>
          <w:lang w:val="x-none"/>
        </w:rPr>
        <w:t>opubl</w:t>
      </w:r>
      <w:proofErr w:type="spellEnd"/>
      <w:r w:rsidRPr="00F75693">
        <w:rPr>
          <w:rFonts w:ascii="Lato" w:hAnsi="Lato" w:cs="Arial"/>
          <w:spacing w:val="4"/>
          <w:lang w:val="x-none"/>
        </w:rPr>
        <w:t>. Centralna Baza Orzeczeń Sądów Administracyjnych).</w:t>
      </w:r>
      <w:r w:rsidR="005A29E6">
        <w:rPr>
          <w:rFonts w:ascii="Lato" w:hAnsi="Lato" w:cs="Arial"/>
          <w:spacing w:val="4"/>
          <w:lang w:val="x-none"/>
        </w:rPr>
        <w:t xml:space="preserve"> O powyższym poinformowano strony postępowania odwoławczego w piśmie organu odwoławczego z dnia 16 listopada </w:t>
      </w:r>
      <w:r w:rsidR="005A29E6">
        <w:rPr>
          <w:rFonts w:ascii="Lato" w:hAnsi="Lato" w:cs="Arial"/>
          <w:spacing w:val="4"/>
          <w:lang w:val="x-none"/>
        </w:rPr>
        <w:br/>
        <w:t>2023 r., znak: DLI-II.7620.21.2023.KS.2.</w:t>
      </w:r>
    </w:p>
    <w:p w14:paraId="10E94947" w14:textId="1B416C97" w:rsidR="007C436B" w:rsidRDefault="005A29E6" w:rsidP="007C3A26">
      <w:pPr>
        <w:spacing w:after="240" w:line="240" w:lineRule="exact"/>
        <w:jc w:val="both"/>
        <w:outlineLvl w:val="0"/>
        <w:rPr>
          <w:rFonts w:ascii="Lato" w:hAnsi="Lato" w:cs="Arial"/>
          <w:spacing w:val="4"/>
        </w:rPr>
      </w:pPr>
      <w:r>
        <w:rPr>
          <w:rFonts w:ascii="Lato" w:hAnsi="Lato" w:cs="Arial"/>
          <w:spacing w:val="4"/>
          <w:lang w:val="x-none"/>
        </w:rPr>
        <w:t>Przechodząc następnie do rozpoznania sprawy, wskazać należy</w:t>
      </w:r>
      <w:r w:rsidR="00244C2E" w:rsidRPr="000F07A9">
        <w:rPr>
          <w:rFonts w:ascii="Lato" w:hAnsi="Lato" w:cs="Arial"/>
          <w:spacing w:val="4"/>
        </w:rPr>
        <w:t xml:space="preserve">, </w:t>
      </w:r>
      <w:r w:rsidR="00725565">
        <w:rPr>
          <w:rFonts w:ascii="Lato" w:hAnsi="Lato" w:cs="Arial"/>
          <w:spacing w:val="4"/>
        </w:rPr>
        <w:t xml:space="preserve">że </w:t>
      </w:r>
      <w:r w:rsidR="00244C2E" w:rsidRPr="000F07A9">
        <w:rPr>
          <w:rFonts w:ascii="Lato" w:hAnsi="Lato" w:cs="Arial"/>
          <w:spacing w:val="4"/>
        </w:rPr>
        <w:t xml:space="preserve">w trakcie przeprowadzonego postępowania odwoławczego Minister rozpatrzył ponownie wniosek inwestora o wydanie przedmiotowej decyzji o ustaleniu lokalizacji inwestycji towarzyszącej inwestycjom w zakresie terminalu, przeanalizował materiał dowodowy zgromadzony przez Wojewodę </w:t>
      </w:r>
      <w:r w:rsidR="00745EED" w:rsidRPr="000F07A9">
        <w:rPr>
          <w:rFonts w:ascii="Lato" w:hAnsi="Lato" w:cs="Arial"/>
          <w:spacing w:val="4"/>
        </w:rPr>
        <w:t>Opolskiego</w:t>
      </w:r>
      <w:r w:rsidR="00244C2E" w:rsidRPr="000F07A9">
        <w:rPr>
          <w:rFonts w:ascii="Lato" w:hAnsi="Lato" w:cs="Arial"/>
          <w:spacing w:val="4"/>
        </w:rPr>
        <w:t xml:space="preserve">, w tym zbadał poprawność postępowania organu I instancji oraz poprawność kończącej to postępowanie decyzji Wojewody </w:t>
      </w:r>
      <w:r w:rsidR="00745EED" w:rsidRPr="000F07A9">
        <w:rPr>
          <w:rFonts w:ascii="Lato" w:hAnsi="Lato" w:cs="Arial"/>
          <w:spacing w:val="4"/>
        </w:rPr>
        <w:t>Opolskiego</w:t>
      </w:r>
      <w:r w:rsidR="00244C2E" w:rsidRPr="000F07A9">
        <w:rPr>
          <w:rFonts w:ascii="Lato" w:hAnsi="Lato" w:cs="Arial"/>
          <w:spacing w:val="4"/>
        </w:rPr>
        <w:t>, jak również rozpoznał zarzuty podniesione przez skarżąc</w:t>
      </w:r>
      <w:r w:rsidR="00745EED" w:rsidRPr="000F07A9">
        <w:rPr>
          <w:rFonts w:ascii="Lato" w:hAnsi="Lato" w:cs="Arial"/>
          <w:spacing w:val="4"/>
        </w:rPr>
        <w:t>ą</w:t>
      </w:r>
      <w:r w:rsidR="00244C2E" w:rsidRPr="000F07A9">
        <w:rPr>
          <w:rFonts w:ascii="Lato" w:hAnsi="Lato" w:cs="Arial"/>
          <w:spacing w:val="4"/>
        </w:rPr>
        <w:t xml:space="preserve"> stron</w:t>
      </w:r>
      <w:r w:rsidR="00745EED" w:rsidRPr="000F07A9">
        <w:rPr>
          <w:rFonts w:ascii="Lato" w:hAnsi="Lato" w:cs="Arial"/>
          <w:spacing w:val="4"/>
        </w:rPr>
        <w:t>ę</w:t>
      </w:r>
      <w:r w:rsidR="00244C2E" w:rsidRPr="000F07A9">
        <w:rPr>
          <w:rFonts w:ascii="Lato" w:hAnsi="Lato" w:cs="Arial"/>
          <w:spacing w:val="4"/>
        </w:rPr>
        <w:t xml:space="preserve">. </w:t>
      </w:r>
    </w:p>
    <w:p w14:paraId="5A4929D3" w14:textId="7F7A9C47" w:rsidR="00244C2E" w:rsidRPr="00234348" w:rsidRDefault="00244C2E" w:rsidP="007C3A26">
      <w:pPr>
        <w:spacing w:after="240" w:line="240" w:lineRule="exact"/>
        <w:jc w:val="both"/>
        <w:outlineLvl w:val="0"/>
        <w:rPr>
          <w:rFonts w:ascii="Lato" w:hAnsi="Lato" w:cs="Arial"/>
          <w:spacing w:val="4"/>
        </w:rPr>
      </w:pPr>
      <w:r w:rsidRPr="000F07A9">
        <w:rPr>
          <w:rFonts w:ascii="Lato" w:hAnsi="Lato" w:cs="Arial"/>
          <w:spacing w:val="4"/>
        </w:rPr>
        <w:t>W niniejszym przypadku, wniosek o wydanie zaskarżonej decyzji, został złożony przez właściwy podmiot, zgodnie z art. 38 pkt 2 specustawy gazowej, tj. przez Operatora Gazociągów Przesyłowych GAZ-SYSTEM S.A. z siedzibą w Warszawie, reprezentowanego przez ustanowionego w sprawie pełnomocnika. Projektowana inwestycja</w:t>
      </w:r>
      <w:r w:rsidR="00234348">
        <w:rPr>
          <w:rFonts w:ascii="Lato" w:hAnsi="Lato" w:cs="Arial"/>
          <w:spacing w:val="4"/>
        </w:rPr>
        <w:t xml:space="preserve"> </w:t>
      </w:r>
      <w:r w:rsidRPr="000F07A9">
        <w:rPr>
          <w:rFonts w:ascii="Lato" w:hAnsi="Lato" w:cs="Arial"/>
          <w:bCs/>
          <w:spacing w:val="4"/>
        </w:rPr>
        <w:t>stanowi inwestycję towarzyszącą inwestycjom w zakresie terminalu, o której mowa w art. 38 pkt 2 lit. z</w:t>
      </w:r>
      <w:r w:rsidR="00091A38" w:rsidRPr="000F07A9">
        <w:rPr>
          <w:rFonts w:ascii="Lato" w:hAnsi="Lato" w:cs="Arial"/>
          <w:bCs/>
          <w:spacing w:val="4"/>
        </w:rPr>
        <w:t>e</w:t>
      </w:r>
      <w:r w:rsidRPr="000F07A9">
        <w:rPr>
          <w:rFonts w:ascii="Lato" w:hAnsi="Lato" w:cs="Arial"/>
          <w:bCs/>
          <w:spacing w:val="4"/>
        </w:rPr>
        <w:t xml:space="preserve"> specustawy gazowej. </w:t>
      </w:r>
      <w:r w:rsidR="00234348" w:rsidRPr="00234348">
        <w:rPr>
          <w:rFonts w:ascii="Lato" w:hAnsi="Lato" w:cs="Arial"/>
          <w:bCs/>
          <w:iCs/>
          <w:spacing w:val="4"/>
        </w:rPr>
        <w:t>Zgodnie bowiem z art. 38 pkt 2 lit. ze</w:t>
      </w:r>
      <w:r w:rsidR="00234348">
        <w:rPr>
          <w:rFonts w:ascii="Lato" w:hAnsi="Lato" w:cs="Arial"/>
          <w:bCs/>
          <w:iCs/>
          <w:spacing w:val="4"/>
        </w:rPr>
        <w:t xml:space="preserve"> </w:t>
      </w:r>
      <w:r w:rsidR="00234348" w:rsidRPr="00C260A9">
        <w:rPr>
          <w:rFonts w:ascii="Lato" w:hAnsi="Lato" w:cs="Arial"/>
          <w:bCs/>
          <w:spacing w:val="4"/>
        </w:rPr>
        <w:t>specustawy gazowej</w:t>
      </w:r>
      <w:r w:rsidR="00234348" w:rsidRPr="00234348">
        <w:rPr>
          <w:rFonts w:ascii="Lato" w:hAnsi="Lato" w:cs="Arial"/>
          <w:bCs/>
          <w:iCs/>
          <w:spacing w:val="4"/>
        </w:rPr>
        <w:t xml:space="preserve">, inwestycją towarzyszącą inwestycjom w zakresie terminalu realizowaną przez Operatora Gazociągów Przesyłowych GAZ-SYSTEM S.A. </w:t>
      </w:r>
      <w:r w:rsidR="007C436B">
        <w:rPr>
          <w:rFonts w:ascii="Lato" w:hAnsi="Lato" w:cs="Arial"/>
          <w:bCs/>
          <w:iCs/>
          <w:spacing w:val="4"/>
        </w:rPr>
        <w:br/>
      </w:r>
      <w:r w:rsidR="00234348" w:rsidRPr="00234348">
        <w:rPr>
          <w:rFonts w:ascii="Lato" w:hAnsi="Lato" w:cs="Arial"/>
          <w:bCs/>
          <w:iCs/>
          <w:spacing w:val="4"/>
        </w:rPr>
        <w:t>w Warszawie jest</w:t>
      </w:r>
      <w:r w:rsidR="00234348" w:rsidRPr="00234348">
        <w:t xml:space="preserve"> </w:t>
      </w:r>
      <w:r w:rsidR="00234348" w:rsidRPr="00234348">
        <w:rPr>
          <w:rFonts w:ascii="Lato" w:hAnsi="Lato" w:cs="Arial"/>
          <w:bCs/>
          <w:iCs/>
          <w:spacing w:val="4"/>
        </w:rPr>
        <w:t>budowa gazociągu Lewin Brzeski - Nysa wraz z infrastrukturą niezbędną do jego obsługi na terenie województwa opolskiego</w:t>
      </w:r>
      <w:r w:rsidR="00234348">
        <w:rPr>
          <w:rFonts w:ascii="Lato" w:hAnsi="Lato" w:cs="Arial"/>
          <w:bCs/>
          <w:iCs/>
          <w:spacing w:val="4"/>
        </w:rPr>
        <w:t xml:space="preserve">.  </w:t>
      </w:r>
      <w:r w:rsidRPr="000F07A9">
        <w:rPr>
          <w:rFonts w:ascii="Lato" w:hAnsi="Lato" w:cs="Arial"/>
          <w:spacing w:val="4"/>
        </w:rPr>
        <w:t xml:space="preserve">Analizując złożony przez inwestora wniosek, Minister uznał, że zawiera on wszystkie elementy wymagane </w:t>
      </w:r>
      <w:r w:rsidR="00234348">
        <w:rPr>
          <w:rFonts w:ascii="Lato" w:hAnsi="Lato" w:cs="Arial"/>
          <w:spacing w:val="4"/>
        </w:rPr>
        <w:br/>
      </w:r>
      <w:r w:rsidRPr="000F07A9">
        <w:rPr>
          <w:rFonts w:ascii="Lato" w:hAnsi="Lato" w:cs="Arial"/>
          <w:spacing w:val="4"/>
        </w:rPr>
        <w:t xml:space="preserve">na podstawie przepisu art. 6 w zw. z art. 39 ust. 1 specustawy gazowej, niezbędne </w:t>
      </w:r>
      <w:r w:rsidR="00234348">
        <w:rPr>
          <w:rFonts w:ascii="Lato" w:hAnsi="Lato" w:cs="Arial"/>
          <w:spacing w:val="4"/>
        </w:rPr>
        <w:br/>
      </w:r>
      <w:r w:rsidRPr="000F07A9">
        <w:rPr>
          <w:rFonts w:ascii="Lato" w:hAnsi="Lato" w:cs="Arial"/>
          <w:spacing w:val="4"/>
        </w:rPr>
        <w:t xml:space="preserve">w okolicznościach niniejszej sprawy. </w:t>
      </w:r>
    </w:p>
    <w:p w14:paraId="43D67060" w14:textId="5EECE574" w:rsidR="00244C2E" w:rsidRPr="000F07A9" w:rsidRDefault="00244C2E" w:rsidP="007C3A26">
      <w:pPr>
        <w:spacing w:after="240" w:line="240" w:lineRule="exact"/>
        <w:jc w:val="both"/>
        <w:outlineLvl w:val="0"/>
        <w:rPr>
          <w:rFonts w:ascii="Lato" w:hAnsi="Lato" w:cs="Arial"/>
          <w:spacing w:val="4"/>
        </w:rPr>
      </w:pPr>
      <w:r w:rsidRPr="000F07A9">
        <w:rPr>
          <w:rFonts w:ascii="Lato" w:hAnsi="Lato" w:cs="Arial"/>
          <w:spacing w:val="4"/>
        </w:rPr>
        <w:t xml:space="preserve">Następnie organ odwoławczy poddał kontroli przeprowadzone przez Wojewodę </w:t>
      </w:r>
      <w:r w:rsidR="00745EED" w:rsidRPr="000F07A9">
        <w:rPr>
          <w:rFonts w:ascii="Lato" w:hAnsi="Lato" w:cs="Arial"/>
          <w:spacing w:val="4"/>
        </w:rPr>
        <w:t>Opolskiego</w:t>
      </w:r>
      <w:r w:rsidRPr="000F07A9">
        <w:rPr>
          <w:rFonts w:ascii="Lato" w:hAnsi="Lato" w:cs="Arial"/>
          <w:spacing w:val="4"/>
        </w:rPr>
        <w:t xml:space="preserve"> postępowanie o wydanie </w:t>
      </w:r>
      <w:bookmarkStart w:id="13" w:name="_Hlk122521283"/>
      <w:r w:rsidRPr="000F07A9">
        <w:rPr>
          <w:rFonts w:ascii="Lato" w:hAnsi="Lato" w:cs="Arial"/>
          <w:spacing w:val="4"/>
        </w:rPr>
        <w:t>decyzji o ustaleniu lokalizacji inwestycji towarzyszącej inwestycjom w zakresie terminalu</w:t>
      </w:r>
      <w:bookmarkEnd w:id="13"/>
      <w:r w:rsidRPr="000F07A9">
        <w:rPr>
          <w:rFonts w:ascii="Lato" w:hAnsi="Lato" w:cs="Arial"/>
          <w:bCs/>
          <w:spacing w:val="4"/>
        </w:rPr>
        <w:t xml:space="preserve"> </w:t>
      </w:r>
      <w:r w:rsidRPr="000F07A9">
        <w:rPr>
          <w:rFonts w:ascii="Lato" w:hAnsi="Lato" w:cs="Arial"/>
          <w:spacing w:val="4"/>
        </w:rPr>
        <w:t>i stwierdził, co następuje.</w:t>
      </w:r>
      <w:r w:rsidRPr="000F07A9">
        <w:rPr>
          <w:rFonts w:ascii="Lato" w:hAnsi="Lato" w:cs="Arial"/>
          <w:bCs/>
          <w:spacing w:val="4"/>
        </w:rPr>
        <w:t xml:space="preserve"> W ocenie Ministra organ pierwszej instancji poinformował strony o wszczętym postępowaniu, podał jego podstawę prawną, pouczył o prawie do składania wniosków, uwag </w:t>
      </w:r>
      <w:r w:rsidR="00361BD0" w:rsidRPr="000F07A9">
        <w:rPr>
          <w:rFonts w:ascii="Lato" w:hAnsi="Lato" w:cs="Arial"/>
          <w:bCs/>
          <w:spacing w:val="4"/>
        </w:rPr>
        <w:br/>
      </w:r>
      <w:r w:rsidRPr="000F07A9">
        <w:rPr>
          <w:rFonts w:ascii="Lato" w:hAnsi="Lato" w:cs="Arial"/>
          <w:bCs/>
          <w:spacing w:val="4"/>
        </w:rPr>
        <w:t>i zastrzeżeń, a zatem należycie i wyczerpująco poinformował strony o okolicznościach faktycznych i prawnych, będących przedmiotem postępowania administracyjnego, które mogły mieć wpływ na ustalenie ich praw i obowiązków.</w:t>
      </w:r>
      <w:r w:rsidRPr="000F07A9">
        <w:rPr>
          <w:rFonts w:ascii="Lato" w:hAnsi="Lato" w:cs="Arial"/>
          <w:spacing w:val="4"/>
        </w:rPr>
        <w:t xml:space="preserve"> Wojewoda </w:t>
      </w:r>
      <w:r w:rsidR="00745EED" w:rsidRPr="000F07A9">
        <w:rPr>
          <w:rFonts w:ascii="Lato" w:hAnsi="Lato" w:cs="Arial"/>
          <w:spacing w:val="4"/>
        </w:rPr>
        <w:t>Opolski</w:t>
      </w:r>
      <w:r w:rsidR="00BE7B8D" w:rsidRPr="000F07A9">
        <w:rPr>
          <w:rFonts w:ascii="Lato" w:hAnsi="Lato" w:cs="Arial"/>
          <w:spacing w:val="4"/>
        </w:rPr>
        <w:t xml:space="preserve"> </w:t>
      </w:r>
      <w:r w:rsidRPr="000F07A9">
        <w:rPr>
          <w:rFonts w:ascii="Lato" w:hAnsi="Lato" w:cs="Arial"/>
          <w:spacing w:val="4"/>
        </w:rPr>
        <w:t xml:space="preserve">pismem </w:t>
      </w:r>
      <w:r w:rsidR="00F409BB" w:rsidRPr="000F07A9">
        <w:rPr>
          <w:rFonts w:ascii="Lato" w:hAnsi="Lato" w:cs="Arial"/>
          <w:spacing w:val="4"/>
        </w:rPr>
        <w:br/>
      </w:r>
      <w:r w:rsidRPr="000F07A9">
        <w:rPr>
          <w:rFonts w:ascii="Lato" w:hAnsi="Lato" w:cs="Arial"/>
          <w:spacing w:val="4"/>
        </w:rPr>
        <w:t xml:space="preserve">z dnia </w:t>
      </w:r>
      <w:r w:rsidR="00097C7E" w:rsidRPr="000F07A9">
        <w:rPr>
          <w:rFonts w:ascii="Lato" w:hAnsi="Lato" w:cs="Arial"/>
          <w:spacing w:val="4"/>
        </w:rPr>
        <w:t>4 lipca</w:t>
      </w:r>
      <w:r w:rsidRPr="000F07A9">
        <w:rPr>
          <w:rFonts w:ascii="Lato" w:hAnsi="Lato" w:cs="Arial"/>
          <w:spacing w:val="4"/>
        </w:rPr>
        <w:t xml:space="preserve"> 202</w:t>
      </w:r>
      <w:r w:rsidR="00097C7E" w:rsidRPr="000F07A9">
        <w:rPr>
          <w:rFonts w:ascii="Lato" w:hAnsi="Lato" w:cs="Arial"/>
          <w:spacing w:val="4"/>
        </w:rPr>
        <w:t>3</w:t>
      </w:r>
      <w:r w:rsidRPr="000F07A9">
        <w:rPr>
          <w:rFonts w:ascii="Lato" w:hAnsi="Lato" w:cs="Arial"/>
          <w:spacing w:val="4"/>
        </w:rPr>
        <w:t xml:space="preserve"> r., znak: </w:t>
      </w:r>
      <w:r w:rsidR="00097C7E" w:rsidRPr="000F07A9">
        <w:rPr>
          <w:rFonts w:ascii="Lato" w:hAnsi="Lato" w:cs="Arial"/>
          <w:spacing w:val="4"/>
        </w:rPr>
        <w:t>IN.I.747.7.2023.AZ</w:t>
      </w:r>
      <w:r w:rsidRPr="000F07A9">
        <w:rPr>
          <w:rFonts w:ascii="Lato" w:hAnsi="Lato" w:cs="Arial"/>
          <w:spacing w:val="4"/>
        </w:rPr>
        <w:t xml:space="preserve">, zawiadomił o wszczęciu postępowania </w:t>
      </w:r>
      <w:r w:rsidRPr="000F07A9">
        <w:rPr>
          <w:rFonts w:ascii="Lato" w:hAnsi="Lato" w:cs="Arial"/>
          <w:spacing w:val="4"/>
        </w:rPr>
        <w:lastRenderedPageBreak/>
        <w:t xml:space="preserve">wnioskodawcę, właścicieli nieruchomości i użytkowników wieczystych nieruchomości objętych wnioskiem, </w:t>
      </w:r>
      <w:r w:rsidRPr="000F07A9">
        <w:rPr>
          <w:rFonts w:ascii="Lato" w:hAnsi="Lato" w:cs="Arial"/>
          <w:bCs/>
          <w:spacing w:val="4"/>
        </w:rPr>
        <w:t xml:space="preserve">wysyłając zawiadomienie na adresy wskazane w katastrze nieruchomości. </w:t>
      </w:r>
      <w:r w:rsidRPr="000F07A9">
        <w:rPr>
          <w:rFonts w:ascii="Lato" w:hAnsi="Lato" w:cs="Arial"/>
          <w:spacing w:val="4"/>
        </w:rPr>
        <w:t xml:space="preserve">Pozostałe strony postępowania zostały poinformowane o jego wszczęciu w drodze obwieszczenia. W zawiadomieniu i obwieszczeniu organ I instancji poinformował o miejscu, gdzie strony mogą zapoznać się z dokumentacją dotyczącą inwestycji. </w:t>
      </w:r>
      <w:r w:rsidRPr="00A35ECC">
        <w:rPr>
          <w:rFonts w:ascii="Lato" w:hAnsi="Lato" w:cs="Arial"/>
          <w:spacing w:val="4"/>
        </w:rPr>
        <w:t xml:space="preserve">W toku postępowania przed Wojewodą </w:t>
      </w:r>
      <w:r w:rsidR="00745EED" w:rsidRPr="00A35ECC">
        <w:rPr>
          <w:rFonts w:ascii="Lato" w:hAnsi="Lato" w:cs="Arial"/>
          <w:spacing w:val="4"/>
        </w:rPr>
        <w:t>Opolski</w:t>
      </w:r>
      <w:r w:rsidRPr="00A35ECC">
        <w:rPr>
          <w:rFonts w:ascii="Lato" w:hAnsi="Lato" w:cs="Arial"/>
          <w:spacing w:val="4"/>
        </w:rPr>
        <w:t xml:space="preserve">m </w:t>
      </w:r>
      <w:r w:rsidR="00097C7E" w:rsidRPr="00A35ECC">
        <w:rPr>
          <w:rFonts w:ascii="Lato" w:hAnsi="Lato" w:cs="Arial"/>
          <w:bCs/>
          <w:spacing w:val="4"/>
        </w:rPr>
        <w:t xml:space="preserve">nie wpłynęły wnioski </w:t>
      </w:r>
      <w:r w:rsidR="00F409BB" w:rsidRPr="00A35ECC">
        <w:rPr>
          <w:rFonts w:ascii="Lato" w:hAnsi="Lato" w:cs="Arial"/>
          <w:bCs/>
          <w:spacing w:val="4"/>
        </w:rPr>
        <w:br/>
      </w:r>
      <w:r w:rsidR="00097C7E" w:rsidRPr="00A35ECC">
        <w:rPr>
          <w:rFonts w:ascii="Lato" w:hAnsi="Lato" w:cs="Arial"/>
          <w:bCs/>
          <w:spacing w:val="4"/>
        </w:rPr>
        <w:t>i uwagi stron postępowania dotyczące planowanej inwestycji</w:t>
      </w:r>
      <w:r w:rsidRPr="00A35ECC">
        <w:rPr>
          <w:rFonts w:ascii="Lato" w:hAnsi="Lato" w:cs="Arial"/>
          <w:bCs/>
          <w:spacing w:val="4"/>
          <w:lang w:bidi="pl-PL"/>
        </w:rPr>
        <w:t>.</w:t>
      </w:r>
    </w:p>
    <w:p w14:paraId="737AC0AF" w14:textId="0598489A" w:rsidR="00740A26" w:rsidRPr="000F07A9" w:rsidRDefault="00244C2E" w:rsidP="007C3A26">
      <w:pPr>
        <w:spacing w:after="240" w:line="240" w:lineRule="exact"/>
        <w:jc w:val="both"/>
        <w:rPr>
          <w:rFonts w:ascii="Lato" w:hAnsi="Lato" w:cs="Arial"/>
          <w:bCs/>
          <w:spacing w:val="4"/>
          <w:lang w:bidi="pl-PL"/>
        </w:rPr>
      </w:pPr>
      <w:r w:rsidRPr="000F07A9">
        <w:rPr>
          <w:rFonts w:ascii="Lato" w:hAnsi="Lato" w:cs="Arial"/>
          <w:spacing w:val="4"/>
        </w:rPr>
        <w:t xml:space="preserve">Uznając, że zebrany w sprawie materiał dowodowy pozwala na wydanie rozstrzygnięcia, Wojewoda </w:t>
      </w:r>
      <w:r w:rsidR="00745EED" w:rsidRPr="000F07A9">
        <w:rPr>
          <w:rFonts w:ascii="Lato" w:hAnsi="Lato" w:cs="Arial"/>
          <w:spacing w:val="4"/>
        </w:rPr>
        <w:t>Opolski</w:t>
      </w:r>
      <w:r w:rsidRPr="000F07A9">
        <w:rPr>
          <w:rFonts w:ascii="Lato" w:hAnsi="Lato" w:cs="Arial"/>
          <w:spacing w:val="4"/>
        </w:rPr>
        <w:t xml:space="preserve"> wydał w dniu </w:t>
      </w:r>
      <w:r w:rsidR="00097C7E" w:rsidRPr="000F07A9">
        <w:rPr>
          <w:rFonts w:ascii="Lato" w:hAnsi="Lato" w:cs="Arial"/>
          <w:bCs/>
          <w:spacing w:val="4"/>
        </w:rPr>
        <w:t>24 lipca</w:t>
      </w:r>
      <w:r w:rsidR="00C82B37" w:rsidRPr="000F07A9">
        <w:rPr>
          <w:rFonts w:ascii="Lato" w:hAnsi="Lato" w:cs="Arial"/>
          <w:bCs/>
          <w:spacing w:val="4"/>
        </w:rPr>
        <w:t xml:space="preserve"> 202</w:t>
      </w:r>
      <w:r w:rsidR="00097C7E" w:rsidRPr="000F07A9">
        <w:rPr>
          <w:rFonts w:ascii="Lato" w:hAnsi="Lato" w:cs="Arial"/>
          <w:bCs/>
          <w:spacing w:val="4"/>
        </w:rPr>
        <w:t>3</w:t>
      </w:r>
      <w:r w:rsidR="00C82B37" w:rsidRPr="000F07A9">
        <w:rPr>
          <w:rFonts w:ascii="Lato" w:hAnsi="Lato" w:cs="Arial"/>
          <w:bCs/>
          <w:spacing w:val="4"/>
        </w:rPr>
        <w:t xml:space="preserve"> r. decyzję </w:t>
      </w:r>
      <w:r w:rsidRPr="000F07A9">
        <w:rPr>
          <w:rFonts w:ascii="Lato" w:hAnsi="Lato" w:cs="Arial"/>
          <w:spacing w:val="4"/>
        </w:rPr>
        <w:t xml:space="preserve">o ustaleniu lokalizacji </w:t>
      </w:r>
      <w:r w:rsidR="00740A26" w:rsidRPr="002A60EC">
        <w:rPr>
          <w:rFonts w:ascii="Lato" w:hAnsi="Lato" w:cs="Arial"/>
          <w:spacing w:val="4"/>
        </w:rPr>
        <w:t xml:space="preserve">przedmiotowej </w:t>
      </w:r>
      <w:r w:rsidRPr="002A60EC">
        <w:rPr>
          <w:rFonts w:ascii="Lato" w:hAnsi="Lato" w:cs="Arial"/>
          <w:spacing w:val="4"/>
        </w:rPr>
        <w:t>inwestycji towarzyszącej inwestycjom w zakresie terminalu</w:t>
      </w:r>
      <w:r w:rsidRPr="002A60EC">
        <w:rPr>
          <w:rFonts w:ascii="Lato" w:hAnsi="Lato" w:cs="Arial"/>
          <w:bCs/>
          <w:spacing w:val="4"/>
        </w:rPr>
        <w:t>.</w:t>
      </w:r>
      <w:r w:rsidRPr="002A60EC">
        <w:rPr>
          <w:rFonts w:ascii="Lato" w:hAnsi="Lato" w:cs="Arial"/>
          <w:spacing w:val="4"/>
        </w:rPr>
        <w:t xml:space="preserve"> </w:t>
      </w:r>
      <w:r w:rsidR="00740A26" w:rsidRPr="002A60EC">
        <w:rPr>
          <w:rFonts w:ascii="Lato" w:hAnsi="Lato" w:cs="Arial"/>
          <w:bCs/>
          <w:spacing w:val="4"/>
          <w:lang w:bidi="pl-PL"/>
        </w:rPr>
        <w:t xml:space="preserve">Kontrolowana decyzja Wojewody </w:t>
      </w:r>
      <w:r w:rsidR="00745EED" w:rsidRPr="002A60EC">
        <w:rPr>
          <w:rFonts w:ascii="Lato" w:hAnsi="Lato" w:cs="Arial"/>
          <w:bCs/>
          <w:spacing w:val="4"/>
          <w:lang w:bidi="pl-PL"/>
        </w:rPr>
        <w:t>Opolskiego</w:t>
      </w:r>
      <w:r w:rsidR="00740A26" w:rsidRPr="002A60EC">
        <w:rPr>
          <w:rFonts w:ascii="Lato" w:hAnsi="Lato" w:cs="Arial"/>
          <w:bCs/>
          <w:spacing w:val="4"/>
          <w:lang w:bidi="pl-PL"/>
        </w:rPr>
        <w:t xml:space="preserve"> </w:t>
      </w:r>
      <w:r w:rsidR="00097C7E" w:rsidRPr="002A60EC">
        <w:rPr>
          <w:rFonts w:ascii="Lato" w:hAnsi="Lato" w:cs="Arial"/>
          <w:bCs/>
          <w:spacing w:val="4"/>
        </w:rPr>
        <w:t xml:space="preserve">(z zastrzeżeniem uchybienia, o którym będzie mowa poniżej) </w:t>
      </w:r>
      <w:r w:rsidR="00740A26" w:rsidRPr="002A60EC">
        <w:rPr>
          <w:rFonts w:ascii="Lato" w:hAnsi="Lato" w:cs="Arial"/>
          <w:bCs/>
          <w:spacing w:val="4"/>
          <w:lang w:bidi="pl-PL"/>
        </w:rPr>
        <w:t>czyni zadość wymogom przedstawionym w art. 10 ust. 1 specustawy gazowej, bowiem</w:t>
      </w:r>
      <w:r w:rsidR="00740A26" w:rsidRPr="000F07A9">
        <w:rPr>
          <w:rFonts w:ascii="Lato" w:hAnsi="Lato" w:cs="Arial"/>
          <w:bCs/>
          <w:spacing w:val="4"/>
          <w:lang w:bidi="pl-PL"/>
        </w:rPr>
        <w:t xml:space="preserve"> zawiera wszystkie niezbędne w okolicznościach niniejszej sprawy elementy określone w tym przepisie. </w:t>
      </w:r>
      <w:r w:rsidR="00740A26" w:rsidRPr="0058638F">
        <w:rPr>
          <w:rFonts w:ascii="Lato" w:hAnsi="Lato" w:cs="Arial"/>
          <w:bCs/>
          <w:spacing w:val="4"/>
          <w:lang w:bidi="pl-PL"/>
        </w:rPr>
        <w:t xml:space="preserve">Projekt </w:t>
      </w:r>
      <w:r w:rsidR="00740A26" w:rsidRPr="0058638F">
        <w:rPr>
          <w:rFonts w:ascii="Lato" w:hAnsi="Lato" w:cs="Arial"/>
          <w:bCs/>
          <w:spacing w:val="4"/>
          <w:lang w:val="x-none"/>
        </w:rPr>
        <w:t>decyzji został sporządzony przez osobę</w:t>
      </w:r>
      <w:r w:rsidR="00740A26" w:rsidRPr="0058638F">
        <w:rPr>
          <w:rFonts w:ascii="Lato" w:hAnsi="Lato" w:cs="Arial"/>
          <w:bCs/>
          <w:spacing w:val="4"/>
          <w:lang w:bidi="pl-PL"/>
        </w:rPr>
        <w:t xml:space="preserve"> spełniającą warunki, o których mowa w</w:t>
      </w:r>
      <w:r w:rsidR="00740A26" w:rsidRPr="0058638F">
        <w:rPr>
          <w:rFonts w:ascii="Lato" w:hAnsi="Lato" w:cs="Arial"/>
          <w:bCs/>
          <w:spacing w:val="4"/>
          <w:lang w:val="x-none"/>
        </w:rPr>
        <w:t xml:space="preserve"> art. </w:t>
      </w:r>
      <w:r w:rsidR="00740A26" w:rsidRPr="0058638F">
        <w:rPr>
          <w:rFonts w:ascii="Lato" w:hAnsi="Lato" w:cs="Arial"/>
          <w:bCs/>
          <w:spacing w:val="4"/>
          <w:lang w:bidi="pl-PL"/>
        </w:rPr>
        <w:t>10</w:t>
      </w:r>
      <w:r w:rsidR="00740A26" w:rsidRPr="0058638F">
        <w:rPr>
          <w:rFonts w:ascii="Lato" w:hAnsi="Lato" w:cs="Arial"/>
          <w:bCs/>
          <w:spacing w:val="4"/>
          <w:lang w:val="x-none"/>
        </w:rPr>
        <w:t xml:space="preserve"> ust. 2 specustawy </w:t>
      </w:r>
      <w:r w:rsidR="00740A26" w:rsidRPr="0058638F">
        <w:rPr>
          <w:rFonts w:ascii="Lato" w:hAnsi="Lato" w:cs="Arial"/>
          <w:bCs/>
          <w:spacing w:val="4"/>
          <w:lang w:bidi="pl-PL"/>
        </w:rPr>
        <w:t>gazowej</w:t>
      </w:r>
      <w:r w:rsidR="00E9213E" w:rsidRPr="0058638F">
        <w:rPr>
          <w:rFonts w:ascii="Lato" w:hAnsi="Lato" w:cs="Arial"/>
          <w:spacing w:val="4"/>
        </w:rPr>
        <w:t xml:space="preserve">. </w:t>
      </w:r>
      <w:r w:rsidRPr="0058638F">
        <w:rPr>
          <w:rFonts w:ascii="Lato" w:hAnsi="Lato" w:cs="Arial"/>
          <w:spacing w:val="4"/>
        </w:rPr>
        <w:t>Stosownie do art. 34 ust. 1 specustawy gazowej decyzja podlega natychmiastowemu wykonaniu.</w:t>
      </w:r>
      <w:r w:rsidRPr="0058638F">
        <w:rPr>
          <w:rFonts w:ascii="Lato" w:hAnsi="Lato" w:cs="Arial"/>
          <w:bCs/>
          <w:spacing w:val="4"/>
          <w:lang w:bidi="pl-PL"/>
        </w:rPr>
        <w:t xml:space="preserve"> W myśl art. 12 ust. 1 specustawy gazowej, Wojewoda </w:t>
      </w:r>
      <w:r w:rsidR="00745EED" w:rsidRPr="0058638F">
        <w:rPr>
          <w:rFonts w:ascii="Lato" w:hAnsi="Lato" w:cs="Arial"/>
          <w:bCs/>
          <w:spacing w:val="4"/>
          <w:lang w:bidi="pl-PL"/>
        </w:rPr>
        <w:t>Opolski</w:t>
      </w:r>
      <w:r w:rsidRPr="0058638F">
        <w:rPr>
          <w:rFonts w:ascii="Lato" w:hAnsi="Lato" w:cs="Arial"/>
          <w:bCs/>
          <w:spacing w:val="4"/>
          <w:lang w:bidi="pl-PL"/>
        </w:rPr>
        <w:t xml:space="preserve"> doręczył </w:t>
      </w:r>
      <w:r w:rsidR="00084072">
        <w:rPr>
          <w:rFonts w:ascii="Lato" w:hAnsi="Lato" w:cs="Arial"/>
          <w:bCs/>
          <w:spacing w:val="4"/>
          <w:lang w:bidi="pl-PL"/>
        </w:rPr>
        <w:br/>
      </w:r>
      <w:r w:rsidRPr="0058638F">
        <w:rPr>
          <w:rFonts w:ascii="Lato" w:hAnsi="Lato" w:cs="Arial"/>
          <w:bCs/>
          <w:spacing w:val="4"/>
          <w:lang w:bidi="pl-PL"/>
        </w:rPr>
        <w:t>ww.</w:t>
      </w:r>
      <w:r w:rsidRPr="000F07A9">
        <w:rPr>
          <w:rFonts w:ascii="Lato" w:hAnsi="Lato" w:cs="Arial"/>
          <w:bCs/>
          <w:spacing w:val="4"/>
          <w:lang w:bidi="pl-PL"/>
        </w:rPr>
        <w:t xml:space="preserve"> decyzję wnioskodawcy oraz zawiadomił o jej wydaniu pozostałe strony w drodze obwieszczeń. Właścicieli nieruchomości objętych decyzją Wojewody </w:t>
      </w:r>
      <w:r w:rsidR="00745EED" w:rsidRPr="000F07A9">
        <w:rPr>
          <w:rFonts w:ascii="Lato" w:hAnsi="Lato" w:cs="Arial"/>
          <w:bCs/>
          <w:spacing w:val="4"/>
          <w:lang w:bidi="pl-PL"/>
        </w:rPr>
        <w:t>Opolskiego</w:t>
      </w:r>
      <w:r w:rsidRPr="000F07A9">
        <w:rPr>
          <w:rFonts w:ascii="Lato" w:hAnsi="Lato" w:cs="Arial"/>
          <w:bCs/>
          <w:spacing w:val="4"/>
          <w:lang w:bidi="pl-PL"/>
        </w:rPr>
        <w:t xml:space="preserve">, organ I instancji poinformował o wydaniu decyzji w drodze zawiadomienia z dnia </w:t>
      </w:r>
      <w:r w:rsidR="00D029DF" w:rsidRPr="000F07A9">
        <w:rPr>
          <w:rFonts w:ascii="Lato" w:hAnsi="Lato" w:cs="Arial"/>
          <w:bCs/>
          <w:spacing w:val="4"/>
          <w:lang w:bidi="pl-PL"/>
        </w:rPr>
        <w:t>2</w:t>
      </w:r>
      <w:r w:rsidRPr="000F07A9">
        <w:rPr>
          <w:rFonts w:ascii="Lato" w:hAnsi="Lato" w:cs="Arial"/>
          <w:bCs/>
          <w:spacing w:val="4"/>
          <w:lang w:bidi="pl-PL"/>
        </w:rPr>
        <w:t xml:space="preserve"> </w:t>
      </w:r>
      <w:r w:rsidR="00D029DF" w:rsidRPr="000F07A9">
        <w:rPr>
          <w:rFonts w:ascii="Lato" w:hAnsi="Lato" w:cs="Arial"/>
          <w:bCs/>
          <w:spacing w:val="4"/>
          <w:lang w:bidi="pl-PL"/>
        </w:rPr>
        <w:t>sierpnia</w:t>
      </w:r>
      <w:r w:rsidRPr="000F07A9">
        <w:rPr>
          <w:rFonts w:ascii="Lato" w:hAnsi="Lato" w:cs="Arial"/>
          <w:bCs/>
          <w:spacing w:val="4"/>
          <w:lang w:bidi="pl-PL"/>
        </w:rPr>
        <w:t xml:space="preserve"> 202</w:t>
      </w:r>
      <w:r w:rsidR="00A35ECC">
        <w:rPr>
          <w:rFonts w:ascii="Lato" w:hAnsi="Lato" w:cs="Arial"/>
          <w:bCs/>
          <w:spacing w:val="4"/>
          <w:lang w:bidi="pl-PL"/>
        </w:rPr>
        <w:t>3</w:t>
      </w:r>
      <w:r w:rsidRPr="000F07A9">
        <w:rPr>
          <w:rFonts w:ascii="Lato" w:hAnsi="Lato" w:cs="Arial"/>
          <w:bCs/>
          <w:spacing w:val="4"/>
          <w:lang w:bidi="pl-PL"/>
        </w:rPr>
        <w:t xml:space="preserve"> r., znak: </w:t>
      </w:r>
      <w:r w:rsidR="00A35ECC" w:rsidRPr="00A35ECC">
        <w:rPr>
          <w:rFonts w:ascii="Lato" w:hAnsi="Lato" w:cs="Arial"/>
          <w:bCs/>
          <w:spacing w:val="4"/>
          <w:lang w:bidi="pl-PL"/>
        </w:rPr>
        <w:t>IN.I.747.7.2023.AZ</w:t>
      </w:r>
      <w:r w:rsidRPr="000F07A9">
        <w:rPr>
          <w:rFonts w:ascii="Lato" w:hAnsi="Lato" w:cs="Arial"/>
          <w:bCs/>
          <w:spacing w:val="4"/>
          <w:lang w:bidi="pl-PL"/>
        </w:rPr>
        <w:t xml:space="preserve">, wysłanego na adresy wskazane w katastrze nieruchomości. W zawiadomieniu oraz w obwieszczeniu zamieszczono, zgodnie z art. </w:t>
      </w:r>
      <w:r w:rsidR="00A35ECC">
        <w:rPr>
          <w:rFonts w:ascii="Lato" w:hAnsi="Lato" w:cs="Arial"/>
          <w:bCs/>
          <w:spacing w:val="4"/>
          <w:lang w:bidi="pl-PL"/>
        </w:rPr>
        <w:br/>
      </w:r>
      <w:r w:rsidRPr="000F07A9">
        <w:rPr>
          <w:rFonts w:ascii="Lato" w:hAnsi="Lato" w:cs="Arial"/>
          <w:bCs/>
          <w:spacing w:val="4"/>
          <w:lang w:bidi="pl-PL"/>
        </w:rPr>
        <w:t>12</w:t>
      </w:r>
      <w:r w:rsidRPr="000F07A9">
        <w:rPr>
          <w:rFonts w:ascii="Lato" w:hAnsi="Lato" w:cs="Arial"/>
          <w:spacing w:val="4"/>
        </w:rPr>
        <w:t xml:space="preserve"> </w:t>
      </w:r>
      <w:r w:rsidRPr="000F07A9">
        <w:rPr>
          <w:rFonts w:ascii="Lato" w:hAnsi="Lato" w:cs="Arial"/>
          <w:bCs/>
          <w:spacing w:val="4"/>
          <w:lang w:bidi="pl-PL"/>
        </w:rPr>
        <w:t xml:space="preserve">ust. 2 specustawy gazowej, informację o miejscu, w którym strony mogą zapoznać się z treścią decyzji. </w:t>
      </w:r>
    </w:p>
    <w:p w14:paraId="234AFC59" w14:textId="3E25FF15" w:rsidR="00DF31E8" w:rsidRPr="002F55E2" w:rsidRDefault="00145805" w:rsidP="007C3A26">
      <w:pPr>
        <w:spacing w:after="240" w:line="240" w:lineRule="exact"/>
        <w:jc w:val="both"/>
        <w:outlineLvl w:val="0"/>
        <w:rPr>
          <w:rFonts w:ascii="Lato" w:hAnsi="Lato" w:cs="Lao UI"/>
          <w:spacing w:val="4"/>
          <w:lang w:bidi="pl-PL"/>
        </w:rPr>
      </w:pPr>
      <w:r w:rsidRPr="002F55E2">
        <w:rPr>
          <w:rFonts w:ascii="Lato" w:hAnsi="Lato" w:cs="Arial"/>
          <w:spacing w:val="4"/>
        </w:rPr>
        <w:t xml:space="preserve">Po zapoznaniu się ze zgromadzonym materiałem dowodowym organ II instancji stwierdził, iż wydana w I instancji decyzja wymaga dokonania korekty merytoryczno-reformacyjnej. Należy zauważyć, iż przepis art. 138 § 1 pkt 2 kpa umożliwia organowi odwoławczemu korektę zaskarżonej decyzji przez jej uchylenie w części i orzeczenie </w:t>
      </w:r>
      <w:r w:rsidRPr="002F55E2">
        <w:rPr>
          <w:rFonts w:ascii="Lato" w:hAnsi="Lato" w:cs="Arial"/>
          <w:spacing w:val="4"/>
        </w:rPr>
        <w:br/>
        <w:t>w tym zakresie co do istoty sprawy.</w:t>
      </w:r>
      <w:r w:rsidRPr="002F55E2">
        <w:rPr>
          <w:rFonts w:ascii="Lato" w:hAnsi="Lato" w:cs="Lao UI"/>
          <w:spacing w:val="4"/>
          <w:lang w:bidi="pl-PL"/>
        </w:rPr>
        <w:t xml:space="preserve"> </w:t>
      </w:r>
      <w:bookmarkStart w:id="14" w:name="_Hlk200876276"/>
    </w:p>
    <w:p w14:paraId="067480F6" w14:textId="0F59B732" w:rsidR="002F55E2" w:rsidRDefault="00815FC5" w:rsidP="007C3A26">
      <w:pPr>
        <w:spacing w:after="240" w:line="240" w:lineRule="exact"/>
        <w:jc w:val="both"/>
        <w:outlineLvl w:val="0"/>
        <w:rPr>
          <w:rFonts w:ascii="Lato" w:hAnsi="Lato" w:cs="Arial"/>
          <w:spacing w:val="4"/>
          <w:lang w:bidi="pl-PL"/>
        </w:rPr>
      </w:pPr>
      <w:r w:rsidRPr="002F55E2">
        <w:rPr>
          <w:rFonts w:ascii="Lato" w:hAnsi="Lato" w:cs="Arial"/>
          <w:spacing w:val="4"/>
          <w:lang w:bidi="pl-PL"/>
        </w:rPr>
        <w:t xml:space="preserve">Zgodnie z art. 6 ust. 1 pkt 11 specustawy gazowej, w przypadku gdy inwestycja wymaga budowy zjazdów, inwestor we wniosku o wydanie decyzji o ustaleniu lokalizacji inwestycji towarzyszącej inwestycjom w zakresie terminalu określa lokalizację </w:t>
      </w:r>
      <w:r w:rsidRPr="002F55E2">
        <w:rPr>
          <w:rFonts w:ascii="Lato" w:hAnsi="Lato" w:cs="Arial"/>
          <w:spacing w:val="4"/>
          <w:lang w:bidi="pl-PL"/>
        </w:rPr>
        <w:br/>
        <w:t>i parametry techniczne zjazdów, a gdy wymaga przebudowy zjazdów - ich parametry techniczne</w:t>
      </w:r>
      <w:r w:rsidR="009A58A1" w:rsidRPr="002F55E2">
        <w:rPr>
          <w:rFonts w:ascii="Lato" w:hAnsi="Lato" w:cs="Arial"/>
          <w:iCs/>
          <w:spacing w:val="4"/>
          <w:lang w:bidi="pl-PL"/>
        </w:rPr>
        <w:t>.</w:t>
      </w:r>
      <w:r w:rsidR="009A58A1" w:rsidRPr="002F55E2">
        <w:rPr>
          <w:rFonts w:ascii="Lato" w:hAnsi="Lato" w:cs="Arial"/>
          <w:spacing w:val="4"/>
          <w:lang w:bidi="pl-PL"/>
        </w:rPr>
        <w:t xml:space="preserve"> Konsekwentnie, zgodnie z art. 10 ust. 1 pkt 8 specustawy gazowej,</w:t>
      </w:r>
      <w:r w:rsidR="009A58A1" w:rsidRPr="002F55E2">
        <w:t xml:space="preserve"> </w:t>
      </w:r>
      <w:r w:rsidR="00BA5A87">
        <w:br/>
      </w:r>
      <w:r w:rsidR="009A58A1" w:rsidRPr="002F55E2">
        <w:rPr>
          <w:rFonts w:ascii="Lato" w:hAnsi="Lato" w:cs="Arial"/>
          <w:spacing w:val="4"/>
          <w:lang w:bidi="pl-PL"/>
        </w:rPr>
        <w:t xml:space="preserve">w przypadku gdy inwestycja wymaga budowy zjazdów, decyzja o ustaleniu lokalizacji inwestycji towarzyszącej inwestycjom w zakresie terminalu określa lokalizację </w:t>
      </w:r>
      <w:r w:rsidR="00BA5A87">
        <w:rPr>
          <w:rFonts w:ascii="Lato" w:hAnsi="Lato" w:cs="Arial"/>
          <w:spacing w:val="4"/>
          <w:lang w:bidi="pl-PL"/>
        </w:rPr>
        <w:br/>
      </w:r>
      <w:r w:rsidR="009A58A1" w:rsidRPr="002F55E2">
        <w:rPr>
          <w:rFonts w:ascii="Lato" w:hAnsi="Lato" w:cs="Arial"/>
          <w:spacing w:val="4"/>
          <w:lang w:bidi="pl-PL"/>
        </w:rPr>
        <w:t xml:space="preserve">i parametry techniczne zjazdów, a gdy wymaga przebudowy zjazdów - ich parametry techniczne. </w:t>
      </w:r>
      <w:r w:rsidR="00BA5A87" w:rsidRPr="00BA5A87">
        <w:rPr>
          <w:rFonts w:ascii="Lato" w:hAnsi="Lato" w:cs="Arial"/>
          <w:iCs/>
          <w:spacing w:val="4"/>
          <w:lang w:bidi="pl-PL"/>
        </w:rPr>
        <w:t>Wniosek inwestora odnosi się bowiem do wszystkich skutków, jakie wywierać ma decyzja o ustaleniu lokalizacji inwestycji</w:t>
      </w:r>
      <w:r w:rsidR="00BA5A87">
        <w:rPr>
          <w:rFonts w:ascii="Lato" w:hAnsi="Lato" w:cs="Arial"/>
          <w:iCs/>
          <w:spacing w:val="4"/>
          <w:lang w:bidi="pl-PL"/>
        </w:rPr>
        <w:t xml:space="preserve">. </w:t>
      </w:r>
    </w:p>
    <w:p w14:paraId="02D3293A" w14:textId="39E52BB8" w:rsidR="00C74612" w:rsidRPr="002F55E2" w:rsidRDefault="002F55E2" w:rsidP="007C3A26">
      <w:pPr>
        <w:spacing w:after="240" w:line="240" w:lineRule="exact"/>
        <w:jc w:val="both"/>
        <w:outlineLvl w:val="0"/>
        <w:rPr>
          <w:rFonts w:ascii="Lato" w:eastAsia="Calibri" w:hAnsi="Lato" w:cs="Arial"/>
          <w:spacing w:val="4"/>
          <w:lang w:bidi="pl-PL"/>
        </w:rPr>
      </w:pPr>
      <w:r>
        <w:rPr>
          <w:rFonts w:ascii="Lato" w:hAnsi="Lato" w:cs="Arial"/>
          <w:spacing w:val="4"/>
          <w:lang w:bidi="pl-PL"/>
        </w:rPr>
        <w:t>Przekładając powyższe na grunt niniejszej sprawy, zauważyć należ</w:t>
      </w:r>
      <w:r w:rsidR="002C4DCF">
        <w:rPr>
          <w:rFonts w:ascii="Lato" w:hAnsi="Lato" w:cs="Arial"/>
          <w:spacing w:val="4"/>
          <w:lang w:bidi="pl-PL"/>
        </w:rPr>
        <w:t>y</w:t>
      </w:r>
      <w:r>
        <w:rPr>
          <w:rFonts w:ascii="Lato" w:hAnsi="Lato" w:cs="Arial"/>
          <w:spacing w:val="4"/>
          <w:lang w:bidi="pl-PL"/>
        </w:rPr>
        <w:t>, że w</w:t>
      </w:r>
      <w:r w:rsidR="009A58A1" w:rsidRPr="002F55E2">
        <w:rPr>
          <w:rFonts w:ascii="Lato" w:hAnsi="Lato" w:cs="Arial"/>
          <w:spacing w:val="4"/>
          <w:lang w:bidi="pl-PL"/>
        </w:rPr>
        <w:t>e wniosku inwestor określił lokalizację i parametry techniczne zarówno zjazd</w:t>
      </w:r>
      <w:r w:rsidR="00E468E1" w:rsidRPr="002F55E2">
        <w:rPr>
          <w:rFonts w:ascii="Lato" w:hAnsi="Lato" w:cs="Arial"/>
          <w:spacing w:val="4"/>
          <w:lang w:bidi="pl-PL"/>
        </w:rPr>
        <w:t xml:space="preserve">u </w:t>
      </w:r>
      <w:r w:rsidR="009A58A1" w:rsidRPr="002F55E2">
        <w:rPr>
          <w:rFonts w:ascii="Lato" w:hAnsi="Lato" w:cs="Arial"/>
          <w:spacing w:val="4"/>
          <w:lang w:bidi="pl-PL"/>
        </w:rPr>
        <w:t>stał</w:t>
      </w:r>
      <w:r w:rsidR="00E468E1" w:rsidRPr="002F55E2">
        <w:rPr>
          <w:rFonts w:ascii="Lato" w:hAnsi="Lato" w:cs="Arial"/>
          <w:spacing w:val="4"/>
          <w:lang w:bidi="pl-PL"/>
        </w:rPr>
        <w:t>ego</w:t>
      </w:r>
      <w:r w:rsidR="009A58A1" w:rsidRPr="002F55E2">
        <w:rPr>
          <w:rFonts w:ascii="Lato" w:hAnsi="Lato" w:cs="Arial"/>
          <w:spacing w:val="4"/>
          <w:lang w:bidi="pl-PL"/>
        </w:rPr>
        <w:t xml:space="preserve">, jak </w:t>
      </w:r>
      <w:r>
        <w:rPr>
          <w:rFonts w:ascii="Lato" w:hAnsi="Lato" w:cs="Arial"/>
          <w:spacing w:val="4"/>
          <w:lang w:bidi="pl-PL"/>
        </w:rPr>
        <w:br/>
      </w:r>
      <w:r w:rsidR="009A58A1" w:rsidRPr="002F55E2">
        <w:rPr>
          <w:rFonts w:ascii="Lato" w:hAnsi="Lato" w:cs="Arial"/>
          <w:spacing w:val="4"/>
          <w:lang w:bidi="pl-PL"/>
        </w:rPr>
        <w:t xml:space="preserve">i </w:t>
      </w:r>
      <w:r w:rsidR="00E468E1" w:rsidRPr="002F55E2">
        <w:rPr>
          <w:rFonts w:ascii="Lato" w:hAnsi="Lato" w:cs="Arial"/>
          <w:spacing w:val="4"/>
          <w:lang w:bidi="pl-PL"/>
        </w:rPr>
        <w:t>zjazdów na czas określony</w:t>
      </w:r>
      <w:r w:rsidR="00BA5A87">
        <w:rPr>
          <w:rFonts w:ascii="Lato" w:hAnsi="Lato" w:cs="Arial"/>
          <w:spacing w:val="4"/>
          <w:lang w:bidi="pl-PL"/>
        </w:rPr>
        <w:t xml:space="preserve"> (tzw. technologicznych)</w:t>
      </w:r>
      <w:r w:rsidR="00E468E1" w:rsidRPr="002F55E2">
        <w:rPr>
          <w:rFonts w:ascii="Lato" w:hAnsi="Lato" w:cs="Arial"/>
          <w:spacing w:val="4"/>
          <w:lang w:bidi="pl-PL"/>
        </w:rPr>
        <w:t xml:space="preserve">. </w:t>
      </w:r>
      <w:r w:rsidR="00E468E1" w:rsidRPr="002F55E2">
        <w:rPr>
          <w:rFonts w:ascii="Lato" w:eastAsia="Calibri" w:hAnsi="Lato" w:cs="Arial"/>
          <w:spacing w:val="4"/>
          <w:lang w:bidi="pl-PL"/>
        </w:rPr>
        <w:t>W</w:t>
      </w:r>
      <w:r w:rsidR="00BE0E20" w:rsidRPr="002F55E2">
        <w:rPr>
          <w:rFonts w:ascii="Lato" w:eastAsia="Calibri" w:hAnsi="Lato" w:cs="Arial"/>
          <w:spacing w:val="4"/>
          <w:lang w:bidi="pl-PL"/>
        </w:rPr>
        <w:t xml:space="preserve"> pkt </w:t>
      </w:r>
      <w:r w:rsidR="00C643C7">
        <w:rPr>
          <w:rFonts w:ascii="Lato" w:eastAsia="Calibri" w:hAnsi="Lato" w:cs="Arial"/>
          <w:spacing w:val="4"/>
          <w:lang w:bidi="pl-PL"/>
        </w:rPr>
        <w:t>XI.</w:t>
      </w:r>
      <w:r w:rsidR="00BE0E20" w:rsidRPr="002F55E2">
        <w:rPr>
          <w:rFonts w:ascii="Lato" w:eastAsia="Calibri" w:hAnsi="Lato" w:cs="Arial"/>
          <w:spacing w:val="4"/>
          <w:lang w:bidi="pl-PL"/>
        </w:rPr>
        <w:t xml:space="preserve">4a na str. 79 decyzji Wojewody Opolskiego </w:t>
      </w:r>
      <w:r w:rsidR="00E468E1" w:rsidRPr="002F55E2">
        <w:rPr>
          <w:rFonts w:ascii="Lato" w:eastAsia="Calibri" w:hAnsi="Lato" w:cs="Arial"/>
          <w:spacing w:val="4"/>
          <w:lang w:bidi="pl-PL"/>
        </w:rPr>
        <w:t xml:space="preserve">organ I instancji </w:t>
      </w:r>
      <w:r w:rsidR="00BE0E20" w:rsidRPr="002F55E2">
        <w:rPr>
          <w:rFonts w:ascii="Lato" w:eastAsia="Calibri" w:hAnsi="Lato" w:cs="Arial"/>
          <w:spacing w:val="4"/>
          <w:lang w:bidi="pl-PL"/>
        </w:rPr>
        <w:t>określ</w:t>
      </w:r>
      <w:r w:rsidR="00E468E1" w:rsidRPr="002F55E2">
        <w:rPr>
          <w:rFonts w:ascii="Lato" w:eastAsia="Calibri" w:hAnsi="Lato" w:cs="Arial"/>
          <w:spacing w:val="4"/>
          <w:lang w:bidi="pl-PL"/>
        </w:rPr>
        <w:t>ił</w:t>
      </w:r>
      <w:r w:rsidR="00BE0E20" w:rsidRPr="002F55E2">
        <w:rPr>
          <w:rFonts w:ascii="Lato" w:eastAsia="Calibri" w:hAnsi="Lato" w:cs="Arial"/>
          <w:spacing w:val="4"/>
          <w:lang w:bidi="pl-PL"/>
        </w:rPr>
        <w:t xml:space="preserve"> lokalizację zjazdu na czas stały, nie określając parametrów technicznych </w:t>
      </w:r>
      <w:r w:rsidR="002C4DCF">
        <w:rPr>
          <w:rFonts w:ascii="Lato" w:eastAsia="Calibri" w:hAnsi="Lato" w:cs="Arial"/>
          <w:spacing w:val="4"/>
          <w:lang w:bidi="pl-PL"/>
        </w:rPr>
        <w:t xml:space="preserve">tego </w:t>
      </w:r>
      <w:r w:rsidR="00BE0E20" w:rsidRPr="002F55E2">
        <w:rPr>
          <w:rFonts w:ascii="Lato" w:eastAsia="Calibri" w:hAnsi="Lato" w:cs="Arial"/>
          <w:spacing w:val="4"/>
          <w:lang w:bidi="pl-PL"/>
        </w:rPr>
        <w:t xml:space="preserve">zjazdu. Wskazano jedynie, że zjazd na czas stały należy zaprojektować zgodnie z rozporządzeniem Ministra Infrastruktury z dnia </w:t>
      </w:r>
      <w:r w:rsidR="00084072">
        <w:rPr>
          <w:rFonts w:ascii="Lato" w:eastAsia="Calibri" w:hAnsi="Lato" w:cs="Arial"/>
          <w:spacing w:val="4"/>
          <w:lang w:bidi="pl-PL"/>
        </w:rPr>
        <w:br/>
      </w:r>
      <w:r w:rsidR="00BE0E20" w:rsidRPr="002F55E2">
        <w:rPr>
          <w:rFonts w:ascii="Lato" w:eastAsia="Calibri" w:hAnsi="Lato" w:cs="Arial"/>
          <w:spacing w:val="4"/>
          <w:lang w:bidi="pl-PL"/>
        </w:rPr>
        <w:t>24 czerwca 2022 r. w sprawie przepisów techniczno-budowlanych dotyczących dróg publicznych (Dz.U. z 2022 r. por. 1518, z późn.zm.)</w:t>
      </w:r>
      <w:r w:rsidR="002C2927" w:rsidRPr="002F55E2">
        <w:rPr>
          <w:rFonts w:ascii="Lato" w:eastAsia="Calibri" w:hAnsi="Lato" w:cs="Arial"/>
          <w:spacing w:val="4"/>
          <w:lang w:bidi="pl-PL"/>
        </w:rPr>
        <w:t xml:space="preserve">, zwanym dalej „rozporządzeniem Ministra Infrastruktury z dnia 24 czerwca 2022 r. w sprawie przepisów techniczno-budowlanych dotyczących dróg publicznych”, </w:t>
      </w:r>
      <w:r w:rsidR="00BE0E20" w:rsidRPr="002F55E2">
        <w:rPr>
          <w:rFonts w:ascii="Lato" w:eastAsia="Calibri" w:hAnsi="Lato" w:cs="Arial"/>
          <w:spacing w:val="4"/>
          <w:lang w:bidi="pl-PL"/>
        </w:rPr>
        <w:t xml:space="preserve">oraz warunkami technicznymi wydanymi przez poszczególnych zarządców dróg. </w:t>
      </w:r>
      <w:r w:rsidR="00E468E1" w:rsidRPr="002F55E2">
        <w:rPr>
          <w:rFonts w:ascii="Lato" w:eastAsia="Calibri" w:hAnsi="Lato" w:cs="Arial"/>
          <w:spacing w:val="4"/>
          <w:lang w:bidi="pl-PL"/>
        </w:rPr>
        <w:t xml:space="preserve">Natomiast jeśli chodzi o zjazdy na czas określony, </w:t>
      </w:r>
      <w:r w:rsidR="00E468E1" w:rsidRPr="002F55E2">
        <w:rPr>
          <w:rFonts w:ascii="Lato" w:eastAsia="Calibri" w:hAnsi="Lato" w:cs="Arial"/>
          <w:spacing w:val="4"/>
          <w:lang w:bidi="pl-PL"/>
        </w:rPr>
        <w:lastRenderedPageBreak/>
        <w:t xml:space="preserve">to Wojewoda Opolski w pkt </w:t>
      </w:r>
      <w:r w:rsidR="00C643C7">
        <w:rPr>
          <w:rFonts w:ascii="Lato" w:eastAsia="Calibri" w:hAnsi="Lato" w:cs="Arial"/>
          <w:spacing w:val="4"/>
          <w:lang w:bidi="pl-PL"/>
        </w:rPr>
        <w:t>XI.</w:t>
      </w:r>
      <w:r w:rsidR="00E468E1" w:rsidRPr="002F55E2">
        <w:rPr>
          <w:rFonts w:ascii="Lato" w:eastAsia="Calibri" w:hAnsi="Lato" w:cs="Arial"/>
          <w:spacing w:val="4"/>
          <w:lang w:bidi="pl-PL"/>
        </w:rPr>
        <w:t xml:space="preserve">4b na str. 79 zaskarżonej decyzji określił zarówno ich </w:t>
      </w:r>
      <w:r w:rsidR="002C2927" w:rsidRPr="002F55E2">
        <w:rPr>
          <w:rFonts w:ascii="Lato" w:eastAsia="Calibri" w:hAnsi="Lato" w:cs="Arial"/>
          <w:spacing w:val="4"/>
          <w:lang w:bidi="pl-PL"/>
        </w:rPr>
        <w:t xml:space="preserve">lokalizację i parametry techniczne. Z wyjaśnień Wojewody Opolskiego zawartych </w:t>
      </w:r>
      <w:r w:rsidR="002A60EC">
        <w:rPr>
          <w:rFonts w:ascii="Lato" w:eastAsia="Calibri" w:hAnsi="Lato" w:cs="Arial"/>
          <w:spacing w:val="4"/>
          <w:lang w:bidi="pl-PL"/>
        </w:rPr>
        <w:br/>
      </w:r>
      <w:r w:rsidR="002C2927" w:rsidRPr="002F55E2">
        <w:rPr>
          <w:rFonts w:ascii="Lato" w:eastAsia="Calibri" w:hAnsi="Lato" w:cs="Arial"/>
          <w:spacing w:val="4"/>
          <w:lang w:bidi="pl-PL"/>
        </w:rPr>
        <w:t xml:space="preserve">w piśmie z dnia 4 grudnia 2023 r., znak: IN.I.747.7.2023.AZ, wynika, że powodem nieokreślenia w pkt 4a na str. 79 decyzji organu I instancji parametrów technicznych zjazdu na czas stały była okoliczność, iż obowiązujące rozporządzenie Ministra Infrastruktury z dnia 24 czerwca 2022 r. w sprawie przepisów techniczno-budowlanych dotyczących dróg publicznych, w przeciwieństwie do uchylonego nim </w:t>
      </w:r>
      <w:r w:rsidR="00C74612" w:rsidRPr="002F55E2">
        <w:rPr>
          <w:rFonts w:ascii="Lato" w:eastAsia="Calibri" w:hAnsi="Lato" w:cs="Arial"/>
          <w:iCs/>
          <w:spacing w:val="4"/>
          <w:lang w:bidi="pl-PL"/>
        </w:rPr>
        <w:t xml:space="preserve">rozporządzenia Ministra Transportu i Gospodarki Morskiej z dnia 2 marca 1999 r. w sprawie warunków technicznych, jakim powinny odpowiadać drogi publiczne i ich usytuowanie (t.j. Dz.U. </w:t>
      </w:r>
      <w:r w:rsidR="00BA5A87">
        <w:rPr>
          <w:rFonts w:ascii="Lato" w:eastAsia="Calibri" w:hAnsi="Lato" w:cs="Arial"/>
          <w:iCs/>
          <w:spacing w:val="4"/>
          <w:lang w:bidi="pl-PL"/>
        </w:rPr>
        <w:br/>
      </w:r>
      <w:r w:rsidR="00C74612" w:rsidRPr="002F55E2">
        <w:rPr>
          <w:rFonts w:ascii="Lato" w:eastAsia="Calibri" w:hAnsi="Lato" w:cs="Arial"/>
          <w:iCs/>
          <w:spacing w:val="4"/>
          <w:lang w:bidi="pl-PL"/>
        </w:rPr>
        <w:t xml:space="preserve">z 2016 r. poz. 124, z późn.zm.), nie zawiera regulacji określających wprost wymagania </w:t>
      </w:r>
      <w:r w:rsidR="002C4DCF">
        <w:rPr>
          <w:rFonts w:ascii="Lato" w:eastAsia="Calibri" w:hAnsi="Lato" w:cs="Arial"/>
          <w:iCs/>
          <w:spacing w:val="4"/>
          <w:lang w:bidi="pl-PL"/>
        </w:rPr>
        <w:br/>
      </w:r>
      <w:r w:rsidR="00C74612" w:rsidRPr="002F55E2">
        <w:rPr>
          <w:rFonts w:ascii="Lato" w:eastAsia="Calibri" w:hAnsi="Lato" w:cs="Arial"/>
          <w:iCs/>
          <w:spacing w:val="4"/>
          <w:lang w:bidi="pl-PL"/>
        </w:rPr>
        <w:t>co do m.in. szerokości zjazdów.</w:t>
      </w:r>
    </w:p>
    <w:p w14:paraId="0CA212DB" w14:textId="0786B156" w:rsidR="002F55E2" w:rsidRDefault="00C74612" w:rsidP="007C3A26">
      <w:pPr>
        <w:spacing w:after="240" w:line="240" w:lineRule="exact"/>
        <w:jc w:val="both"/>
        <w:outlineLvl w:val="0"/>
        <w:rPr>
          <w:rFonts w:ascii="Lato" w:eastAsia="Calibri" w:hAnsi="Lato" w:cs="Arial"/>
          <w:iCs/>
          <w:spacing w:val="4"/>
          <w:lang w:bidi="pl-PL"/>
        </w:rPr>
      </w:pPr>
      <w:r w:rsidRPr="002F55E2">
        <w:rPr>
          <w:rFonts w:ascii="Lato" w:eastAsia="Calibri" w:hAnsi="Lato" w:cs="Arial"/>
          <w:iCs/>
          <w:spacing w:val="4"/>
          <w:lang w:bidi="pl-PL"/>
        </w:rPr>
        <w:t xml:space="preserve">Argumentacja Wojewody Opolskiego zawarta w ww. piśmie z dnia 4 grudnia 2023 r. </w:t>
      </w:r>
      <w:r w:rsidR="003F6303" w:rsidRPr="002F55E2">
        <w:rPr>
          <w:rFonts w:ascii="Lato" w:eastAsia="Calibri" w:hAnsi="Lato" w:cs="Arial"/>
          <w:iCs/>
          <w:spacing w:val="4"/>
          <w:lang w:bidi="pl-PL"/>
        </w:rPr>
        <w:br/>
      </w:r>
      <w:r w:rsidRPr="002F55E2">
        <w:rPr>
          <w:rFonts w:ascii="Lato" w:eastAsia="Calibri" w:hAnsi="Lato" w:cs="Arial"/>
          <w:iCs/>
          <w:spacing w:val="4"/>
          <w:lang w:bidi="pl-PL"/>
        </w:rPr>
        <w:t xml:space="preserve">nie zasługuje na uwzględnienie. </w:t>
      </w:r>
      <w:r w:rsidR="006C0D8B" w:rsidRPr="002F55E2">
        <w:rPr>
          <w:rFonts w:ascii="Lato" w:eastAsia="Calibri" w:hAnsi="Lato" w:cs="Arial"/>
          <w:iCs/>
          <w:spacing w:val="4"/>
          <w:lang w:bidi="pl-PL"/>
        </w:rPr>
        <w:t xml:space="preserve">Okoliczność, iż aktualne przepisy techniczno-budowlane dla dróg publicznych nie precyzują sztywnych wymogów dla parametrów zjazdów, nie zwalnia organu z konieczności ich zdefiniowania i uwzględnienia w wydawanej decyzji lokalizacyjnej. </w:t>
      </w:r>
      <w:r w:rsidR="003F6303" w:rsidRPr="002F55E2">
        <w:rPr>
          <w:rFonts w:ascii="Lato" w:eastAsia="Calibri" w:hAnsi="Lato" w:cs="Arial"/>
          <w:iCs/>
          <w:spacing w:val="4"/>
          <w:lang w:bidi="pl-PL"/>
        </w:rPr>
        <w:t xml:space="preserve">Organ orzekający w postępowaniu dotyczącym </w:t>
      </w:r>
      <w:r w:rsidR="0015429E" w:rsidRPr="002F55E2">
        <w:rPr>
          <w:rFonts w:ascii="Lato" w:eastAsia="Calibri" w:hAnsi="Lato" w:cs="Arial"/>
          <w:iCs/>
          <w:spacing w:val="4"/>
          <w:lang w:bidi="pl-PL"/>
        </w:rPr>
        <w:t xml:space="preserve">ustalenia lokalizacji </w:t>
      </w:r>
      <w:r w:rsidR="003F6303" w:rsidRPr="002F55E2">
        <w:rPr>
          <w:rFonts w:ascii="Lato" w:eastAsia="Calibri" w:hAnsi="Lato" w:cs="Arial"/>
          <w:iCs/>
          <w:spacing w:val="4"/>
          <w:lang w:bidi="pl-PL"/>
        </w:rPr>
        <w:t xml:space="preserve">inwestycji </w:t>
      </w:r>
      <w:r w:rsidR="006C0D8B" w:rsidRPr="002F55E2">
        <w:rPr>
          <w:rFonts w:ascii="Lato" w:eastAsia="Calibri" w:hAnsi="Lato" w:cs="Arial"/>
          <w:iCs/>
          <w:spacing w:val="4"/>
          <w:lang w:bidi="pl-PL"/>
        </w:rPr>
        <w:t xml:space="preserve">towarzyszącej inwestycjom w zakresie terminalu </w:t>
      </w:r>
      <w:r w:rsidR="003F6303" w:rsidRPr="002F55E2">
        <w:rPr>
          <w:rFonts w:ascii="Lato" w:eastAsia="Calibri" w:hAnsi="Lato" w:cs="Arial"/>
          <w:iCs/>
          <w:spacing w:val="4"/>
          <w:lang w:bidi="pl-PL"/>
        </w:rPr>
        <w:t xml:space="preserve">ma prawny </w:t>
      </w:r>
      <w:r w:rsidR="003F6303" w:rsidRPr="00C260A9">
        <w:rPr>
          <w:rFonts w:ascii="Lato" w:eastAsia="Calibri" w:hAnsi="Lato" w:cs="Arial"/>
          <w:iCs/>
          <w:spacing w:val="4"/>
          <w:lang w:bidi="pl-PL"/>
        </w:rPr>
        <w:t>obowiązek</w:t>
      </w:r>
      <w:r w:rsidR="003F6303" w:rsidRPr="002F55E2">
        <w:rPr>
          <w:rFonts w:ascii="Lato" w:eastAsia="Calibri" w:hAnsi="Lato" w:cs="Arial"/>
          <w:iCs/>
          <w:spacing w:val="4"/>
          <w:lang w:bidi="pl-PL"/>
        </w:rPr>
        <w:t xml:space="preserve"> określenia lokalizacji oraz parametrów technicznych zjazdu, jeśli wymaga tego </w:t>
      </w:r>
      <w:r w:rsidR="006C0D8B" w:rsidRPr="002F55E2">
        <w:rPr>
          <w:rFonts w:ascii="Lato" w:eastAsia="Calibri" w:hAnsi="Lato" w:cs="Arial"/>
          <w:iCs/>
          <w:spacing w:val="4"/>
          <w:lang w:bidi="pl-PL"/>
        </w:rPr>
        <w:t xml:space="preserve">wniosek lokalizacyjny inwestora, bowiem jest związany w tym zakresie przepisami specustawy gazowej. </w:t>
      </w:r>
      <w:r w:rsidR="003F6303" w:rsidRPr="002F55E2">
        <w:rPr>
          <w:rFonts w:ascii="Lato" w:eastAsia="Calibri" w:hAnsi="Lato" w:cs="Arial"/>
          <w:iCs/>
          <w:spacing w:val="4"/>
          <w:lang w:bidi="pl-PL"/>
        </w:rPr>
        <w:t xml:space="preserve">Wskazane w art. 6 ust. 1 pkt 11 oraz art. 10 ust. 1 pkt 8 </w:t>
      </w:r>
      <w:r w:rsidR="006C0D8B" w:rsidRPr="002F55E2">
        <w:rPr>
          <w:rFonts w:ascii="Lato" w:eastAsia="Calibri" w:hAnsi="Lato" w:cs="Arial"/>
          <w:iCs/>
          <w:spacing w:val="4"/>
          <w:lang w:bidi="pl-PL"/>
        </w:rPr>
        <w:t xml:space="preserve">specustawy gazowej </w:t>
      </w:r>
      <w:r w:rsidR="003F6303" w:rsidRPr="002F55E2">
        <w:rPr>
          <w:rFonts w:ascii="Lato" w:eastAsia="Calibri" w:hAnsi="Lato" w:cs="Arial"/>
          <w:iCs/>
          <w:spacing w:val="4"/>
          <w:lang w:bidi="pl-PL"/>
        </w:rPr>
        <w:t xml:space="preserve">przepisy nakładają taki wymóg w sposób jednoznaczny. </w:t>
      </w:r>
      <w:r w:rsidR="002F55E2" w:rsidRPr="002F55E2">
        <w:rPr>
          <w:rFonts w:ascii="Lato" w:eastAsia="Calibri" w:hAnsi="Lato" w:cs="Arial"/>
          <w:iCs/>
          <w:spacing w:val="4"/>
          <w:lang w:bidi="pl-PL"/>
        </w:rPr>
        <w:t>W postępowaniu dotyczącym inwestycji w zakresie terminalu (oraz inwestycji towarzyszących) organ orzekający działa w warunkach tzw. związania administracyjnego. Oznacza to brak uznaniowości przy weryfikacji wniosku inwestora.</w:t>
      </w:r>
      <w:r w:rsidR="002F55E2">
        <w:rPr>
          <w:rFonts w:ascii="Lato" w:eastAsia="Calibri" w:hAnsi="Lato" w:cs="Arial"/>
          <w:iCs/>
          <w:spacing w:val="4"/>
          <w:lang w:bidi="pl-PL"/>
        </w:rPr>
        <w:t xml:space="preserve"> </w:t>
      </w:r>
      <w:r w:rsidR="006C0D8B" w:rsidRPr="002F55E2">
        <w:rPr>
          <w:rFonts w:ascii="Lato" w:eastAsia="Calibri" w:hAnsi="Lato" w:cs="Arial"/>
          <w:iCs/>
          <w:spacing w:val="4"/>
          <w:lang w:bidi="pl-PL"/>
        </w:rPr>
        <w:t xml:space="preserve">Określenie parametrów technicznych zjazdu, </w:t>
      </w:r>
      <w:r w:rsidR="0001777C" w:rsidRPr="002F55E2">
        <w:rPr>
          <w:rFonts w:ascii="Lato" w:eastAsia="Calibri" w:hAnsi="Lato" w:cs="Arial"/>
          <w:iCs/>
          <w:spacing w:val="4"/>
          <w:lang w:bidi="pl-PL"/>
        </w:rPr>
        <w:t>o czym stanowi art. 6 ust. 1 pkt 11 specustawy gazowej (dotycząc</w:t>
      </w:r>
      <w:r w:rsidR="002F55E2">
        <w:rPr>
          <w:rFonts w:ascii="Lato" w:eastAsia="Calibri" w:hAnsi="Lato" w:cs="Arial"/>
          <w:iCs/>
          <w:spacing w:val="4"/>
          <w:lang w:bidi="pl-PL"/>
        </w:rPr>
        <w:t>y</w:t>
      </w:r>
      <w:r w:rsidR="0001777C" w:rsidRPr="002F55E2">
        <w:rPr>
          <w:rFonts w:ascii="Lato" w:eastAsia="Calibri" w:hAnsi="Lato" w:cs="Arial"/>
          <w:iCs/>
          <w:spacing w:val="4"/>
          <w:lang w:bidi="pl-PL"/>
        </w:rPr>
        <w:t xml:space="preserve"> elementów wniosku lokalizacyjnego) i art. 10 ust. 1 pkt 8 specustawy gazowej (dotyczący elementów decyzji lokalizacyjnej), </w:t>
      </w:r>
      <w:r w:rsidR="006C0D8B" w:rsidRPr="002F55E2">
        <w:rPr>
          <w:rFonts w:ascii="Lato" w:eastAsia="Calibri" w:hAnsi="Lato" w:cs="Arial"/>
          <w:iCs/>
          <w:spacing w:val="4"/>
          <w:lang w:bidi="pl-PL"/>
        </w:rPr>
        <w:t>wymaga podania konkretnych, liczbowych wartości technicznych</w:t>
      </w:r>
      <w:r w:rsidR="00BA5A87">
        <w:rPr>
          <w:rFonts w:ascii="Lato" w:eastAsia="Calibri" w:hAnsi="Lato" w:cs="Arial"/>
          <w:iCs/>
          <w:spacing w:val="4"/>
          <w:lang w:bidi="pl-PL"/>
        </w:rPr>
        <w:t xml:space="preserve"> (jak to uczynił inwestor we wniosku)</w:t>
      </w:r>
      <w:r w:rsidR="004F32FD">
        <w:rPr>
          <w:rFonts w:ascii="Lato" w:eastAsia="Calibri" w:hAnsi="Lato" w:cs="Arial"/>
          <w:iCs/>
          <w:spacing w:val="4"/>
          <w:lang w:bidi="pl-PL"/>
        </w:rPr>
        <w:t xml:space="preserve">, a nie wyłącznie na ograniczeniu się do </w:t>
      </w:r>
      <w:r w:rsidR="00BA5A87">
        <w:rPr>
          <w:rFonts w:ascii="Lato" w:eastAsia="Calibri" w:hAnsi="Lato" w:cs="Arial"/>
          <w:iCs/>
          <w:spacing w:val="4"/>
          <w:lang w:bidi="pl-PL"/>
        </w:rPr>
        <w:t xml:space="preserve">odesłania </w:t>
      </w:r>
      <w:r w:rsidR="002C4DCF">
        <w:rPr>
          <w:rFonts w:ascii="Lato" w:eastAsia="Calibri" w:hAnsi="Lato" w:cs="Arial"/>
          <w:iCs/>
          <w:spacing w:val="4"/>
          <w:lang w:bidi="pl-PL"/>
        </w:rPr>
        <w:br/>
      </w:r>
      <w:r w:rsidR="004F32FD">
        <w:rPr>
          <w:rFonts w:ascii="Lato" w:eastAsia="Calibri" w:hAnsi="Lato" w:cs="Arial"/>
          <w:iCs/>
          <w:spacing w:val="4"/>
          <w:lang w:bidi="pl-PL"/>
        </w:rPr>
        <w:t xml:space="preserve">do </w:t>
      </w:r>
      <w:r w:rsidR="004F32FD" w:rsidRPr="004F32FD">
        <w:rPr>
          <w:rFonts w:ascii="Lato" w:eastAsia="Calibri" w:hAnsi="Lato" w:cs="Arial"/>
          <w:iCs/>
          <w:spacing w:val="4"/>
          <w:lang w:bidi="pl-PL"/>
        </w:rPr>
        <w:t>rozporządzeni</w:t>
      </w:r>
      <w:r w:rsidR="004F32FD">
        <w:rPr>
          <w:rFonts w:ascii="Lato" w:eastAsia="Calibri" w:hAnsi="Lato" w:cs="Arial"/>
          <w:iCs/>
          <w:spacing w:val="4"/>
          <w:lang w:bidi="pl-PL"/>
        </w:rPr>
        <w:t>a</w:t>
      </w:r>
      <w:r w:rsidR="004F32FD" w:rsidRPr="004F32FD">
        <w:rPr>
          <w:rFonts w:ascii="Lato" w:eastAsia="Calibri" w:hAnsi="Lato" w:cs="Arial"/>
          <w:iCs/>
          <w:spacing w:val="4"/>
          <w:lang w:bidi="pl-PL"/>
        </w:rPr>
        <w:t xml:space="preserve"> Ministra Infrastruktury z dnia 24 czerwca 2022 r. w sprawie przepisów techniczno-budowlanych dotyczących dróg publicznych</w:t>
      </w:r>
      <w:r w:rsidR="00BA5A87">
        <w:rPr>
          <w:rFonts w:ascii="Lato" w:eastAsia="Calibri" w:hAnsi="Lato" w:cs="Arial"/>
          <w:iCs/>
          <w:spacing w:val="4"/>
          <w:lang w:bidi="pl-PL"/>
        </w:rPr>
        <w:t xml:space="preserve">. </w:t>
      </w:r>
    </w:p>
    <w:p w14:paraId="50DF57A1" w14:textId="4664EBFA" w:rsidR="00C643C7" w:rsidRDefault="0010043C" w:rsidP="007C3A26">
      <w:pPr>
        <w:spacing w:after="240" w:line="240" w:lineRule="exact"/>
        <w:jc w:val="both"/>
        <w:outlineLvl w:val="0"/>
        <w:rPr>
          <w:rFonts w:ascii="Lato" w:eastAsia="Calibri" w:hAnsi="Lato" w:cs="Arial"/>
          <w:iCs/>
          <w:spacing w:val="4"/>
          <w:lang w:bidi="pl-PL"/>
        </w:rPr>
      </w:pPr>
      <w:r w:rsidRPr="00C643C7">
        <w:rPr>
          <w:rFonts w:ascii="Lato" w:eastAsia="Calibri" w:hAnsi="Lato" w:cs="Arial"/>
          <w:iCs/>
          <w:spacing w:val="4"/>
          <w:lang w:bidi="pl-PL"/>
        </w:rPr>
        <w:t xml:space="preserve">Mając powyższe na uwadze, w pkt I </w:t>
      </w:r>
      <w:r w:rsidR="00C643C7" w:rsidRPr="00C643C7">
        <w:rPr>
          <w:rFonts w:ascii="Lato" w:eastAsia="Calibri" w:hAnsi="Lato" w:cs="Arial"/>
          <w:iCs/>
          <w:spacing w:val="4"/>
          <w:lang w:bidi="pl-PL"/>
        </w:rPr>
        <w:t>niniejszej decyzji,</w:t>
      </w:r>
      <w:r w:rsidR="00C643C7">
        <w:rPr>
          <w:rFonts w:ascii="Lato" w:eastAsia="Calibri" w:hAnsi="Lato" w:cs="Arial"/>
          <w:iCs/>
          <w:spacing w:val="4"/>
          <w:lang w:bidi="pl-PL"/>
        </w:rPr>
        <w:t xml:space="preserve"> </w:t>
      </w:r>
      <w:r w:rsidR="002C4DCF">
        <w:rPr>
          <w:rFonts w:ascii="Lato" w:eastAsia="Calibri" w:hAnsi="Lato" w:cs="Arial"/>
          <w:iCs/>
          <w:spacing w:val="4"/>
          <w:lang w:bidi="pl-PL"/>
        </w:rPr>
        <w:t xml:space="preserve">Minister </w:t>
      </w:r>
      <w:r w:rsidR="00C643C7">
        <w:rPr>
          <w:rFonts w:ascii="Lato" w:eastAsia="Calibri" w:hAnsi="Lato" w:cs="Arial"/>
          <w:iCs/>
          <w:spacing w:val="4"/>
          <w:lang w:bidi="pl-PL"/>
        </w:rPr>
        <w:t xml:space="preserve">uzupełnił zapis zawarty w pkt XI.4a na str. 79 decyzji Wojewody Opolskiego o </w:t>
      </w:r>
      <w:r w:rsidR="00C643C7" w:rsidRPr="00C643C7">
        <w:rPr>
          <w:rFonts w:ascii="Lato" w:eastAsia="Calibri" w:hAnsi="Lato" w:cs="Arial"/>
          <w:iCs/>
          <w:spacing w:val="4"/>
          <w:lang w:bidi="pl-PL"/>
        </w:rPr>
        <w:t xml:space="preserve">parametry techniczne zjazdu </w:t>
      </w:r>
      <w:r w:rsidR="002C4DCF">
        <w:rPr>
          <w:rFonts w:ascii="Lato" w:eastAsia="Calibri" w:hAnsi="Lato" w:cs="Arial"/>
          <w:iCs/>
          <w:spacing w:val="4"/>
          <w:lang w:bidi="pl-PL"/>
        </w:rPr>
        <w:t xml:space="preserve">stałego </w:t>
      </w:r>
      <w:r w:rsidR="00C643C7">
        <w:rPr>
          <w:rFonts w:ascii="Lato" w:eastAsia="Calibri" w:hAnsi="Lato" w:cs="Arial"/>
          <w:iCs/>
          <w:spacing w:val="4"/>
          <w:lang w:bidi="pl-PL"/>
        </w:rPr>
        <w:t xml:space="preserve">określone przez inwestora </w:t>
      </w:r>
      <w:r w:rsidR="000C7251">
        <w:rPr>
          <w:rFonts w:ascii="Lato" w:eastAsia="Calibri" w:hAnsi="Lato" w:cs="Arial"/>
          <w:iCs/>
          <w:spacing w:val="4"/>
          <w:lang w:bidi="pl-PL"/>
        </w:rPr>
        <w:t xml:space="preserve">w </w:t>
      </w:r>
      <w:r w:rsidR="00C643C7" w:rsidRPr="00C643C7">
        <w:rPr>
          <w:rFonts w:ascii="Lato" w:eastAsia="Calibri" w:hAnsi="Lato" w:cs="Arial"/>
          <w:iCs/>
          <w:spacing w:val="4"/>
          <w:lang w:bidi="pl-PL"/>
        </w:rPr>
        <w:t xml:space="preserve">pkt 15.4 wniosku </w:t>
      </w:r>
      <w:r w:rsidR="00C643C7">
        <w:rPr>
          <w:rFonts w:ascii="Lato" w:eastAsia="Calibri" w:hAnsi="Lato" w:cs="Arial"/>
          <w:iCs/>
          <w:spacing w:val="4"/>
          <w:lang w:bidi="pl-PL"/>
        </w:rPr>
        <w:t xml:space="preserve">lokalizacyjnego (podtrzymane </w:t>
      </w:r>
      <w:r w:rsidR="002C4DCF">
        <w:rPr>
          <w:rFonts w:ascii="Lato" w:eastAsia="Calibri" w:hAnsi="Lato" w:cs="Arial"/>
          <w:iCs/>
          <w:spacing w:val="4"/>
          <w:lang w:bidi="pl-PL"/>
        </w:rPr>
        <w:br/>
      </w:r>
      <w:r w:rsidR="00C643C7">
        <w:rPr>
          <w:rFonts w:ascii="Lato" w:eastAsia="Calibri" w:hAnsi="Lato" w:cs="Arial"/>
          <w:iCs/>
          <w:spacing w:val="4"/>
          <w:lang w:bidi="pl-PL"/>
        </w:rPr>
        <w:t>w piśmie z dnia 22 stycznia 2024 r., znak: 12562-ILF-POL-P-OC-0569</w:t>
      </w:r>
      <w:r w:rsidR="000C7251">
        <w:rPr>
          <w:rFonts w:ascii="Lato" w:eastAsia="Calibri" w:hAnsi="Lato" w:cs="Arial"/>
          <w:iCs/>
          <w:spacing w:val="4"/>
          <w:lang w:bidi="pl-PL"/>
        </w:rPr>
        <w:t xml:space="preserve">, złożonym </w:t>
      </w:r>
      <w:r w:rsidR="002C4DCF">
        <w:rPr>
          <w:rFonts w:ascii="Lato" w:eastAsia="Calibri" w:hAnsi="Lato" w:cs="Arial"/>
          <w:iCs/>
          <w:spacing w:val="4"/>
          <w:lang w:bidi="pl-PL"/>
        </w:rPr>
        <w:br/>
      </w:r>
      <w:r w:rsidR="000C7251">
        <w:rPr>
          <w:rFonts w:ascii="Lato" w:eastAsia="Calibri" w:hAnsi="Lato" w:cs="Arial"/>
          <w:iCs/>
          <w:spacing w:val="4"/>
          <w:lang w:bidi="pl-PL"/>
        </w:rPr>
        <w:t xml:space="preserve">w trakcie postępowania odwoławczego). </w:t>
      </w:r>
    </w:p>
    <w:p w14:paraId="648095F4" w14:textId="063A27BE" w:rsidR="00B20208" w:rsidRPr="002A60EC" w:rsidRDefault="002A60EC" w:rsidP="007C3A26">
      <w:pPr>
        <w:spacing w:after="240" w:line="240" w:lineRule="exact"/>
        <w:jc w:val="both"/>
        <w:outlineLvl w:val="0"/>
        <w:rPr>
          <w:rFonts w:ascii="Lato" w:eastAsia="Calibri" w:hAnsi="Lato" w:cs="Arial"/>
          <w:iCs/>
          <w:spacing w:val="4"/>
          <w:lang w:bidi="pl-PL"/>
        </w:rPr>
      </w:pPr>
      <w:r>
        <w:rPr>
          <w:rFonts w:ascii="Lato" w:eastAsia="Calibri" w:hAnsi="Lato" w:cs="Arial"/>
          <w:iCs/>
          <w:spacing w:val="4"/>
          <w:lang w:bidi="pl-PL"/>
        </w:rPr>
        <w:t xml:space="preserve">Następnie wskazać należy, że </w:t>
      </w:r>
      <w:r>
        <w:rPr>
          <w:rFonts w:ascii="Lato" w:hAnsi="Lato" w:cs="Arial"/>
          <w:bCs/>
          <w:spacing w:val="4"/>
        </w:rPr>
        <w:t>w</w:t>
      </w:r>
      <w:r w:rsidR="00B20208" w:rsidRPr="000F07A9">
        <w:rPr>
          <w:rFonts w:ascii="Lato" w:hAnsi="Lato" w:cs="Arial"/>
          <w:bCs/>
          <w:spacing w:val="4"/>
        </w:rPr>
        <w:t xml:space="preserve">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Organ odwoławczy, w ramach swoich uprawnień kontrolnych, ocenia bowiem materiał dowodowy, uwzględniając stan faktyczny stwierdzony w czasie wydania decyzji przez organ w pierwszej instancji, jak </w:t>
      </w:r>
      <w:r w:rsidR="00B20208" w:rsidRPr="000F07A9">
        <w:rPr>
          <w:rFonts w:ascii="Lato" w:hAnsi="Lato" w:cs="Arial"/>
          <w:bCs/>
          <w:spacing w:val="4"/>
        </w:rPr>
        <w:br/>
        <w:t>i zmiany stanu faktycznego, które zaszły pomiędzy wydaniem decyzji organu pierwszej instancji, a wydaniem decyzji w postępowaniu odwoławczym.</w:t>
      </w:r>
      <w:r w:rsidR="00B20208" w:rsidRPr="000F07A9">
        <w:rPr>
          <w:rFonts w:ascii="Lato" w:hAnsi="Lato" w:cs="Arial"/>
          <w:spacing w:val="4"/>
        </w:rPr>
        <w:t xml:space="preserve"> W toku postępowania odwoławczego możliwa jest więc zmiana wniosku lokalizacyjnego przez inwestora </w:t>
      </w:r>
      <w:r w:rsidR="00B20208" w:rsidRPr="000F07A9">
        <w:rPr>
          <w:rFonts w:ascii="Lato" w:hAnsi="Lato" w:cs="Arial"/>
          <w:spacing w:val="4"/>
        </w:rPr>
        <w:br/>
        <w:t xml:space="preserve">(por. wyrok </w:t>
      </w:r>
      <w:r w:rsidR="00B20208" w:rsidRPr="000F07A9">
        <w:rPr>
          <w:rFonts w:ascii="Lato" w:hAnsi="Lato" w:cs="Arial"/>
          <w:bCs/>
          <w:spacing w:val="4"/>
          <w:lang w:bidi="pl-PL"/>
        </w:rPr>
        <w:t xml:space="preserve">Wojewódzkiego Sądu Administracyjnego w Warszawie z dnia 18 lipca </w:t>
      </w:r>
      <w:r w:rsidR="00B20208" w:rsidRPr="000F07A9">
        <w:rPr>
          <w:rFonts w:ascii="Lato" w:hAnsi="Lato" w:cs="Arial"/>
          <w:bCs/>
          <w:spacing w:val="4"/>
          <w:lang w:bidi="pl-PL"/>
        </w:rPr>
        <w:br/>
        <w:t>2019 r., sygn. akt VII SA/</w:t>
      </w:r>
      <w:proofErr w:type="spellStart"/>
      <w:r w:rsidR="00B20208" w:rsidRPr="000F07A9">
        <w:rPr>
          <w:rFonts w:ascii="Lato" w:hAnsi="Lato" w:cs="Arial"/>
          <w:bCs/>
          <w:spacing w:val="4"/>
          <w:lang w:bidi="pl-PL"/>
        </w:rPr>
        <w:t>Wa</w:t>
      </w:r>
      <w:proofErr w:type="spellEnd"/>
      <w:r w:rsidR="00B20208" w:rsidRPr="000F07A9">
        <w:rPr>
          <w:rFonts w:ascii="Lato" w:hAnsi="Lato" w:cs="Arial"/>
          <w:bCs/>
          <w:spacing w:val="4"/>
          <w:lang w:bidi="pl-PL"/>
        </w:rPr>
        <w:t xml:space="preserve"> 1017/19, </w:t>
      </w:r>
      <w:proofErr w:type="spellStart"/>
      <w:r w:rsidR="00B20208" w:rsidRPr="000F07A9">
        <w:rPr>
          <w:rFonts w:ascii="Lato" w:hAnsi="Lato" w:cs="Arial"/>
          <w:bCs/>
          <w:spacing w:val="4"/>
          <w:lang w:bidi="pl-PL"/>
        </w:rPr>
        <w:t>opubl</w:t>
      </w:r>
      <w:proofErr w:type="spellEnd"/>
      <w:r w:rsidR="00B20208" w:rsidRPr="000F07A9">
        <w:rPr>
          <w:rFonts w:ascii="Lato" w:hAnsi="Lato" w:cs="Arial"/>
          <w:bCs/>
          <w:spacing w:val="4"/>
          <w:lang w:bidi="pl-PL"/>
        </w:rPr>
        <w:t>. Centralna Baza Orzeczeń Sądów Administracyjnych).</w:t>
      </w:r>
    </w:p>
    <w:p w14:paraId="4A4B9DD1" w14:textId="5D58372D" w:rsidR="00C643C7" w:rsidRDefault="0010043C" w:rsidP="007C3A26">
      <w:pPr>
        <w:spacing w:after="240" w:line="240" w:lineRule="exact"/>
        <w:jc w:val="both"/>
        <w:outlineLvl w:val="0"/>
        <w:rPr>
          <w:rFonts w:ascii="Lato" w:hAnsi="Lato" w:cs="Lao UI"/>
          <w:bCs/>
          <w:spacing w:val="4"/>
          <w:lang w:bidi="pl-PL"/>
        </w:rPr>
      </w:pPr>
      <w:r w:rsidRPr="007A1CB9">
        <w:rPr>
          <w:rFonts w:ascii="Lato" w:hAnsi="Lato" w:cs="Lao UI"/>
          <w:bCs/>
          <w:spacing w:val="4"/>
          <w:lang w:bidi="pl-PL"/>
        </w:rPr>
        <w:t>W</w:t>
      </w:r>
      <w:r w:rsidR="00BE0E20" w:rsidRPr="007A1CB9">
        <w:rPr>
          <w:rFonts w:ascii="Lato" w:hAnsi="Lato" w:cs="Lao UI"/>
          <w:bCs/>
          <w:spacing w:val="4"/>
          <w:lang w:bidi="pl-PL"/>
        </w:rPr>
        <w:t xml:space="preserve"> trakcie prowadzonego postępowania odwoławczego, inwestor </w:t>
      </w:r>
      <w:r w:rsidRPr="007A1CB9">
        <w:rPr>
          <w:rFonts w:ascii="Lato" w:hAnsi="Lato" w:cs="Lao UI"/>
          <w:bCs/>
          <w:spacing w:val="4"/>
          <w:lang w:bidi="pl-PL"/>
        </w:rPr>
        <w:t xml:space="preserve">w piśmie z dnia </w:t>
      </w:r>
      <w:r w:rsidR="001B35F8">
        <w:rPr>
          <w:rFonts w:ascii="Lato" w:hAnsi="Lato" w:cs="Lao UI"/>
          <w:bCs/>
          <w:spacing w:val="4"/>
          <w:lang w:bidi="pl-PL"/>
        </w:rPr>
        <w:br/>
      </w:r>
      <w:r w:rsidRPr="007A1CB9">
        <w:rPr>
          <w:rFonts w:ascii="Lato" w:hAnsi="Lato" w:cs="Lao UI"/>
          <w:bCs/>
          <w:spacing w:val="4"/>
          <w:lang w:bidi="pl-PL"/>
        </w:rPr>
        <w:t>2 lutego 202</w:t>
      </w:r>
      <w:r w:rsidR="002C4DCF">
        <w:rPr>
          <w:rFonts w:ascii="Lato" w:hAnsi="Lato" w:cs="Lao UI"/>
          <w:bCs/>
          <w:spacing w:val="4"/>
          <w:lang w:bidi="pl-PL"/>
        </w:rPr>
        <w:t>4</w:t>
      </w:r>
      <w:r w:rsidRPr="007A1CB9">
        <w:rPr>
          <w:rFonts w:ascii="Lato" w:hAnsi="Lato" w:cs="Lao UI"/>
          <w:bCs/>
          <w:spacing w:val="4"/>
          <w:lang w:bidi="pl-PL"/>
        </w:rPr>
        <w:t xml:space="preserve"> r., znak: 12562-ILF-POL-P-OC-0587, </w:t>
      </w:r>
      <w:r w:rsidR="00BE0E20" w:rsidRPr="007A1CB9">
        <w:rPr>
          <w:rFonts w:ascii="Lato" w:hAnsi="Lato" w:cs="Lao UI"/>
          <w:bCs/>
          <w:spacing w:val="4"/>
          <w:lang w:bidi="pl-PL"/>
        </w:rPr>
        <w:t xml:space="preserve">wystąpił o dokonanie przez Ministra </w:t>
      </w:r>
      <w:r w:rsidR="00BE0E20" w:rsidRPr="007A1CB9">
        <w:rPr>
          <w:rFonts w:ascii="Lato" w:hAnsi="Lato" w:cs="Lao UI"/>
          <w:bCs/>
          <w:spacing w:val="4"/>
          <w:lang w:bidi="pl-PL"/>
        </w:rPr>
        <w:lastRenderedPageBreak/>
        <w:t xml:space="preserve">korekty decyzji Wojewody Opolskiego, jak i załącznika graficznego </w:t>
      </w:r>
      <w:r w:rsidRPr="007A1CB9">
        <w:rPr>
          <w:rFonts w:ascii="Lato" w:hAnsi="Lato" w:cs="Lao UI"/>
          <w:bCs/>
          <w:spacing w:val="4"/>
          <w:lang w:bidi="pl-PL"/>
        </w:rPr>
        <w:t xml:space="preserve">nr 1 </w:t>
      </w:r>
      <w:r w:rsidR="00BE0E20" w:rsidRPr="007A1CB9">
        <w:rPr>
          <w:rFonts w:ascii="Lato" w:hAnsi="Lato" w:cs="Lao UI"/>
          <w:bCs/>
          <w:spacing w:val="4"/>
          <w:lang w:bidi="pl-PL"/>
        </w:rPr>
        <w:t>do tej decyzji</w:t>
      </w:r>
      <w:r w:rsidRPr="007A1CB9">
        <w:rPr>
          <w:rFonts w:ascii="Lato" w:hAnsi="Lato" w:cs="Lao UI"/>
          <w:bCs/>
          <w:spacing w:val="4"/>
          <w:lang w:bidi="pl-PL"/>
        </w:rPr>
        <w:t xml:space="preserve"> określającego zakres inwestycji, w zakresie dotyczącym działek nr 27, nr 28, nr 29, nr 30, nr 31, nr 32, nr 24, nr 42, nr 55</w:t>
      </w:r>
      <w:r w:rsidR="009333D9" w:rsidRPr="007A1CB9">
        <w:rPr>
          <w:rFonts w:ascii="Lato" w:hAnsi="Lato" w:cs="Lao UI"/>
          <w:bCs/>
          <w:spacing w:val="4"/>
          <w:lang w:bidi="pl-PL"/>
        </w:rPr>
        <w:t xml:space="preserve">, </w:t>
      </w:r>
      <w:r w:rsidRPr="007A1CB9">
        <w:rPr>
          <w:rFonts w:ascii="Lato" w:hAnsi="Lato" w:cs="Lao UI"/>
          <w:bCs/>
          <w:spacing w:val="4"/>
          <w:lang w:bidi="pl-PL"/>
        </w:rPr>
        <w:t>z obrębu 0001 Brzeziny, gmina Skoroszyce</w:t>
      </w:r>
      <w:r w:rsidR="009333D9" w:rsidRPr="007A1CB9">
        <w:rPr>
          <w:rFonts w:ascii="Lato" w:hAnsi="Lato" w:cs="Lao UI"/>
          <w:bCs/>
          <w:spacing w:val="4"/>
          <w:lang w:bidi="pl-PL"/>
        </w:rPr>
        <w:t xml:space="preserve">. </w:t>
      </w:r>
      <w:r w:rsidR="00BE0E20" w:rsidRPr="007A1CB9">
        <w:rPr>
          <w:rFonts w:ascii="Lato" w:hAnsi="Lato" w:cs="Lao UI"/>
          <w:bCs/>
          <w:spacing w:val="4"/>
          <w:lang w:bidi="pl-PL"/>
        </w:rPr>
        <w:t xml:space="preserve">Inwestor wyjaśnił, iż wnioskowane korekty </w:t>
      </w:r>
      <w:r w:rsidR="007576F5" w:rsidRPr="007A1CB9">
        <w:rPr>
          <w:rFonts w:ascii="Lato" w:hAnsi="Lato" w:cs="Lao UI"/>
          <w:bCs/>
          <w:spacing w:val="4"/>
          <w:lang w:bidi="pl-PL"/>
        </w:rPr>
        <w:t>wynikają ze zmian granic</w:t>
      </w:r>
      <w:r w:rsidR="009500ED" w:rsidRPr="007A1CB9">
        <w:rPr>
          <w:rFonts w:ascii="Lato" w:hAnsi="Lato" w:cs="Lao UI"/>
          <w:bCs/>
          <w:spacing w:val="4"/>
          <w:lang w:bidi="pl-PL"/>
        </w:rPr>
        <w:t xml:space="preserve"> ww. działek</w:t>
      </w:r>
      <w:r w:rsidR="007576F5" w:rsidRPr="007A1CB9">
        <w:rPr>
          <w:rFonts w:ascii="Lato" w:hAnsi="Lato" w:cs="Lao UI"/>
          <w:bCs/>
          <w:spacing w:val="4"/>
          <w:lang w:bidi="pl-PL"/>
        </w:rPr>
        <w:t xml:space="preserve"> </w:t>
      </w:r>
      <w:r w:rsidR="001B35F8">
        <w:rPr>
          <w:rFonts w:ascii="Lato" w:hAnsi="Lato" w:cs="Lao UI"/>
          <w:bCs/>
          <w:spacing w:val="4"/>
          <w:lang w:bidi="pl-PL"/>
        </w:rPr>
        <w:br/>
      </w:r>
      <w:r w:rsidR="007576F5" w:rsidRPr="007A1CB9">
        <w:rPr>
          <w:rFonts w:ascii="Lato" w:hAnsi="Lato" w:cs="Lao UI"/>
          <w:bCs/>
          <w:spacing w:val="4"/>
          <w:lang w:bidi="pl-PL"/>
        </w:rPr>
        <w:t>po przeprowadzonej procedurze ustalania granic działek na etapie opracowywania map</w:t>
      </w:r>
      <w:r w:rsidR="001B35F8">
        <w:rPr>
          <w:rFonts w:ascii="Lato" w:hAnsi="Lato" w:cs="Lao UI"/>
          <w:bCs/>
          <w:spacing w:val="4"/>
          <w:lang w:bidi="pl-PL"/>
        </w:rPr>
        <w:t>y</w:t>
      </w:r>
      <w:r w:rsidR="007576F5" w:rsidRPr="007A1CB9">
        <w:rPr>
          <w:rFonts w:ascii="Lato" w:hAnsi="Lato" w:cs="Lao UI"/>
          <w:bCs/>
          <w:spacing w:val="4"/>
          <w:lang w:bidi="pl-PL"/>
        </w:rPr>
        <w:t xml:space="preserve"> do celów projektowych. W </w:t>
      </w:r>
      <w:r w:rsidR="009500ED" w:rsidRPr="007A1CB9">
        <w:rPr>
          <w:rFonts w:ascii="Lato" w:hAnsi="Lato" w:cs="Lao UI"/>
          <w:bCs/>
          <w:spacing w:val="4"/>
          <w:lang w:bidi="pl-PL"/>
        </w:rPr>
        <w:t xml:space="preserve">konsekwencji tego, jak wyjaśnił inwestor, </w:t>
      </w:r>
      <w:r w:rsidR="00246C91" w:rsidRPr="007A1CB9">
        <w:rPr>
          <w:rFonts w:ascii="Lato" w:hAnsi="Lato" w:cs="Lao UI"/>
          <w:bCs/>
          <w:spacing w:val="4"/>
          <w:lang w:bidi="pl-PL"/>
        </w:rPr>
        <w:t>zmianie uległy granice ww. działek w odniesieniu do ich granic przedstawionych na arkuszu nr 56</w:t>
      </w:r>
      <w:r w:rsidR="00246C91" w:rsidRPr="007A1CB9">
        <w:rPr>
          <w:rFonts w:ascii="Lato" w:eastAsia="Times New Roman" w:hAnsi="Lato" w:cs="Arial"/>
          <w:spacing w:val="4"/>
          <w:lang w:eastAsia="pl-PL"/>
        </w:rPr>
        <w:t xml:space="preserve"> </w:t>
      </w:r>
      <w:r w:rsidR="00246C91" w:rsidRPr="007A1CB9">
        <w:rPr>
          <w:rFonts w:ascii="Lato" w:hAnsi="Lato" w:cs="Lao UI"/>
          <w:bCs/>
          <w:spacing w:val="4"/>
          <w:lang w:bidi="pl-PL"/>
        </w:rPr>
        <w:t xml:space="preserve">mapy określającej granice terenu objętego inwestycją, stanowiącej załącznik nr 1 do decyzji Wojewody Opolskiego, </w:t>
      </w:r>
      <w:r w:rsidR="00C643C7" w:rsidRPr="007A1CB9">
        <w:rPr>
          <w:rFonts w:ascii="Lato" w:hAnsi="Lato" w:cs="Lao UI"/>
          <w:bCs/>
          <w:spacing w:val="4"/>
          <w:lang w:bidi="pl-PL"/>
        </w:rPr>
        <w:t xml:space="preserve">a </w:t>
      </w:r>
      <w:r w:rsidR="007576F5" w:rsidRPr="007A1CB9">
        <w:rPr>
          <w:rFonts w:ascii="Lato" w:hAnsi="Lato" w:cs="Lao UI"/>
          <w:bCs/>
          <w:spacing w:val="4"/>
          <w:lang w:bidi="pl-PL"/>
        </w:rPr>
        <w:t xml:space="preserve">działka nr 32 </w:t>
      </w:r>
      <w:r w:rsidR="009500ED" w:rsidRPr="007A1CB9">
        <w:rPr>
          <w:rFonts w:ascii="Lato" w:hAnsi="Lato" w:cs="Lao UI"/>
          <w:bCs/>
          <w:spacing w:val="4"/>
          <w:lang w:bidi="pl-PL"/>
        </w:rPr>
        <w:t xml:space="preserve">znajduje się </w:t>
      </w:r>
      <w:r w:rsidR="001B35F8">
        <w:rPr>
          <w:rFonts w:ascii="Lato" w:hAnsi="Lato" w:cs="Lao UI"/>
          <w:bCs/>
          <w:spacing w:val="4"/>
          <w:lang w:bidi="pl-PL"/>
        </w:rPr>
        <w:t xml:space="preserve">obecnie </w:t>
      </w:r>
      <w:r w:rsidR="00246C91" w:rsidRPr="007A1CB9">
        <w:rPr>
          <w:rFonts w:ascii="Lato" w:hAnsi="Lato" w:cs="Lao UI"/>
          <w:bCs/>
          <w:spacing w:val="4"/>
          <w:lang w:bidi="pl-PL"/>
        </w:rPr>
        <w:t xml:space="preserve">poza zakresem inwestycji ustalonej w decyzji Wojewody Opolskiego. </w:t>
      </w:r>
      <w:r w:rsidR="00BE0E20" w:rsidRPr="007A1CB9">
        <w:rPr>
          <w:rFonts w:ascii="Lato" w:hAnsi="Lato" w:cs="Lao UI"/>
          <w:bCs/>
          <w:spacing w:val="4"/>
          <w:lang w:bidi="pl-PL"/>
        </w:rPr>
        <w:t xml:space="preserve">Przy piśmie z dnia </w:t>
      </w:r>
      <w:r w:rsidR="00E200CC" w:rsidRPr="007A1CB9">
        <w:rPr>
          <w:rFonts w:ascii="Lato" w:hAnsi="Lato" w:cs="Lao UI"/>
          <w:bCs/>
          <w:spacing w:val="4"/>
          <w:lang w:bidi="pl-PL"/>
        </w:rPr>
        <w:t>4 marca 2024</w:t>
      </w:r>
      <w:r w:rsidR="00BE0E20" w:rsidRPr="007A1CB9">
        <w:rPr>
          <w:rFonts w:ascii="Lato" w:hAnsi="Lato" w:cs="Lao UI"/>
          <w:bCs/>
          <w:spacing w:val="4"/>
          <w:lang w:bidi="pl-PL"/>
        </w:rPr>
        <w:t xml:space="preserve"> r., znak: </w:t>
      </w:r>
      <w:r w:rsidR="00E200CC" w:rsidRPr="007A1CB9">
        <w:rPr>
          <w:rFonts w:ascii="Lato" w:hAnsi="Lato" w:cs="Lao UI"/>
          <w:bCs/>
          <w:spacing w:val="4"/>
          <w:lang w:bidi="pl-PL"/>
        </w:rPr>
        <w:t>12562-IFL-POL-P-OC-0594</w:t>
      </w:r>
      <w:r w:rsidR="00BE0E20" w:rsidRPr="007A1CB9">
        <w:rPr>
          <w:rFonts w:ascii="Lato" w:hAnsi="Lato" w:cs="Lao UI"/>
          <w:bCs/>
          <w:spacing w:val="4"/>
          <w:lang w:bidi="pl-PL"/>
        </w:rPr>
        <w:t xml:space="preserve">, inwestor przedłożył </w:t>
      </w:r>
      <w:r w:rsidR="00AF24E2" w:rsidRPr="007A1CB9">
        <w:rPr>
          <w:rFonts w:ascii="Lato" w:hAnsi="Lato" w:cs="Lao UI"/>
          <w:bCs/>
          <w:spacing w:val="4"/>
          <w:lang w:bidi="pl-PL"/>
        </w:rPr>
        <w:t xml:space="preserve">zamienny arkusz nr 56 mapy określającej granice terenu objętego inwestycją, </w:t>
      </w:r>
      <w:r w:rsidR="00BE0E20" w:rsidRPr="007A1CB9">
        <w:rPr>
          <w:rFonts w:ascii="Lato" w:hAnsi="Lato" w:cs="Lao UI"/>
          <w:bCs/>
          <w:spacing w:val="4"/>
          <w:lang w:bidi="pl-PL"/>
        </w:rPr>
        <w:t>jak również wskazał zakres zmian koniecznych do dokonania</w:t>
      </w:r>
      <w:r w:rsidR="00E200CC" w:rsidRPr="007A1CB9">
        <w:rPr>
          <w:rFonts w:ascii="Lato" w:hAnsi="Lato" w:cs="Lao UI"/>
          <w:bCs/>
          <w:spacing w:val="4"/>
          <w:lang w:bidi="pl-PL"/>
        </w:rPr>
        <w:t xml:space="preserve"> </w:t>
      </w:r>
      <w:r w:rsidR="00BE0E20" w:rsidRPr="007A1CB9">
        <w:rPr>
          <w:rFonts w:ascii="Lato" w:hAnsi="Lato" w:cs="Lao UI"/>
          <w:bCs/>
          <w:spacing w:val="4"/>
          <w:lang w:bidi="pl-PL"/>
        </w:rPr>
        <w:t xml:space="preserve">w </w:t>
      </w:r>
      <w:r w:rsidR="00C643C7" w:rsidRPr="007A1CB9">
        <w:rPr>
          <w:rFonts w:ascii="Lato" w:hAnsi="Lato" w:cs="Lao UI"/>
          <w:bCs/>
          <w:spacing w:val="4"/>
          <w:lang w:bidi="pl-PL"/>
        </w:rPr>
        <w:t>rozstrzygnięciu</w:t>
      </w:r>
      <w:r w:rsidR="00AF24E2" w:rsidRPr="007A1CB9">
        <w:rPr>
          <w:rFonts w:ascii="Lato" w:hAnsi="Lato" w:cs="Lao UI"/>
          <w:bCs/>
          <w:spacing w:val="4"/>
          <w:lang w:bidi="pl-PL"/>
        </w:rPr>
        <w:t xml:space="preserve"> </w:t>
      </w:r>
      <w:r w:rsidR="00BE0E20" w:rsidRPr="007A1CB9">
        <w:rPr>
          <w:rFonts w:ascii="Lato" w:hAnsi="Lato" w:cs="Lao UI"/>
          <w:bCs/>
          <w:spacing w:val="4"/>
          <w:lang w:bidi="pl-PL"/>
        </w:rPr>
        <w:t xml:space="preserve">decyzji Wojewody </w:t>
      </w:r>
      <w:r w:rsidR="00E200CC" w:rsidRPr="007A1CB9">
        <w:rPr>
          <w:rFonts w:ascii="Lato" w:hAnsi="Lato" w:cs="Lao UI"/>
          <w:bCs/>
          <w:spacing w:val="4"/>
          <w:lang w:bidi="pl-PL"/>
        </w:rPr>
        <w:t>Opolskiego</w:t>
      </w:r>
      <w:r w:rsidR="00AF24E2" w:rsidRPr="007A1CB9">
        <w:rPr>
          <w:rFonts w:ascii="Lato" w:hAnsi="Lato" w:cs="Lao UI"/>
          <w:bCs/>
          <w:spacing w:val="4"/>
          <w:lang w:bidi="pl-PL"/>
        </w:rPr>
        <w:t xml:space="preserve"> w związku </w:t>
      </w:r>
      <w:r w:rsidR="001B35F8">
        <w:rPr>
          <w:rFonts w:ascii="Lato" w:hAnsi="Lato" w:cs="Lao UI"/>
          <w:bCs/>
          <w:spacing w:val="4"/>
          <w:lang w:bidi="pl-PL"/>
        </w:rPr>
        <w:br/>
        <w:t xml:space="preserve">z koniecznością </w:t>
      </w:r>
      <w:r w:rsidR="001B35F8" w:rsidRPr="007A1CB9">
        <w:rPr>
          <w:rFonts w:ascii="Lato" w:hAnsi="Lato" w:cs="Lao UI"/>
          <w:bCs/>
          <w:spacing w:val="4"/>
          <w:lang w:bidi="pl-PL"/>
        </w:rPr>
        <w:t>wyłącz</w:t>
      </w:r>
      <w:r w:rsidR="001B35F8">
        <w:rPr>
          <w:rFonts w:ascii="Lato" w:hAnsi="Lato" w:cs="Lao UI"/>
          <w:bCs/>
          <w:spacing w:val="4"/>
          <w:lang w:bidi="pl-PL"/>
        </w:rPr>
        <w:t>e</w:t>
      </w:r>
      <w:r w:rsidR="001B35F8" w:rsidRPr="007A1CB9">
        <w:rPr>
          <w:rFonts w:ascii="Lato" w:hAnsi="Lato" w:cs="Lao UI"/>
          <w:bCs/>
          <w:spacing w:val="4"/>
          <w:lang w:bidi="pl-PL"/>
        </w:rPr>
        <w:t>ni</w:t>
      </w:r>
      <w:r w:rsidR="001B35F8">
        <w:rPr>
          <w:rFonts w:ascii="Lato" w:hAnsi="Lato" w:cs="Lao UI"/>
          <w:bCs/>
          <w:spacing w:val="4"/>
          <w:lang w:bidi="pl-PL"/>
        </w:rPr>
        <w:t>a</w:t>
      </w:r>
      <w:r w:rsidR="00AF24E2" w:rsidRPr="007A1CB9">
        <w:rPr>
          <w:rFonts w:ascii="Lato" w:hAnsi="Lato" w:cs="Lao UI"/>
          <w:bCs/>
          <w:spacing w:val="4"/>
          <w:lang w:bidi="pl-PL"/>
        </w:rPr>
        <w:t xml:space="preserve"> działki nr 32 z</w:t>
      </w:r>
      <w:r w:rsidR="001B35F8">
        <w:rPr>
          <w:rFonts w:ascii="Lato" w:hAnsi="Lato" w:cs="Lao UI"/>
          <w:bCs/>
          <w:spacing w:val="4"/>
          <w:lang w:bidi="pl-PL"/>
        </w:rPr>
        <w:t xml:space="preserve"> tej decyzji</w:t>
      </w:r>
      <w:r w:rsidR="00AF24E2" w:rsidRPr="007A1CB9">
        <w:rPr>
          <w:rFonts w:ascii="Lato" w:hAnsi="Lato" w:cs="Lao UI"/>
          <w:bCs/>
          <w:spacing w:val="4"/>
          <w:lang w:bidi="pl-PL"/>
        </w:rPr>
        <w:t>.</w:t>
      </w:r>
      <w:r w:rsidR="00C643C7" w:rsidRPr="007A1CB9">
        <w:rPr>
          <w:rFonts w:ascii="Lato" w:hAnsi="Lato" w:cs="Lao UI"/>
          <w:bCs/>
          <w:spacing w:val="4"/>
          <w:lang w:bidi="pl-PL"/>
        </w:rPr>
        <w:t xml:space="preserve"> </w:t>
      </w:r>
      <w:r w:rsidR="00BE0E20" w:rsidRPr="007A1CB9">
        <w:rPr>
          <w:rFonts w:ascii="Lato" w:hAnsi="Lato" w:cs="Lao UI"/>
          <w:bCs/>
          <w:spacing w:val="4"/>
          <w:lang w:bidi="pl-PL"/>
        </w:rPr>
        <w:t xml:space="preserve">Po zapoznaniu się z treścią </w:t>
      </w:r>
      <w:r w:rsidR="001B35F8">
        <w:rPr>
          <w:rFonts w:ascii="Lato" w:hAnsi="Lato" w:cs="Lao UI"/>
          <w:bCs/>
          <w:spacing w:val="4"/>
          <w:lang w:bidi="pl-PL"/>
        </w:rPr>
        <w:br/>
      </w:r>
      <w:r w:rsidR="00BE0E20" w:rsidRPr="007A1CB9">
        <w:rPr>
          <w:rFonts w:ascii="Lato" w:hAnsi="Lato" w:cs="Lao UI"/>
          <w:bCs/>
          <w:spacing w:val="4"/>
          <w:lang w:bidi="pl-PL"/>
        </w:rPr>
        <w:t>ww. pism</w:t>
      </w:r>
      <w:r w:rsidR="001B35F8">
        <w:rPr>
          <w:rFonts w:ascii="Lato" w:hAnsi="Lato" w:cs="Lao UI"/>
          <w:bCs/>
          <w:spacing w:val="4"/>
          <w:lang w:bidi="pl-PL"/>
        </w:rPr>
        <w:t>a</w:t>
      </w:r>
      <w:r w:rsidR="00BE0E20" w:rsidRPr="007A1CB9">
        <w:rPr>
          <w:rFonts w:ascii="Lato" w:hAnsi="Lato" w:cs="Lao UI"/>
          <w:bCs/>
          <w:spacing w:val="4"/>
          <w:lang w:bidi="pl-PL"/>
        </w:rPr>
        <w:t xml:space="preserve"> inwestora, Minister uznał racje przemawiające za koniecznością wprowadzenia korekt w decyzji Wojewody </w:t>
      </w:r>
      <w:r w:rsidR="00E200CC" w:rsidRPr="007A1CB9">
        <w:rPr>
          <w:rFonts w:ascii="Lato" w:hAnsi="Lato" w:cs="Lao UI"/>
          <w:bCs/>
          <w:spacing w:val="4"/>
          <w:lang w:bidi="pl-PL"/>
        </w:rPr>
        <w:t>Opolskiego</w:t>
      </w:r>
      <w:r w:rsidR="00BE0E20" w:rsidRPr="007A1CB9">
        <w:rPr>
          <w:rFonts w:ascii="Lato" w:hAnsi="Lato" w:cs="Lao UI"/>
          <w:bCs/>
          <w:spacing w:val="4"/>
          <w:lang w:bidi="pl-PL"/>
        </w:rPr>
        <w:t xml:space="preserve"> i w załącznik</w:t>
      </w:r>
      <w:r w:rsidR="00AF24E2" w:rsidRPr="007A1CB9">
        <w:rPr>
          <w:rFonts w:ascii="Lato" w:hAnsi="Lato" w:cs="Lao UI"/>
          <w:bCs/>
          <w:spacing w:val="4"/>
          <w:lang w:bidi="pl-PL"/>
        </w:rPr>
        <w:t>u</w:t>
      </w:r>
      <w:r w:rsidR="00BE0E20" w:rsidRPr="007A1CB9">
        <w:rPr>
          <w:rFonts w:ascii="Lato" w:hAnsi="Lato" w:cs="Lao UI"/>
          <w:bCs/>
          <w:spacing w:val="4"/>
          <w:lang w:bidi="pl-PL"/>
        </w:rPr>
        <w:t xml:space="preserve"> graficzny</w:t>
      </w:r>
      <w:r w:rsidR="00AF24E2" w:rsidRPr="007A1CB9">
        <w:rPr>
          <w:rFonts w:ascii="Lato" w:hAnsi="Lato" w:cs="Lao UI"/>
          <w:bCs/>
          <w:spacing w:val="4"/>
          <w:lang w:bidi="pl-PL"/>
        </w:rPr>
        <w:t>m</w:t>
      </w:r>
      <w:r w:rsidR="00BE0E20" w:rsidRPr="007A1CB9">
        <w:rPr>
          <w:rFonts w:ascii="Lato" w:hAnsi="Lato" w:cs="Lao UI"/>
          <w:bCs/>
          <w:spacing w:val="4"/>
          <w:lang w:bidi="pl-PL"/>
        </w:rPr>
        <w:t xml:space="preserve"> do tej decyzji wnioskowanych przez inwestora, co znalazło swój wyraz w zmianach </w:t>
      </w:r>
      <w:r w:rsidR="001B35F8">
        <w:rPr>
          <w:rFonts w:ascii="Lato" w:hAnsi="Lato" w:cs="Lao UI"/>
          <w:bCs/>
          <w:spacing w:val="4"/>
          <w:lang w:bidi="pl-PL"/>
        </w:rPr>
        <w:br/>
      </w:r>
      <w:r w:rsidR="00BE0E20" w:rsidRPr="007A1CB9">
        <w:rPr>
          <w:rFonts w:ascii="Lato" w:hAnsi="Lato" w:cs="Lao UI"/>
          <w:bCs/>
          <w:spacing w:val="4"/>
          <w:lang w:bidi="pl-PL"/>
        </w:rPr>
        <w:t>w zaskarżonej dokonanych przez Ministra w pkt I niniejszej decyzj</w:t>
      </w:r>
      <w:r w:rsidR="00C643C7" w:rsidRPr="007A1CB9">
        <w:rPr>
          <w:rFonts w:ascii="Lato" w:hAnsi="Lato" w:cs="Lao UI"/>
          <w:bCs/>
          <w:spacing w:val="4"/>
          <w:lang w:bidi="pl-PL"/>
        </w:rPr>
        <w:t>i.</w:t>
      </w:r>
      <w:r w:rsidR="00C643C7">
        <w:rPr>
          <w:rFonts w:ascii="Lato" w:hAnsi="Lato" w:cs="Lao UI"/>
          <w:bCs/>
          <w:spacing w:val="4"/>
          <w:lang w:bidi="pl-PL"/>
        </w:rPr>
        <w:t xml:space="preserve"> </w:t>
      </w:r>
    </w:p>
    <w:p w14:paraId="265B4EF2" w14:textId="1C499E94" w:rsidR="00C643C7" w:rsidRPr="00C260A9" w:rsidRDefault="00BE0E20" w:rsidP="007C3A26">
      <w:pPr>
        <w:spacing w:after="240" w:line="240" w:lineRule="exact"/>
        <w:jc w:val="both"/>
        <w:outlineLvl w:val="0"/>
        <w:rPr>
          <w:rFonts w:ascii="Lato" w:hAnsi="Lato" w:cs="Lao UI"/>
          <w:bCs/>
          <w:iCs/>
          <w:spacing w:val="4"/>
          <w:lang w:bidi="pl-PL"/>
        </w:rPr>
      </w:pPr>
      <w:r w:rsidRPr="000F07A9">
        <w:rPr>
          <w:rFonts w:ascii="Lato" w:hAnsi="Lato" w:cs="Lao UI"/>
          <w:bCs/>
          <w:spacing w:val="4"/>
          <w:lang w:bidi="pl-PL"/>
        </w:rPr>
        <w:t xml:space="preserve">Organ odwoławczy dokonując rozstrzygnięć, o których mowa w pkt I przedmiotowej decyzji, uznał, że nie naruszają one zasady dwuinstancyjności postępowania, o której mowa w art. 15 kpa. </w:t>
      </w:r>
      <w:r w:rsidR="00C643C7" w:rsidRPr="00C643C7">
        <w:rPr>
          <w:rFonts w:ascii="Lato" w:hAnsi="Lato" w:cs="Lao UI"/>
          <w:bCs/>
          <w:iCs/>
          <w:spacing w:val="4"/>
          <w:lang w:bidi="pl-PL"/>
        </w:rPr>
        <w:t xml:space="preserve">Badając zgodność z prawem pozostałej części zaskarżonej decyzji, organ odwoławczy stwierdził, że czyni ona zadość wymogom </w:t>
      </w:r>
      <w:r w:rsidR="00C643C7">
        <w:rPr>
          <w:rFonts w:ascii="Lato" w:hAnsi="Lato" w:cs="Lao UI"/>
          <w:bCs/>
          <w:iCs/>
          <w:spacing w:val="4"/>
          <w:lang w:bidi="pl-PL"/>
        </w:rPr>
        <w:t xml:space="preserve">specustawy gazowej </w:t>
      </w:r>
      <w:r w:rsidR="00C643C7">
        <w:rPr>
          <w:rFonts w:ascii="Lato" w:hAnsi="Lato" w:cs="Lao UI"/>
          <w:bCs/>
          <w:iCs/>
          <w:spacing w:val="4"/>
          <w:lang w:bidi="pl-PL"/>
        </w:rPr>
        <w:br/>
      </w:r>
      <w:r w:rsidR="00C643C7" w:rsidRPr="00C643C7">
        <w:rPr>
          <w:rFonts w:ascii="Lato" w:hAnsi="Lato" w:cs="Lao UI"/>
          <w:bCs/>
          <w:iCs/>
          <w:spacing w:val="4"/>
          <w:lang w:bidi="pl-PL"/>
        </w:rPr>
        <w:t xml:space="preserve">i dlatego – w pkt II niniejszej decyzji – w pozostałej części zaskarżona decyzja Wojewody </w:t>
      </w:r>
      <w:r w:rsidR="00C643C7">
        <w:rPr>
          <w:rFonts w:ascii="Lato" w:hAnsi="Lato" w:cs="Lao UI"/>
          <w:bCs/>
          <w:iCs/>
          <w:spacing w:val="4"/>
          <w:lang w:bidi="pl-PL"/>
        </w:rPr>
        <w:t xml:space="preserve">Opolskiego </w:t>
      </w:r>
      <w:r w:rsidR="00C643C7" w:rsidRPr="00C643C7">
        <w:rPr>
          <w:rFonts w:ascii="Lato" w:hAnsi="Lato" w:cs="Lao UI"/>
          <w:bCs/>
          <w:iCs/>
          <w:spacing w:val="4"/>
          <w:lang w:bidi="pl-PL"/>
        </w:rPr>
        <w:t>została utrzymana w mocy.</w:t>
      </w:r>
      <w:bookmarkEnd w:id="14"/>
      <w:r w:rsidR="007A1CB9">
        <w:rPr>
          <w:rFonts w:ascii="Lato" w:hAnsi="Lato" w:cs="Lao UI"/>
          <w:bCs/>
          <w:iCs/>
          <w:spacing w:val="4"/>
          <w:lang w:bidi="pl-PL"/>
        </w:rPr>
        <w:t xml:space="preserve"> </w:t>
      </w:r>
      <w:r w:rsidR="00C643C7" w:rsidRPr="001839A3">
        <w:rPr>
          <w:rFonts w:ascii="Lato" w:eastAsia="Times New Roman" w:hAnsi="Lato" w:cs="Arial"/>
          <w:bCs/>
          <w:iCs/>
          <w:spacing w:val="4"/>
          <w:lang w:eastAsia="pl-PL" w:bidi="pl-PL"/>
        </w:rPr>
        <w:t xml:space="preserve">Istota zasady dwuinstancyjności postępowania polega bowiem na dwukrotnym rozpatrzeniu i rozstrzygnięciu sprawy przez organy obu instancji. Właściwe zachowanie zasady dwuinstancyjności postępowania wymaga nie tylko podjęcia dwóch kolejnych rozstrzygnięć przez dwa właściwe w sprawie organy, ale konieczne jest, aby rozstrzygnięcia te zapadły w wyniku przeprowadzenia przez każdy </w:t>
      </w:r>
      <w:r w:rsidR="007A1CB9">
        <w:rPr>
          <w:rFonts w:ascii="Lato" w:eastAsia="Times New Roman" w:hAnsi="Lato" w:cs="Arial"/>
          <w:bCs/>
          <w:iCs/>
          <w:spacing w:val="4"/>
          <w:lang w:eastAsia="pl-PL" w:bidi="pl-PL"/>
        </w:rPr>
        <w:br/>
      </w:r>
      <w:r w:rsidR="00C643C7" w:rsidRPr="001839A3">
        <w:rPr>
          <w:rFonts w:ascii="Lato" w:eastAsia="Times New Roman" w:hAnsi="Lato" w:cs="Arial"/>
          <w:bCs/>
          <w:iCs/>
          <w:spacing w:val="4"/>
          <w:lang w:eastAsia="pl-PL" w:bidi="pl-PL"/>
        </w:rPr>
        <w:t xml:space="preserve">z tych organów postępowania merytorycznego tak, aby dwukrotnie oceniono dowody </w:t>
      </w:r>
      <w:r w:rsidR="007A1CB9">
        <w:rPr>
          <w:rFonts w:ascii="Lato" w:eastAsia="Times New Roman" w:hAnsi="Lato" w:cs="Arial"/>
          <w:bCs/>
          <w:iCs/>
          <w:spacing w:val="4"/>
          <w:lang w:eastAsia="pl-PL" w:bidi="pl-PL"/>
        </w:rPr>
        <w:br/>
      </w:r>
      <w:r w:rsidR="00C643C7" w:rsidRPr="001839A3">
        <w:rPr>
          <w:rFonts w:ascii="Lato" w:eastAsia="Times New Roman" w:hAnsi="Lato" w:cs="Arial"/>
          <w:bCs/>
          <w:iCs/>
          <w:spacing w:val="4"/>
          <w:lang w:eastAsia="pl-PL" w:bidi="pl-PL"/>
        </w:rPr>
        <w:t>i przeanalizowano wszystkie istotne okoliczności sprawy. W ogólnym postępowaniu administracyjnym rolą organu odwoławczego, w następstwie wniesionego przez stronę odwołania, jest więc ponowne rozpatrzenie i rozstrzygnięcie sprawy już rozstrzygniętą decyzją organu pierwszej instancji. Oznacza to, że organ odwoławczy zobowiązany jest rozpoznać sprawę merytorycznie w jej całokształcie i dodatkowo odnieść się do zarzutów strony wyartykułowanych w odwołaniu. Działanie organu odwoławczego nie ma charakteru jedynie kontrolnego, ale jest działaniem merytorycznym. Ponadto, jak to wyjaśniano uprzednio, organ odwoławczy jest obowiązany uwzględniać zmiany stanu prawnego i faktycznego sprawy zaistniałe po wydaniu zaskarżonej decyzji organu pierwszej instancji.</w:t>
      </w:r>
    </w:p>
    <w:p w14:paraId="1AA3FECD" w14:textId="284991E6" w:rsidR="002A60EC" w:rsidRPr="00C260A9" w:rsidRDefault="00C643C7" w:rsidP="007C3A26">
      <w:pPr>
        <w:spacing w:after="240" w:line="240" w:lineRule="exact"/>
        <w:jc w:val="both"/>
        <w:outlineLvl w:val="0"/>
        <w:rPr>
          <w:rFonts w:ascii="Lato" w:eastAsia="Times New Roman" w:hAnsi="Lato" w:cs="Arial"/>
          <w:bCs/>
          <w:iCs/>
          <w:spacing w:val="4"/>
          <w:lang w:eastAsia="pl-PL" w:bidi="pl-PL"/>
        </w:rPr>
      </w:pPr>
      <w:r w:rsidRPr="001839A3">
        <w:rPr>
          <w:rFonts w:ascii="Lato" w:eastAsia="Times New Roman" w:hAnsi="Lato" w:cs="Arial"/>
          <w:bCs/>
          <w:iCs/>
          <w:spacing w:val="4"/>
          <w:lang w:eastAsia="pl-PL" w:bidi="pl-PL"/>
        </w:rPr>
        <w:t>Konieczność przeprowadzenia dowodu, uzupełnienia w dopełniającym zakresie postępowania lub uzupełnienia/korekty rozstrzygnięcia mieści się w kompetencjach organu odwoławczego do uzupełnienia postępowania wyjaśniającego w granicach art. 136 § 1 kpa</w:t>
      </w:r>
      <w:r>
        <w:rPr>
          <w:rFonts w:ascii="Lato" w:eastAsia="Times New Roman" w:hAnsi="Lato" w:cs="Arial"/>
          <w:bCs/>
          <w:iCs/>
          <w:spacing w:val="4"/>
          <w:lang w:eastAsia="pl-PL" w:bidi="pl-PL"/>
        </w:rPr>
        <w:t xml:space="preserve">. </w:t>
      </w:r>
      <w:r w:rsidRPr="001839A3">
        <w:rPr>
          <w:rFonts w:ascii="Lato" w:eastAsia="Times New Roman" w:hAnsi="Lato" w:cs="Arial"/>
          <w:bCs/>
          <w:iCs/>
          <w:spacing w:val="4"/>
          <w:lang w:eastAsia="pl-PL" w:bidi="pl-PL"/>
        </w:rPr>
        <w:t xml:space="preserve">Reformatoryjne rozstrzygnięcie uwidocznione w osnowie niniejszej decyzji nie zmieniało ani rodzaju inwestycji, ani zakresu przedmiotowego rozstrzygnięcia zawartego w decyzji organu pierwszej instancji. Charakter dokonanych przez organ odwoławczy zmian nie prowadzi do stwierdzenia, że na etapie postępowania odwoławczego przedmiotem postępowania była lokalizacja innej inwestycji aniżeli ta, która stanowiła przedmiot wypowiedzi organu pierwszej instancji. Postępowanie prowadzone w niniejszej sprawie przez organy obu instancji było tożsame pod względem podmiotowym oraz przedmiotowym i dotyczyło wniosku tego samego inwestora, którego zakres nie podlegał samodzielnej modyfikacji przez organ odwoławczy na etapie postępowania wyjaśniającego. Przepisy kpa w istotnym stopniu preferują merytoryczne </w:t>
      </w:r>
      <w:r w:rsidRPr="001839A3">
        <w:rPr>
          <w:rFonts w:ascii="Lato" w:eastAsia="Times New Roman" w:hAnsi="Lato" w:cs="Arial"/>
          <w:bCs/>
          <w:iCs/>
          <w:spacing w:val="4"/>
          <w:lang w:eastAsia="pl-PL" w:bidi="pl-PL"/>
        </w:rPr>
        <w:lastRenderedPageBreak/>
        <w:t xml:space="preserve">zakończenie sprawy na etapie odwoławczym, dążąc do tego, aby organ drugiej instancji rozstrzygnął sprawę co do istoty (zasada </w:t>
      </w:r>
      <w:proofErr w:type="spellStart"/>
      <w:r w:rsidRPr="001839A3">
        <w:rPr>
          <w:rFonts w:ascii="Lato" w:eastAsia="Times New Roman" w:hAnsi="Lato" w:cs="Arial"/>
          <w:bCs/>
          <w:iCs/>
          <w:spacing w:val="4"/>
          <w:lang w:eastAsia="pl-PL" w:bidi="pl-PL"/>
        </w:rPr>
        <w:t>reformatoryjności</w:t>
      </w:r>
      <w:proofErr w:type="spellEnd"/>
      <w:r w:rsidRPr="001839A3">
        <w:rPr>
          <w:rFonts w:ascii="Lato" w:eastAsia="Times New Roman" w:hAnsi="Lato" w:cs="Arial"/>
          <w:bCs/>
          <w:iCs/>
          <w:spacing w:val="4"/>
          <w:lang w:eastAsia="pl-PL" w:bidi="pl-PL"/>
        </w:rPr>
        <w:t xml:space="preserve">) (por. wyroki Naczelnego Sądu Administracyjnego z dnia 14 stycznia 2025 r., sygn. akt II OSK 2665/24, z dnia </w:t>
      </w:r>
      <w:r w:rsidR="001B35F8">
        <w:rPr>
          <w:rFonts w:ascii="Lato" w:eastAsia="Times New Roman" w:hAnsi="Lato" w:cs="Arial"/>
          <w:bCs/>
          <w:iCs/>
          <w:spacing w:val="4"/>
          <w:lang w:eastAsia="pl-PL" w:bidi="pl-PL"/>
        </w:rPr>
        <w:br/>
      </w:r>
      <w:r w:rsidRPr="001839A3">
        <w:rPr>
          <w:rFonts w:ascii="Lato" w:eastAsia="Times New Roman" w:hAnsi="Lato" w:cs="Arial"/>
          <w:bCs/>
          <w:iCs/>
          <w:spacing w:val="4"/>
          <w:lang w:eastAsia="pl-PL" w:bidi="pl-PL"/>
        </w:rPr>
        <w:t xml:space="preserve">16 września 2025 r., sygn. akt III OSK 2282/22, z dnia 5 marca 2024 r., sygn. akt II OSK 1896/23, z dnia 14 maja 2021 r., sygn. akt II OSK 383/21, z dnia 5 lutego 2020 r., sygn. akt II OSK 3586/19, z dnia 12 lipca 2013 r., sygn. akt II OSK 1231/13, z dnia 8 listopada 2023 r., sygn. akt II OSK 1371/23, wyroki Wojewódzkiego Sądu Administracyjnego </w:t>
      </w:r>
      <w:r w:rsidR="001B35F8">
        <w:rPr>
          <w:rFonts w:ascii="Lato" w:eastAsia="Times New Roman" w:hAnsi="Lato" w:cs="Arial"/>
          <w:bCs/>
          <w:iCs/>
          <w:spacing w:val="4"/>
          <w:lang w:eastAsia="pl-PL" w:bidi="pl-PL"/>
        </w:rPr>
        <w:br/>
      </w:r>
      <w:r w:rsidRPr="001839A3">
        <w:rPr>
          <w:rFonts w:ascii="Lato" w:eastAsia="Times New Roman" w:hAnsi="Lato" w:cs="Arial"/>
          <w:bCs/>
          <w:iCs/>
          <w:spacing w:val="4"/>
          <w:lang w:eastAsia="pl-PL" w:bidi="pl-PL"/>
        </w:rPr>
        <w:t>w Warszawie z dnia 26 marca 2024 r., sygn. akt VII SA/</w:t>
      </w:r>
      <w:proofErr w:type="spellStart"/>
      <w:r w:rsidRPr="001839A3">
        <w:rPr>
          <w:rFonts w:ascii="Lato" w:eastAsia="Times New Roman" w:hAnsi="Lato" w:cs="Arial"/>
          <w:bCs/>
          <w:iCs/>
          <w:spacing w:val="4"/>
          <w:lang w:eastAsia="pl-PL" w:bidi="pl-PL"/>
        </w:rPr>
        <w:t>Wa</w:t>
      </w:r>
      <w:proofErr w:type="spellEnd"/>
      <w:r w:rsidRPr="001839A3">
        <w:rPr>
          <w:rFonts w:ascii="Lato" w:eastAsia="Times New Roman" w:hAnsi="Lato" w:cs="Arial"/>
          <w:bCs/>
          <w:iCs/>
          <w:spacing w:val="4"/>
          <w:lang w:eastAsia="pl-PL" w:bidi="pl-PL"/>
        </w:rPr>
        <w:t xml:space="preserve"> 27/23, z dnia 9 maja 2023 r., sygn. akt VII SA/</w:t>
      </w:r>
      <w:proofErr w:type="spellStart"/>
      <w:r w:rsidRPr="001839A3">
        <w:rPr>
          <w:rFonts w:ascii="Lato" w:eastAsia="Times New Roman" w:hAnsi="Lato" w:cs="Arial"/>
          <w:bCs/>
          <w:iCs/>
          <w:spacing w:val="4"/>
          <w:lang w:eastAsia="pl-PL" w:bidi="pl-PL"/>
        </w:rPr>
        <w:t>Wa</w:t>
      </w:r>
      <w:proofErr w:type="spellEnd"/>
      <w:r w:rsidRPr="001839A3">
        <w:rPr>
          <w:rFonts w:ascii="Lato" w:eastAsia="Times New Roman" w:hAnsi="Lato" w:cs="Arial"/>
          <w:bCs/>
          <w:iCs/>
          <w:spacing w:val="4"/>
          <w:lang w:eastAsia="pl-PL" w:bidi="pl-PL"/>
        </w:rPr>
        <w:t xml:space="preserve"> 2679/22, z dnia 5 kwietnia 2019 r., sygn. akt VII SA/</w:t>
      </w:r>
      <w:proofErr w:type="spellStart"/>
      <w:r w:rsidRPr="001839A3">
        <w:rPr>
          <w:rFonts w:ascii="Lato" w:eastAsia="Times New Roman" w:hAnsi="Lato" w:cs="Arial"/>
          <w:bCs/>
          <w:iCs/>
          <w:spacing w:val="4"/>
          <w:lang w:eastAsia="pl-PL" w:bidi="pl-PL"/>
        </w:rPr>
        <w:t>Wa</w:t>
      </w:r>
      <w:proofErr w:type="spellEnd"/>
      <w:r w:rsidRPr="001839A3">
        <w:rPr>
          <w:rFonts w:ascii="Lato" w:eastAsia="Times New Roman" w:hAnsi="Lato" w:cs="Arial"/>
          <w:bCs/>
          <w:iCs/>
          <w:spacing w:val="4"/>
          <w:lang w:eastAsia="pl-PL" w:bidi="pl-PL"/>
        </w:rPr>
        <w:t xml:space="preserve"> 301/19, </w:t>
      </w:r>
      <w:r w:rsidR="001B35F8">
        <w:rPr>
          <w:rFonts w:ascii="Lato" w:eastAsia="Times New Roman" w:hAnsi="Lato" w:cs="Arial"/>
          <w:bCs/>
          <w:iCs/>
          <w:spacing w:val="4"/>
          <w:lang w:eastAsia="pl-PL" w:bidi="pl-PL"/>
        </w:rPr>
        <w:br/>
      </w:r>
      <w:r w:rsidRPr="001839A3">
        <w:rPr>
          <w:rFonts w:ascii="Lato" w:eastAsia="Times New Roman" w:hAnsi="Lato" w:cs="Arial"/>
          <w:bCs/>
          <w:iCs/>
          <w:spacing w:val="4"/>
          <w:lang w:eastAsia="pl-PL" w:bidi="pl-PL"/>
        </w:rPr>
        <w:t>z dnia 25 kwietnia 2017 r., sygn. akt VII SA/</w:t>
      </w:r>
      <w:proofErr w:type="spellStart"/>
      <w:r w:rsidRPr="001839A3">
        <w:rPr>
          <w:rFonts w:ascii="Lato" w:eastAsia="Times New Roman" w:hAnsi="Lato" w:cs="Arial"/>
          <w:bCs/>
          <w:iCs/>
          <w:spacing w:val="4"/>
          <w:lang w:eastAsia="pl-PL" w:bidi="pl-PL"/>
        </w:rPr>
        <w:t>Wa</w:t>
      </w:r>
      <w:proofErr w:type="spellEnd"/>
      <w:r w:rsidRPr="001839A3">
        <w:rPr>
          <w:rFonts w:ascii="Lato" w:eastAsia="Times New Roman" w:hAnsi="Lato" w:cs="Arial"/>
          <w:bCs/>
          <w:iCs/>
          <w:spacing w:val="4"/>
          <w:lang w:eastAsia="pl-PL" w:bidi="pl-PL"/>
        </w:rPr>
        <w:t xml:space="preserve"> 39/17, z dnia 5 lipca 2016 r., sygn. akt VII SA/</w:t>
      </w:r>
      <w:proofErr w:type="spellStart"/>
      <w:r w:rsidRPr="001839A3">
        <w:rPr>
          <w:rFonts w:ascii="Lato" w:eastAsia="Times New Roman" w:hAnsi="Lato" w:cs="Arial"/>
          <w:bCs/>
          <w:iCs/>
          <w:spacing w:val="4"/>
          <w:lang w:eastAsia="pl-PL" w:bidi="pl-PL"/>
        </w:rPr>
        <w:t>Wa</w:t>
      </w:r>
      <w:proofErr w:type="spellEnd"/>
      <w:r w:rsidRPr="001839A3">
        <w:rPr>
          <w:rFonts w:ascii="Lato" w:eastAsia="Times New Roman" w:hAnsi="Lato" w:cs="Arial"/>
          <w:bCs/>
          <w:iCs/>
          <w:spacing w:val="4"/>
          <w:lang w:eastAsia="pl-PL" w:bidi="pl-PL"/>
        </w:rPr>
        <w:t xml:space="preserve"> 916/16, </w:t>
      </w:r>
      <w:proofErr w:type="spellStart"/>
      <w:r w:rsidRPr="001839A3">
        <w:rPr>
          <w:rFonts w:ascii="Lato" w:eastAsia="Times New Roman" w:hAnsi="Lato" w:cs="Arial"/>
          <w:bCs/>
          <w:iCs/>
          <w:spacing w:val="4"/>
          <w:lang w:eastAsia="pl-PL" w:bidi="pl-PL"/>
        </w:rPr>
        <w:t>opubl</w:t>
      </w:r>
      <w:proofErr w:type="spellEnd"/>
      <w:r w:rsidRPr="001839A3">
        <w:rPr>
          <w:rFonts w:ascii="Lato" w:eastAsia="Times New Roman" w:hAnsi="Lato" w:cs="Arial"/>
          <w:bCs/>
          <w:iCs/>
          <w:spacing w:val="4"/>
          <w:lang w:eastAsia="pl-PL" w:bidi="pl-PL"/>
        </w:rPr>
        <w:t xml:space="preserve">. Centralna Baza Orzeczeń Sądów Administracyjnych). </w:t>
      </w:r>
    </w:p>
    <w:p w14:paraId="1ACA923F" w14:textId="12DE5027" w:rsidR="00244C2E" w:rsidRPr="000F07A9" w:rsidRDefault="00234943" w:rsidP="007C3A26">
      <w:pPr>
        <w:spacing w:after="240" w:line="240" w:lineRule="exact"/>
        <w:jc w:val="both"/>
        <w:outlineLvl w:val="0"/>
        <w:rPr>
          <w:rFonts w:ascii="Lato" w:hAnsi="Lato" w:cs="Lato"/>
          <w:bCs/>
          <w:spacing w:val="4"/>
        </w:rPr>
      </w:pPr>
      <w:r w:rsidRPr="000F07A9">
        <w:rPr>
          <w:rFonts w:ascii="Lato" w:eastAsia="Times New Roman" w:hAnsi="Lato" w:cs="Arial"/>
          <w:bCs/>
          <w:spacing w:val="4"/>
          <w:lang w:eastAsia="zh-CN"/>
        </w:rPr>
        <w:t>Rozpatrując odwołani</w:t>
      </w:r>
      <w:r w:rsidR="002A3E16" w:rsidRPr="000F07A9">
        <w:rPr>
          <w:rFonts w:ascii="Lato" w:eastAsia="Times New Roman" w:hAnsi="Lato" w:cs="Arial"/>
          <w:bCs/>
          <w:spacing w:val="4"/>
          <w:lang w:eastAsia="zh-CN"/>
        </w:rPr>
        <w:t>e</w:t>
      </w:r>
      <w:r w:rsidRPr="000F07A9">
        <w:rPr>
          <w:rFonts w:ascii="Lato" w:hAnsi="Lato" w:cs="Arial"/>
          <w:spacing w:val="4"/>
        </w:rPr>
        <w:t xml:space="preserve"> </w:t>
      </w:r>
      <w:r w:rsidRPr="000F07A9">
        <w:rPr>
          <w:rFonts w:ascii="Lato" w:eastAsia="Times New Roman" w:hAnsi="Lato" w:cs="Arial"/>
          <w:bCs/>
          <w:spacing w:val="4"/>
          <w:lang w:eastAsia="zh-CN"/>
        </w:rPr>
        <w:t xml:space="preserve">Pana </w:t>
      </w:r>
      <w:r w:rsidR="00423BF9">
        <w:rPr>
          <w:rFonts w:ascii="Lato" w:hAnsi="Lato" w:cs="Arial"/>
          <w:spacing w:val="4"/>
        </w:rPr>
        <w:t>P. L.</w:t>
      </w:r>
      <w:r w:rsidR="00244C2E" w:rsidRPr="000F07A9">
        <w:rPr>
          <w:rFonts w:ascii="Lato" w:hAnsi="Lato" w:cs="Lato"/>
          <w:bCs/>
          <w:spacing w:val="4"/>
        </w:rPr>
        <w:t xml:space="preserve">, Minister stwierdził, co następuje. </w:t>
      </w:r>
    </w:p>
    <w:p w14:paraId="61BC65F7" w14:textId="17E26CF2" w:rsidR="007A1CB9" w:rsidRDefault="00075F4E" w:rsidP="007C3A26">
      <w:pPr>
        <w:spacing w:after="240" w:line="240" w:lineRule="exact"/>
        <w:jc w:val="both"/>
        <w:rPr>
          <w:rFonts w:ascii="Lato" w:hAnsi="Lato" w:cs="Arial"/>
          <w:bCs/>
          <w:spacing w:val="4"/>
        </w:rPr>
      </w:pPr>
      <w:r w:rsidRPr="007A1CB9">
        <w:rPr>
          <w:rFonts w:ascii="Lato" w:hAnsi="Lato" w:cs="Arial"/>
          <w:bCs/>
          <w:spacing w:val="4"/>
        </w:rPr>
        <w:t>Na uwzględnienie nie zasługuj</w:t>
      </w:r>
      <w:r w:rsidR="00E65A92">
        <w:rPr>
          <w:rFonts w:ascii="Lato" w:hAnsi="Lato" w:cs="Arial"/>
          <w:bCs/>
          <w:spacing w:val="4"/>
        </w:rPr>
        <w:t>e</w:t>
      </w:r>
      <w:r w:rsidRPr="007A1CB9">
        <w:rPr>
          <w:rFonts w:ascii="Lato" w:hAnsi="Lato" w:cs="Arial"/>
          <w:bCs/>
          <w:spacing w:val="4"/>
        </w:rPr>
        <w:t xml:space="preserve"> zarzut </w:t>
      </w:r>
      <w:r w:rsidR="007A1CB9" w:rsidRPr="007A1CB9">
        <w:rPr>
          <w:rFonts w:ascii="Lato" w:hAnsi="Lato" w:cs="Arial"/>
          <w:bCs/>
          <w:spacing w:val="4"/>
        </w:rPr>
        <w:t>dotycząc</w:t>
      </w:r>
      <w:r w:rsidR="00E65A92">
        <w:rPr>
          <w:rFonts w:ascii="Lato" w:hAnsi="Lato" w:cs="Arial"/>
          <w:bCs/>
          <w:spacing w:val="4"/>
        </w:rPr>
        <w:t>y</w:t>
      </w:r>
      <w:r w:rsidR="007A1CB9" w:rsidRPr="007A1CB9">
        <w:rPr>
          <w:rFonts w:ascii="Lato" w:hAnsi="Lato" w:cs="Arial"/>
          <w:bCs/>
          <w:spacing w:val="4"/>
        </w:rPr>
        <w:t xml:space="preserve"> naruszenia </w:t>
      </w:r>
      <w:r w:rsidR="007A1CB9" w:rsidRPr="00C260A9">
        <w:rPr>
          <w:rFonts w:ascii="Lato" w:hAnsi="Lato" w:cs="Arial"/>
          <w:bCs/>
          <w:spacing w:val="4"/>
        </w:rPr>
        <w:t xml:space="preserve">art. 31 ust. 3 w zw. z art. 64 ust. 3 Konstytucji RP i w zw. z art. 140 </w:t>
      </w:r>
      <w:r w:rsidR="00E65A92" w:rsidRPr="00E65A92">
        <w:rPr>
          <w:rFonts w:ascii="Lato" w:hAnsi="Lato" w:cs="Arial"/>
          <w:bCs/>
          <w:spacing w:val="4"/>
          <w:lang w:bidi="pl-PL"/>
        </w:rPr>
        <w:t>ustawy z dnia 23 kwietnia 1964 r. – Kodeks cywilny (t.j. Dz.U. z 2026 r. poz. 795),</w:t>
      </w:r>
      <w:r w:rsidR="00E65A92">
        <w:rPr>
          <w:rFonts w:ascii="Lato" w:hAnsi="Lato" w:cs="Arial"/>
          <w:bCs/>
          <w:spacing w:val="4"/>
          <w:lang w:bidi="pl-PL"/>
        </w:rPr>
        <w:t xml:space="preserve"> zwanej dalej „kodeksem cywilnym” </w:t>
      </w:r>
      <w:r w:rsidR="007A1CB9" w:rsidRPr="007A1CB9">
        <w:rPr>
          <w:rFonts w:ascii="Lato" w:hAnsi="Lato" w:cs="Arial"/>
          <w:bCs/>
          <w:spacing w:val="4"/>
        </w:rPr>
        <w:t xml:space="preserve">poprzez naruszenie zasady proporcjonalności i ustalenie przebiegu gazociągu w sposób najbardziej uciążliwy dla skarżącego, pomimo możliwości ustalenia jego przebiegu </w:t>
      </w:r>
      <w:r w:rsidR="00E65A92">
        <w:rPr>
          <w:rFonts w:ascii="Lato" w:hAnsi="Lato" w:cs="Arial"/>
          <w:bCs/>
          <w:spacing w:val="4"/>
        </w:rPr>
        <w:br/>
      </w:r>
      <w:r w:rsidR="007A1CB9" w:rsidRPr="007A1CB9">
        <w:rPr>
          <w:rFonts w:ascii="Lato" w:hAnsi="Lato" w:cs="Arial"/>
          <w:bCs/>
          <w:spacing w:val="4"/>
        </w:rPr>
        <w:t>w sposób, który nie powodowałby dla skarżącego szkody oraz nie naruszałby jego prawa własności.</w:t>
      </w:r>
    </w:p>
    <w:p w14:paraId="2530BE66" w14:textId="388BAD7D" w:rsidR="0012144A" w:rsidRPr="0012144A" w:rsidRDefault="00B53AF4" w:rsidP="007C3A26">
      <w:pPr>
        <w:tabs>
          <w:tab w:val="left" w:pos="2977"/>
        </w:tabs>
        <w:spacing w:after="240" w:line="240" w:lineRule="exact"/>
        <w:jc w:val="both"/>
        <w:outlineLvl w:val="0"/>
        <w:rPr>
          <w:rFonts w:ascii="Lato" w:hAnsi="Lato" w:cs="Arial"/>
          <w:bCs/>
          <w:spacing w:val="4"/>
        </w:rPr>
      </w:pPr>
      <w:r w:rsidRPr="000F07A9">
        <w:rPr>
          <w:rFonts w:ascii="Lato" w:hAnsi="Lato" w:cs="Arial"/>
          <w:bCs/>
          <w:spacing w:val="4"/>
          <w:lang w:bidi="pl-PL"/>
        </w:rPr>
        <w:t xml:space="preserve">W pierwszej kolejności należy wyjaśnić charakterystykę decyzji lokalizacyjnej wydawanej na podstawie specustawy gazowej. Charakter specustawy gazowej posiada bowiem zasadnicze znaczenie w procesie jej stosowania, ponieważ przez pryzmat tego charakteru należy postrzegać granice skutków prawnych wywoływanych przez przyjęte w tej ustawie rozwiązania. </w:t>
      </w:r>
      <w:r w:rsidRPr="000F07A9">
        <w:rPr>
          <w:rFonts w:ascii="Lato" w:hAnsi="Lato" w:cs="Arial"/>
          <w:bCs/>
          <w:spacing w:val="4"/>
        </w:rPr>
        <w:t xml:space="preserve">Przepisy specustawy gazowej należą do szczególnych regulacji prawnych, których podstawowym celem jest uproszczenie i przyspieszenie procesu inwestycyjnego. Uregulowania specustawy gazowej mają charakter uregulowań specjalnych (stanowiących wyjątki od ogólnych zasad i reguł wyrażonych w innych aktach prawnych odnoszących się do procesów inwestycyjnych), które mają za zadanie ułatwić inwestorowi realizację inwestycji gazowych, w tym poprzez pozyskiwanie tytułów prawnych nieruchomości dla celów takich inwestycji. Ustawodawca uchwalając szczególne przepisy specustawy gazowej zdecydował, iż inwestycje w zakresie terminalu oraz inwestycje towarzyszące będą korzystały z priorytetowej, przyspieszonej ścieżki pozyskiwania decyzji i zezwoleń niezbędnych do realizacji tych przedsięwzięć. Pośród celów regulacji specustawy gazowej wymienić można ograniczenie ilości pozwoleń niezbędnych do rozpoczęcia inwestycji oraz skrócenie czasu trwania procedur niezbędnych do uzyskania wymaganych decyzji. </w:t>
      </w:r>
      <w:r w:rsidR="0012144A" w:rsidRPr="0012144A">
        <w:rPr>
          <w:rFonts w:ascii="Lato" w:hAnsi="Lato" w:cs="Arial"/>
          <w:bCs/>
          <w:iCs/>
          <w:spacing w:val="4"/>
          <w:lang w:bidi="pl-PL"/>
        </w:rPr>
        <w:t xml:space="preserve">A więc decyzja Wojewody </w:t>
      </w:r>
      <w:r w:rsidR="0012144A">
        <w:rPr>
          <w:rFonts w:ascii="Lato" w:hAnsi="Lato" w:cs="Arial"/>
          <w:bCs/>
          <w:iCs/>
          <w:spacing w:val="4"/>
          <w:lang w:bidi="pl-PL"/>
        </w:rPr>
        <w:t xml:space="preserve">Opolskiego </w:t>
      </w:r>
      <w:r w:rsidR="0012144A" w:rsidRPr="0012144A">
        <w:rPr>
          <w:rFonts w:ascii="Lato" w:hAnsi="Lato" w:cs="Arial"/>
          <w:bCs/>
          <w:iCs/>
          <w:spacing w:val="4"/>
          <w:lang w:bidi="pl-PL"/>
        </w:rPr>
        <w:t>została wydana na podstawie przepisów jednej z tzw. „specustaw”, a więc ustaw na podstawie których realizowane są inwestycje celu publicznego, mające szczególne znaczenie z punktu widzenia interesu publicznego, których wspólną cechą charakterystyczną jest nie tylko uproszczona procedura, ale również specyficzne uregulowanie prawne w zakresie kognicyjnym organów administracji publicznej.</w:t>
      </w:r>
    </w:p>
    <w:p w14:paraId="57036F12" w14:textId="39B3BCA8" w:rsidR="00B53AF4" w:rsidRPr="000F07A9" w:rsidRDefault="00B53AF4" w:rsidP="007C3A26">
      <w:pPr>
        <w:tabs>
          <w:tab w:val="left" w:pos="2977"/>
        </w:tabs>
        <w:spacing w:after="240" w:line="240" w:lineRule="exact"/>
        <w:jc w:val="both"/>
        <w:outlineLvl w:val="0"/>
        <w:rPr>
          <w:rFonts w:ascii="Lato" w:hAnsi="Lato" w:cs="Arial"/>
          <w:bCs/>
          <w:spacing w:val="4"/>
          <w:lang w:bidi="pl-PL"/>
        </w:rPr>
      </w:pPr>
      <w:r w:rsidRPr="000F07A9">
        <w:rPr>
          <w:rFonts w:ascii="Lato" w:hAnsi="Lato" w:cs="Arial"/>
          <w:bCs/>
          <w:spacing w:val="4"/>
        </w:rPr>
        <w:t>Powyższymi okolicznościami należy uzasadniać z jednej strony znaczne zwiększenie uprawnień inwestora, natomiast z drugiej zdecydowane ograniczenie uprawnień właścicieli nieruchomości znajdujących się w obszarze inwestycji. Wskazać bowiem należy, iż brak zgody skarżąc</w:t>
      </w:r>
      <w:r w:rsidR="00E65A92">
        <w:rPr>
          <w:rFonts w:ascii="Lato" w:hAnsi="Lato" w:cs="Arial"/>
          <w:bCs/>
          <w:spacing w:val="4"/>
        </w:rPr>
        <w:t>ego</w:t>
      </w:r>
      <w:r w:rsidRPr="000F07A9">
        <w:rPr>
          <w:rFonts w:ascii="Lato" w:hAnsi="Lato" w:cs="Arial"/>
          <w:bCs/>
          <w:spacing w:val="4"/>
        </w:rPr>
        <w:t xml:space="preserve"> na lokalizację przedmiotowej inwestycji na </w:t>
      </w:r>
      <w:r w:rsidR="00E65A92">
        <w:rPr>
          <w:rFonts w:ascii="Lato" w:hAnsi="Lato" w:cs="Arial"/>
          <w:bCs/>
          <w:spacing w:val="4"/>
        </w:rPr>
        <w:t xml:space="preserve">jego </w:t>
      </w:r>
      <w:r w:rsidRPr="000F07A9">
        <w:rPr>
          <w:rFonts w:ascii="Lato" w:hAnsi="Lato" w:cs="Arial"/>
          <w:bCs/>
          <w:spacing w:val="4"/>
        </w:rPr>
        <w:t>działkach w koncepcji przyjętej przez inwestora i zatwierdzonej w decyzji Wojewody</w:t>
      </w:r>
      <w:r w:rsidR="00E65A92">
        <w:rPr>
          <w:rFonts w:ascii="Lato" w:hAnsi="Lato" w:cs="Arial"/>
          <w:bCs/>
          <w:spacing w:val="4"/>
        </w:rPr>
        <w:t xml:space="preserve"> Opolskiego</w:t>
      </w:r>
      <w:r w:rsidRPr="000F07A9">
        <w:rPr>
          <w:rFonts w:ascii="Lato" w:hAnsi="Lato" w:cs="Arial"/>
          <w:bCs/>
          <w:spacing w:val="4"/>
        </w:rPr>
        <w:t xml:space="preserve">, nie stanowi o wadliwości zaskarżonej decyzji, gdyż przepisy obowiązującego prawa, w tym przepisy specustawy gazowej, nie uzależniają udzielenia inwestorowi lokalizacji inwestycji na danej nieruchomości od wyrażenia na to zgody podmiotu będącego właścicielem bądź użytkownikiem wieczystym tejże nieruchomości. Przepisy </w:t>
      </w:r>
      <w:r w:rsidRPr="000F07A9">
        <w:rPr>
          <w:rFonts w:ascii="Lato" w:hAnsi="Lato" w:cs="Arial"/>
          <w:bCs/>
          <w:spacing w:val="4"/>
        </w:rPr>
        <w:lastRenderedPageBreak/>
        <w:t xml:space="preserve">specustawy gazowej nie zobowiązują inwestora do poprzedzenia wystąpienia </w:t>
      </w:r>
      <w:r w:rsidRPr="000F07A9">
        <w:rPr>
          <w:rFonts w:ascii="Lato" w:hAnsi="Lato" w:cs="Arial"/>
          <w:bCs/>
          <w:spacing w:val="4"/>
        </w:rPr>
        <w:br/>
        <w:t xml:space="preserve">z wnioskiem o wydanie decyzji lokalizacyjnej przeprowadzeniem uzgodnień, czy też konsultacji, które miałyby na celu ustalenie przebiegu projektowanej inwestycji </w:t>
      </w:r>
      <w:r w:rsidRPr="000F07A9">
        <w:rPr>
          <w:rFonts w:ascii="Lato" w:hAnsi="Lato" w:cs="Arial"/>
          <w:bCs/>
          <w:spacing w:val="4"/>
        </w:rPr>
        <w:br/>
        <w:t>z właścicielami nieruchomości objętych inwestycją</w:t>
      </w:r>
      <w:r w:rsidRPr="000F07A9">
        <w:rPr>
          <w:rFonts w:ascii="Lato" w:hAnsi="Lato" w:cs="Arial"/>
          <w:bCs/>
          <w:spacing w:val="4"/>
          <w:lang w:bidi="pl-PL"/>
        </w:rPr>
        <w:t xml:space="preserve">. Wszystkie działania w ramach lokalizacji inwestycji na podstawie specustawy gazowej dokonywane są w oparciu </w:t>
      </w:r>
      <w:r w:rsidRPr="000F07A9">
        <w:rPr>
          <w:rFonts w:ascii="Lato" w:hAnsi="Lato" w:cs="Arial"/>
          <w:bCs/>
          <w:spacing w:val="4"/>
          <w:lang w:bidi="pl-PL"/>
        </w:rPr>
        <w:br/>
        <w:t xml:space="preserve">o władztwo administracyjne, a specustawa gazowa nie przewiduje w tej materii konsultacji lub uzyskania zezwoleń właścicieli nieruchomości objętych zakresem inwestycji. </w:t>
      </w:r>
    </w:p>
    <w:p w14:paraId="39C8EAC5" w14:textId="77777777" w:rsidR="00B53AF4" w:rsidRPr="000F07A9" w:rsidRDefault="00B53AF4" w:rsidP="007C3A26">
      <w:pPr>
        <w:tabs>
          <w:tab w:val="left" w:pos="2977"/>
        </w:tabs>
        <w:spacing w:after="240" w:line="240" w:lineRule="exact"/>
        <w:jc w:val="both"/>
        <w:outlineLvl w:val="0"/>
        <w:rPr>
          <w:rFonts w:ascii="Lato" w:hAnsi="Lato" w:cs="Arial"/>
          <w:bCs/>
          <w:spacing w:val="4"/>
        </w:rPr>
      </w:pPr>
      <w:r w:rsidRPr="000F07A9">
        <w:rPr>
          <w:rFonts w:ascii="Lato" w:hAnsi="Lato" w:cs="Arial"/>
          <w:bCs/>
          <w:spacing w:val="4"/>
        </w:rPr>
        <w:t xml:space="preserve">W specustawie gazowej w ramach ujednoliconej procedury, którą wieńczy wydanie decyzji o ustaleniu lokalizacji inwestycji towarzyszącej inwestycjom w zakresie terminalu dokonywane jest ustalenie lokalizacji inwestycji, ograniczenie sposobu korzystania </w:t>
      </w:r>
      <w:r w:rsidRPr="000F07A9">
        <w:rPr>
          <w:rFonts w:ascii="Lato" w:hAnsi="Lato" w:cs="Arial"/>
          <w:bCs/>
          <w:spacing w:val="4"/>
        </w:rPr>
        <w:br/>
        <w:t xml:space="preserve">z nieruchomości (tzw. służebność publiczna), a także niekiedy zatwierdzenie podziału nieruchomości i przejmowanie nieruchomości na własność Skarbu Państwa. Tym samym, treść decyzji administracyjnej wydawanej na podstawie specustawy gazowej inkorporuje rozstrzygnięcia kwestii, które – w zwykłym trybie – stanowiłyby przedmiot kilku odrębnych postępowań. W orzecznictwie przyjmuje się, że decyzja wydana w oparciu </w:t>
      </w:r>
      <w:r w:rsidRPr="000F07A9">
        <w:rPr>
          <w:rFonts w:ascii="Lato" w:hAnsi="Lato" w:cs="Arial"/>
          <w:bCs/>
          <w:spacing w:val="4"/>
        </w:rPr>
        <w:br/>
        <w:t xml:space="preserve">o przepisy specustawy gazowej jest rozstrzygnięciem o charakterze związanym, gdyż jak wynika z art. 6 ust. 2 specustawy gazowej, nie można uzależniać ustalenia lokalizacji inwestycji od zobowiązania inwestora do spełnienia nieprzewidzianych odrębnymi przepisami świadczeń lub warunków. Wynika z powyższego, że decyzja o ustaleniu lokalizacji inwestycji w zakresie terminalu regazyfikacyjnego skroplonego gazu ziemnego </w:t>
      </w:r>
      <w:r w:rsidRPr="000F07A9">
        <w:rPr>
          <w:rFonts w:ascii="Lato" w:hAnsi="Lato" w:cs="Arial"/>
          <w:bCs/>
          <w:spacing w:val="4"/>
        </w:rPr>
        <w:br/>
        <w:t xml:space="preserve">w Świnoujściu oraz inwestycji towarzyszących, nie ma charakteru uznaniowego i w razie spełnienia przez inwestora wymagań określonych w przepisach specustawy gazowej organ jest zobligowany ustalić lokalizację inwestycji w wersji zgodnej z wnioskiem inwestora. </w:t>
      </w:r>
    </w:p>
    <w:p w14:paraId="064AA1BA" w14:textId="77777777" w:rsidR="00750480" w:rsidRDefault="00B53AF4" w:rsidP="007C3A26">
      <w:pPr>
        <w:tabs>
          <w:tab w:val="left" w:pos="2977"/>
        </w:tabs>
        <w:spacing w:after="240" w:line="240" w:lineRule="exact"/>
        <w:jc w:val="both"/>
        <w:outlineLvl w:val="0"/>
        <w:rPr>
          <w:rFonts w:ascii="Lato" w:hAnsi="Lato" w:cs="Arial"/>
          <w:bCs/>
          <w:spacing w:val="4"/>
        </w:rPr>
      </w:pPr>
      <w:r w:rsidRPr="000F07A9">
        <w:rPr>
          <w:rFonts w:ascii="Lato" w:hAnsi="Lato" w:cs="Arial"/>
          <w:bCs/>
          <w:spacing w:val="4"/>
        </w:rPr>
        <w:t xml:space="preserve">Podkreślenia wymaga to, że w postępowaniu w sprawie ustalenia lokalizacji inwestycji </w:t>
      </w:r>
      <w:r w:rsidRPr="000F07A9">
        <w:rPr>
          <w:rFonts w:ascii="Lato" w:hAnsi="Lato" w:cs="Arial"/>
          <w:bCs/>
          <w:spacing w:val="4"/>
        </w:rPr>
        <w:br/>
        <w:t xml:space="preserve">w zakresie terminalu oraz inwestycji towarzyszących organ jest związany wnioskiem inwestora, co do kształtu i przebiegu inwestycji. Zarówno wojewoda orzekający </w:t>
      </w:r>
      <w:r w:rsidRPr="000F07A9">
        <w:rPr>
          <w:rFonts w:ascii="Lato" w:hAnsi="Lato" w:cs="Arial"/>
          <w:bCs/>
          <w:spacing w:val="4"/>
        </w:rPr>
        <w:br/>
        <w:t xml:space="preserve">w sprawie jako organ I instancji, jak i Minister działający jako organ odwoławczy, pełnią w procesie inwestycyjnym funkcję organów, które będąc właściwe do wydania decyzji </w:t>
      </w:r>
      <w:r w:rsidRPr="000F07A9">
        <w:rPr>
          <w:rFonts w:ascii="Lato" w:hAnsi="Lato" w:cs="Arial"/>
          <w:bCs/>
          <w:spacing w:val="4"/>
        </w:rPr>
        <w:br/>
        <w:t xml:space="preserve">w przedmiocie ustalenia lokalizacji inwestycji w zakresie terminalu regazyfikacyjnego skroplonego gazu ziemnego w Świnoujściu oraz inwestycji towarzyszących, nie są jednocześnie uprawnione do wyznaczania i korygowania trasy tych inwestycji, ani do zmiany proponowanych we wniosku rozwiązań. To inwestor we wniosku o wydanie decyzji o ustaleniu lokalizacji inwestycji w zakresie terminalu regazyfikacyjnego skroplonego gazu ziemnego w Świnoujściu oraz inwestycji towarzyszących decyduje </w:t>
      </w:r>
      <w:r w:rsidRPr="000F07A9">
        <w:rPr>
          <w:rFonts w:ascii="Lato" w:hAnsi="Lato" w:cs="Arial"/>
          <w:bCs/>
          <w:spacing w:val="4"/>
        </w:rPr>
        <w:br/>
        <w:t xml:space="preserve">o przebiegu inwestycji oraz o wielkości terenu niezbędnego dla jej realizacji. Inwestor samodzielnie dokonuje wyboru najbardziej korzystnych rozwiązań lokalizacyjnych. </w:t>
      </w:r>
    </w:p>
    <w:p w14:paraId="09A46C6B" w14:textId="5F013261" w:rsidR="00B53AF4" w:rsidRDefault="00B53AF4" w:rsidP="007C3A26">
      <w:pPr>
        <w:tabs>
          <w:tab w:val="left" w:pos="2977"/>
        </w:tabs>
        <w:spacing w:after="240" w:line="240" w:lineRule="exact"/>
        <w:jc w:val="both"/>
        <w:outlineLvl w:val="0"/>
        <w:rPr>
          <w:rFonts w:ascii="Lato" w:hAnsi="Lato" w:cs="Arial"/>
          <w:bCs/>
          <w:spacing w:val="4"/>
          <w:lang w:bidi="pl-PL"/>
        </w:rPr>
      </w:pPr>
      <w:r w:rsidRPr="000F07A9">
        <w:rPr>
          <w:rFonts w:ascii="Lato" w:hAnsi="Lato" w:cs="Arial"/>
          <w:bCs/>
          <w:spacing w:val="4"/>
        </w:rPr>
        <w:t xml:space="preserve">Zarówno wojewoda, jak i organ odwoławczy, mogą działać tylko w granicach tego wniosku i nie mają możliwości ingerowania w lokalizację inwestycji. Ocenie dokonanej przez organy I </w:t>
      </w:r>
      <w:proofErr w:type="spellStart"/>
      <w:r w:rsidRPr="000F07A9">
        <w:rPr>
          <w:rFonts w:ascii="Lato" w:hAnsi="Lato" w:cs="Arial"/>
          <w:bCs/>
          <w:spacing w:val="4"/>
        </w:rPr>
        <w:t>i</w:t>
      </w:r>
      <w:proofErr w:type="spellEnd"/>
      <w:r w:rsidRPr="000F07A9">
        <w:rPr>
          <w:rFonts w:ascii="Lato" w:hAnsi="Lato" w:cs="Arial"/>
          <w:bCs/>
          <w:spacing w:val="4"/>
        </w:rPr>
        <w:t xml:space="preserve"> II instancji podlega zgodność z prawem planowanego przedsięwzięcia, </w:t>
      </w:r>
      <w:r w:rsidRPr="000F07A9">
        <w:rPr>
          <w:rFonts w:ascii="Lato" w:hAnsi="Lato" w:cs="Arial"/>
          <w:bCs/>
          <w:spacing w:val="4"/>
        </w:rPr>
        <w:br/>
        <w:t xml:space="preserve">w szczególności spełnienie warunków zawartych w przepisach specustawy gazowej. </w:t>
      </w:r>
      <w:r w:rsidRPr="000F07A9">
        <w:rPr>
          <w:rFonts w:ascii="Lato" w:hAnsi="Lato" w:cs="Arial"/>
          <w:bCs/>
          <w:spacing w:val="4"/>
          <w:lang w:bidi="pl-PL"/>
        </w:rPr>
        <w:t xml:space="preserve">Rola organów właściwych do wydania decyzji w przedmiocie ustalenia lokalizacji inwestycji </w:t>
      </w:r>
      <w:r w:rsidR="00D4562B">
        <w:rPr>
          <w:rFonts w:ascii="Lato" w:hAnsi="Lato" w:cs="Arial"/>
          <w:bCs/>
          <w:spacing w:val="4"/>
          <w:lang w:bidi="pl-PL"/>
        </w:rPr>
        <w:br/>
      </w:r>
      <w:r w:rsidRPr="000F07A9">
        <w:rPr>
          <w:rFonts w:ascii="Lato" w:hAnsi="Lato" w:cs="Arial"/>
          <w:bCs/>
          <w:spacing w:val="4"/>
          <w:lang w:bidi="pl-PL"/>
        </w:rPr>
        <w:t xml:space="preserve">w procedurze inwestycyjnej uregulowanej przepisami specustawy gazowej nie polega na aktywnym uczestnictwie w projektowaniu inwestycji. Organy administracji publicznej </w:t>
      </w:r>
      <w:r w:rsidR="00D4562B">
        <w:rPr>
          <w:rFonts w:ascii="Lato" w:hAnsi="Lato" w:cs="Arial"/>
          <w:bCs/>
          <w:spacing w:val="4"/>
          <w:lang w:bidi="pl-PL"/>
        </w:rPr>
        <w:br/>
      </w:r>
      <w:r w:rsidRPr="000F07A9">
        <w:rPr>
          <w:rFonts w:ascii="Lato" w:hAnsi="Lato" w:cs="Arial"/>
          <w:bCs/>
          <w:spacing w:val="4"/>
          <w:lang w:bidi="pl-PL"/>
        </w:rPr>
        <w:t xml:space="preserve">w procedurze inwestycyjnej uregulowanej przepisami specustawy gazowej nie współuczestniczą w projektowaniu inwestycji, której usytuowanie i konkretny kształt zależą od woli inwestora. Gospodarzem projektu jest tylko inwestor, a organ wydający decyzję w oparciu o przedłożony projekt nie jest uprawniony do ingerowania w jego założenia, w tym w przebieg inwestycji liniowej. </w:t>
      </w:r>
      <w:r w:rsidR="00750480" w:rsidRPr="00750480">
        <w:rPr>
          <w:rFonts w:ascii="Lato" w:hAnsi="Lato" w:cs="Arial"/>
          <w:bCs/>
          <w:spacing w:val="4"/>
          <w:lang w:bidi="pl-PL"/>
        </w:rPr>
        <w:t xml:space="preserve">Inwestor jest zatem kreatorem miejsca, sposobu i kształtu realizacji inwestycji, natomiast rolą organu orzekającego jest </w:t>
      </w:r>
      <w:r w:rsidR="00750480" w:rsidRPr="00750480">
        <w:rPr>
          <w:rFonts w:ascii="Lato" w:hAnsi="Lato" w:cs="Arial"/>
          <w:bCs/>
          <w:spacing w:val="4"/>
          <w:lang w:bidi="pl-PL"/>
        </w:rPr>
        <w:lastRenderedPageBreak/>
        <w:t>wyłącznie ocena, czy przedstawiona koncepcja jest zgodna z prawem, a nie poszukiwanie rozwiązań alternatywnych czy optymalnych z punktu widzenia interesów właścicieli poszczególnych nieruchomości.</w:t>
      </w:r>
      <w:r w:rsidR="00710D17">
        <w:rPr>
          <w:rFonts w:ascii="Lato" w:hAnsi="Lato" w:cs="Arial"/>
          <w:bCs/>
          <w:spacing w:val="4"/>
          <w:lang w:bidi="pl-PL"/>
        </w:rPr>
        <w:t xml:space="preserve"> </w:t>
      </w:r>
      <w:r w:rsidRPr="000F07A9">
        <w:rPr>
          <w:rFonts w:ascii="Lato" w:hAnsi="Lato" w:cs="Arial"/>
          <w:bCs/>
          <w:spacing w:val="4"/>
          <w:lang w:bidi="pl-PL"/>
        </w:rPr>
        <w:t>Nie stanowią przedmiotu kontroli organów właściwych do wydania decyzji o ustaleniu lokalizacji inwestycji zagadnienia dotyczące racjonalności czy słuszności koncepcji przedstawionej przez inwestora, ewentualnych odmiennych wariantów przebiegu inwestycji, infrastruktury towarzyszącej, czy aspektów ekonomicznych i społecznych koncepcji przedstawionej przez inwestora.</w:t>
      </w:r>
      <w:r w:rsidR="00FD797F" w:rsidRPr="00FD797F">
        <w:rPr>
          <w:rFonts w:ascii="Lato" w:hAnsi="Lato" w:cs="Arial"/>
          <w:bCs/>
          <w:spacing w:val="4"/>
          <w:lang w:bidi="pl-PL"/>
        </w:rPr>
        <w:t xml:space="preserve"> Warto również podkreślić, że </w:t>
      </w:r>
      <w:r w:rsidR="00FD797F" w:rsidRPr="00FD797F">
        <w:rPr>
          <w:rFonts w:ascii="Lato" w:hAnsi="Lato" w:cs="Arial"/>
          <w:bCs/>
          <w:iCs/>
          <w:spacing w:val="4"/>
          <w:lang w:bidi="pl-PL"/>
        </w:rPr>
        <w:t xml:space="preserve">umiejscowienie decyzji lokalizacyjnej w procesie inwestycyjnym wskazuje na to, iż ma ona charakter wstępny – określa dopuszczalność zamierzenia inwestycyjnego w wyznaczonej przez inwestora lokalizacji, a także podaje ogólne warunki i zasady, którym inwestycja powinna odpowiadać. Decyzja lokalizacyjna nie rozstrzyga </w:t>
      </w:r>
      <w:r w:rsidR="00ED0AF7">
        <w:rPr>
          <w:rFonts w:ascii="Lato" w:hAnsi="Lato" w:cs="Arial"/>
          <w:bCs/>
          <w:iCs/>
          <w:spacing w:val="4"/>
          <w:lang w:bidi="pl-PL"/>
        </w:rPr>
        <w:br/>
      </w:r>
      <w:r w:rsidR="00FD797F" w:rsidRPr="00FD797F">
        <w:rPr>
          <w:rFonts w:ascii="Lato" w:hAnsi="Lato" w:cs="Arial"/>
          <w:bCs/>
          <w:iCs/>
          <w:spacing w:val="4"/>
          <w:lang w:bidi="pl-PL"/>
        </w:rPr>
        <w:t>w przedmiocie szczegółowych rozwiązań projektowych, ani nie odnosi się do przyszłej realizacji inwestycji.</w:t>
      </w:r>
    </w:p>
    <w:p w14:paraId="0E0A0857" w14:textId="6A0479A6" w:rsidR="00DF6B5B" w:rsidRPr="007802B8" w:rsidRDefault="00DF6B5B" w:rsidP="00C260A9">
      <w:pPr>
        <w:tabs>
          <w:tab w:val="left" w:pos="2977"/>
        </w:tabs>
        <w:spacing w:after="120" w:line="240" w:lineRule="exact"/>
        <w:jc w:val="both"/>
        <w:outlineLvl w:val="0"/>
        <w:rPr>
          <w:rFonts w:ascii="Lato" w:hAnsi="Lato" w:cs="Arial"/>
          <w:bCs/>
          <w:spacing w:val="4"/>
          <w:lang w:bidi="pl-PL"/>
        </w:rPr>
      </w:pPr>
      <w:r w:rsidRPr="007802B8">
        <w:rPr>
          <w:rFonts w:ascii="Lato" w:hAnsi="Lato" w:cs="Arial"/>
          <w:bCs/>
          <w:spacing w:val="4"/>
          <w:lang w:bidi="pl-PL"/>
        </w:rPr>
        <w:t>Powyższe stanowisko jest ugruntowane i jednolite w orzecznictwie sądów administracyjnych dotyczącym zarówno specustawy gazowej:</w:t>
      </w:r>
    </w:p>
    <w:p w14:paraId="28E6160A" w14:textId="215D10F3" w:rsidR="00DF6B5B" w:rsidRPr="007802B8" w:rsidRDefault="00956783" w:rsidP="007802B8">
      <w:pPr>
        <w:pStyle w:val="Akapitzlist"/>
        <w:numPr>
          <w:ilvl w:val="0"/>
          <w:numId w:val="41"/>
        </w:numPr>
        <w:tabs>
          <w:tab w:val="left" w:pos="2977"/>
        </w:tabs>
        <w:spacing w:after="120" w:line="240" w:lineRule="exact"/>
        <w:ind w:left="357" w:hanging="357"/>
        <w:contextualSpacing w:val="0"/>
        <w:jc w:val="both"/>
        <w:outlineLvl w:val="0"/>
        <w:rPr>
          <w:rFonts w:ascii="Lato" w:hAnsi="Lato" w:cs="Arial"/>
          <w:bCs/>
          <w:spacing w:val="4"/>
          <w:sz w:val="22"/>
          <w:szCs w:val="22"/>
          <w:lang w:bidi="pl-PL"/>
        </w:rPr>
      </w:pPr>
      <w:r w:rsidRPr="007802B8">
        <w:rPr>
          <w:rFonts w:ascii="Lato" w:hAnsi="Lato" w:cs="Arial"/>
          <w:bCs/>
          <w:spacing w:val="4"/>
          <w:sz w:val="22"/>
          <w:szCs w:val="22"/>
          <w:lang w:bidi="pl-PL"/>
        </w:rPr>
        <w:t xml:space="preserve">por. </w:t>
      </w:r>
      <w:r w:rsidR="00DF6B5B" w:rsidRPr="007802B8">
        <w:rPr>
          <w:rFonts w:ascii="Lato" w:hAnsi="Lato" w:cs="Arial"/>
          <w:bCs/>
          <w:spacing w:val="4"/>
          <w:sz w:val="22"/>
          <w:szCs w:val="22"/>
        </w:rPr>
        <w:t xml:space="preserve">wyroki Naczelnego Sądu Administracyjnego: </w:t>
      </w:r>
      <w:r w:rsidR="00D4562B" w:rsidRPr="007802B8">
        <w:rPr>
          <w:rFonts w:ascii="Lato" w:hAnsi="Lato" w:cs="Arial"/>
          <w:bCs/>
          <w:iCs/>
          <w:spacing w:val="4"/>
          <w:sz w:val="22"/>
          <w:szCs w:val="22"/>
          <w:lang w:bidi="pl-PL"/>
        </w:rPr>
        <w:t xml:space="preserve">z dnia 11 grudnia 2025 r., sygn. akt </w:t>
      </w:r>
      <w:r w:rsidR="00D4562B" w:rsidRPr="007802B8">
        <w:rPr>
          <w:rFonts w:ascii="Lato" w:hAnsi="Lato" w:cs="Arial"/>
          <w:bCs/>
          <w:iCs/>
          <w:spacing w:val="4"/>
          <w:sz w:val="22"/>
          <w:szCs w:val="22"/>
          <w:lang w:bidi="pl-PL"/>
        </w:rPr>
        <w:br/>
        <w:t xml:space="preserve">II OSK 2069/25, </w:t>
      </w:r>
      <w:r w:rsidR="00535648" w:rsidRPr="007802B8">
        <w:rPr>
          <w:rFonts w:ascii="Lato" w:hAnsi="Lato" w:cs="Arial"/>
          <w:bCs/>
          <w:iCs/>
          <w:spacing w:val="4"/>
          <w:sz w:val="22"/>
          <w:szCs w:val="22"/>
          <w:lang w:bidi="pl-PL"/>
        </w:rPr>
        <w:t xml:space="preserve">z dnia 15 października 2025 r., sygn. akt II OSK 2802/24, </w:t>
      </w:r>
      <w:r w:rsidR="00DF6B5B" w:rsidRPr="007802B8">
        <w:rPr>
          <w:rFonts w:ascii="Lato" w:hAnsi="Lato" w:cs="Arial"/>
          <w:bCs/>
          <w:spacing w:val="4"/>
          <w:sz w:val="22"/>
          <w:szCs w:val="22"/>
        </w:rPr>
        <w:t xml:space="preserve">z dnia </w:t>
      </w:r>
      <w:r w:rsidR="00535648" w:rsidRPr="007802B8">
        <w:rPr>
          <w:rFonts w:ascii="Lato" w:hAnsi="Lato" w:cs="Arial"/>
          <w:bCs/>
          <w:spacing w:val="4"/>
          <w:sz w:val="22"/>
          <w:szCs w:val="22"/>
        </w:rPr>
        <w:br/>
      </w:r>
      <w:r w:rsidR="00DF6B5B" w:rsidRPr="007802B8">
        <w:rPr>
          <w:rFonts w:ascii="Lato" w:hAnsi="Lato" w:cs="Arial"/>
          <w:bCs/>
          <w:spacing w:val="4"/>
          <w:sz w:val="22"/>
          <w:szCs w:val="22"/>
        </w:rPr>
        <w:t>23 października 2024 r., sygn. akt II OSK 1477/24, z dnia</w:t>
      </w:r>
      <w:r w:rsidR="00535648" w:rsidRPr="007802B8">
        <w:rPr>
          <w:rFonts w:ascii="Lato" w:hAnsi="Lato" w:cs="Arial"/>
          <w:bCs/>
          <w:spacing w:val="4"/>
          <w:sz w:val="22"/>
          <w:szCs w:val="22"/>
        </w:rPr>
        <w:t xml:space="preserve"> </w:t>
      </w:r>
      <w:r w:rsidR="00DF6B5B" w:rsidRPr="007802B8">
        <w:rPr>
          <w:rFonts w:ascii="Lato" w:hAnsi="Lato" w:cs="Arial"/>
          <w:bCs/>
          <w:spacing w:val="4"/>
          <w:sz w:val="22"/>
          <w:szCs w:val="22"/>
        </w:rPr>
        <w:t xml:space="preserve">12 września 2023 r., sygn. akt II OSK 1004/23, z dnia 8 listopada 2022 r., sygn. akt II OSK 1636/22, wyroki Wojewódzkiego Sądu Administracyjnego w Warszawie: </w:t>
      </w:r>
      <w:r w:rsidR="007802B8" w:rsidRPr="007802B8">
        <w:rPr>
          <w:rFonts w:ascii="Lato" w:hAnsi="Lato" w:cs="Arial"/>
          <w:bCs/>
          <w:spacing w:val="4"/>
          <w:sz w:val="22"/>
          <w:szCs w:val="22"/>
        </w:rPr>
        <w:t>z dnia 26 lutego 2026 r., sygn. akt VII SA/</w:t>
      </w:r>
      <w:proofErr w:type="spellStart"/>
      <w:r w:rsidR="007802B8" w:rsidRPr="007802B8">
        <w:rPr>
          <w:rFonts w:ascii="Lato" w:hAnsi="Lato" w:cs="Arial"/>
          <w:bCs/>
          <w:spacing w:val="4"/>
          <w:sz w:val="22"/>
          <w:szCs w:val="22"/>
        </w:rPr>
        <w:t>Wa</w:t>
      </w:r>
      <w:proofErr w:type="spellEnd"/>
      <w:r w:rsidR="007802B8" w:rsidRPr="007802B8">
        <w:rPr>
          <w:rFonts w:ascii="Lato" w:hAnsi="Lato" w:cs="Arial"/>
          <w:bCs/>
          <w:spacing w:val="4"/>
          <w:sz w:val="22"/>
          <w:szCs w:val="22"/>
        </w:rPr>
        <w:t xml:space="preserve"> 3069/25, </w:t>
      </w:r>
      <w:r w:rsidR="00DF6B5B" w:rsidRPr="007802B8">
        <w:rPr>
          <w:rFonts w:ascii="Lato" w:hAnsi="Lato" w:cs="Arial"/>
          <w:bCs/>
          <w:spacing w:val="4"/>
          <w:sz w:val="22"/>
          <w:szCs w:val="22"/>
        </w:rPr>
        <w:t>z dnia 12 lipca 2023 r., sygn. akt VII SA/</w:t>
      </w:r>
      <w:proofErr w:type="spellStart"/>
      <w:r w:rsidR="00DF6B5B" w:rsidRPr="007802B8">
        <w:rPr>
          <w:rFonts w:ascii="Lato" w:hAnsi="Lato" w:cs="Arial"/>
          <w:bCs/>
          <w:spacing w:val="4"/>
          <w:sz w:val="22"/>
          <w:szCs w:val="22"/>
        </w:rPr>
        <w:t>Wa</w:t>
      </w:r>
      <w:proofErr w:type="spellEnd"/>
      <w:r w:rsidR="00DF6B5B" w:rsidRPr="007802B8">
        <w:rPr>
          <w:rFonts w:ascii="Lato" w:hAnsi="Lato" w:cs="Arial"/>
          <w:bCs/>
          <w:spacing w:val="4"/>
          <w:sz w:val="22"/>
          <w:szCs w:val="22"/>
        </w:rPr>
        <w:t xml:space="preserve"> 1975/22, z dnia 28 października 2022 r., sygn. akt VII SA/</w:t>
      </w:r>
      <w:proofErr w:type="spellStart"/>
      <w:r w:rsidR="00DF6B5B" w:rsidRPr="007802B8">
        <w:rPr>
          <w:rFonts w:ascii="Lato" w:hAnsi="Lato" w:cs="Arial"/>
          <w:bCs/>
          <w:spacing w:val="4"/>
          <w:sz w:val="22"/>
          <w:szCs w:val="22"/>
        </w:rPr>
        <w:t>Wa</w:t>
      </w:r>
      <w:proofErr w:type="spellEnd"/>
      <w:r w:rsidR="00DF6B5B" w:rsidRPr="007802B8">
        <w:rPr>
          <w:rFonts w:ascii="Lato" w:hAnsi="Lato" w:cs="Arial"/>
          <w:bCs/>
          <w:spacing w:val="4"/>
          <w:sz w:val="22"/>
          <w:szCs w:val="22"/>
        </w:rPr>
        <w:t xml:space="preserve"> 544/22, z dnia 21 kwietnia </w:t>
      </w:r>
      <w:r w:rsidR="007802B8">
        <w:rPr>
          <w:rFonts w:ascii="Lato" w:hAnsi="Lato" w:cs="Arial"/>
          <w:bCs/>
          <w:spacing w:val="4"/>
          <w:sz w:val="22"/>
          <w:szCs w:val="22"/>
        </w:rPr>
        <w:br/>
      </w:r>
      <w:r w:rsidR="00DF6B5B" w:rsidRPr="007802B8">
        <w:rPr>
          <w:rFonts w:ascii="Lato" w:hAnsi="Lato" w:cs="Arial"/>
          <w:bCs/>
          <w:spacing w:val="4"/>
          <w:sz w:val="22"/>
          <w:szCs w:val="22"/>
        </w:rPr>
        <w:t>2021 r., sygn. akt VII SA/</w:t>
      </w:r>
      <w:proofErr w:type="spellStart"/>
      <w:r w:rsidR="00DF6B5B" w:rsidRPr="007802B8">
        <w:rPr>
          <w:rFonts w:ascii="Lato" w:hAnsi="Lato" w:cs="Arial"/>
          <w:bCs/>
          <w:spacing w:val="4"/>
          <w:sz w:val="22"/>
          <w:szCs w:val="22"/>
        </w:rPr>
        <w:t>Wa</w:t>
      </w:r>
      <w:proofErr w:type="spellEnd"/>
      <w:r w:rsidR="00DF6B5B" w:rsidRPr="007802B8">
        <w:rPr>
          <w:rFonts w:ascii="Lato" w:hAnsi="Lato" w:cs="Arial"/>
          <w:bCs/>
          <w:spacing w:val="4"/>
          <w:sz w:val="22"/>
          <w:szCs w:val="22"/>
        </w:rPr>
        <w:t xml:space="preserve"> 364/21, z dnia 19 listopada 2019 r., sygn. akt IV SA/</w:t>
      </w:r>
      <w:proofErr w:type="spellStart"/>
      <w:r w:rsidR="00DF6B5B" w:rsidRPr="007802B8">
        <w:rPr>
          <w:rFonts w:ascii="Lato" w:hAnsi="Lato" w:cs="Arial"/>
          <w:bCs/>
          <w:spacing w:val="4"/>
          <w:sz w:val="22"/>
          <w:szCs w:val="22"/>
        </w:rPr>
        <w:t>Wa</w:t>
      </w:r>
      <w:proofErr w:type="spellEnd"/>
      <w:r w:rsidR="00DF6B5B" w:rsidRPr="007802B8">
        <w:rPr>
          <w:rFonts w:ascii="Lato" w:hAnsi="Lato" w:cs="Arial"/>
          <w:bCs/>
          <w:spacing w:val="4"/>
          <w:sz w:val="22"/>
          <w:szCs w:val="22"/>
        </w:rPr>
        <w:t xml:space="preserve"> 1496/19, z dnia 31 sierpnia 2018 r., sygn. akt IV SA/</w:t>
      </w:r>
      <w:proofErr w:type="spellStart"/>
      <w:r w:rsidR="00DF6B5B" w:rsidRPr="007802B8">
        <w:rPr>
          <w:rFonts w:ascii="Lato" w:hAnsi="Lato" w:cs="Arial"/>
          <w:bCs/>
          <w:spacing w:val="4"/>
          <w:sz w:val="22"/>
          <w:szCs w:val="22"/>
        </w:rPr>
        <w:t>Wa</w:t>
      </w:r>
      <w:proofErr w:type="spellEnd"/>
      <w:r w:rsidR="00DF6B5B" w:rsidRPr="007802B8">
        <w:rPr>
          <w:rFonts w:ascii="Lato" w:hAnsi="Lato" w:cs="Arial"/>
          <w:bCs/>
          <w:spacing w:val="4"/>
          <w:sz w:val="22"/>
          <w:szCs w:val="22"/>
        </w:rPr>
        <w:t xml:space="preserve"> 3345/17, z dnia 19 września 2018 r., sygn. akt IV SA/</w:t>
      </w:r>
      <w:proofErr w:type="spellStart"/>
      <w:r w:rsidR="00DF6B5B" w:rsidRPr="007802B8">
        <w:rPr>
          <w:rFonts w:ascii="Lato" w:hAnsi="Lato" w:cs="Arial"/>
          <w:bCs/>
          <w:spacing w:val="4"/>
          <w:sz w:val="22"/>
          <w:szCs w:val="22"/>
        </w:rPr>
        <w:t>Wa</w:t>
      </w:r>
      <w:proofErr w:type="spellEnd"/>
      <w:r w:rsidR="00DF6B5B" w:rsidRPr="007802B8">
        <w:rPr>
          <w:rFonts w:ascii="Lato" w:hAnsi="Lato" w:cs="Arial"/>
          <w:bCs/>
          <w:spacing w:val="4"/>
          <w:sz w:val="22"/>
          <w:szCs w:val="22"/>
        </w:rPr>
        <w:t xml:space="preserve"> 510/18, </w:t>
      </w:r>
    </w:p>
    <w:p w14:paraId="3BBE24E6" w14:textId="51CCFB94" w:rsidR="00750480" w:rsidRPr="00750480" w:rsidRDefault="00DF6B5B" w:rsidP="00C260A9">
      <w:pPr>
        <w:tabs>
          <w:tab w:val="left" w:pos="2977"/>
        </w:tabs>
        <w:spacing w:after="120" w:line="240" w:lineRule="exact"/>
        <w:jc w:val="both"/>
        <w:outlineLvl w:val="0"/>
        <w:rPr>
          <w:rFonts w:ascii="Lato" w:eastAsia="Times New Roman" w:hAnsi="Lato" w:cs="Arial"/>
          <w:bCs/>
          <w:iCs/>
          <w:color w:val="000000"/>
          <w:spacing w:val="4"/>
          <w:lang w:eastAsia="pl-PL" w:bidi="pl-PL"/>
        </w:rPr>
      </w:pPr>
      <w:r>
        <w:rPr>
          <w:rFonts w:ascii="Lato" w:hAnsi="Lato" w:cs="Arial"/>
          <w:bCs/>
          <w:spacing w:val="4"/>
          <w:lang w:bidi="pl-PL"/>
        </w:rPr>
        <w:t>jak</w:t>
      </w:r>
      <w:r w:rsidR="00956783">
        <w:rPr>
          <w:rFonts w:ascii="Lato" w:hAnsi="Lato" w:cs="Arial"/>
          <w:bCs/>
          <w:spacing w:val="4"/>
          <w:lang w:bidi="pl-PL"/>
        </w:rPr>
        <w:t xml:space="preserve"> i </w:t>
      </w:r>
      <w:r>
        <w:rPr>
          <w:rFonts w:ascii="Lato" w:hAnsi="Lato" w:cs="Arial"/>
          <w:bCs/>
          <w:spacing w:val="4"/>
          <w:lang w:bidi="pl-PL"/>
        </w:rPr>
        <w:t xml:space="preserve">w </w:t>
      </w:r>
      <w:r w:rsidR="00750480" w:rsidRPr="00750480">
        <w:rPr>
          <w:rFonts w:ascii="Lato" w:eastAsia="Times New Roman" w:hAnsi="Lato" w:cs="Arial"/>
          <w:bCs/>
          <w:iCs/>
          <w:color w:val="000000"/>
          <w:spacing w:val="4"/>
          <w:lang w:eastAsia="pl-PL" w:bidi="pl-PL"/>
        </w:rPr>
        <w:t>orzecznictwie sądów administracyjnych dotyczącym innych specjalnych ustaw inwestycyjnych</w:t>
      </w:r>
      <w:r>
        <w:rPr>
          <w:rFonts w:ascii="Lato" w:eastAsia="Times New Roman" w:hAnsi="Lato" w:cs="Arial"/>
          <w:bCs/>
          <w:iCs/>
          <w:color w:val="000000"/>
          <w:spacing w:val="4"/>
          <w:lang w:eastAsia="pl-PL" w:bidi="pl-PL"/>
        </w:rPr>
        <w:t>,</w:t>
      </w:r>
      <w:r w:rsidRPr="00DF6B5B">
        <w:rPr>
          <w:rFonts w:ascii="Lato" w:hAnsi="Lato" w:cs="Arial"/>
          <w:bCs/>
          <w:iCs/>
          <w:spacing w:val="4"/>
          <w:lang w:bidi="pl-PL"/>
        </w:rPr>
        <w:t xml:space="preserve"> </w:t>
      </w:r>
      <w:r w:rsidRPr="00DF6B5B">
        <w:rPr>
          <w:rFonts w:ascii="Lato" w:eastAsia="Times New Roman" w:hAnsi="Lato" w:cs="Arial"/>
          <w:bCs/>
          <w:iCs/>
          <w:color w:val="000000"/>
          <w:spacing w:val="4"/>
          <w:lang w:eastAsia="pl-PL" w:bidi="pl-PL"/>
        </w:rPr>
        <w:t>lecz w istotnym zakresie w pełni analogiczn</w:t>
      </w:r>
      <w:r w:rsidR="00AA0438">
        <w:rPr>
          <w:rFonts w:ascii="Lato" w:eastAsia="Times New Roman" w:hAnsi="Lato" w:cs="Arial"/>
          <w:bCs/>
          <w:iCs/>
          <w:color w:val="000000"/>
          <w:spacing w:val="4"/>
          <w:lang w:eastAsia="pl-PL" w:bidi="pl-PL"/>
        </w:rPr>
        <w:t>ych</w:t>
      </w:r>
      <w:r w:rsidRPr="00DF6B5B">
        <w:rPr>
          <w:rFonts w:ascii="Lato" w:eastAsia="Times New Roman" w:hAnsi="Lato" w:cs="Arial"/>
          <w:bCs/>
          <w:iCs/>
          <w:color w:val="000000"/>
          <w:spacing w:val="4"/>
          <w:lang w:eastAsia="pl-PL" w:bidi="pl-PL"/>
        </w:rPr>
        <w:t xml:space="preserve"> do rozwiązań przyjętych w </w:t>
      </w:r>
      <w:r>
        <w:rPr>
          <w:rFonts w:ascii="Lato" w:eastAsia="Times New Roman" w:hAnsi="Lato" w:cs="Arial"/>
          <w:bCs/>
          <w:iCs/>
          <w:color w:val="000000"/>
          <w:spacing w:val="4"/>
          <w:lang w:eastAsia="pl-PL" w:bidi="pl-PL"/>
        </w:rPr>
        <w:t>spec</w:t>
      </w:r>
      <w:r w:rsidRPr="00DF6B5B">
        <w:rPr>
          <w:rFonts w:ascii="Lato" w:eastAsia="Times New Roman" w:hAnsi="Lato" w:cs="Arial"/>
          <w:bCs/>
          <w:iCs/>
          <w:color w:val="000000"/>
          <w:spacing w:val="4"/>
          <w:lang w:eastAsia="pl-PL" w:bidi="pl-PL"/>
        </w:rPr>
        <w:t>ustawie</w:t>
      </w:r>
      <w:r>
        <w:rPr>
          <w:rFonts w:ascii="Lato" w:eastAsia="Times New Roman" w:hAnsi="Lato" w:cs="Arial"/>
          <w:bCs/>
          <w:iCs/>
          <w:color w:val="000000"/>
          <w:spacing w:val="4"/>
          <w:lang w:eastAsia="pl-PL" w:bidi="pl-PL"/>
        </w:rPr>
        <w:t xml:space="preserve"> gazowej,</w:t>
      </w:r>
      <w:r w:rsidRPr="00DF6B5B">
        <w:rPr>
          <w:rFonts w:ascii="Lato" w:eastAsia="Times New Roman" w:hAnsi="Lato" w:cs="Arial"/>
          <w:bCs/>
          <w:iCs/>
          <w:color w:val="000000"/>
          <w:spacing w:val="4"/>
          <w:lang w:eastAsia="pl-PL" w:bidi="pl-PL"/>
        </w:rPr>
        <w:t xml:space="preserve"> </w:t>
      </w:r>
      <w:r w:rsidR="00750480" w:rsidRPr="00750480">
        <w:rPr>
          <w:rFonts w:ascii="Lato" w:eastAsia="Times New Roman" w:hAnsi="Lato" w:cs="Arial"/>
          <w:bCs/>
          <w:iCs/>
          <w:color w:val="000000"/>
          <w:spacing w:val="4"/>
          <w:lang w:eastAsia="pl-PL" w:bidi="pl-PL"/>
        </w:rPr>
        <w:t xml:space="preserve">takich jak: </w:t>
      </w:r>
    </w:p>
    <w:p w14:paraId="089A554A" w14:textId="77777777" w:rsidR="00750480" w:rsidRPr="00750480" w:rsidRDefault="00750480" w:rsidP="00DF6B5B">
      <w:pPr>
        <w:numPr>
          <w:ilvl w:val="0"/>
          <w:numId w:val="40"/>
        </w:numPr>
        <w:tabs>
          <w:tab w:val="num" w:pos="709"/>
        </w:tabs>
        <w:autoSpaceDE w:val="0"/>
        <w:autoSpaceDN w:val="0"/>
        <w:adjustRightInd w:val="0"/>
        <w:spacing w:after="120" w:line="240" w:lineRule="exact"/>
        <w:jc w:val="both"/>
        <w:rPr>
          <w:rFonts w:ascii="Lato" w:eastAsia="Times New Roman" w:hAnsi="Lato" w:cs="Arial"/>
          <w:bCs/>
          <w:iCs/>
          <w:color w:val="000000"/>
          <w:spacing w:val="4"/>
          <w:lang w:eastAsia="pl-PL" w:bidi="pl-PL"/>
        </w:rPr>
      </w:pPr>
      <w:r w:rsidRPr="00750480">
        <w:rPr>
          <w:rFonts w:ascii="Lato" w:eastAsia="Times New Roman" w:hAnsi="Lato" w:cs="Arial"/>
          <w:bCs/>
          <w:iCs/>
          <w:color w:val="000000"/>
          <w:spacing w:val="4"/>
          <w:lang w:eastAsia="pl-PL" w:bidi="pl-PL"/>
        </w:rPr>
        <w:t xml:space="preserve">ustawa z dnia 10 kwietnia 2003 r. o szczególnych zasadach przygotowania i realizacji inwestycji w zakresie dróg publicznych (t.j. Dz.U. z 2024 r. poz. 311), zwana dalej „specustawą drogową” - por.: np. wyroki Naczelnego Sądu Administracyjnego z dnia 8 kwietnia 2025 r., sygn. akt II OSK 246/25, z dnia 17 kwietnia 2024 r., sygn. akt </w:t>
      </w:r>
      <w:r w:rsidRPr="00750480">
        <w:rPr>
          <w:rFonts w:ascii="Lato" w:eastAsia="Times New Roman" w:hAnsi="Lato" w:cs="Arial"/>
          <w:bCs/>
          <w:iCs/>
          <w:color w:val="000000"/>
          <w:spacing w:val="4"/>
          <w:lang w:eastAsia="pl-PL" w:bidi="pl-PL"/>
        </w:rPr>
        <w:br/>
        <w:t xml:space="preserve">II OSK 101/24, z dnia 5 marca 2024 r., sygn. akt II OSK 2405/23, z dnia 17 stycznia 2023 r., sygn. akt II OSK 2352/22, z dnia 14 września 2021 r., sygn. akt II OSK 1332/21, z dnia 13 kwietnia 2021 r., sygn. akt II OSK 156/21, z dnia 20 lipca </w:t>
      </w:r>
      <w:r w:rsidRPr="00750480">
        <w:rPr>
          <w:rFonts w:ascii="Lato" w:eastAsia="Times New Roman" w:hAnsi="Lato" w:cs="Arial"/>
          <w:bCs/>
          <w:iCs/>
          <w:color w:val="000000"/>
          <w:spacing w:val="4"/>
          <w:lang w:eastAsia="pl-PL" w:bidi="pl-PL"/>
        </w:rPr>
        <w:br/>
        <w:t>2021 r., sygn. akt II OSK 852/21, z dnia 5 sierpnia 2021 r., sygn. akt II OSK 1235/21,</w:t>
      </w:r>
      <w:r w:rsidRPr="00750480">
        <w:rPr>
          <w:rFonts w:ascii="Lato" w:eastAsia="Times New Roman" w:hAnsi="Lato" w:cs="Arial"/>
          <w:bCs/>
          <w:iCs/>
          <w:spacing w:val="4"/>
          <w:lang w:eastAsia="pl-PL"/>
        </w:rPr>
        <w:t xml:space="preserve"> </w:t>
      </w:r>
      <w:r w:rsidRPr="00750480">
        <w:rPr>
          <w:rFonts w:ascii="Lato" w:eastAsia="Times New Roman" w:hAnsi="Lato" w:cs="Arial"/>
          <w:bCs/>
          <w:iCs/>
          <w:color w:val="000000"/>
          <w:spacing w:val="4"/>
          <w:lang w:eastAsia="pl-PL" w:bidi="pl-PL"/>
        </w:rPr>
        <w:t>z dnia 30 września 2021 r., sygn. akt II OSK 193/21,</w:t>
      </w:r>
      <w:r w:rsidRPr="00750480">
        <w:rPr>
          <w:rFonts w:ascii="Lato" w:eastAsia="Times New Roman" w:hAnsi="Lato" w:cs="Arial"/>
          <w:bCs/>
          <w:iCs/>
          <w:spacing w:val="4"/>
          <w:lang w:eastAsia="pl-PL"/>
        </w:rPr>
        <w:t xml:space="preserve"> </w:t>
      </w:r>
      <w:r w:rsidRPr="00750480">
        <w:rPr>
          <w:rFonts w:ascii="Lato" w:eastAsia="Times New Roman" w:hAnsi="Lato" w:cs="Arial"/>
          <w:bCs/>
          <w:iCs/>
          <w:color w:val="000000"/>
          <w:spacing w:val="4"/>
          <w:lang w:eastAsia="pl-PL" w:bidi="pl-PL"/>
        </w:rPr>
        <w:t xml:space="preserve">z dnia 13 listopada 2018 r., sygn. akt II OSK 2933/18, z dnia 13 września 2017 r., sygn. akt II OSK 1705/17; </w:t>
      </w:r>
    </w:p>
    <w:p w14:paraId="23C6A12C" w14:textId="38A2B0F6" w:rsidR="00750480" w:rsidRPr="00750480" w:rsidRDefault="00750480" w:rsidP="00DF6B5B">
      <w:pPr>
        <w:numPr>
          <w:ilvl w:val="0"/>
          <w:numId w:val="40"/>
        </w:numPr>
        <w:tabs>
          <w:tab w:val="num" w:pos="709"/>
        </w:tabs>
        <w:autoSpaceDE w:val="0"/>
        <w:autoSpaceDN w:val="0"/>
        <w:adjustRightInd w:val="0"/>
        <w:spacing w:after="120" w:line="240" w:lineRule="exact"/>
        <w:jc w:val="both"/>
        <w:rPr>
          <w:rFonts w:ascii="Lato" w:hAnsi="Lato" w:cs="Arial"/>
          <w:bCs/>
          <w:iCs/>
          <w:color w:val="000000"/>
          <w:spacing w:val="4"/>
          <w:lang w:eastAsia="pl-PL" w:bidi="pl-PL"/>
        </w:rPr>
      </w:pPr>
      <w:r w:rsidRPr="00750480">
        <w:rPr>
          <w:rFonts w:ascii="Lato" w:eastAsia="Times New Roman" w:hAnsi="Lato" w:cs="Arial"/>
          <w:bCs/>
          <w:iCs/>
          <w:color w:val="000000"/>
          <w:spacing w:val="4"/>
          <w:lang w:eastAsia="pl-PL" w:bidi="pl-PL"/>
        </w:rPr>
        <w:t>ustawa z dnia 28 marca 2003 r. o transporcie kolejowym (t.j. Dz.U. z 2025 r. poz. 1234)</w:t>
      </w:r>
      <w:r>
        <w:rPr>
          <w:rFonts w:ascii="Lato" w:eastAsia="Times New Roman" w:hAnsi="Lato" w:cs="Arial"/>
          <w:bCs/>
          <w:iCs/>
          <w:color w:val="000000"/>
          <w:spacing w:val="4"/>
          <w:lang w:eastAsia="pl-PL" w:bidi="pl-PL"/>
        </w:rPr>
        <w:t xml:space="preserve"> </w:t>
      </w:r>
      <w:r w:rsidRPr="00750480">
        <w:rPr>
          <w:rFonts w:ascii="Lato" w:eastAsia="Times New Roman" w:hAnsi="Lato" w:cs="Arial"/>
          <w:bCs/>
          <w:iCs/>
          <w:color w:val="000000"/>
          <w:spacing w:val="4"/>
          <w:lang w:eastAsia="pl-PL" w:bidi="pl-PL"/>
        </w:rPr>
        <w:t xml:space="preserve">- por.: np. </w:t>
      </w:r>
      <w:r w:rsidRPr="00750480">
        <w:rPr>
          <w:rFonts w:ascii="Lato" w:eastAsia="Aptos" w:hAnsi="Lato" w:cs="Arial"/>
          <w:bCs/>
          <w:iCs/>
          <w:color w:val="000000"/>
          <w:spacing w:val="4"/>
          <w:lang w:eastAsia="pl-PL" w:bidi="pl-PL"/>
        </w:rPr>
        <w:t xml:space="preserve">wyroki Naczelnego Sądu Administracyjnego z dnia 10 września </w:t>
      </w:r>
      <w:r>
        <w:rPr>
          <w:rFonts w:ascii="Lato" w:eastAsia="Aptos" w:hAnsi="Lato" w:cs="Arial"/>
          <w:bCs/>
          <w:iCs/>
          <w:color w:val="000000"/>
          <w:spacing w:val="4"/>
          <w:lang w:eastAsia="pl-PL" w:bidi="pl-PL"/>
        </w:rPr>
        <w:br/>
      </w:r>
      <w:r w:rsidRPr="00750480">
        <w:rPr>
          <w:rFonts w:ascii="Lato" w:eastAsia="Aptos" w:hAnsi="Lato" w:cs="Arial"/>
          <w:bCs/>
          <w:iCs/>
          <w:color w:val="000000"/>
          <w:spacing w:val="4"/>
          <w:lang w:eastAsia="pl-PL" w:bidi="pl-PL"/>
        </w:rPr>
        <w:t xml:space="preserve">2025 r., sygn. akt II OSK 899/25, z dnia 12 marca 2024 r., sygn. akt II OSK 2303/21, z dnia 5 marca 2024 r., sygn. akt II OSK 1896/23, z dnia 25 października 2023 r., sygn. akt II OSK 1350/23, z dnia 9 lutego 2018 r., sygn. akt II OSK 1282/17, z dnia </w:t>
      </w:r>
      <w:r>
        <w:rPr>
          <w:rFonts w:ascii="Lato" w:eastAsia="Aptos" w:hAnsi="Lato" w:cs="Arial"/>
          <w:bCs/>
          <w:iCs/>
          <w:color w:val="000000"/>
          <w:spacing w:val="4"/>
          <w:lang w:eastAsia="pl-PL" w:bidi="pl-PL"/>
        </w:rPr>
        <w:br/>
      </w:r>
      <w:r w:rsidRPr="00750480">
        <w:rPr>
          <w:rFonts w:ascii="Lato" w:eastAsia="Aptos" w:hAnsi="Lato" w:cs="Arial"/>
          <w:bCs/>
          <w:iCs/>
          <w:color w:val="000000"/>
          <w:spacing w:val="4"/>
          <w:lang w:eastAsia="pl-PL" w:bidi="pl-PL"/>
        </w:rPr>
        <w:t xml:space="preserve">5 września 2017 r., sygn. akt II OSK 2892/15, z dnia 30 czerwca 2017 r., sygn. akt </w:t>
      </w:r>
      <w:r w:rsidR="00956783">
        <w:rPr>
          <w:rFonts w:ascii="Lato" w:eastAsia="Aptos" w:hAnsi="Lato" w:cs="Arial"/>
          <w:bCs/>
          <w:iCs/>
          <w:color w:val="000000"/>
          <w:spacing w:val="4"/>
          <w:lang w:eastAsia="pl-PL" w:bidi="pl-PL"/>
        </w:rPr>
        <w:br/>
      </w:r>
      <w:r w:rsidRPr="00750480">
        <w:rPr>
          <w:rFonts w:ascii="Lato" w:eastAsia="Aptos" w:hAnsi="Lato" w:cs="Arial"/>
          <w:bCs/>
          <w:iCs/>
          <w:color w:val="000000"/>
          <w:spacing w:val="4"/>
          <w:lang w:eastAsia="pl-PL" w:bidi="pl-PL"/>
        </w:rPr>
        <w:t>II OSK 762/17, i z dnia 15 czerwca 2016 r., sygn. akt II OSK 721/16;</w:t>
      </w:r>
      <w:r w:rsidRPr="00750480">
        <w:rPr>
          <w:rFonts w:ascii="Times New Roman" w:eastAsia="Times New Roman" w:hAnsi="Times New Roman" w:cs="Times New Roman"/>
          <w:sz w:val="24"/>
          <w:szCs w:val="24"/>
          <w:lang w:eastAsia="pl-PL"/>
        </w:rPr>
        <w:t xml:space="preserve"> </w:t>
      </w:r>
      <w:r w:rsidRPr="00750480">
        <w:rPr>
          <w:rFonts w:ascii="Lato" w:eastAsia="Aptos" w:hAnsi="Lato" w:cs="Arial"/>
          <w:bCs/>
          <w:iCs/>
          <w:color w:val="000000"/>
          <w:spacing w:val="4"/>
          <w:lang w:eastAsia="pl-PL" w:bidi="pl-PL"/>
        </w:rPr>
        <w:t>wyroki Wojewódzkiego Sądu Administracyjnego w Warszawie z dnia 24 stycznia 2025 r., sygn. akt VII SA/</w:t>
      </w:r>
      <w:proofErr w:type="spellStart"/>
      <w:r w:rsidRPr="00750480">
        <w:rPr>
          <w:rFonts w:ascii="Lato" w:eastAsia="Aptos" w:hAnsi="Lato" w:cs="Arial"/>
          <w:bCs/>
          <w:iCs/>
          <w:color w:val="000000"/>
          <w:spacing w:val="4"/>
          <w:lang w:eastAsia="pl-PL" w:bidi="pl-PL"/>
        </w:rPr>
        <w:t>Wa</w:t>
      </w:r>
      <w:proofErr w:type="spellEnd"/>
      <w:r w:rsidRPr="00750480">
        <w:rPr>
          <w:rFonts w:ascii="Lato" w:eastAsia="Aptos" w:hAnsi="Lato" w:cs="Arial"/>
          <w:bCs/>
          <w:iCs/>
          <w:color w:val="000000"/>
          <w:spacing w:val="4"/>
          <w:lang w:eastAsia="pl-PL" w:bidi="pl-PL"/>
        </w:rPr>
        <w:t xml:space="preserve"> 2967/24</w:t>
      </w:r>
      <w:r w:rsidR="00956783">
        <w:rPr>
          <w:rFonts w:ascii="Lato" w:eastAsia="Aptos" w:hAnsi="Lato" w:cs="Arial"/>
          <w:bCs/>
          <w:iCs/>
          <w:color w:val="000000"/>
          <w:spacing w:val="4"/>
          <w:lang w:eastAsia="pl-PL" w:bidi="pl-PL"/>
        </w:rPr>
        <w:t xml:space="preserve">, </w:t>
      </w:r>
      <w:r w:rsidRPr="00750480">
        <w:rPr>
          <w:rFonts w:ascii="Lato" w:eastAsia="Aptos" w:hAnsi="Lato" w:cs="Arial"/>
          <w:bCs/>
          <w:iCs/>
          <w:color w:val="000000"/>
          <w:spacing w:val="4"/>
          <w:lang w:eastAsia="pl-PL" w:bidi="pl-PL"/>
        </w:rPr>
        <w:t>z dnia 9 maja 2023 r., sygn. akt VII SA/</w:t>
      </w:r>
      <w:proofErr w:type="spellStart"/>
      <w:r w:rsidRPr="00750480">
        <w:rPr>
          <w:rFonts w:ascii="Lato" w:eastAsia="Aptos" w:hAnsi="Lato" w:cs="Arial"/>
          <w:bCs/>
          <w:iCs/>
          <w:color w:val="000000"/>
          <w:spacing w:val="4"/>
          <w:lang w:eastAsia="pl-PL" w:bidi="pl-PL"/>
        </w:rPr>
        <w:t>Wa</w:t>
      </w:r>
      <w:proofErr w:type="spellEnd"/>
      <w:r w:rsidRPr="00750480">
        <w:rPr>
          <w:rFonts w:ascii="Lato" w:eastAsia="Aptos" w:hAnsi="Lato" w:cs="Arial"/>
          <w:bCs/>
          <w:iCs/>
          <w:color w:val="000000"/>
          <w:spacing w:val="4"/>
          <w:lang w:eastAsia="pl-PL" w:bidi="pl-PL"/>
        </w:rPr>
        <w:t xml:space="preserve"> 2679/22, </w:t>
      </w:r>
      <w:r>
        <w:rPr>
          <w:rFonts w:ascii="Lato" w:eastAsia="Aptos" w:hAnsi="Lato" w:cs="Arial"/>
          <w:bCs/>
          <w:iCs/>
          <w:color w:val="000000"/>
          <w:spacing w:val="4"/>
          <w:lang w:eastAsia="pl-PL" w:bidi="pl-PL"/>
        </w:rPr>
        <w:br/>
      </w:r>
      <w:r w:rsidRPr="00750480">
        <w:rPr>
          <w:rFonts w:ascii="Lato" w:eastAsia="Aptos" w:hAnsi="Lato" w:cs="Arial"/>
          <w:bCs/>
          <w:iCs/>
          <w:color w:val="000000"/>
          <w:spacing w:val="4"/>
          <w:lang w:eastAsia="pl-PL" w:bidi="pl-PL"/>
        </w:rPr>
        <w:t>z dnia 28 czerwca 2017 r., sygn. akt IV SA/</w:t>
      </w:r>
      <w:proofErr w:type="spellStart"/>
      <w:r w:rsidRPr="00750480">
        <w:rPr>
          <w:rFonts w:ascii="Lato" w:eastAsia="Aptos" w:hAnsi="Lato" w:cs="Arial"/>
          <w:bCs/>
          <w:iCs/>
          <w:color w:val="000000"/>
          <w:spacing w:val="4"/>
          <w:lang w:eastAsia="pl-PL" w:bidi="pl-PL"/>
        </w:rPr>
        <w:t>Wa</w:t>
      </w:r>
      <w:proofErr w:type="spellEnd"/>
      <w:r w:rsidRPr="00750480">
        <w:rPr>
          <w:rFonts w:ascii="Lato" w:eastAsia="Aptos" w:hAnsi="Lato" w:cs="Arial"/>
          <w:bCs/>
          <w:iCs/>
          <w:color w:val="000000"/>
          <w:spacing w:val="4"/>
          <w:lang w:eastAsia="pl-PL" w:bidi="pl-PL"/>
        </w:rPr>
        <w:t xml:space="preserve"> 611/17, z dnia 9 czerwca 2017 r., sygn. akt IV SA/</w:t>
      </w:r>
      <w:proofErr w:type="spellStart"/>
      <w:r w:rsidRPr="00750480">
        <w:rPr>
          <w:rFonts w:ascii="Lato" w:eastAsia="Aptos" w:hAnsi="Lato" w:cs="Arial"/>
          <w:bCs/>
          <w:iCs/>
          <w:color w:val="000000"/>
          <w:spacing w:val="4"/>
          <w:lang w:eastAsia="pl-PL" w:bidi="pl-PL"/>
        </w:rPr>
        <w:t>Wa</w:t>
      </w:r>
      <w:proofErr w:type="spellEnd"/>
      <w:r w:rsidRPr="00750480">
        <w:rPr>
          <w:rFonts w:ascii="Lato" w:eastAsia="Aptos" w:hAnsi="Lato" w:cs="Arial"/>
          <w:bCs/>
          <w:iCs/>
          <w:color w:val="000000"/>
          <w:spacing w:val="4"/>
          <w:lang w:eastAsia="pl-PL" w:bidi="pl-PL"/>
        </w:rPr>
        <w:t xml:space="preserve"> 786/17, z dnia 28 października 2016 r., sygn. akt IV SA/</w:t>
      </w:r>
      <w:proofErr w:type="spellStart"/>
      <w:r w:rsidRPr="00750480">
        <w:rPr>
          <w:rFonts w:ascii="Lato" w:eastAsia="Aptos" w:hAnsi="Lato" w:cs="Arial"/>
          <w:bCs/>
          <w:iCs/>
          <w:color w:val="000000"/>
          <w:spacing w:val="4"/>
          <w:lang w:eastAsia="pl-PL" w:bidi="pl-PL"/>
        </w:rPr>
        <w:t>Wa</w:t>
      </w:r>
      <w:proofErr w:type="spellEnd"/>
      <w:r w:rsidRPr="00750480">
        <w:rPr>
          <w:rFonts w:ascii="Lato" w:eastAsia="Aptos" w:hAnsi="Lato" w:cs="Arial"/>
          <w:bCs/>
          <w:iCs/>
          <w:color w:val="000000"/>
          <w:spacing w:val="4"/>
          <w:lang w:eastAsia="pl-PL" w:bidi="pl-PL"/>
        </w:rPr>
        <w:t xml:space="preserve"> 1534/16, z dnia 19 października 2016 r., sygn. akt IV SA/</w:t>
      </w:r>
      <w:proofErr w:type="spellStart"/>
      <w:r w:rsidRPr="00750480">
        <w:rPr>
          <w:rFonts w:ascii="Lato" w:eastAsia="Aptos" w:hAnsi="Lato" w:cs="Arial"/>
          <w:bCs/>
          <w:iCs/>
          <w:color w:val="000000"/>
          <w:spacing w:val="4"/>
          <w:lang w:eastAsia="pl-PL" w:bidi="pl-PL"/>
        </w:rPr>
        <w:t>Wa</w:t>
      </w:r>
      <w:proofErr w:type="spellEnd"/>
      <w:r w:rsidRPr="00750480">
        <w:rPr>
          <w:rFonts w:ascii="Lato" w:eastAsia="Aptos" w:hAnsi="Lato" w:cs="Arial"/>
          <w:bCs/>
          <w:iCs/>
          <w:color w:val="000000"/>
          <w:spacing w:val="4"/>
          <w:lang w:eastAsia="pl-PL" w:bidi="pl-PL"/>
        </w:rPr>
        <w:t xml:space="preserve"> 1561/16, z dnia 15 lipca </w:t>
      </w:r>
      <w:r w:rsidRPr="00750480">
        <w:rPr>
          <w:rFonts w:ascii="Lato" w:eastAsia="Aptos" w:hAnsi="Lato" w:cs="Arial"/>
          <w:bCs/>
          <w:iCs/>
          <w:color w:val="000000"/>
          <w:spacing w:val="4"/>
          <w:lang w:eastAsia="pl-PL" w:bidi="pl-PL"/>
        </w:rPr>
        <w:lastRenderedPageBreak/>
        <w:t>2015 r., sygn. akt IV SA/</w:t>
      </w:r>
      <w:proofErr w:type="spellStart"/>
      <w:r w:rsidRPr="00750480">
        <w:rPr>
          <w:rFonts w:ascii="Lato" w:eastAsia="Aptos" w:hAnsi="Lato" w:cs="Arial"/>
          <w:bCs/>
          <w:iCs/>
          <w:color w:val="000000"/>
          <w:spacing w:val="4"/>
          <w:lang w:eastAsia="pl-PL" w:bidi="pl-PL"/>
        </w:rPr>
        <w:t>Wa</w:t>
      </w:r>
      <w:proofErr w:type="spellEnd"/>
      <w:r w:rsidRPr="00750480">
        <w:rPr>
          <w:rFonts w:ascii="Lato" w:eastAsia="Aptos" w:hAnsi="Lato" w:cs="Arial"/>
          <w:bCs/>
          <w:iCs/>
          <w:color w:val="000000"/>
          <w:spacing w:val="4"/>
          <w:lang w:eastAsia="pl-PL" w:bidi="pl-PL"/>
        </w:rPr>
        <w:t xml:space="preserve"> 1532/15, i z dnia 30 maja 2012 r., sygn. akt IV SA/</w:t>
      </w:r>
      <w:proofErr w:type="spellStart"/>
      <w:r w:rsidRPr="00750480">
        <w:rPr>
          <w:rFonts w:ascii="Lato" w:eastAsia="Aptos" w:hAnsi="Lato" w:cs="Arial"/>
          <w:bCs/>
          <w:iCs/>
          <w:color w:val="000000"/>
          <w:spacing w:val="4"/>
          <w:lang w:eastAsia="pl-PL" w:bidi="pl-PL"/>
        </w:rPr>
        <w:t>Wa</w:t>
      </w:r>
      <w:proofErr w:type="spellEnd"/>
      <w:r w:rsidRPr="00750480">
        <w:rPr>
          <w:rFonts w:ascii="Lato" w:eastAsia="Aptos" w:hAnsi="Lato" w:cs="Arial"/>
          <w:bCs/>
          <w:iCs/>
          <w:color w:val="000000"/>
          <w:spacing w:val="4"/>
          <w:lang w:eastAsia="pl-PL" w:bidi="pl-PL"/>
        </w:rPr>
        <w:t xml:space="preserve"> 1899/11;</w:t>
      </w:r>
    </w:p>
    <w:p w14:paraId="1621CBAF" w14:textId="63407278" w:rsidR="00750480" w:rsidRPr="00750480" w:rsidRDefault="00750480" w:rsidP="00C260A9">
      <w:pPr>
        <w:numPr>
          <w:ilvl w:val="0"/>
          <w:numId w:val="40"/>
        </w:numPr>
        <w:tabs>
          <w:tab w:val="num" w:pos="709"/>
        </w:tabs>
        <w:autoSpaceDE w:val="0"/>
        <w:autoSpaceDN w:val="0"/>
        <w:adjustRightInd w:val="0"/>
        <w:spacing w:after="240" w:line="240" w:lineRule="exact"/>
        <w:ind w:left="357" w:hanging="357"/>
        <w:jc w:val="both"/>
        <w:rPr>
          <w:rFonts w:ascii="Lato" w:eastAsia="Times New Roman" w:hAnsi="Lato" w:cs="Arial"/>
          <w:bCs/>
          <w:iCs/>
          <w:color w:val="000000"/>
          <w:spacing w:val="4"/>
          <w:lang w:eastAsia="pl-PL" w:bidi="pl-PL"/>
        </w:rPr>
      </w:pPr>
      <w:r w:rsidRPr="00750480">
        <w:rPr>
          <w:rFonts w:ascii="Lato" w:eastAsia="Times New Roman" w:hAnsi="Lato" w:cs="Arial"/>
          <w:bCs/>
          <w:iCs/>
          <w:color w:val="000000"/>
          <w:spacing w:val="4"/>
          <w:lang w:eastAsia="pl-PL" w:bidi="pl-PL"/>
        </w:rPr>
        <w:t>ustawa z dnia 24 lipca 2015 r. o przygotowaniu i realizacji strategicznych inwestycji w zakresie sieci przesyłowych (t.j. Dz.U. z 2024 r. poz. 1199), zwana dalej „specustawą przesyłową” - por.: np. wyroki Wojewódzkiego Sądu Administracyjnego w Warszawie: z dnia 31 maja 2023 r., sygn. akt VII SA/</w:t>
      </w:r>
      <w:proofErr w:type="spellStart"/>
      <w:r w:rsidRPr="00750480">
        <w:rPr>
          <w:rFonts w:ascii="Lato" w:eastAsia="Times New Roman" w:hAnsi="Lato" w:cs="Arial"/>
          <w:bCs/>
          <w:iCs/>
          <w:color w:val="000000"/>
          <w:spacing w:val="4"/>
          <w:lang w:eastAsia="pl-PL" w:bidi="pl-PL"/>
        </w:rPr>
        <w:t>Wa</w:t>
      </w:r>
      <w:proofErr w:type="spellEnd"/>
      <w:r w:rsidRPr="00750480">
        <w:rPr>
          <w:rFonts w:ascii="Lato" w:eastAsia="Times New Roman" w:hAnsi="Lato" w:cs="Arial"/>
          <w:bCs/>
          <w:iCs/>
          <w:color w:val="000000"/>
          <w:spacing w:val="4"/>
          <w:lang w:eastAsia="pl-PL" w:bidi="pl-PL"/>
        </w:rPr>
        <w:t xml:space="preserve"> 608/23, z dnia </w:t>
      </w:r>
      <w:r w:rsidR="00C260A9">
        <w:rPr>
          <w:rFonts w:ascii="Lato" w:eastAsia="Times New Roman" w:hAnsi="Lato" w:cs="Arial"/>
          <w:bCs/>
          <w:iCs/>
          <w:color w:val="000000"/>
          <w:spacing w:val="4"/>
          <w:lang w:eastAsia="pl-PL" w:bidi="pl-PL"/>
        </w:rPr>
        <w:br/>
      </w:r>
      <w:r w:rsidRPr="00750480">
        <w:rPr>
          <w:rFonts w:ascii="Lato" w:eastAsia="Times New Roman" w:hAnsi="Lato" w:cs="Arial"/>
          <w:bCs/>
          <w:iCs/>
          <w:color w:val="000000"/>
          <w:spacing w:val="4"/>
          <w:lang w:eastAsia="pl-PL" w:bidi="pl-PL"/>
        </w:rPr>
        <w:t>27 października 2022 r., sygn. akt VII SA/</w:t>
      </w:r>
      <w:proofErr w:type="spellStart"/>
      <w:r w:rsidRPr="00750480">
        <w:rPr>
          <w:rFonts w:ascii="Lato" w:eastAsia="Times New Roman" w:hAnsi="Lato" w:cs="Arial"/>
          <w:bCs/>
          <w:iCs/>
          <w:color w:val="000000"/>
          <w:spacing w:val="4"/>
          <w:lang w:eastAsia="pl-PL" w:bidi="pl-PL"/>
        </w:rPr>
        <w:t>Wa</w:t>
      </w:r>
      <w:proofErr w:type="spellEnd"/>
      <w:r w:rsidRPr="00750480">
        <w:rPr>
          <w:rFonts w:ascii="Lato" w:eastAsia="Times New Roman" w:hAnsi="Lato" w:cs="Arial"/>
          <w:bCs/>
          <w:iCs/>
          <w:color w:val="000000"/>
          <w:spacing w:val="4"/>
          <w:lang w:eastAsia="pl-PL" w:bidi="pl-PL"/>
        </w:rPr>
        <w:t xml:space="preserve"> 1225/22, z dnia 10 października </w:t>
      </w:r>
      <w:r w:rsidR="007802B8">
        <w:rPr>
          <w:rFonts w:ascii="Lato" w:eastAsia="Times New Roman" w:hAnsi="Lato" w:cs="Arial"/>
          <w:bCs/>
          <w:iCs/>
          <w:color w:val="000000"/>
          <w:spacing w:val="4"/>
          <w:lang w:eastAsia="pl-PL" w:bidi="pl-PL"/>
        </w:rPr>
        <w:br/>
      </w:r>
      <w:r w:rsidRPr="00750480">
        <w:rPr>
          <w:rFonts w:ascii="Lato" w:eastAsia="Times New Roman" w:hAnsi="Lato" w:cs="Arial"/>
          <w:bCs/>
          <w:iCs/>
          <w:color w:val="000000"/>
          <w:spacing w:val="4"/>
          <w:lang w:eastAsia="pl-PL" w:bidi="pl-PL"/>
        </w:rPr>
        <w:t>2018 r., sygn. akt IV SA/</w:t>
      </w:r>
      <w:proofErr w:type="spellStart"/>
      <w:r w:rsidRPr="00750480">
        <w:rPr>
          <w:rFonts w:ascii="Lato" w:eastAsia="Times New Roman" w:hAnsi="Lato" w:cs="Arial"/>
          <w:bCs/>
          <w:iCs/>
          <w:color w:val="000000"/>
          <w:spacing w:val="4"/>
          <w:lang w:eastAsia="pl-PL" w:bidi="pl-PL"/>
        </w:rPr>
        <w:t>Wa</w:t>
      </w:r>
      <w:proofErr w:type="spellEnd"/>
      <w:r w:rsidRPr="00750480">
        <w:rPr>
          <w:rFonts w:ascii="Lato" w:eastAsia="Times New Roman" w:hAnsi="Lato" w:cs="Arial"/>
          <w:bCs/>
          <w:iCs/>
          <w:color w:val="000000"/>
          <w:spacing w:val="4"/>
          <w:lang w:eastAsia="pl-PL" w:bidi="pl-PL"/>
        </w:rPr>
        <w:t xml:space="preserve"> 2480/17, z dnia 9 lutego 2018 r., sygn. akt IV SA/</w:t>
      </w:r>
      <w:proofErr w:type="spellStart"/>
      <w:r w:rsidRPr="00750480">
        <w:rPr>
          <w:rFonts w:ascii="Lato" w:eastAsia="Times New Roman" w:hAnsi="Lato" w:cs="Arial"/>
          <w:bCs/>
          <w:iCs/>
          <w:color w:val="000000"/>
          <w:spacing w:val="4"/>
          <w:lang w:eastAsia="pl-PL" w:bidi="pl-PL"/>
        </w:rPr>
        <w:t>Wa</w:t>
      </w:r>
      <w:proofErr w:type="spellEnd"/>
      <w:r w:rsidRPr="00750480">
        <w:rPr>
          <w:rFonts w:ascii="Lato" w:eastAsia="Times New Roman" w:hAnsi="Lato" w:cs="Arial"/>
          <w:bCs/>
          <w:iCs/>
          <w:color w:val="000000"/>
          <w:spacing w:val="4"/>
          <w:lang w:eastAsia="pl-PL" w:bidi="pl-PL"/>
        </w:rPr>
        <w:t xml:space="preserve"> 2780/17 i z dnia 7 września 2017 r., sygn. akt IV SA/</w:t>
      </w:r>
      <w:proofErr w:type="spellStart"/>
      <w:r w:rsidRPr="00750480">
        <w:rPr>
          <w:rFonts w:ascii="Lato" w:eastAsia="Times New Roman" w:hAnsi="Lato" w:cs="Arial"/>
          <w:bCs/>
          <w:iCs/>
          <w:color w:val="000000"/>
          <w:spacing w:val="4"/>
          <w:lang w:eastAsia="pl-PL" w:bidi="pl-PL"/>
        </w:rPr>
        <w:t>Wa</w:t>
      </w:r>
      <w:proofErr w:type="spellEnd"/>
      <w:r w:rsidRPr="00750480">
        <w:rPr>
          <w:rFonts w:ascii="Lato" w:eastAsia="Times New Roman" w:hAnsi="Lato" w:cs="Arial"/>
          <w:bCs/>
          <w:iCs/>
          <w:color w:val="000000"/>
          <w:spacing w:val="4"/>
          <w:lang w:eastAsia="pl-PL" w:bidi="pl-PL"/>
        </w:rPr>
        <w:t xml:space="preserve"> 1749/17</w:t>
      </w:r>
      <w:r w:rsidR="00DF6B5B">
        <w:rPr>
          <w:rFonts w:ascii="Lato" w:eastAsia="Times New Roman" w:hAnsi="Lato" w:cs="Arial"/>
          <w:bCs/>
          <w:iCs/>
          <w:color w:val="000000"/>
          <w:spacing w:val="4"/>
          <w:lang w:eastAsia="pl-PL" w:bidi="pl-PL"/>
        </w:rPr>
        <w:t>.</w:t>
      </w:r>
    </w:p>
    <w:p w14:paraId="0391AA04" w14:textId="15D25F4E" w:rsidR="007C436B" w:rsidRPr="00B40594" w:rsidRDefault="00B53AF4" w:rsidP="00B40594">
      <w:pPr>
        <w:tabs>
          <w:tab w:val="left" w:pos="2977"/>
        </w:tabs>
        <w:spacing w:after="240" w:line="240" w:lineRule="exact"/>
        <w:jc w:val="both"/>
        <w:outlineLvl w:val="0"/>
        <w:rPr>
          <w:rFonts w:ascii="Lato" w:hAnsi="Lato" w:cs="Arial"/>
          <w:bCs/>
          <w:spacing w:val="4"/>
        </w:rPr>
      </w:pPr>
      <w:r w:rsidRPr="00B40594">
        <w:rPr>
          <w:rFonts w:ascii="Lato" w:hAnsi="Lato" w:cs="Arial"/>
          <w:bCs/>
          <w:spacing w:val="4"/>
        </w:rPr>
        <w:t>W tym miejscu zasadnym jest także przywołanie stanowiska Trybunału Konstytucyjnego, który w uzasadnieniu wyroku z dnia 16 października 2012 r., K 4/10 – dotyczącym specustawy drogowej</w:t>
      </w:r>
      <w:r w:rsidR="00956783">
        <w:rPr>
          <w:rFonts w:ascii="Lato" w:hAnsi="Lato" w:cs="Arial"/>
          <w:bCs/>
          <w:spacing w:val="4"/>
        </w:rPr>
        <w:t xml:space="preserve"> </w:t>
      </w:r>
      <w:r w:rsidR="00956783" w:rsidRPr="00956783">
        <w:rPr>
          <w:rFonts w:ascii="Lato" w:hAnsi="Lato" w:cs="Arial"/>
          <w:bCs/>
          <w:iCs/>
          <w:spacing w:val="4"/>
          <w:lang w:bidi="pl-PL"/>
        </w:rPr>
        <w:t>[która jest często uznawana za wzór dla innych przepisów szczególnych (specustaw) w Polsce ze względu na stworzenie efektywnego modelu przyspieszania kluczowych inwestycji]</w:t>
      </w:r>
      <w:r w:rsidR="00956783">
        <w:rPr>
          <w:rFonts w:ascii="Lato" w:hAnsi="Lato" w:cs="Arial"/>
          <w:bCs/>
          <w:spacing w:val="4"/>
        </w:rPr>
        <w:t xml:space="preserve"> </w:t>
      </w:r>
      <w:r w:rsidRPr="00B40594">
        <w:rPr>
          <w:rFonts w:ascii="Lato" w:hAnsi="Lato" w:cs="Arial"/>
          <w:bCs/>
          <w:spacing w:val="4"/>
        </w:rPr>
        <w:t xml:space="preserve">–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t>
      </w:r>
      <w:r w:rsidR="00956783">
        <w:rPr>
          <w:rFonts w:ascii="Lato" w:hAnsi="Lato" w:cs="Arial"/>
          <w:bCs/>
          <w:spacing w:val="4"/>
        </w:rPr>
        <w:br/>
      </w:r>
      <w:r w:rsidRPr="00B40594">
        <w:rPr>
          <w:rFonts w:ascii="Lato" w:hAnsi="Lato" w:cs="Arial"/>
          <w:bCs/>
          <w:spacing w:val="4"/>
        </w:rPr>
        <w:t xml:space="preserve">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w:t>
      </w:r>
    </w:p>
    <w:p w14:paraId="76F31065" w14:textId="77777777" w:rsidR="00B53AF4" w:rsidRPr="00B40594" w:rsidRDefault="00B53AF4" w:rsidP="00B40594">
      <w:pPr>
        <w:tabs>
          <w:tab w:val="left" w:pos="2977"/>
        </w:tabs>
        <w:spacing w:after="240" w:line="240" w:lineRule="exact"/>
        <w:jc w:val="both"/>
        <w:outlineLvl w:val="0"/>
        <w:rPr>
          <w:rFonts w:ascii="Lato" w:hAnsi="Lato" w:cs="Arial"/>
          <w:bCs/>
          <w:spacing w:val="4"/>
        </w:rPr>
      </w:pPr>
      <w:r w:rsidRPr="00B40594">
        <w:rPr>
          <w:rFonts w:ascii="Lato" w:hAnsi="Lato" w:cs="Arial"/>
          <w:bCs/>
          <w:spacing w:val="4"/>
        </w:rPr>
        <w:t>W ocenie organu odwoławczego przedstawiony powyżej pogląd Trybunału Konstytucyjnego znajduje zastosowanie również w zakresie zasad ustalania lokalizacji inwestycji w zakresie terminalu oraz inwestycji towarzyszących.</w:t>
      </w:r>
      <w:r w:rsidRPr="00B40594">
        <w:rPr>
          <w:rFonts w:ascii="Lato" w:hAnsi="Lato" w:cs="Arial"/>
          <w:bCs/>
          <w:spacing w:val="4"/>
          <w:lang w:bidi="pl-PL"/>
        </w:rPr>
        <w:t xml:space="preserve"> Powyższe stwierdzenia mają bowiem uniwersalny wymiar, niezależnie od przedmiotu postępowania, z uwagi na jedność interpretacji w ramach spójnego systemu prawa.</w:t>
      </w:r>
    </w:p>
    <w:p w14:paraId="2A3B52AD" w14:textId="26DF5A4A" w:rsidR="00075F4E" w:rsidRPr="007C3A26" w:rsidRDefault="00075F4E" w:rsidP="00B40594">
      <w:pPr>
        <w:tabs>
          <w:tab w:val="left" w:pos="2977"/>
        </w:tabs>
        <w:spacing w:after="240" w:line="240" w:lineRule="exact"/>
        <w:jc w:val="both"/>
        <w:outlineLvl w:val="0"/>
        <w:rPr>
          <w:rFonts w:ascii="Lato" w:hAnsi="Lato" w:cs="Arial"/>
          <w:bCs/>
          <w:spacing w:val="4"/>
        </w:rPr>
      </w:pPr>
      <w:r w:rsidRPr="007C3A26">
        <w:rPr>
          <w:rFonts w:ascii="Lato" w:hAnsi="Lato" w:cs="Arial"/>
          <w:bCs/>
          <w:spacing w:val="4"/>
        </w:rPr>
        <w:t>W niniejszej sprawie działki skarżąc</w:t>
      </w:r>
      <w:r w:rsidR="00B53AF4" w:rsidRPr="007C3A26">
        <w:rPr>
          <w:rFonts w:ascii="Lato" w:hAnsi="Lato" w:cs="Arial"/>
          <w:bCs/>
          <w:spacing w:val="4"/>
        </w:rPr>
        <w:t>ego</w:t>
      </w:r>
      <w:r w:rsidRPr="007C3A26">
        <w:rPr>
          <w:rFonts w:ascii="Lato" w:hAnsi="Lato" w:cs="Arial"/>
          <w:bCs/>
          <w:spacing w:val="4"/>
        </w:rPr>
        <w:t xml:space="preserve"> </w:t>
      </w:r>
      <w:r w:rsidR="0012144A" w:rsidRPr="007C3A26">
        <w:rPr>
          <w:rFonts w:ascii="Lato" w:hAnsi="Lato" w:cs="Arial"/>
          <w:bCs/>
          <w:spacing w:val="4"/>
          <w:lang w:bidi="pl-PL"/>
        </w:rPr>
        <w:t xml:space="preserve">nr 132/5, </w:t>
      </w:r>
      <w:r w:rsidR="007802B8" w:rsidRPr="007C3A26">
        <w:rPr>
          <w:rFonts w:ascii="Lato" w:hAnsi="Lato" w:cs="Arial"/>
          <w:bCs/>
          <w:spacing w:val="4"/>
          <w:lang w:bidi="pl-PL"/>
        </w:rPr>
        <w:t xml:space="preserve">nr </w:t>
      </w:r>
      <w:r w:rsidR="0012144A" w:rsidRPr="007C3A26">
        <w:rPr>
          <w:rFonts w:ascii="Lato" w:hAnsi="Lato" w:cs="Arial"/>
          <w:bCs/>
          <w:spacing w:val="4"/>
          <w:lang w:bidi="pl-PL"/>
        </w:rPr>
        <w:t xml:space="preserve">132/7, </w:t>
      </w:r>
      <w:r w:rsidR="007802B8" w:rsidRPr="007C3A26">
        <w:rPr>
          <w:rFonts w:ascii="Lato" w:hAnsi="Lato" w:cs="Arial"/>
          <w:bCs/>
          <w:spacing w:val="4"/>
          <w:lang w:bidi="pl-PL"/>
        </w:rPr>
        <w:t xml:space="preserve">nr </w:t>
      </w:r>
      <w:r w:rsidR="0012144A" w:rsidRPr="007C3A26">
        <w:rPr>
          <w:rFonts w:ascii="Lato" w:hAnsi="Lato" w:cs="Arial"/>
          <w:bCs/>
          <w:spacing w:val="4"/>
          <w:lang w:bidi="pl-PL"/>
        </w:rPr>
        <w:t xml:space="preserve">132/8, </w:t>
      </w:r>
      <w:r w:rsidR="007802B8" w:rsidRPr="007C3A26">
        <w:rPr>
          <w:rFonts w:ascii="Lato" w:hAnsi="Lato" w:cs="Arial"/>
          <w:bCs/>
          <w:spacing w:val="4"/>
          <w:lang w:bidi="pl-PL"/>
        </w:rPr>
        <w:t xml:space="preserve">nr </w:t>
      </w:r>
      <w:r w:rsidR="0012144A" w:rsidRPr="007C3A26">
        <w:rPr>
          <w:rFonts w:ascii="Lato" w:hAnsi="Lato" w:cs="Arial"/>
          <w:bCs/>
          <w:spacing w:val="4"/>
          <w:lang w:bidi="pl-PL"/>
        </w:rPr>
        <w:t xml:space="preserve">134, </w:t>
      </w:r>
      <w:r w:rsidR="007802B8" w:rsidRPr="007C3A26">
        <w:rPr>
          <w:rFonts w:ascii="Lato" w:hAnsi="Lato" w:cs="Arial"/>
          <w:bCs/>
          <w:spacing w:val="4"/>
          <w:lang w:bidi="pl-PL"/>
        </w:rPr>
        <w:t xml:space="preserve">nr </w:t>
      </w:r>
      <w:r w:rsidR="0012144A" w:rsidRPr="007C3A26">
        <w:rPr>
          <w:rFonts w:ascii="Lato" w:hAnsi="Lato" w:cs="Arial"/>
          <w:bCs/>
          <w:spacing w:val="4"/>
          <w:lang w:bidi="pl-PL"/>
        </w:rPr>
        <w:t xml:space="preserve">135, </w:t>
      </w:r>
      <w:r w:rsidR="007802B8" w:rsidRPr="007C3A26">
        <w:rPr>
          <w:rFonts w:ascii="Lato" w:hAnsi="Lato" w:cs="Arial"/>
          <w:bCs/>
          <w:spacing w:val="4"/>
          <w:lang w:bidi="pl-PL"/>
        </w:rPr>
        <w:br/>
        <w:t xml:space="preserve">nr </w:t>
      </w:r>
      <w:r w:rsidR="0012144A" w:rsidRPr="007C3A26">
        <w:rPr>
          <w:rFonts w:ascii="Lato" w:hAnsi="Lato" w:cs="Arial"/>
          <w:bCs/>
          <w:spacing w:val="4"/>
          <w:lang w:bidi="pl-PL"/>
        </w:rPr>
        <w:t xml:space="preserve">142/4, z obrębu Głębocko, </w:t>
      </w:r>
      <w:r w:rsidRPr="007C3A26">
        <w:rPr>
          <w:rFonts w:ascii="Lato" w:hAnsi="Lato" w:cs="Arial"/>
          <w:bCs/>
          <w:spacing w:val="4"/>
        </w:rPr>
        <w:t xml:space="preserve">zostały wymienione w tabeli znajdującej się w pkt X zaskarżonej decyzji dotyczącym ograniczeń w korzystaniu z nieruchomości (art. 24 ust. 1, ust. 1b specustawy gazowej). Jak wynika z treści art. 24 ust. 1 specustawy gazowej ustawodawca umożliwił organowi wydającemu decyzję o ustaleniu lokalizacji inwestycji wprowadzenie ograniczenia prawa własności nieruchomości określonych w art. 10 ust. 1 pkt 8 specustawy gazowej poprzez udzielenie zezwolenia w szczególności na zakładanie i przeprowadzenie na nieruchomości ciągów drenażowych, przewodów </w:t>
      </w:r>
      <w:r w:rsidRPr="007C3A26">
        <w:rPr>
          <w:rFonts w:ascii="Lato" w:hAnsi="Lato" w:cs="Arial"/>
          <w:bCs/>
          <w:spacing w:val="4"/>
        </w:rPr>
        <w:br/>
        <w:t xml:space="preserve">i urządzeń służących do przesyłania płynów, pary, gazów i energii elektrycznej oraz urządzeń łączności publicznej i sygnalizacji, a także innych podziemnych, naziemnych lub nadziemnych obiektów i urządzeń niezbędnych do założenia, przeprowadzenia oraz korzystania z tych przewodów i urządzeń. Jednocześnie wskazano cel, dla którego wprowadza się takie ograniczenie – zapewnienie prawa do wejścia na teren </w:t>
      </w:r>
      <w:r w:rsidRPr="007C3A26">
        <w:rPr>
          <w:rFonts w:ascii="Lato" w:hAnsi="Lato" w:cs="Arial"/>
          <w:bCs/>
          <w:spacing w:val="4"/>
        </w:rPr>
        <w:lastRenderedPageBreak/>
        <w:t>nieruchomości dla prowadzenia na nich budowy inwestycji w zakresie terminalu, a także prac związanych z rozbiórką, przebudową, zmianą sposobu użytkowania, utrzymaniem, eksploatacją, użytkowaniem, remontami oraz usuwaniem awarii.</w:t>
      </w:r>
      <w:r w:rsidRPr="007C3A26">
        <w:rPr>
          <w:rFonts w:ascii="Lato" w:hAnsi="Lato" w:cs="Arial"/>
          <w:bCs/>
          <w:spacing w:val="4"/>
          <w:lang w:bidi="pl-PL"/>
        </w:rPr>
        <w:t xml:space="preserve"> </w:t>
      </w:r>
    </w:p>
    <w:p w14:paraId="57D06EDF" w14:textId="0EC2AFC9" w:rsidR="00075F4E" w:rsidRPr="007C3A26" w:rsidRDefault="00075F4E" w:rsidP="00B40594">
      <w:pPr>
        <w:tabs>
          <w:tab w:val="left" w:pos="2977"/>
        </w:tabs>
        <w:spacing w:after="240" w:line="240" w:lineRule="exact"/>
        <w:jc w:val="both"/>
        <w:outlineLvl w:val="0"/>
        <w:rPr>
          <w:rFonts w:ascii="Lato" w:hAnsi="Lato" w:cs="Arial"/>
          <w:bCs/>
          <w:spacing w:val="4"/>
          <w:lang w:bidi="pl-PL"/>
        </w:rPr>
      </w:pPr>
      <w:r w:rsidRPr="007C3A26">
        <w:rPr>
          <w:rFonts w:ascii="Lato" w:hAnsi="Lato" w:cs="Arial"/>
          <w:bCs/>
          <w:spacing w:val="4"/>
          <w:lang w:bidi="pl-PL"/>
        </w:rPr>
        <w:t xml:space="preserve">Przepis art. 24 specustawy gazowej, podobnie jak m.in. art. 22 </w:t>
      </w:r>
      <w:r w:rsidR="00DF6B5B" w:rsidRPr="007C3A26">
        <w:rPr>
          <w:rFonts w:ascii="Lato" w:hAnsi="Lato" w:cs="Arial"/>
          <w:bCs/>
          <w:spacing w:val="4"/>
          <w:lang w:bidi="pl-PL"/>
        </w:rPr>
        <w:t>specustawy przesyłowej</w:t>
      </w:r>
      <w:r w:rsidRPr="007C3A26">
        <w:rPr>
          <w:rFonts w:ascii="Lato" w:hAnsi="Lato" w:cs="Arial"/>
          <w:bCs/>
          <w:spacing w:val="4"/>
          <w:lang w:bidi="pl-PL"/>
        </w:rPr>
        <w:t xml:space="preserve">, oraz art. 30 ustawy z </w:t>
      </w:r>
      <w:r w:rsidR="00E27CC4" w:rsidRPr="007C3A26">
        <w:rPr>
          <w:rFonts w:ascii="Lato" w:hAnsi="Lato" w:cs="Arial"/>
          <w:bCs/>
          <w:spacing w:val="4"/>
          <w:lang w:bidi="pl-PL"/>
        </w:rPr>
        <w:t xml:space="preserve">dnia </w:t>
      </w:r>
      <w:r w:rsidRPr="007C3A26">
        <w:rPr>
          <w:rFonts w:ascii="Lato" w:hAnsi="Lato" w:cs="Arial"/>
          <w:bCs/>
          <w:spacing w:val="4"/>
          <w:lang w:bidi="pl-PL"/>
        </w:rPr>
        <w:t xml:space="preserve">22 lutego 2019 r. o przygotowaniu i realizacji strategicznych inwestycji w sektorze naftowym (t.j. Dz.U. z 2024 r. poz. 1839) na zasadzie lex specialis przewiduje szczególny tryb ustanowienia i wykonywania służebności publicznej </w:t>
      </w:r>
      <w:r w:rsidRPr="007C3A26">
        <w:rPr>
          <w:rFonts w:ascii="Lato" w:hAnsi="Lato" w:cs="Arial"/>
          <w:bCs/>
          <w:spacing w:val="4"/>
          <w:lang w:bidi="pl-PL"/>
        </w:rPr>
        <w:br/>
        <w:t xml:space="preserve">w stosunku do generalnego rozwiązania dotyczącego służebności publicznej zawartego w art. 124 ustawy z dnia 21 sierpnia 1997 r. o gospodarce nieruchomościami (t.j. </w:t>
      </w:r>
      <w:r w:rsidR="00A75E42" w:rsidRPr="007C3A26">
        <w:rPr>
          <w:rFonts w:ascii="Lato" w:hAnsi="Lato" w:cs="Arial"/>
          <w:bCs/>
          <w:spacing w:val="4"/>
          <w:lang w:bidi="pl-PL"/>
        </w:rPr>
        <w:t xml:space="preserve">Dz.U. </w:t>
      </w:r>
      <w:r w:rsidR="00A75E42" w:rsidRPr="007C3A26">
        <w:rPr>
          <w:rFonts w:ascii="Lato" w:hAnsi="Lato" w:cs="Arial"/>
          <w:bCs/>
          <w:spacing w:val="4"/>
          <w:lang w:bidi="pl-PL"/>
        </w:rPr>
        <w:br/>
        <w:t>z 2026 r. poz. 399</w:t>
      </w:r>
      <w:r w:rsidRPr="007C3A26">
        <w:rPr>
          <w:rFonts w:ascii="Lato" w:hAnsi="Lato" w:cs="Arial"/>
          <w:bCs/>
          <w:spacing w:val="4"/>
          <w:lang w:bidi="pl-PL"/>
        </w:rPr>
        <w:t xml:space="preserve">), zwanej dalej „ugn”. </w:t>
      </w:r>
      <w:r w:rsidRPr="007C3A26">
        <w:rPr>
          <w:rFonts w:ascii="Lato" w:hAnsi="Lato"/>
          <w:spacing w:val="4"/>
        </w:rPr>
        <w:t>Konstrukcja prawna służebności publicznej staje się coraz ważniejszym publicznoprawnym instrumentem kształtowania treści prawa własności w rozumieniu art. 140 k</w:t>
      </w:r>
      <w:r w:rsidR="00C328C5" w:rsidRPr="007C3A26">
        <w:rPr>
          <w:rFonts w:ascii="Lato" w:hAnsi="Lato"/>
          <w:spacing w:val="4"/>
        </w:rPr>
        <w:t>odeks</w:t>
      </w:r>
      <w:r w:rsidR="00A75E42" w:rsidRPr="007C3A26">
        <w:rPr>
          <w:rFonts w:ascii="Lato" w:hAnsi="Lato"/>
          <w:spacing w:val="4"/>
        </w:rPr>
        <w:t>u</w:t>
      </w:r>
      <w:r w:rsidR="00C328C5" w:rsidRPr="007C3A26">
        <w:rPr>
          <w:rFonts w:ascii="Lato" w:hAnsi="Lato"/>
          <w:spacing w:val="4"/>
        </w:rPr>
        <w:t xml:space="preserve"> cywiln</w:t>
      </w:r>
      <w:r w:rsidR="00A75E42" w:rsidRPr="007C3A26">
        <w:rPr>
          <w:rFonts w:ascii="Lato" w:hAnsi="Lato"/>
          <w:spacing w:val="4"/>
        </w:rPr>
        <w:t>ego</w:t>
      </w:r>
      <w:r w:rsidRPr="007C3A26">
        <w:rPr>
          <w:rFonts w:ascii="Lato" w:hAnsi="Lato"/>
          <w:spacing w:val="4"/>
        </w:rPr>
        <w:t xml:space="preserve">. Służebność publiczna jest ustanawiana w interesie publicznym. Kształtuje treść prawa własności w ramach kompetencji regulacyjnej – narzucając właścicielowi obowiązek określonego zachowania (znoszenia ingerencji). Jej istotą jest właśnie ograniczenie uprawnień właścicielskich </w:t>
      </w:r>
      <w:r w:rsidR="00A75E42" w:rsidRPr="007C3A26">
        <w:rPr>
          <w:rFonts w:ascii="Lato" w:hAnsi="Lato"/>
          <w:spacing w:val="4"/>
        </w:rPr>
        <w:br/>
      </w:r>
      <w:r w:rsidRPr="007C3A26">
        <w:rPr>
          <w:rFonts w:ascii="Lato" w:hAnsi="Lato"/>
          <w:spacing w:val="4"/>
        </w:rPr>
        <w:t xml:space="preserve">i narzucenie publicznego współkorzystania z nieruchomości w interesie publicznym </w:t>
      </w:r>
      <w:r w:rsidR="00A75E42" w:rsidRPr="007C3A26">
        <w:rPr>
          <w:rFonts w:ascii="Lato" w:hAnsi="Lato"/>
          <w:spacing w:val="4"/>
        </w:rPr>
        <w:br/>
      </w:r>
      <w:r w:rsidRPr="007C3A26">
        <w:rPr>
          <w:rFonts w:ascii="Lato" w:hAnsi="Lato"/>
          <w:spacing w:val="4"/>
        </w:rPr>
        <w:t xml:space="preserve">(por. M. </w:t>
      </w:r>
      <w:proofErr w:type="spellStart"/>
      <w:r w:rsidRPr="007C3A26">
        <w:rPr>
          <w:rFonts w:ascii="Lato" w:hAnsi="Lato"/>
          <w:spacing w:val="4"/>
        </w:rPr>
        <w:t>Gdesz</w:t>
      </w:r>
      <w:proofErr w:type="spellEnd"/>
      <w:r w:rsidRPr="007C3A26">
        <w:rPr>
          <w:rFonts w:ascii="Lato" w:hAnsi="Lato"/>
          <w:spacing w:val="4"/>
        </w:rPr>
        <w:t xml:space="preserve">, A. </w:t>
      </w:r>
      <w:proofErr w:type="spellStart"/>
      <w:r w:rsidRPr="007C3A26">
        <w:rPr>
          <w:rFonts w:ascii="Lato" w:hAnsi="Lato"/>
          <w:spacing w:val="4"/>
        </w:rPr>
        <w:t>Milicka-Stojek</w:t>
      </w:r>
      <w:proofErr w:type="spellEnd"/>
      <w:r w:rsidRPr="007C3A26">
        <w:rPr>
          <w:rFonts w:ascii="Lato" w:hAnsi="Lato"/>
          <w:spacing w:val="4"/>
        </w:rPr>
        <w:t xml:space="preserve">, C. Kowalczyk, D. Konieczny: „Aspekty prawne </w:t>
      </w:r>
      <w:r w:rsidR="00A75E42" w:rsidRPr="007C3A26">
        <w:rPr>
          <w:rFonts w:ascii="Lato" w:hAnsi="Lato"/>
          <w:spacing w:val="4"/>
        </w:rPr>
        <w:br/>
      </w:r>
      <w:r w:rsidRPr="007C3A26">
        <w:rPr>
          <w:rFonts w:ascii="Lato" w:hAnsi="Lato"/>
          <w:spacing w:val="4"/>
        </w:rPr>
        <w:t>i ekonomiczne administracyjnego ograniczenia korzystania z nieruchomości – służebność publiczna i odszkodowania”, wyd. Instytut Infrastruktury Liniowej, Olsztyn 2016).</w:t>
      </w:r>
      <w:r w:rsidR="00F47511" w:rsidRPr="007C3A26">
        <w:rPr>
          <w:rFonts w:ascii="Lato" w:hAnsi="Lato"/>
          <w:spacing w:val="4"/>
        </w:rPr>
        <w:t xml:space="preserve"> </w:t>
      </w:r>
      <w:r w:rsidRPr="007C3A26">
        <w:rPr>
          <w:rFonts w:ascii="Lato" w:hAnsi="Lato"/>
          <w:spacing w:val="4"/>
        </w:rPr>
        <w:t xml:space="preserve">Zatem podstawowym elementem służebności publicznej jest dokonane w interesie publicznym, w drodze aktu administracyjnego (decyzji administracyjnej) ograniczenie prawa własności dla umożliwienia realizacji celu publicznego. Na poziomie ustawowym pojęcie „celu publicznego” zostało zdefiniowane w art. 6 ugn. Decyzja administracyjna </w:t>
      </w:r>
      <w:r w:rsidR="00A75E42" w:rsidRPr="007C3A26">
        <w:rPr>
          <w:rFonts w:ascii="Lato" w:hAnsi="Lato"/>
          <w:spacing w:val="4"/>
        </w:rPr>
        <w:br/>
      </w:r>
      <w:r w:rsidRPr="007C3A26">
        <w:rPr>
          <w:rFonts w:ascii="Lato" w:hAnsi="Lato"/>
          <w:spacing w:val="4"/>
        </w:rPr>
        <w:t xml:space="preserve">o ograniczeniu w korzystaniu z nieruchomości, narzuca zatem określoną treść służebności publicznej każdoczesnemu właścicielowi nieruchomości, w związku </w:t>
      </w:r>
      <w:r w:rsidR="00A75E42" w:rsidRPr="007C3A26">
        <w:rPr>
          <w:rFonts w:ascii="Lato" w:hAnsi="Lato"/>
          <w:spacing w:val="4"/>
        </w:rPr>
        <w:br/>
      </w:r>
      <w:r w:rsidRPr="007C3A26">
        <w:rPr>
          <w:rFonts w:ascii="Lato" w:hAnsi="Lato"/>
          <w:spacing w:val="4"/>
        </w:rPr>
        <w:t>z realizacją określonego celu publicznego</w:t>
      </w:r>
      <w:r w:rsidRPr="007C3A26">
        <w:rPr>
          <w:rFonts w:ascii="Lato" w:hAnsi="Lato" w:cs="Arial"/>
          <w:bCs/>
          <w:spacing w:val="4"/>
          <w:lang w:bidi="pl-PL"/>
        </w:rPr>
        <w:t xml:space="preserve">. </w:t>
      </w:r>
    </w:p>
    <w:p w14:paraId="723A5154" w14:textId="77777777" w:rsidR="00075F4E" w:rsidRPr="007C3A26" w:rsidRDefault="00075F4E" w:rsidP="00B40594">
      <w:pPr>
        <w:spacing w:after="240" w:line="240" w:lineRule="exact"/>
        <w:jc w:val="both"/>
        <w:outlineLvl w:val="0"/>
        <w:rPr>
          <w:rFonts w:ascii="Lato" w:eastAsia="MS Mincho" w:hAnsi="Lato" w:cs="Arial"/>
          <w:bCs/>
          <w:color w:val="000000"/>
          <w:spacing w:val="4"/>
          <w:lang w:bidi="pl-PL"/>
        </w:rPr>
      </w:pPr>
      <w:r w:rsidRPr="007C3A26">
        <w:rPr>
          <w:rFonts w:ascii="Lato" w:eastAsia="MS Mincho" w:hAnsi="Lato" w:cs="Arial"/>
          <w:bCs/>
          <w:color w:val="000000"/>
          <w:spacing w:val="4"/>
          <w:lang w:bidi="pl-PL"/>
        </w:rPr>
        <w:t xml:space="preserve">W omawianym przypadku nie stosuje się procedury uzyskiwania zgody właściciela nieruchomości na ograniczenie w korzystaniu z nieruchomości, bowiem wyłączony jest obowiązek prowadzenia rokowań między właścicielem nieruchomości a inwestorem </w:t>
      </w:r>
      <w:r w:rsidRPr="007C3A26">
        <w:rPr>
          <w:rFonts w:ascii="Lato" w:eastAsia="MS Mincho" w:hAnsi="Lato" w:cs="Arial"/>
          <w:bCs/>
          <w:color w:val="000000"/>
          <w:spacing w:val="4"/>
          <w:lang w:bidi="pl-PL"/>
        </w:rPr>
        <w:br/>
        <w:t xml:space="preserve">co do przeprowadzenia robót. Specustawa gazowa nie uzależnia uzyskania decyzji </w:t>
      </w:r>
      <w:r w:rsidRPr="007C3A26">
        <w:rPr>
          <w:rFonts w:ascii="Lato" w:eastAsia="MS Mincho" w:hAnsi="Lato" w:cs="Arial"/>
          <w:bCs/>
          <w:color w:val="000000"/>
          <w:spacing w:val="4"/>
          <w:lang w:bidi="pl-PL"/>
        </w:rPr>
        <w:br/>
        <w:t xml:space="preserve">o ustaleniu lokalizacji inwestycji od zgód lub umów pochodzących od podmiotów, którym przysługuje tytuł prawny do gruntu. W tym zakresie wystarczające jest wskazanie </w:t>
      </w:r>
      <w:r w:rsidRPr="007C3A26">
        <w:rPr>
          <w:rFonts w:ascii="Lato" w:eastAsia="MS Mincho" w:hAnsi="Lato" w:cs="Arial"/>
          <w:bCs/>
          <w:color w:val="000000"/>
          <w:spacing w:val="4"/>
          <w:lang w:bidi="pl-PL"/>
        </w:rPr>
        <w:br/>
        <w:t xml:space="preserve">we wniosku konkretnych nieruchomości, których mają dotyczyć skutki o jakich mowa </w:t>
      </w:r>
      <w:r w:rsidRPr="007C3A26">
        <w:rPr>
          <w:rFonts w:ascii="Lato" w:eastAsia="MS Mincho" w:hAnsi="Lato" w:cs="Arial"/>
          <w:bCs/>
          <w:color w:val="000000"/>
          <w:spacing w:val="4"/>
          <w:lang w:bidi="pl-PL"/>
        </w:rPr>
        <w:br/>
        <w:t xml:space="preserve">w art. 24 ust. 1 ww. ustawy. Zauważyć bowiem należy, że art. 10 ust. 1 pkt </w:t>
      </w:r>
      <w:r w:rsidRPr="007C3A26">
        <w:rPr>
          <w:rFonts w:ascii="Lato" w:eastAsia="MS Mincho" w:hAnsi="Lato" w:cs="Arial"/>
          <w:bCs/>
          <w:color w:val="000000"/>
          <w:spacing w:val="4"/>
          <w:lang w:bidi="pl-PL"/>
        </w:rPr>
        <w:br/>
        <w:t xml:space="preserve">8 w zw. z art. 24 specustawy gazowej stanowi normę szczególną wobec art. 124 ust. </w:t>
      </w:r>
      <w:r w:rsidRPr="007C3A26">
        <w:rPr>
          <w:rFonts w:ascii="Lato" w:eastAsia="MS Mincho" w:hAnsi="Lato" w:cs="Arial"/>
          <w:bCs/>
          <w:color w:val="000000"/>
          <w:spacing w:val="4"/>
          <w:lang w:bidi="pl-PL"/>
        </w:rPr>
        <w:br/>
        <w:t xml:space="preserve">1 i ust. 3 ugn i okoliczność określenia ograniczeń w korzystaniu z nieruchomości </w:t>
      </w:r>
      <w:r w:rsidRPr="007C3A26">
        <w:rPr>
          <w:rFonts w:ascii="Lato" w:eastAsia="MS Mincho" w:hAnsi="Lato" w:cs="Arial"/>
          <w:bCs/>
          <w:color w:val="000000"/>
          <w:spacing w:val="4"/>
          <w:lang w:bidi="pl-PL"/>
        </w:rPr>
        <w:br/>
        <w:t xml:space="preserve">i prowadzenia robót może być w tym przypadku oparta tylko na ww. przepisach specustawy gazowej (por. wyrok Naczelnego Sądu Administracyjnego z dnia </w:t>
      </w:r>
      <w:r w:rsidRPr="007C3A26">
        <w:rPr>
          <w:rFonts w:ascii="Lato" w:eastAsia="MS Mincho" w:hAnsi="Lato" w:cs="Arial"/>
          <w:bCs/>
          <w:color w:val="000000"/>
          <w:spacing w:val="4"/>
          <w:lang w:bidi="pl-PL"/>
        </w:rPr>
        <w:br/>
        <w:t xml:space="preserve">23 października 2024 r., sygn. akt II OSK 1477/24, oraz wyrok Naczelnego Sądu Administracyjnego z dnia 18 lutego 2021 r., sygn. akt II OSK 2897/20, </w:t>
      </w:r>
      <w:proofErr w:type="spellStart"/>
      <w:r w:rsidRPr="007C3A26">
        <w:rPr>
          <w:rFonts w:ascii="Lato" w:eastAsia="MS Mincho" w:hAnsi="Lato" w:cs="Arial"/>
          <w:bCs/>
          <w:color w:val="000000"/>
          <w:spacing w:val="4"/>
          <w:lang w:bidi="pl-PL"/>
        </w:rPr>
        <w:t>opubl</w:t>
      </w:r>
      <w:proofErr w:type="spellEnd"/>
      <w:r w:rsidRPr="007C3A26">
        <w:rPr>
          <w:rFonts w:ascii="Lato" w:eastAsia="MS Mincho" w:hAnsi="Lato" w:cs="Arial"/>
          <w:bCs/>
          <w:color w:val="000000"/>
          <w:spacing w:val="4"/>
          <w:lang w:bidi="pl-PL"/>
        </w:rPr>
        <w:t xml:space="preserve">. Centralna Baza Orzeczeń Sądów Administracyjnych, </w:t>
      </w:r>
      <w:proofErr w:type="spellStart"/>
      <w:r w:rsidRPr="007C3A26">
        <w:rPr>
          <w:rFonts w:ascii="Lato" w:eastAsia="MS Mincho" w:hAnsi="Lato" w:cs="Arial"/>
          <w:bCs/>
          <w:color w:val="000000"/>
          <w:spacing w:val="4"/>
          <w:lang w:bidi="pl-PL"/>
        </w:rPr>
        <w:t>opubl</w:t>
      </w:r>
      <w:proofErr w:type="spellEnd"/>
      <w:r w:rsidRPr="007C3A26">
        <w:rPr>
          <w:rFonts w:ascii="Lato" w:eastAsia="MS Mincho" w:hAnsi="Lato" w:cs="Arial"/>
          <w:bCs/>
          <w:color w:val="000000"/>
          <w:spacing w:val="4"/>
          <w:lang w:bidi="pl-PL"/>
        </w:rPr>
        <w:t>. Centralna Baza Orzeczeń Sądów Administracyjnych).</w:t>
      </w:r>
      <w:r w:rsidRPr="007C3A26" w:rsidDel="000F35D5">
        <w:rPr>
          <w:rFonts w:ascii="Lato" w:eastAsia="MS Mincho" w:hAnsi="Lato" w:cs="Arial"/>
          <w:bCs/>
          <w:color w:val="000000"/>
          <w:spacing w:val="4"/>
          <w:lang w:bidi="pl-PL"/>
        </w:rPr>
        <w:t xml:space="preserve"> </w:t>
      </w:r>
    </w:p>
    <w:p w14:paraId="424EE812" w14:textId="48F4B25D" w:rsidR="00075F4E" w:rsidRPr="007C3A26" w:rsidRDefault="00075F4E" w:rsidP="00B40594">
      <w:pPr>
        <w:spacing w:after="240" w:line="240" w:lineRule="exact"/>
        <w:jc w:val="both"/>
        <w:outlineLvl w:val="0"/>
        <w:rPr>
          <w:rFonts w:ascii="Lato" w:eastAsia="MS Mincho" w:hAnsi="Lato" w:cs="Arial"/>
          <w:bCs/>
          <w:color w:val="000000"/>
          <w:spacing w:val="4"/>
          <w:lang w:bidi="pl-PL"/>
        </w:rPr>
      </w:pPr>
      <w:r w:rsidRPr="007C3A26">
        <w:rPr>
          <w:rFonts w:ascii="Lato" w:eastAsia="MS Mincho" w:hAnsi="Lato" w:cs="Arial"/>
          <w:bCs/>
          <w:color w:val="000000"/>
          <w:spacing w:val="4"/>
          <w:lang w:bidi="pl-PL"/>
        </w:rPr>
        <w:t>Skarżący wnosząc odwołani</w:t>
      </w:r>
      <w:r w:rsidR="00DD58DF" w:rsidRPr="007C3A26">
        <w:rPr>
          <w:rFonts w:ascii="Lato" w:eastAsia="MS Mincho" w:hAnsi="Lato" w:cs="Arial"/>
          <w:bCs/>
          <w:color w:val="000000"/>
          <w:spacing w:val="4"/>
          <w:lang w:bidi="pl-PL"/>
        </w:rPr>
        <w:t>e</w:t>
      </w:r>
      <w:r w:rsidRPr="007C3A26">
        <w:rPr>
          <w:rFonts w:ascii="Lato" w:eastAsia="MS Mincho" w:hAnsi="Lato" w:cs="Arial"/>
          <w:bCs/>
          <w:color w:val="000000"/>
          <w:spacing w:val="4"/>
          <w:lang w:bidi="pl-PL"/>
        </w:rPr>
        <w:t xml:space="preserve"> domaga się przeprowadzenia rzeczonej inwestycji </w:t>
      </w:r>
      <w:r w:rsidRPr="007C3A26">
        <w:rPr>
          <w:rFonts w:ascii="Lato" w:eastAsia="MS Mincho" w:hAnsi="Lato" w:cs="Arial"/>
          <w:bCs/>
          <w:color w:val="000000"/>
          <w:spacing w:val="4"/>
          <w:lang w:bidi="pl-PL"/>
        </w:rPr>
        <w:br/>
        <w:t xml:space="preserve">w sposób alternatywny, tj. zgodny z </w:t>
      </w:r>
      <w:r w:rsidR="00E93F04" w:rsidRPr="007C3A26">
        <w:rPr>
          <w:rFonts w:ascii="Lato" w:eastAsia="MS Mincho" w:hAnsi="Lato" w:cs="Arial"/>
          <w:bCs/>
          <w:color w:val="000000"/>
          <w:spacing w:val="4"/>
          <w:lang w:bidi="pl-PL"/>
        </w:rPr>
        <w:t>jego</w:t>
      </w:r>
      <w:r w:rsidRPr="007C3A26">
        <w:rPr>
          <w:rFonts w:ascii="Lato" w:eastAsia="MS Mincho" w:hAnsi="Lato" w:cs="Arial"/>
          <w:bCs/>
          <w:color w:val="000000"/>
          <w:spacing w:val="4"/>
          <w:lang w:bidi="pl-PL"/>
        </w:rPr>
        <w:t xml:space="preserve"> oczekiwaniami</w:t>
      </w:r>
      <w:r w:rsidR="00C7575A" w:rsidRPr="007C3A26">
        <w:rPr>
          <w:rFonts w:ascii="Lato" w:eastAsia="Times New Roman" w:hAnsi="Lato" w:cs="Times New Roman"/>
          <w:color w:val="000000"/>
          <w:spacing w:val="4"/>
          <w:lang w:eastAsia="pl-PL"/>
        </w:rPr>
        <w:t xml:space="preserve"> („</w:t>
      </w:r>
      <w:r w:rsidR="00C7575A" w:rsidRPr="007C3A26">
        <w:rPr>
          <w:rFonts w:ascii="Lato" w:eastAsia="MS Mincho" w:hAnsi="Lato" w:cs="Arial"/>
          <w:bCs/>
          <w:color w:val="000000"/>
          <w:spacing w:val="4"/>
          <w:lang w:bidi="pl-PL"/>
        </w:rPr>
        <w:t>w okolicy starego koryta rzeki”)</w:t>
      </w:r>
      <w:r w:rsidRPr="007C3A26">
        <w:rPr>
          <w:rFonts w:ascii="Lato" w:eastAsia="MS Mincho" w:hAnsi="Lato" w:cs="Arial"/>
          <w:bCs/>
          <w:color w:val="000000"/>
          <w:spacing w:val="4"/>
          <w:lang w:bidi="pl-PL"/>
        </w:rPr>
        <w:t xml:space="preserve">. Jednakże przepisy specustawy gazowej, jak już to zasygnalizowano powyżej, nie zobowiązują inwestora do przedstawienia różnych wariantów przebiegu planowanej inwestycji i nie ma on obowiązku uwzględniać oczekiwań stron postępowania. </w:t>
      </w:r>
      <w:r w:rsidR="0012144A" w:rsidRPr="007C3A26">
        <w:rPr>
          <w:rFonts w:ascii="Lato" w:eastAsia="MS Mincho" w:hAnsi="Lato" w:cs="Arial"/>
          <w:bCs/>
          <w:color w:val="000000"/>
          <w:spacing w:val="4"/>
          <w:lang w:bidi="pl-PL"/>
        </w:rPr>
        <w:t xml:space="preserve">Tego rodzaju żądanie -  aczkolwiek zrozumiałe faktycznie - nie upoważnia prawnie ani organu I instancji ani organu II instancji do korekty ustalenia lokalizacji inwestycji we własnym zakresie lub nakazania takowej inwestorowi. </w:t>
      </w:r>
      <w:r w:rsidRPr="007C3A26">
        <w:rPr>
          <w:rFonts w:ascii="Lato" w:eastAsia="MS Mincho" w:hAnsi="Lato" w:cs="Arial"/>
          <w:bCs/>
          <w:color w:val="000000"/>
          <w:spacing w:val="4"/>
          <w:lang w:bidi="pl-PL"/>
        </w:rPr>
        <w:t xml:space="preserve">Dlatego też organy I </w:t>
      </w:r>
      <w:proofErr w:type="spellStart"/>
      <w:r w:rsidRPr="007C3A26">
        <w:rPr>
          <w:rFonts w:ascii="Lato" w:eastAsia="MS Mincho" w:hAnsi="Lato" w:cs="Arial"/>
          <w:bCs/>
          <w:color w:val="000000"/>
          <w:spacing w:val="4"/>
          <w:lang w:bidi="pl-PL"/>
        </w:rPr>
        <w:t>i</w:t>
      </w:r>
      <w:proofErr w:type="spellEnd"/>
      <w:r w:rsidRPr="007C3A26">
        <w:rPr>
          <w:rFonts w:ascii="Lato" w:eastAsia="MS Mincho" w:hAnsi="Lato" w:cs="Arial"/>
          <w:bCs/>
          <w:color w:val="000000"/>
          <w:spacing w:val="4"/>
          <w:lang w:bidi="pl-PL"/>
        </w:rPr>
        <w:t xml:space="preserve"> II instancji mają obowiązek dokonać oceny zgodności z prawem takiego wariantu, jaki przedstawił </w:t>
      </w:r>
      <w:r w:rsidRPr="007C3A26">
        <w:rPr>
          <w:rFonts w:ascii="Lato" w:eastAsia="MS Mincho" w:hAnsi="Lato" w:cs="Arial"/>
          <w:bCs/>
          <w:color w:val="000000"/>
          <w:spacing w:val="4"/>
          <w:lang w:bidi="pl-PL"/>
        </w:rPr>
        <w:lastRenderedPageBreak/>
        <w:t xml:space="preserve">wnioskodawca, nie są natomiast władne nakazać inwestorowi przyjęcia innych rozwiązań lokalizacyjnych, skoro te przedstawione przez inwestora są zgodne z prawem. Stanowisko to potwierdza niekwestionowany dorobek powołanego już w niniejszej decyzji orzecznictwa sądów administracyjnych. Ze wskazanego orzecznictwa wynika, </w:t>
      </w:r>
      <w:r w:rsidR="007640BC" w:rsidRPr="007C3A26">
        <w:rPr>
          <w:rFonts w:ascii="Lato" w:eastAsia="MS Mincho" w:hAnsi="Lato" w:cs="Arial"/>
          <w:bCs/>
          <w:color w:val="000000"/>
          <w:spacing w:val="4"/>
          <w:lang w:bidi="pl-PL"/>
        </w:rPr>
        <w:br/>
      </w:r>
      <w:r w:rsidRPr="007C3A26">
        <w:rPr>
          <w:rFonts w:ascii="Lato" w:eastAsia="MS Mincho" w:hAnsi="Lato" w:cs="Arial"/>
          <w:bCs/>
          <w:color w:val="000000"/>
          <w:spacing w:val="4"/>
          <w:lang w:bidi="pl-PL"/>
        </w:rPr>
        <w:t xml:space="preserve">iż badanie zasadności ingerencji w prawo własności i badanie zasadności określonego przebiegu inwestycji, ogranicza się do kontroli zgodności z przepisami wariantu przedstawionego przez wnioskodawcę bez prawa do dokonywania zmian </w:t>
      </w:r>
      <w:r w:rsidR="00A70F7F" w:rsidRPr="007C3A26">
        <w:rPr>
          <w:rFonts w:ascii="Lato" w:eastAsia="MS Mincho" w:hAnsi="Lato" w:cs="Arial"/>
          <w:bCs/>
          <w:color w:val="000000"/>
          <w:spacing w:val="4"/>
          <w:lang w:bidi="pl-PL"/>
        </w:rPr>
        <w:br/>
      </w:r>
      <w:r w:rsidRPr="007C3A26">
        <w:rPr>
          <w:rFonts w:ascii="Lato" w:eastAsia="MS Mincho" w:hAnsi="Lato" w:cs="Arial"/>
          <w:bCs/>
          <w:color w:val="000000"/>
          <w:spacing w:val="4"/>
          <w:lang w:bidi="pl-PL"/>
        </w:rPr>
        <w:t xml:space="preserve">w przedstawionej przez inwestora koncepcji przebiegu inwestycji. </w:t>
      </w:r>
      <w:r w:rsidR="003A2C94" w:rsidRPr="007C3A26">
        <w:rPr>
          <w:rFonts w:ascii="Lato" w:eastAsia="MS Mincho" w:hAnsi="Lato" w:cs="Arial"/>
          <w:bCs/>
          <w:iCs/>
          <w:color w:val="000000"/>
          <w:spacing w:val="4"/>
          <w:lang w:bidi="pl-PL"/>
        </w:rPr>
        <w:t xml:space="preserve">Proces inwestycyjny nie polega na tym, że to osoby trzecie (właściciele gruntów), a nie inwestor, decydują </w:t>
      </w:r>
      <w:r w:rsidR="003A2C94" w:rsidRPr="007C3A26">
        <w:rPr>
          <w:rFonts w:ascii="Lato" w:eastAsia="MS Mincho" w:hAnsi="Lato" w:cs="Arial"/>
          <w:bCs/>
          <w:iCs/>
          <w:color w:val="000000"/>
          <w:spacing w:val="4"/>
          <w:lang w:bidi="pl-PL"/>
        </w:rPr>
        <w:br/>
        <w:t>o możliwości lokalizacji inwestycji, jej miejscu, a do tego w zasadzie sprowadzałoby się uznanie zarzutów skarżącego. Nie można dopuścić do sytuacji, w której uprawnienia właściciela nieruchomości całkowicie ograniczają uprawnienia inwestora.</w:t>
      </w:r>
      <w:r w:rsidR="003A2C94" w:rsidRPr="007C3A26">
        <w:rPr>
          <w:rFonts w:ascii="Lato" w:eastAsia="MS Mincho" w:hAnsi="Lato" w:cs="Arial"/>
          <w:bCs/>
          <w:color w:val="000000"/>
          <w:spacing w:val="4"/>
          <w:lang w:bidi="pl-PL"/>
        </w:rPr>
        <w:t xml:space="preserve"> </w:t>
      </w:r>
      <w:r w:rsidR="00C7575A" w:rsidRPr="007C3A26">
        <w:rPr>
          <w:rFonts w:ascii="Lato" w:eastAsia="MS Mincho" w:hAnsi="Lato" w:cs="Arial"/>
          <w:bCs/>
          <w:iCs/>
          <w:color w:val="000000"/>
          <w:spacing w:val="4"/>
          <w:lang w:bidi="pl-PL"/>
        </w:rPr>
        <w:t xml:space="preserve">Przedmiotem orzekania w sprawie ustalenia lokalizacji inwestycji towarzyszącej inwestycjom </w:t>
      </w:r>
      <w:r w:rsidR="003A2C94" w:rsidRPr="007C3A26">
        <w:rPr>
          <w:rFonts w:ascii="Lato" w:eastAsia="MS Mincho" w:hAnsi="Lato" w:cs="Arial"/>
          <w:bCs/>
          <w:iCs/>
          <w:color w:val="000000"/>
          <w:spacing w:val="4"/>
          <w:lang w:bidi="pl-PL"/>
        </w:rPr>
        <w:br/>
      </w:r>
      <w:r w:rsidR="00C7575A" w:rsidRPr="007C3A26">
        <w:rPr>
          <w:rFonts w:ascii="Lato" w:eastAsia="MS Mincho" w:hAnsi="Lato" w:cs="Arial"/>
          <w:bCs/>
          <w:iCs/>
          <w:color w:val="000000"/>
          <w:spacing w:val="4"/>
          <w:lang w:bidi="pl-PL"/>
        </w:rPr>
        <w:t>w zakresie terminalu jest zatem inwestycja w kształcie wskazanym we wniosku, a nie poszukiwanie rozwiązań alternatywnych w celu uwzględnienia interesów jednej lub kilku ze stron postępowania.</w:t>
      </w:r>
    </w:p>
    <w:p w14:paraId="6829CB62" w14:textId="1C777737" w:rsidR="00075F4E" w:rsidRPr="007C3A26" w:rsidRDefault="00075F4E" w:rsidP="00B40594">
      <w:pPr>
        <w:spacing w:after="240" w:line="240" w:lineRule="exact"/>
        <w:jc w:val="both"/>
        <w:rPr>
          <w:rFonts w:ascii="Lato" w:hAnsi="Lato" w:cs="Arial"/>
          <w:bCs/>
          <w:spacing w:val="4"/>
          <w:lang w:bidi="pl-PL"/>
        </w:rPr>
      </w:pPr>
      <w:r w:rsidRPr="007C3A26">
        <w:rPr>
          <w:rFonts w:ascii="Lato" w:hAnsi="Lato" w:cs="Arial"/>
          <w:bCs/>
          <w:spacing w:val="4"/>
          <w:lang w:bidi="pl-PL"/>
        </w:rPr>
        <w:t>Miejsce posadowienia infrastruktury gazowej stanowi wypadkową szeregu czynników – technicznych, środowiskowych, planistycznych oraz społecznych – określających optymalne warunki budowy i przyszłej eksploatacji gazociągu. W wypadku inwestycji liniowych ich przebieg zawsze pozostaje kompromisem uwzględniającym szereg czynników i nie jest możliwe całkowite zrezygnowanie z ich przebiegu przez nieruchomości będące własnością prywatną. Oczywistym jest, iż lokalizacja przedmiotowej inwestycji wiąże się z ograniczeniami dla właścicieli przejmowanych nieruchomości. Dokonany przez inwestora wybór jakiegokolwiek z wariantów przebiegu inwestycji liniowej musi się wiązać z koniecznością pozyskania pod nią gruntów.</w:t>
      </w:r>
      <w:r w:rsidRPr="007C3A26">
        <w:rPr>
          <w:rFonts w:ascii="Lato" w:hAnsi="Lato" w:cs="Arial"/>
          <w:bCs/>
          <w:spacing w:val="4"/>
        </w:rPr>
        <w:t xml:space="preserve"> </w:t>
      </w:r>
      <w:r w:rsidRPr="007C3A26">
        <w:rPr>
          <w:rFonts w:ascii="Lato" w:hAnsi="Lato" w:cs="Arial"/>
          <w:bCs/>
          <w:spacing w:val="4"/>
          <w:lang w:bidi="pl-PL"/>
        </w:rPr>
        <w:t xml:space="preserve">Nie można też zapomnieć, że ograniczenia techniczne związane z charakterem projektu gazociągu powodują, że niemożliwe jest dowolne kształtowanie jego przebiegu. Projektowanie gazociągu, z uwagi na bezpieczeństwo jego funkcjonowania, podlega ściśle określonym regułom wynikającym z obowiązujących przepisów technicznych. Przy założonym przebiegu inwestycji </w:t>
      </w:r>
      <w:r w:rsidR="00E93F04" w:rsidRPr="007C3A26">
        <w:rPr>
          <w:rFonts w:ascii="Lato" w:hAnsi="Lato" w:cs="Arial"/>
          <w:bCs/>
          <w:spacing w:val="4"/>
          <w:lang w:bidi="pl-PL"/>
        </w:rPr>
        <w:t>–</w:t>
      </w:r>
      <w:r w:rsidRPr="007C3A26">
        <w:rPr>
          <w:rFonts w:ascii="Lato" w:hAnsi="Lato" w:cs="Arial"/>
          <w:bCs/>
          <w:spacing w:val="4"/>
          <w:lang w:bidi="pl-PL"/>
        </w:rPr>
        <w:t xml:space="preserve"> z</w:t>
      </w:r>
      <w:r w:rsidR="00E93F04" w:rsidRPr="007C3A26">
        <w:rPr>
          <w:rFonts w:ascii="Lato" w:hAnsi="Lato" w:cs="Arial"/>
          <w:bCs/>
          <w:spacing w:val="4"/>
          <w:lang w:bidi="pl-PL"/>
        </w:rPr>
        <w:t xml:space="preserve"> </w:t>
      </w:r>
      <w:r w:rsidRPr="007C3A26">
        <w:rPr>
          <w:rFonts w:ascii="Lato" w:hAnsi="Lato" w:cs="Arial"/>
          <w:bCs/>
          <w:spacing w:val="4"/>
          <w:lang w:bidi="pl-PL"/>
        </w:rPr>
        <w:t xml:space="preserve">jednej strony, wybór działek, przez które ma ona przebiegać, jest bardzo ograniczony albo wręcz wybór taki nie istnieje, z drugiej strony – wypadnięcie choćby jednej z grup nieruchomości może unicestwić całą inwestycję </w:t>
      </w:r>
      <w:r w:rsidRPr="007C3A26">
        <w:rPr>
          <w:rFonts w:ascii="Lato" w:hAnsi="Lato" w:cs="Arial"/>
          <w:bCs/>
          <w:spacing w:val="4"/>
          <w:lang w:bidi="pl-PL"/>
        </w:rPr>
        <w:br/>
        <w:t>(por. wyrok Wojewódzkiego Sądu Administracyjnego w Warszawie z dnia 21 kwietnia 2021 r., sygn. akt VII SA/</w:t>
      </w:r>
      <w:proofErr w:type="spellStart"/>
      <w:r w:rsidRPr="007C3A26">
        <w:rPr>
          <w:rFonts w:ascii="Lato" w:hAnsi="Lato" w:cs="Arial"/>
          <w:bCs/>
          <w:spacing w:val="4"/>
          <w:lang w:bidi="pl-PL"/>
        </w:rPr>
        <w:t>Wa</w:t>
      </w:r>
      <w:proofErr w:type="spellEnd"/>
      <w:r w:rsidRPr="007C3A26">
        <w:rPr>
          <w:rFonts w:ascii="Lato" w:hAnsi="Lato" w:cs="Arial"/>
          <w:bCs/>
          <w:spacing w:val="4"/>
          <w:lang w:bidi="pl-PL"/>
        </w:rPr>
        <w:t xml:space="preserve"> 364/21, </w:t>
      </w:r>
      <w:proofErr w:type="spellStart"/>
      <w:r w:rsidRPr="007C3A26">
        <w:rPr>
          <w:rFonts w:ascii="Lato" w:hAnsi="Lato" w:cs="Arial"/>
          <w:bCs/>
          <w:spacing w:val="4"/>
          <w:lang w:bidi="pl-PL"/>
        </w:rPr>
        <w:t>opubl</w:t>
      </w:r>
      <w:proofErr w:type="spellEnd"/>
      <w:r w:rsidRPr="007C3A26">
        <w:rPr>
          <w:rFonts w:ascii="Lato" w:hAnsi="Lato" w:cs="Arial"/>
          <w:bCs/>
          <w:spacing w:val="4"/>
          <w:lang w:bidi="pl-PL"/>
        </w:rPr>
        <w:t xml:space="preserve">. Centralna Baza Orzeczeń Sądów Administracyjnych). </w:t>
      </w:r>
    </w:p>
    <w:p w14:paraId="28D54728" w14:textId="3CE05099" w:rsidR="00075F4E" w:rsidRPr="007C3A26" w:rsidRDefault="00075F4E" w:rsidP="00B40594">
      <w:pPr>
        <w:spacing w:after="240" w:line="240" w:lineRule="exact"/>
        <w:jc w:val="both"/>
        <w:rPr>
          <w:rFonts w:ascii="Lato" w:eastAsia="Aptos" w:hAnsi="Lato" w:cs="Aptos"/>
          <w:bCs/>
          <w:spacing w:val="4"/>
          <w:lang w:bidi="pl-PL"/>
        </w:rPr>
      </w:pPr>
      <w:r w:rsidRPr="007C3A26">
        <w:rPr>
          <w:rFonts w:ascii="Lato" w:eastAsia="Aptos" w:hAnsi="Lato" w:cs="Aptos"/>
          <w:bCs/>
          <w:spacing w:val="4"/>
          <w:lang w:bidi="pl-PL"/>
        </w:rPr>
        <w:t xml:space="preserve">Podkreślić należy, że realizacja inwestycji gazowej (a więc inwestycji o przebiegu liniowym) każdorazowo wiąże się z licznymi ograniczeniami w korzystaniu </w:t>
      </w:r>
      <w:r w:rsidRPr="007C3A26">
        <w:rPr>
          <w:rFonts w:ascii="Lato" w:eastAsia="Aptos" w:hAnsi="Lato" w:cs="Aptos"/>
          <w:bCs/>
          <w:spacing w:val="4"/>
          <w:lang w:bidi="pl-PL"/>
        </w:rPr>
        <w:br/>
        <w:t>z nieruchomości objętych jej zakresem (niekiedy nawet wywłaszczeniami), a inwestycja gazowa byłaby niemożliwa do zrealizowania, jeśli organy orzekające w sprawie miałyby obowiązek uwzględniać uwagi właścicieli nieruchomości dotyczące nadmiernego obciążenia ich nieruchomości. Ewentualna korekta w zakresie obciążeń nieruchomości skarżąc</w:t>
      </w:r>
      <w:r w:rsidR="00A75E42" w:rsidRPr="007C3A26">
        <w:rPr>
          <w:rFonts w:ascii="Lato" w:eastAsia="Aptos" w:hAnsi="Lato" w:cs="Aptos"/>
          <w:bCs/>
          <w:spacing w:val="4"/>
          <w:lang w:bidi="pl-PL"/>
        </w:rPr>
        <w:t>ego</w:t>
      </w:r>
      <w:r w:rsidRPr="007C3A26">
        <w:rPr>
          <w:rFonts w:ascii="Lato" w:eastAsia="Aptos" w:hAnsi="Lato" w:cs="Aptos"/>
          <w:bCs/>
          <w:spacing w:val="4"/>
          <w:lang w:bidi="pl-PL"/>
        </w:rPr>
        <w:t xml:space="preserve"> mogłaby budzić z kolei sprzeciw podmiotu, którego prawa w wyniku dokonania tej korekty podlegałyby zwiększonym ograniczeniom.</w:t>
      </w:r>
      <w:r w:rsidR="000A12D3" w:rsidRPr="007C3A26">
        <w:rPr>
          <w:rFonts w:ascii="Lato" w:eastAsia="Aptos" w:hAnsi="Lato" w:cs="Aptos"/>
          <w:bCs/>
          <w:spacing w:val="4"/>
          <w:lang w:bidi="pl-PL"/>
        </w:rPr>
        <w:t xml:space="preserve"> </w:t>
      </w:r>
      <w:r w:rsidRPr="007C3A26">
        <w:rPr>
          <w:rFonts w:ascii="Lato" w:eastAsia="Aptos" w:hAnsi="Lato" w:cs="Aptos"/>
          <w:bCs/>
          <w:spacing w:val="4"/>
          <w:lang w:bidi="pl-PL"/>
        </w:rPr>
        <w:t>Projektowanie inwestycji gazowych ze względu na ich złożoność i konieczność zapewnienia warunków technicznych oraz bezpieczeństwa nie może się opierać wyłącznie o wiedzę ogólną, gdyż nie jest to wystarczające do prawidłowej oceny sytuacji</w:t>
      </w:r>
      <w:r w:rsidR="00C328C5" w:rsidRPr="007C3A26">
        <w:rPr>
          <w:rFonts w:ascii="Lato" w:eastAsia="Aptos" w:hAnsi="Lato" w:cs="Aptos"/>
          <w:bCs/>
          <w:spacing w:val="4"/>
          <w:lang w:bidi="pl-PL"/>
        </w:rPr>
        <w:t xml:space="preserve"> </w:t>
      </w:r>
      <w:r w:rsidRPr="007C3A26">
        <w:rPr>
          <w:rFonts w:ascii="Lato" w:eastAsia="Aptos" w:hAnsi="Lato" w:cs="Aptos"/>
          <w:bCs/>
          <w:spacing w:val="4"/>
          <w:lang w:bidi="pl-PL"/>
        </w:rPr>
        <w:t xml:space="preserve">i możliwości zarówno technicznych, jak i uwarunkowań lokalizacyjnych w szerszym kontekście. Konieczne jest bowiem postrzeganie inwestycji w całym jej przebiegu. Z tego powodu często nie jest możliwa lokalna korekta trasy inwestycji, gdyż dana zmiana jest ograniczona przez przebieg gazociągu na wcześniejszym i/lub dalszym odcinku (m.in. odległością </w:t>
      </w:r>
      <w:r w:rsidR="007640BC" w:rsidRPr="007C3A26">
        <w:rPr>
          <w:rFonts w:ascii="Lato" w:eastAsia="Aptos" w:hAnsi="Lato" w:cs="Aptos"/>
          <w:bCs/>
          <w:spacing w:val="4"/>
          <w:lang w:bidi="pl-PL"/>
        </w:rPr>
        <w:br/>
      </w:r>
      <w:r w:rsidRPr="007C3A26">
        <w:rPr>
          <w:rFonts w:ascii="Lato" w:eastAsia="Aptos" w:hAnsi="Lato" w:cs="Aptos"/>
          <w:bCs/>
          <w:spacing w:val="4"/>
          <w:lang w:bidi="pl-PL"/>
        </w:rPr>
        <w:t xml:space="preserve">od istniejących obiektów oraz ich przekroczenia itp.). </w:t>
      </w:r>
    </w:p>
    <w:p w14:paraId="1BDAEF4E" w14:textId="226BCA7E" w:rsidR="008275F7" w:rsidRPr="007C3A26" w:rsidRDefault="00A75E42" w:rsidP="00B40594">
      <w:pPr>
        <w:spacing w:after="240" w:line="240" w:lineRule="exact"/>
        <w:jc w:val="both"/>
        <w:rPr>
          <w:rFonts w:ascii="Lato" w:eastAsia="Aptos" w:hAnsi="Lato" w:cs="Aptos"/>
          <w:bCs/>
          <w:spacing w:val="4"/>
          <w:lang w:bidi="pl-PL"/>
        </w:rPr>
      </w:pPr>
      <w:r w:rsidRPr="007C3A26">
        <w:rPr>
          <w:rFonts w:ascii="Lato" w:eastAsia="Aptos" w:hAnsi="Lato" w:cs="Aptos"/>
          <w:bCs/>
          <w:spacing w:val="4"/>
          <w:lang w:bidi="pl-PL"/>
        </w:rPr>
        <w:lastRenderedPageBreak/>
        <w:t xml:space="preserve">Z akt sprawy, w tym informacji przedstawionych przez inwestora w </w:t>
      </w:r>
      <w:r w:rsidR="00340EFC" w:rsidRPr="007C3A26">
        <w:rPr>
          <w:rFonts w:ascii="Lato" w:eastAsia="Aptos" w:hAnsi="Lato" w:cs="Aptos"/>
          <w:bCs/>
          <w:spacing w:val="4"/>
          <w:lang w:bidi="pl-PL"/>
        </w:rPr>
        <w:t>pi</w:t>
      </w:r>
      <w:r w:rsidRPr="007C3A26">
        <w:rPr>
          <w:rFonts w:ascii="Lato" w:eastAsia="Aptos" w:hAnsi="Lato" w:cs="Aptos"/>
          <w:bCs/>
          <w:spacing w:val="4"/>
          <w:lang w:bidi="pl-PL"/>
        </w:rPr>
        <w:t>śmie</w:t>
      </w:r>
      <w:r w:rsidR="00340EFC" w:rsidRPr="007C3A26">
        <w:rPr>
          <w:rFonts w:ascii="Lato" w:eastAsia="Aptos" w:hAnsi="Lato" w:cs="Aptos"/>
          <w:bCs/>
          <w:spacing w:val="4"/>
          <w:lang w:bidi="pl-PL"/>
        </w:rPr>
        <w:t xml:space="preserve"> z dnia </w:t>
      </w:r>
      <w:r w:rsidR="007640BC" w:rsidRPr="007C3A26">
        <w:rPr>
          <w:rFonts w:ascii="Lato" w:eastAsia="Aptos" w:hAnsi="Lato" w:cs="Aptos"/>
          <w:bCs/>
          <w:spacing w:val="4"/>
          <w:lang w:bidi="pl-PL"/>
        </w:rPr>
        <w:br/>
      </w:r>
      <w:r w:rsidR="00340EFC" w:rsidRPr="007C3A26">
        <w:rPr>
          <w:rFonts w:ascii="Lato" w:eastAsia="Aptos" w:hAnsi="Lato" w:cs="Aptos"/>
          <w:bCs/>
          <w:spacing w:val="4"/>
          <w:lang w:bidi="pl-PL"/>
        </w:rPr>
        <w:t>12 grudnia 2023 r.,</w:t>
      </w:r>
      <w:r w:rsidR="0016450C" w:rsidRPr="007C3A26">
        <w:rPr>
          <w:rFonts w:ascii="Lato" w:eastAsia="Aptos" w:hAnsi="Lato" w:cs="Aptos"/>
          <w:bCs/>
          <w:spacing w:val="4"/>
          <w:lang w:bidi="pl-PL"/>
        </w:rPr>
        <w:t xml:space="preserve"> znak: </w:t>
      </w:r>
      <w:r w:rsidR="00340EFC" w:rsidRPr="007C3A26">
        <w:rPr>
          <w:rFonts w:ascii="Lato" w:eastAsia="Aptos" w:hAnsi="Lato" w:cs="Aptos"/>
          <w:bCs/>
          <w:spacing w:val="4"/>
          <w:lang w:bidi="pl-PL"/>
        </w:rPr>
        <w:t>12562-ILF-POL-P-OC-0553</w:t>
      </w:r>
      <w:r w:rsidRPr="007C3A26">
        <w:rPr>
          <w:rFonts w:ascii="Lato" w:eastAsia="Aptos" w:hAnsi="Lato" w:cs="Aptos"/>
          <w:bCs/>
          <w:spacing w:val="4"/>
          <w:lang w:bidi="pl-PL"/>
        </w:rPr>
        <w:t xml:space="preserve">, wynika, </w:t>
      </w:r>
      <w:r w:rsidR="00073A16" w:rsidRPr="007C3A26">
        <w:rPr>
          <w:rFonts w:ascii="Lato" w:eastAsia="Aptos" w:hAnsi="Lato" w:cs="Aptos"/>
          <w:bCs/>
          <w:spacing w:val="4"/>
          <w:lang w:bidi="pl-PL"/>
        </w:rPr>
        <w:t xml:space="preserve">że podczas wyznaczania przebiegu trasy projektowanego gazociągu wzięto pod uwagę obowiązujące przepisy prawa, warunki techniczne, warunki środowiskowe, warunki geologiczne, warunki trenowe, opinie, uzgodnienia. Ponadto dołożono wszelkich starań, aby lokalizacja nie była uciążliwa dla właścicieli nieruchomości oraz w jak najmniejszym stopniu ograniczała dotychczasowe zagospodarowanie w pobliżu zabudowań. Trasa całego gazociągu </w:t>
      </w:r>
      <w:r w:rsidR="00073A16" w:rsidRPr="007C3A26">
        <w:rPr>
          <w:rFonts w:ascii="Lato" w:eastAsia="Aptos" w:hAnsi="Lato" w:cs="Aptos"/>
          <w:bCs/>
          <w:spacing w:val="4"/>
          <w:lang w:bidi="pl-PL"/>
        </w:rPr>
        <w:br/>
        <w:t xml:space="preserve">w większości przebiega przez tereny rolne (około 95% projektowanej trasy gazociągu </w:t>
      </w:r>
      <w:r w:rsidR="007640BC" w:rsidRPr="007C3A26">
        <w:rPr>
          <w:rFonts w:ascii="Lato" w:eastAsia="Aptos" w:hAnsi="Lato" w:cs="Aptos"/>
          <w:bCs/>
          <w:spacing w:val="4"/>
          <w:lang w:bidi="pl-PL"/>
        </w:rPr>
        <w:br/>
      </w:r>
      <w:r w:rsidR="00073A16" w:rsidRPr="007C3A26">
        <w:rPr>
          <w:rFonts w:ascii="Lato" w:eastAsia="Aptos" w:hAnsi="Lato" w:cs="Aptos"/>
          <w:bCs/>
          <w:spacing w:val="4"/>
          <w:lang w:bidi="pl-PL"/>
        </w:rPr>
        <w:t xml:space="preserve">DN 500). Trasa gazociągu została zoptymalizowana biorąc pod uwagę wszelkie powyższe czynniki, a jej przebieg został uznany przez projektantów za najlepszy z możliwych. Działki skarżącego nr 132/5, </w:t>
      </w:r>
      <w:r w:rsidR="00A70F7F" w:rsidRPr="007C3A26">
        <w:rPr>
          <w:rFonts w:ascii="Lato" w:eastAsia="Aptos" w:hAnsi="Lato" w:cs="Aptos"/>
          <w:bCs/>
          <w:spacing w:val="4"/>
          <w:lang w:bidi="pl-PL"/>
        </w:rPr>
        <w:t xml:space="preserve">nr </w:t>
      </w:r>
      <w:r w:rsidR="00073A16" w:rsidRPr="007C3A26">
        <w:rPr>
          <w:rFonts w:ascii="Lato" w:eastAsia="Aptos" w:hAnsi="Lato" w:cs="Aptos"/>
          <w:bCs/>
          <w:spacing w:val="4"/>
          <w:lang w:bidi="pl-PL"/>
        </w:rPr>
        <w:t xml:space="preserve">132/7, </w:t>
      </w:r>
      <w:r w:rsidR="00A70F7F" w:rsidRPr="007C3A26">
        <w:rPr>
          <w:rFonts w:ascii="Lato" w:eastAsia="Aptos" w:hAnsi="Lato" w:cs="Aptos"/>
          <w:bCs/>
          <w:spacing w:val="4"/>
          <w:lang w:bidi="pl-PL"/>
        </w:rPr>
        <w:t xml:space="preserve">nr </w:t>
      </w:r>
      <w:r w:rsidR="00073A16" w:rsidRPr="007C3A26">
        <w:rPr>
          <w:rFonts w:ascii="Lato" w:eastAsia="Aptos" w:hAnsi="Lato" w:cs="Aptos"/>
          <w:bCs/>
          <w:spacing w:val="4"/>
          <w:lang w:bidi="pl-PL"/>
        </w:rPr>
        <w:t xml:space="preserve">132/8, </w:t>
      </w:r>
      <w:r w:rsidR="00A70F7F" w:rsidRPr="007C3A26">
        <w:rPr>
          <w:rFonts w:ascii="Lato" w:eastAsia="Aptos" w:hAnsi="Lato" w:cs="Aptos"/>
          <w:bCs/>
          <w:spacing w:val="4"/>
          <w:lang w:bidi="pl-PL"/>
        </w:rPr>
        <w:t xml:space="preserve">nr </w:t>
      </w:r>
      <w:r w:rsidR="00073A16" w:rsidRPr="007C3A26">
        <w:rPr>
          <w:rFonts w:ascii="Lato" w:eastAsia="Aptos" w:hAnsi="Lato" w:cs="Aptos"/>
          <w:bCs/>
          <w:spacing w:val="4"/>
          <w:lang w:bidi="pl-PL"/>
        </w:rPr>
        <w:t xml:space="preserve">134, </w:t>
      </w:r>
      <w:r w:rsidR="00A70F7F" w:rsidRPr="007C3A26">
        <w:rPr>
          <w:rFonts w:ascii="Lato" w:eastAsia="Aptos" w:hAnsi="Lato" w:cs="Aptos"/>
          <w:bCs/>
          <w:spacing w:val="4"/>
          <w:lang w:bidi="pl-PL"/>
        </w:rPr>
        <w:t xml:space="preserve">nr </w:t>
      </w:r>
      <w:r w:rsidR="00073A16" w:rsidRPr="007C3A26">
        <w:rPr>
          <w:rFonts w:ascii="Lato" w:eastAsia="Aptos" w:hAnsi="Lato" w:cs="Aptos"/>
          <w:bCs/>
          <w:spacing w:val="4"/>
          <w:lang w:bidi="pl-PL"/>
        </w:rPr>
        <w:t xml:space="preserve">135, </w:t>
      </w:r>
      <w:r w:rsidR="00A70F7F" w:rsidRPr="007C3A26">
        <w:rPr>
          <w:rFonts w:ascii="Lato" w:eastAsia="Aptos" w:hAnsi="Lato" w:cs="Aptos"/>
          <w:bCs/>
          <w:spacing w:val="4"/>
          <w:lang w:bidi="pl-PL"/>
        </w:rPr>
        <w:t xml:space="preserve">nr </w:t>
      </w:r>
      <w:r w:rsidR="00073A16" w:rsidRPr="007C3A26">
        <w:rPr>
          <w:rFonts w:ascii="Lato" w:eastAsia="Aptos" w:hAnsi="Lato" w:cs="Aptos"/>
          <w:bCs/>
          <w:spacing w:val="4"/>
          <w:lang w:bidi="pl-PL"/>
        </w:rPr>
        <w:t>142/4</w:t>
      </w:r>
      <w:r w:rsidR="008275F7" w:rsidRPr="007C3A26">
        <w:rPr>
          <w:rFonts w:ascii="Lato" w:eastAsia="Aptos" w:hAnsi="Lato" w:cs="Aptos"/>
          <w:bCs/>
          <w:spacing w:val="4"/>
          <w:lang w:bidi="pl-PL"/>
        </w:rPr>
        <w:t xml:space="preserve">, z </w:t>
      </w:r>
      <w:r w:rsidR="00073A16" w:rsidRPr="007C3A26">
        <w:rPr>
          <w:rFonts w:ascii="Lato" w:eastAsia="Aptos" w:hAnsi="Lato" w:cs="Aptos"/>
          <w:bCs/>
          <w:spacing w:val="4"/>
          <w:lang w:bidi="pl-PL"/>
        </w:rPr>
        <w:t>obręb</w:t>
      </w:r>
      <w:r w:rsidR="008275F7" w:rsidRPr="007C3A26">
        <w:rPr>
          <w:rFonts w:ascii="Lato" w:eastAsia="Aptos" w:hAnsi="Lato" w:cs="Aptos"/>
          <w:bCs/>
          <w:spacing w:val="4"/>
          <w:lang w:bidi="pl-PL"/>
        </w:rPr>
        <w:t>u</w:t>
      </w:r>
      <w:r w:rsidR="00073A16" w:rsidRPr="007C3A26">
        <w:rPr>
          <w:rFonts w:ascii="Lato" w:eastAsia="Aptos" w:hAnsi="Lato" w:cs="Aptos"/>
          <w:bCs/>
          <w:spacing w:val="4"/>
          <w:lang w:bidi="pl-PL"/>
        </w:rPr>
        <w:t xml:space="preserve"> Głębocko</w:t>
      </w:r>
      <w:r w:rsidR="008275F7" w:rsidRPr="007C3A26">
        <w:rPr>
          <w:rFonts w:ascii="Lato" w:eastAsia="Aptos" w:hAnsi="Lato" w:cs="Aptos"/>
          <w:bCs/>
          <w:spacing w:val="4"/>
          <w:lang w:bidi="pl-PL"/>
        </w:rPr>
        <w:t xml:space="preserve"> </w:t>
      </w:r>
      <w:r w:rsidR="00073A16" w:rsidRPr="007C3A26">
        <w:rPr>
          <w:rFonts w:ascii="Lato" w:eastAsia="Aptos" w:hAnsi="Lato" w:cs="Aptos"/>
          <w:bCs/>
          <w:spacing w:val="4"/>
          <w:lang w:bidi="pl-PL"/>
        </w:rPr>
        <w:t>w gminie Grodków</w:t>
      </w:r>
      <w:r w:rsidR="008275F7" w:rsidRPr="007C3A26">
        <w:rPr>
          <w:rFonts w:ascii="Lato" w:eastAsia="Aptos" w:hAnsi="Lato" w:cs="Aptos"/>
          <w:bCs/>
          <w:spacing w:val="4"/>
          <w:lang w:bidi="pl-PL"/>
        </w:rPr>
        <w:t xml:space="preserve">, </w:t>
      </w:r>
      <w:r w:rsidR="00073A16" w:rsidRPr="007C3A26">
        <w:rPr>
          <w:rFonts w:ascii="Lato" w:eastAsia="Aptos" w:hAnsi="Lato" w:cs="Aptos"/>
          <w:bCs/>
          <w:spacing w:val="4"/>
          <w:lang w:bidi="pl-PL"/>
        </w:rPr>
        <w:t>są terenami użytkowanymi rolniczo i po wybudowaniu gazociągu nie zmieni się dotychczasowy sposób użytkowania nieruchomości.</w:t>
      </w:r>
      <w:r w:rsidR="008275F7" w:rsidRPr="007C3A26">
        <w:rPr>
          <w:rFonts w:ascii="Lato" w:eastAsia="Aptos" w:hAnsi="Lato" w:cs="Aptos"/>
          <w:bCs/>
          <w:spacing w:val="4"/>
          <w:lang w:bidi="pl-PL"/>
        </w:rPr>
        <w:t xml:space="preserve"> Inwestor wyjaśnił, że projektant wytyczając trasę gazociągu weryfikował dokumenty planistyczne obowiązujące na tym terenie. Przedmiotowe działki nie są objęte miejscowym planem zagospodarowania przestrzennego. Obowiązujące dla tego terenu studium uwarunkowań i kierunków zagospodarowania przestrzennego gminy Grodków (przyjęte Uchwałą Nr XLIV/348/14 Rady Miejskiej w Grodkowie w dniu 4 czerwca 2014 r.) wskazuje kierunek rozwoju przestrzennego dla przedmiotowych działek na tereny rolne (symbol literowy - R), które nie kolidują z projektowanym gazociągiem. Po wybudowaniu gazociągu, nie ma przeszkód w zagospodarowaniu działek zgodnym z aktualnym ich zagospodarowaniem oraz kierunkiem rozwoju przestrzennego wyznaczonym w studium, z uwzględnieniem ustanowionych stref kontrolowanych od gazociągów oraz ograniczeń wynikających z tych stref. </w:t>
      </w:r>
    </w:p>
    <w:p w14:paraId="12AFAE7A" w14:textId="548FD2F9" w:rsidR="002E7B74" w:rsidRPr="007C3A26" w:rsidRDefault="008275F7" w:rsidP="00B40594">
      <w:pPr>
        <w:spacing w:after="240" w:line="240" w:lineRule="exact"/>
        <w:jc w:val="both"/>
        <w:rPr>
          <w:rFonts w:ascii="Lato" w:eastAsia="Aptos" w:hAnsi="Lato" w:cs="Aptos"/>
          <w:bCs/>
          <w:spacing w:val="4"/>
          <w:lang w:bidi="pl-PL"/>
        </w:rPr>
      </w:pPr>
      <w:r w:rsidRPr="007C3A26">
        <w:rPr>
          <w:rFonts w:ascii="Lato" w:eastAsia="Aptos" w:hAnsi="Lato" w:cs="Aptos"/>
          <w:bCs/>
          <w:spacing w:val="4"/>
          <w:lang w:bidi="pl-PL"/>
        </w:rPr>
        <w:t xml:space="preserve">Inwestor wyjaśnił, że głównym </w:t>
      </w:r>
      <w:r w:rsidR="007640BC" w:rsidRPr="007C3A26">
        <w:rPr>
          <w:rFonts w:ascii="Lato" w:eastAsia="Aptos" w:hAnsi="Lato" w:cs="Aptos"/>
          <w:bCs/>
          <w:spacing w:val="4"/>
          <w:lang w:bidi="pl-PL"/>
        </w:rPr>
        <w:t xml:space="preserve">założeniem </w:t>
      </w:r>
      <w:r w:rsidRPr="007C3A26">
        <w:rPr>
          <w:rFonts w:ascii="Lato" w:eastAsia="Aptos" w:hAnsi="Lato" w:cs="Aptos"/>
          <w:bCs/>
          <w:spacing w:val="4"/>
          <w:lang w:bidi="pl-PL"/>
        </w:rPr>
        <w:t xml:space="preserve">przy wyznaczaniu trasy gazociągu Lewin Brzeski - Nysa wraz z odgałęzieniami było, takie jej wytyczenie, aby będąc w zgodzie </w:t>
      </w:r>
      <w:r w:rsidRPr="007C3A26">
        <w:rPr>
          <w:rFonts w:ascii="Lato" w:eastAsia="Aptos" w:hAnsi="Lato" w:cs="Aptos"/>
          <w:bCs/>
          <w:spacing w:val="4"/>
          <w:lang w:bidi="pl-PL"/>
        </w:rPr>
        <w:br/>
        <w:t xml:space="preserve">z obowiązującymi przepisami zapewnić równocześnie minimalizację oddziaływania na środowisko, istniejące zagospodarowanie terenu i otoczenie gazociągu. Przy wyznaczaniu trasy gazociągu brano pod uwagę możliwie maksymalne prowadzenie jej wzdłuż już istniejących gazociągów. </w:t>
      </w:r>
      <w:r w:rsidR="002E7B74" w:rsidRPr="007C3A26">
        <w:rPr>
          <w:rFonts w:ascii="Lato" w:eastAsia="Aptos" w:hAnsi="Lato" w:cs="Aptos"/>
          <w:bCs/>
          <w:iCs/>
          <w:spacing w:val="4"/>
          <w:lang w:bidi="pl-PL"/>
        </w:rPr>
        <w:t>Jednakże przyjęte przez inwestora założeni</w:t>
      </w:r>
      <w:r w:rsidR="007640BC" w:rsidRPr="007C3A26">
        <w:rPr>
          <w:rFonts w:ascii="Lato" w:eastAsia="Aptos" w:hAnsi="Lato" w:cs="Aptos"/>
          <w:bCs/>
          <w:iCs/>
          <w:spacing w:val="4"/>
          <w:lang w:bidi="pl-PL"/>
        </w:rPr>
        <w:t>a</w:t>
      </w:r>
      <w:r w:rsidR="002E7B74" w:rsidRPr="007C3A26">
        <w:rPr>
          <w:rFonts w:ascii="Lato" w:eastAsia="Aptos" w:hAnsi="Lato" w:cs="Aptos"/>
          <w:bCs/>
          <w:iCs/>
          <w:spacing w:val="4"/>
          <w:lang w:bidi="pl-PL"/>
        </w:rPr>
        <w:t xml:space="preserve"> przy ustalaniu przebiegu przedmiotowej inwestycji nie są w stanie wyeliminować wszystkich utrudnień występujących w indywidulanych przypadkach. </w:t>
      </w:r>
      <w:r w:rsidR="002E7B74" w:rsidRPr="007C3A26">
        <w:rPr>
          <w:rFonts w:ascii="Lato" w:eastAsia="Aptos" w:hAnsi="Lato" w:cs="Aptos"/>
          <w:bCs/>
          <w:spacing w:val="4"/>
          <w:lang w:bidi="pl-PL"/>
        </w:rPr>
        <w:t>W</w:t>
      </w:r>
      <w:r w:rsidRPr="007C3A26">
        <w:rPr>
          <w:rFonts w:ascii="Lato" w:eastAsia="Aptos" w:hAnsi="Lato" w:cs="Aptos"/>
          <w:bCs/>
          <w:spacing w:val="4"/>
          <w:lang w:bidi="pl-PL"/>
        </w:rPr>
        <w:t xml:space="preserve"> przebiegu trasy</w:t>
      </w:r>
      <w:r w:rsidR="002E7B74" w:rsidRPr="007C3A26">
        <w:rPr>
          <w:rFonts w:ascii="Lato" w:eastAsia="Aptos" w:hAnsi="Lato" w:cs="Aptos"/>
          <w:bCs/>
          <w:spacing w:val="4"/>
          <w:lang w:bidi="pl-PL"/>
        </w:rPr>
        <w:t xml:space="preserve"> gazociągu</w:t>
      </w:r>
      <w:r w:rsidRPr="007C3A26">
        <w:rPr>
          <w:rFonts w:ascii="Lato" w:eastAsia="Aptos" w:hAnsi="Lato" w:cs="Aptos"/>
          <w:bCs/>
          <w:spacing w:val="4"/>
          <w:lang w:bidi="pl-PL"/>
        </w:rPr>
        <w:t xml:space="preserve"> występują </w:t>
      </w:r>
      <w:r w:rsidR="000A12D3" w:rsidRPr="007C3A26">
        <w:rPr>
          <w:rFonts w:ascii="Lato" w:eastAsia="Aptos" w:hAnsi="Lato" w:cs="Aptos"/>
          <w:bCs/>
          <w:spacing w:val="4"/>
          <w:lang w:bidi="pl-PL"/>
        </w:rPr>
        <w:t xml:space="preserve">bowiem </w:t>
      </w:r>
      <w:r w:rsidR="002E7B74" w:rsidRPr="007C3A26">
        <w:rPr>
          <w:rFonts w:ascii="Lato" w:eastAsia="Aptos" w:hAnsi="Lato" w:cs="Aptos"/>
          <w:bCs/>
          <w:spacing w:val="4"/>
          <w:lang w:bidi="pl-PL"/>
        </w:rPr>
        <w:t xml:space="preserve">również </w:t>
      </w:r>
      <w:r w:rsidRPr="007C3A26">
        <w:rPr>
          <w:rFonts w:ascii="Lato" w:eastAsia="Aptos" w:hAnsi="Lato" w:cs="Aptos"/>
          <w:bCs/>
          <w:spacing w:val="4"/>
          <w:lang w:bidi="pl-PL"/>
        </w:rPr>
        <w:t xml:space="preserve">lokalne odejścia od trasy istniejących gazociągów, wynikające głównie z konieczności spełnienia obowiązujących przepisów, ominięcia obszarów cennych przyrodniczo lub zminimalizowania na nie wpływu, uwzględnienia lokalizacji istniejącej zabudowy i uzbrojenia terenu, planowanego przeznaczenia terenu, warunków gruntowych i terenowych, pozyskanych opinii i uzgodnień od </w:t>
      </w:r>
      <w:r w:rsidR="007640BC" w:rsidRPr="007C3A26">
        <w:rPr>
          <w:rFonts w:ascii="Lato" w:eastAsia="Aptos" w:hAnsi="Lato" w:cs="Aptos"/>
          <w:bCs/>
          <w:spacing w:val="4"/>
          <w:lang w:bidi="pl-PL"/>
        </w:rPr>
        <w:t xml:space="preserve">właściwych </w:t>
      </w:r>
      <w:r w:rsidRPr="007C3A26">
        <w:rPr>
          <w:rFonts w:ascii="Lato" w:eastAsia="Aptos" w:hAnsi="Lato" w:cs="Aptos"/>
          <w:bCs/>
          <w:spacing w:val="4"/>
          <w:lang w:bidi="pl-PL"/>
        </w:rPr>
        <w:t>organów.</w:t>
      </w:r>
      <w:r w:rsidR="00DF2DB0" w:rsidRPr="007C3A26">
        <w:rPr>
          <w:rFonts w:ascii="Lato" w:eastAsia="Aptos" w:hAnsi="Lato" w:cs="Aptos"/>
          <w:bCs/>
          <w:spacing w:val="4"/>
          <w:lang w:bidi="pl-PL"/>
        </w:rPr>
        <w:t xml:space="preserve"> Inwestor wyjaśnił, że g</w:t>
      </w:r>
      <w:r w:rsidRPr="007C3A26">
        <w:rPr>
          <w:rFonts w:ascii="Lato" w:eastAsia="Aptos" w:hAnsi="Lato" w:cs="Aptos"/>
          <w:bCs/>
          <w:spacing w:val="4"/>
          <w:lang w:bidi="pl-PL"/>
        </w:rPr>
        <w:t xml:space="preserve">azociąg </w:t>
      </w:r>
      <w:r w:rsidR="00655F3C" w:rsidRPr="007C3A26">
        <w:rPr>
          <w:rFonts w:ascii="Lato" w:eastAsia="Aptos" w:hAnsi="Lato" w:cs="Aptos"/>
          <w:bCs/>
          <w:spacing w:val="4"/>
          <w:lang w:bidi="pl-PL"/>
        </w:rPr>
        <w:t xml:space="preserve">w okolicy działek </w:t>
      </w:r>
      <w:r w:rsidR="00DF2DB0" w:rsidRPr="007C3A26">
        <w:rPr>
          <w:rFonts w:ascii="Lato" w:eastAsia="Aptos" w:hAnsi="Lato" w:cs="Aptos"/>
          <w:bCs/>
          <w:spacing w:val="4"/>
          <w:lang w:bidi="pl-PL"/>
        </w:rPr>
        <w:t xml:space="preserve">skarżącego </w:t>
      </w:r>
      <w:r w:rsidRPr="007C3A26">
        <w:rPr>
          <w:rFonts w:ascii="Lato" w:eastAsia="Aptos" w:hAnsi="Lato" w:cs="Aptos"/>
          <w:bCs/>
          <w:spacing w:val="4"/>
          <w:lang w:bidi="pl-PL"/>
        </w:rPr>
        <w:t>przecina Obszar Natura 2000 Opolska Dolina Nysy Kłodzkiej PLH160014</w:t>
      </w:r>
      <w:r w:rsidR="002E7B74" w:rsidRPr="007C3A26">
        <w:rPr>
          <w:rFonts w:ascii="Lato" w:eastAsia="Aptos" w:hAnsi="Lato" w:cs="Aptos"/>
          <w:bCs/>
          <w:spacing w:val="4"/>
          <w:lang w:bidi="pl-PL"/>
        </w:rPr>
        <w:t xml:space="preserve">, co ma bezpośredni </w:t>
      </w:r>
      <w:r w:rsidR="00655F3C" w:rsidRPr="007C3A26">
        <w:rPr>
          <w:rFonts w:ascii="Lato" w:eastAsia="Aptos" w:hAnsi="Lato" w:cs="Aptos"/>
          <w:bCs/>
          <w:spacing w:val="4"/>
          <w:lang w:bidi="pl-PL"/>
        </w:rPr>
        <w:t xml:space="preserve">wpływ </w:t>
      </w:r>
      <w:r w:rsidR="00D662B0" w:rsidRPr="007C3A26">
        <w:rPr>
          <w:rFonts w:ascii="Lato" w:eastAsia="Aptos" w:hAnsi="Lato" w:cs="Aptos"/>
          <w:bCs/>
          <w:spacing w:val="4"/>
          <w:lang w:bidi="pl-PL"/>
        </w:rPr>
        <w:br/>
      </w:r>
      <w:r w:rsidR="00655F3C" w:rsidRPr="007C3A26">
        <w:rPr>
          <w:rFonts w:ascii="Lato" w:eastAsia="Aptos" w:hAnsi="Lato" w:cs="Aptos"/>
          <w:bCs/>
          <w:spacing w:val="4"/>
          <w:lang w:bidi="pl-PL"/>
        </w:rPr>
        <w:t xml:space="preserve">na </w:t>
      </w:r>
      <w:r w:rsidR="002E7B74" w:rsidRPr="007C3A26">
        <w:rPr>
          <w:rFonts w:ascii="Lato" w:eastAsia="Aptos" w:hAnsi="Lato" w:cs="Aptos"/>
          <w:bCs/>
          <w:spacing w:val="4"/>
          <w:lang w:bidi="pl-PL"/>
        </w:rPr>
        <w:t>przyjęty przebieg inwestycji</w:t>
      </w:r>
      <w:r w:rsidR="00655F3C" w:rsidRPr="007C3A26">
        <w:rPr>
          <w:rFonts w:ascii="Lato" w:eastAsia="Aptos" w:hAnsi="Lato" w:cs="Aptos"/>
          <w:bCs/>
          <w:spacing w:val="4"/>
          <w:lang w:bidi="pl-PL"/>
        </w:rPr>
        <w:t xml:space="preserve"> na działkach sąsiadujących z obszarem Natura 2000</w:t>
      </w:r>
      <w:r w:rsidR="002E7B74" w:rsidRPr="007C3A26">
        <w:rPr>
          <w:rFonts w:ascii="Lato" w:eastAsia="Aptos" w:hAnsi="Lato" w:cs="Aptos"/>
          <w:bCs/>
          <w:spacing w:val="4"/>
          <w:lang w:bidi="pl-PL"/>
        </w:rPr>
        <w:t xml:space="preserve">. Jak już to bowiem wskazano uprzednio, przebieg gazociągu przez dane nieruchomości często jest determinowany przebiegiem gazociągu na wcześniejszym i/lub dalszym odcinku. </w:t>
      </w:r>
    </w:p>
    <w:p w14:paraId="00601596" w14:textId="7956C28D" w:rsidR="00DF2DB0" w:rsidRPr="007C3A26" w:rsidRDefault="00E72E98" w:rsidP="00B40594">
      <w:pPr>
        <w:spacing w:after="240" w:line="240" w:lineRule="exact"/>
        <w:jc w:val="both"/>
        <w:rPr>
          <w:rFonts w:ascii="Lato" w:hAnsi="Lato"/>
          <w:spacing w:val="4"/>
        </w:rPr>
      </w:pPr>
      <w:r w:rsidRPr="007C3A26">
        <w:rPr>
          <w:rFonts w:ascii="Lato" w:eastAsia="Aptos" w:hAnsi="Lato" w:cs="Aptos"/>
          <w:bCs/>
          <w:spacing w:val="4"/>
          <w:lang w:bidi="pl-PL"/>
        </w:rPr>
        <w:t>Inwestor wyjaśnił, że t</w:t>
      </w:r>
      <w:r w:rsidR="008275F7" w:rsidRPr="007C3A26">
        <w:rPr>
          <w:rFonts w:ascii="Lato" w:eastAsia="Aptos" w:hAnsi="Lato" w:cs="Aptos"/>
          <w:bCs/>
          <w:spacing w:val="4"/>
          <w:lang w:bidi="pl-PL"/>
        </w:rPr>
        <w:t xml:space="preserve">rasa gazociągu została wyznaczona tak aby przecinała Obszar Natura 2000 w miejscu gdzie granica formy ochrony przyrody jest wyznaczona </w:t>
      </w:r>
      <w:r w:rsidRPr="007C3A26">
        <w:rPr>
          <w:rFonts w:ascii="Lato" w:eastAsia="Aptos" w:hAnsi="Lato" w:cs="Aptos"/>
          <w:bCs/>
          <w:spacing w:val="4"/>
          <w:lang w:bidi="pl-PL"/>
        </w:rPr>
        <w:br/>
      </w:r>
      <w:r w:rsidR="008275F7" w:rsidRPr="007C3A26">
        <w:rPr>
          <w:rFonts w:ascii="Lato" w:eastAsia="Aptos" w:hAnsi="Lato" w:cs="Aptos"/>
          <w:bCs/>
          <w:spacing w:val="4"/>
          <w:lang w:bidi="pl-PL"/>
        </w:rPr>
        <w:t xml:space="preserve">w najmniejszej odległości od brzegów chronionej rzeki. Dla omawianego obszaru Natura 2000 ochroną objęte są doliny zalewowe oraz fragmenty teras nadzalewowych wraz </w:t>
      </w:r>
      <w:r w:rsidRPr="007C3A26">
        <w:rPr>
          <w:rFonts w:ascii="Lato" w:eastAsia="Aptos" w:hAnsi="Lato" w:cs="Aptos"/>
          <w:bCs/>
          <w:spacing w:val="4"/>
          <w:lang w:bidi="pl-PL"/>
        </w:rPr>
        <w:br/>
      </w:r>
      <w:r w:rsidR="008275F7" w:rsidRPr="007C3A26">
        <w:rPr>
          <w:rFonts w:ascii="Lato" w:eastAsia="Aptos" w:hAnsi="Lato" w:cs="Aptos"/>
          <w:bCs/>
          <w:spacing w:val="4"/>
          <w:lang w:bidi="pl-PL"/>
        </w:rPr>
        <w:t xml:space="preserve">z roślinnością oraz siedliskami wzdłuż koryta. W miejscu przecięcia koryta przez gazociąg chronione siedliska 91E0* - Łęgi wierzbowe, topolowe, olszowe i jesionowe, obejmują wąski obszar wzdłuż rzeki, głównie w formie jednego pasa roślinności wierzbowej. </w:t>
      </w:r>
      <w:r w:rsidR="00DF2DB0" w:rsidRPr="007C3A26">
        <w:rPr>
          <w:rFonts w:ascii="Lato" w:eastAsia="Aptos" w:hAnsi="Lato" w:cs="Aptos"/>
          <w:bCs/>
          <w:spacing w:val="4"/>
          <w:lang w:bidi="pl-PL"/>
        </w:rPr>
        <w:t>Zdaniem inwestor</w:t>
      </w:r>
      <w:r w:rsidR="002E7B74" w:rsidRPr="007C3A26">
        <w:rPr>
          <w:rFonts w:ascii="Lato" w:eastAsia="Aptos" w:hAnsi="Lato" w:cs="Aptos"/>
          <w:bCs/>
          <w:spacing w:val="4"/>
          <w:lang w:bidi="pl-PL"/>
        </w:rPr>
        <w:t>a</w:t>
      </w:r>
      <w:r w:rsidR="00DF2DB0" w:rsidRPr="007C3A26">
        <w:rPr>
          <w:rFonts w:ascii="Lato" w:eastAsia="Aptos" w:hAnsi="Lato" w:cs="Aptos"/>
          <w:bCs/>
          <w:spacing w:val="4"/>
          <w:lang w:bidi="pl-PL"/>
        </w:rPr>
        <w:t>, p</w:t>
      </w:r>
      <w:r w:rsidR="008275F7" w:rsidRPr="007C3A26">
        <w:rPr>
          <w:rFonts w:ascii="Lato" w:eastAsia="Aptos" w:hAnsi="Lato" w:cs="Aptos"/>
          <w:bCs/>
          <w:spacing w:val="4"/>
          <w:lang w:bidi="pl-PL"/>
        </w:rPr>
        <w:t>oprowadzenie</w:t>
      </w:r>
      <w:r w:rsidR="00DF2DB0" w:rsidRPr="007C3A26">
        <w:rPr>
          <w:rFonts w:ascii="Lato" w:eastAsia="Times New Roman" w:hAnsi="Lato" w:cs="Arial"/>
          <w:color w:val="000000"/>
          <w:spacing w:val="4"/>
          <w:lang w:eastAsia="pl-PL"/>
        </w:rPr>
        <w:t xml:space="preserve"> </w:t>
      </w:r>
      <w:r w:rsidR="00DF2DB0" w:rsidRPr="007C3A26">
        <w:rPr>
          <w:rFonts w:ascii="Lato" w:eastAsia="Aptos" w:hAnsi="Lato" w:cs="Aptos"/>
          <w:bCs/>
          <w:spacing w:val="4"/>
          <w:lang w:bidi="pl-PL"/>
        </w:rPr>
        <w:t>gazociągu w tym miejscu umożliwia efektywne zminimalizowanie potencjalnego oddziaływania na obszar chroniony oraz występujące tam gatunki, zarówno w czasie budowy gazociągu jak i późniejszej eksploatacji</w:t>
      </w:r>
      <w:r w:rsidRPr="007C3A26">
        <w:rPr>
          <w:rFonts w:ascii="Lato" w:eastAsia="Aptos" w:hAnsi="Lato" w:cs="Aptos"/>
          <w:bCs/>
          <w:spacing w:val="4"/>
          <w:lang w:bidi="pl-PL"/>
        </w:rPr>
        <w:t xml:space="preserve">, ale </w:t>
      </w:r>
      <w:r w:rsidRPr="007C3A26">
        <w:rPr>
          <w:rFonts w:ascii="Lato" w:eastAsia="Aptos" w:hAnsi="Lato" w:cs="Aptos"/>
          <w:bCs/>
          <w:spacing w:val="4"/>
          <w:lang w:bidi="pl-PL"/>
        </w:rPr>
        <w:lastRenderedPageBreak/>
        <w:t xml:space="preserve">również </w:t>
      </w:r>
      <w:r w:rsidR="002E7B74" w:rsidRPr="007C3A26">
        <w:rPr>
          <w:rFonts w:ascii="Lato" w:hAnsi="Lato"/>
          <w:spacing w:val="4"/>
        </w:rPr>
        <w:t>wymus</w:t>
      </w:r>
      <w:r w:rsidRPr="007C3A26">
        <w:rPr>
          <w:rFonts w:ascii="Lato" w:hAnsi="Lato"/>
          <w:spacing w:val="4"/>
        </w:rPr>
        <w:t>iło</w:t>
      </w:r>
      <w:r w:rsidR="002E7B74" w:rsidRPr="007C3A26">
        <w:rPr>
          <w:rFonts w:ascii="Lato" w:hAnsi="Lato"/>
          <w:spacing w:val="4"/>
        </w:rPr>
        <w:t xml:space="preserve"> dostosowanie przebiegu na działkach sąsiednich.</w:t>
      </w:r>
      <w:r w:rsidR="00BE346F" w:rsidRPr="007C3A26">
        <w:rPr>
          <w:rFonts w:ascii="Lato" w:eastAsia="Aptos" w:hAnsi="Lato" w:cs="Aptos"/>
          <w:bCs/>
          <w:spacing w:val="4"/>
          <w:lang w:bidi="pl-PL"/>
        </w:rPr>
        <w:t xml:space="preserve"> </w:t>
      </w:r>
      <w:r w:rsidR="00BE346F" w:rsidRPr="007C3A26">
        <w:rPr>
          <w:rFonts w:ascii="Lato" w:hAnsi="Lato"/>
          <w:bCs/>
          <w:spacing w:val="4"/>
          <w:lang w:bidi="pl-PL"/>
        </w:rPr>
        <w:t xml:space="preserve">Gazociąg jest bowiem układem połączonym, co oznacza, że trasa gazociągu na konkretnej działce wynika z technicznych uwarunkowań całego układu. Zatem przyjęty wariant lokalizacyjny na danym odcinku inwestycji wymusza dostosowanie przebiegu trasy gazociągu na działkach sąsiednich. Jest to nieuchronny stan rzeczy wynikający </w:t>
      </w:r>
      <w:r w:rsidR="00A70F7F" w:rsidRPr="007C3A26">
        <w:rPr>
          <w:rFonts w:ascii="Lato" w:hAnsi="Lato"/>
          <w:bCs/>
          <w:spacing w:val="4"/>
          <w:lang w:bidi="pl-PL"/>
        </w:rPr>
        <w:br/>
      </w:r>
      <w:r w:rsidR="00BE346F" w:rsidRPr="007C3A26">
        <w:rPr>
          <w:rFonts w:ascii="Lato" w:hAnsi="Lato"/>
          <w:bCs/>
          <w:spacing w:val="4"/>
          <w:lang w:bidi="pl-PL"/>
        </w:rPr>
        <w:t>z liniowego charakteru inwestycji gazowych.</w:t>
      </w:r>
    </w:p>
    <w:p w14:paraId="74412645" w14:textId="51AD3568" w:rsidR="00033E39" w:rsidRPr="007C3A26" w:rsidRDefault="00033E39" w:rsidP="00B40594">
      <w:pPr>
        <w:tabs>
          <w:tab w:val="left" w:pos="2977"/>
        </w:tabs>
        <w:spacing w:after="240" w:line="240" w:lineRule="exact"/>
        <w:jc w:val="both"/>
        <w:outlineLvl w:val="0"/>
        <w:rPr>
          <w:rFonts w:ascii="Lato" w:hAnsi="Lato" w:cs="Arial"/>
          <w:bCs/>
          <w:spacing w:val="4"/>
        </w:rPr>
      </w:pPr>
      <w:r w:rsidRPr="007C3A26">
        <w:rPr>
          <w:rFonts w:ascii="Lato" w:hAnsi="Lato" w:cs="Arial"/>
          <w:bCs/>
          <w:spacing w:val="4"/>
          <w:lang w:bidi="pl-PL"/>
        </w:rPr>
        <w:t xml:space="preserve">Nie można pominąć istotnej okoliczności, że </w:t>
      </w:r>
      <w:r w:rsidRPr="007C3A26">
        <w:rPr>
          <w:rFonts w:ascii="Lato" w:hAnsi="Lato" w:cs="Arial"/>
          <w:bCs/>
          <w:spacing w:val="4"/>
        </w:rPr>
        <w:t xml:space="preserve">określenie wariantu przebiegu przedmiotowej inwestycji i analiza aspektów jej wpływu na środowisko i ludzi nastąpiło na etapie postępowania w sprawie wydania </w:t>
      </w:r>
      <w:r w:rsidRPr="007C3A26">
        <w:rPr>
          <w:rFonts w:ascii="Lato" w:hAnsi="Lato" w:cs="Arial"/>
          <w:bCs/>
          <w:spacing w:val="4"/>
          <w:lang w:bidi="pl-PL"/>
        </w:rPr>
        <w:t xml:space="preserve">decyzji Regionalnego Dyrektora Ochrony Środowiska w Opolu (dalej: RDOŚ w Opolu) z dnia 9 marca 2023 r., znak: WOOŚ.420.9.2022.AK.18, stwierdzającej brak potrzeby przeprowadzenia oceny oddziaływania na środowisko dla przedmiotowego przedsięwzięcia, zwanej dalej „decyzją o środowiskowych uwarunkowaniach” </w:t>
      </w:r>
      <w:r w:rsidRPr="007C3A26">
        <w:rPr>
          <w:rFonts w:ascii="Lato" w:hAnsi="Lato" w:cs="Arial"/>
          <w:bCs/>
          <w:spacing w:val="4"/>
        </w:rPr>
        <w:t>i w tym postępowaniu strony mogły wnosić uwagi co do trasy projektowanej inwestycji (por. wyrok Wojewódzkiego Sądu Administracyjnego w Warszawie z dnia 7 września 2017 r., sygn. akt IV SA/</w:t>
      </w:r>
      <w:proofErr w:type="spellStart"/>
      <w:r w:rsidRPr="007C3A26">
        <w:rPr>
          <w:rFonts w:ascii="Lato" w:hAnsi="Lato" w:cs="Arial"/>
          <w:bCs/>
          <w:spacing w:val="4"/>
        </w:rPr>
        <w:t>Wa</w:t>
      </w:r>
      <w:proofErr w:type="spellEnd"/>
      <w:r w:rsidRPr="007C3A26">
        <w:rPr>
          <w:rFonts w:ascii="Lato" w:hAnsi="Lato" w:cs="Arial"/>
          <w:bCs/>
          <w:spacing w:val="4"/>
        </w:rPr>
        <w:t xml:space="preserve"> 1749/17, wydany w sprawie rozpatrywanej na podstawie specustawy przesyłowej, lecz w istotnym zakresie w pełni analogicznej do rozwiązań przyjętych w specustawie gazowej). </w:t>
      </w:r>
    </w:p>
    <w:p w14:paraId="7B30C761" w14:textId="7CE6B989" w:rsidR="00707E35" w:rsidRPr="007C3A26" w:rsidRDefault="00033E39" w:rsidP="00B40594">
      <w:pPr>
        <w:tabs>
          <w:tab w:val="left" w:pos="2977"/>
        </w:tabs>
        <w:spacing w:after="240" w:line="240" w:lineRule="exact"/>
        <w:jc w:val="both"/>
        <w:outlineLvl w:val="0"/>
        <w:rPr>
          <w:rFonts w:ascii="Lato" w:hAnsi="Lato" w:cs="Arial"/>
          <w:bCs/>
          <w:spacing w:val="4"/>
          <w:lang w:bidi="pl-PL"/>
        </w:rPr>
      </w:pPr>
      <w:r w:rsidRPr="007C3A26">
        <w:rPr>
          <w:rFonts w:ascii="Lato" w:hAnsi="Lato" w:cs="Arial"/>
          <w:bCs/>
          <w:spacing w:val="4"/>
          <w:lang w:bidi="pl-PL"/>
        </w:rPr>
        <w:t xml:space="preserve">Decyzja o środowiskowych uwarunkowaniach jest, co do zasady, pierwszą decyzją, </w:t>
      </w:r>
      <w:r w:rsidRPr="007C3A26">
        <w:rPr>
          <w:rFonts w:ascii="Lato" w:hAnsi="Lato" w:cs="Arial"/>
          <w:bCs/>
          <w:spacing w:val="4"/>
          <w:lang w:bidi="pl-PL"/>
        </w:rPr>
        <w:br/>
        <w:t xml:space="preserve">o wydanie której występuje inwestor przed rozpoczęciem planowanego przedsięwzięcia. Wynika to z konieczności objęcia rozstrzygnięciem decyzji o środowiskowych uwarunkowaniach dopuszczalności usytuowania danego przedsięwzięcia z punktu widzenia ochrony zasobów środowiska, zdrowia ludzi i ewentualnego przeciwdziałania negatywnym oddziaływaniom. Ewentualne uwagi i zastrzeżenia co do skutków środowiskowych realizacji przedmiotowej inwestycji, w tym proponowanego wariantu przebiegu inwestycji, strony mogły zgłaszać w toku postępowania środowiskowego. Należy pamiętać, że decyzja o środowiskowych uwarunkowaniach ma charakter </w:t>
      </w:r>
      <w:proofErr w:type="spellStart"/>
      <w:r w:rsidRPr="007C3A26">
        <w:rPr>
          <w:rFonts w:ascii="Lato" w:hAnsi="Lato" w:cs="Arial"/>
          <w:bCs/>
          <w:spacing w:val="4"/>
          <w:lang w:bidi="pl-PL"/>
        </w:rPr>
        <w:t>sui</w:t>
      </w:r>
      <w:proofErr w:type="spellEnd"/>
      <w:r w:rsidRPr="007C3A26">
        <w:rPr>
          <w:rFonts w:ascii="Lato" w:hAnsi="Lato" w:cs="Arial"/>
          <w:bCs/>
          <w:spacing w:val="4"/>
          <w:lang w:bidi="pl-PL"/>
        </w:rPr>
        <w:t xml:space="preserve"> </w:t>
      </w:r>
      <w:proofErr w:type="spellStart"/>
      <w:r w:rsidRPr="007C3A26">
        <w:rPr>
          <w:rFonts w:ascii="Lato" w:hAnsi="Lato" w:cs="Arial"/>
          <w:bCs/>
          <w:spacing w:val="4"/>
          <w:lang w:bidi="pl-PL"/>
        </w:rPr>
        <w:t>generis</w:t>
      </w:r>
      <w:proofErr w:type="spellEnd"/>
      <w:r w:rsidRPr="007C3A26">
        <w:rPr>
          <w:rFonts w:ascii="Lato" w:hAnsi="Lato" w:cs="Arial"/>
          <w:bCs/>
          <w:spacing w:val="4"/>
          <w:lang w:bidi="pl-PL"/>
        </w:rPr>
        <w:t xml:space="preserve"> „rozstrzygnięcia wstępnego” względem przyszłego ustalenia lokalizacji inwestycji towarzyszącej inwestycjom w zakresie terminalu i pełni ona względem niego funkcję prejudycjalną.</w:t>
      </w:r>
      <w:r w:rsidR="00A14E7D" w:rsidRPr="007C3A26">
        <w:rPr>
          <w:rFonts w:ascii="Lato" w:hAnsi="Lato" w:cs="Arial"/>
          <w:bCs/>
          <w:spacing w:val="4"/>
          <w:lang w:bidi="pl-PL"/>
        </w:rPr>
        <w:t xml:space="preserve"> Oddziaływanie na środowisko realizacji inwestycji, obejmujące również szczegółową analizę potencjalnego wpływu na Obszary Natura 2000, zostało przeanalizowane przez </w:t>
      </w:r>
      <w:r w:rsidR="00E72E98" w:rsidRPr="007C3A26">
        <w:rPr>
          <w:rFonts w:ascii="Lato" w:hAnsi="Lato" w:cs="Arial"/>
          <w:bCs/>
          <w:spacing w:val="4"/>
          <w:lang w:bidi="pl-PL"/>
        </w:rPr>
        <w:t xml:space="preserve">wyspecjalizowany organ - </w:t>
      </w:r>
      <w:r w:rsidR="00A14E7D" w:rsidRPr="007C3A26">
        <w:rPr>
          <w:rFonts w:ascii="Lato" w:hAnsi="Lato" w:cs="Arial"/>
          <w:bCs/>
          <w:spacing w:val="4"/>
          <w:lang w:bidi="pl-PL"/>
        </w:rPr>
        <w:t>RDOŚ w Opolu</w:t>
      </w:r>
      <w:r w:rsidR="00FC7F4E" w:rsidRPr="007C3A26">
        <w:rPr>
          <w:rFonts w:ascii="Lato" w:hAnsi="Lato" w:cs="Arial"/>
          <w:bCs/>
          <w:spacing w:val="4"/>
          <w:lang w:bidi="pl-PL"/>
        </w:rPr>
        <w:t xml:space="preserve"> </w:t>
      </w:r>
      <w:r w:rsidR="00A14E7D" w:rsidRPr="007C3A26">
        <w:rPr>
          <w:rFonts w:ascii="Lato" w:hAnsi="Lato" w:cs="Arial"/>
          <w:bCs/>
          <w:spacing w:val="4"/>
          <w:lang w:bidi="pl-PL"/>
        </w:rPr>
        <w:t>na etapie uzyskiwania decyzji o środowiskowych uwarunkowaniach. Celem analiz było przewidywanie potencjalnych zagrożeń środowiskowych na etapie planowania inwestycji oraz skali tych zagrożeń, a w ich wyniku przeciwdziałanie tym zagrożeniom lub ich ograniczanie oraz minimalizowanie negatywnych skutków realizacji planowanej inwestycji. Wynikiem oceny było wypracowani</w:t>
      </w:r>
      <w:r w:rsidR="00D662B0" w:rsidRPr="007C3A26">
        <w:rPr>
          <w:rFonts w:ascii="Lato" w:hAnsi="Lato" w:cs="Arial"/>
          <w:bCs/>
          <w:spacing w:val="4"/>
          <w:lang w:bidi="pl-PL"/>
        </w:rPr>
        <w:t>e</w:t>
      </w:r>
      <w:r w:rsidR="00A14E7D" w:rsidRPr="007C3A26">
        <w:rPr>
          <w:rFonts w:ascii="Lato" w:hAnsi="Lato" w:cs="Arial"/>
          <w:bCs/>
          <w:spacing w:val="4"/>
          <w:lang w:bidi="pl-PL"/>
        </w:rPr>
        <w:t xml:space="preserve"> rozwiązania, gdzie przekroczenie przez obszar chroniony odbywa się w miejscu gdzie gazociąg przecina go w najkrótszym możliwym odcinku </w:t>
      </w:r>
      <w:r w:rsidR="00E72E98" w:rsidRPr="007C3A26">
        <w:rPr>
          <w:rFonts w:ascii="Lato" w:hAnsi="Lato" w:cs="Arial"/>
          <w:bCs/>
          <w:spacing w:val="4"/>
          <w:lang w:bidi="pl-PL"/>
        </w:rPr>
        <w:br/>
      </w:r>
      <w:r w:rsidR="00A14E7D" w:rsidRPr="007C3A26">
        <w:rPr>
          <w:rFonts w:ascii="Lato" w:hAnsi="Lato" w:cs="Arial"/>
          <w:bCs/>
          <w:spacing w:val="4"/>
          <w:lang w:bidi="pl-PL"/>
        </w:rPr>
        <w:t xml:space="preserve">z zastosowaniem metody przekroczenia </w:t>
      </w:r>
      <w:proofErr w:type="spellStart"/>
      <w:r w:rsidR="00A14E7D" w:rsidRPr="007C3A26">
        <w:rPr>
          <w:rFonts w:ascii="Lato" w:hAnsi="Lato" w:cs="Arial"/>
          <w:bCs/>
          <w:spacing w:val="4"/>
          <w:lang w:bidi="pl-PL"/>
        </w:rPr>
        <w:t>bezwykopowego</w:t>
      </w:r>
      <w:proofErr w:type="spellEnd"/>
      <w:r w:rsidR="00A14E7D" w:rsidRPr="007C3A26">
        <w:rPr>
          <w:rFonts w:ascii="Lato" w:hAnsi="Lato" w:cs="Arial"/>
          <w:bCs/>
          <w:spacing w:val="4"/>
          <w:lang w:bidi="pl-PL"/>
        </w:rPr>
        <w:t>, której końce znajdować się będą w określonej odległości od chronionych siedlisk, a głębokość metody zapewni ochronę dna koryta rzeki oraz systemu korzeniowego</w:t>
      </w:r>
      <w:r w:rsidR="00E72E98" w:rsidRPr="007C3A26">
        <w:rPr>
          <w:rFonts w:ascii="Lato" w:hAnsi="Lato" w:cs="Arial"/>
          <w:bCs/>
          <w:spacing w:val="4"/>
          <w:lang w:bidi="pl-PL"/>
        </w:rPr>
        <w:t xml:space="preserve"> drzew. </w:t>
      </w:r>
      <w:r w:rsidR="000A12D3" w:rsidRPr="007C3A26">
        <w:rPr>
          <w:rFonts w:ascii="Lato" w:hAnsi="Lato" w:cs="Arial"/>
          <w:bCs/>
          <w:spacing w:val="4"/>
          <w:lang w:bidi="pl-PL"/>
        </w:rPr>
        <w:t>Przeprowadzona procedura środowiskowa, zakończona uzyskaniem decyzji o środowiskowych uwarunkowaniach, wskazała, że przy zachowaniu warunków określonych tej w decyzji nie nastąpi negatywne oddziaływania na środowisko, w tym nie nastąpi negatywne oddziaływanie na obszary form ochrony przyrody.</w:t>
      </w:r>
    </w:p>
    <w:p w14:paraId="1E9C53E7" w14:textId="0D53C117" w:rsidR="003A4365" w:rsidRPr="007C3A26" w:rsidRDefault="003A4365" w:rsidP="00C260A9">
      <w:pPr>
        <w:tabs>
          <w:tab w:val="left" w:pos="2977"/>
        </w:tabs>
        <w:spacing w:after="240" w:line="240" w:lineRule="exact"/>
        <w:jc w:val="both"/>
        <w:outlineLvl w:val="0"/>
        <w:rPr>
          <w:rFonts w:ascii="Lato" w:eastAsia="Times New Roman" w:hAnsi="Lato" w:cs="Arial"/>
          <w:bCs/>
          <w:iCs/>
          <w:spacing w:val="4"/>
          <w:lang w:eastAsia="pl-PL" w:bidi="pl-PL"/>
        </w:rPr>
      </w:pPr>
      <w:r w:rsidRPr="007C3A26">
        <w:rPr>
          <w:rFonts w:ascii="Lato" w:eastAsia="Times New Roman" w:hAnsi="Lato" w:cs="Arial"/>
          <w:bCs/>
          <w:iCs/>
          <w:spacing w:val="4"/>
          <w:lang w:eastAsia="pl-PL" w:bidi="pl-PL"/>
        </w:rPr>
        <w:t xml:space="preserve">Znacznie decyzji o środowiskowych uwarunkowaniach dla dalszego procesu inwestycyjnego zostało określone w art. 86 pkt 2 ustawy z dnia 3 października 2008 r. </w:t>
      </w:r>
      <w:r w:rsidR="006C3674" w:rsidRPr="007C3A26">
        <w:rPr>
          <w:rFonts w:ascii="Lato" w:eastAsia="Times New Roman" w:hAnsi="Lato" w:cs="Arial"/>
          <w:bCs/>
          <w:iCs/>
          <w:spacing w:val="4"/>
          <w:lang w:eastAsia="pl-PL" w:bidi="pl-PL"/>
        </w:rPr>
        <w:br/>
      </w:r>
      <w:r w:rsidRPr="007C3A26">
        <w:rPr>
          <w:rFonts w:ascii="Lato" w:eastAsia="Times New Roman" w:hAnsi="Lato" w:cs="Arial"/>
          <w:bCs/>
          <w:iCs/>
          <w:spacing w:val="4"/>
          <w:lang w:eastAsia="pl-PL" w:bidi="pl-PL"/>
        </w:rPr>
        <w:t xml:space="preserve">o udostępnianiu informacji o środowisku i jego ochronie, udziale społeczeństwa </w:t>
      </w:r>
      <w:r w:rsidR="006C3674" w:rsidRPr="007C3A26">
        <w:rPr>
          <w:rFonts w:ascii="Lato" w:eastAsia="Times New Roman" w:hAnsi="Lato" w:cs="Arial"/>
          <w:bCs/>
          <w:iCs/>
          <w:spacing w:val="4"/>
          <w:lang w:eastAsia="pl-PL" w:bidi="pl-PL"/>
        </w:rPr>
        <w:br/>
      </w:r>
      <w:r w:rsidRPr="007C3A26">
        <w:rPr>
          <w:rFonts w:ascii="Lato" w:eastAsia="Times New Roman" w:hAnsi="Lato" w:cs="Arial"/>
          <w:bCs/>
          <w:iCs/>
          <w:spacing w:val="4"/>
          <w:lang w:eastAsia="pl-PL" w:bidi="pl-PL"/>
        </w:rPr>
        <w:t xml:space="preserve">w ochronie środowiska oraz o ocenach oddziaływania na środowisko (t.j. </w:t>
      </w:r>
      <w:r w:rsidR="00D662B0" w:rsidRPr="007C3A26">
        <w:rPr>
          <w:rFonts w:ascii="Lato" w:eastAsia="Times New Roman" w:hAnsi="Lato" w:cs="Arial"/>
          <w:bCs/>
          <w:iCs/>
          <w:spacing w:val="4"/>
          <w:lang w:eastAsia="pl-PL" w:bidi="pl-PL"/>
        </w:rPr>
        <w:t>Dz.U. z 2026 r. poz. 670</w:t>
      </w:r>
      <w:r w:rsidRPr="007C3A26">
        <w:rPr>
          <w:rFonts w:ascii="Lato" w:eastAsia="Times New Roman" w:hAnsi="Lato" w:cs="Arial"/>
          <w:bCs/>
          <w:iCs/>
          <w:spacing w:val="4"/>
          <w:lang w:eastAsia="pl-PL" w:bidi="pl-PL"/>
        </w:rPr>
        <w:t xml:space="preserve">). zwanej dalej „ustawą o udostępnianiu informacji o środowisku i jego ochronie”. Zgodnie z tym przepisem, decyzja o środowiskowych uwarunkowaniach wiąże organ wydający decyzję o ustaleniu lokalizacji inwestycji na podstawie specustawy gazowej. </w:t>
      </w:r>
      <w:r w:rsidRPr="007C3A26">
        <w:rPr>
          <w:rFonts w:ascii="Lato" w:eastAsia="Times New Roman" w:hAnsi="Lato" w:cs="Arial"/>
          <w:bCs/>
          <w:iCs/>
          <w:spacing w:val="4"/>
          <w:lang w:eastAsia="pl-PL" w:bidi="pl-PL"/>
        </w:rPr>
        <w:lastRenderedPageBreak/>
        <w:t>Zatem zarówno Wojewoda</w:t>
      </w:r>
      <w:r w:rsidR="006C3674" w:rsidRPr="007C3A26">
        <w:rPr>
          <w:rFonts w:ascii="Lato" w:eastAsia="Times New Roman" w:hAnsi="Lato" w:cs="Arial"/>
          <w:bCs/>
          <w:iCs/>
          <w:spacing w:val="4"/>
          <w:lang w:eastAsia="pl-PL" w:bidi="pl-PL"/>
        </w:rPr>
        <w:t xml:space="preserve"> Opolski</w:t>
      </w:r>
      <w:r w:rsidRPr="007C3A26">
        <w:rPr>
          <w:rFonts w:ascii="Lato" w:eastAsia="Times New Roman" w:hAnsi="Lato" w:cs="Arial"/>
          <w:bCs/>
          <w:iCs/>
          <w:spacing w:val="4"/>
          <w:lang w:eastAsia="pl-PL" w:bidi="pl-PL"/>
        </w:rPr>
        <w:t xml:space="preserve">, jak i Minister w ramach postępowania w sprawie wydania decyzji o ustaleniu lokalizacji przedmiotowej inwestycji z mocy prawa </w:t>
      </w:r>
      <w:r w:rsidR="00D662B0" w:rsidRPr="007C3A26">
        <w:rPr>
          <w:rFonts w:ascii="Lato" w:eastAsia="Times New Roman" w:hAnsi="Lato" w:cs="Arial"/>
          <w:bCs/>
          <w:iCs/>
          <w:spacing w:val="4"/>
          <w:lang w:eastAsia="pl-PL" w:bidi="pl-PL"/>
        </w:rPr>
        <w:br/>
      </w:r>
      <w:r w:rsidRPr="007C3A26">
        <w:rPr>
          <w:rFonts w:ascii="Lato" w:eastAsia="Times New Roman" w:hAnsi="Lato" w:cs="Arial"/>
          <w:bCs/>
          <w:iCs/>
          <w:spacing w:val="4"/>
          <w:lang w:eastAsia="pl-PL" w:bidi="pl-PL"/>
        </w:rPr>
        <w:t>są związani ustaleniami decyzji o środowiskowych uwarunkowaniach</w:t>
      </w:r>
      <w:r w:rsidRPr="007C3A26">
        <w:rPr>
          <w:rFonts w:ascii="Lato" w:eastAsia="Times New Roman" w:hAnsi="Lato" w:cs="Arial"/>
          <w:bCs/>
          <w:i/>
          <w:iCs/>
          <w:spacing w:val="4"/>
          <w:lang w:eastAsia="pl-PL" w:bidi="pl-PL"/>
        </w:rPr>
        <w:t xml:space="preserve">, </w:t>
      </w:r>
      <w:r w:rsidRPr="007C3A26">
        <w:rPr>
          <w:rFonts w:ascii="Lato" w:eastAsia="Times New Roman" w:hAnsi="Lato" w:cs="Arial"/>
          <w:bCs/>
          <w:iCs/>
          <w:spacing w:val="4"/>
          <w:lang w:eastAsia="pl-PL" w:bidi="pl-PL"/>
        </w:rPr>
        <w:t>w tym również</w:t>
      </w:r>
      <w:r w:rsidRPr="007C3A26">
        <w:rPr>
          <w:rFonts w:ascii="Lato" w:eastAsia="Times New Roman" w:hAnsi="Lato" w:cs="Arial"/>
          <w:bCs/>
          <w:i/>
          <w:iCs/>
          <w:spacing w:val="4"/>
          <w:lang w:eastAsia="pl-PL" w:bidi="pl-PL"/>
        </w:rPr>
        <w:t xml:space="preserve"> </w:t>
      </w:r>
      <w:r w:rsidRPr="007C3A26">
        <w:rPr>
          <w:rFonts w:ascii="Lato" w:eastAsia="Times New Roman" w:hAnsi="Lato" w:cs="Arial"/>
          <w:bCs/>
          <w:iCs/>
          <w:spacing w:val="4"/>
          <w:lang w:eastAsia="pl-PL" w:bidi="pl-PL"/>
        </w:rPr>
        <w:t xml:space="preserve">odnośnie przyjętego wariantu przebiegu inwestycji. Podnieść również należy, iż organy orzekające o ustaleniu lokalizacji </w:t>
      </w:r>
      <w:r w:rsidR="006C3674" w:rsidRPr="007C3A26">
        <w:rPr>
          <w:rFonts w:ascii="Lato" w:eastAsia="Times New Roman" w:hAnsi="Lato" w:cs="Arial"/>
          <w:bCs/>
          <w:iCs/>
          <w:spacing w:val="4"/>
          <w:lang w:eastAsia="pl-PL" w:bidi="pl-PL"/>
        </w:rPr>
        <w:t xml:space="preserve">inwestycji na podstawie specustawy gazowej </w:t>
      </w:r>
      <w:r w:rsidRPr="007C3A26">
        <w:rPr>
          <w:rFonts w:ascii="Lato" w:eastAsia="Times New Roman" w:hAnsi="Lato" w:cs="Arial"/>
          <w:bCs/>
          <w:iCs/>
          <w:spacing w:val="4"/>
          <w:lang w:eastAsia="pl-PL" w:bidi="pl-PL"/>
        </w:rPr>
        <w:t xml:space="preserve">nie są właściwe do oceny prawidłowości postępowania zakończonego wydaniem decyzji </w:t>
      </w:r>
      <w:r w:rsidR="00707E35" w:rsidRPr="007C3A26">
        <w:rPr>
          <w:rFonts w:ascii="Lato" w:eastAsia="Times New Roman" w:hAnsi="Lato" w:cs="Arial"/>
          <w:bCs/>
          <w:iCs/>
          <w:spacing w:val="4"/>
          <w:lang w:eastAsia="pl-PL" w:bidi="pl-PL"/>
        </w:rPr>
        <w:br/>
      </w:r>
      <w:r w:rsidRPr="007C3A26">
        <w:rPr>
          <w:rFonts w:ascii="Lato" w:eastAsia="Times New Roman" w:hAnsi="Lato" w:cs="Arial"/>
          <w:bCs/>
          <w:iCs/>
          <w:spacing w:val="4"/>
          <w:lang w:eastAsia="pl-PL" w:bidi="pl-PL"/>
        </w:rPr>
        <w:t xml:space="preserve">o środowiskowych uwarunkowaniach, jak i samej decyzji. Kompetencja w tym zakresie przysługuje organowi wskazanemu w ustawie o udostępnianiu informacji o środowisku </w:t>
      </w:r>
      <w:r w:rsidR="00707E35" w:rsidRPr="007C3A26">
        <w:rPr>
          <w:rFonts w:ascii="Lato" w:eastAsia="Times New Roman" w:hAnsi="Lato" w:cs="Arial"/>
          <w:bCs/>
          <w:iCs/>
          <w:spacing w:val="4"/>
          <w:lang w:eastAsia="pl-PL" w:bidi="pl-PL"/>
        </w:rPr>
        <w:br/>
      </w:r>
      <w:r w:rsidRPr="007C3A26">
        <w:rPr>
          <w:rFonts w:ascii="Lato" w:eastAsia="Times New Roman" w:hAnsi="Lato" w:cs="Arial"/>
          <w:bCs/>
          <w:iCs/>
          <w:spacing w:val="4"/>
          <w:lang w:eastAsia="pl-PL" w:bidi="pl-PL"/>
        </w:rPr>
        <w:t xml:space="preserve">i jego ochronie. Z akt sprawy (por. zaświadczenie RDOŚ w </w:t>
      </w:r>
      <w:r w:rsidR="006C3674" w:rsidRPr="007C3A26">
        <w:rPr>
          <w:rFonts w:ascii="Lato" w:eastAsia="Times New Roman" w:hAnsi="Lato" w:cs="Arial"/>
          <w:bCs/>
          <w:iCs/>
          <w:spacing w:val="4"/>
          <w:lang w:eastAsia="pl-PL" w:bidi="pl-PL"/>
        </w:rPr>
        <w:t>Opolu z dnia 12 maja 2023 r., znak:</w:t>
      </w:r>
      <w:r w:rsidR="00D662B0" w:rsidRPr="007C3A26">
        <w:rPr>
          <w:rFonts w:ascii="Lato" w:eastAsia="Times New Roman" w:hAnsi="Lato" w:cs="Arial"/>
          <w:bCs/>
          <w:iCs/>
          <w:spacing w:val="4"/>
          <w:lang w:eastAsia="pl-PL" w:bidi="pl-PL"/>
        </w:rPr>
        <w:t xml:space="preserve"> </w:t>
      </w:r>
      <w:r w:rsidR="00FF10E2" w:rsidRPr="007C3A26">
        <w:rPr>
          <w:rFonts w:ascii="Lato" w:eastAsia="Times New Roman" w:hAnsi="Lato" w:cs="Arial"/>
          <w:bCs/>
          <w:iCs/>
          <w:spacing w:val="4"/>
          <w:lang w:eastAsia="pl-PL" w:bidi="pl-PL"/>
        </w:rPr>
        <w:t>WOOŚ.420.9.2022.AK.34</w:t>
      </w:r>
      <w:r w:rsidRPr="007C3A26">
        <w:rPr>
          <w:rFonts w:ascii="Lato" w:eastAsia="Times New Roman" w:hAnsi="Lato" w:cs="Arial"/>
          <w:bCs/>
          <w:iCs/>
          <w:spacing w:val="4"/>
          <w:lang w:eastAsia="pl-PL" w:bidi="pl-PL"/>
        </w:rPr>
        <w:t xml:space="preserve">) wynika, że decyzja o środowiskowych uwarunkowaniach stała się ostateczna w administracyjnym toku instancji, bowiem nie wniesiono od niej odwołania. </w:t>
      </w:r>
    </w:p>
    <w:p w14:paraId="4E774344" w14:textId="21FB4937" w:rsidR="006C3674" w:rsidRPr="007C3A26" w:rsidRDefault="006C3674" w:rsidP="00B40594">
      <w:pPr>
        <w:tabs>
          <w:tab w:val="left" w:pos="2977"/>
        </w:tabs>
        <w:spacing w:after="240" w:line="240" w:lineRule="exact"/>
        <w:jc w:val="both"/>
        <w:outlineLvl w:val="0"/>
        <w:rPr>
          <w:rFonts w:ascii="Lato" w:hAnsi="Lato" w:cs="Arial"/>
          <w:bCs/>
          <w:spacing w:val="4"/>
          <w:lang w:bidi="pl-PL"/>
        </w:rPr>
      </w:pPr>
      <w:r w:rsidRPr="007C3A26">
        <w:rPr>
          <w:rFonts w:ascii="Lato" w:hAnsi="Lato" w:cs="Arial"/>
          <w:bCs/>
          <w:spacing w:val="4"/>
          <w:lang w:bidi="pl-PL"/>
        </w:rPr>
        <w:t>Natomiast na etapie postępowania o wydanie decyzji o ustaleniu lokalizacji gazociągu nie bada się już innych wariantów lokalizacyjnych przeprowadzenia inwestycji (por. wyrok Wojewódzkiego Sądu Administracyjnego w Warszawie z dnia 19 września 2019 r., sygn. akt IV SA/</w:t>
      </w:r>
      <w:proofErr w:type="spellStart"/>
      <w:r w:rsidRPr="007C3A26">
        <w:rPr>
          <w:rFonts w:ascii="Lato" w:hAnsi="Lato" w:cs="Arial"/>
          <w:bCs/>
          <w:spacing w:val="4"/>
          <w:lang w:bidi="pl-PL"/>
        </w:rPr>
        <w:t>Wa</w:t>
      </w:r>
      <w:proofErr w:type="spellEnd"/>
      <w:r w:rsidRPr="007C3A26">
        <w:rPr>
          <w:rFonts w:ascii="Lato" w:hAnsi="Lato" w:cs="Arial"/>
          <w:bCs/>
          <w:spacing w:val="4"/>
          <w:lang w:bidi="pl-PL"/>
        </w:rPr>
        <w:t xml:space="preserve"> 510/18, </w:t>
      </w:r>
      <w:proofErr w:type="spellStart"/>
      <w:r w:rsidRPr="007C3A26">
        <w:rPr>
          <w:rFonts w:ascii="Lato" w:hAnsi="Lato" w:cs="Arial"/>
          <w:bCs/>
          <w:spacing w:val="4"/>
          <w:lang w:bidi="pl-PL"/>
        </w:rPr>
        <w:t>opubl</w:t>
      </w:r>
      <w:proofErr w:type="spellEnd"/>
      <w:r w:rsidRPr="007C3A26">
        <w:rPr>
          <w:rFonts w:ascii="Lato" w:hAnsi="Lato" w:cs="Arial"/>
          <w:bCs/>
          <w:spacing w:val="4"/>
          <w:lang w:bidi="pl-PL"/>
        </w:rPr>
        <w:t xml:space="preserve">. Centralna Baza Orzeczeń Sądów Administracyjnych). Jak to bowiem wskazał Naczelny Sąd Administracyjny w wyroku z dnia 12 września 2023 r., sygn. akt II OSK 1004/23, żaden z organów administracji właściwych do wydania decyzji o ustaleniu lokalizacji inwestycji, na podstawie przepisów specustawy gazowej, nie miał uprawnienia do ingerowania w przebieg inwestycji zaproponowany przez inwestora </w:t>
      </w:r>
      <w:r w:rsidRPr="007C3A26">
        <w:rPr>
          <w:rFonts w:ascii="Lato" w:hAnsi="Lato" w:cs="Arial"/>
          <w:bCs/>
          <w:spacing w:val="4"/>
          <w:lang w:bidi="pl-PL"/>
        </w:rPr>
        <w:br/>
        <w:t>a który to wcześniej został zatwierdzony i zaakceptowany w decyzji określającej środowiskowe uwarunkowania realizacji inwestycji.</w:t>
      </w:r>
      <w:r w:rsidRPr="007C3A26">
        <w:rPr>
          <w:rFonts w:ascii="Lato" w:eastAsia="Times New Roman" w:hAnsi="Lato" w:cs="Arial"/>
          <w:bCs/>
          <w:spacing w:val="4"/>
          <w:lang w:eastAsia="pl-PL" w:bidi="pl-PL"/>
        </w:rPr>
        <w:t xml:space="preserve"> </w:t>
      </w:r>
      <w:r w:rsidRPr="007C3A26">
        <w:rPr>
          <w:rFonts w:ascii="Lato" w:hAnsi="Lato" w:cs="Arial"/>
          <w:bCs/>
          <w:spacing w:val="4"/>
          <w:lang w:bidi="pl-PL"/>
        </w:rPr>
        <w:t xml:space="preserve">Odstąpienie od ustalonego kształtu przebiegu przedmiotowej inwestycji, poprzez ingerencję w konkretne rozwiązania zaproponowane przez inwestora w złożonym wniosku, należałoby uznać </w:t>
      </w:r>
      <w:r w:rsidRPr="007C3A26">
        <w:rPr>
          <w:rFonts w:ascii="Lato" w:hAnsi="Lato" w:cs="Arial"/>
          <w:bCs/>
          <w:spacing w:val="4"/>
          <w:lang w:bidi="pl-PL"/>
        </w:rPr>
        <w:br/>
        <w:t xml:space="preserve">za nieuprawnioną w świetle obowiązujących przepisów ingerencję organów administracyjnych (por. wyrok </w:t>
      </w:r>
      <w:r w:rsidR="007C436B" w:rsidRPr="007C3A26">
        <w:rPr>
          <w:rFonts w:ascii="Lato" w:hAnsi="Lato" w:cs="Arial"/>
          <w:bCs/>
          <w:spacing w:val="4"/>
          <w:lang w:bidi="pl-PL"/>
        </w:rPr>
        <w:t xml:space="preserve">Naczelnego Sądu Administracyjnego </w:t>
      </w:r>
      <w:r w:rsidR="007C436B" w:rsidRPr="007C3A26">
        <w:rPr>
          <w:rFonts w:ascii="Lato" w:hAnsi="Lato" w:cs="Arial"/>
          <w:bCs/>
          <w:iCs/>
          <w:spacing w:val="4"/>
          <w:lang w:bidi="pl-PL"/>
        </w:rPr>
        <w:t xml:space="preserve">z dnia </w:t>
      </w:r>
      <w:r w:rsidR="004B6A3E" w:rsidRPr="007C3A26">
        <w:rPr>
          <w:rFonts w:ascii="Lato" w:hAnsi="Lato" w:cs="Arial"/>
          <w:bCs/>
          <w:iCs/>
          <w:spacing w:val="4"/>
          <w:lang w:bidi="pl-PL"/>
        </w:rPr>
        <w:br/>
      </w:r>
      <w:r w:rsidR="007C436B" w:rsidRPr="007C3A26">
        <w:rPr>
          <w:rFonts w:ascii="Lato" w:hAnsi="Lato" w:cs="Arial"/>
          <w:bCs/>
          <w:iCs/>
          <w:spacing w:val="4"/>
          <w:lang w:bidi="pl-PL"/>
        </w:rPr>
        <w:t>15 października 2025 r., sygn. akt II OSK 2802/24</w:t>
      </w:r>
      <w:r w:rsidR="007C436B" w:rsidRPr="007C3A26">
        <w:rPr>
          <w:rFonts w:ascii="Lato" w:hAnsi="Lato" w:cs="Arial"/>
          <w:bCs/>
          <w:spacing w:val="4"/>
          <w:lang w:bidi="pl-PL"/>
        </w:rPr>
        <w:t xml:space="preserve">, jak również wyrok </w:t>
      </w:r>
      <w:r w:rsidRPr="007C3A26">
        <w:rPr>
          <w:rFonts w:ascii="Lato" w:hAnsi="Lato" w:cs="Arial"/>
          <w:bCs/>
          <w:spacing w:val="4"/>
          <w:lang w:bidi="pl-PL"/>
        </w:rPr>
        <w:t>Wojewódzkiego Sądu Administracyjnego w Warszawie z dnia 5 kwietnia 2019 r., sygn. akt VII SA/</w:t>
      </w:r>
      <w:proofErr w:type="spellStart"/>
      <w:r w:rsidRPr="007C3A26">
        <w:rPr>
          <w:rFonts w:ascii="Lato" w:hAnsi="Lato" w:cs="Arial"/>
          <w:bCs/>
          <w:spacing w:val="4"/>
          <w:lang w:bidi="pl-PL"/>
        </w:rPr>
        <w:t>Wa</w:t>
      </w:r>
      <w:proofErr w:type="spellEnd"/>
      <w:r w:rsidRPr="007C3A26">
        <w:rPr>
          <w:rFonts w:ascii="Lato" w:hAnsi="Lato" w:cs="Arial"/>
          <w:bCs/>
          <w:spacing w:val="4"/>
          <w:lang w:bidi="pl-PL"/>
        </w:rPr>
        <w:t xml:space="preserve"> 301/19</w:t>
      </w:r>
      <w:r w:rsidR="007C436B" w:rsidRPr="007C3A26">
        <w:rPr>
          <w:rFonts w:ascii="Lato" w:hAnsi="Lato" w:cs="Arial"/>
          <w:bCs/>
          <w:spacing w:val="4"/>
          <w:lang w:bidi="pl-PL"/>
        </w:rPr>
        <w:t xml:space="preserve"> - </w:t>
      </w:r>
      <w:r w:rsidRPr="007C3A26">
        <w:rPr>
          <w:rFonts w:ascii="Lato" w:hAnsi="Lato" w:cs="Arial"/>
          <w:bCs/>
          <w:spacing w:val="4"/>
          <w:lang w:bidi="pl-PL"/>
        </w:rPr>
        <w:t xml:space="preserve"> wydany w sprawie rozpatrywanej na podstawie specustawy drogowej, lecz </w:t>
      </w:r>
      <w:r w:rsidR="008F6B17" w:rsidRPr="007C3A26">
        <w:rPr>
          <w:rFonts w:ascii="Lato" w:hAnsi="Lato" w:cs="Arial"/>
          <w:bCs/>
          <w:spacing w:val="4"/>
          <w:lang w:bidi="pl-PL"/>
        </w:rPr>
        <w:br/>
      </w:r>
      <w:r w:rsidRPr="007C3A26">
        <w:rPr>
          <w:rFonts w:ascii="Lato" w:hAnsi="Lato" w:cs="Arial"/>
          <w:bCs/>
          <w:spacing w:val="4"/>
          <w:lang w:bidi="pl-PL"/>
        </w:rPr>
        <w:t xml:space="preserve">w istotnym zakresie w pełni analogicznej do rozwiązań przyjętych specustawie gazowej, </w:t>
      </w:r>
      <w:proofErr w:type="spellStart"/>
      <w:r w:rsidRPr="007C3A26">
        <w:rPr>
          <w:rFonts w:ascii="Lato" w:hAnsi="Lato" w:cs="Arial"/>
          <w:bCs/>
          <w:spacing w:val="4"/>
          <w:lang w:bidi="pl-PL"/>
        </w:rPr>
        <w:t>opubl</w:t>
      </w:r>
      <w:proofErr w:type="spellEnd"/>
      <w:r w:rsidRPr="007C3A26">
        <w:rPr>
          <w:rFonts w:ascii="Lato" w:hAnsi="Lato" w:cs="Arial"/>
          <w:bCs/>
          <w:spacing w:val="4"/>
          <w:lang w:bidi="pl-PL"/>
        </w:rPr>
        <w:t>. Centralna Baza Orzeczeń Sądów Administracyjnych).</w:t>
      </w:r>
    </w:p>
    <w:p w14:paraId="3AC9C669" w14:textId="3315988D" w:rsidR="00FF10E2" w:rsidRPr="007C3A26" w:rsidRDefault="00FF10E2" w:rsidP="00B40594">
      <w:pPr>
        <w:tabs>
          <w:tab w:val="left" w:pos="2977"/>
        </w:tabs>
        <w:spacing w:after="240" w:line="240" w:lineRule="exact"/>
        <w:jc w:val="both"/>
        <w:outlineLvl w:val="0"/>
        <w:rPr>
          <w:rFonts w:ascii="Lato" w:hAnsi="Lato" w:cs="Arial"/>
          <w:bCs/>
          <w:spacing w:val="4"/>
          <w:lang w:bidi="pl-PL"/>
        </w:rPr>
      </w:pPr>
      <w:r w:rsidRPr="007C3A26">
        <w:rPr>
          <w:rFonts w:ascii="Lato" w:hAnsi="Lato" w:cs="Arial"/>
          <w:bCs/>
          <w:spacing w:val="4"/>
          <w:lang w:bidi="pl-PL"/>
        </w:rPr>
        <w:t xml:space="preserve">Inwestor – jako podmiot wyspecjalizowany i posiadający odpowiednią wiedzę fachową – wskazał, że poprowadzenie gazociągu przy uwzględnieniu ominięcia przedmiotowych działek skarżącego nie jest możliwe, ze względu na istniejące ukształtowanie </w:t>
      </w:r>
      <w:r w:rsidRPr="007C3A26">
        <w:rPr>
          <w:rFonts w:ascii="Lato" w:hAnsi="Lato" w:cs="Arial"/>
          <w:bCs/>
          <w:spacing w:val="4"/>
          <w:lang w:bidi="pl-PL"/>
        </w:rPr>
        <w:br/>
        <w:t xml:space="preserve">i zagospodarowanie terenu. Wzdłuż istniejącego gazociągu DN 200, w kierunku południowym, znajduje się istniejąca zabudowa miejscowości Tarnica i Tłustoręby, </w:t>
      </w:r>
      <w:r w:rsidRPr="007C3A26">
        <w:rPr>
          <w:rFonts w:ascii="Lato" w:hAnsi="Lato" w:cs="Arial"/>
          <w:bCs/>
          <w:spacing w:val="4"/>
          <w:lang w:bidi="pl-PL"/>
        </w:rPr>
        <w:br/>
        <w:t>a w ich rejonie, wzdłuż gazociągu przebiega napowietrzna linia elektroenergetyczna. Powyższe znacznie ogranicza dostępność terenu pod budowę nowego gazociągu, który w tym miejscu miałby znaczący wpływ istniejącą zabudowę. Ponadto warunki gruntowe i ukształtowanie terenu są mniej korzystne dla realizacji inwestycji. Koryto rzeki Nysy Kłodzkiej, w miejscu przekroczenia istniejącym gazociągiem, jest znacznie głębsze, mniejsza jest również dostępność terenu do realizacji przekroczenia rzeki metodą bezwykopową, w porównaniu do terenu w rejonie przyjętych rozwiązań lokalizacyjnych.</w:t>
      </w:r>
    </w:p>
    <w:p w14:paraId="3B7D7A3E" w14:textId="5BC416FA" w:rsidR="00885327" w:rsidRPr="007C3A26" w:rsidRDefault="00075F4E" w:rsidP="00B40594">
      <w:pPr>
        <w:tabs>
          <w:tab w:val="left" w:pos="2977"/>
        </w:tabs>
        <w:spacing w:after="240" w:line="240" w:lineRule="exact"/>
        <w:jc w:val="both"/>
        <w:outlineLvl w:val="0"/>
        <w:rPr>
          <w:rFonts w:ascii="Lato" w:hAnsi="Lato" w:cs="Arial"/>
          <w:bCs/>
          <w:spacing w:val="4"/>
          <w:lang w:bidi="pl-PL"/>
        </w:rPr>
      </w:pPr>
      <w:r w:rsidRPr="007C3A26">
        <w:rPr>
          <w:rFonts w:ascii="Lato" w:hAnsi="Lato" w:cs="Arial"/>
          <w:bCs/>
          <w:spacing w:val="4"/>
          <w:lang w:bidi="pl-PL"/>
        </w:rPr>
        <w:t>Ważąc interes prywatny, mocno akcentowany przez skarżąc</w:t>
      </w:r>
      <w:r w:rsidR="007A7DEF" w:rsidRPr="007C3A26">
        <w:rPr>
          <w:rFonts w:ascii="Lato" w:hAnsi="Lato" w:cs="Arial"/>
          <w:bCs/>
          <w:spacing w:val="4"/>
          <w:lang w:bidi="pl-PL"/>
        </w:rPr>
        <w:t>ego</w:t>
      </w:r>
      <w:r w:rsidRPr="007C3A26">
        <w:rPr>
          <w:rFonts w:ascii="Lato" w:hAnsi="Lato" w:cs="Arial"/>
          <w:bCs/>
          <w:spacing w:val="4"/>
          <w:lang w:bidi="pl-PL"/>
        </w:rPr>
        <w:t>, należy mieć na uwadze wszystkie powyższe uwarunkowania i wymogi</w:t>
      </w:r>
      <w:r w:rsidR="00E72E98" w:rsidRPr="007C3A26">
        <w:rPr>
          <w:rFonts w:ascii="Lato" w:hAnsi="Lato" w:cs="Arial"/>
          <w:bCs/>
          <w:spacing w:val="4"/>
          <w:lang w:bidi="pl-PL"/>
        </w:rPr>
        <w:t xml:space="preserve"> dotyczące zasad ustalenia lokalizacji inwestycji gazowych</w:t>
      </w:r>
      <w:r w:rsidR="00707E35" w:rsidRPr="007C3A26">
        <w:rPr>
          <w:rFonts w:ascii="Lato" w:hAnsi="Lato" w:cs="Arial"/>
          <w:bCs/>
          <w:spacing w:val="4"/>
          <w:lang w:bidi="pl-PL"/>
        </w:rPr>
        <w:t xml:space="preserve">. </w:t>
      </w:r>
      <w:r w:rsidRPr="007C3A26">
        <w:rPr>
          <w:rFonts w:ascii="Lato" w:hAnsi="Lato" w:cs="Arial"/>
          <w:bCs/>
          <w:spacing w:val="4"/>
          <w:lang w:bidi="pl-PL"/>
        </w:rPr>
        <w:t xml:space="preserve">Mając na uwadze powyższe uwarunkowania, założyć </w:t>
      </w:r>
      <w:r w:rsidR="00E72E98" w:rsidRPr="007C3A26">
        <w:rPr>
          <w:rFonts w:ascii="Lato" w:hAnsi="Lato" w:cs="Arial"/>
          <w:bCs/>
          <w:spacing w:val="4"/>
          <w:lang w:bidi="pl-PL"/>
        </w:rPr>
        <w:t xml:space="preserve">więc </w:t>
      </w:r>
      <w:r w:rsidRPr="007C3A26">
        <w:rPr>
          <w:rFonts w:ascii="Lato" w:hAnsi="Lato" w:cs="Arial"/>
          <w:bCs/>
          <w:spacing w:val="4"/>
          <w:lang w:bidi="pl-PL"/>
        </w:rPr>
        <w:t xml:space="preserve">trzeba pewną racjonalność </w:t>
      </w:r>
      <w:r w:rsidR="00E72E98" w:rsidRPr="007C3A26">
        <w:rPr>
          <w:rFonts w:ascii="Lato" w:hAnsi="Lato" w:cs="Arial"/>
          <w:bCs/>
          <w:spacing w:val="4"/>
          <w:lang w:bidi="pl-PL"/>
        </w:rPr>
        <w:t xml:space="preserve">rozwiązań </w:t>
      </w:r>
      <w:r w:rsidRPr="007C3A26">
        <w:rPr>
          <w:rFonts w:ascii="Lato" w:hAnsi="Lato" w:cs="Arial"/>
          <w:bCs/>
          <w:spacing w:val="4"/>
          <w:lang w:bidi="pl-PL"/>
        </w:rPr>
        <w:t xml:space="preserve">lokalizacyjnych, w tym w kwestii odnoszącej się do określenia nieruchomości objętych zakresem inwestycji i wybranego przez inwestora przebiegu inwestycji przez teren poszczególnych nieruchomości. </w:t>
      </w:r>
      <w:r w:rsidR="00885327" w:rsidRPr="007C3A26" w:rsidDel="00E50C8D">
        <w:rPr>
          <w:rFonts w:ascii="Lato" w:hAnsi="Lato" w:cs="Arial"/>
          <w:bCs/>
          <w:spacing w:val="4"/>
          <w:lang w:bidi="pl-PL"/>
        </w:rPr>
        <w:t>Dostrzec trzeba, że skarżący domaga się utrzymania swojego status quo w zakresie, w jakim dotychczas korzysta</w:t>
      </w:r>
      <w:r w:rsidR="007A7DEF" w:rsidRPr="007C3A26">
        <w:rPr>
          <w:rFonts w:ascii="Lato" w:hAnsi="Lato" w:cs="Arial"/>
          <w:bCs/>
          <w:spacing w:val="4"/>
          <w:lang w:bidi="pl-PL"/>
        </w:rPr>
        <w:t>ł</w:t>
      </w:r>
      <w:r w:rsidR="00885327" w:rsidRPr="007C3A26" w:rsidDel="00E50C8D">
        <w:rPr>
          <w:rFonts w:ascii="Lato" w:hAnsi="Lato" w:cs="Arial"/>
          <w:bCs/>
          <w:spacing w:val="4"/>
          <w:lang w:bidi="pl-PL"/>
        </w:rPr>
        <w:t xml:space="preserve"> z nieruchomości objętych lokalizacją przedmiotowej inwestycji lub planowa</w:t>
      </w:r>
      <w:r w:rsidR="007A7DEF" w:rsidRPr="007C3A26">
        <w:rPr>
          <w:rFonts w:ascii="Lato" w:hAnsi="Lato" w:cs="Arial"/>
          <w:bCs/>
          <w:spacing w:val="4"/>
          <w:lang w:bidi="pl-PL"/>
        </w:rPr>
        <w:t>ł</w:t>
      </w:r>
      <w:r w:rsidR="00885327" w:rsidRPr="007C3A26" w:rsidDel="00E50C8D">
        <w:rPr>
          <w:rFonts w:ascii="Lato" w:hAnsi="Lato" w:cs="Arial"/>
          <w:bCs/>
          <w:spacing w:val="4"/>
          <w:lang w:bidi="pl-PL"/>
        </w:rPr>
        <w:t xml:space="preserve"> </w:t>
      </w:r>
      <w:r w:rsidR="00885327" w:rsidRPr="007C3A26" w:rsidDel="00E50C8D">
        <w:rPr>
          <w:rFonts w:ascii="Lato" w:hAnsi="Lato" w:cs="Arial"/>
          <w:bCs/>
          <w:spacing w:val="4"/>
          <w:lang w:bidi="pl-PL"/>
        </w:rPr>
        <w:lastRenderedPageBreak/>
        <w:t xml:space="preserve">ich przyszłe wykorzystanie i w tym kontekście </w:t>
      </w:r>
      <w:r w:rsidR="00AA0438" w:rsidRPr="007C3A26">
        <w:rPr>
          <w:rFonts w:ascii="Lato" w:hAnsi="Lato" w:cs="Arial"/>
          <w:bCs/>
          <w:spacing w:val="4"/>
          <w:lang w:bidi="pl-PL"/>
        </w:rPr>
        <w:t xml:space="preserve">jego </w:t>
      </w:r>
      <w:r w:rsidR="00885327" w:rsidRPr="007C3A26" w:rsidDel="00E50C8D">
        <w:rPr>
          <w:rFonts w:ascii="Lato" w:hAnsi="Lato" w:cs="Arial"/>
          <w:bCs/>
          <w:spacing w:val="4"/>
          <w:lang w:bidi="pl-PL"/>
        </w:rPr>
        <w:t xml:space="preserve">sprzeciw wydaje się być oczywiście naturalnym odruchem ochrony sposobu </w:t>
      </w:r>
      <w:r w:rsidR="007A7DEF" w:rsidRPr="007C3A26">
        <w:rPr>
          <w:rFonts w:ascii="Lato" w:hAnsi="Lato" w:cs="Arial"/>
          <w:bCs/>
          <w:spacing w:val="4"/>
          <w:lang w:bidi="pl-PL"/>
        </w:rPr>
        <w:t>w</w:t>
      </w:r>
      <w:r w:rsidR="00885327" w:rsidRPr="007C3A26" w:rsidDel="00E50C8D">
        <w:rPr>
          <w:rFonts w:ascii="Lato" w:hAnsi="Lato" w:cs="Arial"/>
          <w:bCs/>
          <w:spacing w:val="4"/>
          <w:lang w:bidi="pl-PL"/>
        </w:rPr>
        <w:t>ykonywania dotychczasowego prawa własności nieruchomości.</w:t>
      </w:r>
      <w:r w:rsidR="00885327" w:rsidRPr="007C3A26">
        <w:rPr>
          <w:rFonts w:ascii="Lato" w:hAnsi="Lato" w:cs="Arial"/>
          <w:bCs/>
          <w:spacing w:val="4"/>
          <w:lang w:bidi="pl-PL"/>
        </w:rPr>
        <w:t xml:space="preserve"> </w:t>
      </w:r>
      <w:r w:rsidR="00885327" w:rsidRPr="007C3A26" w:rsidDel="00E50C8D">
        <w:rPr>
          <w:rFonts w:ascii="Lato" w:hAnsi="Lato" w:cs="Arial"/>
          <w:bCs/>
          <w:spacing w:val="4"/>
          <w:lang w:bidi="pl-PL"/>
        </w:rPr>
        <w:t>Jednakże rozwój urbanizacyjny skutkuje zwiększającym się ograniczaniem indywidualnych praw właścicielskich na rzecz konieczności rozwoju infrastruktury publicznej lub społecznej użyteczności w ramach społecznej funkcji prawa własności. W takich okolicznościach inwestor zawsze będzie narażony na niezadowolenie części właścicieli nieruchomości objętych lokalizacją inwestycji, ponieważ to on samodzielnie dokonuje wyboru najbardziej korzystnych rozwiązań lokalizacyjnych, o czym była już mowa szerzej w niniejszej decyzji.</w:t>
      </w:r>
      <w:r w:rsidR="00885327" w:rsidRPr="007C3A26">
        <w:rPr>
          <w:rFonts w:ascii="Lato" w:hAnsi="Lato" w:cs="Arial"/>
          <w:bCs/>
          <w:spacing w:val="4"/>
          <w:lang w:bidi="pl-PL"/>
        </w:rPr>
        <w:t xml:space="preserve"> Ustalenie lokalizacji inwestycji gazowej w wielu wypadkach musi uwzględniać sprzeczne interesy wielu osób i podmiotów, których prawa lub interesy mogą być zagrożone lub naruszone w związku z lokalizacją takiej inwestycji. Granice tych praw i interesów określają przepisy specustawy gazowej oraz innych aktów prawnych wydanych na podstawie </w:t>
      </w:r>
      <w:r w:rsidR="008F6B17" w:rsidRPr="007C3A26">
        <w:rPr>
          <w:rFonts w:ascii="Lato" w:hAnsi="Lato" w:cs="Arial"/>
          <w:bCs/>
          <w:spacing w:val="4"/>
          <w:lang w:bidi="pl-PL"/>
        </w:rPr>
        <w:br/>
      </w:r>
      <w:r w:rsidR="00885327" w:rsidRPr="007C3A26">
        <w:rPr>
          <w:rFonts w:ascii="Lato" w:hAnsi="Lato" w:cs="Arial"/>
          <w:bCs/>
          <w:spacing w:val="4"/>
          <w:lang w:bidi="pl-PL"/>
        </w:rPr>
        <w:t xml:space="preserve">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Jednakże oczekiwania, postulaty </w:t>
      </w:r>
      <w:r w:rsidR="008F6B17" w:rsidRPr="007C3A26">
        <w:rPr>
          <w:rFonts w:ascii="Lato" w:hAnsi="Lato" w:cs="Arial"/>
          <w:bCs/>
          <w:spacing w:val="4"/>
          <w:lang w:bidi="pl-PL"/>
        </w:rPr>
        <w:br/>
      </w:r>
      <w:r w:rsidR="00885327" w:rsidRPr="007C3A26">
        <w:rPr>
          <w:rFonts w:ascii="Lato" w:hAnsi="Lato" w:cs="Arial"/>
          <w:bCs/>
          <w:spacing w:val="4"/>
          <w:lang w:bidi="pl-PL"/>
        </w:rPr>
        <w:t>i życzenia, co do określonego przebiegu inwestycji – nie mające prawnego osadzenia – są bezskuteczne</w:t>
      </w:r>
      <w:r w:rsidR="008F6B17" w:rsidRPr="007C3A26">
        <w:rPr>
          <w:rFonts w:ascii="Lato" w:hAnsi="Lato" w:cs="Arial"/>
          <w:bCs/>
          <w:spacing w:val="4"/>
          <w:lang w:bidi="pl-PL"/>
        </w:rPr>
        <w:t xml:space="preserve"> </w:t>
      </w:r>
      <w:r w:rsidR="00885327" w:rsidRPr="007C3A26">
        <w:rPr>
          <w:rFonts w:ascii="Lato" w:hAnsi="Lato" w:cs="Arial"/>
          <w:bCs/>
          <w:spacing w:val="4"/>
          <w:lang w:bidi="pl-PL"/>
        </w:rPr>
        <w:t>i nieuwzględnienie ich nie może stanowić podstawy kwestionowania legalności ustalenia lokalizacji inwestycji towarzyszącej inwestycj</w:t>
      </w:r>
      <w:r w:rsidR="00D662B0" w:rsidRPr="007C3A26">
        <w:rPr>
          <w:rFonts w:ascii="Lato" w:hAnsi="Lato" w:cs="Arial"/>
          <w:bCs/>
          <w:spacing w:val="4"/>
          <w:lang w:bidi="pl-PL"/>
        </w:rPr>
        <w:t>om</w:t>
      </w:r>
      <w:r w:rsidR="00885327" w:rsidRPr="007C3A26">
        <w:rPr>
          <w:rFonts w:ascii="Lato" w:hAnsi="Lato" w:cs="Arial"/>
          <w:bCs/>
          <w:spacing w:val="4"/>
          <w:lang w:bidi="pl-PL"/>
        </w:rPr>
        <w:t xml:space="preserve"> w zakresie terminalu.</w:t>
      </w:r>
    </w:p>
    <w:p w14:paraId="3A807569" w14:textId="7C46118C" w:rsidR="008D1643" w:rsidRPr="007C3A26" w:rsidRDefault="00AA0438" w:rsidP="00B40594">
      <w:pPr>
        <w:tabs>
          <w:tab w:val="left" w:pos="2977"/>
        </w:tabs>
        <w:spacing w:after="240" w:line="240" w:lineRule="exact"/>
        <w:jc w:val="both"/>
        <w:outlineLvl w:val="0"/>
        <w:rPr>
          <w:rFonts w:ascii="Lato" w:hAnsi="Lato" w:cs="Arial"/>
          <w:bCs/>
          <w:spacing w:val="4"/>
          <w:lang w:bidi="pl-PL"/>
        </w:rPr>
      </w:pPr>
      <w:r w:rsidRPr="007C3A26">
        <w:rPr>
          <w:rFonts w:ascii="Lato" w:hAnsi="Lato" w:cs="Arial"/>
          <w:bCs/>
          <w:iCs/>
          <w:spacing w:val="4"/>
          <w:lang w:bidi="pl-PL"/>
        </w:rPr>
        <w:t xml:space="preserve">W sprawach ustalenia lokalizacji inwestycji gazowych na podstawie specustawy gazowej na tle konstytucyjnych praw i ochrony tych praw, do podważenia legalności decyzji </w:t>
      </w:r>
      <w:r w:rsidRPr="007C3A26">
        <w:rPr>
          <w:rFonts w:ascii="Lato" w:hAnsi="Lato" w:cs="Arial"/>
          <w:bCs/>
          <w:iCs/>
          <w:spacing w:val="4"/>
          <w:lang w:bidi="pl-PL"/>
        </w:rPr>
        <w:br/>
        <w:t xml:space="preserve">o ustaleniu lokalizacji inwestycji towarzyszącej inwestycjom w zakresie terminalu nie wystarczy samo wskazanie faktu, że dana inwestycja ingeruje w prawo własności, które to prawo w ogólności może mieć postać np. słusznego interesu obywatela, ponieważ przewidziana w specustawie gazowej możliwość wywłaszczenia i ograniczenia wpisuje się w przewidzianą w Konstytucji RP dopuszczalność ingerencji władzy publicznej </w:t>
      </w:r>
      <w:r w:rsidRPr="007C3A26">
        <w:rPr>
          <w:rFonts w:ascii="Lato" w:hAnsi="Lato" w:cs="Arial"/>
          <w:bCs/>
          <w:iCs/>
          <w:spacing w:val="4"/>
          <w:lang w:bidi="pl-PL"/>
        </w:rPr>
        <w:br/>
        <w:t xml:space="preserve">w prawo własności (patrz: art. 21 ust. 2, art. 31 ust. 3 i art. 64 ust. 3 Konstytucji RP). Nie jest to nic nadzwyczajnego w demokratycznym państwie prawnym, jeżeli są ku temu spełnione wszystkie konstytucyjne przesłanki, jak ma to miejsce w przypadku inwestycji realizowanych na podstawie specustawy gazowej. Tym samym wbrew stanowisku skarżącego przysługujące mu prawo własności nie stanowi „prawa nieskończonego” </w:t>
      </w:r>
      <w:r w:rsidRPr="007C3A26">
        <w:rPr>
          <w:rFonts w:ascii="Lato" w:hAnsi="Lato" w:cs="Arial"/>
          <w:bCs/>
          <w:iCs/>
          <w:spacing w:val="4"/>
          <w:lang w:bidi="pl-PL"/>
        </w:rPr>
        <w:br/>
        <w:t>(</w:t>
      </w:r>
      <w:proofErr w:type="spellStart"/>
      <w:r w:rsidRPr="007C3A26">
        <w:rPr>
          <w:rFonts w:ascii="Lato" w:hAnsi="Lato" w:cs="Arial"/>
          <w:bCs/>
          <w:iCs/>
          <w:spacing w:val="4"/>
          <w:lang w:bidi="pl-PL"/>
        </w:rPr>
        <w:t>ius</w:t>
      </w:r>
      <w:proofErr w:type="spellEnd"/>
      <w:r w:rsidRPr="007C3A26">
        <w:rPr>
          <w:rFonts w:ascii="Lato" w:hAnsi="Lato" w:cs="Arial"/>
          <w:bCs/>
          <w:iCs/>
          <w:spacing w:val="4"/>
          <w:lang w:bidi="pl-PL"/>
        </w:rPr>
        <w:t xml:space="preserve"> infinitum), tzn. wartości absolutnej, niepodlegającej żadnym ograniczeniom.</w:t>
      </w:r>
      <w:r w:rsidR="00885327" w:rsidRPr="007C3A26">
        <w:rPr>
          <w:rFonts w:ascii="Lato" w:hAnsi="Lato" w:cs="Arial"/>
          <w:bCs/>
          <w:spacing w:val="4"/>
          <w:lang w:bidi="pl-PL"/>
        </w:rPr>
        <w:t xml:space="preserve"> Konstytucja RP w art. 64 ust. 3 dopuszcza możliwość ograniczenia prawa własności </w:t>
      </w:r>
      <w:r w:rsidRPr="007C3A26">
        <w:rPr>
          <w:rFonts w:ascii="Lato" w:hAnsi="Lato" w:cs="Arial"/>
          <w:bCs/>
          <w:spacing w:val="4"/>
          <w:lang w:bidi="pl-PL"/>
        </w:rPr>
        <w:br/>
      </w:r>
      <w:r w:rsidR="00885327" w:rsidRPr="007C3A26">
        <w:rPr>
          <w:rFonts w:ascii="Lato" w:hAnsi="Lato" w:cs="Arial"/>
          <w:bCs/>
          <w:spacing w:val="4"/>
          <w:lang w:bidi="pl-PL"/>
        </w:rPr>
        <w:t xml:space="preserve">w drodze ustawy i w zakresie, w jakim nie narusza istoty prawa własności. </w:t>
      </w:r>
    </w:p>
    <w:p w14:paraId="70C8FF10" w14:textId="26593EB9" w:rsidR="00C51B17" w:rsidRPr="007C3A26" w:rsidRDefault="00885327" w:rsidP="00B40594">
      <w:pPr>
        <w:tabs>
          <w:tab w:val="left" w:pos="2977"/>
        </w:tabs>
        <w:spacing w:after="240" w:line="240" w:lineRule="exact"/>
        <w:jc w:val="both"/>
        <w:outlineLvl w:val="0"/>
        <w:rPr>
          <w:rFonts w:ascii="Lato" w:hAnsi="Lato" w:cs="Arial"/>
          <w:bCs/>
          <w:spacing w:val="4"/>
          <w:lang w:bidi="pl-PL"/>
        </w:rPr>
      </w:pPr>
      <w:r w:rsidRPr="007C3A26">
        <w:rPr>
          <w:rFonts w:ascii="Lato" w:hAnsi="Lato" w:cs="Arial"/>
          <w:bCs/>
          <w:spacing w:val="4"/>
          <w:lang w:bidi="pl-PL"/>
        </w:rPr>
        <w:t xml:space="preserve">Zaskarżoną decyzję wydano na podstawie przepisu ustawy – specustawy gazowej. Skoro ustawodawca w art. 10 ust. 1 pkt 8 w zw. z art. 24 ust. 1 specustawy gazowej przewidział wywołanie określonych skutków prawnych – w tym prawnorzeczowych – decyzją </w:t>
      </w:r>
      <w:r w:rsidR="008D1643" w:rsidRPr="007C3A26">
        <w:rPr>
          <w:rFonts w:ascii="Lato" w:hAnsi="Lato" w:cs="Arial"/>
          <w:bCs/>
          <w:spacing w:val="4"/>
          <w:lang w:bidi="pl-PL"/>
        </w:rPr>
        <w:br/>
      </w:r>
      <w:r w:rsidRPr="007C3A26">
        <w:rPr>
          <w:rFonts w:ascii="Lato" w:hAnsi="Lato" w:cs="Arial"/>
          <w:bCs/>
          <w:spacing w:val="4"/>
          <w:lang w:bidi="pl-PL"/>
        </w:rPr>
        <w:t xml:space="preserve">o ustaleniu lokalizacji inwestycji, to tym samym ograniczenie praw właścicielskich wynika z ustawy, a tym samym jest dopuszczalne. </w:t>
      </w:r>
      <w:r w:rsidR="008D1643" w:rsidRPr="007C3A26">
        <w:rPr>
          <w:rFonts w:ascii="Lato" w:hAnsi="Lato" w:cs="Arial"/>
          <w:bCs/>
          <w:spacing w:val="4"/>
          <w:lang w:bidi="pl-PL"/>
        </w:rPr>
        <w:t xml:space="preserve">Ograniczenie prawa własności skarżącego </w:t>
      </w:r>
      <w:r w:rsidR="008D1643" w:rsidRPr="007C3A26">
        <w:rPr>
          <w:rFonts w:ascii="Lato" w:hAnsi="Lato" w:cs="Arial"/>
          <w:bCs/>
          <w:iCs/>
          <w:spacing w:val="4"/>
          <w:lang w:bidi="pl-PL"/>
        </w:rPr>
        <w:t xml:space="preserve">zostało dokonane na cel publiczny, bowiem </w:t>
      </w:r>
      <w:r w:rsidR="008D1643" w:rsidRPr="007C3A26">
        <w:rPr>
          <w:rFonts w:ascii="Lato" w:hAnsi="Lato" w:cs="Arial"/>
          <w:bCs/>
          <w:spacing w:val="4"/>
          <w:lang w:bidi="pl-PL"/>
        </w:rPr>
        <w:t xml:space="preserve">art. 4 specustawy gazowej, nadaje inwestycjom w zakresie terminalu oraz inwestycjom towarzyszącym status celu publicznego w rozumieniu przepisów ugn. </w:t>
      </w:r>
      <w:r w:rsidR="008A2743" w:rsidRPr="007C3A26">
        <w:rPr>
          <w:rFonts w:ascii="Lato" w:hAnsi="Lato" w:cs="Arial"/>
          <w:bCs/>
          <w:spacing w:val="4"/>
          <w:lang w:bidi="pl-PL"/>
        </w:rPr>
        <w:t xml:space="preserve">Realizacja strategicznych inwestycji w zakresie bezpieczeństwa energetycznego państwa, do których należy budowa gazociągów przesyłowych, stanowi ważny interes publiczny (por. wyrok Naczelnego Sądu Administracyjnego z dnia 15 października 2025 r., sygn. akt II OSK 2802/24, </w:t>
      </w:r>
      <w:proofErr w:type="spellStart"/>
      <w:r w:rsidR="008A2743" w:rsidRPr="007C3A26">
        <w:rPr>
          <w:rFonts w:ascii="Lato" w:hAnsi="Lato" w:cs="Arial"/>
          <w:bCs/>
          <w:spacing w:val="4"/>
          <w:lang w:bidi="pl-PL"/>
        </w:rPr>
        <w:t>opubl</w:t>
      </w:r>
      <w:proofErr w:type="spellEnd"/>
      <w:r w:rsidR="008A2743" w:rsidRPr="007C3A26">
        <w:rPr>
          <w:rFonts w:ascii="Lato" w:hAnsi="Lato" w:cs="Arial"/>
          <w:bCs/>
          <w:spacing w:val="4"/>
          <w:lang w:bidi="pl-PL"/>
        </w:rPr>
        <w:t xml:space="preserve">. </w:t>
      </w:r>
      <w:r w:rsidR="00C51B17" w:rsidRPr="007C3A26">
        <w:rPr>
          <w:rFonts w:ascii="Lato" w:hAnsi="Lato" w:cs="Arial"/>
          <w:bCs/>
          <w:spacing w:val="4"/>
          <w:lang w:bidi="pl-PL"/>
        </w:rPr>
        <w:t xml:space="preserve">Centralna Baza Orzeczeń Sądów Administracyjnych). </w:t>
      </w:r>
      <w:r w:rsidR="008D1643" w:rsidRPr="007C3A26">
        <w:rPr>
          <w:rFonts w:ascii="Lato" w:hAnsi="Lato" w:cs="Arial"/>
          <w:bCs/>
          <w:spacing w:val="4"/>
          <w:lang w:bidi="pl-PL"/>
        </w:rPr>
        <w:t>Z akt sprawy wynika, że nowy gazociąg wysokiego ciśnienia o średnicy DN500 zastąpi istniejący gazociąg przesyłowy</w:t>
      </w:r>
      <w:r w:rsidR="002455F4" w:rsidRPr="007C3A26">
        <w:rPr>
          <w:rFonts w:ascii="Lato" w:hAnsi="Lato" w:cs="Arial"/>
          <w:bCs/>
          <w:spacing w:val="4"/>
          <w:lang w:bidi="pl-PL"/>
        </w:rPr>
        <w:t xml:space="preserve"> </w:t>
      </w:r>
      <w:r w:rsidR="008D1643" w:rsidRPr="007C3A26">
        <w:rPr>
          <w:rFonts w:ascii="Lato" w:hAnsi="Lato" w:cs="Arial"/>
          <w:bCs/>
          <w:spacing w:val="4"/>
          <w:lang w:bidi="pl-PL"/>
        </w:rPr>
        <w:t>o średnicy DN300</w:t>
      </w:r>
      <w:r w:rsidR="003F6CC6" w:rsidRPr="007C3A26">
        <w:rPr>
          <w:rFonts w:ascii="Lato" w:hAnsi="Lato" w:cs="Arial"/>
          <w:bCs/>
          <w:spacing w:val="4"/>
          <w:lang w:bidi="pl-PL"/>
        </w:rPr>
        <w:t xml:space="preserve">, co </w:t>
      </w:r>
      <w:r w:rsidR="008D1643" w:rsidRPr="007C3A26">
        <w:rPr>
          <w:rFonts w:ascii="Lato" w:hAnsi="Lato" w:cs="Arial"/>
          <w:bCs/>
          <w:spacing w:val="4"/>
          <w:lang w:bidi="pl-PL"/>
        </w:rPr>
        <w:t>wpłynie na poprawę przepustowości polskiego systemu przesyłowego gazu ziemnego</w:t>
      </w:r>
      <w:r w:rsidR="003F6CC6" w:rsidRPr="007C3A26">
        <w:rPr>
          <w:rFonts w:ascii="Lato" w:hAnsi="Lato" w:cs="Arial"/>
          <w:bCs/>
          <w:spacing w:val="4"/>
          <w:lang w:bidi="pl-PL"/>
        </w:rPr>
        <w:t xml:space="preserve">, zagwarantuje bezpieczeństwo energetyczne województwa opolskiego </w:t>
      </w:r>
      <w:r w:rsidR="008D1643" w:rsidRPr="007C3A26">
        <w:rPr>
          <w:rFonts w:ascii="Lato" w:hAnsi="Lato" w:cs="Arial"/>
          <w:bCs/>
          <w:spacing w:val="4"/>
          <w:lang w:bidi="pl-PL"/>
        </w:rPr>
        <w:t xml:space="preserve">oraz wzrost znaczenia gospodarczego tej części południowej </w:t>
      </w:r>
      <w:r w:rsidR="008D1643" w:rsidRPr="007C3A26">
        <w:rPr>
          <w:rFonts w:ascii="Lato" w:hAnsi="Lato" w:cs="Arial"/>
          <w:bCs/>
          <w:spacing w:val="4"/>
          <w:lang w:bidi="pl-PL"/>
        </w:rPr>
        <w:lastRenderedPageBreak/>
        <w:t>Polski</w:t>
      </w:r>
      <w:r w:rsidR="003F6CC6" w:rsidRPr="007C3A26">
        <w:rPr>
          <w:rFonts w:ascii="Lato" w:hAnsi="Lato" w:cs="Arial"/>
          <w:bCs/>
          <w:spacing w:val="4"/>
          <w:lang w:bidi="pl-PL"/>
        </w:rPr>
        <w:t xml:space="preserve"> (projektowany gazociąg umożliwi dostawy gazu do rozwijającej się strefy ekonomicznej w województwie opolskim). </w:t>
      </w:r>
      <w:r w:rsidR="003C5928" w:rsidRPr="007C3A26">
        <w:rPr>
          <w:rFonts w:ascii="Lato" w:hAnsi="Lato" w:cs="Arial"/>
          <w:bCs/>
          <w:spacing w:val="4"/>
          <w:lang w:bidi="pl-PL"/>
        </w:rPr>
        <w:t xml:space="preserve">A zatem </w:t>
      </w:r>
      <w:r w:rsidR="003C5928" w:rsidRPr="007C3A26">
        <w:rPr>
          <w:rFonts w:ascii="Lato" w:hAnsi="Lato" w:cs="Arial"/>
          <w:bCs/>
          <w:iCs/>
          <w:spacing w:val="4"/>
          <w:lang w:bidi="pl-PL"/>
        </w:rPr>
        <w:t>niewątpliwie realizacja przedmiotowej inwestycji leży w dobrze pojętym interesie społecznym i gospodarczym.</w:t>
      </w:r>
    </w:p>
    <w:p w14:paraId="3BBC4450" w14:textId="0DB1646A" w:rsidR="003F6CC6" w:rsidRPr="007C3A26" w:rsidRDefault="003F6CC6" w:rsidP="00B40594">
      <w:pPr>
        <w:tabs>
          <w:tab w:val="left" w:pos="2977"/>
        </w:tabs>
        <w:spacing w:after="240" w:line="240" w:lineRule="exact"/>
        <w:jc w:val="both"/>
        <w:outlineLvl w:val="0"/>
        <w:rPr>
          <w:rFonts w:ascii="Lato" w:hAnsi="Lato" w:cs="Arial"/>
          <w:bCs/>
          <w:spacing w:val="4"/>
          <w:lang w:bidi="pl-PL"/>
        </w:rPr>
      </w:pPr>
      <w:r w:rsidRPr="007C3A26">
        <w:rPr>
          <w:rFonts w:ascii="Lato" w:eastAsia="Times New Roman" w:hAnsi="Lato" w:cs="Arial"/>
          <w:bCs/>
          <w:iCs/>
          <w:color w:val="000000"/>
          <w:spacing w:val="4"/>
          <w:lang w:eastAsia="pl-PL" w:bidi="pl-PL"/>
        </w:rPr>
        <w:t>W orzecznictwie Naczelnego Sądu Administracyjnego dotyczącym specustawy drogowej i ustawy o transporcie kolejowym, ugruntował się jednolity pogląd,</w:t>
      </w:r>
      <w:r w:rsidRPr="007C3A26">
        <w:rPr>
          <w:rFonts w:ascii="Lato" w:eastAsia="Times New Roman" w:hAnsi="Lato" w:cs="Times New Roman"/>
          <w:spacing w:val="4"/>
          <w:lang w:eastAsia="pl-PL"/>
        </w:rPr>
        <w:t xml:space="preserve"> </w:t>
      </w:r>
      <w:r w:rsidRPr="007C3A26">
        <w:rPr>
          <w:rFonts w:ascii="Lato" w:eastAsia="Times New Roman" w:hAnsi="Lato" w:cs="Arial"/>
          <w:bCs/>
          <w:iCs/>
          <w:color w:val="000000"/>
          <w:spacing w:val="4"/>
          <w:lang w:eastAsia="pl-PL" w:bidi="pl-PL"/>
        </w:rPr>
        <w:t xml:space="preserve">że przy realizacji systemu dróg/kolei służących poprawie bezpieczeństwa, komunikacji, transportu nie dochodzi do naruszenia proporcji między interesem publicznym, a ingerencją w sferę praw i wolności, które na mocy ustawy są rekompensowane stosownym odszkodowaniem (por. np. wyroki Naczelnego Sądu Administracyjnego z dnia 5 września 2024 r., sygn. akt II OSK 970/24, z dnia 30 czerwca 2017 r., sygn. akt II OSK 762/17, </w:t>
      </w:r>
      <w:r w:rsidR="002455F4" w:rsidRPr="007C3A26">
        <w:rPr>
          <w:rFonts w:ascii="Lato" w:eastAsia="Times New Roman" w:hAnsi="Lato" w:cs="Arial"/>
          <w:bCs/>
          <w:iCs/>
          <w:color w:val="000000"/>
          <w:spacing w:val="4"/>
          <w:lang w:eastAsia="pl-PL" w:bidi="pl-PL"/>
        </w:rPr>
        <w:br/>
      </w:r>
      <w:r w:rsidRPr="007C3A26">
        <w:rPr>
          <w:rFonts w:ascii="Lato" w:eastAsia="Times New Roman" w:hAnsi="Lato" w:cs="Arial"/>
          <w:bCs/>
          <w:iCs/>
          <w:color w:val="000000"/>
          <w:spacing w:val="4"/>
          <w:lang w:eastAsia="pl-PL" w:bidi="pl-PL"/>
        </w:rPr>
        <w:t>z dnia 11 stycznia 2023 r., sygn. akt II OSK 2348/22, z dnia 5 marca 2024 r.</w:t>
      </w:r>
      <w:r w:rsidRPr="007C3A26">
        <w:rPr>
          <w:rFonts w:ascii="Lato" w:eastAsia="Times New Roman" w:hAnsi="Lato" w:cs="Times New Roman"/>
          <w:spacing w:val="4"/>
          <w:lang w:eastAsia="pl-PL"/>
        </w:rPr>
        <w:t xml:space="preserve"> sygn. akt </w:t>
      </w:r>
      <w:r w:rsidR="002455F4" w:rsidRPr="007C3A26">
        <w:rPr>
          <w:rFonts w:ascii="Lato" w:eastAsia="Times New Roman" w:hAnsi="Lato" w:cs="Times New Roman"/>
          <w:spacing w:val="4"/>
          <w:lang w:eastAsia="pl-PL"/>
        </w:rPr>
        <w:br/>
      </w:r>
      <w:r w:rsidRPr="007C3A26">
        <w:rPr>
          <w:rFonts w:ascii="Lato" w:eastAsia="Times New Roman" w:hAnsi="Lato" w:cs="Arial"/>
          <w:bCs/>
          <w:iCs/>
          <w:color w:val="000000"/>
          <w:spacing w:val="4"/>
          <w:lang w:eastAsia="pl-PL" w:bidi="pl-PL"/>
        </w:rPr>
        <w:t xml:space="preserve">II OSK 2405/23, z dnia 8 kwietnia 2024 r., sygn. akt II OSK 246/25, </w:t>
      </w:r>
      <w:proofErr w:type="spellStart"/>
      <w:r w:rsidRPr="007C3A26">
        <w:rPr>
          <w:rFonts w:ascii="Lato" w:eastAsia="Times New Roman" w:hAnsi="Lato" w:cs="Arial"/>
          <w:bCs/>
          <w:iCs/>
          <w:color w:val="000000"/>
          <w:spacing w:val="4"/>
          <w:lang w:eastAsia="pl-PL" w:bidi="pl-PL"/>
        </w:rPr>
        <w:t>opubl</w:t>
      </w:r>
      <w:proofErr w:type="spellEnd"/>
      <w:r w:rsidRPr="007C3A26">
        <w:rPr>
          <w:rFonts w:ascii="Lato" w:eastAsia="Times New Roman" w:hAnsi="Lato" w:cs="Arial"/>
          <w:bCs/>
          <w:iCs/>
          <w:color w:val="000000"/>
          <w:spacing w:val="4"/>
          <w:lang w:eastAsia="pl-PL" w:bidi="pl-PL"/>
        </w:rPr>
        <w:t>. Centralna Baza Orzeczeń Sądów Administracyjnych). Stanowisko to na zasadzie analogi znajduje również zastosowanie do decyzji o ustaleniu lokalizacji inwestycji wydawanej na podstawie specustawy gazowej.</w:t>
      </w:r>
    </w:p>
    <w:p w14:paraId="21D6C76E" w14:textId="48C7F84D" w:rsidR="00E72E98" w:rsidRPr="007C3A26" w:rsidRDefault="00885327" w:rsidP="00B40594">
      <w:pPr>
        <w:tabs>
          <w:tab w:val="left" w:pos="2977"/>
        </w:tabs>
        <w:spacing w:after="240" w:line="240" w:lineRule="exact"/>
        <w:jc w:val="both"/>
        <w:outlineLvl w:val="0"/>
        <w:rPr>
          <w:rFonts w:ascii="Lato" w:eastAsia="Times New Roman" w:hAnsi="Lato" w:cs="Arial"/>
          <w:bCs/>
          <w:iCs/>
          <w:color w:val="000000"/>
          <w:spacing w:val="4"/>
          <w:lang w:eastAsia="pl-PL" w:bidi="pl-PL"/>
        </w:rPr>
      </w:pPr>
      <w:r w:rsidRPr="007C3A26">
        <w:rPr>
          <w:rFonts w:ascii="Lato" w:hAnsi="Lato" w:cs="Arial"/>
          <w:bCs/>
          <w:spacing w:val="4"/>
          <w:lang w:bidi="pl-PL"/>
        </w:rPr>
        <w:t>W ocenie Ministra ograniczenie prawa własności skarżąc</w:t>
      </w:r>
      <w:r w:rsidR="007A7DEF" w:rsidRPr="007C3A26">
        <w:rPr>
          <w:rFonts w:ascii="Lato" w:hAnsi="Lato" w:cs="Arial"/>
          <w:bCs/>
          <w:spacing w:val="4"/>
          <w:lang w:bidi="pl-PL"/>
        </w:rPr>
        <w:t>ego</w:t>
      </w:r>
      <w:r w:rsidRPr="007C3A26">
        <w:rPr>
          <w:rFonts w:ascii="Lato" w:hAnsi="Lato" w:cs="Arial"/>
          <w:bCs/>
          <w:spacing w:val="4"/>
          <w:lang w:bidi="pl-PL"/>
        </w:rPr>
        <w:t xml:space="preserve"> nastąpiło w zakresie, </w:t>
      </w:r>
      <w:r w:rsidR="003F6CC6" w:rsidRPr="007C3A26">
        <w:rPr>
          <w:rFonts w:ascii="Lato" w:hAnsi="Lato" w:cs="Arial"/>
          <w:bCs/>
          <w:spacing w:val="4"/>
          <w:lang w:bidi="pl-PL"/>
        </w:rPr>
        <w:br/>
      </w:r>
      <w:r w:rsidRPr="007C3A26">
        <w:rPr>
          <w:rFonts w:ascii="Lato" w:hAnsi="Lato" w:cs="Arial"/>
          <w:bCs/>
          <w:spacing w:val="4"/>
          <w:lang w:bidi="pl-PL"/>
        </w:rPr>
        <w:t xml:space="preserve">w jakim nie narusza istoty prawa własności, gdyż decyzja </w:t>
      </w:r>
      <w:proofErr w:type="spellStart"/>
      <w:r w:rsidRPr="007C3A26">
        <w:rPr>
          <w:rFonts w:ascii="Lato" w:hAnsi="Lato" w:cs="Arial"/>
          <w:bCs/>
          <w:spacing w:val="4"/>
          <w:lang w:bidi="pl-PL"/>
        </w:rPr>
        <w:t>pierwszoinstancyjna</w:t>
      </w:r>
      <w:proofErr w:type="spellEnd"/>
      <w:r w:rsidRPr="007C3A26">
        <w:rPr>
          <w:rFonts w:ascii="Lato" w:hAnsi="Lato" w:cs="Arial"/>
          <w:bCs/>
          <w:spacing w:val="4"/>
          <w:lang w:bidi="pl-PL"/>
        </w:rPr>
        <w:t xml:space="preserve"> nie przewiduje rozwiązań, które wprowadzają nadmierną i nieuzasadnioną ingerencję </w:t>
      </w:r>
      <w:r w:rsidR="003F6CC6" w:rsidRPr="007C3A26">
        <w:rPr>
          <w:rFonts w:ascii="Lato" w:hAnsi="Lato" w:cs="Arial"/>
          <w:bCs/>
          <w:spacing w:val="4"/>
          <w:lang w:bidi="pl-PL"/>
        </w:rPr>
        <w:br/>
      </w:r>
      <w:r w:rsidRPr="007C3A26">
        <w:rPr>
          <w:rFonts w:ascii="Lato" w:hAnsi="Lato" w:cs="Arial"/>
          <w:bCs/>
          <w:spacing w:val="4"/>
          <w:lang w:bidi="pl-PL"/>
        </w:rPr>
        <w:t>w prawo własności skarżąc</w:t>
      </w:r>
      <w:r w:rsidR="007A7DEF" w:rsidRPr="007C3A26">
        <w:rPr>
          <w:rFonts w:ascii="Lato" w:hAnsi="Lato" w:cs="Arial"/>
          <w:bCs/>
          <w:spacing w:val="4"/>
          <w:lang w:bidi="pl-PL"/>
        </w:rPr>
        <w:t>ego</w:t>
      </w:r>
      <w:r w:rsidRPr="007C3A26">
        <w:rPr>
          <w:rFonts w:ascii="Lato" w:hAnsi="Lato" w:cs="Arial"/>
          <w:bCs/>
          <w:spacing w:val="4"/>
          <w:lang w:bidi="pl-PL"/>
        </w:rPr>
        <w:t xml:space="preserve">. </w:t>
      </w:r>
      <w:r w:rsidR="00531AFB" w:rsidRPr="007C3A26">
        <w:rPr>
          <w:rFonts w:ascii="Lato" w:eastAsia="Times New Roman" w:hAnsi="Lato" w:cs="Arial"/>
          <w:bCs/>
          <w:iCs/>
          <w:color w:val="000000"/>
          <w:spacing w:val="4"/>
          <w:lang w:eastAsia="pl-PL" w:bidi="pl-PL"/>
        </w:rPr>
        <w:t xml:space="preserve">W tej sytuacji nie można podzielić zarzutu naruszenia </w:t>
      </w:r>
      <w:r w:rsidR="00FD797F" w:rsidRPr="007C3A26">
        <w:rPr>
          <w:rFonts w:ascii="Lato" w:eastAsia="Times New Roman" w:hAnsi="Lato" w:cs="Arial"/>
          <w:bCs/>
          <w:iCs/>
          <w:color w:val="000000"/>
          <w:spacing w:val="4"/>
          <w:lang w:eastAsia="pl-PL" w:bidi="pl-PL"/>
        </w:rPr>
        <w:br/>
      </w:r>
      <w:r w:rsidR="00531AFB" w:rsidRPr="007C3A26">
        <w:rPr>
          <w:rFonts w:ascii="Lato" w:eastAsia="Times New Roman" w:hAnsi="Lato" w:cs="Arial"/>
          <w:bCs/>
          <w:iCs/>
          <w:color w:val="000000"/>
          <w:spacing w:val="4"/>
          <w:lang w:eastAsia="pl-PL" w:bidi="pl-PL"/>
        </w:rPr>
        <w:t>art. 31 ust. 3 Konstytucji RP, albowiem ograniczenie własności skarżące</w:t>
      </w:r>
      <w:r w:rsidR="003C5928" w:rsidRPr="007C3A26">
        <w:rPr>
          <w:rFonts w:ascii="Lato" w:eastAsia="Times New Roman" w:hAnsi="Lato" w:cs="Arial"/>
          <w:bCs/>
          <w:iCs/>
          <w:color w:val="000000"/>
          <w:spacing w:val="4"/>
          <w:lang w:eastAsia="pl-PL" w:bidi="pl-PL"/>
        </w:rPr>
        <w:t>go</w:t>
      </w:r>
      <w:r w:rsidR="00531AFB" w:rsidRPr="007C3A26">
        <w:rPr>
          <w:rFonts w:ascii="Lato" w:eastAsia="Times New Roman" w:hAnsi="Lato" w:cs="Arial"/>
          <w:bCs/>
          <w:iCs/>
          <w:color w:val="000000"/>
          <w:spacing w:val="4"/>
          <w:lang w:eastAsia="pl-PL" w:bidi="pl-PL"/>
        </w:rPr>
        <w:t xml:space="preserve"> nastąpiło </w:t>
      </w:r>
      <w:r w:rsidR="00FD797F" w:rsidRPr="007C3A26">
        <w:rPr>
          <w:rFonts w:ascii="Lato" w:eastAsia="Times New Roman" w:hAnsi="Lato" w:cs="Arial"/>
          <w:bCs/>
          <w:iCs/>
          <w:color w:val="000000"/>
          <w:spacing w:val="4"/>
          <w:lang w:eastAsia="pl-PL" w:bidi="pl-PL"/>
        </w:rPr>
        <w:br/>
      </w:r>
      <w:r w:rsidR="00531AFB" w:rsidRPr="007C3A26">
        <w:rPr>
          <w:rFonts w:ascii="Lato" w:eastAsia="Times New Roman" w:hAnsi="Lato" w:cs="Arial"/>
          <w:bCs/>
          <w:iCs/>
          <w:color w:val="000000"/>
          <w:spacing w:val="4"/>
          <w:lang w:eastAsia="pl-PL" w:bidi="pl-PL"/>
        </w:rPr>
        <w:t>na podstawie ustawy, dla realizacji konkretnego celu publicznego, w sposób proporcjonalny do potrzeb i niewykraczający poza prawnie uzasadnioną niezbędność</w:t>
      </w:r>
      <w:r w:rsidR="000A12D3" w:rsidRPr="007C3A26">
        <w:rPr>
          <w:rFonts w:ascii="Lato" w:eastAsia="Times New Roman" w:hAnsi="Lato" w:cs="Arial"/>
          <w:bCs/>
          <w:iCs/>
          <w:color w:val="000000"/>
          <w:spacing w:val="4"/>
          <w:lang w:eastAsia="pl-PL" w:bidi="pl-PL"/>
        </w:rPr>
        <w:t xml:space="preserve">, </w:t>
      </w:r>
      <w:r w:rsidR="00FD797F" w:rsidRPr="007C3A26">
        <w:rPr>
          <w:rFonts w:ascii="Lato" w:eastAsia="Times New Roman" w:hAnsi="Lato" w:cs="Arial"/>
          <w:bCs/>
          <w:iCs/>
          <w:color w:val="000000"/>
          <w:spacing w:val="4"/>
          <w:lang w:eastAsia="pl-PL" w:bidi="pl-PL"/>
        </w:rPr>
        <w:br/>
      </w:r>
      <w:r w:rsidR="000A12D3" w:rsidRPr="007C3A26">
        <w:rPr>
          <w:rFonts w:ascii="Lato" w:eastAsia="Times New Roman" w:hAnsi="Lato" w:cs="Arial"/>
          <w:bCs/>
          <w:iCs/>
          <w:color w:val="000000"/>
          <w:spacing w:val="4"/>
          <w:lang w:eastAsia="pl-PL" w:bidi="pl-PL"/>
        </w:rPr>
        <w:t xml:space="preserve">i łączy się bezpośrednio z przyznaniem ekwiwalentu w postaci roszczenia </w:t>
      </w:r>
      <w:r w:rsidR="00FD797F" w:rsidRPr="007C3A26">
        <w:rPr>
          <w:rFonts w:ascii="Lato" w:eastAsia="Times New Roman" w:hAnsi="Lato" w:cs="Arial"/>
          <w:bCs/>
          <w:iCs/>
          <w:color w:val="000000"/>
          <w:spacing w:val="4"/>
          <w:lang w:eastAsia="pl-PL" w:bidi="pl-PL"/>
        </w:rPr>
        <w:br/>
      </w:r>
      <w:r w:rsidR="000A12D3" w:rsidRPr="007C3A26">
        <w:rPr>
          <w:rFonts w:ascii="Lato" w:eastAsia="Times New Roman" w:hAnsi="Lato" w:cs="Arial"/>
          <w:bCs/>
          <w:iCs/>
          <w:color w:val="000000"/>
          <w:spacing w:val="4"/>
          <w:lang w:eastAsia="pl-PL" w:bidi="pl-PL"/>
        </w:rPr>
        <w:t xml:space="preserve">o odszkodowanie, realizowanego przez organ administracji w odrębnej decyzji. </w:t>
      </w:r>
      <w:r w:rsidR="00FD797F" w:rsidRPr="007C3A26">
        <w:rPr>
          <w:rFonts w:ascii="Lato" w:eastAsia="Times New Roman" w:hAnsi="Lato" w:cs="Arial"/>
          <w:bCs/>
          <w:iCs/>
          <w:color w:val="000000"/>
          <w:spacing w:val="4"/>
          <w:lang w:eastAsia="pl-PL" w:bidi="pl-PL"/>
        </w:rPr>
        <w:br/>
      </w:r>
      <w:r w:rsidR="00CC5EA6" w:rsidRPr="007C3A26">
        <w:rPr>
          <w:rFonts w:ascii="Lato" w:eastAsia="Times New Roman" w:hAnsi="Lato" w:cs="Arial"/>
          <w:bCs/>
          <w:iCs/>
          <w:color w:val="000000"/>
          <w:spacing w:val="4"/>
          <w:lang w:eastAsia="pl-PL" w:bidi="pl-PL"/>
        </w:rPr>
        <w:t>W dorobku myśli prawniczej nie wymyślono innego lepszego mechanizmu, który by zezwalał na ingerencję organów władzy publicznej w prawo własności.</w:t>
      </w:r>
      <w:r w:rsidR="00FD797F" w:rsidRPr="007C3A26">
        <w:rPr>
          <w:rFonts w:ascii="Lato" w:eastAsia="Times New Roman" w:hAnsi="Lato" w:cs="Arial"/>
          <w:bCs/>
          <w:iCs/>
          <w:color w:val="000000"/>
          <w:spacing w:val="4"/>
          <w:lang w:eastAsia="pl-PL" w:bidi="pl-PL"/>
        </w:rPr>
        <w:t xml:space="preserve"> Przyznanie prymatu interesowi publicznemu nad interesem partykularnym skarżącego było więc </w:t>
      </w:r>
      <w:r w:rsidR="00FD797F" w:rsidRPr="007C3A26">
        <w:rPr>
          <w:rFonts w:ascii="Lato" w:eastAsia="Times New Roman" w:hAnsi="Lato" w:cs="Arial"/>
          <w:bCs/>
          <w:iCs/>
          <w:color w:val="000000"/>
          <w:spacing w:val="4"/>
          <w:lang w:eastAsia="pl-PL" w:bidi="pl-PL"/>
        </w:rPr>
        <w:br/>
        <w:t>w tej sprawie uzasadnione.</w:t>
      </w:r>
      <w:r w:rsidR="00FD797F" w:rsidRPr="007C3A26">
        <w:rPr>
          <w:rFonts w:ascii="Lato" w:eastAsia="Aptos" w:hAnsi="Lato" w:cs="Aptos"/>
          <w:bCs/>
          <w:spacing w:val="4"/>
          <w:lang w:bidi="pl-PL"/>
        </w:rPr>
        <w:t xml:space="preserve"> </w:t>
      </w:r>
      <w:r w:rsidR="00FD797F" w:rsidRPr="007C3A26">
        <w:rPr>
          <w:rFonts w:ascii="Lato" w:eastAsia="Times New Roman" w:hAnsi="Lato" w:cs="Arial"/>
          <w:bCs/>
          <w:iCs/>
          <w:color w:val="000000"/>
          <w:spacing w:val="4"/>
          <w:lang w:eastAsia="pl-PL" w:bidi="pl-PL"/>
        </w:rPr>
        <w:t xml:space="preserve">Funkcję kompensacyjną pełni w tych sytuacjach odszkodowanie (z treści art. 24 ust. 1 specustawy gazowej wynika, że ograniczenie sposobu korzystania z nieruchomości następuje za odszkodowaniem, które jest ustalane decyzją wojewody w odrębnym postępowaniu), jak i możliwość skorzystania przez właściciela nieruchomości z uprawnienia wynikającego z art. 124 ust. 5 ugn (o czym będzie mowa szerzej w dalszej części niniejszej decyzji). Pomimo zatem ograniczenia własności, dochodzi w ten sposób do równoważenia strat i szkód związanych </w:t>
      </w:r>
      <w:r w:rsidR="00FD797F" w:rsidRPr="007C3A26">
        <w:rPr>
          <w:rFonts w:ascii="Lato" w:eastAsia="Times New Roman" w:hAnsi="Lato" w:cs="Arial"/>
          <w:bCs/>
          <w:iCs/>
          <w:color w:val="000000"/>
          <w:spacing w:val="4"/>
          <w:lang w:eastAsia="pl-PL" w:bidi="pl-PL"/>
        </w:rPr>
        <w:br/>
        <w:t>z prowadzonym postępowaniem.</w:t>
      </w:r>
    </w:p>
    <w:p w14:paraId="315E1798" w14:textId="04B4F13F" w:rsidR="00B40594" w:rsidRPr="007C3A26" w:rsidRDefault="00885327" w:rsidP="00B40594">
      <w:pPr>
        <w:tabs>
          <w:tab w:val="left" w:pos="2977"/>
        </w:tabs>
        <w:spacing w:after="240" w:line="240" w:lineRule="exact"/>
        <w:jc w:val="both"/>
        <w:outlineLvl w:val="0"/>
        <w:rPr>
          <w:rFonts w:ascii="Lato" w:hAnsi="Lato" w:cs="Arial"/>
          <w:spacing w:val="4"/>
        </w:rPr>
      </w:pPr>
      <w:r w:rsidRPr="007C3A26">
        <w:rPr>
          <w:rFonts w:ascii="Lato" w:hAnsi="Lato" w:cs="Arial"/>
          <w:spacing w:val="4"/>
        </w:rPr>
        <w:t xml:space="preserve">O wadliwości decyzji Wojewody </w:t>
      </w:r>
      <w:r w:rsidR="00745EED" w:rsidRPr="007C3A26">
        <w:rPr>
          <w:rFonts w:ascii="Lato" w:hAnsi="Lato" w:cs="Arial"/>
          <w:spacing w:val="4"/>
        </w:rPr>
        <w:t>Opolskiego</w:t>
      </w:r>
      <w:r w:rsidRPr="007C3A26">
        <w:rPr>
          <w:rFonts w:ascii="Lato" w:hAnsi="Lato" w:cs="Arial"/>
          <w:spacing w:val="4"/>
        </w:rPr>
        <w:t xml:space="preserve"> nie świadczą zarzuty </w:t>
      </w:r>
      <w:r w:rsidR="003C5928" w:rsidRPr="007C3A26">
        <w:rPr>
          <w:rFonts w:ascii="Lato" w:hAnsi="Lato" w:cs="Arial"/>
          <w:spacing w:val="4"/>
        </w:rPr>
        <w:t xml:space="preserve">skarżącego </w:t>
      </w:r>
      <w:r w:rsidRPr="007C3A26">
        <w:rPr>
          <w:rFonts w:ascii="Lato" w:hAnsi="Lato" w:cs="Arial"/>
          <w:spacing w:val="4"/>
        </w:rPr>
        <w:t xml:space="preserve">dotyczące tego, iż zlokalizowanie inwestycji na części </w:t>
      </w:r>
      <w:r w:rsidR="00FD797F" w:rsidRPr="007C3A26">
        <w:rPr>
          <w:rFonts w:ascii="Lato" w:hAnsi="Lato" w:cs="Arial"/>
          <w:spacing w:val="4"/>
        </w:rPr>
        <w:t xml:space="preserve">jego </w:t>
      </w:r>
      <w:r w:rsidRPr="007C3A26">
        <w:rPr>
          <w:rFonts w:ascii="Lato" w:hAnsi="Lato" w:cs="Arial"/>
          <w:spacing w:val="4"/>
        </w:rPr>
        <w:t xml:space="preserve">nieruchomości spowoduje </w:t>
      </w:r>
      <w:r w:rsidR="0023392F" w:rsidRPr="007C3A26">
        <w:rPr>
          <w:rFonts w:ascii="Lato" w:hAnsi="Lato" w:cs="Arial"/>
          <w:spacing w:val="4"/>
        </w:rPr>
        <w:t>szkodę</w:t>
      </w:r>
      <w:r w:rsidRPr="007C3A26">
        <w:rPr>
          <w:rFonts w:ascii="Lato" w:hAnsi="Lato" w:cs="Arial"/>
          <w:spacing w:val="4"/>
        </w:rPr>
        <w:t xml:space="preserve"> </w:t>
      </w:r>
      <w:r w:rsidR="003C5928" w:rsidRPr="007C3A26">
        <w:rPr>
          <w:rFonts w:ascii="Lato" w:hAnsi="Lato" w:cs="Arial"/>
          <w:spacing w:val="4"/>
        </w:rPr>
        <w:br/>
      </w:r>
      <w:r w:rsidRPr="007C3A26">
        <w:rPr>
          <w:rFonts w:ascii="Lato" w:hAnsi="Lato" w:cs="Arial"/>
          <w:spacing w:val="4"/>
        </w:rPr>
        <w:t>w korzystaniu z nieruchomości</w:t>
      </w:r>
      <w:r w:rsidR="0023392F" w:rsidRPr="007C3A26">
        <w:rPr>
          <w:rFonts w:ascii="Lato" w:hAnsi="Lato" w:cs="Arial"/>
          <w:spacing w:val="4"/>
        </w:rPr>
        <w:t xml:space="preserve"> i zniszczenie upraw</w:t>
      </w:r>
      <w:r w:rsidRPr="007C3A26">
        <w:rPr>
          <w:rFonts w:ascii="Lato" w:hAnsi="Lato" w:cs="Arial"/>
          <w:spacing w:val="4"/>
        </w:rPr>
        <w:t>, brak możliwości ich planowanego przeznaczenia, a także obniżenie ich wartości</w:t>
      </w:r>
      <w:r w:rsidR="0023392F" w:rsidRPr="007C3A26">
        <w:rPr>
          <w:rFonts w:ascii="Lato" w:hAnsi="Lato" w:cs="Arial"/>
          <w:spacing w:val="4"/>
        </w:rPr>
        <w:t>, które nie będzie rekompensowane odszkodowaniem.</w:t>
      </w:r>
      <w:r w:rsidRPr="007C3A26">
        <w:rPr>
          <w:rFonts w:ascii="Lato" w:hAnsi="Lato" w:cs="Arial"/>
          <w:spacing w:val="4"/>
        </w:rPr>
        <w:t xml:space="preserve"> </w:t>
      </w:r>
    </w:p>
    <w:p w14:paraId="752171C4" w14:textId="1B9C5F53" w:rsidR="00885327" w:rsidRPr="007C3A26" w:rsidRDefault="00885327" w:rsidP="00C260A9">
      <w:pPr>
        <w:tabs>
          <w:tab w:val="left" w:pos="2977"/>
        </w:tabs>
        <w:spacing w:after="240" w:line="240" w:lineRule="exact"/>
        <w:jc w:val="both"/>
        <w:outlineLvl w:val="0"/>
        <w:rPr>
          <w:rFonts w:ascii="Lato" w:hAnsi="Lato" w:cs="Arial"/>
          <w:spacing w:val="4"/>
          <w:lang w:bidi="pl-PL"/>
        </w:rPr>
      </w:pPr>
      <w:r w:rsidRPr="007C3A26">
        <w:rPr>
          <w:rFonts w:ascii="Lato" w:hAnsi="Lato" w:cs="Arial"/>
          <w:spacing w:val="4"/>
        </w:rPr>
        <w:t xml:space="preserve">Wyjaśnić bowiem należy, iż </w:t>
      </w:r>
      <w:r w:rsidR="0023392F" w:rsidRPr="007C3A26">
        <w:rPr>
          <w:rFonts w:ascii="Lato" w:hAnsi="Lato" w:cs="Arial"/>
          <w:bCs/>
          <w:spacing w:val="4"/>
        </w:rPr>
        <w:t>wskazane powyżej</w:t>
      </w:r>
      <w:r w:rsidRPr="007C3A26">
        <w:rPr>
          <w:rFonts w:ascii="Lato" w:hAnsi="Lato" w:cs="Arial"/>
          <w:bCs/>
          <w:spacing w:val="4"/>
        </w:rPr>
        <w:t xml:space="preserve"> </w:t>
      </w:r>
      <w:r w:rsidRPr="007C3A26">
        <w:rPr>
          <w:rFonts w:ascii="Lato" w:hAnsi="Lato" w:cs="Arial"/>
          <w:bCs/>
          <w:spacing w:val="4"/>
          <w:lang w:bidi="pl-PL"/>
        </w:rPr>
        <w:t>kwestie nie są przedmiotem rozważań organów administracji właściwych w sprawie wydania decyzji o ustaleniu lokalizacji inwestycji w zakresie terminalu oraz inwestycji towarzyszących.</w:t>
      </w:r>
      <w:r w:rsidR="00520FBE" w:rsidRPr="007C3A26">
        <w:rPr>
          <w:rFonts w:ascii="Lato" w:hAnsi="Lato" w:cs="Arial"/>
          <w:bCs/>
          <w:spacing w:val="4"/>
          <w:lang w:bidi="pl-PL"/>
        </w:rPr>
        <w:t xml:space="preserve"> Przepisy specustawy gazowej nie wymagają oceny wniosku inwestora przez pryzmat możliwości korzystania </w:t>
      </w:r>
      <w:r w:rsidR="00FD797F" w:rsidRPr="007C3A26">
        <w:rPr>
          <w:rFonts w:ascii="Lato" w:hAnsi="Lato" w:cs="Arial"/>
          <w:bCs/>
          <w:spacing w:val="4"/>
          <w:lang w:bidi="pl-PL"/>
        </w:rPr>
        <w:br/>
      </w:r>
      <w:r w:rsidR="00520FBE" w:rsidRPr="007C3A26">
        <w:rPr>
          <w:rFonts w:ascii="Lato" w:hAnsi="Lato" w:cs="Arial"/>
          <w:bCs/>
          <w:spacing w:val="4"/>
          <w:lang w:bidi="pl-PL"/>
        </w:rPr>
        <w:t xml:space="preserve">z nieruchomości objętej lokalizacją inwestycji w dotychczasowym zakresie lub w zakresie planowanym przez właściciela oraz badania indywidualnych skutków ingerencji w prawo własności z punktu widzenia swobody jego wykonywania względem działek objętych inwestycją. </w:t>
      </w:r>
      <w:r w:rsidRPr="007C3A26">
        <w:rPr>
          <w:rFonts w:ascii="Lato" w:hAnsi="Lato" w:cs="Arial"/>
          <w:spacing w:val="4"/>
          <w:lang w:bidi="pl-PL"/>
        </w:rPr>
        <w:t>Możliwość dokonania oceny czy posadowienie gazociągu na gruntach skarżąc</w:t>
      </w:r>
      <w:r w:rsidR="0023392F" w:rsidRPr="007C3A26">
        <w:rPr>
          <w:rFonts w:ascii="Lato" w:hAnsi="Lato" w:cs="Arial"/>
          <w:spacing w:val="4"/>
          <w:lang w:bidi="pl-PL"/>
        </w:rPr>
        <w:t>ego</w:t>
      </w:r>
      <w:r w:rsidRPr="007C3A26">
        <w:rPr>
          <w:rFonts w:ascii="Lato" w:hAnsi="Lato" w:cs="Arial"/>
          <w:spacing w:val="4"/>
          <w:lang w:bidi="pl-PL"/>
        </w:rPr>
        <w:t xml:space="preserve"> pociąga za sobą skutki w postaci braku możliwości dalszego prawidłowego korzystania</w:t>
      </w:r>
      <w:r w:rsidR="00B40594" w:rsidRPr="007C3A26">
        <w:rPr>
          <w:rFonts w:ascii="Lato" w:hAnsi="Lato" w:cs="Arial"/>
          <w:spacing w:val="4"/>
          <w:lang w:bidi="pl-PL"/>
        </w:rPr>
        <w:t xml:space="preserve"> </w:t>
      </w:r>
      <w:r w:rsidRPr="007C3A26">
        <w:rPr>
          <w:rFonts w:ascii="Lato" w:hAnsi="Lato" w:cs="Arial"/>
          <w:spacing w:val="4"/>
          <w:lang w:bidi="pl-PL"/>
        </w:rPr>
        <w:t xml:space="preserve">z nieruchomości w sposób dotychczasowy albo w sposób zgodny z jej </w:t>
      </w:r>
      <w:r w:rsidRPr="007C3A26">
        <w:rPr>
          <w:rFonts w:ascii="Lato" w:hAnsi="Lato" w:cs="Arial"/>
          <w:spacing w:val="4"/>
          <w:lang w:bidi="pl-PL"/>
        </w:rPr>
        <w:lastRenderedPageBreak/>
        <w:t xml:space="preserve">dotychczasowym przeznaczeniem, będzie możliwe dopiero po posadowieniu urządzeń </w:t>
      </w:r>
      <w:r w:rsidR="00B40594" w:rsidRPr="007C3A26">
        <w:rPr>
          <w:rFonts w:ascii="Lato" w:hAnsi="Lato" w:cs="Arial"/>
          <w:spacing w:val="4"/>
          <w:lang w:bidi="pl-PL"/>
        </w:rPr>
        <w:br/>
      </w:r>
      <w:r w:rsidRPr="007C3A26">
        <w:rPr>
          <w:rFonts w:ascii="Lato" w:hAnsi="Lato" w:cs="Arial"/>
          <w:spacing w:val="4"/>
          <w:lang w:bidi="pl-PL"/>
        </w:rPr>
        <w:t xml:space="preserve">w gruncie. Dopiero wówczas, po uprzednim ustaleniu, w jaki sposób właściciel czy użytkownik wieczysty korzystał z nieruchomości, można ocenić, czy w konsekwencji zrealizowania inwestycji nastąpił brak możliwości korzystania z nieruchomości w sposób zgodny z jej dotychczasowym przeznaczeniem. Skutki ograniczenia w korzystaniu </w:t>
      </w:r>
      <w:r w:rsidR="00B40594" w:rsidRPr="007C3A26">
        <w:rPr>
          <w:rFonts w:ascii="Lato" w:hAnsi="Lato" w:cs="Arial"/>
          <w:spacing w:val="4"/>
          <w:lang w:bidi="pl-PL"/>
        </w:rPr>
        <w:br/>
      </w:r>
      <w:r w:rsidRPr="007C3A26">
        <w:rPr>
          <w:rFonts w:ascii="Lato" w:hAnsi="Lato" w:cs="Arial"/>
          <w:spacing w:val="4"/>
          <w:lang w:bidi="pl-PL"/>
        </w:rPr>
        <w:t xml:space="preserve">z nieruchomości na mocy art. 24 ust. 1 specustawy gazowej oceniane są jednak </w:t>
      </w:r>
      <w:r w:rsidR="00B40594" w:rsidRPr="007C3A26">
        <w:rPr>
          <w:rFonts w:ascii="Lato" w:hAnsi="Lato" w:cs="Arial"/>
          <w:spacing w:val="4"/>
          <w:lang w:bidi="pl-PL"/>
        </w:rPr>
        <w:br/>
      </w:r>
      <w:r w:rsidRPr="007C3A26">
        <w:rPr>
          <w:rFonts w:ascii="Lato" w:hAnsi="Lato" w:cs="Arial"/>
          <w:spacing w:val="4"/>
          <w:lang w:bidi="pl-PL"/>
        </w:rPr>
        <w:t xml:space="preserve">w odrębnych postępowaniach, w tym przewidzianym w specustawie gazowej - postępowaniu odszkodowawczym, a nie w decyzji o ustaleniu lokalizacji inwestycji towarzyszącej inwestycjom w zakresie terminalu. </w:t>
      </w:r>
      <w:bookmarkStart w:id="15" w:name="_Hlk181643346"/>
      <w:r w:rsidRPr="007C3A26">
        <w:rPr>
          <w:rFonts w:ascii="Lato" w:hAnsi="Lato" w:cs="Arial"/>
          <w:spacing w:val="4"/>
          <w:lang w:bidi="pl-PL"/>
        </w:rPr>
        <w:t>Dla decyzji o ustaleniu lokalizacji inwestycji dotychczasowe lub planowane przeznaczenie nieruchomości nie ma żadnego znaczenia i nie podważa prawidłowości decyzji.</w:t>
      </w:r>
      <w:bookmarkEnd w:id="15"/>
      <w:r w:rsidRPr="007C3A26">
        <w:rPr>
          <w:rFonts w:ascii="Lato" w:hAnsi="Lato" w:cs="Arial"/>
          <w:spacing w:val="4"/>
          <w:lang w:bidi="pl-PL"/>
        </w:rPr>
        <w:t xml:space="preserve"> Może mieć jednak znaczenie dla obiektywnej możliwości dalszego korzystania z nieruchomości i ewentualnego roszczenia odszkodowawczego przysługującego zgodnie z art. 124 ust. 5 ugn. Według bowiem </w:t>
      </w:r>
      <w:r w:rsidRPr="007C3A26">
        <w:rPr>
          <w:rFonts w:ascii="Lato" w:hAnsi="Lato" w:cs="Arial"/>
          <w:spacing w:val="4"/>
          <w:lang w:bidi="pl-PL"/>
        </w:rPr>
        <w:br/>
        <w:t xml:space="preserve">art. 24 ust. 1 specustawy gazowej, przepisy art. 124 ust. 4-7 ugn stosuje się odpowiednio, </w:t>
      </w:r>
      <w:r w:rsidRPr="007C3A26">
        <w:rPr>
          <w:rFonts w:ascii="Lato" w:hAnsi="Lato" w:cs="Arial"/>
          <w:spacing w:val="4"/>
          <w:lang w:bidi="pl-PL"/>
        </w:rPr>
        <w:br/>
        <w:t>z uwzględnieniem przepisów niniejszej ustawy (por. wyroki Wojewódzkiego Sądu Administracyjnego z dnia 30 sierpnia 2019 r., sygn. akt IV SA/</w:t>
      </w:r>
      <w:proofErr w:type="spellStart"/>
      <w:r w:rsidRPr="007C3A26">
        <w:rPr>
          <w:rFonts w:ascii="Lato" w:hAnsi="Lato" w:cs="Arial"/>
          <w:spacing w:val="4"/>
          <w:lang w:bidi="pl-PL"/>
        </w:rPr>
        <w:t>Wa</w:t>
      </w:r>
      <w:proofErr w:type="spellEnd"/>
      <w:r w:rsidRPr="007C3A26">
        <w:rPr>
          <w:rFonts w:ascii="Lato" w:hAnsi="Lato" w:cs="Arial"/>
          <w:spacing w:val="4"/>
          <w:lang w:bidi="pl-PL"/>
        </w:rPr>
        <w:t xml:space="preserve"> 1477/19 i z dnia 31 sierpnia 2018 r., sygn. akt IV SA/</w:t>
      </w:r>
      <w:proofErr w:type="spellStart"/>
      <w:r w:rsidRPr="007C3A26">
        <w:rPr>
          <w:rFonts w:ascii="Lato" w:hAnsi="Lato" w:cs="Arial"/>
          <w:spacing w:val="4"/>
          <w:lang w:bidi="pl-PL"/>
        </w:rPr>
        <w:t>Wa</w:t>
      </w:r>
      <w:proofErr w:type="spellEnd"/>
      <w:r w:rsidRPr="007C3A26">
        <w:rPr>
          <w:rFonts w:ascii="Lato" w:hAnsi="Lato" w:cs="Arial"/>
          <w:spacing w:val="4"/>
          <w:lang w:bidi="pl-PL"/>
        </w:rPr>
        <w:t xml:space="preserve"> 3345/17, </w:t>
      </w:r>
      <w:proofErr w:type="spellStart"/>
      <w:r w:rsidRPr="007C3A26">
        <w:rPr>
          <w:rFonts w:ascii="Lato" w:hAnsi="Lato" w:cs="Arial"/>
          <w:spacing w:val="4"/>
          <w:lang w:bidi="pl-PL"/>
        </w:rPr>
        <w:t>opubl</w:t>
      </w:r>
      <w:proofErr w:type="spellEnd"/>
      <w:r w:rsidRPr="007C3A26">
        <w:rPr>
          <w:rFonts w:ascii="Lato" w:hAnsi="Lato" w:cs="Arial"/>
          <w:spacing w:val="4"/>
          <w:lang w:bidi="pl-PL"/>
        </w:rPr>
        <w:t>. Centralna Baza Orzeczeń Sądów Administracyjnych).</w:t>
      </w:r>
    </w:p>
    <w:p w14:paraId="660180A5" w14:textId="5901A3C8" w:rsidR="007C436B" w:rsidRPr="007C3A26" w:rsidRDefault="00885327">
      <w:pPr>
        <w:spacing w:after="240" w:line="240" w:lineRule="exact"/>
        <w:jc w:val="both"/>
        <w:rPr>
          <w:rFonts w:ascii="Lato" w:hAnsi="Lato" w:cs="Arial"/>
          <w:spacing w:val="4"/>
        </w:rPr>
      </w:pPr>
      <w:r w:rsidRPr="007C3A26">
        <w:rPr>
          <w:rFonts w:ascii="Lato" w:hAnsi="Lato" w:cs="Arial"/>
          <w:spacing w:val="4"/>
          <w:lang w:bidi="pl-PL"/>
        </w:rPr>
        <w:t xml:space="preserve">Ustawodawca wyraźnie przesądził, że właściwym instrumentem prawnym, służącym ochronie właściciela gruntu, zajętego jedynie częściowo na potrzeby inwestycji, </w:t>
      </w:r>
      <w:r w:rsidRPr="007C3A26">
        <w:rPr>
          <w:rFonts w:ascii="Lato" w:hAnsi="Lato" w:cs="Arial"/>
          <w:spacing w:val="4"/>
          <w:lang w:bidi="pl-PL"/>
        </w:rPr>
        <w:br/>
        <w:t xml:space="preserve">jest żądanie wykupu przez inwestora całości nieruchomości na zasadach przewidzianych </w:t>
      </w:r>
      <w:r w:rsidRPr="007C3A26">
        <w:rPr>
          <w:rFonts w:ascii="Lato" w:hAnsi="Lato" w:cs="Arial"/>
          <w:spacing w:val="4"/>
          <w:lang w:bidi="pl-PL"/>
        </w:rPr>
        <w:br/>
        <w:t xml:space="preserve">w art. 124 ust. 5 ugn, gdyby zachodziła rzeczywista przeszkoda w dalszym prawidłowym korzystaniu z nieruchomości w sposób dotychczasowy albo w sposób zgodny </w:t>
      </w:r>
      <w:r w:rsidRPr="007C3A26">
        <w:rPr>
          <w:rFonts w:ascii="Lato" w:hAnsi="Lato" w:cs="Arial"/>
          <w:spacing w:val="4"/>
          <w:lang w:bidi="pl-PL"/>
        </w:rPr>
        <w:br/>
        <w:t>z jej dotychczasowym przeznaczeniem.</w:t>
      </w:r>
      <w:r w:rsidRPr="007C3A26">
        <w:rPr>
          <w:rFonts w:ascii="Lato" w:hAnsi="Lato" w:cs="Arial"/>
          <w:spacing w:val="4"/>
        </w:rPr>
        <w:t xml:space="preserve"> Przepis art. 124 ust. 5 ugn przyznaje właścicielowi albo użytkownikowi wieczystemu nieruchomości prawo żądania nabycia od niego w drodze umowy własności lub prawa użytkowania wieczystego, jeżeli założenie lub przeprowadzenie ciągów, przewodów i urządzeń uniemożliwia właścicielowi albo użytkownikowi wieczystemu dalsze prawidłowe korzystanie </w:t>
      </w:r>
      <w:r w:rsidRPr="007C3A26">
        <w:rPr>
          <w:rFonts w:ascii="Lato" w:hAnsi="Lato" w:cs="Arial"/>
          <w:spacing w:val="4"/>
        </w:rPr>
        <w:br/>
        <w:t xml:space="preserve">z nieruchomości w sposób dotychczasowy albo w sposób zgodny z jej dotychczasowym przeznaczeniem. Sprawy te należą do właściwości sądów powszechnych </w:t>
      </w:r>
      <w:r w:rsidRPr="007C3A26">
        <w:rPr>
          <w:rFonts w:ascii="Lato" w:hAnsi="Lato" w:cs="Arial"/>
          <w:spacing w:val="4"/>
        </w:rPr>
        <w:br/>
        <w:t xml:space="preserve">(por. postanowienie Naczelnego Sądu Administracyjnego z dnia 22 czerwca 1998 r., sygn. akt II SA/Ka 921/98, CBOSA). Roszczenie o wykup nieruchomości, w sytuacji uregulowanej ww. przepisem jest realizowane w drodze umowy, a nie w drodze decyzji administracyjnej. W sytuacji więc, gdy nie doszło do zawarcia umowy zainteresowany może wystąpić do sądu powszechnego z roszczeniem o wydanie wyroku zastępującego oświadczenie woli (por. ww. wyrok Wojewódzkiego Sądu Administracyjnego </w:t>
      </w:r>
      <w:r w:rsidRPr="007C3A26">
        <w:rPr>
          <w:rFonts w:ascii="Lato" w:hAnsi="Lato" w:cs="Arial"/>
          <w:spacing w:val="4"/>
        </w:rPr>
        <w:br/>
        <w:t>w Warszawie z dnia 30 sierpnia 2019 r., sygn. akt IV SA/</w:t>
      </w:r>
      <w:proofErr w:type="spellStart"/>
      <w:r w:rsidRPr="007C3A26">
        <w:rPr>
          <w:rFonts w:ascii="Lato" w:hAnsi="Lato" w:cs="Arial"/>
          <w:spacing w:val="4"/>
        </w:rPr>
        <w:t>Wa</w:t>
      </w:r>
      <w:proofErr w:type="spellEnd"/>
      <w:r w:rsidRPr="007C3A26">
        <w:rPr>
          <w:rFonts w:ascii="Lato" w:hAnsi="Lato" w:cs="Arial"/>
          <w:spacing w:val="4"/>
        </w:rPr>
        <w:t xml:space="preserve"> 1477/19). </w:t>
      </w:r>
    </w:p>
    <w:p w14:paraId="38C2B51E" w14:textId="64C85D58" w:rsidR="00885327" w:rsidRPr="007C3A26" w:rsidRDefault="00885327" w:rsidP="00B40594">
      <w:pPr>
        <w:spacing w:after="240" w:line="240" w:lineRule="exact"/>
        <w:jc w:val="both"/>
        <w:rPr>
          <w:rFonts w:ascii="Lato" w:hAnsi="Lato" w:cs="Arial"/>
          <w:spacing w:val="4"/>
        </w:rPr>
      </w:pPr>
      <w:r w:rsidRPr="007C3A26">
        <w:rPr>
          <w:rFonts w:ascii="Lato" w:hAnsi="Lato" w:cs="Arial"/>
          <w:bCs/>
          <w:spacing w:val="4"/>
        </w:rPr>
        <w:t xml:space="preserve">Jak wskazuje się w doktrynie: „Z pewnością roszczenie (wynikające z 124 ust. 5 ugn) może powstać dopiero po fizycznym posadowieniu urządzeń w przestrzeni nieruchomości. Treść planu miejscowego lub decyzji o ustaleniu lokalizacji przed fizycznym wkroczeniem na nieruchomości nie spowoduje powstania tego roszczenia” (por. G. Matusik: Komentarz do art. 124 ugn [w:] Kalus S. (red.), Bieniek G., </w:t>
      </w:r>
      <w:proofErr w:type="spellStart"/>
      <w:r w:rsidRPr="007C3A26">
        <w:rPr>
          <w:rFonts w:ascii="Lato" w:hAnsi="Lato" w:cs="Arial"/>
          <w:bCs/>
          <w:spacing w:val="4"/>
        </w:rPr>
        <w:t>Gdesz</w:t>
      </w:r>
      <w:proofErr w:type="spellEnd"/>
      <w:r w:rsidRPr="007C3A26">
        <w:rPr>
          <w:rFonts w:ascii="Lato" w:hAnsi="Lato" w:cs="Arial"/>
          <w:bCs/>
          <w:spacing w:val="4"/>
        </w:rPr>
        <w:t xml:space="preserve"> M., Matusik G., Mzyk E., Ustawa o gospodarce nieruchomościami. Komentarz, </w:t>
      </w:r>
      <w:proofErr w:type="spellStart"/>
      <w:r w:rsidRPr="007C3A26">
        <w:rPr>
          <w:rFonts w:ascii="Lato" w:hAnsi="Lato" w:cs="Arial"/>
          <w:bCs/>
          <w:spacing w:val="4"/>
        </w:rPr>
        <w:t>LexisNexis</w:t>
      </w:r>
      <w:proofErr w:type="spellEnd"/>
      <w:r w:rsidRPr="007C3A26">
        <w:rPr>
          <w:rFonts w:ascii="Lato" w:hAnsi="Lato" w:cs="Arial"/>
          <w:bCs/>
          <w:spacing w:val="4"/>
        </w:rPr>
        <w:t>, 2012, Lex/el.).</w:t>
      </w:r>
    </w:p>
    <w:p w14:paraId="1F5C21C1" w14:textId="1D468F84" w:rsidR="00134F7E" w:rsidRPr="007C3A26" w:rsidRDefault="00885327" w:rsidP="00B40594">
      <w:pPr>
        <w:spacing w:after="240" w:line="240" w:lineRule="exact"/>
        <w:jc w:val="both"/>
        <w:rPr>
          <w:rFonts w:ascii="Lato" w:hAnsi="Lato" w:cs="Arial"/>
          <w:bCs/>
          <w:spacing w:val="4"/>
          <w:lang w:bidi="pl-PL"/>
        </w:rPr>
      </w:pPr>
      <w:r w:rsidRPr="007C3A26">
        <w:rPr>
          <w:rFonts w:ascii="Lato" w:hAnsi="Lato" w:cs="Arial"/>
          <w:bCs/>
          <w:spacing w:val="4"/>
          <w:lang w:bidi="pl-PL"/>
        </w:rPr>
        <w:t>Zauważyć przy tym należy, iż w postępowaniu w sprawie wydania decyzji w przedmiocie ustalenia lokalizacji inwestycji towarzyszących inwestycjom w zakresie terminalu, zarówno Wojewoda</w:t>
      </w:r>
      <w:r w:rsidR="009A0D56" w:rsidRPr="007C3A26">
        <w:rPr>
          <w:rFonts w:ascii="Lato" w:hAnsi="Lato" w:cs="Arial"/>
          <w:bCs/>
          <w:spacing w:val="4"/>
          <w:lang w:bidi="pl-PL"/>
        </w:rPr>
        <w:t xml:space="preserve"> </w:t>
      </w:r>
      <w:r w:rsidR="00745EED" w:rsidRPr="007C3A26">
        <w:rPr>
          <w:rFonts w:ascii="Lato" w:hAnsi="Lato" w:cs="Arial"/>
          <w:bCs/>
          <w:spacing w:val="4"/>
          <w:lang w:bidi="pl-PL"/>
        </w:rPr>
        <w:t>Opolski</w:t>
      </w:r>
      <w:r w:rsidRPr="007C3A26">
        <w:rPr>
          <w:rFonts w:ascii="Lato" w:hAnsi="Lato" w:cs="Arial"/>
          <w:bCs/>
          <w:spacing w:val="4"/>
          <w:lang w:bidi="pl-PL"/>
        </w:rPr>
        <w:t xml:space="preserve">, jak i Minister, badają zgodność z prawem wniosku inwestora, nie zaś zagadnień dotyczących ewentualnych negatywnych następstw dla podmiotów objętych tą decyzją. Z samej bowiem istoty przedsięwzięcia gazowego, będącego inwestycją liniową, wynika ingerencja w prawa przysługujące innym podmiotom w stosunku do nieruchomości objętych projektowaną inwestycją. </w:t>
      </w:r>
      <w:r w:rsidR="00F409BB" w:rsidRPr="007C3A26">
        <w:rPr>
          <w:rFonts w:ascii="Lato" w:hAnsi="Lato" w:cs="Arial"/>
          <w:bCs/>
          <w:spacing w:val="4"/>
          <w:lang w:bidi="pl-PL"/>
        </w:rPr>
        <w:br/>
      </w:r>
      <w:r w:rsidRPr="007C3A26">
        <w:rPr>
          <w:rFonts w:ascii="Lato" w:hAnsi="Lato" w:cs="Arial"/>
          <w:bCs/>
          <w:spacing w:val="4"/>
          <w:lang w:bidi="pl-PL"/>
        </w:rPr>
        <w:lastRenderedPageBreak/>
        <w:t xml:space="preserve">Z omawianej ingerencji wynikać mogą z kolei inne utrudnienia dla podmiotów dotychczas wykorzystujących daną nieruchomość w określony sposób lub planujących jej wykorzystanie. Nieuniknione jest bowiem to, że lokalizacja inwestycji towarzyszącej inwestycji w zakresie terminalu, może stwarzać określone uciążliwości dla właścicieli nieruchomości objętych jej zakresem. Nie oznacza to jednak, że taka decyzja o ustaleniu lokalizacji inwestycji jest wadliwa. </w:t>
      </w:r>
      <w:r w:rsidR="00EB6841" w:rsidRPr="007C3A26">
        <w:rPr>
          <w:rFonts w:ascii="Lato" w:hAnsi="Lato" w:cs="Arial"/>
          <w:bCs/>
          <w:spacing w:val="4"/>
          <w:lang w:bidi="pl-PL"/>
        </w:rPr>
        <w:t xml:space="preserve">Nie chodzi bowiem o wszelkie utrudnienia, jakie może przynieść planowane przedsięwzięcie, a jedynie o takie, które mogą dotyczyć naruszeń interesów prawnych, a nie interesów faktycznych. Jeżeli inwestycja nie wykazuje żadnej sprzeczności z przepisami prawa, to spowodowane realizacją inwestycji faktyczne dolegliwości dla otoczenia nie mogą zostać zakwalifikowane, jako naruszające uzasadniony interes prawny. </w:t>
      </w:r>
    </w:p>
    <w:p w14:paraId="1038C0DB" w14:textId="2EF50513" w:rsidR="00075F4E" w:rsidRPr="007C3A26" w:rsidRDefault="00EB6841" w:rsidP="00B40594">
      <w:pPr>
        <w:spacing w:after="240" w:line="240" w:lineRule="exact"/>
        <w:jc w:val="both"/>
        <w:rPr>
          <w:rFonts w:ascii="Lato" w:hAnsi="Lato" w:cs="Arial"/>
          <w:bCs/>
          <w:spacing w:val="4"/>
          <w:lang w:bidi="pl-PL"/>
        </w:rPr>
      </w:pPr>
      <w:r w:rsidRPr="007C3A26">
        <w:rPr>
          <w:rFonts w:ascii="Lato" w:hAnsi="Lato" w:cs="Arial"/>
          <w:bCs/>
          <w:spacing w:val="4"/>
          <w:lang w:bidi="pl-PL"/>
        </w:rPr>
        <w:t>Nie ma bowiem podstaw prawnych ku temu, aby w postępowaniu lokalizacyjnym określonym w specustawie gazowej badać wpływ planowanej inwestycji na komfort użytkowania nieruchomości objętych zakresem inwestycji</w:t>
      </w:r>
      <w:r w:rsidR="009857C8" w:rsidRPr="007C3A26">
        <w:rPr>
          <w:rFonts w:ascii="Lato" w:hAnsi="Lato" w:cs="Arial"/>
          <w:bCs/>
          <w:spacing w:val="4"/>
          <w:lang w:bidi="pl-PL"/>
        </w:rPr>
        <w:t xml:space="preserve"> lub plany inwestycyjne właściciela nieruchomości</w:t>
      </w:r>
      <w:r w:rsidRPr="007C3A26">
        <w:rPr>
          <w:rFonts w:ascii="Lato" w:hAnsi="Lato" w:cs="Arial"/>
          <w:bCs/>
          <w:spacing w:val="4"/>
          <w:lang w:bidi="pl-PL"/>
        </w:rPr>
        <w:t xml:space="preserve">. Brak jest bowiem stosownych przepisów uprawniających organ do takich czynności, jak również uzależniających rozstrzygnięcie od tego rodzaju okoliczności. </w:t>
      </w:r>
      <w:r w:rsidR="00885327" w:rsidRPr="007C3A26">
        <w:rPr>
          <w:rFonts w:ascii="Lato" w:hAnsi="Lato" w:cs="Arial"/>
          <w:bCs/>
          <w:spacing w:val="4"/>
          <w:lang w:bidi="pl-PL"/>
        </w:rPr>
        <w:t>Organ wydający decyzję o ustaleniu lokalizacji inwestycji towarzyszących inwestycjom w zakresie terminalu nie jest bowiem kompetentny do oceny przesłanek ekonomicznych oraz społecznych powstającej inwestycji, w jej kształcie określonym przez inwestora. Do organu administracji należy jedynie ocena wniosku inwestora pod względem jego zgodności z prawem powszechnie obowiązującym. Podkreślić także należy, że przedmiotem orzekania zarówno przez Wojewodę</w:t>
      </w:r>
      <w:r w:rsidR="00C70ADB" w:rsidRPr="007C3A26">
        <w:rPr>
          <w:rFonts w:ascii="Lato" w:hAnsi="Lato" w:cs="Arial"/>
          <w:bCs/>
          <w:spacing w:val="4"/>
          <w:lang w:bidi="pl-PL"/>
        </w:rPr>
        <w:t xml:space="preserve"> </w:t>
      </w:r>
      <w:r w:rsidR="00745EED" w:rsidRPr="007C3A26">
        <w:rPr>
          <w:rFonts w:ascii="Lato" w:hAnsi="Lato" w:cs="Arial"/>
          <w:bCs/>
          <w:spacing w:val="4"/>
          <w:lang w:bidi="pl-PL"/>
        </w:rPr>
        <w:t>Opolskiego</w:t>
      </w:r>
      <w:r w:rsidR="00885327" w:rsidRPr="007C3A26">
        <w:rPr>
          <w:rFonts w:ascii="Lato" w:hAnsi="Lato" w:cs="Arial"/>
          <w:bCs/>
          <w:spacing w:val="4"/>
          <w:lang w:bidi="pl-PL"/>
        </w:rPr>
        <w:t>, jak i Ministra, nie jest prognozowanie wielkości ewentualnych strat w majątku skarżąc</w:t>
      </w:r>
      <w:r w:rsidR="003C5928" w:rsidRPr="007C3A26">
        <w:rPr>
          <w:rFonts w:ascii="Lato" w:hAnsi="Lato" w:cs="Arial"/>
          <w:bCs/>
          <w:spacing w:val="4"/>
          <w:lang w:bidi="pl-PL"/>
        </w:rPr>
        <w:t>ego</w:t>
      </w:r>
      <w:r w:rsidR="00885327" w:rsidRPr="007C3A26">
        <w:rPr>
          <w:rFonts w:ascii="Lato" w:hAnsi="Lato" w:cs="Arial"/>
          <w:bCs/>
          <w:spacing w:val="4"/>
          <w:lang w:bidi="pl-PL"/>
        </w:rPr>
        <w:t>, jako czynnika decydującego o wyborze przez inwestora konkretnych rozwiązań lokalizacyjnych i w tym zakresie podnoszone zarzuty pozostają bez wpływu na kształt podjętego rozstrzygnięcia.</w:t>
      </w:r>
      <w:r w:rsidR="00FD797F" w:rsidRPr="007C3A26">
        <w:rPr>
          <w:rFonts w:ascii="Lato" w:hAnsi="Lato" w:cs="Arial"/>
          <w:bCs/>
          <w:spacing w:val="4"/>
          <w:lang w:bidi="pl-PL"/>
        </w:rPr>
        <w:t xml:space="preserve"> </w:t>
      </w:r>
    </w:p>
    <w:p w14:paraId="2DF64EDE" w14:textId="6444D24D" w:rsidR="0012144A" w:rsidRPr="007C3A26" w:rsidRDefault="0012144A" w:rsidP="00B40594">
      <w:pPr>
        <w:spacing w:after="240" w:line="240" w:lineRule="exact"/>
        <w:jc w:val="both"/>
        <w:rPr>
          <w:rFonts w:ascii="Lato" w:hAnsi="Lato" w:cs="Arial"/>
          <w:bCs/>
          <w:spacing w:val="4"/>
          <w:lang w:bidi="pl-PL"/>
        </w:rPr>
      </w:pPr>
      <w:r w:rsidRPr="007C3A26">
        <w:rPr>
          <w:rFonts w:ascii="Lato" w:hAnsi="Lato" w:cs="Arial"/>
          <w:bCs/>
          <w:spacing w:val="4"/>
          <w:lang w:bidi="pl-PL"/>
        </w:rPr>
        <w:t>Na uwzględnienie nie zasługuje zarzut skarżącego</w:t>
      </w:r>
      <w:r w:rsidR="00ED0AF7" w:rsidRPr="007C3A26">
        <w:rPr>
          <w:rFonts w:ascii="Lato" w:hAnsi="Lato" w:cs="Arial"/>
          <w:bCs/>
          <w:spacing w:val="4"/>
          <w:lang w:bidi="pl-PL"/>
        </w:rPr>
        <w:t xml:space="preserve"> </w:t>
      </w:r>
      <w:r w:rsidRPr="007C3A26">
        <w:rPr>
          <w:rFonts w:ascii="Lato" w:hAnsi="Lato" w:cs="Arial"/>
          <w:bCs/>
          <w:spacing w:val="4"/>
          <w:lang w:bidi="pl-PL"/>
        </w:rPr>
        <w:t xml:space="preserve">dotyczący naruszenia art. 8 </w:t>
      </w:r>
      <w:r w:rsidR="00D10350" w:rsidRPr="007C3A26">
        <w:rPr>
          <w:rFonts w:ascii="Lato" w:hAnsi="Lato" w:cs="Arial"/>
          <w:bCs/>
          <w:spacing w:val="4"/>
          <w:lang w:bidi="pl-PL"/>
        </w:rPr>
        <w:t>§ 1 kpa</w:t>
      </w:r>
      <w:r w:rsidR="00D10350" w:rsidRPr="007C3A26">
        <w:rPr>
          <w:rFonts w:ascii="Lato" w:hAnsi="Lato" w:cs="Arial"/>
          <w:bCs/>
          <w:spacing w:val="4"/>
          <w:lang w:bidi="pl-PL"/>
        </w:rPr>
        <w:br/>
      </w:r>
      <w:r w:rsidRPr="007C3A26">
        <w:rPr>
          <w:rFonts w:ascii="Lato" w:hAnsi="Lato" w:cs="Arial"/>
          <w:bCs/>
          <w:spacing w:val="4"/>
          <w:lang w:bidi="pl-PL"/>
        </w:rPr>
        <w:t xml:space="preserve">w zw. z art. 9 kpa w zw. z art. 81a </w:t>
      </w:r>
      <w:r w:rsidR="00D10350" w:rsidRPr="007C3A26">
        <w:rPr>
          <w:rFonts w:ascii="Lato" w:hAnsi="Lato" w:cs="Arial"/>
          <w:bCs/>
          <w:spacing w:val="4"/>
          <w:lang w:bidi="pl-PL"/>
        </w:rPr>
        <w:t xml:space="preserve">§ 1 kpa </w:t>
      </w:r>
      <w:r w:rsidRPr="007C3A26">
        <w:rPr>
          <w:rFonts w:ascii="Lato" w:hAnsi="Lato" w:cs="Arial"/>
          <w:bCs/>
          <w:spacing w:val="4"/>
          <w:lang w:bidi="pl-PL"/>
        </w:rPr>
        <w:t>polegające</w:t>
      </w:r>
      <w:r w:rsidR="00ED0AF7" w:rsidRPr="007C3A26">
        <w:rPr>
          <w:rFonts w:ascii="Lato" w:hAnsi="Lato" w:cs="Arial"/>
          <w:bCs/>
          <w:spacing w:val="4"/>
          <w:lang w:bidi="pl-PL"/>
        </w:rPr>
        <w:t>go</w:t>
      </w:r>
      <w:r w:rsidRPr="007C3A26">
        <w:rPr>
          <w:rFonts w:ascii="Lato" w:hAnsi="Lato" w:cs="Arial"/>
          <w:bCs/>
          <w:spacing w:val="4"/>
          <w:lang w:bidi="pl-PL"/>
        </w:rPr>
        <w:t xml:space="preserve"> na wydaniu decyzji obejmującej działkę o nr 132/8</w:t>
      </w:r>
      <w:r w:rsidR="00D10350" w:rsidRPr="007C3A26">
        <w:rPr>
          <w:rFonts w:ascii="Lato" w:hAnsi="Lato" w:cs="Arial"/>
          <w:bCs/>
          <w:spacing w:val="4"/>
          <w:lang w:bidi="pl-PL"/>
        </w:rPr>
        <w:t xml:space="preserve">, z obrębu Głębocko, </w:t>
      </w:r>
      <w:r w:rsidRPr="007C3A26">
        <w:rPr>
          <w:rFonts w:ascii="Lato" w:hAnsi="Lato" w:cs="Arial"/>
          <w:bCs/>
          <w:spacing w:val="4"/>
          <w:lang w:bidi="pl-PL"/>
        </w:rPr>
        <w:t xml:space="preserve">w sytuacji, w której </w:t>
      </w:r>
      <w:r w:rsidR="00D10350" w:rsidRPr="007C3A26">
        <w:rPr>
          <w:rFonts w:ascii="Lato" w:hAnsi="Lato" w:cs="Arial"/>
          <w:bCs/>
          <w:spacing w:val="4"/>
          <w:lang w:bidi="pl-PL"/>
        </w:rPr>
        <w:t xml:space="preserve"> - w przekonaniu skarżącego - </w:t>
      </w:r>
      <w:r w:rsidRPr="007C3A26">
        <w:rPr>
          <w:rFonts w:ascii="Lato" w:hAnsi="Lato" w:cs="Arial"/>
          <w:bCs/>
          <w:spacing w:val="4"/>
          <w:lang w:bidi="pl-PL"/>
        </w:rPr>
        <w:t>działka ta nie była dotychczas objęta postępowaniem w przedmiocie ustalenia lokalizacji towarzyszącej inwestycj</w:t>
      </w:r>
      <w:r w:rsidR="00D10350" w:rsidRPr="007C3A26">
        <w:rPr>
          <w:rFonts w:ascii="Lato" w:hAnsi="Lato" w:cs="Arial"/>
          <w:bCs/>
          <w:spacing w:val="4"/>
          <w:lang w:bidi="pl-PL"/>
        </w:rPr>
        <w:t>om</w:t>
      </w:r>
      <w:r w:rsidRPr="007C3A26">
        <w:rPr>
          <w:rFonts w:ascii="Lato" w:hAnsi="Lato" w:cs="Arial"/>
          <w:bCs/>
          <w:spacing w:val="4"/>
          <w:lang w:bidi="pl-PL"/>
        </w:rPr>
        <w:t xml:space="preserve"> w zakresie terminalu.</w:t>
      </w:r>
    </w:p>
    <w:p w14:paraId="58BAEDAF" w14:textId="704D0F52" w:rsidR="00905D55" w:rsidRPr="007C3A26" w:rsidRDefault="00BA5A87" w:rsidP="00B40594">
      <w:pPr>
        <w:spacing w:after="240" w:line="240" w:lineRule="exact"/>
        <w:jc w:val="both"/>
        <w:rPr>
          <w:rFonts w:ascii="Lato" w:hAnsi="Lato" w:cs="Arial"/>
          <w:bCs/>
          <w:spacing w:val="4"/>
          <w:lang w:bidi="pl-PL"/>
        </w:rPr>
      </w:pPr>
      <w:r w:rsidRPr="007C3A26">
        <w:rPr>
          <w:rFonts w:ascii="Lato" w:hAnsi="Lato" w:cs="Arial"/>
          <w:bCs/>
          <w:spacing w:val="4"/>
          <w:lang w:bidi="pl-PL"/>
        </w:rPr>
        <w:t>Zauważyć należy, że w</w:t>
      </w:r>
      <w:r w:rsidR="00ED0AF7" w:rsidRPr="007C3A26">
        <w:rPr>
          <w:rFonts w:ascii="Lato" w:hAnsi="Lato" w:cs="Arial"/>
          <w:bCs/>
          <w:spacing w:val="4"/>
          <w:lang w:bidi="pl-PL"/>
        </w:rPr>
        <w:t>w</w:t>
      </w:r>
      <w:r w:rsidRPr="007C3A26">
        <w:rPr>
          <w:rFonts w:ascii="Lato" w:hAnsi="Lato" w:cs="Arial"/>
          <w:bCs/>
          <w:spacing w:val="4"/>
          <w:lang w:bidi="pl-PL"/>
        </w:rPr>
        <w:t xml:space="preserve">. działka nr 132/8 </w:t>
      </w:r>
      <w:r w:rsidR="00905D55" w:rsidRPr="007C3A26">
        <w:rPr>
          <w:rFonts w:ascii="Lato" w:hAnsi="Lato" w:cs="Arial"/>
          <w:bCs/>
          <w:spacing w:val="4"/>
          <w:lang w:bidi="pl-PL"/>
        </w:rPr>
        <w:t>(</w:t>
      </w:r>
      <w:r w:rsidR="001F1C04" w:rsidRPr="007C3A26">
        <w:rPr>
          <w:rFonts w:ascii="Lato" w:hAnsi="Lato" w:cs="Arial"/>
          <w:bCs/>
          <w:spacing w:val="4"/>
          <w:lang w:bidi="pl-PL"/>
        </w:rPr>
        <w:t>podobnie</w:t>
      </w:r>
      <w:r w:rsidR="00905D55" w:rsidRPr="007C3A26">
        <w:rPr>
          <w:rFonts w:ascii="Lato" w:hAnsi="Lato" w:cs="Arial"/>
          <w:bCs/>
          <w:spacing w:val="4"/>
          <w:lang w:bidi="pl-PL"/>
        </w:rPr>
        <w:t xml:space="preserve"> jak pozostałe działki skarżącego) </w:t>
      </w:r>
      <w:r w:rsidRPr="007C3A26">
        <w:rPr>
          <w:rFonts w:ascii="Lato" w:hAnsi="Lato" w:cs="Arial"/>
          <w:bCs/>
          <w:spacing w:val="4"/>
          <w:lang w:bidi="pl-PL"/>
        </w:rPr>
        <w:t xml:space="preserve">była objęta wnioskiem </w:t>
      </w:r>
      <w:r w:rsidR="002656A3" w:rsidRPr="007C3A26">
        <w:rPr>
          <w:rFonts w:ascii="Lato" w:hAnsi="Lato" w:cs="Arial"/>
          <w:bCs/>
          <w:spacing w:val="4"/>
          <w:lang w:bidi="pl-PL"/>
        </w:rPr>
        <w:t xml:space="preserve">lokalizacyjnym inwestora, została wymieniona w zawiadomieniu Wojewody Opolskiego z dnia 4 lipca 2023 r. </w:t>
      </w:r>
      <w:r w:rsidR="005D57E4" w:rsidRPr="007C3A26">
        <w:rPr>
          <w:rFonts w:ascii="Lato" w:hAnsi="Lato" w:cs="Arial"/>
          <w:bCs/>
          <w:spacing w:val="4"/>
          <w:lang w:bidi="pl-PL"/>
        </w:rPr>
        <w:t>informującym o wszczęciu postępowania</w:t>
      </w:r>
      <w:r w:rsidR="00905D55" w:rsidRPr="007C3A26">
        <w:rPr>
          <w:rFonts w:ascii="Lato" w:hAnsi="Lato" w:cs="Arial"/>
          <w:bCs/>
          <w:spacing w:val="4"/>
          <w:lang w:bidi="pl-PL"/>
        </w:rPr>
        <w:t>, które zostało</w:t>
      </w:r>
      <w:r w:rsidR="005D57E4" w:rsidRPr="007C3A26">
        <w:rPr>
          <w:rFonts w:ascii="Lato" w:hAnsi="Lato" w:cs="Arial"/>
          <w:bCs/>
          <w:spacing w:val="4"/>
          <w:lang w:bidi="pl-PL"/>
        </w:rPr>
        <w:t xml:space="preserve"> wysłan</w:t>
      </w:r>
      <w:r w:rsidR="00905D55" w:rsidRPr="007C3A26">
        <w:rPr>
          <w:rFonts w:ascii="Lato" w:hAnsi="Lato" w:cs="Arial"/>
          <w:bCs/>
          <w:spacing w:val="4"/>
          <w:lang w:bidi="pl-PL"/>
        </w:rPr>
        <w:t>e</w:t>
      </w:r>
      <w:r w:rsidR="005D57E4" w:rsidRPr="007C3A26">
        <w:rPr>
          <w:rFonts w:ascii="Lato" w:hAnsi="Lato" w:cs="Arial"/>
          <w:bCs/>
          <w:spacing w:val="4"/>
          <w:lang w:bidi="pl-PL"/>
        </w:rPr>
        <w:t xml:space="preserve"> do właścicieli i użytkowników wieczystych nieruchomości objętych wnioskiem na adres określony w katastrze nieruchomości (</w:t>
      </w:r>
      <w:r w:rsidR="00905D55" w:rsidRPr="007C3A26">
        <w:rPr>
          <w:rFonts w:ascii="Lato" w:hAnsi="Lato" w:cs="Arial"/>
          <w:bCs/>
          <w:spacing w:val="4"/>
          <w:lang w:bidi="pl-PL"/>
        </w:rPr>
        <w:t xml:space="preserve">doręczonym </w:t>
      </w:r>
      <w:r w:rsidR="00C7575A" w:rsidRPr="007C3A26">
        <w:rPr>
          <w:rFonts w:ascii="Lato" w:hAnsi="Lato" w:cs="Arial"/>
          <w:bCs/>
          <w:spacing w:val="4"/>
          <w:lang w:bidi="pl-PL"/>
        </w:rPr>
        <w:t>również skarżącemu</w:t>
      </w:r>
      <w:r w:rsidR="00ED0AF7" w:rsidRPr="007C3A26">
        <w:rPr>
          <w:rFonts w:ascii="Lato" w:hAnsi="Lato" w:cs="Arial"/>
          <w:bCs/>
          <w:spacing w:val="4"/>
          <w:lang w:bidi="pl-PL"/>
        </w:rPr>
        <w:t xml:space="preserve">, co wynika ze </w:t>
      </w:r>
      <w:r w:rsidR="005D57E4" w:rsidRPr="007C3A26">
        <w:rPr>
          <w:rFonts w:ascii="Lato" w:hAnsi="Lato" w:cs="Arial"/>
          <w:bCs/>
          <w:spacing w:val="4"/>
          <w:lang w:bidi="pl-PL"/>
        </w:rPr>
        <w:t>zwrotne</w:t>
      </w:r>
      <w:r w:rsidR="00ED0AF7" w:rsidRPr="007C3A26">
        <w:rPr>
          <w:rFonts w:ascii="Lato" w:hAnsi="Lato" w:cs="Arial"/>
          <w:bCs/>
          <w:spacing w:val="4"/>
          <w:lang w:bidi="pl-PL"/>
        </w:rPr>
        <w:t>go</w:t>
      </w:r>
      <w:r w:rsidR="005D57E4" w:rsidRPr="007C3A26">
        <w:rPr>
          <w:rFonts w:ascii="Lato" w:hAnsi="Lato" w:cs="Arial"/>
          <w:bCs/>
          <w:spacing w:val="4"/>
          <w:lang w:bidi="pl-PL"/>
        </w:rPr>
        <w:t xml:space="preserve"> potwierdzenia odbioru</w:t>
      </w:r>
      <w:r w:rsidR="00C7575A" w:rsidRPr="007C3A26">
        <w:rPr>
          <w:rFonts w:ascii="Lato" w:hAnsi="Lato" w:cs="Arial"/>
          <w:bCs/>
          <w:spacing w:val="4"/>
          <w:lang w:bidi="pl-PL"/>
        </w:rPr>
        <w:t xml:space="preserve"> znajdującego się w aktach sprawy</w:t>
      </w:r>
      <w:r w:rsidR="005D57E4" w:rsidRPr="007C3A26">
        <w:rPr>
          <w:rFonts w:ascii="Lato" w:hAnsi="Lato" w:cs="Arial"/>
          <w:bCs/>
          <w:spacing w:val="4"/>
          <w:lang w:bidi="pl-PL"/>
        </w:rPr>
        <w:t xml:space="preserve">), jak również została wymieniona w publicznym obwieszczeniu Wojewody Opolskiego z dnia 4 lipca 2024 r. informującym o wszczęciu postępowania. Zatem działka </w:t>
      </w:r>
      <w:r w:rsidR="00ED0AF7" w:rsidRPr="007C3A26">
        <w:rPr>
          <w:rFonts w:ascii="Lato" w:hAnsi="Lato" w:cs="Arial"/>
          <w:bCs/>
          <w:spacing w:val="4"/>
          <w:lang w:bidi="pl-PL"/>
        </w:rPr>
        <w:t xml:space="preserve">skarżącego </w:t>
      </w:r>
      <w:r w:rsidR="005D57E4" w:rsidRPr="007C3A26">
        <w:rPr>
          <w:rFonts w:ascii="Lato" w:hAnsi="Lato" w:cs="Arial"/>
          <w:bCs/>
          <w:spacing w:val="4"/>
          <w:lang w:bidi="pl-PL"/>
        </w:rPr>
        <w:t xml:space="preserve">nr 132/8 od samego początku była objęta postępowaniem w przedmiocie ustalenia lokalizacji inwestycji towarzyszącej </w:t>
      </w:r>
      <w:r w:rsidR="008A64E2" w:rsidRPr="007C3A26">
        <w:rPr>
          <w:rFonts w:ascii="Lato" w:hAnsi="Lato" w:cs="Arial"/>
          <w:bCs/>
          <w:spacing w:val="4"/>
          <w:lang w:bidi="pl-PL"/>
        </w:rPr>
        <w:t xml:space="preserve">inwestycjom </w:t>
      </w:r>
      <w:r w:rsidR="005D57E4" w:rsidRPr="007C3A26">
        <w:rPr>
          <w:rFonts w:ascii="Lato" w:hAnsi="Lato" w:cs="Arial"/>
          <w:bCs/>
          <w:spacing w:val="4"/>
          <w:lang w:bidi="pl-PL"/>
        </w:rPr>
        <w:t>w zakresie terminalu</w:t>
      </w:r>
      <w:r w:rsidR="00905D55" w:rsidRPr="007C3A26">
        <w:rPr>
          <w:rFonts w:ascii="Lato" w:hAnsi="Lato" w:cs="Arial"/>
          <w:bCs/>
          <w:spacing w:val="4"/>
          <w:lang w:bidi="pl-PL"/>
        </w:rPr>
        <w:t xml:space="preserve">, o którym to postępowaniu skarżący został poinformowany przez Wojewodę Opolskiego zgodnie </w:t>
      </w:r>
      <w:r w:rsidR="00C7575A" w:rsidRPr="007C3A26">
        <w:rPr>
          <w:rFonts w:ascii="Lato" w:hAnsi="Lato" w:cs="Arial"/>
          <w:bCs/>
          <w:spacing w:val="4"/>
          <w:lang w:bidi="pl-PL"/>
        </w:rPr>
        <w:br/>
      </w:r>
      <w:r w:rsidR="00905D55" w:rsidRPr="007C3A26">
        <w:rPr>
          <w:rFonts w:ascii="Lato" w:hAnsi="Lato" w:cs="Arial"/>
          <w:bCs/>
          <w:spacing w:val="4"/>
          <w:lang w:bidi="pl-PL"/>
        </w:rPr>
        <w:t>z trybem wynikającym z art. 8 specustawy gazowej. W konsekwencji, za całkowicie chybione należy uznać stanowisko skarżącego, że nie miał wiedzy na temat objęcia działki</w:t>
      </w:r>
      <w:r w:rsidR="00CC5EA6" w:rsidRPr="007C3A26">
        <w:rPr>
          <w:rFonts w:ascii="Lato" w:hAnsi="Lato" w:cs="Arial"/>
          <w:bCs/>
          <w:spacing w:val="4"/>
          <w:lang w:bidi="pl-PL"/>
        </w:rPr>
        <w:t xml:space="preserve"> </w:t>
      </w:r>
      <w:r w:rsidR="00905D55" w:rsidRPr="007C3A26">
        <w:rPr>
          <w:rFonts w:ascii="Lato" w:hAnsi="Lato" w:cs="Arial"/>
          <w:bCs/>
          <w:spacing w:val="4"/>
          <w:lang w:bidi="pl-PL"/>
        </w:rPr>
        <w:t xml:space="preserve">nr 132/8 postępowaniem lokalizacyjnym. </w:t>
      </w:r>
    </w:p>
    <w:p w14:paraId="16E8F55E" w14:textId="47A8977F" w:rsidR="00C80B98" w:rsidRPr="007C3A26" w:rsidRDefault="005D57E4" w:rsidP="00B40594">
      <w:pPr>
        <w:spacing w:after="240" w:line="240" w:lineRule="exact"/>
        <w:jc w:val="both"/>
        <w:rPr>
          <w:rFonts w:ascii="Lato" w:hAnsi="Lato" w:cs="Arial"/>
          <w:bCs/>
          <w:spacing w:val="4"/>
          <w:lang w:bidi="pl-PL"/>
        </w:rPr>
      </w:pPr>
      <w:r w:rsidRPr="007C3A26">
        <w:rPr>
          <w:rFonts w:ascii="Lato" w:hAnsi="Lato" w:cs="Arial"/>
          <w:bCs/>
          <w:spacing w:val="4"/>
          <w:lang w:bidi="pl-PL"/>
        </w:rPr>
        <w:t>Zgodnie z wydaną przez Wojewodę Opolskiego decyzją lokalizacyjną</w:t>
      </w:r>
      <w:r w:rsidR="00ED0AF7" w:rsidRPr="007C3A26">
        <w:rPr>
          <w:rFonts w:ascii="Lato" w:hAnsi="Lato" w:cs="Arial"/>
          <w:bCs/>
          <w:spacing w:val="4"/>
          <w:lang w:bidi="pl-PL"/>
        </w:rPr>
        <w:t xml:space="preserve"> </w:t>
      </w:r>
      <w:r w:rsidR="008A64E2" w:rsidRPr="007C3A26">
        <w:rPr>
          <w:rFonts w:ascii="Lato" w:hAnsi="Lato" w:cs="Arial"/>
          <w:bCs/>
          <w:spacing w:val="4"/>
          <w:lang w:bidi="pl-PL"/>
        </w:rPr>
        <w:t xml:space="preserve">i </w:t>
      </w:r>
      <w:r w:rsidR="00ED0AF7" w:rsidRPr="007C3A26">
        <w:rPr>
          <w:rFonts w:ascii="Lato" w:hAnsi="Lato" w:cs="Arial"/>
          <w:bCs/>
          <w:spacing w:val="4"/>
          <w:lang w:bidi="pl-PL"/>
        </w:rPr>
        <w:t xml:space="preserve">załącznikiem graficznym do tej decyzji - </w:t>
      </w:r>
      <w:r w:rsidR="008A64E2" w:rsidRPr="007C3A26">
        <w:rPr>
          <w:rFonts w:ascii="Lato" w:hAnsi="Lato" w:cs="Arial"/>
          <w:bCs/>
          <w:spacing w:val="4"/>
          <w:lang w:bidi="pl-PL"/>
        </w:rPr>
        <w:t>arkuszem nr 36/93</w:t>
      </w:r>
      <w:r w:rsidR="008A64E2" w:rsidRPr="007C3A26">
        <w:rPr>
          <w:rFonts w:ascii="Lato" w:hAnsi="Lato"/>
          <w:spacing w:val="4"/>
        </w:rPr>
        <w:t xml:space="preserve"> </w:t>
      </w:r>
      <w:r w:rsidR="008A64E2" w:rsidRPr="007C3A26">
        <w:rPr>
          <w:rFonts w:ascii="Lato" w:hAnsi="Lato" w:cs="Arial"/>
          <w:bCs/>
          <w:spacing w:val="4"/>
          <w:lang w:bidi="pl-PL"/>
        </w:rPr>
        <w:t xml:space="preserve">mapy określającej granice terenu objętego inwestycją, </w:t>
      </w:r>
      <w:r w:rsidRPr="007C3A26">
        <w:rPr>
          <w:rFonts w:ascii="Lato" w:hAnsi="Lato" w:cs="Arial"/>
          <w:bCs/>
          <w:spacing w:val="4"/>
          <w:lang w:bidi="pl-PL"/>
        </w:rPr>
        <w:t xml:space="preserve">działka nr 132/8 jest objęta w niewielkim zakresie </w:t>
      </w:r>
      <w:r w:rsidR="00C80B98" w:rsidRPr="007C3A26">
        <w:rPr>
          <w:rFonts w:ascii="Lato" w:hAnsi="Lato" w:cs="Arial"/>
          <w:bCs/>
          <w:spacing w:val="4"/>
          <w:lang w:bidi="pl-PL"/>
        </w:rPr>
        <w:t xml:space="preserve">jedynie </w:t>
      </w:r>
      <w:r w:rsidRPr="007C3A26">
        <w:rPr>
          <w:rFonts w:ascii="Lato" w:hAnsi="Lato" w:cs="Arial"/>
          <w:bCs/>
          <w:spacing w:val="4"/>
          <w:lang w:bidi="pl-PL"/>
        </w:rPr>
        <w:t xml:space="preserve">czasowym ograniczeniem sposobu korzystania z nieruchomości, o którym mowa w at. 24 ust. 1b </w:t>
      </w:r>
      <w:r w:rsidR="008A64E2" w:rsidRPr="007C3A26">
        <w:rPr>
          <w:rFonts w:ascii="Lato" w:hAnsi="Lato" w:cs="Arial"/>
          <w:bCs/>
          <w:spacing w:val="4"/>
          <w:lang w:bidi="pl-PL"/>
        </w:rPr>
        <w:t xml:space="preserve">specustawy gazowej, </w:t>
      </w:r>
      <w:r w:rsidR="008A64E2" w:rsidRPr="007C3A26">
        <w:rPr>
          <w:rFonts w:ascii="Lato" w:hAnsi="Lato" w:cs="Arial"/>
          <w:bCs/>
          <w:iCs/>
          <w:spacing w:val="4"/>
          <w:lang w:bidi="pl-PL"/>
        </w:rPr>
        <w:t>w związku z przeznaczeniem jej części pod pas budowlano-</w:t>
      </w:r>
      <w:r w:rsidR="008A64E2" w:rsidRPr="007C3A26">
        <w:rPr>
          <w:rFonts w:ascii="Lato" w:hAnsi="Lato" w:cs="Arial"/>
          <w:bCs/>
          <w:iCs/>
          <w:spacing w:val="4"/>
          <w:lang w:bidi="pl-PL"/>
        </w:rPr>
        <w:lastRenderedPageBreak/>
        <w:t>montażowy. Stosownie bowiem do art. 24 ust. 1b specustawy gazowej, na wniosek inwestora ograniczenie sposobu korzystania z nieruchomości, o którym mowa w art. 24 ust. 1, może nastąpić na czas określony. Teren tej działki będzie wykorzystywany wyłącznie pod pas budowlano-montażowy na czas realizacji inwestycji. Na działce tej nie przewidziano lokalizacji sieci gazowej, jak również nie jest objęta strefą kontrolowaną projektowanego gazociągu, co oznacza, że po wybudowaniu inwestycji i uporządkowaniu terenu na działce nie będą obowiązywały żadne ograniczenia, co potwierdził również inwestor w powołanym już w niniejszej decyzji piśmie z dnia 12 grudnia 2023 r.</w:t>
      </w:r>
    </w:p>
    <w:p w14:paraId="013F694F" w14:textId="48E9D7D9" w:rsidR="00C80B98" w:rsidRPr="007C3A26" w:rsidRDefault="008E50CD" w:rsidP="00B40594">
      <w:pPr>
        <w:tabs>
          <w:tab w:val="left" w:pos="2977"/>
        </w:tabs>
        <w:spacing w:after="240" w:line="240" w:lineRule="exact"/>
        <w:jc w:val="both"/>
        <w:outlineLvl w:val="0"/>
        <w:rPr>
          <w:rFonts w:ascii="Lato" w:eastAsia="Times New Roman" w:hAnsi="Lato" w:cs="Arial"/>
          <w:bCs/>
          <w:spacing w:val="4"/>
          <w:lang w:eastAsia="pl-PL" w:bidi="pl-PL"/>
        </w:rPr>
      </w:pPr>
      <w:r w:rsidRPr="007C3A26">
        <w:rPr>
          <w:rFonts w:ascii="Lato" w:hAnsi="Lato" w:cs="Arial"/>
          <w:bCs/>
          <w:spacing w:val="4"/>
          <w:lang w:bidi="pl-PL"/>
        </w:rPr>
        <w:t xml:space="preserve">W świetle dotychczasowej argumentacji, Wojewoda </w:t>
      </w:r>
      <w:r w:rsidR="00745EED" w:rsidRPr="007C3A26">
        <w:rPr>
          <w:rFonts w:ascii="Lato" w:hAnsi="Lato" w:cs="Arial"/>
          <w:bCs/>
          <w:spacing w:val="4"/>
          <w:lang w:bidi="pl-PL"/>
        </w:rPr>
        <w:t>Opolski</w:t>
      </w:r>
      <w:r w:rsidRPr="007C3A26">
        <w:rPr>
          <w:rFonts w:ascii="Lato" w:hAnsi="Lato" w:cs="Arial"/>
          <w:bCs/>
          <w:spacing w:val="4"/>
          <w:lang w:bidi="pl-PL"/>
        </w:rPr>
        <w:t xml:space="preserve"> ustalając lokalizację inwestycji na działkach skarżąc</w:t>
      </w:r>
      <w:r w:rsidR="0023392F" w:rsidRPr="007C3A26">
        <w:rPr>
          <w:rFonts w:ascii="Lato" w:hAnsi="Lato" w:cs="Arial"/>
          <w:bCs/>
          <w:spacing w:val="4"/>
          <w:lang w:bidi="pl-PL"/>
        </w:rPr>
        <w:t>ego</w:t>
      </w:r>
      <w:r w:rsidRPr="007C3A26">
        <w:rPr>
          <w:rFonts w:ascii="Lato" w:hAnsi="Lato" w:cs="Arial"/>
          <w:bCs/>
          <w:spacing w:val="4"/>
          <w:lang w:bidi="pl-PL"/>
        </w:rPr>
        <w:t xml:space="preserve"> w przebiegu zawnioskowanym przez inwestora, nie naruszył wskazanych przez </w:t>
      </w:r>
      <w:r w:rsidR="0023392F" w:rsidRPr="007C3A26">
        <w:rPr>
          <w:rFonts w:ascii="Lato" w:hAnsi="Lato" w:cs="Arial"/>
          <w:bCs/>
          <w:spacing w:val="4"/>
          <w:lang w:bidi="pl-PL"/>
        </w:rPr>
        <w:t xml:space="preserve">skarżącego </w:t>
      </w:r>
      <w:r w:rsidRPr="007C3A26">
        <w:rPr>
          <w:rFonts w:ascii="Lato" w:hAnsi="Lato" w:cs="Arial"/>
          <w:bCs/>
          <w:spacing w:val="4"/>
          <w:lang w:bidi="pl-PL"/>
        </w:rPr>
        <w:t>art. 7 kpa</w:t>
      </w:r>
      <w:r w:rsidR="00C80B98" w:rsidRPr="007C3A26">
        <w:rPr>
          <w:rFonts w:ascii="Lato" w:hAnsi="Lato" w:cs="Arial"/>
          <w:bCs/>
          <w:spacing w:val="4"/>
          <w:lang w:bidi="pl-PL"/>
        </w:rPr>
        <w:t xml:space="preserve"> w zw. </w:t>
      </w:r>
      <w:r w:rsidRPr="007C3A26">
        <w:rPr>
          <w:rFonts w:ascii="Lato" w:hAnsi="Lato" w:cs="Arial"/>
          <w:bCs/>
          <w:spacing w:val="4"/>
          <w:lang w:bidi="pl-PL"/>
        </w:rPr>
        <w:t xml:space="preserve">art. 77 </w:t>
      </w:r>
      <w:r w:rsidR="00C80B98" w:rsidRPr="007C3A26">
        <w:rPr>
          <w:rFonts w:ascii="Lato" w:hAnsi="Lato" w:cs="Arial"/>
          <w:bCs/>
          <w:spacing w:val="4"/>
          <w:lang w:bidi="pl-PL"/>
        </w:rPr>
        <w:t xml:space="preserve">§ 1 kpa </w:t>
      </w:r>
      <w:r w:rsidR="00C80B98" w:rsidRPr="007C3A26">
        <w:rPr>
          <w:rFonts w:ascii="Lato" w:eastAsia="Times New Roman" w:hAnsi="Lato" w:cs="Arial"/>
          <w:bCs/>
          <w:spacing w:val="4"/>
          <w:lang w:eastAsia="pl-PL" w:bidi="pl-PL"/>
        </w:rPr>
        <w:t>i art. 80 kpa.</w:t>
      </w:r>
    </w:p>
    <w:p w14:paraId="56234351" w14:textId="5B9470F9" w:rsidR="00C80B98" w:rsidRPr="007C3A26" w:rsidRDefault="00C80B98" w:rsidP="00B40594">
      <w:pPr>
        <w:spacing w:after="240" w:line="240" w:lineRule="exact"/>
        <w:jc w:val="both"/>
        <w:rPr>
          <w:rFonts w:ascii="Lato" w:eastAsia="Times New Roman" w:hAnsi="Lato" w:cs="Arial"/>
          <w:bCs/>
          <w:iCs/>
          <w:spacing w:val="4"/>
          <w:lang w:eastAsia="pl-PL" w:bidi="pl-PL"/>
        </w:rPr>
      </w:pPr>
      <w:r w:rsidRPr="007C3A26">
        <w:rPr>
          <w:rFonts w:ascii="Lato" w:eastAsia="Times New Roman" w:hAnsi="Lato" w:cs="Arial"/>
          <w:bCs/>
          <w:iCs/>
          <w:spacing w:val="4"/>
          <w:lang w:eastAsia="pl-PL" w:bidi="pl-PL"/>
        </w:rPr>
        <w:t xml:space="preserve">Wyjaśnienia wymaga, że reguła wynikająca z art. 7 kpa nakazująca załatwienie sprawy </w:t>
      </w:r>
      <w:r w:rsidRPr="007C3A26">
        <w:rPr>
          <w:rFonts w:ascii="Lato" w:eastAsia="Times New Roman" w:hAnsi="Lato" w:cs="Arial"/>
          <w:bCs/>
          <w:iCs/>
          <w:spacing w:val="4"/>
          <w:lang w:eastAsia="pl-PL" w:bidi="pl-PL"/>
        </w:rPr>
        <w:br/>
        <w:t xml:space="preserve">w sposób uwzględniający interes społeczny i słuszny interes obywateli nie mogła doprowadzić do wyłączenia stosowania przepisów specustawy gazowej. Nakaz ten jest możliwy do zrealizowania wyłącznie w sytuacji, gdy organowi administracji przysługuje tzw. uznanie administracyjne. Nie można go jednak stosować w przypadku wydania przez organ tzw. decyzji związanej, tj. decyzji wydawanej w sytuacji, gdy norma prawa przewiduje w określonym stanie faktycznym obowiązek wydania przez organ decyzji </w:t>
      </w:r>
      <w:r w:rsidRPr="007C3A26">
        <w:rPr>
          <w:rFonts w:ascii="Lato" w:eastAsia="Times New Roman" w:hAnsi="Lato" w:cs="Arial"/>
          <w:bCs/>
          <w:iCs/>
          <w:spacing w:val="4"/>
          <w:lang w:eastAsia="pl-PL" w:bidi="pl-PL"/>
        </w:rPr>
        <w:br/>
        <w:t xml:space="preserve">o określonej treści. Zatem dopuszczalność zastosowania przepisów prawa materialnego, tj. specustawy gazowej nie może być zmodyfikowana z uwagi na słuszny interes skarżącego (por. wyrok Naczelnego Sądu Administracyjnego z dnia 14 września 2021 r., sygn. akt II OSK 1332/21, </w:t>
      </w:r>
      <w:proofErr w:type="spellStart"/>
      <w:r w:rsidRPr="007C3A26">
        <w:rPr>
          <w:rFonts w:ascii="Lato" w:eastAsia="Times New Roman" w:hAnsi="Lato" w:cs="Arial"/>
          <w:bCs/>
          <w:iCs/>
          <w:spacing w:val="4"/>
          <w:lang w:eastAsia="pl-PL" w:bidi="pl-PL"/>
        </w:rPr>
        <w:t>opubl</w:t>
      </w:r>
      <w:proofErr w:type="spellEnd"/>
      <w:r w:rsidRPr="007C3A26">
        <w:rPr>
          <w:rFonts w:ascii="Lato" w:eastAsia="Times New Roman" w:hAnsi="Lato" w:cs="Arial"/>
          <w:bCs/>
          <w:iCs/>
          <w:spacing w:val="4"/>
          <w:lang w:eastAsia="pl-PL" w:bidi="pl-PL"/>
        </w:rPr>
        <w:t xml:space="preserve">. Centralna Baza Orzeczeń Sądów Administracyjnych, wydany w sprawie rozpatrywanej na podstawie specustawy drogowej, lecz w istotnym zakresie w pełni analogicznej do rozwiązań przyjętych specustawie gazowej). </w:t>
      </w:r>
    </w:p>
    <w:p w14:paraId="6362BACD" w14:textId="5AB33439" w:rsidR="00C80B98" w:rsidRPr="007C3A26" w:rsidRDefault="00C80B98" w:rsidP="001F1C04">
      <w:pPr>
        <w:spacing w:after="240" w:line="240" w:lineRule="exact"/>
        <w:jc w:val="both"/>
        <w:rPr>
          <w:rFonts w:ascii="Lato" w:eastAsia="Times New Roman" w:hAnsi="Lato" w:cs="Arial"/>
          <w:bCs/>
          <w:iCs/>
          <w:spacing w:val="4"/>
          <w:lang w:eastAsia="pl-PL" w:bidi="pl-PL"/>
        </w:rPr>
      </w:pPr>
      <w:r w:rsidRPr="007C3A26">
        <w:rPr>
          <w:rFonts w:ascii="Lato" w:eastAsia="Times New Roman" w:hAnsi="Lato" w:cs="Arial"/>
          <w:bCs/>
          <w:iCs/>
          <w:spacing w:val="4"/>
          <w:lang w:eastAsia="pl-PL" w:bidi="pl-PL"/>
        </w:rPr>
        <w:t xml:space="preserve">W sprawie o ustalenie lokalizacji </w:t>
      </w:r>
      <w:r w:rsidR="001C1AB0" w:rsidRPr="007C3A26">
        <w:rPr>
          <w:rFonts w:ascii="Lato" w:eastAsia="Times New Roman" w:hAnsi="Lato" w:cs="Arial"/>
          <w:bCs/>
          <w:iCs/>
          <w:spacing w:val="4"/>
          <w:lang w:eastAsia="pl-PL" w:bidi="pl-PL"/>
        </w:rPr>
        <w:t xml:space="preserve">towarzyszącej inwestycjom w zakresie terminalu </w:t>
      </w:r>
      <w:r w:rsidRPr="007C3A26">
        <w:rPr>
          <w:rFonts w:ascii="Lato" w:eastAsia="Times New Roman" w:hAnsi="Lato" w:cs="Arial"/>
          <w:bCs/>
          <w:iCs/>
          <w:spacing w:val="4"/>
          <w:lang w:eastAsia="pl-PL" w:bidi="pl-PL"/>
        </w:rPr>
        <w:t xml:space="preserve">(uregulowanej w drodze przepisów szczególnych) stan faktyczny sprawy </w:t>
      </w:r>
      <w:r w:rsidR="008F6B17" w:rsidRPr="007C3A26">
        <w:rPr>
          <w:rFonts w:ascii="Lato" w:eastAsia="Times New Roman" w:hAnsi="Lato" w:cs="Arial"/>
          <w:bCs/>
          <w:iCs/>
          <w:spacing w:val="4"/>
          <w:lang w:eastAsia="pl-PL" w:bidi="pl-PL"/>
        </w:rPr>
        <w:t>–</w:t>
      </w:r>
      <w:r w:rsidRPr="007C3A26">
        <w:rPr>
          <w:rFonts w:ascii="Lato" w:eastAsia="Times New Roman" w:hAnsi="Lato" w:cs="Arial"/>
          <w:bCs/>
          <w:iCs/>
          <w:spacing w:val="4"/>
          <w:lang w:eastAsia="pl-PL" w:bidi="pl-PL"/>
        </w:rPr>
        <w:t xml:space="preserve"> a</w:t>
      </w:r>
      <w:r w:rsidR="008F6B17" w:rsidRPr="007C3A26">
        <w:rPr>
          <w:rFonts w:ascii="Lato" w:eastAsia="Times New Roman" w:hAnsi="Lato" w:cs="Arial"/>
          <w:bCs/>
          <w:iCs/>
          <w:spacing w:val="4"/>
          <w:lang w:eastAsia="pl-PL" w:bidi="pl-PL"/>
        </w:rPr>
        <w:t xml:space="preserve"> </w:t>
      </w:r>
      <w:r w:rsidRPr="007C3A26">
        <w:rPr>
          <w:rFonts w:ascii="Lato" w:eastAsia="Times New Roman" w:hAnsi="Lato" w:cs="Arial"/>
          <w:bCs/>
          <w:iCs/>
          <w:spacing w:val="4"/>
          <w:lang w:eastAsia="pl-PL" w:bidi="pl-PL"/>
        </w:rPr>
        <w:t xml:space="preserve">więc </w:t>
      </w:r>
      <w:r w:rsidR="00535648" w:rsidRPr="007C3A26">
        <w:rPr>
          <w:rFonts w:ascii="Lato" w:eastAsia="Times New Roman" w:hAnsi="Lato" w:cs="Arial"/>
          <w:bCs/>
          <w:iCs/>
          <w:spacing w:val="4"/>
          <w:lang w:eastAsia="pl-PL" w:bidi="pl-PL"/>
        </w:rPr>
        <w:br/>
      </w:r>
      <w:r w:rsidRPr="007C3A26">
        <w:rPr>
          <w:rFonts w:ascii="Lato" w:eastAsia="Times New Roman" w:hAnsi="Lato" w:cs="Arial"/>
          <w:bCs/>
          <w:iCs/>
          <w:spacing w:val="4"/>
          <w:lang w:eastAsia="pl-PL" w:bidi="pl-PL"/>
        </w:rPr>
        <w:t xml:space="preserve">w zakresie hipotezy art. 7 kpa, art. 77 </w:t>
      </w:r>
      <w:r w:rsidR="001C1AB0" w:rsidRPr="007C3A26">
        <w:rPr>
          <w:rFonts w:ascii="Lato" w:eastAsia="Times New Roman" w:hAnsi="Lato" w:cs="Arial"/>
          <w:bCs/>
          <w:iCs/>
          <w:spacing w:val="4"/>
          <w:lang w:eastAsia="pl-PL" w:bidi="pl-PL"/>
        </w:rPr>
        <w:t xml:space="preserve">§ 1 </w:t>
      </w:r>
      <w:r w:rsidRPr="007C3A26">
        <w:rPr>
          <w:rFonts w:ascii="Lato" w:eastAsia="Times New Roman" w:hAnsi="Lato" w:cs="Arial"/>
          <w:bCs/>
          <w:iCs/>
          <w:spacing w:val="4"/>
          <w:lang w:eastAsia="pl-PL" w:bidi="pl-PL"/>
        </w:rPr>
        <w:t xml:space="preserve">kpa i art. 80 kpa - wytycza wniosek inwestora i określona przez niego inwestycja. </w:t>
      </w:r>
      <w:r w:rsidR="00C51B17" w:rsidRPr="007C3A26">
        <w:rPr>
          <w:rFonts w:ascii="Lato" w:eastAsia="Times New Roman" w:hAnsi="Lato" w:cs="Arial"/>
          <w:bCs/>
          <w:iCs/>
          <w:spacing w:val="4"/>
          <w:lang w:eastAsia="pl-PL" w:bidi="pl-PL"/>
        </w:rPr>
        <w:t xml:space="preserve">Obowiązek organu wynikający z art. 7 i art. 77 § 1 kpa ogranicza się do zebrania i rozpatrzenia materiału dowodowego, który jest istotny dla rozstrzygnięcia sprawy. W realiach niniejszej sprawy materiał ten został zebrany </w:t>
      </w:r>
      <w:r w:rsidR="00C51B17" w:rsidRPr="007C3A26">
        <w:rPr>
          <w:rFonts w:ascii="Lato" w:eastAsia="Times New Roman" w:hAnsi="Lato" w:cs="Arial"/>
          <w:bCs/>
          <w:iCs/>
          <w:spacing w:val="4"/>
          <w:lang w:eastAsia="pl-PL" w:bidi="pl-PL"/>
        </w:rPr>
        <w:br/>
        <w:t xml:space="preserve">w sposób wyczerpujący. </w:t>
      </w:r>
      <w:r w:rsidRPr="007C3A26">
        <w:rPr>
          <w:rFonts w:ascii="Lato" w:eastAsia="Times New Roman" w:hAnsi="Lato" w:cs="Arial"/>
          <w:bCs/>
          <w:iCs/>
          <w:spacing w:val="4"/>
          <w:lang w:eastAsia="pl-PL" w:bidi="pl-PL"/>
        </w:rPr>
        <w:t xml:space="preserve">Organ I instancji przeprowadził postępowanie w sprawie wydania decyzji Wojewody </w:t>
      </w:r>
      <w:r w:rsidR="001C1AB0" w:rsidRPr="007C3A26">
        <w:rPr>
          <w:rFonts w:ascii="Lato" w:eastAsia="Times New Roman" w:hAnsi="Lato" w:cs="Arial"/>
          <w:bCs/>
          <w:iCs/>
          <w:spacing w:val="4"/>
          <w:lang w:eastAsia="pl-PL" w:bidi="pl-PL"/>
        </w:rPr>
        <w:t xml:space="preserve">Opolskiego </w:t>
      </w:r>
      <w:r w:rsidRPr="007C3A26">
        <w:rPr>
          <w:rFonts w:ascii="Lato" w:eastAsia="Times New Roman" w:hAnsi="Lato" w:cs="Arial"/>
          <w:bCs/>
          <w:iCs/>
          <w:spacing w:val="4"/>
          <w:lang w:eastAsia="pl-PL" w:bidi="pl-PL"/>
        </w:rPr>
        <w:t xml:space="preserve">– w zakresie interesu prawnego skarżącego </w:t>
      </w:r>
      <w:r w:rsidR="00C51B17" w:rsidRPr="007C3A26">
        <w:rPr>
          <w:rFonts w:ascii="Lato" w:eastAsia="Times New Roman" w:hAnsi="Lato" w:cs="Arial"/>
          <w:bCs/>
          <w:iCs/>
          <w:spacing w:val="4"/>
          <w:lang w:eastAsia="pl-PL" w:bidi="pl-PL"/>
        </w:rPr>
        <w:br/>
      </w:r>
      <w:r w:rsidRPr="007C3A26">
        <w:rPr>
          <w:rFonts w:ascii="Lato" w:eastAsia="Times New Roman" w:hAnsi="Lato" w:cs="Arial"/>
          <w:bCs/>
          <w:iCs/>
          <w:spacing w:val="4"/>
          <w:lang w:eastAsia="pl-PL" w:bidi="pl-PL"/>
        </w:rPr>
        <w:t>– w sposób zgodny z art. 7 kpa, art. 77 kpa i art. 80 kpa, prawidłowo ustalając lokalizacj</w:t>
      </w:r>
      <w:r w:rsidR="00535648" w:rsidRPr="007C3A26">
        <w:rPr>
          <w:rFonts w:ascii="Lato" w:eastAsia="Times New Roman" w:hAnsi="Lato" w:cs="Arial"/>
          <w:bCs/>
          <w:iCs/>
          <w:spacing w:val="4"/>
          <w:lang w:eastAsia="pl-PL" w:bidi="pl-PL"/>
        </w:rPr>
        <w:t>ę</w:t>
      </w:r>
      <w:r w:rsidRPr="007C3A26">
        <w:rPr>
          <w:rFonts w:ascii="Lato" w:eastAsia="Times New Roman" w:hAnsi="Lato" w:cs="Arial"/>
          <w:bCs/>
          <w:iCs/>
          <w:spacing w:val="4"/>
          <w:lang w:eastAsia="pl-PL" w:bidi="pl-PL"/>
        </w:rPr>
        <w:t xml:space="preserve"> przedmiotowej inwestycji na jego działkach. Sam fakt, że decyzja jest dla skarżącego niekorzystna lub niezgodna z </w:t>
      </w:r>
      <w:r w:rsidR="007C3A26" w:rsidRPr="007C3A26">
        <w:rPr>
          <w:rFonts w:ascii="Lato" w:eastAsia="Times New Roman" w:hAnsi="Lato" w:cs="Arial"/>
          <w:bCs/>
          <w:iCs/>
          <w:spacing w:val="4"/>
          <w:lang w:eastAsia="pl-PL" w:bidi="pl-PL"/>
        </w:rPr>
        <w:t xml:space="preserve">jego </w:t>
      </w:r>
      <w:r w:rsidRPr="007C3A26">
        <w:rPr>
          <w:rFonts w:ascii="Lato" w:eastAsia="Times New Roman" w:hAnsi="Lato" w:cs="Arial"/>
          <w:bCs/>
          <w:iCs/>
          <w:spacing w:val="4"/>
          <w:lang w:eastAsia="pl-PL" w:bidi="pl-PL"/>
        </w:rPr>
        <w:t>oczekiwaniami, nie oznacza, że organ naruszył prawo. Subiektywne niezadowolenie strony nie stanowi podstawy do uchylenia decyzji, nie sposób bowiem przyjąć, że wymóg prowadzenia postępowania zgodnie z przepisami prawa będzie zachowany tylko wówczas, gdy organy administracji będą wydawać rozstrzygnięcia, których oczekuje strona postępowania.</w:t>
      </w:r>
    </w:p>
    <w:p w14:paraId="5476173B" w14:textId="1A52BD8C" w:rsidR="0023392F" w:rsidRPr="007C3A26" w:rsidRDefault="0023392F" w:rsidP="00B40594">
      <w:pPr>
        <w:spacing w:after="240" w:line="240" w:lineRule="exact"/>
        <w:jc w:val="both"/>
        <w:outlineLvl w:val="0"/>
        <w:rPr>
          <w:rFonts w:ascii="Lato" w:eastAsia="Times New Roman" w:hAnsi="Lato" w:cs="Arial"/>
          <w:bCs/>
          <w:spacing w:val="4"/>
          <w:lang w:eastAsia="zh-CN" w:bidi="pl-PL"/>
        </w:rPr>
      </w:pPr>
      <w:r w:rsidRPr="007C3A26">
        <w:rPr>
          <w:rFonts w:ascii="Lato" w:eastAsia="Times New Roman" w:hAnsi="Lato" w:cs="Arial"/>
          <w:bCs/>
          <w:spacing w:val="4"/>
          <w:lang w:eastAsia="zh-CN" w:bidi="pl-PL"/>
        </w:rPr>
        <w:t xml:space="preserve">Na uwzględnienie nie zasługuje żądanie </w:t>
      </w:r>
      <w:r w:rsidR="00B36D3E" w:rsidRPr="007C3A26">
        <w:rPr>
          <w:rFonts w:ascii="Lato" w:eastAsia="Times New Roman" w:hAnsi="Lato" w:cs="Arial"/>
          <w:bCs/>
          <w:spacing w:val="4"/>
          <w:lang w:eastAsia="zh-CN" w:bidi="pl-PL"/>
        </w:rPr>
        <w:t xml:space="preserve">skarżącego wstrzymania </w:t>
      </w:r>
      <w:r w:rsidRPr="007C3A26">
        <w:rPr>
          <w:rFonts w:ascii="Lato" w:eastAsia="Times New Roman" w:hAnsi="Lato" w:cs="Arial"/>
          <w:bCs/>
          <w:spacing w:val="4"/>
          <w:lang w:eastAsia="zh-CN" w:bidi="pl-PL"/>
        </w:rPr>
        <w:t xml:space="preserve">wykonalności decyzji Wojewody Opolskiego. Zgodnie z art. 34 ust. 1 specustawy gazowej, decyzja o ustaleniu lokalizacji inwestycji towarzyszącej inwestycjom w zakresie terminalu podlega natychmiastowemu wykonaniu. Natychmiastowa wykonalność decyzji obowiązuje </w:t>
      </w:r>
      <w:r w:rsidR="00CC5EA6" w:rsidRPr="007C3A26">
        <w:rPr>
          <w:rFonts w:ascii="Lato" w:eastAsia="Times New Roman" w:hAnsi="Lato" w:cs="Arial"/>
          <w:bCs/>
          <w:spacing w:val="4"/>
          <w:lang w:eastAsia="zh-CN" w:bidi="pl-PL"/>
        </w:rPr>
        <w:br/>
      </w:r>
      <w:r w:rsidRPr="007C3A26">
        <w:rPr>
          <w:rFonts w:ascii="Lato" w:eastAsia="Times New Roman" w:hAnsi="Lato" w:cs="Arial"/>
          <w:bCs/>
          <w:spacing w:val="4"/>
          <w:lang w:eastAsia="zh-CN" w:bidi="pl-PL"/>
        </w:rPr>
        <w:t xml:space="preserve">z mocy prawa, nie jest więc przedmiotem orzekania w decyzji, lecz stanowi jej skutek prawny z woli samego ustawodawcy. Zauważyć należy, że w myśl art. 34 ust. 4b specustawy gazowej, do odwołania od decyzji o ustaleniu lokalizacji inwestycji towarzyszącej inwestycjom w zakresie terminalu, przepisu art. 135 kpa (dotyczącego wstrzymania wykonania decyzji) nie stosuje się. Zatem organ odwoławczy został pozbawiony możliwości zarówno uchylenia, jak i wstrzymania rygoru natychmiastowej </w:t>
      </w:r>
      <w:r w:rsidRPr="007C3A26">
        <w:rPr>
          <w:rFonts w:ascii="Lato" w:eastAsia="Times New Roman" w:hAnsi="Lato" w:cs="Arial"/>
          <w:bCs/>
          <w:spacing w:val="4"/>
          <w:lang w:eastAsia="zh-CN" w:bidi="pl-PL"/>
        </w:rPr>
        <w:lastRenderedPageBreak/>
        <w:t xml:space="preserve">wykonalności decyzji organu I instancji w przedmiocie ustalenia lokalizacji inwestycji, </w:t>
      </w:r>
      <w:r w:rsidR="00CC5EA6" w:rsidRPr="007C3A26">
        <w:rPr>
          <w:rFonts w:ascii="Lato" w:eastAsia="Times New Roman" w:hAnsi="Lato" w:cs="Arial"/>
          <w:bCs/>
          <w:spacing w:val="4"/>
          <w:lang w:eastAsia="zh-CN" w:bidi="pl-PL"/>
        </w:rPr>
        <w:br/>
      </w:r>
      <w:r w:rsidRPr="007C3A26">
        <w:rPr>
          <w:rFonts w:ascii="Lato" w:eastAsia="Times New Roman" w:hAnsi="Lato" w:cs="Arial"/>
          <w:bCs/>
          <w:spacing w:val="4"/>
          <w:lang w:eastAsia="zh-CN" w:bidi="pl-PL"/>
        </w:rPr>
        <w:t xml:space="preserve">a taki charakter lokalizacyjny ma decyzja Wojewody Opolskiego. </w:t>
      </w:r>
    </w:p>
    <w:p w14:paraId="6657282A" w14:textId="7C55A0C5" w:rsidR="00B36D3E" w:rsidRPr="007C3A26" w:rsidRDefault="00B36D3E" w:rsidP="00B40594">
      <w:pPr>
        <w:spacing w:after="240" w:line="240" w:lineRule="exact"/>
        <w:jc w:val="both"/>
        <w:rPr>
          <w:rFonts w:ascii="Lato" w:hAnsi="Lato" w:cs="Arial"/>
          <w:bCs/>
          <w:spacing w:val="4"/>
          <w:lang w:bidi="pl-PL"/>
        </w:rPr>
      </w:pPr>
      <w:r w:rsidRPr="007C3A26">
        <w:rPr>
          <w:rFonts w:ascii="Lato" w:eastAsia="Times New Roman" w:hAnsi="Lato" w:cs="Arial"/>
          <w:bCs/>
          <w:iCs/>
          <w:spacing w:val="4"/>
          <w:lang w:eastAsia="pl-PL" w:bidi="pl-PL"/>
        </w:rPr>
        <w:t>Nie mógł zostać także uwzględniony wniosek skarżącego o zwrot na jego rzecz kosztów postępowania według norm przepisanych, bowiem ani przepisy kpa ani specustawy gazowej, stanowiące podstawę do wydania zaskarżonej decyzji, nie przewidują możliwości orzeczenia o zwrocie skarżąc</w:t>
      </w:r>
      <w:r w:rsidR="00C51B17" w:rsidRPr="007C3A26">
        <w:rPr>
          <w:rFonts w:ascii="Lato" w:eastAsia="Times New Roman" w:hAnsi="Lato" w:cs="Arial"/>
          <w:bCs/>
          <w:iCs/>
          <w:spacing w:val="4"/>
          <w:lang w:eastAsia="pl-PL" w:bidi="pl-PL"/>
        </w:rPr>
        <w:t>emu</w:t>
      </w:r>
      <w:r w:rsidRPr="007C3A26">
        <w:rPr>
          <w:rFonts w:ascii="Lato" w:eastAsia="Times New Roman" w:hAnsi="Lato" w:cs="Arial"/>
          <w:bCs/>
          <w:iCs/>
          <w:spacing w:val="4"/>
          <w:lang w:eastAsia="pl-PL" w:bidi="pl-PL"/>
        </w:rPr>
        <w:t xml:space="preserve"> kosztów postępowania odwoławczego. </w:t>
      </w:r>
      <w:r w:rsidRPr="007C3A26">
        <w:rPr>
          <w:rFonts w:ascii="Lato" w:hAnsi="Lato" w:cs="Arial"/>
          <w:bCs/>
          <w:spacing w:val="4"/>
          <w:lang w:bidi="pl-PL"/>
        </w:rPr>
        <w:t xml:space="preserve">Niezależnie od powyższego należy wyjaśnić, iż każde z podań, w tym obejmujące środki zaskarżenia, podlega regulacji dotyczącej opłat i kosztów postępowania zawartej </w:t>
      </w:r>
      <w:r w:rsidRPr="007C3A26">
        <w:rPr>
          <w:rFonts w:ascii="Lato" w:hAnsi="Lato" w:cs="Arial"/>
          <w:bCs/>
          <w:spacing w:val="4"/>
          <w:lang w:bidi="pl-PL"/>
        </w:rPr>
        <w:br/>
        <w:t xml:space="preserve">w art. 261–267 kpa. Trzeba jednak zaznaczyć, że na gruncie brzmienia załącznika </w:t>
      </w:r>
      <w:r w:rsidRPr="007C3A26">
        <w:rPr>
          <w:rFonts w:ascii="Lato" w:hAnsi="Lato" w:cs="Arial"/>
          <w:bCs/>
          <w:spacing w:val="4"/>
          <w:lang w:bidi="pl-PL"/>
        </w:rPr>
        <w:br/>
        <w:t xml:space="preserve">do ustawy z dnia 16 listopada 2006 r. o opłacie skarbowej (t.j. Dz.U. z 2025 r. poz. 1154, </w:t>
      </w:r>
      <w:r w:rsidRPr="007C3A26">
        <w:rPr>
          <w:rFonts w:ascii="Lato" w:hAnsi="Lato" w:cs="Arial"/>
          <w:bCs/>
          <w:spacing w:val="4"/>
          <w:lang w:bidi="pl-PL"/>
        </w:rPr>
        <w:br/>
        <w:t xml:space="preserve">z późn.zm.), w tym w szczególności pkt 53 jego części I, wszystkie środki zaskarżenia przysługujące na drodze administracyjnej nie podlegają opłacie skarbowej. To samo dotyczy również innych kategorii opłat o charakterze administracyjnym. Można więc stwierdzić, że, co do zasady, środki zaskarżenia przysługujące na drodze administracyjnej są wolne od jakichkolwiek opłat związanych stricte z wniesieniem tych środków (tj. takich opłat, których uiszczenie stanowi warunek dopuszczalności danego środka). Natomiast uprawnienie do żądania zwrotu kosztów postępowania przysługuje tym osobom, które zostały wezwane przez organ na podstawie przepisów uregulowanych w Rozdziale </w:t>
      </w:r>
      <w:r w:rsidRPr="007C3A26">
        <w:rPr>
          <w:rFonts w:ascii="Lato" w:hAnsi="Lato" w:cs="Arial"/>
          <w:bCs/>
          <w:spacing w:val="4"/>
          <w:lang w:bidi="pl-PL"/>
        </w:rPr>
        <w:br/>
        <w:t xml:space="preserve">9 Działu I kpa (zob. M. Jaśkowska, Komentarz aktualizowany do art. 263 Kodeksu postępowania administracyjnego, Lex/el.). </w:t>
      </w:r>
    </w:p>
    <w:p w14:paraId="38ACB7F6" w14:textId="77777777" w:rsidR="00B36D3E" w:rsidRPr="007C3A26" w:rsidRDefault="00B36D3E" w:rsidP="00B40594">
      <w:pPr>
        <w:spacing w:after="240" w:line="240" w:lineRule="exact"/>
        <w:jc w:val="both"/>
        <w:rPr>
          <w:rFonts w:ascii="Lato" w:hAnsi="Lato" w:cs="Arial"/>
          <w:bCs/>
          <w:spacing w:val="4"/>
          <w:lang w:bidi="pl-PL"/>
        </w:rPr>
      </w:pPr>
      <w:r w:rsidRPr="007C3A26">
        <w:rPr>
          <w:rFonts w:ascii="Lato" w:hAnsi="Lato" w:cs="Arial"/>
          <w:bCs/>
          <w:spacing w:val="4"/>
          <w:lang w:bidi="pl-PL"/>
        </w:rPr>
        <w:t xml:space="preserve">W wyroku Naczelnego Sądu Administracyjnego z dnia 17 maja 2017 r., sygn. akt II OSK 2877/15, wskazano, iż art. 262 § 1 pkt 1 i </w:t>
      </w:r>
      <w:hyperlink r:id="rId8" w:anchor="/document/16784712?unitId=art(262)par(1)pkt(2)&amp;cm=DOCUMENT" w:history="1">
        <w:r w:rsidRPr="007C3A26">
          <w:rPr>
            <w:rFonts w:ascii="Lato" w:hAnsi="Lato" w:cs="Arial"/>
            <w:bCs/>
            <w:spacing w:val="4"/>
            <w:lang w:bidi="pl-PL"/>
          </w:rPr>
          <w:t>2</w:t>
        </w:r>
      </w:hyperlink>
      <w:r w:rsidRPr="007C3A26">
        <w:rPr>
          <w:rFonts w:ascii="Lato" w:hAnsi="Lato" w:cs="Arial"/>
          <w:bCs/>
          <w:spacing w:val="4"/>
          <w:lang w:bidi="pl-PL"/>
        </w:rPr>
        <w:t xml:space="preserve"> kpa wprawdzie normuje rozdział kosztów pomiędzy organem i stronami postępowania, lecz nie stanowi podstawy prawnej </w:t>
      </w:r>
      <w:r w:rsidRPr="007C3A26">
        <w:rPr>
          <w:rFonts w:ascii="Lato" w:hAnsi="Lato" w:cs="Arial"/>
          <w:bCs/>
          <w:spacing w:val="4"/>
          <w:lang w:bidi="pl-PL"/>
        </w:rPr>
        <w:br/>
        <w:t xml:space="preserve">do przyznawania przez organ administracji na rzecz strony zwrotu poniesionych przez stronę kosztów postępowania i to niezależnie od tego, czy koszty przeprowadzonego przez stronę dowodu okazały się istotne dla rozstrzygnięcia danej sprawy. Także przepis </w:t>
      </w:r>
      <w:hyperlink r:id="rId9" w:anchor="/document/16784712?unitId=art(263)par(2)&amp;cm=DOCUMENT" w:history="1">
        <w:r w:rsidRPr="007C3A26">
          <w:rPr>
            <w:rFonts w:ascii="Lato" w:hAnsi="Lato" w:cs="Arial"/>
            <w:bCs/>
            <w:spacing w:val="4"/>
            <w:lang w:bidi="pl-PL"/>
          </w:rPr>
          <w:t>art. 263 § 2</w:t>
        </w:r>
      </w:hyperlink>
      <w:r w:rsidRPr="007C3A26">
        <w:rPr>
          <w:rFonts w:ascii="Lato" w:hAnsi="Lato" w:cs="Arial"/>
          <w:bCs/>
          <w:spacing w:val="4"/>
          <w:lang w:bidi="pl-PL"/>
        </w:rPr>
        <w:t xml:space="preserve"> kpa reguluje wyłącznie sprawę obliczania kosztów przez organ administracji prowadzący postępowanie; nie stwarza stronie uprawnienia do ubiegania się o zwrot jakichkolwiek poniesionych przez nią kosztów. Przepisy </w:t>
      </w:r>
      <w:hyperlink r:id="rId10" w:anchor="/document/16784712?unitId=art(262)&amp;cm=DOCUMENT" w:history="1">
        <w:r w:rsidRPr="007C3A26">
          <w:rPr>
            <w:rFonts w:ascii="Lato" w:hAnsi="Lato" w:cs="Arial"/>
            <w:bCs/>
            <w:spacing w:val="4"/>
            <w:lang w:bidi="pl-PL"/>
          </w:rPr>
          <w:t>art. 262</w:t>
        </w:r>
      </w:hyperlink>
      <w:r w:rsidRPr="007C3A26">
        <w:rPr>
          <w:rFonts w:ascii="Lato" w:hAnsi="Lato" w:cs="Arial"/>
          <w:bCs/>
          <w:spacing w:val="4"/>
          <w:lang w:bidi="pl-PL"/>
        </w:rPr>
        <w:t xml:space="preserve">, </w:t>
      </w:r>
      <w:hyperlink r:id="rId11" w:anchor="/document/16784712?unitId=art(263)&amp;cm=DOCUMENT" w:history="1">
        <w:r w:rsidRPr="007C3A26">
          <w:rPr>
            <w:rFonts w:ascii="Lato" w:hAnsi="Lato" w:cs="Arial"/>
            <w:bCs/>
            <w:spacing w:val="4"/>
            <w:lang w:bidi="pl-PL"/>
          </w:rPr>
          <w:t>art. 263</w:t>
        </w:r>
      </w:hyperlink>
      <w:r w:rsidRPr="007C3A26">
        <w:rPr>
          <w:rFonts w:ascii="Lato" w:hAnsi="Lato" w:cs="Arial"/>
          <w:bCs/>
          <w:spacing w:val="4"/>
          <w:lang w:bidi="pl-PL"/>
        </w:rPr>
        <w:t xml:space="preserve"> i </w:t>
      </w:r>
      <w:hyperlink r:id="rId12" w:anchor="/document/16784712?unitId=art(264)&amp;cm=DOCUMENT" w:history="1">
        <w:r w:rsidRPr="007C3A26">
          <w:rPr>
            <w:rFonts w:ascii="Lato" w:hAnsi="Lato" w:cs="Arial"/>
            <w:bCs/>
            <w:spacing w:val="4"/>
            <w:lang w:bidi="pl-PL"/>
          </w:rPr>
          <w:t>art. 264</w:t>
        </w:r>
      </w:hyperlink>
      <w:r w:rsidRPr="007C3A26">
        <w:rPr>
          <w:rFonts w:ascii="Lato" w:hAnsi="Lato" w:cs="Arial"/>
          <w:bCs/>
          <w:spacing w:val="4"/>
          <w:lang w:bidi="pl-PL"/>
        </w:rPr>
        <w:t xml:space="preserve"> kpa nie stanowią ani podstawy prawnej do zgłoszenia przez stronę żądania zwrotu przez organ administracji publicznej kosztów poniesionych przez stronę postępowania, ani też podstawy prawnej do orzekania przez organ administracji publicznej o zwrocie kosztów na rzecz strony postępowania administracyjnego. Przepisy te dotyczą sytuacji, kiedy organ administracji obciąża stronę kosztami postępowania. Nie mają zaś zastosowania do sytuacji, kiedy strona ponosi koszty na skutek podjęcia czynności, które mają </w:t>
      </w:r>
      <w:r w:rsidRPr="007C3A26">
        <w:rPr>
          <w:rFonts w:ascii="Lato" w:hAnsi="Lato" w:cs="Arial"/>
          <w:bCs/>
          <w:spacing w:val="4"/>
          <w:lang w:bidi="pl-PL"/>
        </w:rPr>
        <w:br/>
        <w:t xml:space="preserve">jej zapewnić skuteczną obronę jej interesów prawnych. </w:t>
      </w:r>
    </w:p>
    <w:p w14:paraId="28E3EAFC" w14:textId="733E6B90" w:rsidR="007C436B" w:rsidRPr="007C3A26" w:rsidRDefault="00B36D3E" w:rsidP="00C260A9">
      <w:pPr>
        <w:spacing w:after="240" w:line="240" w:lineRule="exact"/>
        <w:jc w:val="both"/>
        <w:rPr>
          <w:rFonts w:ascii="Lato" w:hAnsi="Lato" w:cs="Arial"/>
          <w:bCs/>
          <w:spacing w:val="4"/>
          <w:lang w:bidi="pl-PL"/>
        </w:rPr>
      </w:pPr>
      <w:r w:rsidRPr="007C3A26">
        <w:rPr>
          <w:rFonts w:ascii="Lato" w:hAnsi="Lato" w:cs="Arial"/>
          <w:bCs/>
          <w:spacing w:val="4"/>
          <w:lang w:bidi="pl-PL"/>
        </w:rPr>
        <w:t>Z uwagi na powyższe, żądanie skarżącego w ww. zakresie uznać należy za bezzasadne, gdyż nie znajduje podstawy w obowiązującym stanie prawnym.</w:t>
      </w:r>
      <w:r w:rsidR="00B40594" w:rsidRPr="007C3A26">
        <w:rPr>
          <w:rFonts w:ascii="Lato" w:hAnsi="Lato" w:cs="Arial"/>
          <w:bCs/>
          <w:spacing w:val="4"/>
          <w:lang w:bidi="pl-PL"/>
        </w:rPr>
        <w:t xml:space="preserve"> </w:t>
      </w:r>
    </w:p>
    <w:p w14:paraId="1F3D0941" w14:textId="21D9E089" w:rsidR="00B94F5C" w:rsidRPr="007C3A26" w:rsidRDefault="00183526" w:rsidP="00B40594">
      <w:pPr>
        <w:spacing w:after="240" w:line="240" w:lineRule="exact"/>
        <w:jc w:val="both"/>
        <w:rPr>
          <w:rFonts w:ascii="Lato" w:hAnsi="Lato" w:cs="Arial"/>
          <w:bCs/>
          <w:spacing w:val="4"/>
          <w:lang w:bidi="pl-PL"/>
        </w:rPr>
      </w:pPr>
      <w:r w:rsidRPr="007C3A26">
        <w:rPr>
          <w:rFonts w:ascii="Lato" w:hAnsi="Lato" w:cs="Arial"/>
          <w:bCs/>
          <w:spacing w:val="4"/>
          <w:lang w:bidi="pl-PL"/>
        </w:rPr>
        <w:t xml:space="preserve">Podsumowując, organ odwoławczy uznał, że przebieg planowanej inwestycji został ustalony prawidłowo. Organ uznał racje przemawiające za ustaloną lokalizacją, które przedstawił inwestor w dokumentacji przedłożonej w trakcie postępowania w sprawie wydania decyzji w przedmiocie ustalenia lokalizacji ww. inwestycji towarzyszącej inwestycjom w zakresie terminalu. </w:t>
      </w:r>
    </w:p>
    <w:p w14:paraId="01A37C4B" w14:textId="77777777" w:rsidR="00183526" w:rsidRPr="007C3A26" w:rsidRDefault="00183526" w:rsidP="00B40594">
      <w:pPr>
        <w:spacing w:after="240" w:line="240" w:lineRule="exact"/>
        <w:jc w:val="both"/>
        <w:rPr>
          <w:rFonts w:ascii="Lato" w:hAnsi="Lato" w:cs="Arial"/>
          <w:spacing w:val="4"/>
        </w:rPr>
      </w:pPr>
      <w:r w:rsidRPr="007C3A26">
        <w:rPr>
          <w:rFonts w:ascii="Lato" w:hAnsi="Lato" w:cs="Arial"/>
          <w:spacing w:val="4"/>
        </w:rPr>
        <w:t xml:space="preserve">Niniejsza decyzja jest ostateczna. </w:t>
      </w:r>
    </w:p>
    <w:p w14:paraId="1CA1286A" w14:textId="3CB16CFF" w:rsidR="00B94F5C" w:rsidRPr="007C3A26" w:rsidRDefault="00B94F5C" w:rsidP="00B40594">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rPr>
      </w:pPr>
      <w:r w:rsidRPr="007C3A26">
        <w:rPr>
          <w:rFonts w:ascii="Lato" w:eastAsia="Calibri" w:hAnsi="Lato" w:cs="Times New Roman"/>
          <w:bCs/>
          <w:spacing w:val="4"/>
        </w:rPr>
        <w:t xml:space="preserve">Na decyzję, na podstawie art. 53 § 1 i art. 54 § 1 ustawy z dnia 30 sierpnia 2002 r. </w:t>
      </w:r>
      <w:r w:rsidRPr="007C3A26">
        <w:rPr>
          <w:rFonts w:ascii="Lato" w:eastAsia="Calibri" w:hAnsi="Lato" w:cs="Times New Roman"/>
          <w:bCs/>
          <w:spacing w:val="4"/>
        </w:rPr>
        <w:br/>
        <w:t>– Prawo o postępowaniu przed sądami administracyjnymi (</w:t>
      </w:r>
      <w:r w:rsidRPr="007C3A26">
        <w:rPr>
          <w:rFonts w:ascii="Lato" w:eastAsia="Calibri" w:hAnsi="Lato" w:cs="Times New Roman"/>
          <w:bCs/>
          <w:spacing w:val="4"/>
          <w:lang w:bidi="pl-PL"/>
        </w:rPr>
        <w:t>t.j. Dz.U. z 202</w:t>
      </w:r>
      <w:r w:rsidR="000F07A9" w:rsidRPr="007C3A26">
        <w:rPr>
          <w:rFonts w:ascii="Lato" w:eastAsia="Calibri" w:hAnsi="Lato" w:cs="Times New Roman"/>
          <w:bCs/>
          <w:spacing w:val="4"/>
          <w:lang w:bidi="pl-PL"/>
        </w:rPr>
        <w:t>6</w:t>
      </w:r>
      <w:r w:rsidRPr="007C3A26">
        <w:rPr>
          <w:rFonts w:ascii="Lato" w:eastAsia="Calibri" w:hAnsi="Lato" w:cs="Times New Roman"/>
          <w:bCs/>
          <w:spacing w:val="4"/>
          <w:lang w:bidi="pl-PL"/>
        </w:rPr>
        <w:t xml:space="preserve"> r. poz. </w:t>
      </w:r>
      <w:r w:rsidR="000F07A9" w:rsidRPr="007C3A26">
        <w:rPr>
          <w:rFonts w:ascii="Lato" w:eastAsia="Calibri" w:hAnsi="Lato" w:cs="Times New Roman"/>
          <w:bCs/>
          <w:spacing w:val="4"/>
          <w:lang w:bidi="pl-PL"/>
        </w:rPr>
        <w:t>143</w:t>
      </w:r>
      <w:r w:rsidR="00B36D3E" w:rsidRPr="007C3A26">
        <w:rPr>
          <w:rFonts w:ascii="Lato" w:eastAsia="Calibri" w:hAnsi="Lato" w:cs="Times New Roman"/>
          <w:bCs/>
          <w:spacing w:val="4"/>
          <w:lang w:bidi="pl-PL"/>
        </w:rPr>
        <w:t xml:space="preserve">, </w:t>
      </w:r>
      <w:r w:rsidR="00B40594" w:rsidRPr="007C3A26">
        <w:rPr>
          <w:rFonts w:ascii="Lato" w:eastAsia="Calibri" w:hAnsi="Lato" w:cs="Times New Roman"/>
          <w:bCs/>
          <w:spacing w:val="4"/>
          <w:lang w:bidi="pl-PL"/>
        </w:rPr>
        <w:br/>
      </w:r>
      <w:r w:rsidR="00B36D3E" w:rsidRPr="007C3A26">
        <w:rPr>
          <w:rFonts w:ascii="Lato" w:eastAsia="Calibri" w:hAnsi="Lato" w:cs="Times New Roman"/>
          <w:bCs/>
          <w:spacing w:val="4"/>
          <w:lang w:bidi="pl-PL"/>
        </w:rPr>
        <w:t>z późn.zm.</w:t>
      </w:r>
      <w:r w:rsidRPr="007C3A26">
        <w:rPr>
          <w:rFonts w:ascii="Lato" w:eastAsia="Calibri" w:hAnsi="Lato" w:cs="Times New Roman"/>
          <w:bCs/>
          <w:spacing w:val="4"/>
          <w:lang w:bidi="pl-PL"/>
        </w:rPr>
        <w:t xml:space="preserve">), </w:t>
      </w:r>
      <w:r w:rsidRPr="007C3A26">
        <w:rPr>
          <w:rFonts w:ascii="Lato" w:eastAsia="Calibri" w:hAnsi="Lato" w:cs="Times New Roman"/>
          <w:bCs/>
          <w:spacing w:val="4"/>
        </w:rPr>
        <w:t>zwanej dalej „</w:t>
      </w:r>
      <w:proofErr w:type="spellStart"/>
      <w:r w:rsidRPr="007C3A26">
        <w:rPr>
          <w:rFonts w:ascii="Lato" w:eastAsia="Calibri" w:hAnsi="Lato" w:cs="Times New Roman"/>
          <w:bCs/>
          <w:spacing w:val="4"/>
        </w:rPr>
        <w:t>ppsa</w:t>
      </w:r>
      <w:proofErr w:type="spellEnd"/>
      <w:r w:rsidRPr="007C3A26">
        <w:rPr>
          <w:rFonts w:ascii="Lato" w:eastAsia="Calibri" w:hAnsi="Lato" w:cs="Times New Roman"/>
          <w:bCs/>
          <w:spacing w:val="4"/>
        </w:rPr>
        <w:t xml:space="preserve">”, przysługuje skarga do Wojewódzkiego Sądu </w:t>
      </w:r>
      <w:r w:rsidRPr="007C3A26">
        <w:rPr>
          <w:rFonts w:ascii="Lato" w:eastAsia="Calibri" w:hAnsi="Lato" w:cs="Times New Roman"/>
          <w:bCs/>
          <w:spacing w:val="4"/>
        </w:rPr>
        <w:lastRenderedPageBreak/>
        <w:t xml:space="preserve">Administracyjnego w Warszawie, wnoszona za pośrednictwem Ministra Finansów </w:t>
      </w:r>
      <w:r w:rsidR="00B36D3E" w:rsidRPr="007C3A26">
        <w:rPr>
          <w:rFonts w:ascii="Lato" w:eastAsia="Calibri" w:hAnsi="Lato" w:cs="Times New Roman"/>
          <w:bCs/>
          <w:spacing w:val="4"/>
        </w:rPr>
        <w:br/>
      </w:r>
      <w:r w:rsidRPr="007C3A26">
        <w:rPr>
          <w:rFonts w:ascii="Lato" w:eastAsia="Calibri" w:hAnsi="Lato" w:cs="Times New Roman"/>
          <w:bCs/>
          <w:spacing w:val="4"/>
        </w:rPr>
        <w:t>i Gospodarki, w terminie 30 dni od dnia doręczenia decyzji.</w:t>
      </w:r>
    </w:p>
    <w:p w14:paraId="333BDAED" w14:textId="37584E90" w:rsidR="00B94F5C" w:rsidRPr="000F07A9" w:rsidRDefault="00B94F5C" w:rsidP="00C260A9">
      <w:pPr>
        <w:tabs>
          <w:tab w:val="left" w:pos="-1843"/>
          <w:tab w:val="left" w:pos="-993"/>
          <w:tab w:val="left" w:pos="4678"/>
          <w:tab w:val="left" w:pos="5387"/>
          <w:tab w:val="right" w:pos="5812"/>
        </w:tabs>
        <w:spacing w:after="120" w:line="240" w:lineRule="exact"/>
        <w:jc w:val="both"/>
        <w:outlineLvl w:val="0"/>
        <w:rPr>
          <w:rFonts w:ascii="Lato" w:eastAsia="Calibri" w:hAnsi="Lato" w:cs="Times New Roman"/>
          <w:bCs/>
          <w:spacing w:val="4"/>
        </w:rPr>
      </w:pPr>
      <w:r w:rsidRPr="000F07A9">
        <w:rPr>
          <w:rFonts w:ascii="Lato" w:eastAsia="Calibri" w:hAnsi="Lato" w:cs="Times New Roman"/>
          <w:bCs/>
          <w:spacing w:val="4"/>
        </w:rPr>
        <w:t xml:space="preserve">Jednocześnie informuję, że do skargi należy załączyć dowód uiszczenia wpisu </w:t>
      </w:r>
      <w:r w:rsidRPr="000F07A9">
        <w:rPr>
          <w:rFonts w:ascii="Lato" w:eastAsia="Calibri" w:hAnsi="Lato" w:cs="Times New Roman"/>
          <w:bCs/>
          <w:spacing w:val="4"/>
        </w:rPr>
        <w:br/>
        <w:t xml:space="preserve">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0F07A9">
        <w:rPr>
          <w:rFonts w:ascii="Lato" w:eastAsia="Calibri" w:hAnsi="Lato" w:cs="Times New Roman"/>
          <w:bCs/>
          <w:spacing w:val="4"/>
        </w:rPr>
        <w:t>ppsa</w:t>
      </w:r>
      <w:proofErr w:type="spellEnd"/>
      <w:r w:rsidRPr="000F07A9">
        <w:rPr>
          <w:rFonts w:ascii="Lato" w:eastAsia="Calibri" w:hAnsi="Lato" w:cs="Times New Roman"/>
          <w:bCs/>
          <w:spacing w:val="4"/>
        </w:rPr>
        <w:t>.</w:t>
      </w:r>
    </w:p>
    <w:p w14:paraId="29FBB451" w14:textId="4182DA86" w:rsidR="00183526" w:rsidRPr="000F07A9" w:rsidRDefault="00183526" w:rsidP="009857C8">
      <w:pPr>
        <w:spacing w:after="80" w:line="240" w:lineRule="auto"/>
        <w:jc w:val="both"/>
        <w:rPr>
          <w:rFonts w:ascii="Lato" w:hAnsi="Lato" w:cs="Arial"/>
          <w:b/>
          <w:bCs/>
          <w:spacing w:val="4"/>
          <w:u w:val="single"/>
        </w:rPr>
      </w:pPr>
      <w:r w:rsidRPr="000F07A9">
        <w:rPr>
          <w:rFonts w:ascii="Lato" w:hAnsi="Lato" w:cs="Arial"/>
          <w:b/>
          <w:bCs/>
          <w:spacing w:val="4"/>
          <w:u w:val="single"/>
        </w:rPr>
        <w:t>Załącznik:</w:t>
      </w:r>
    </w:p>
    <w:p w14:paraId="612E3D15" w14:textId="48FEB707" w:rsidR="00B36D3E" w:rsidRDefault="00183526" w:rsidP="00CE41AB">
      <w:pPr>
        <w:spacing w:after="240" w:line="240" w:lineRule="exact"/>
        <w:jc w:val="both"/>
        <w:rPr>
          <w:rFonts w:ascii="Lato" w:hAnsi="Lato" w:cs="Arial"/>
          <w:spacing w:val="4"/>
        </w:rPr>
      </w:pPr>
      <w:r w:rsidRPr="000F07A9">
        <w:rPr>
          <w:rFonts w:ascii="Lato" w:hAnsi="Lato" w:cs="Arial"/>
          <w:b/>
          <w:spacing w:val="4"/>
        </w:rPr>
        <w:t xml:space="preserve">Nr </w:t>
      </w:r>
      <w:r w:rsidRPr="000F07A9">
        <w:rPr>
          <w:rFonts w:ascii="Lato" w:hAnsi="Lato" w:cs="Arial"/>
          <w:b/>
          <w:bCs/>
          <w:spacing w:val="4"/>
        </w:rPr>
        <w:t>1</w:t>
      </w:r>
      <w:r w:rsidR="00B36D3E">
        <w:rPr>
          <w:rFonts w:ascii="Lato" w:hAnsi="Lato" w:cs="Arial"/>
          <w:b/>
          <w:bCs/>
          <w:spacing w:val="4"/>
        </w:rPr>
        <w:t xml:space="preserve"> </w:t>
      </w:r>
      <w:r w:rsidR="00B36D3E" w:rsidRPr="00C260A9">
        <w:rPr>
          <w:rFonts w:ascii="Lato" w:hAnsi="Lato" w:cs="Arial"/>
          <w:spacing w:val="4"/>
        </w:rPr>
        <w:t>-</w:t>
      </w:r>
      <w:r w:rsidR="00B36D3E">
        <w:rPr>
          <w:rFonts w:ascii="Lato" w:hAnsi="Lato" w:cs="Arial"/>
          <w:b/>
          <w:bCs/>
          <w:spacing w:val="4"/>
        </w:rPr>
        <w:t xml:space="preserve"> </w:t>
      </w:r>
      <w:r w:rsidR="00B36D3E" w:rsidRPr="00B36D3E">
        <w:rPr>
          <w:rFonts w:ascii="Lato" w:hAnsi="Lato" w:cs="Arial"/>
          <w:spacing w:val="4"/>
        </w:rPr>
        <w:t>arkusz nr 56/93</w:t>
      </w:r>
      <w:r w:rsidR="00B36D3E" w:rsidRPr="00B36D3E">
        <w:rPr>
          <w:rFonts w:ascii="Lato" w:hAnsi="Lato" w:cs="Arial"/>
          <w:bCs/>
          <w:spacing w:val="4"/>
        </w:rPr>
        <w:t xml:space="preserve"> </w:t>
      </w:r>
      <w:r w:rsidR="00B36D3E" w:rsidRPr="00B36D3E">
        <w:rPr>
          <w:rFonts w:ascii="Lato" w:hAnsi="Lato" w:cs="Arial"/>
          <w:spacing w:val="4"/>
        </w:rPr>
        <w:t>mapy określającej granice terenu objętego inwestycją</w:t>
      </w:r>
      <w:r w:rsidR="00B36D3E">
        <w:rPr>
          <w:rFonts w:ascii="Lato" w:hAnsi="Lato" w:cs="Arial"/>
          <w:bCs/>
          <w:spacing w:val="4"/>
        </w:rPr>
        <w:t>.</w:t>
      </w:r>
    </w:p>
    <w:p w14:paraId="02093D00" w14:textId="77777777" w:rsidR="00B37583" w:rsidRPr="00957BA4" w:rsidRDefault="00B37583" w:rsidP="00B37583">
      <w:pPr>
        <w:spacing w:after="120" w:line="260" w:lineRule="exact"/>
        <w:ind w:left="4111"/>
        <w:rPr>
          <w:rFonts w:ascii="Lato" w:eastAsia="Calibri" w:hAnsi="Lato" w:cs="Arial"/>
          <w:b/>
          <w:bCs/>
        </w:rPr>
      </w:pPr>
      <w:r w:rsidRPr="00957BA4">
        <w:rPr>
          <w:rFonts w:ascii="Lato" w:eastAsia="Calibri" w:hAnsi="Lato" w:cs="Arial"/>
          <w:b/>
          <w:bCs/>
        </w:rPr>
        <w:t>Z upoważnienia</w:t>
      </w:r>
    </w:p>
    <w:p w14:paraId="3775D2BC" w14:textId="77777777" w:rsidR="00B37583" w:rsidRPr="00957BA4" w:rsidRDefault="00B37583" w:rsidP="00B37583">
      <w:pPr>
        <w:spacing w:after="120" w:line="260" w:lineRule="exact"/>
        <w:ind w:left="4111"/>
        <w:rPr>
          <w:rFonts w:ascii="Lato" w:eastAsia="Calibri" w:hAnsi="Lato" w:cs="Arial"/>
        </w:rPr>
      </w:pPr>
      <w:r w:rsidRPr="00957BA4">
        <w:rPr>
          <w:rFonts w:ascii="Lato" w:eastAsia="Calibri" w:hAnsi="Lato" w:cs="Arial"/>
        </w:rPr>
        <w:t>Edyta Lubaszewska</w:t>
      </w:r>
    </w:p>
    <w:p w14:paraId="3E2256CF" w14:textId="77777777" w:rsidR="00B37583" w:rsidRPr="00957BA4" w:rsidRDefault="00B37583" w:rsidP="00B37583">
      <w:pPr>
        <w:spacing w:after="120" w:line="260" w:lineRule="exact"/>
        <w:ind w:left="4111"/>
        <w:rPr>
          <w:rFonts w:ascii="Lato" w:eastAsia="Calibri" w:hAnsi="Lato" w:cs="Arial"/>
        </w:rPr>
      </w:pPr>
      <w:r w:rsidRPr="00957BA4">
        <w:rPr>
          <w:rFonts w:ascii="Lato" w:eastAsia="Calibri" w:hAnsi="Lato" w:cs="Arial"/>
        </w:rPr>
        <w:t>dyrektor</w:t>
      </w:r>
    </w:p>
    <w:p w14:paraId="46690BE1" w14:textId="77777777" w:rsidR="00B37583" w:rsidRPr="00957BA4" w:rsidRDefault="00B37583" w:rsidP="00B37583">
      <w:pPr>
        <w:spacing w:after="120" w:line="260" w:lineRule="exact"/>
        <w:ind w:left="4111"/>
        <w:rPr>
          <w:rFonts w:ascii="Lato" w:eastAsia="Calibri" w:hAnsi="Lato" w:cs="Arial"/>
        </w:rPr>
      </w:pPr>
      <w:r w:rsidRPr="00957BA4">
        <w:rPr>
          <w:rFonts w:ascii="Lato" w:eastAsia="Calibri" w:hAnsi="Lato" w:cs="Arial"/>
        </w:rPr>
        <w:t>Departament Lokalizacji Inwestycji</w:t>
      </w:r>
    </w:p>
    <w:p w14:paraId="46F997EC" w14:textId="77777777" w:rsidR="00B37583" w:rsidRPr="00957BA4" w:rsidRDefault="00B37583" w:rsidP="00B37583">
      <w:pPr>
        <w:spacing w:after="120" w:line="260" w:lineRule="exact"/>
        <w:ind w:left="4111"/>
        <w:rPr>
          <w:rFonts w:ascii="Lato" w:eastAsia="Calibri" w:hAnsi="Lato" w:cs="Arial"/>
        </w:rPr>
      </w:pPr>
      <w:r w:rsidRPr="00957BA4">
        <w:rPr>
          <w:rFonts w:ascii="Lato" w:eastAsia="Calibri" w:hAnsi="Lato" w:cs="Arial"/>
        </w:rPr>
        <w:t>/ kwalifikowany podpis elektroniczny /</w:t>
      </w:r>
    </w:p>
    <w:p w14:paraId="240CEA84" w14:textId="704602C3" w:rsidR="002455F4" w:rsidRDefault="00B37583" w:rsidP="00B37583">
      <w:pPr>
        <w:spacing w:after="80" w:line="240" w:lineRule="auto"/>
        <w:ind w:left="4111"/>
        <w:jc w:val="both"/>
        <w:rPr>
          <w:rFonts w:ascii="Lato" w:hAnsi="Lato" w:cs="Arial"/>
          <w:b/>
          <w:spacing w:val="4"/>
          <w:u w:val="single"/>
        </w:rPr>
      </w:pPr>
      <w:r w:rsidRPr="00957BA4">
        <w:rPr>
          <w:rFonts w:ascii="Lato" w:eastAsia="Calibri" w:hAnsi="Lato" w:cs="Arial"/>
          <w:color w:val="000000" w:themeColor="text1"/>
        </w:rPr>
        <w:t>w Ministerstwie Rozwoju i Technologii</w:t>
      </w:r>
    </w:p>
    <w:p w14:paraId="68824741" w14:textId="77777777" w:rsidR="002455F4" w:rsidRDefault="002455F4" w:rsidP="00183526">
      <w:pPr>
        <w:tabs>
          <w:tab w:val="left" w:pos="284"/>
        </w:tabs>
        <w:spacing w:after="80" w:line="240" w:lineRule="auto"/>
        <w:jc w:val="both"/>
        <w:rPr>
          <w:rFonts w:ascii="Lato" w:hAnsi="Lato" w:cs="Arial"/>
          <w:b/>
          <w:spacing w:val="4"/>
          <w:u w:val="single"/>
        </w:rPr>
      </w:pPr>
    </w:p>
    <w:p w14:paraId="3D2F6E9E" w14:textId="77777777" w:rsidR="002455F4" w:rsidRDefault="002455F4" w:rsidP="003A2C94">
      <w:pPr>
        <w:tabs>
          <w:tab w:val="left" w:pos="284"/>
        </w:tabs>
        <w:spacing w:after="80" w:line="240" w:lineRule="auto"/>
        <w:jc w:val="both"/>
        <w:rPr>
          <w:rFonts w:ascii="Lato" w:hAnsi="Lato" w:cs="Arial"/>
          <w:b/>
          <w:spacing w:val="4"/>
          <w:u w:val="single"/>
        </w:rPr>
      </w:pPr>
    </w:p>
    <w:p w14:paraId="237F1973" w14:textId="77777777" w:rsidR="00B37583" w:rsidRDefault="00B37583" w:rsidP="003A2C94">
      <w:pPr>
        <w:tabs>
          <w:tab w:val="left" w:pos="284"/>
        </w:tabs>
        <w:spacing w:after="80" w:line="240" w:lineRule="auto"/>
        <w:jc w:val="both"/>
        <w:rPr>
          <w:rFonts w:ascii="Lato" w:hAnsi="Lato" w:cs="Arial"/>
          <w:b/>
          <w:spacing w:val="4"/>
          <w:u w:val="single"/>
        </w:rPr>
      </w:pPr>
    </w:p>
    <w:p w14:paraId="42371D35" w14:textId="77777777" w:rsidR="00B37583" w:rsidRDefault="00B37583" w:rsidP="003A2C94">
      <w:pPr>
        <w:tabs>
          <w:tab w:val="left" w:pos="284"/>
        </w:tabs>
        <w:spacing w:after="80" w:line="240" w:lineRule="auto"/>
        <w:jc w:val="both"/>
        <w:rPr>
          <w:rFonts w:ascii="Lato" w:hAnsi="Lato" w:cs="Arial"/>
          <w:b/>
          <w:spacing w:val="4"/>
          <w:u w:val="single"/>
        </w:rPr>
      </w:pPr>
    </w:p>
    <w:sectPr w:rsidR="00B37583" w:rsidSect="00155CEC">
      <w:headerReference w:type="default" r:id="rId13"/>
      <w:footerReference w:type="default" r:id="rId14"/>
      <w:headerReference w:type="first" r:id="rId15"/>
      <w:footerReference w:type="first" r:id="rId16"/>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CD670" w14:textId="77777777" w:rsidR="008C5DA0" w:rsidRDefault="008C5DA0" w:rsidP="009276B2">
      <w:pPr>
        <w:spacing w:after="0" w:line="240" w:lineRule="auto"/>
      </w:pPr>
      <w:r>
        <w:separator/>
      </w:r>
    </w:p>
  </w:endnote>
  <w:endnote w:type="continuationSeparator" w:id="0">
    <w:p w14:paraId="385F2F0B" w14:textId="77777777" w:rsidR="008C5DA0" w:rsidRDefault="008C5DA0"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C84C402C-49E0-4242-A340-B6F3A05A6C95}"/>
    <w:embedBold r:id="rId2" w:fontKey="{26FA08BA-F517-41E0-B921-8FC2A43654EC}"/>
    <w:embedItalic r:id="rId3" w:fontKey="{7CD80098-BAB7-428A-975D-793093F3B680}"/>
  </w:font>
  <w:font w:name="Calibri Light">
    <w:panose1 w:val="020F0302020204030204"/>
    <w:charset w:val="EE"/>
    <w:family w:val="swiss"/>
    <w:pitch w:val="variable"/>
    <w:sig w:usb0="E4002EFF" w:usb1="C200247B" w:usb2="00000009" w:usb3="00000000" w:csb0="000001FF" w:csb1="00000000"/>
    <w:embedRegular r:id="rId4" w:fontKey="{67585AD8-39C0-4411-A6DA-0B54BB5D486F}"/>
  </w:font>
  <w:font w:name="Lato">
    <w:altName w:val="Segoe UI"/>
    <w:charset w:val="00"/>
    <w:family w:val="swiss"/>
    <w:pitch w:val="variable"/>
    <w:sig w:usb0="E10002FF" w:usb1="5000ECFF" w:usb2="00000021" w:usb3="00000000" w:csb0="0000019F" w:csb1="00000000"/>
    <w:embedRegular r:id="rId5" w:fontKey="{A1E3F785-6760-4846-9215-676776184638}"/>
    <w:embedBold r:id="rId6" w:fontKey="{54792FD6-3F07-4D57-B7FD-F907031C2F7E}"/>
    <w:embedItalic r:id="rId7" w:fontKey="{F5828E9A-667E-43FC-9C48-85D8234BD66D}"/>
  </w:font>
  <w:font w:name="Lao UI">
    <w:charset w:val="00"/>
    <w:family w:val="swiss"/>
    <w:pitch w:val="variable"/>
    <w:sig w:usb0="82000003" w:usb1="00000000" w:usb2="00000000" w:usb3="00000000" w:csb0="00000001" w:csb1="00000000"/>
    <w:embedRegular r:id="rId8" w:fontKey="{22BFC97E-FE60-418B-82FB-3FA30FC87345}"/>
    <w:embedBold r:id="rId9" w:fontKey="{CC544881-1F01-49EA-A34D-4B380DBD8876}"/>
    <w:embedBoldItalic r:id="rId10" w:fontKey="{33388BEF-3B75-4D0A-9700-AEFCEA47B931}"/>
  </w:font>
  <w:font w:name="Aptos">
    <w:charset w:val="00"/>
    <w:family w:val="swiss"/>
    <w:pitch w:val="variable"/>
    <w:sig w:usb0="20000287" w:usb1="00000003" w:usb2="00000000" w:usb3="00000000" w:csb0="0000019F" w:csb1="00000000"/>
    <w:embedRegular r:id="rId11" w:fontKey="{1226EEF4-62DC-4D38-ACD0-2EC5A21DE137}"/>
    <w:embedBold r:id="rId12" w:fontKey="{247B82BF-C1D5-4F3E-A8C1-E2F0D7987AC1}"/>
    <w:embedBoldItalic r:id="rId13" w:fontKey="{0CE7B9D1-8EA2-44B8-A996-13542E678D6A}"/>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894055"/>
      <w:docPartObj>
        <w:docPartGallery w:val="Page Numbers (Bottom of Page)"/>
        <w:docPartUnique/>
      </w:docPartObj>
    </w:sdtPr>
    <w:sdtEndPr>
      <w:rPr>
        <w:rFonts w:ascii="Lato" w:hAnsi="Lato"/>
        <w:sz w:val="16"/>
        <w:szCs w:val="16"/>
      </w:rPr>
    </w:sdtEndPr>
    <w:sdtContent>
      <w:p w14:paraId="498155B3" w14:textId="5291B5EA" w:rsidR="00BD6E7B" w:rsidRPr="00145C2E" w:rsidRDefault="00BD6E7B" w:rsidP="00BD6E7B">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B40594">
          <w:rPr>
            <w:rFonts w:ascii="Lato" w:hAnsi="Lato"/>
            <w:sz w:val="16"/>
            <w:szCs w:val="16"/>
          </w:rPr>
          <w:t>23</w:t>
        </w:r>
        <w:r w:rsidRPr="00145C2E">
          <w:rPr>
            <w:rFonts w:ascii="Lato" w:hAnsi="Lato"/>
            <w:sz w:val="16"/>
            <w:szCs w:val="16"/>
          </w:rPr>
          <w:t>)</w:t>
        </w:r>
      </w:p>
    </w:sdtContent>
  </w:sdt>
  <w:p w14:paraId="37821F1F" w14:textId="58F1EF7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r>
      <w:rPr>
        <w:rFonts w:ascii="Lato" w:hAnsi="Lato"/>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BF9A1" w14:textId="77777777" w:rsidR="008C5DA0" w:rsidRDefault="008C5DA0" w:rsidP="009276B2">
      <w:pPr>
        <w:spacing w:after="0" w:line="240" w:lineRule="auto"/>
      </w:pPr>
      <w:r>
        <w:separator/>
      </w:r>
    </w:p>
  </w:footnote>
  <w:footnote w:type="continuationSeparator" w:id="0">
    <w:p w14:paraId="607EABE0" w14:textId="77777777" w:rsidR="008C5DA0" w:rsidRDefault="008C5DA0"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02AB47F9" w:rsidR="00947F4D" w:rsidRDefault="00656845">
    <w:pPr>
      <w:pStyle w:val="Nagwek"/>
    </w:pPr>
    <w:r>
      <w:rPr>
        <w:noProof/>
        <w:lang w:eastAsia="pl-PL"/>
      </w:rPr>
      <w:drawing>
        <wp:anchor distT="0" distB="0" distL="114300" distR="114300" simplePos="0" relativeHeight="251659264" behindDoc="0" locked="0" layoutInCell="1" allowOverlap="1" wp14:anchorId="7FF4DD77" wp14:editId="42699D94">
          <wp:simplePos x="0" y="0"/>
          <wp:positionH relativeFrom="column">
            <wp:posOffset>-863600</wp:posOffset>
          </wp:positionH>
          <wp:positionV relativeFrom="paragraph">
            <wp:posOffset>406400</wp:posOffset>
          </wp:positionV>
          <wp:extent cx="3172460" cy="1017270"/>
          <wp:effectExtent l="0" t="0" r="0" b="0"/>
          <wp:wrapThrough wrapText="bothSides">
            <wp:wrapPolygon edited="0">
              <wp:start x="3026" y="2427"/>
              <wp:lineTo x="1643" y="3775"/>
              <wp:lineTo x="951" y="6472"/>
              <wp:lineTo x="865" y="8360"/>
              <wp:lineTo x="865" y="10247"/>
              <wp:lineTo x="1297" y="16989"/>
              <wp:lineTo x="2248" y="18067"/>
              <wp:lineTo x="3026" y="18607"/>
              <wp:lineTo x="20666" y="18607"/>
              <wp:lineTo x="20839" y="9708"/>
              <wp:lineTo x="19110" y="9169"/>
              <wp:lineTo x="11241" y="7281"/>
              <wp:lineTo x="11500" y="5393"/>
              <wp:lineTo x="10117" y="4854"/>
              <wp:lineTo x="3459" y="2427"/>
              <wp:lineTo x="3026" y="2427"/>
            </wp:wrapPolygon>
          </wp:wrapThrough>
          <wp:docPr id="5" name="Obraz 5" descr="Obraz zawierający logo, symbol,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FFFFFFFF"/>
    <w:lvl w:ilvl="0">
      <w:start w:val="1"/>
      <w:numFmt w:val="bullet"/>
      <w:lvlText w:val="•"/>
      <w:lvlJc w:val="left"/>
      <w:rPr>
        <w:rFonts w:ascii="Arial" w:hAnsi="Arial"/>
        <w:b w:val="0"/>
        <w:i w:val="0"/>
        <w:smallCaps w:val="0"/>
        <w:strike w:val="0"/>
        <w:color w:val="000000"/>
        <w:spacing w:val="0"/>
        <w:w w:val="100"/>
        <w:position w:val="0"/>
        <w:sz w:val="18"/>
        <w:u w:val="none"/>
      </w:rPr>
    </w:lvl>
    <w:lvl w:ilvl="1">
      <w:start w:val="3"/>
      <w:numFmt w:val="decimal"/>
      <w:lvlText w:val="%2."/>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1" w15:restartNumberingAfterBreak="0">
    <w:nsid w:val="00000004"/>
    <w:multiLevelType w:val="multilevel"/>
    <w:tmpl w:val="00000004"/>
    <w:name w:val="WWNum25"/>
    <w:lvl w:ilvl="0">
      <w:start w:val="297"/>
      <w:numFmt w:val="decimal"/>
      <w:lvlText w:val="%1."/>
      <w:lvlJc w:val="left"/>
      <w:pPr>
        <w:tabs>
          <w:tab w:val="num" w:pos="644"/>
        </w:tabs>
        <w:ind w:left="644"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476444"/>
    <w:multiLevelType w:val="hybridMultilevel"/>
    <w:tmpl w:val="B8201C0A"/>
    <w:lvl w:ilvl="0" w:tplc="69C89C6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00D21C04"/>
    <w:multiLevelType w:val="hybridMultilevel"/>
    <w:tmpl w:val="03E85822"/>
    <w:lvl w:ilvl="0" w:tplc="69C89C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4402B30"/>
    <w:multiLevelType w:val="hybridMultilevel"/>
    <w:tmpl w:val="357C3D60"/>
    <w:lvl w:ilvl="0" w:tplc="69C89C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4E43CAE"/>
    <w:multiLevelType w:val="hybridMultilevel"/>
    <w:tmpl w:val="DE10CB2A"/>
    <w:lvl w:ilvl="0" w:tplc="21AE9228">
      <w:start w:val="1"/>
      <w:numFmt w:val="bullet"/>
      <w:lvlText w:val=""/>
      <w:lvlJc w:val="center"/>
      <w:pPr>
        <w:ind w:left="502" w:hanging="360"/>
      </w:pPr>
      <w:rPr>
        <w:rFonts w:ascii="Symbol" w:hAnsi="Symbol"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6" w15:restartNumberingAfterBreak="0">
    <w:nsid w:val="060F18CF"/>
    <w:multiLevelType w:val="hybridMultilevel"/>
    <w:tmpl w:val="DA462AFE"/>
    <w:lvl w:ilvl="0" w:tplc="3FE6C528">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7E74C47"/>
    <w:multiLevelType w:val="hybridMultilevel"/>
    <w:tmpl w:val="145A46A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06520E0"/>
    <w:multiLevelType w:val="hybridMultilevel"/>
    <w:tmpl w:val="F1E8E1C6"/>
    <w:lvl w:ilvl="0" w:tplc="021A2094">
      <w:start w:val="1"/>
      <w:numFmt w:val="bullet"/>
      <w:lvlText w:val=""/>
      <w:lvlJc w:val="left"/>
      <w:pPr>
        <w:ind w:left="4046"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14D26BDD"/>
    <w:multiLevelType w:val="hybridMultilevel"/>
    <w:tmpl w:val="EB5814C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5CE438C"/>
    <w:multiLevelType w:val="hybridMultilevel"/>
    <w:tmpl w:val="937C92F4"/>
    <w:lvl w:ilvl="0" w:tplc="3FA03E3A">
      <w:start w:val="1"/>
      <w:numFmt w:val="bullet"/>
      <w:lvlText w:val=""/>
      <w:lvlJc w:val="left"/>
      <w:pPr>
        <w:ind w:left="644" w:hanging="360"/>
      </w:pPr>
      <w:rPr>
        <w:rFonts w:ascii="Symbol" w:hAnsi="Symbol" w:hint="default"/>
        <w:sz w:val="22"/>
        <w:szCs w:val="22"/>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1" w15:restartNumberingAfterBreak="0">
    <w:nsid w:val="1B722736"/>
    <w:multiLevelType w:val="hybridMultilevel"/>
    <w:tmpl w:val="8D86F76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F0237C5"/>
    <w:multiLevelType w:val="hybridMultilevel"/>
    <w:tmpl w:val="4EE079CA"/>
    <w:lvl w:ilvl="0" w:tplc="9EB65264">
      <w:start w:val="1"/>
      <w:numFmt w:val="decimal"/>
      <w:lvlText w:val="%1."/>
      <w:lvlJc w:val="left"/>
      <w:pPr>
        <w:ind w:left="360" w:hanging="360"/>
      </w:pPr>
      <w:rPr>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4440E8C"/>
    <w:multiLevelType w:val="hybridMultilevel"/>
    <w:tmpl w:val="614036AE"/>
    <w:lvl w:ilvl="0" w:tplc="044AECA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9B8222E"/>
    <w:multiLevelType w:val="hybridMultilevel"/>
    <w:tmpl w:val="E5F0DD8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B594314"/>
    <w:multiLevelType w:val="hybridMultilevel"/>
    <w:tmpl w:val="54D4BE8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11362A9"/>
    <w:multiLevelType w:val="hybridMultilevel"/>
    <w:tmpl w:val="992CB95A"/>
    <w:lvl w:ilvl="0" w:tplc="69C89C64">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7" w15:restartNumberingAfterBreak="0">
    <w:nsid w:val="33C95D49"/>
    <w:multiLevelType w:val="hybridMultilevel"/>
    <w:tmpl w:val="FC12E85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822322E"/>
    <w:multiLevelType w:val="hybridMultilevel"/>
    <w:tmpl w:val="29FE5CFA"/>
    <w:lvl w:ilvl="0" w:tplc="537654FA">
      <w:start w:val="1"/>
      <w:numFmt w:val="bullet"/>
      <w:lvlText w:val=""/>
      <w:lvlJc w:val="left"/>
      <w:pPr>
        <w:ind w:left="1495" w:hanging="360"/>
      </w:pPr>
      <w:rPr>
        <w:rFonts w:ascii="Symbol" w:hAnsi="Symbol" w:hint="default"/>
        <w:sz w:val="22"/>
        <w:szCs w:val="22"/>
      </w:rPr>
    </w:lvl>
    <w:lvl w:ilvl="1" w:tplc="04150003" w:tentative="1">
      <w:start w:val="1"/>
      <w:numFmt w:val="bullet"/>
      <w:lvlText w:val="o"/>
      <w:lvlJc w:val="left"/>
      <w:pPr>
        <w:ind w:left="797" w:hanging="360"/>
      </w:pPr>
      <w:rPr>
        <w:rFonts w:ascii="Courier New" w:hAnsi="Courier New" w:cs="Courier New" w:hint="default"/>
      </w:rPr>
    </w:lvl>
    <w:lvl w:ilvl="2" w:tplc="04150005" w:tentative="1">
      <w:start w:val="1"/>
      <w:numFmt w:val="bullet"/>
      <w:lvlText w:val=""/>
      <w:lvlJc w:val="left"/>
      <w:pPr>
        <w:ind w:left="1517" w:hanging="360"/>
      </w:pPr>
      <w:rPr>
        <w:rFonts w:ascii="Wingdings" w:hAnsi="Wingdings" w:hint="default"/>
      </w:rPr>
    </w:lvl>
    <w:lvl w:ilvl="3" w:tplc="04150001" w:tentative="1">
      <w:start w:val="1"/>
      <w:numFmt w:val="bullet"/>
      <w:lvlText w:val=""/>
      <w:lvlJc w:val="left"/>
      <w:pPr>
        <w:ind w:left="2237" w:hanging="360"/>
      </w:pPr>
      <w:rPr>
        <w:rFonts w:ascii="Symbol" w:hAnsi="Symbol" w:hint="default"/>
      </w:rPr>
    </w:lvl>
    <w:lvl w:ilvl="4" w:tplc="04150003" w:tentative="1">
      <w:start w:val="1"/>
      <w:numFmt w:val="bullet"/>
      <w:lvlText w:val="o"/>
      <w:lvlJc w:val="left"/>
      <w:pPr>
        <w:ind w:left="2957" w:hanging="360"/>
      </w:pPr>
      <w:rPr>
        <w:rFonts w:ascii="Courier New" w:hAnsi="Courier New" w:cs="Courier New" w:hint="default"/>
      </w:rPr>
    </w:lvl>
    <w:lvl w:ilvl="5" w:tplc="04150005" w:tentative="1">
      <w:start w:val="1"/>
      <w:numFmt w:val="bullet"/>
      <w:lvlText w:val=""/>
      <w:lvlJc w:val="left"/>
      <w:pPr>
        <w:ind w:left="3677" w:hanging="360"/>
      </w:pPr>
      <w:rPr>
        <w:rFonts w:ascii="Wingdings" w:hAnsi="Wingdings" w:hint="default"/>
      </w:rPr>
    </w:lvl>
    <w:lvl w:ilvl="6" w:tplc="04150001" w:tentative="1">
      <w:start w:val="1"/>
      <w:numFmt w:val="bullet"/>
      <w:lvlText w:val=""/>
      <w:lvlJc w:val="left"/>
      <w:pPr>
        <w:ind w:left="4397" w:hanging="360"/>
      </w:pPr>
      <w:rPr>
        <w:rFonts w:ascii="Symbol" w:hAnsi="Symbol" w:hint="default"/>
      </w:rPr>
    </w:lvl>
    <w:lvl w:ilvl="7" w:tplc="04150003" w:tentative="1">
      <w:start w:val="1"/>
      <w:numFmt w:val="bullet"/>
      <w:lvlText w:val="o"/>
      <w:lvlJc w:val="left"/>
      <w:pPr>
        <w:ind w:left="5117" w:hanging="360"/>
      </w:pPr>
      <w:rPr>
        <w:rFonts w:ascii="Courier New" w:hAnsi="Courier New" w:cs="Courier New" w:hint="default"/>
      </w:rPr>
    </w:lvl>
    <w:lvl w:ilvl="8" w:tplc="04150005" w:tentative="1">
      <w:start w:val="1"/>
      <w:numFmt w:val="bullet"/>
      <w:lvlText w:val=""/>
      <w:lvlJc w:val="left"/>
      <w:pPr>
        <w:ind w:left="5837" w:hanging="360"/>
      </w:pPr>
      <w:rPr>
        <w:rFonts w:ascii="Wingdings" w:hAnsi="Wingdings" w:hint="default"/>
      </w:rPr>
    </w:lvl>
  </w:abstractNum>
  <w:abstractNum w:abstractNumId="19" w15:restartNumberingAfterBreak="0">
    <w:nsid w:val="3D157D1F"/>
    <w:multiLevelType w:val="hybridMultilevel"/>
    <w:tmpl w:val="E9CA84E0"/>
    <w:lvl w:ilvl="0" w:tplc="F50668B8">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DB9235D"/>
    <w:multiLevelType w:val="hybridMultilevel"/>
    <w:tmpl w:val="B9928E14"/>
    <w:lvl w:ilvl="0" w:tplc="1BAA9E02">
      <w:start w:val="1"/>
      <w:numFmt w:val="decimal"/>
      <w:lvlText w:val="%1."/>
      <w:lvlJc w:val="left"/>
      <w:pPr>
        <w:ind w:left="360" w:hanging="360"/>
      </w:pPr>
      <w:rPr>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3F817608"/>
    <w:multiLevelType w:val="hybridMultilevel"/>
    <w:tmpl w:val="D6F2A920"/>
    <w:lvl w:ilvl="0" w:tplc="E3AA843A">
      <w:start w:val="1"/>
      <w:numFmt w:val="decimal"/>
      <w:lvlText w:val="%1."/>
      <w:lvlJc w:val="left"/>
      <w:pPr>
        <w:ind w:left="360" w:hanging="360"/>
      </w:pPr>
      <w:rPr>
        <w:rFonts w:hint="default"/>
        <w:b w:val="0"/>
        <w:bCs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15F170F"/>
    <w:multiLevelType w:val="hybridMultilevel"/>
    <w:tmpl w:val="A954AA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EC52EE0"/>
    <w:multiLevelType w:val="hybridMultilevel"/>
    <w:tmpl w:val="45FE7368"/>
    <w:lvl w:ilvl="0" w:tplc="FDC6508E">
      <w:start w:val="1"/>
      <w:numFmt w:val="upperRoman"/>
      <w:lvlText w:val="%1."/>
      <w:lvlJc w:val="right"/>
      <w:pPr>
        <w:ind w:left="720" w:hanging="360"/>
      </w:pPr>
      <w:rPr>
        <w:rFonts w:hint="default"/>
        <w:b/>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EE14CA6"/>
    <w:multiLevelType w:val="hybridMultilevel"/>
    <w:tmpl w:val="9B6053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EEA2392"/>
    <w:multiLevelType w:val="hybridMultilevel"/>
    <w:tmpl w:val="23524A58"/>
    <w:lvl w:ilvl="0" w:tplc="838C0EA8">
      <w:start w:val="1"/>
      <w:numFmt w:val="upperRoman"/>
      <w:lvlText w:val="%1."/>
      <w:lvlJc w:val="righ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53FB19FD"/>
    <w:multiLevelType w:val="hybridMultilevel"/>
    <w:tmpl w:val="7BA03A0E"/>
    <w:lvl w:ilvl="0" w:tplc="BBE6F480">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7" w15:restartNumberingAfterBreak="0">
    <w:nsid w:val="54087B23"/>
    <w:multiLevelType w:val="hybridMultilevel"/>
    <w:tmpl w:val="71CE686A"/>
    <w:lvl w:ilvl="0" w:tplc="0415000F">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5961934"/>
    <w:multiLevelType w:val="hybridMultilevel"/>
    <w:tmpl w:val="A30A4E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9FB430A"/>
    <w:multiLevelType w:val="hybridMultilevel"/>
    <w:tmpl w:val="AA784974"/>
    <w:lvl w:ilvl="0" w:tplc="69C89C6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A897A09"/>
    <w:multiLevelType w:val="hybridMultilevel"/>
    <w:tmpl w:val="0CCE7E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4C7048E"/>
    <w:multiLevelType w:val="hybridMultilevel"/>
    <w:tmpl w:val="32042D66"/>
    <w:lvl w:ilvl="0" w:tplc="69C89C64">
      <w:start w:val="1"/>
      <w:numFmt w:val="bullet"/>
      <w:lvlText w:val=""/>
      <w:lvlJc w:val="left"/>
      <w:pPr>
        <w:ind w:left="720" w:hanging="360"/>
      </w:pPr>
      <w:rPr>
        <w:rFonts w:ascii="Symbol" w:hAnsi="Symbol" w:hint="default"/>
        <w:vertAlign w:val="baseline"/>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659B28FF"/>
    <w:multiLevelType w:val="hybridMultilevel"/>
    <w:tmpl w:val="F9364A38"/>
    <w:lvl w:ilvl="0" w:tplc="04150017">
      <w:start w:val="1"/>
      <w:numFmt w:val="lowerLetter"/>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3" w15:restartNumberingAfterBreak="0">
    <w:nsid w:val="694540AF"/>
    <w:multiLevelType w:val="hybridMultilevel"/>
    <w:tmpl w:val="64E637BA"/>
    <w:lvl w:ilvl="0" w:tplc="EF46DE7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E0B7181"/>
    <w:multiLevelType w:val="hybridMultilevel"/>
    <w:tmpl w:val="82E2B86E"/>
    <w:lvl w:ilvl="0" w:tplc="044AECA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71092F9B"/>
    <w:multiLevelType w:val="hybridMultilevel"/>
    <w:tmpl w:val="BE7C37BC"/>
    <w:lvl w:ilvl="0" w:tplc="7324AB60">
      <w:start w:val="1"/>
      <w:numFmt w:val="upperRoman"/>
      <w:lvlText w:val="%1."/>
      <w:lvlJc w:val="right"/>
      <w:pPr>
        <w:ind w:left="720" w:hanging="360"/>
      </w:pPr>
      <w:rPr>
        <w:b/>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39D2BC7"/>
    <w:multiLevelType w:val="hybridMultilevel"/>
    <w:tmpl w:val="F31AD06C"/>
    <w:lvl w:ilvl="0" w:tplc="04150001">
      <w:start w:val="1"/>
      <w:numFmt w:val="bullet"/>
      <w:lvlText w:val=""/>
      <w:lvlJc w:val="left"/>
      <w:pPr>
        <w:ind w:left="927" w:hanging="360"/>
      </w:pPr>
      <w:rPr>
        <w:rFonts w:ascii="Symbol" w:hAnsi="Symbol" w:hint="default"/>
      </w:rPr>
    </w:lvl>
    <w:lvl w:ilvl="1" w:tplc="04150003">
      <w:start w:val="1"/>
      <w:numFmt w:val="bullet"/>
      <w:lvlText w:val="o"/>
      <w:lvlJc w:val="left"/>
      <w:pPr>
        <w:ind w:left="1647" w:hanging="360"/>
      </w:pPr>
      <w:rPr>
        <w:rFonts w:ascii="Courier New" w:hAnsi="Courier New" w:cs="Courier New" w:hint="default"/>
      </w:rPr>
    </w:lvl>
    <w:lvl w:ilvl="2" w:tplc="04150005">
      <w:start w:val="1"/>
      <w:numFmt w:val="bullet"/>
      <w:lvlText w:val=""/>
      <w:lvlJc w:val="left"/>
      <w:pPr>
        <w:ind w:left="2367" w:hanging="360"/>
      </w:pPr>
      <w:rPr>
        <w:rFonts w:ascii="Wingdings" w:hAnsi="Wingdings" w:hint="default"/>
      </w:rPr>
    </w:lvl>
    <w:lvl w:ilvl="3" w:tplc="0415000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37" w15:restartNumberingAfterBreak="0">
    <w:nsid w:val="76F57492"/>
    <w:multiLevelType w:val="hybridMultilevel"/>
    <w:tmpl w:val="AAC4A4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788309CF"/>
    <w:multiLevelType w:val="hybridMultilevel"/>
    <w:tmpl w:val="7F569ED2"/>
    <w:lvl w:ilvl="0" w:tplc="7F2C40DA">
      <w:start w:val="1"/>
      <w:numFmt w:val="decimal"/>
      <w:lvlText w:val="%1."/>
      <w:lvlJc w:val="left"/>
      <w:pPr>
        <w:tabs>
          <w:tab w:val="num" w:pos="360"/>
        </w:tabs>
        <w:ind w:left="360" w:hanging="360"/>
      </w:pPr>
      <w:rPr>
        <w:b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9" w15:restartNumberingAfterBreak="0">
    <w:nsid w:val="79D81651"/>
    <w:multiLevelType w:val="hybridMultilevel"/>
    <w:tmpl w:val="04C8D1D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C621B16"/>
    <w:multiLevelType w:val="hybridMultilevel"/>
    <w:tmpl w:val="A776E3AC"/>
    <w:lvl w:ilvl="0" w:tplc="AA285880">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D3C432C"/>
    <w:multiLevelType w:val="hybridMultilevel"/>
    <w:tmpl w:val="72B2AFB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05950492">
    <w:abstractNumId w:val="10"/>
  </w:num>
  <w:num w:numId="2" w16cid:durableId="1244417625">
    <w:abstractNumId w:val="40"/>
  </w:num>
  <w:num w:numId="3" w16cid:durableId="1689023353">
    <w:abstractNumId w:val="18"/>
  </w:num>
  <w:num w:numId="4" w16cid:durableId="1469662673">
    <w:abstractNumId w:val="16"/>
  </w:num>
  <w:num w:numId="5" w16cid:durableId="1940330680">
    <w:abstractNumId w:val="35"/>
  </w:num>
  <w:num w:numId="6" w16cid:durableId="410084676">
    <w:abstractNumId w:val="21"/>
  </w:num>
  <w:num w:numId="7" w16cid:durableId="1943296153">
    <w:abstractNumId w:val="11"/>
  </w:num>
  <w:num w:numId="8" w16cid:durableId="621771760">
    <w:abstractNumId w:val="7"/>
  </w:num>
  <w:num w:numId="9" w16cid:durableId="1715809697">
    <w:abstractNumId w:val="22"/>
  </w:num>
  <w:num w:numId="10" w16cid:durableId="631328679">
    <w:abstractNumId w:val="4"/>
  </w:num>
  <w:num w:numId="11" w16cid:durableId="87234970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30658803">
    <w:abstractNumId w:val="27"/>
  </w:num>
  <w:num w:numId="13" w16cid:durableId="179130083">
    <w:abstractNumId w:val="8"/>
  </w:num>
  <w:num w:numId="14" w16cid:durableId="1455444442">
    <w:abstractNumId w:val="23"/>
  </w:num>
  <w:num w:numId="15" w16cid:durableId="1598095435">
    <w:abstractNumId w:val="20"/>
  </w:num>
  <w:num w:numId="16" w16cid:durableId="54857174">
    <w:abstractNumId w:val="36"/>
  </w:num>
  <w:num w:numId="17" w16cid:durableId="1251157257">
    <w:abstractNumId w:val="39"/>
  </w:num>
  <w:num w:numId="18" w16cid:durableId="171260908">
    <w:abstractNumId w:val="41"/>
  </w:num>
  <w:num w:numId="19" w16cid:durableId="1039206452">
    <w:abstractNumId w:val="9"/>
  </w:num>
  <w:num w:numId="20" w16cid:durableId="1369406261">
    <w:abstractNumId w:val="6"/>
  </w:num>
  <w:num w:numId="21" w16cid:durableId="1819959514">
    <w:abstractNumId w:val="32"/>
  </w:num>
  <w:num w:numId="22" w16cid:durableId="649869468">
    <w:abstractNumId w:val="33"/>
  </w:num>
  <w:num w:numId="23" w16cid:durableId="1905985156">
    <w:abstractNumId w:val="17"/>
  </w:num>
  <w:num w:numId="24" w16cid:durableId="919563324">
    <w:abstractNumId w:val="37"/>
  </w:num>
  <w:num w:numId="25" w16cid:durableId="1571842136">
    <w:abstractNumId w:val="19"/>
  </w:num>
  <w:num w:numId="26" w16cid:durableId="1216116910">
    <w:abstractNumId w:val="2"/>
  </w:num>
  <w:num w:numId="27" w16cid:durableId="725177962">
    <w:abstractNumId w:val="30"/>
  </w:num>
  <w:num w:numId="28" w16cid:durableId="1926067383">
    <w:abstractNumId w:val="24"/>
  </w:num>
  <w:num w:numId="29" w16cid:durableId="62327580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48337881">
    <w:abstractNumId w:val="31"/>
  </w:num>
  <w:num w:numId="31" w16cid:durableId="955331902">
    <w:abstractNumId w:val="5"/>
  </w:num>
  <w:num w:numId="32" w16cid:durableId="833691603">
    <w:abstractNumId w:val="12"/>
  </w:num>
  <w:num w:numId="33" w16cid:durableId="206839730">
    <w:abstractNumId w:val="0"/>
  </w:num>
  <w:num w:numId="34" w16cid:durableId="107552944">
    <w:abstractNumId w:val="15"/>
  </w:num>
  <w:num w:numId="35" w16cid:durableId="405345549">
    <w:abstractNumId w:val="29"/>
  </w:num>
  <w:num w:numId="36" w16cid:durableId="184832713">
    <w:abstractNumId w:val="14"/>
  </w:num>
  <w:num w:numId="37" w16cid:durableId="69548027">
    <w:abstractNumId w:val="28"/>
  </w:num>
  <w:num w:numId="38" w16cid:durableId="1672679678">
    <w:abstractNumId w:val="3"/>
  </w:num>
  <w:num w:numId="39" w16cid:durableId="20709616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20555645">
    <w:abstractNumId w:val="13"/>
  </w:num>
  <w:num w:numId="41" w16cid:durableId="1018578724">
    <w:abstractNumId w:val="3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189"/>
    <w:rsid w:val="00000658"/>
    <w:rsid w:val="00001529"/>
    <w:rsid w:val="000015FF"/>
    <w:rsid w:val="00001795"/>
    <w:rsid w:val="00001EF9"/>
    <w:rsid w:val="0000216E"/>
    <w:rsid w:val="000024DA"/>
    <w:rsid w:val="000027A8"/>
    <w:rsid w:val="00002B46"/>
    <w:rsid w:val="0000496A"/>
    <w:rsid w:val="00006A36"/>
    <w:rsid w:val="00006AA6"/>
    <w:rsid w:val="000077D5"/>
    <w:rsid w:val="00007BE4"/>
    <w:rsid w:val="00010653"/>
    <w:rsid w:val="00010F0C"/>
    <w:rsid w:val="00010F76"/>
    <w:rsid w:val="00011422"/>
    <w:rsid w:val="000115F1"/>
    <w:rsid w:val="000123EA"/>
    <w:rsid w:val="0001247B"/>
    <w:rsid w:val="00012C81"/>
    <w:rsid w:val="0001320A"/>
    <w:rsid w:val="000135CC"/>
    <w:rsid w:val="000140B1"/>
    <w:rsid w:val="00014AB7"/>
    <w:rsid w:val="000152AB"/>
    <w:rsid w:val="00016692"/>
    <w:rsid w:val="0001679B"/>
    <w:rsid w:val="0001777C"/>
    <w:rsid w:val="00017C5D"/>
    <w:rsid w:val="00020762"/>
    <w:rsid w:val="00020C6F"/>
    <w:rsid w:val="00020D4C"/>
    <w:rsid w:val="000227A8"/>
    <w:rsid w:val="00023772"/>
    <w:rsid w:val="00023B0B"/>
    <w:rsid w:val="00023BFC"/>
    <w:rsid w:val="00024723"/>
    <w:rsid w:val="000248C8"/>
    <w:rsid w:val="000249CC"/>
    <w:rsid w:val="000254CC"/>
    <w:rsid w:val="00025D39"/>
    <w:rsid w:val="00026B16"/>
    <w:rsid w:val="00027114"/>
    <w:rsid w:val="00027717"/>
    <w:rsid w:val="00027B42"/>
    <w:rsid w:val="000302D9"/>
    <w:rsid w:val="00030B8B"/>
    <w:rsid w:val="00030C84"/>
    <w:rsid w:val="0003103D"/>
    <w:rsid w:val="0003182A"/>
    <w:rsid w:val="00031B08"/>
    <w:rsid w:val="0003277E"/>
    <w:rsid w:val="00033162"/>
    <w:rsid w:val="000337DE"/>
    <w:rsid w:val="00033D46"/>
    <w:rsid w:val="00033E39"/>
    <w:rsid w:val="00034504"/>
    <w:rsid w:val="000348FF"/>
    <w:rsid w:val="0003493D"/>
    <w:rsid w:val="0003580D"/>
    <w:rsid w:val="00035AFB"/>
    <w:rsid w:val="00036432"/>
    <w:rsid w:val="0003703B"/>
    <w:rsid w:val="00037AC1"/>
    <w:rsid w:val="00040027"/>
    <w:rsid w:val="000405FF"/>
    <w:rsid w:val="00040B0C"/>
    <w:rsid w:val="00040C89"/>
    <w:rsid w:val="000410BA"/>
    <w:rsid w:val="000416AA"/>
    <w:rsid w:val="00041D3D"/>
    <w:rsid w:val="00041ECA"/>
    <w:rsid w:val="00042F13"/>
    <w:rsid w:val="00042FFE"/>
    <w:rsid w:val="000443BF"/>
    <w:rsid w:val="0004475F"/>
    <w:rsid w:val="00045ACD"/>
    <w:rsid w:val="00045B3B"/>
    <w:rsid w:val="0004613C"/>
    <w:rsid w:val="000465C2"/>
    <w:rsid w:val="00046665"/>
    <w:rsid w:val="000466AE"/>
    <w:rsid w:val="000469AD"/>
    <w:rsid w:val="0004755B"/>
    <w:rsid w:val="00047653"/>
    <w:rsid w:val="0004776C"/>
    <w:rsid w:val="0004778C"/>
    <w:rsid w:val="0004782B"/>
    <w:rsid w:val="000503ED"/>
    <w:rsid w:val="00050DB6"/>
    <w:rsid w:val="000516AB"/>
    <w:rsid w:val="00051A88"/>
    <w:rsid w:val="00051F61"/>
    <w:rsid w:val="000522A5"/>
    <w:rsid w:val="000523C4"/>
    <w:rsid w:val="00053706"/>
    <w:rsid w:val="000556E6"/>
    <w:rsid w:val="00055EC2"/>
    <w:rsid w:val="00055F10"/>
    <w:rsid w:val="00056CC9"/>
    <w:rsid w:val="000601BE"/>
    <w:rsid w:val="000604F5"/>
    <w:rsid w:val="00060C0B"/>
    <w:rsid w:val="00060F65"/>
    <w:rsid w:val="00060FAE"/>
    <w:rsid w:val="00061076"/>
    <w:rsid w:val="0006216F"/>
    <w:rsid w:val="00062BA0"/>
    <w:rsid w:val="000630AE"/>
    <w:rsid w:val="000637A9"/>
    <w:rsid w:val="000644EC"/>
    <w:rsid w:val="0006450B"/>
    <w:rsid w:val="000648B4"/>
    <w:rsid w:val="00064C14"/>
    <w:rsid w:val="000650E1"/>
    <w:rsid w:val="00065BD3"/>
    <w:rsid w:val="00066A73"/>
    <w:rsid w:val="000670D6"/>
    <w:rsid w:val="000678CF"/>
    <w:rsid w:val="00070224"/>
    <w:rsid w:val="0007027B"/>
    <w:rsid w:val="00070693"/>
    <w:rsid w:val="00070F82"/>
    <w:rsid w:val="000711CA"/>
    <w:rsid w:val="00071385"/>
    <w:rsid w:val="00073368"/>
    <w:rsid w:val="00073549"/>
    <w:rsid w:val="00073A16"/>
    <w:rsid w:val="00073AA3"/>
    <w:rsid w:val="000740B0"/>
    <w:rsid w:val="000759A7"/>
    <w:rsid w:val="00075F4E"/>
    <w:rsid w:val="000768ED"/>
    <w:rsid w:val="00076A65"/>
    <w:rsid w:val="00076C1C"/>
    <w:rsid w:val="0007733F"/>
    <w:rsid w:val="00080619"/>
    <w:rsid w:val="0008075F"/>
    <w:rsid w:val="00080ED9"/>
    <w:rsid w:val="00081005"/>
    <w:rsid w:val="0008134E"/>
    <w:rsid w:val="000814F5"/>
    <w:rsid w:val="0008159E"/>
    <w:rsid w:val="00081BCA"/>
    <w:rsid w:val="00081D1D"/>
    <w:rsid w:val="00081D54"/>
    <w:rsid w:val="00083468"/>
    <w:rsid w:val="00084072"/>
    <w:rsid w:val="000847E6"/>
    <w:rsid w:val="00084F55"/>
    <w:rsid w:val="0008604D"/>
    <w:rsid w:val="000868E8"/>
    <w:rsid w:val="00086AAE"/>
    <w:rsid w:val="00086CA9"/>
    <w:rsid w:val="00086CC6"/>
    <w:rsid w:val="0008715F"/>
    <w:rsid w:val="00087792"/>
    <w:rsid w:val="00091A38"/>
    <w:rsid w:val="000926C5"/>
    <w:rsid w:val="000927DF"/>
    <w:rsid w:val="0009280E"/>
    <w:rsid w:val="00093D3C"/>
    <w:rsid w:val="00094C49"/>
    <w:rsid w:val="00095136"/>
    <w:rsid w:val="00096257"/>
    <w:rsid w:val="00096EAD"/>
    <w:rsid w:val="0009718A"/>
    <w:rsid w:val="00097AED"/>
    <w:rsid w:val="00097C7E"/>
    <w:rsid w:val="000A007F"/>
    <w:rsid w:val="000A01D0"/>
    <w:rsid w:val="000A07A8"/>
    <w:rsid w:val="000A0B43"/>
    <w:rsid w:val="000A118C"/>
    <w:rsid w:val="000A12D3"/>
    <w:rsid w:val="000A146B"/>
    <w:rsid w:val="000A16C4"/>
    <w:rsid w:val="000A23B8"/>
    <w:rsid w:val="000A3250"/>
    <w:rsid w:val="000A36AA"/>
    <w:rsid w:val="000A36D8"/>
    <w:rsid w:val="000A3AE2"/>
    <w:rsid w:val="000A4456"/>
    <w:rsid w:val="000A6182"/>
    <w:rsid w:val="000A66AE"/>
    <w:rsid w:val="000A6B8B"/>
    <w:rsid w:val="000A7151"/>
    <w:rsid w:val="000A716D"/>
    <w:rsid w:val="000A732A"/>
    <w:rsid w:val="000A73D9"/>
    <w:rsid w:val="000A789A"/>
    <w:rsid w:val="000B07A7"/>
    <w:rsid w:val="000B0E44"/>
    <w:rsid w:val="000B18CB"/>
    <w:rsid w:val="000B3916"/>
    <w:rsid w:val="000B3C8A"/>
    <w:rsid w:val="000B4674"/>
    <w:rsid w:val="000B57E8"/>
    <w:rsid w:val="000B5BFB"/>
    <w:rsid w:val="000B6F4B"/>
    <w:rsid w:val="000B72C0"/>
    <w:rsid w:val="000B73A7"/>
    <w:rsid w:val="000B74FB"/>
    <w:rsid w:val="000B7D03"/>
    <w:rsid w:val="000C0B9E"/>
    <w:rsid w:val="000C17A0"/>
    <w:rsid w:val="000C206A"/>
    <w:rsid w:val="000C2E82"/>
    <w:rsid w:val="000C3E6A"/>
    <w:rsid w:val="000C4B81"/>
    <w:rsid w:val="000C5705"/>
    <w:rsid w:val="000C620D"/>
    <w:rsid w:val="000C651C"/>
    <w:rsid w:val="000C6EC3"/>
    <w:rsid w:val="000C71AF"/>
    <w:rsid w:val="000C7251"/>
    <w:rsid w:val="000C75B0"/>
    <w:rsid w:val="000C7E8D"/>
    <w:rsid w:val="000D0DB6"/>
    <w:rsid w:val="000D0F70"/>
    <w:rsid w:val="000D1225"/>
    <w:rsid w:val="000D24AF"/>
    <w:rsid w:val="000D2951"/>
    <w:rsid w:val="000D365D"/>
    <w:rsid w:val="000D369C"/>
    <w:rsid w:val="000D3FAC"/>
    <w:rsid w:val="000D524F"/>
    <w:rsid w:val="000D525B"/>
    <w:rsid w:val="000D5772"/>
    <w:rsid w:val="000D5DCB"/>
    <w:rsid w:val="000D5E5F"/>
    <w:rsid w:val="000D66E6"/>
    <w:rsid w:val="000D70A1"/>
    <w:rsid w:val="000D7CBA"/>
    <w:rsid w:val="000D7E12"/>
    <w:rsid w:val="000E029D"/>
    <w:rsid w:val="000E087A"/>
    <w:rsid w:val="000E09E1"/>
    <w:rsid w:val="000E11F3"/>
    <w:rsid w:val="000E1B13"/>
    <w:rsid w:val="000E1D93"/>
    <w:rsid w:val="000E2717"/>
    <w:rsid w:val="000E3933"/>
    <w:rsid w:val="000E3AD6"/>
    <w:rsid w:val="000E520F"/>
    <w:rsid w:val="000E6187"/>
    <w:rsid w:val="000E73AE"/>
    <w:rsid w:val="000E7411"/>
    <w:rsid w:val="000E76A1"/>
    <w:rsid w:val="000E7BA8"/>
    <w:rsid w:val="000F047C"/>
    <w:rsid w:val="000F07A9"/>
    <w:rsid w:val="000F0891"/>
    <w:rsid w:val="000F1935"/>
    <w:rsid w:val="000F31DE"/>
    <w:rsid w:val="000F39C9"/>
    <w:rsid w:val="000F3D37"/>
    <w:rsid w:val="000F3DC5"/>
    <w:rsid w:val="000F471A"/>
    <w:rsid w:val="000F7085"/>
    <w:rsid w:val="000F740F"/>
    <w:rsid w:val="000F7A21"/>
    <w:rsid w:val="00100303"/>
    <w:rsid w:val="00100315"/>
    <w:rsid w:val="0010043C"/>
    <w:rsid w:val="00100536"/>
    <w:rsid w:val="00100581"/>
    <w:rsid w:val="00100818"/>
    <w:rsid w:val="00100858"/>
    <w:rsid w:val="00103059"/>
    <w:rsid w:val="0010348E"/>
    <w:rsid w:val="001041AE"/>
    <w:rsid w:val="001053F2"/>
    <w:rsid w:val="00105403"/>
    <w:rsid w:val="0010578B"/>
    <w:rsid w:val="00105FF2"/>
    <w:rsid w:val="00105FF6"/>
    <w:rsid w:val="0010600F"/>
    <w:rsid w:val="00106B47"/>
    <w:rsid w:val="00106D89"/>
    <w:rsid w:val="00107358"/>
    <w:rsid w:val="001074CC"/>
    <w:rsid w:val="00107FCB"/>
    <w:rsid w:val="00110152"/>
    <w:rsid w:val="00110333"/>
    <w:rsid w:val="00111389"/>
    <w:rsid w:val="0011221E"/>
    <w:rsid w:val="00112D91"/>
    <w:rsid w:val="00112F19"/>
    <w:rsid w:val="00113091"/>
    <w:rsid w:val="001130DF"/>
    <w:rsid w:val="00113528"/>
    <w:rsid w:val="001135EB"/>
    <w:rsid w:val="001135F1"/>
    <w:rsid w:val="00113F63"/>
    <w:rsid w:val="00113F97"/>
    <w:rsid w:val="00114329"/>
    <w:rsid w:val="00114A5A"/>
    <w:rsid w:val="00114B76"/>
    <w:rsid w:val="001160CA"/>
    <w:rsid w:val="001169FD"/>
    <w:rsid w:val="00116D5D"/>
    <w:rsid w:val="00116DAE"/>
    <w:rsid w:val="001179B9"/>
    <w:rsid w:val="00117DCF"/>
    <w:rsid w:val="00117FD4"/>
    <w:rsid w:val="001207D6"/>
    <w:rsid w:val="0012091E"/>
    <w:rsid w:val="0012144A"/>
    <w:rsid w:val="001218E2"/>
    <w:rsid w:val="00121F48"/>
    <w:rsid w:val="00122048"/>
    <w:rsid w:val="00122A33"/>
    <w:rsid w:val="001231D8"/>
    <w:rsid w:val="001236B0"/>
    <w:rsid w:val="00123BC7"/>
    <w:rsid w:val="00124538"/>
    <w:rsid w:val="00124926"/>
    <w:rsid w:val="00124958"/>
    <w:rsid w:val="00124DB0"/>
    <w:rsid w:val="001256B0"/>
    <w:rsid w:val="001259D8"/>
    <w:rsid w:val="001265CE"/>
    <w:rsid w:val="00127AA0"/>
    <w:rsid w:val="00127AA1"/>
    <w:rsid w:val="00127F89"/>
    <w:rsid w:val="00130A4A"/>
    <w:rsid w:val="00130AC0"/>
    <w:rsid w:val="001312E9"/>
    <w:rsid w:val="00131D89"/>
    <w:rsid w:val="0013369D"/>
    <w:rsid w:val="00133A9C"/>
    <w:rsid w:val="00134F7E"/>
    <w:rsid w:val="0013523A"/>
    <w:rsid w:val="00135563"/>
    <w:rsid w:val="00135747"/>
    <w:rsid w:val="00136B05"/>
    <w:rsid w:val="00136D95"/>
    <w:rsid w:val="001375AB"/>
    <w:rsid w:val="00140C2F"/>
    <w:rsid w:val="00141960"/>
    <w:rsid w:val="00141DE8"/>
    <w:rsid w:val="00143584"/>
    <w:rsid w:val="00143D05"/>
    <w:rsid w:val="00143E93"/>
    <w:rsid w:val="001441B0"/>
    <w:rsid w:val="001444AE"/>
    <w:rsid w:val="00144AF0"/>
    <w:rsid w:val="00144D49"/>
    <w:rsid w:val="00144FA8"/>
    <w:rsid w:val="00145805"/>
    <w:rsid w:val="00145BEF"/>
    <w:rsid w:val="00146756"/>
    <w:rsid w:val="00146A5D"/>
    <w:rsid w:val="001471C6"/>
    <w:rsid w:val="0015088D"/>
    <w:rsid w:val="0015093D"/>
    <w:rsid w:val="00150A59"/>
    <w:rsid w:val="00151027"/>
    <w:rsid w:val="00151DFD"/>
    <w:rsid w:val="001529BB"/>
    <w:rsid w:val="00152C45"/>
    <w:rsid w:val="00153D84"/>
    <w:rsid w:val="00154093"/>
    <w:rsid w:val="00154106"/>
    <w:rsid w:val="0015429E"/>
    <w:rsid w:val="001551C0"/>
    <w:rsid w:val="00155CEC"/>
    <w:rsid w:val="0015640D"/>
    <w:rsid w:val="00156422"/>
    <w:rsid w:val="00156B60"/>
    <w:rsid w:val="00156FEA"/>
    <w:rsid w:val="00157755"/>
    <w:rsid w:val="0016020C"/>
    <w:rsid w:val="001603F5"/>
    <w:rsid w:val="0016059F"/>
    <w:rsid w:val="00161154"/>
    <w:rsid w:val="00161578"/>
    <w:rsid w:val="001624F9"/>
    <w:rsid w:val="00163080"/>
    <w:rsid w:val="0016318A"/>
    <w:rsid w:val="0016343C"/>
    <w:rsid w:val="00163468"/>
    <w:rsid w:val="001638B2"/>
    <w:rsid w:val="001644A4"/>
    <w:rsid w:val="0016450C"/>
    <w:rsid w:val="00164687"/>
    <w:rsid w:val="00164DA8"/>
    <w:rsid w:val="00164E94"/>
    <w:rsid w:val="00164F97"/>
    <w:rsid w:val="00165785"/>
    <w:rsid w:val="001659EC"/>
    <w:rsid w:val="00166305"/>
    <w:rsid w:val="00166A88"/>
    <w:rsid w:val="00166B7B"/>
    <w:rsid w:val="00170C28"/>
    <w:rsid w:val="00170CE4"/>
    <w:rsid w:val="0017185C"/>
    <w:rsid w:val="00171B71"/>
    <w:rsid w:val="00171BF1"/>
    <w:rsid w:val="0017220C"/>
    <w:rsid w:val="00172396"/>
    <w:rsid w:val="00173324"/>
    <w:rsid w:val="001739FB"/>
    <w:rsid w:val="001742B6"/>
    <w:rsid w:val="001744A4"/>
    <w:rsid w:val="00174A1D"/>
    <w:rsid w:val="001751B4"/>
    <w:rsid w:val="00175392"/>
    <w:rsid w:val="00175399"/>
    <w:rsid w:val="00175ADB"/>
    <w:rsid w:val="001764A0"/>
    <w:rsid w:val="001764BF"/>
    <w:rsid w:val="00177E08"/>
    <w:rsid w:val="0018034F"/>
    <w:rsid w:val="00180A1B"/>
    <w:rsid w:val="00181415"/>
    <w:rsid w:val="00183526"/>
    <w:rsid w:val="001836FA"/>
    <w:rsid w:val="00183A82"/>
    <w:rsid w:val="00183B62"/>
    <w:rsid w:val="00184F85"/>
    <w:rsid w:val="001859F5"/>
    <w:rsid w:val="001865C5"/>
    <w:rsid w:val="0018768A"/>
    <w:rsid w:val="00187FA1"/>
    <w:rsid w:val="001900F4"/>
    <w:rsid w:val="001904CD"/>
    <w:rsid w:val="001909BF"/>
    <w:rsid w:val="001918D7"/>
    <w:rsid w:val="00192527"/>
    <w:rsid w:val="001926DC"/>
    <w:rsid w:val="00192DA3"/>
    <w:rsid w:val="001930EC"/>
    <w:rsid w:val="0019376C"/>
    <w:rsid w:val="00193E24"/>
    <w:rsid w:val="00194430"/>
    <w:rsid w:val="00194484"/>
    <w:rsid w:val="00194C05"/>
    <w:rsid w:val="001960D0"/>
    <w:rsid w:val="001971D5"/>
    <w:rsid w:val="00197237"/>
    <w:rsid w:val="00197A30"/>
    <w:rsid w:val="001A0500"/>
    <w:rsid w:val="001A08B5"/>
    <w:rsid w:val="001A0C30"/>
    <w:rsid w:val="001A135D"/>
    <w:rsid w:val="001A1888"/>
    <w:rsid w:val="001A1CC6"/>
    <w:rsid w:val="001A275D"/>
    <w:rsid w:val="001A2AAA"/>
    <w:rsid w:val="001A2C8B"/>
    <w:rsid w:val="001A2F2F"/>
    <w:rsid w:val="001A32FE"/>
    <w:rsid w:val="001A350B"/>
    <w:rsid w:val="001A351E"/>
    <w:rsid w:val="001A3766"/>
    <w:rsid w:val="001A38A8"/>
    <w:rsid w:val="001A4132"/>
    <w:rsid w:val="001A4F14"/>
    <w:rsid w:val="001A57F7"/>
    <w:rsid w:val="001A58E2"/>
    <w:rsid w:val="001A76F7"/>
    <w:rsid w:val="001A7B1C"/>
    <w:rsid w:val="001A7E1B"/>
    <w:rsid w:val="001B041B"/>
    <w:rsid w:val="001B050C"/>
    <w:rsid w:val="001B05F2"/>
    <w:rsid w:val="001B0B68"/>
    <w:rsid w:val="001B0E60"/>
    <w:rsid w:val="001B0F43"/>
    <w:rsid w:val="001B1A76"/>
    <w:rsid w:val="001B1DCF"/>
    <w:rsid w:val="001B1FC4"/>
    <w:rsid w:val="001B2389"/>
    <w:rsid w:val="001B261C"/>
    <w:rsid w:val="001B2EE7"/>
    <w:rsid w:val="001B35F8"/>
    <w:rsid w:val="001B370B"/>
    <w:rsid w:val="001B38A8"/>
    <w:rsid w:val="001B409A"/>
    <w:rsid w:val="001B44A3"/>
    <w:rsid w:val="001B4617"/>
    <w:rsid w:val="001B4FCF"/>
    <w:rsid w:val="001B578A"/>
    <w:rsid w:val="001B5C9A"/>
    <w:rsid w:val="001B670C"/>
    <w:rsid w:val="001B6C8C"/>
    <w:rsid w:val="001B70EB"/>
    <w:rsid w:val="001B7499"/>
    <w:rsid w:val="001C077F"/>
    <w:rsid w:val="001C092C"/>
    <w:rsid w:val="001C09B3"/>
    <w:rsid w:val="001C0F2A"/>
    <w:rsid w:val="001C1AB0"/>
    <w:rsid w:val="001C29AF"/>
    <w:rsid w:val="001C2DB0"/>
    <w:rsid w:val="001C3960"/>
    <w:rsid w:val="001C4255"/>
    <w:rsid w:val="001C42F0"/>
    <w:rsid w:val="001C44C9"/>
    <w:rsid w:val="001C4958"/>
    <w:rsid w:val="001C59BE"/>
    <w:rsid w:val="001C5F9A"/>
    <w:rsid w:val="001C60ED"/>
    <w:rsid w:val="001C6B49"/>
    <w:rsid w:val="001C6B52"/>
    <w:rsid w:val="001C7451"/>
    <w:rsid w:val="001C759E"/>
    <w:rsid w:val="001C788E"/>
    <w:rsid w:val="001C7AB0"/>
    <w:rsid w:val="001C7F60"/>
    <w:rsid w:val="001D1511"/>
    <w:rsid w:val="001D3962"/>
    <w:rsid w:val="001D45A5"/>
    <w:rsid w:val="001D4750"/>
    <w:rsid w:val="001D4A3D"/>
    <w:rsid w:val="001D4E59"/>
    <w:rsid w:val="001D62E2"/>
    <w:rsid w:val="001D74F4"/>
    <w:rsid w:val="001D787F"/>
    <w:rsid w:val="001D78C1"/>
    <w:rsid w:val="001D7FF7"/>
    <w:rsid w:val="001E0B41"/>
    <w:rsid w:val="001E1013"/>
    <w:rsid w:val="001E132C"/>
    <w:rsid w:val="001E15D4"/>
    <w:rsid w:val="001E1BC6"/>
    <w:rsid w:val="001E240D"/>
    <w:rsid w:val="001E264E"/>
    <w:rsid w:val="001E2AFA"/>
    <w:rsid w:val="001E3415"/>
    <w:rsid w:val="001E4213"/>
    <w:rsid w:val="001E4FFE"/>
    <w:rsid w:val="001E52AA"/>
    <w:rsid w:val="001E65AA"/>
    <w:rsid w:val="001E6A59"/>
    <w:rsid w:val="001E72B5"/>
    <w:rsid w:val="001E7DAA"/>
    <w:rsid w:val="001F02D6"/>
    <w:rsid w:val="001F11DD"/>
    <w:rsid w:val="001F148D"/>
    <w:rsid w:val="001F1C04"/>
    <w:rsid w:val="001F21BB"/>
    <w:rsid w:val="001F22AD"/>
    <w:rsid w:val="001F232B"/>
    <w:rsid w:val="001F25B1"/>
    <w:rsid w:val="001F318D"/>
    <w:rsid w:val="001F320C"/>
    <w:rsid w:val="001F32F8"/>
    <w:rsid w:val="001F3891"/>
    <w:rsid w:val="001F3956"/>
    <w:rsid w:val="001F5AC4"/>
    <w:rsid w:val="001F688F"/>
    <w:rsid w:val="001F69AB"/>
    <w:rsid w:val="001F754F"/>
    <w:rsid w:val="001F7C4E"/>
    <w:rsid w:val="001F7E71"/>
    <w:rsid w:val="00201150"/>
    <w:rsid w:val="0020126E"/>
    <w:rsid w:val="00201FA4"/>
    <w:rsid w:val="002021A4"/>
    <w:rsid w:val="0020353C"/>
    <w:rsid w:val="00203AD2"/>
    <w:rsid w:val="00204E67"/>
    <w:rsid w:val="0020508D"/>
    <w:rsid w:val="002054DB"/>
    <w:rsid w:val="00205740"/>
    <w:rsid w:val="00205883"/>
    <w:rsid w:val="00206A8E"/>
    <w:rsid w:val="00207839"/>
    <w:rsid w:val="00210BA5"/>
    <w:rsid w:val="00211302"/>
    <w:rsid w:val="002113E5"/>
    <w:rsid w:val="00211597"/>
    <w:rsid w:val="002117A3"/>
    <w:rsid w:val="002117DE"/>
    <w:rsid w:val="00212C6E"/>
    <w:rsid w:val="00213268"/>
    <w:rsid w:val="002133BB"/>
    <w:rsid w:val="00213623"/>
    <w:rsid w:val="00213865"/>
    <w:rsid w:val="00214CFB"/>
    <w:rsid w:val="002159E1"/>
    <w:rsid w:val="002161D8"/>
    <w:rsid w:val="002179B1"/>
    <w:rsid w:val="002179DB"/>
    <w:rsid w:val="00220960"/>
    <w:rsid w:val="00221032"/>
    <w:rsid w:val="00221622"/>
    <w:rsid w:val="00221AB0"/>
    <w:rsid w:val="00222E27"/>
    <w:rsid w:val="00222E59"/>
    <w:rsid w:val="00223108"/>
    <w:rsid w:val="00223134"/>
    <w:rsid w:val="0022390B"/>
    <w:rsid w:val="00223C27"/>
    <w:rsid w:val="00223FA6"/>
    <w:rsid w:val="002245E8"/>
    <w:rsid w:val="002253B6"/>
    <w:rsid w:val="00225809"/>
    <w:rsid w:val="00225962"/>
    <w:rsid w:val="00225F8B"/>
    <w:rsid w:val="00226D41"/>
    <w:rsid w:val="00226DE7"/>
    <w:rsid w:val="00226F61"/>
    <w:rsid w:val="0022753B"/>
    <w:rsid w:val="00230215"/>
    <w:rsid w:val="00230744"/>
    <w:rsid w:val="00230974"/>
    <w:rsid w:val="00231162"/>
    <w:rsid w:val="002313E4"/>
    <w:rsid w:val="002325B0"/>
    <w:rsid w:val="0023380E"/>
    <w:rsid w:val="002338E8"/>
    <w:rsid w:val="0023392F"/>
    <w:rsid w:val="002339B6"/>
    <w:rsid w:val="00234348"/>
    <w:rsid w:val="00234656"/>
    <w:rsid w:val="00234943"/>
    <w:rsid w:val="00234D49"/>
    <w:rsid w:val="00235CB3"/>
    <w:rsid w:val="0023713B"/>
    <w:rsid w:val="0023728D"/>
    <w:rsid w:val="002408A5"/>
    <w:rsid w:val="00241083"/>
    <w:rsid w:val="0024113E"/>
    <w:rsid w:val="00241442"/>
    <w:rsid w:val="00241F97"/>
    <w:rsid w:val="00242887"/>
    <w:rsid w:val="00242C9E"/>
    <w:rsid w:val="00242E33"/>
    <w:rsid w:val="002437CA"/>
    <w:rsid w:val="00243B72"/>
    <w:rsid w:val="00243FBE"/>
    <w:rsid w:val="002442EB"/>
    <w:rsid w:val="00244C2E"/>
    <w:rsid w:val="002451CB"/>
    <w:rsid w:val="0024523F"/>
    <w:rsid w:val="002455F4"/>
    <w:rsid w:val="00245FA3"/>
    <w:rsid w:val="00246B05"/>
    <w:rsid w:val="00246B54"/>
    <w:rsid w:val="00246C91"/>
    <w:rsid w:val="00246CA1"/>
    <w:rsid w:val="00247BDE"/>
    <w:rsid w:val="002508ED"/>
    <w:rsid w:val="00251E5C"/>
    <w:rsid w:val="0025257B"/>
    <w:rsid w:val="0025362A"/>
    <w:rsid w:val="00253C25"/>
    <w:rsid w:val="00255747"/>
    <w:rsid w:val="0025584F"/>
    <w:rsid w:val="00255A07"/>
    <w:rsid w:val="00255B83"/>
    <w:rsid w:val="00255D5A"/>
    <w:rsid w:val="002568C5"/>
    <w:rsid w:val="00257396"/>
    <w:rsid w:val="00257710"/>
    <w:rsid w:val="00257B78"/>
    <w:rsid w:val="002601BF"/>
    <w:rsid w:val="0026050B"/>
    <w:rsid w:val="00260915"/>
    <w:rsid w:val="00260CE3"/>
    <w:rsid w:val="0026219E"/>
    <w:rsid w:val="002623B4"/>
    <w:rsid w:val="00263AD3"/>
    <w:rsid w:val="00263B17"/>
    <w:rsid w:val="00263C5E"/>
    <w:rsid w:val="00263F38"/>
    <w:rsid w:val="00264618"/>
    <w:rsid w:val="00264BF5"/>
    <w:rsid w:val="00264E7B"/>
    <w:rsid w:val="00265511"/>
    <w:rsid w:val="002656A3"/>
    <w:rsid w:val="00265706"/>
    <w:rsid w:val="00265B79"/>
    <w:rsid w:val="00265DE8"/>
    <w:rsid w:val="00266DBF"/>
    <w:rsid w:val="002705E3"/>
    <w:rsid w:val="00270C71"/>
    <w:rsid w:val="002715E1"/>
    <w:rsid w:val="0027196F"/>
    <w:rsid w:val="0027271F"/>
    <w:rsid w:val="00273A1E"/>
    <w:rsid w:val="00274432"/>
    <w:rsid w:val="00274D44"/>
    <w:rsid w:val="00274F1A"/>
    <w:rsid w:val="002766E2"/>
    <w:rsid w:val="0027677B"/>
    <w:rsid w:val="00276802"/>
    <w:rsid w:val="00277427"/>
    <w:rsid w:val="00277543"/>
    <w:rsid w:val="002776C0"/>
    <w:rsid w:val="0027799C"/>
    <w:rsid w:val="00277FF0"/>
    <w:rsid w:val="00280AA2"/>
    <w:rsid w:val="002818DF"/>
    <w:rsid w:val="00281ACD"/>
    <w:rsid w:val="002830CF"/>
    <w:rsid w:val="002833AB"/>
    <w:rsid w:val="00283E62"/>
    <w:rsid w:val="0028402C"/>
    <w:rsid w:val="0028492D"/>
    <w:rsid w:val="00284F13"/>
    <w:rsid w:val="002853A2"/>
    <w:rsid w:val="002854D7"/>
    <w:rsid w:val="002855F8"/>
    <w:rsid w:val="00286347"/>
    <w:rsid w:val="00286B9B"/>
    <w:rsid w:val="00286C84"/>
    <w:rsid w:val="00291306"/>
    <w:rsid w:val="00291DA7"/>
    <w:rsid w:val="00294322"/>
    <w:rsid w:val="0029502E"/>
    <w:rsid w:val="0029522B"/>
    <w:rsid w:val="00295507"/>
    <w:rsid w:val="0029763F"/>
    <w:rsid w:val="00297AD5"/>
    <w:rsid w:val="00297FC2"/>
    <w:rsid w:val="002A0105"/>
    <w:rsid w:val="002A0112"/>
    <w:rsid w:val="002A0BAC"/>
    <w:rsid w:val="002A0E16"/>
    <w:rsid w:val="002A12E5"/>
    <w:rsid w:val="002A165D"/>
    <w:rsid w:val="002A20A5"/>
    <w:rsid w:val="002A20CA"/>
    <w:rsid w:val="002A25C9"/>
    <w:rsid w:val="002A2A66"/>
    <w:rsid w:val="002A2D5D"/>
    <w:rsid w:val="002A3115"/>
    <w:rsid w:val="002A3426"/>
    <w:rsid w:val="002A3BC6"/>
    <w:rsid w:val="002A3D78"/>
    <w:rsid w:val="002A3DAA"/>
    <w:rsid w:val="002A3E16"/>
    <w:rsid w:val="002A44EA"/>
    <w:rsid w:val="002A4C11"/>
    <w:rsid w:val="002A4C1E"/>
    <w:rsid w:val="002A576E"/>
    <w:rsid w:val="002A5928"/>
    <w:rsid w:val="002A5D76"/>
    <w:rsid w:val="002A60EC"/>
    <w:rsid w:val="002A636A"/>
    <w:rsid w:val="002A679C"/>
    <w:rsid w:val="002A6B9D"/>
    <w:rsid w:val="002A7D33"/>
    <w:rsid w:val="002B01BF"/>
    <w:rsid w:val="002B0DB9"/>
    <w:rsid w:val="002B13E6"/>
    <w:rsid w:val="002B1874"/>
    <w:rsid w:val="002B1DB3"/>
    <w:rsid w:val="002B1DD3"/>
    <w:rsid w:val="002B2033"/>
    <w:rsid w:val="002B2079"/>
    <w:rsid w:val="002B287F"/>
    <w:rsid w:val="002B353B"/>
    <w:rsid w:val="002B35EC"/>
    <w:rsid w:val="002B3851"/>
    <w:rsid w:val="002B45DB"/>
    <w:rsid w:val="002B46B7"/>
    <w:rsid w:val="002B4724"/>
    <w:rsid w:val="002B4ABA"/>
    <w:rsid w:val="002B4E99"/>
    <w:rsid w:val="002B5E6E"/>
    <w:rsid w:val="002B6DCC"/>
    <w:rsid w:val="002B6FE3"/>
    <w:rsid w:val="002B7902"/>
    <w:rsid w:val="002B7E7F"/>
    <w:rsid w:val="002C0332"/>
    <w:rsid w:val="002C0706"/>
    <w:rsid w:val="002C14DB"/>
    <w:rsid w:val="002C1A7F"/>
    <w:rsid w:val="002C2732"/>
    <w:rsid w:val="002C2927"/>
    <w:rsid w:val="002C35F8"/>
    <w:rsid w:val="002C3815"/>
    <w:rsid w:val="002C3DAD"/>
    <w:rsid w:val="002C4270"/>
    <w:rsid w:val="002C4B99"/>
    <w:rsid w:val="002C4DCF"/>
    <w:rsid w:val="002C4F98"/>
    <w:rsid w:val="002C5656"/>
    <w:rsid w:val="002C63B8"/>
    <w:rsid w:val="002C6602"/>
    <w:rsid w:val="002C6825"/>
    <w:rsid w:val="002C6907"/>
    <w:rsid w:val="002C69D2"/>
    <w:rsid w:val="002C74CE"/>
    <w:rsid w:val="002C757E"/>
    <w:rsid w:val="002C762B"/>
    <w:rsid w:val="002C7B8B"/>
    <w:rsid w:val="002D0014"/>
    <w:rsid w:val="002D0381"/>
    <w:rsid w:val="002D07CE"/>
    <w:rsid w:val="002D09FF"/>
    <w:rsid w:val="002D0C46"/>
    <w:rsid w:val="002D0DA6"/>
    <w:rsid w:val="002D110E"/>
    <w:rsid w:val="002D1442"/>
    <w:rsid w:val="002D1E74"/>
    <w:rsid w:val="002D2038"/>
    <w:rsid w:val="002D2853"/>
    <w:rsid w:val="002D2A6E"/>
    <w:rsid w:val="002D2C92"/>
    <w:rsid w:val="002D4FA3"/>
    <w:rsid w:val="002D5795"/>
    <w:rsid w:val="002D5AA4"/>
    <w:rsid w:val="002D5E93"/>
    <w:rsid w:val="002D645E"/>
    <w:rsid w:val="002D767E"/>
    <w:rsid w:val="002E02CB"/>
    <w:rsid w:val="002E0C9D"/>
    <w:rsid w:val="002E112E"/>
    <w:rsid w:val="002E12B1"/>
    <w:rsid w:val="002E1409"/>
    <w:rsid w:val="002E17D2"/>
    <w:rsid w:val="002E1EE9"/>
    <w:rsid w:val="002E1F3F"/>
    <w:rsid w:val="002E20AB"/>
    <w:rsid w:val="002E325C"/>
    <w:rsid w:val="002E3685"/>
    <w:rsid w:val="002E3ACF"/>
    <w:rsid w:val="002E4000"/>
    <w:rsid w:val="002E41CB"/>
    <w:rsid w:val="002E4610"/>
    <w:rsid w:val="002E4BB5"/>
    <w:rsid w:val="002E5080"/>
    <w:rsid w:val="002E5309"/>
    <w:rsid w:val="002E5484"/>
    <w:rsid w:val="002E6892"/>
    <w:rsid w:val="002E6F7B"/>
    <w:rsid w:val="002E7B74"/>
    <w:rsid w:val="002F0EFF"/>
    <w:rsid w:val="002F15B9"/>
    <w:rsid w:val="002F22C8"/>
    <w:rsid w:val="002F252B"/>
    <w:rsid w:val="002F2B0E"/>
    <w:rsid w:val="002F2BC6"/>
    <w:rsid w:val="002F3F23"/>
    <w:rsid w:val="002F4306"/>
    <w:rsid w:val="002F439B"/>
    <w:rsid w:val="002F43FB"/>
    <w:rsid w:val="002F4B5A"/>
    <w:rsid w:val="002F4C41"/>
    <w:rsid w:val="002F55E2"/>
    <w:rsid w:val="002F6AF2"/>
    <w:rsid w:val="002F766B"/>
    <w:rsid w:val="002F76D9"/>
    <w:rsid w:val="0030060F"/>
    <w:rsid w:val="00301327"/>
    <w:rsid w:val="003013E6"/>
    <w:rsid w:val="00302794"/>
    <w:rsid w:val="00303C7D"/>
    <w:rsid w:val="00304017"/>
    <w:rsid w:val="00304052"/>
    <w:rsid w:val="00304383"/>
    <w:rsid w:val="00304F25"/>
    <w:rsid w:val="00304F64"/>
    <w:rsid w:val="0030628C"/>
    <w:rsid w:val="0030683F"/>
    <w:rsid w:val="003068EA"/>
    <w:rsid w:val="00306A83"/>
    <w:rsid w:val="00307A6F"/>
    <w:rsid w:val="00307AF3"/>
    <w:rsid w:val="0031067C"/>
    <w:rsid w:val="003117F5"/>
    <w:rsid w:val="00311A0B"/>
    <w:rsid w:val="003134B2"/>
    <w:rsid w:val="003137FB"/>
    <w:rsid w:val="00313EBC"/>
    <w:rsid w:val="0031411C"/>
    <w:rsid w:val="003150FF"/>
    <w:rsid w:val="00316114"/>
    <w:rsid w:val="00316351"/>
    <w:rsid w:val="0031649F"/>
    <w:rsid w:val="00316D8E"/>
    <w:rsid w:val="00316E33"/>
    <w:rsid w:val="00317154"/>
    <w:rsid w:val="003177D2"/>
    <w:rsid w:val="00320DCB"/>
    <w:rsid w:val="0032251D"/>
    <w:rsid w:val="003230A3"/>
    <w:rsid w:val="00323552"/>
    <w:rsid w:val="00323B87"/>
    <w:rsid w:val="00323E9A"/>
    <w:rsid w:val="0032441B"/>
    <w:rsid w:val="00324C2E"/>
    <w:rsid w:val="00325161"/>
    <w:rsid w:val="003253E9"/>
    <w:rsid w:val="00325E98"/>
    <w:rsid w:val="00326D5F"/>
    <w:rsid w:val="003270F0"/>
    <w:rsid w:val="003271F4"/>
    <w:rsid w:val="0032776E"/>
    <w:rsid w:val="00327879"/>
    <w:rsid w:val="00327BEF"/>
    <w:rsid w:val="003306A1"/>
    <w:rsid w:val="00330A9B"/>
    <w:rsid w:val="00330C2D"/>
    <w:rsid w:val="003315F2"/>
    <w:rsid w:val="00331996"/>
    <w:rsid w:val="00332293"/>
    <w:rsid w:val="003324AA"/>
    <w:rsid w:val="00332779"/>
    <w:rsid w:val="00332A00"/>
    <w:rsid w:val="00333419"/>
    <w:rsid w:val="003334E5"/>
    <w:rsid w:val="00333C87"/>
    <w:rsid w:val="00334950"/>
    <w:rsid w:val="00334FA0"/>
    <w:rsid w:val="00335291"/>
    <w:rsid w:val="00335DF8"/>
    <w:rsid w:val="003379D4"/>
    <w:rsid w:val="00337E4C"/>
    <w:rsid w:val="003405FC"/>
    <w:rsid w:val="00340EFC"/>
    <w:rsid w:val="00342077"/>
    <w:rsid w:val="00342C3E"/>
    <w:rsid w:val="00342D49"/>
    <w:rsid w:val="00342DAA"/>
    <w:rsid w:val="003430F7"/>
    <w:rsid w:val="0034350C"/>
    <w:rsid w:val="00343A14"/>
    <w:rsid w:val="00343CB4"/>
    <w:rsid w:val="00344390"/>
    <w:rsid w:val="00344612"/>
    <w:rsid w:val="00344689"/>
    <w:rsid w:val="00344E84"/>
    <w:rsid w:val="003450B6"/>
    <w:rsid w:val="003452DD"/>
    <w:rsid w:val="00345E18"/>
    <w:rsid w:val="00346137"/>
    <w:rsid w:val="003467A9"/>
    <w:rsid w:val="003467ED"/>
    <w:rsid w:val="00346875"/>
    <w:rsid w:val="003470C6"/>
    <w:rsid w:val="00347364"/>
    <w:rsid w:val="00347DC1"/>
    <w:rsid w:val="00350A7A"/>
    <w:rsid w:val="0035169E"/>
    <w:rsid w:val="003523A2"/>
    <w:rsid w:val="00352642"/>
    <w:rsid w:val="00352846"/>
    <w:rsid w:val="0035497B"/>
    <w:rsid w:val="00355898"/>
    <w:rsid w:val="00355F6C"/>
    <w:rsid w:val="00356A3A"/>
    <w:rsid w:val="0035749A"/>
    <w:rsid w:val="00357A95"/>
    <w:rsid w:val="00360275"/>
    <w:rsid w:val="00360554"/>
    <w:rsid w:val="00360603"/>
    <w:rsid w:val="00360D45"/>
    <w:rsid w:val="00361441"/>
    <w:rsid w:val="00361462"/>
    <w:rsid w:val="003618B7"/>
    <w:rsid w:val="0036196F"/>
    <w:rsid w:val="00361BD0"/>
    <w:rsid w:val="0036207D"/>
    <w:rsid w:val="00362835"/>
    <w:rsid w:val="00362CAD"/>
    <w:rsid w:val="00362EC1"/>
    <w:rsid w:val="00363144"/>
    <w:rsid w:val="003633D7"/>
    <w:rsid w:val="003639F9"/>
    <w:rsid w:val="00363ECB"/>
    <w:rsid w:val="0036457A"/>
    <w:rsid w:val="00364C9A"/>
    <w:rsid w:val="00365023"/>
    <w:rsid w:val="003651D9"/>
    <w:rsid w:val="00365CF5"/>
    <w:rsid w:val="00365E8E"/>
    <w:rsid w:val="00366652"/>
    <w:rsid w:val="00366BFC"/>
    <w:rsid w:val="00367CFA"/>
    <w:rsid w:val="0037025E"/>
    <w:rsid w:val="003704B4"/>
    <w:rsid w:val="0037120E"/>
    <w:rsid w:val="00371EB5"/>
    <w:rsid w:val="003728E7"/>
    <w:rsid w:val="003738FE"/>
    <w:rsid w:val="0037461F"/>
    <w:rsid w:val="00374927"/>
    <w:rsid w:val="00374B47"/>
    <w:rsid w:val="0037507E"/>
    <w:rsid w:val="0037521F"/>
    <w:rsid w:val="003755BA"/>
    <w:rsid w:val="0037582C"/>
    <w:rsid w:val="00375CD0"/>
    <w:rsid w:val="00375E39"/>
    <w:rsid w:val="00376717"/>
    <w:rsid w:val="00376BCF"/>
    <w:rsid w:val="00377177"/>
    <w:rsid w:val="0037790B"/>
    <w:rsid w:val="00377ADC"/>
    <w:rsid w:val="003803B0"/>
    <w:rsid w:val="00380CC7"/>
    <w:rsid w:val="00381B20"/>
    <w:rsid w:val="00383192"/>
    <w:rsid w:val="00383575"/>
    <w:rsid w:val="00384D99"/>
    <w:rsid w:val="00385623"/>
    <w:rsid w:val="003859D8"/>
    <w:rsid w:val="00385C81"/>
    <w:rsid w:val="00386022"/>
    <w:rsid w:val="0038620D"/>
    <w:rsid w:val="0038648A"/>
    <w:rsid w:val="00386A96"/>
    <w:rsid w:val="00387340"/>
    <w:rsid w:val="00387453"/>
    <w:rsid w:val="003877BB"/>
    <w:rsid w:val="00390CB7"/>
    <w:rsid w:val="003918FF"/>
    <w:rsid w:val="00391E37"/>
    <w:rsid w:val="00391EA4"/>
    <w:rsid w:val="003920C9"/>
    <w:rsid w:val="00392628"/>
    <w:rsid w:val="00393E4E"/>
    <w:rsid w:val="00393FD2"/>
    <w:rsid w:val="003948F8"/>
    <w:rsid w:val="00394C15"/>
    <w:rsid w:val="00394D73"/>
    <w:rsid w:val="00394D79"/>
    <w:rsid w:val="0039597A"/>
    <w:rsid w:val="0039629B"/>
    <w:rsid w:val="003964AA"/>
    <w:rsid w:val="00397C6B"/>
    <w:rsid w:val="00397CBA"/>
    <w:rsid w:val="00397E94"/>
    <w:rsid w:val="003A0150"/>
    <w:rsid w:val="003A017C"/>
    <w:rsid w:val="003A028F"/>
    <w:rsid w:val="003A1976"/>
    <w:rsid w:val="003A265E"/>
    <w:rsid w:val="003A274E"/>
    <w:rsid w:val="003A2A9C"/>
    <w:rsid w:val="003A2C94"/>
    <w:rsid w:val="003A31AF"/>
    <w:rsid w:val="003A3575"/>
    <w:rsid w:val="003A4365"/>
    <w:rsid w:val="003A480F"/>
    <w:rsid w:val="003A4DD6"/>
    <w:rsid w:val="003A7CB6"/>
    <w:rsid w:val="003A7F46"/>
    <w:rsid w:val="003A7F70"/>
    <w:rsid w:val="003B0B3E"/>
    <w:rsid w:val="003B0E69"/>
    <w:rsid w:val="003B1E28"/>
    <w:rsid w:val="003B3BE6"/>
    <w:rsid w:val="003B457E"/>
    <w:rsid w:val="003B5835"/>
    <w:rsid w:val="003B5A8B"/>
    <w:rsid w:val="003B625B"/>
    <w:rsid w:val="003B6ED8"/>
    <w:rsid w:val="003B7265"/>
    <w:rsid w:val="003C0EA7"/>
    <w:rsid w:val="003C0EE5"/>
    <w:rsid w:val="003C123B"/>
    <w:rsid w:val="003C1904"/>
    <w:rsid w:val="003C19B2"/>
    <w:rsid w:val="003C1AF9"/>
    <w:rsid w:val="003C1DBA"/>
    <w:rsid w:val="003C3FF8"/>
    <w:rsid w:val="003C4000"/>
    <w:rsid w:val="003C4591"/>
    <w:rsid w:val="003C4728"/>
    <w:rsid w:val="003C4B27"/>
    <w:rsid w:val="003C4B2C"/>
    <w:rsid w:val="003C4F90"/>
    <w:rsid w:val="003C5928"/>
    <w:rsid w:val="003C5B30"/>
    <w:rsid w:val="003C6405"/>
    <w:rsid w:val="003C6593"/>
    <w:rsid w:val="003C7163"/>
    <w:rsid w:val="003D0C72"/>
    <w:rsid w:val="003D13D7"/>
    <w:rsid w:val="003D1A45"/>
    <w:rsid w:val="003D1B3A"/>
    <w:rsid w:val="003D1BB2"/>
    <w:rsid w:val="003D1BF4"/>
    <w:rsid w:val="003D27E3"/>
    <w:rsid w:val="003D2AD6"/>
    <w:rsid w:val="003D2CFB"/>
    <w:rsid w:val="003D3019"/>
    <w:rsid w:val="003D3E24"/>
    <w:rsid w:val="003D3FBF"/>
    <w:rsid w:val="003D473F"/>
    <w:rsid w:val="003D54EE"/>
    <w:rsid w:val="003D59AF"/>
    <w:rsid w:val="003D6DC3"/>
    <w:rsid w:val="003D7C1C"/>
    <w:rsid w:val="003E004D"/>
    <w:rsid w:val="003E01E9"/>
    <w:rsid w:val="003E0FC4"/>
    <w:rsid w:val="003E11ED"/>
    <w:rsid w:val="003E1651"/>
    <w:rsid w:val="003E1866"/>
    <w:rsid w:val="003E2323"/>
    <w:rsid w:val="003E24D3"/>
    <w:rsid w:val="003E2671"/>
    <w:rsid w:val="003E2C1C"/>
    <w:rsid w:val="003E2E78"/>
    <w:rsid w:val="003E322C"/>
    <w:rsid w:val="003E36F4"/>
    <w:rsid w:val="003E39C8"/>
    <w:rsid w:val="003E3FF3"/>
    <w:rsid w:val="003E4CCF"/>
    <w:rsid w:val="003E54A0"/>
    <w:rsid w:val="003E55F6"/>
    <w:rsid w:val="003E585B"/>
    <w:rsid w:val="003E5F63"/>
    <w:rsid w:val="003E6078"/>
    <w:rsid w:val="003E6B4F"/>
    <w:rsid w:val="003E7010"/>
    <w:rsid w:val="003E77DC"/>
    <w:rsid w:val="003E7AC7"/>
    <w:rsid w:val="003E7B59"/>
    <w:rsid w:val="003F00D0"/>
    <w:rsid w:val="003F0446"/>
    <w:rsid w:val="003F05F9"/>
    <w:rsid w:val="003F283B"/>
    <w:rsid w:val="003F51E8"/>
    <w:rsid w:val="003F5468"/>
    <w:rsid w:val="003F5594"/>
    <w:rsid w:val="003F6254"/>
    <w:rsid w:val="003F6303"/>
    <w:rsid w:val="003F65D2"/>
    <w:rsid w:val="003F67D6"/>
    <w:rsid w:val="003F6CC6"/>
    <w:rsid w:val="003F7169"/>
    <w:rsid w:val="003F7410"/>
    <w:rsid w:val="003F767F"/>
    <w:rsid w:val="0040088C"/>
    <w:rsid w:val="00400AB7"/>
    <w:rsid w:val="00401993"/>
    <w:rsid w:val="004024CC"/>
    <w:rsid w:val="00402A08"/>
    <w:rsid w:val="00402F1A"/>
    <w:rsid w:val="00403B8E"/>
    <w:rsid w:val="004046E6"/>
    <w:rsid w:val="00404B9F"/>
    <w:rsid w:val="00404F1D"/>
    <w:rsid w:val="004055F8"/>
    <w:rsid w:val="004069C7"/>
    <w:rsid w:val="0040701E"/>
    <w:rsid w:val="0040729D"/>
    <w:rsid w:val="00407666"/>
    <w:rsid w:val="00407F48"/>
    <w:rsid w:val="00410098"/>
    <w:rsid w:val="004103B2"/>
    <w:rsid w:val="00410BFE"/>
    <w:rsid w:val="00410F93"/>
    <w:rsid w:val="004116FD"/>
    <w:rsid w:val="00411CA8"/>
    <w:rsid w:val="0041200F"/>
    <w:rsid w:val="00412215"/>
    <w:rsid w:val="00412F33"/>
    <w:rsid w:val="004141A5"/>
    <w:rsid w:val="00414876"/>
    <w:rsid w:val="00414FEA"/>
    <w:rsid w:val="004154A5"/>
    <w:rsid w:val="004156B9"/>
    <w:rsid w:val="00415EB6"/>
    <w:rsid w:val="004160DF"/>
    <w:rsid w:val="00416459"/>
    <w:rsid w:val="00416CC4"/>
    <w:rsid w:val="00417B5B"/>
    <w:rsid w:val="00417B6A"/>
    <w:rsid w:val="00417FB7"/>
    <w:rsid w:val="00422D52"/>
    <w:rsid w:val="00423775"/>
    <w:rsid w:val="00423A2E"/>
    <w:rsid w:val="00423B15"/>
    <w:rsid w:val="00423BF9"/>
    <w:rsid w:val="00423FC8"/>
    <w:rsid w:val="0042456B"/>
    <w:rsid w:val="004247F9"/>
    <w:rsid w:val="00425144"/>
    <w:rsid w:val="0042549C"/>
    <w:rsid w:val="00425562"/>
    <w:rsid w:val="00425DE2"/>
    <w:rsid w:val="00427768"/>
    <w:rsid w:val="00427814"/>
    <w:rsid w:val="0042797D"/>
    <w:rsid w:val="00427F0E"/>
    <w:rsid w:val="00427F3C"/>
    <w:rsid w:val="004301BA"/>
    <w:rsid w:val="004311C7"/>
    <w:rsid w:val="004314D8"/>
    <w:rsid w:val="00431A1A"/>
    <w:rsid w:val="00431CEE"/>
    <w:rsid w:val="00432912"/>
    <w:rsid w:val="004330F7"/>
    <w:rsid w:val="00433349"/>
    <w:rsid w:val="004340AA"/>
    <w:rsid w:val="00434376"/>
    <w:rsid w:val="00434465"/>
    <w:rsid w:val="00435830"/>
    <w:rsid w:val="0043665F"/>
    <w:rsid w:val="0043666E"/>
    <w:rsid w:val="00436A42"/>
    <w:rsid w:val="0043767D"/>
    <w:rsid w:val="00440264"/>
    <w:rsid w:val="004402A5"/>
    <w:rsid w:val="00440315"/>
    <w:rsid w:val="0044112F"/>
    <w:rsid w:val="00441408"/>
    <w:rsid w:val="004419B3"/>
    <w:rsid w:val="00441D8C"/>
    <w:rsid w:val="00441FCE"/>
    <w:rsid w:val="00442123"/>
    <w:rsid w:val="00442A24"/>
    <w:rsid w:val="0044320D"/>
    <w:rsid w:val="00443D6C"/>
    <w:rsid w:val="004446A4"/>
    <w:rsid w:val="004446AE"/>
    <w:rsid w:val="00445133"/>
    <w:rsid w:val="004456A3"/>
    <w:rsid w:val="00446598"/>
    <w:rsid w:val="0045022C"/>
    <w:rsid w:val="004503C3"/>
    <w:rsid w:val="00450697"/>
    <w:rsid w:val="00450A74"/>
    <w:rsid w:val="00451510"/>
    <w:rsid w:val="004515F7"/>
    <w:rsid w:val="004518A4"/>
    <w:rsid w:val="0045199E"/>
    <w:rsid w:val="004523E0"/>
    <w:rsid w:val="00452765"/>
    <w:rsid w:val="00453332"/>
    <w:rsid w:val="004538D6"/>
    <w:rsid w:val="00454253"/>
    <w:rsid w:val="00454AED"/>
    <w:rsid w:val="004555AA"/>
    <w:rsid w:val="0045569D"/>
    <w:rsid w:val="00456BB5"/>
    <w:rsid w:val="0045749A"/>
    <w:rsid w:val="00457F07"/>
    <w:rsid w:val="004600D7"/>
    <w:rsid w:val="00460525"/>
    <w:rsid w:val="0046069E"/>
    <w:rsid w:val="004613FB"/>
    <w:rsid w:val="00461CCD"/>
    <w:rsid w:val="00461D8F"/>
    <w:rsid w:val="00461D92"/>
    <w:rsid w:val="0046231B"/>
    <w:rsid w:val="00462E4C"/>
    <w:rsid w:val="0046315A"/>
    <w:rsid w:val="004638B7"/>
    <w:rsid w:val="00463B35"/>
    <w:rsid w:val="00463D88"/>
    <w:rsid w:val="0046561E"/>
    <w:rsid w:val="00466617"/>
    <w:rsid w:val="00466681"/>
    <w:rsid w:val="004667FC"/>
    <w:rsid w:val="00466A23"/>
    <w:rsid w:val="00466D03"/>
    <w:rsid w:val="00466E6B"/>
    <w:rsid w:val="00467B34"/>
    <w:rsid w:val="004704C6"/>
    <w:rsid w:val="0047059F"/>
    <w:rsid w:val="00471CC0"/>
    <w:rsid w:val="00472DFD"/>
    <w:rsid w:val="00473AA4"/>
    <w:rsid w:val="00473FC5"/>
    <w:rsid w:val="00474054"/>
    <w:rsid w:val="004749D7"/>
    <w:rsid w:val="00475598"/>
    <w:rsid w:val="00475719"/>
    <w:rsid w:val="00475A9A"/>
    <w:rsid w:val="00476E7F"/>
    <w:rsid w:val="00476F16"/>
    <w:rsid w:val="0047703A"/>
    <w:rsid w:val="00477E42"/>
    <w:rsid w:val="004805CB"/>
    <w:rsid w:val="004806E7"/>
    <w:rsid w:val="0048125C"/>
    <w:rsid w:val="0048152C"/>
    <w:rsid w:val="0048174F"/>
    <w:rsid w:val="00481751"/>
    <w:rsid w:val="00481C18"/>
    <w:rsid w:val="00482143"/>
    <w:rsid w:val="00482DC6"/>
    <w:rsid w:val="0048333E"/>
    <w:rsid w:val="004842FA"/>
    <w:rsid w:val="00484526"/>
    <w:rsid w:val="00485832"/>
    <w:rsid w:val="00485B63"/>
    <w:rsid w:val="00485C7E"/>
    <w:rsid w:val="004861E9"/>
    <w:rsid w:val="004862DF"/>
    <w:rsid w:val="00486361"/>
    <w:rsid w:val="00486709"/>
    <w:rsid w:val="00486E0B"/>
    <w:rsid w:val="00487103"/>
    <w:rsid w:val="0048720F"/>
    <w:rsid w:val="00487BF5"/>
    <w:rsid w:val="004909BD"/>
    <w:rsid w:val="00491A96"/>
    <w:rsid w:val="00492350"/>
    <w:rsid w:val="004929A4"/>
    <w:rsid w:val="00492FE8"/>
    <w:rsid w:val="0049317A"/>
    <w:rsid w:val="00493914"/>
    <w:rsid w:val="00494A25"/>
    <w:rsid w:val="00495401"/>
    <w:rsid w:val="00495F98"/>
    <w:rsid w:val="00497184"/>
    <w:rsid w:val="00497675"/>
    <w:rsid w:val="00497DEF"/>
    <w:rsid w:val="004A09E1"/>
    <w:rsid w:val="004A0CBE"/>
    <w:rsid w:val="004A0FB4"/>
    <w:rsid w:val="004A12B4"/>
    <w:rsid w:val="004A13AF"/>
    <w:rsid w:val="004A1952"/>
    <w:rsid w:val="004A2223"/>
    <w:rsid w:val="004A2877"/>
    <w:rsid w:val="004A2990"/>
    <w:rsid w:val="004A3209"/>
    <w:rsid w:val="004A33AB"/>
    <w:rsid w:val="004A35C1"/>
    <w:rsid w:val="004A4EBB"/>
    <w:rsid w:val="004A5805"/>
    <w:rsid w:val="004A5DA9"/>
    <w:rsid w:val="004A7C55"/>
    <w:rsid w:val="004B0C6D"/>
    <w:rsid w:val="004B1235"/>
    <w:rsid w:val="004B1EF8"/>
    <w:rsid w:val="004B4AFD"/>
    <w:rsid w:val="004B50E1"/>
    <w:rsid w:val="004B57ED"/>
    <w:rsid w:val="004B5A75"/>
    <w:rsid w:val="004B5DEE"/>
    <w:rsid w:val="004B6A3E"/>
    <w:rsid w:val="004B6DB5"/>
    <w:rsid w:val="004C02DA"/>
    <w:rsid w:val="004C11DD"/>
    <w:rsid w:val="004C141F"/>
    <w:rsid w:val="004C1CD1"/>
    <w:rsid w:val="004C1D87"/>
    <w:rsid w:val="004C230A"/>
    <w:rsid w:val="004C2D22"/>
    <w:rsid w:val="004C30DD"/>
    <w:rsid w:val="004C3138"/>
    <w:rsid w:val="004C4245"/>
    <w:rsid w:val="004C47CB"/>
    <w:rsid w:val="004C4C23"/>
    <w:rsid w:val="004C523B"/>
    <w:rsid w:val="004C69E4"/>
    <w:rsid w:val="004C7D51"/>
    <w:rsid w:val="004C7EB3"/>
    <w:rsid w:val="004C7F43"/>
    <w:rsid w:val="004D0429"/>
    <w:rsid w:val="004D098E"/>
    <w:rsid w:val="004D0AA0"/>
    <w:rsid w:val="004D1A45"/>
    <w:rsid w:val="004D1A53"/>
    <w:rsid w:val="004D2984"/>
    <w:rsid w:val="004D3747"/>
    <w:rsid w:val="004D3877"/>
    <w:rsid w:val="004D3BE0"/>
    <w:rsid w:val="004D3C1A"/>
    <w:rsid w:val="004D438D"/>
    <w:rsid w:val="004D51D4"/>
    <w:rsid w:val="004D54D0"/>
    <w:rsid w:val="004D560B"/>
    <w:rsid w:val="004D605A"/>
    <w:rsid w:val="004D61FB"/>
    <w:rsid w:val="004D670F"/>
    <w:rsid w:val="004D67DC"/>
    <w:rsid w:val="004D6DDB"/>
    <w:rsid w:val="004D7B6E"/>
    <w:rsid w:val="004E041E"/>
    <w:rsid w:val="004E05D0"/>
    <w:rsid w:val="004E0975"/>
    <w:rsid w:val="004E0AAD"/>
    <w:rsid w:val="004E0FC3"/>
    <w:rsid w:val="004E10D9"/>
    <w:rsid w:val="004E25C3"/>
    <w:rsid w:val="004E35E0"/>
    <w:rsid w:val="004E3B8C"/>
    <w:rsid w:val="004E42B7"/>
    <w:rsid w:val="004E4B2B"/>
    <w:rsid w:val="004E67BC"/>
    <w:rsid w:val="004E6A8C"/>
    <w:rsid w:val="004E7900"/>
    <w:rsid w:val="004E79F4"/>
    <w:rsid w:val="004F01C5"/>
    <w:rsid w:val="004F027E"/>
    <w:rsid w:val="004F1D29"/>
    <w:rsid w:val="004F1EAB"/>
    <w:rsid w:val="004F2505"/>
    <w:rsid w:val="004F2831"/>
    <w:rsid w:val="004F2DA8"/>
    <w:rsid w:val="004F32FD"/>
    <w:rsid w:val="004F4335"/>
    <w:rsid w:val="004F4B43"/>
    <w:rsid w:val="004F4D41"/>
    <w:rsid w:val="004F542D"/>
    <w:rsid w:val="004F54FC"/>
    <w:rsid w:val="004F5D02"/>
    <w:rsid w:val="004F5EF3"/>
    <w:rsid w:val="004F6733"/>
    <w:rsid w:val="004F6C46"/>
    <w:rsid w:val="004F6E6A"/>
    <w:rsid w:val="004F70F0"/>
    <w:rsid w:val="004F73D5"/>
    <w:rsid w:val="0050059B"/>
    <w:rsid w:val="00500897"/>
    <w:rsid w:val="00501D21"/>
    <w:rsid w:val="00501DE2"/>
    <w:rsid w:val="005031A8"/>
    <w:rsid w:val="00503257"/>
    <w:rsid w:val="00503600"/>
    <w:rsid w:val="00503DE6"/>
    <w:rsid w:val="0050421E"/>
    <w:rsid w:val="00504300"/>
    <w:rsid w:val="00504B01"/>
    <w:rsid w:val="005057DB"/>
    <w:rsid w:val="00505F52"/>
    <w:rsid w:val="0050636D"/>
    <w:rsid w:val="005065E2"/>
    <w:rsid w:val="00506BE2"/>
    <w:rsid w:val="00506F85"/>
    <w:rsid w:val="005072EE"/>
    <w:rsid w:val="0050744D"/>
    <w:rsid w:val="00510A09"/>
    <w:rsid w:val="00510AAA"/>
    <w:rsid w:val="00510EE8"/>
    <w:rsid w:val="00512B54"/>
    <w:rsid w:val="00512D49"/>
    <w:rsid w:val="00512F13"/>
    <w:rsid w:val="0051370E"/>
    <w:rsid w:val="005137AA"/>
    <w:rsid w:val="00513EFB"/>
    <w:rsid w:val="00513FAE"/>
    <w:rsid w:val="00514441"/>
    <w:rsid w:val="005146D3"/>
    <w:rsid w:val="0051686E"/>
    <w:rsid w:val="00516A36"/>
    <w:rsid w:val="005171C2"/>
    <w:rsid w:val="00517E23"/>
    <w:rsid w:val="00520523"/>
    <w:rsid w:val="00520C5F"/>
    <w:rsid w:val="00520FBE"/>
    <w:rsid w:val="005218BC"/>
    <w:rsid w:val="005219D3"/>
    <w:rsid w:val="005228E5"/>
    <w:rsid w:val="00522C2A"/>
    <w:rsid w:val="00522EE0"/>
    <w:rsid w:val="00523662"/>
    <w:rsid w:val="0052367D"/>
    <w:rsid w:val="00523CA2"/>
    <w:rsid w:val="00524434"/>
    <w:rsid w:val="005246E6"/>
    <w:rsid w:val="00524A7A"/>
    <w:rsid w:val="00524C87"/>
    <w:rsid w:val="00525BDB"/>
    <w:rsid w:val="005260A3"/>
    <w:rsid w:val="005273C9"/>
    <w:rsid w:val="00527F51"/>
    <w:rsid w:val="00530BEC"/>
    <w:rsid w:val="00530C78"/>
    <w:rsid w:val="00530E6A"/>
    <w:rsid w:val="00531163"/>
    <w:rsid w:val="00531206"/>
    <w:rsid w:val="00531229"/>
    <w:rsid w:val="005314FB"/>
    <w:rsid w:val="00531783"/>
    <w:rsid w:val="00531AFB"/>
    <w:rsid w:val="00531F3C"/>
    <w:rsid w:val="00532F93"/>
    <w:rsid w:val="005348B7"/>
    <w:rsid w:val="005350FD"/>
    <w:rsid w:val="0053520C"/>
    <w:rsid w:val="00535648"/>
    <w:rsid w:val="00535A80"/>
    <w:rsid w:val="00535B79"/>
    <w:rsid w:val="00536639"/>
    <w:rsid w:val="00536F7D"/>
    <w:rsid w:val="0053704B"/>
    <w:rsid w:val="005373EB"/>
    <w:rsid w:val="00540142"/>
    <w:rsid w:val="00540418"/>
    <w:rsid w:val="00540475"/>
    <w:rsid w:val="00540FAB"/>
    <w:rsid w:val="00540FE9"/>
    <w:rsid w:val="005411A3"/>
    <w:rsid w:val="00541356"/>
    <w:rsid w:val="00541596"/>
    <w:rsid w:val="00541AFE"/>
    <w:rsid w:val="00541BCC"/>
    <w:rsid w:val="00541D0F"/>
    <w:rsid w:val="0054221A"/>
    <w:rsid w:val="00542B64"/>
    <w:rsid w:val="0054316C"/>
    <w:rsid w:val="005439AF"/>
    <w:rsid w:val="005452F4"/>
    <w:rsid w:val="0054559E"/>
    <w:rsid w:val="00545B7F"/>
    <w:rsid w:val="0054691E"/>
    <w:rsid w:val="00546EC6"/>
    <w:rsid w:val="00546FEE"/>
    <w:rsid w:val="00547696"/>
    <w:rsid w:val="00547A22"/>
    <w:rsid w:val="00550810"/>
    <w:rsid w:val="005523E6"/>
    <w:rsid w:val="00552F82"/>
    <w:rsid w:val="00552FF2"/>
    <w:rsid w:val="00553B2E"/>
    <w:rsid w:val="00554AD9"/>
    <w:rsid w:val="00555218"/>
    <w:rsid w:val="00555602"/>
    <w:rsid w:val="00556E3C"/>
    <w:rsid w:val="00557D28"/>
    <w:rsid w:val="00561025"/>
    <w:rsid w:val="00562B31"/>
    <w:rsid w:val="00562CF5"/>
    <w:rsid w:val="00562DA3"/>
    <w:rsid w:val="0056380D"/>
    <w:rsid w:val="005641FA"/>
    <w:rsid w:val="005651D7"/>
    <w:rsid w:val="00565632"/>
    <w:rsid w:val="00565D32"/>
    <w:rsid w:val="00566244"/>
    <w:rsid w:val="00566310"/>
    <w:rsid w:val="00566347"/>
    <w:rsid w:val="005666C7"/>
    <w:rsid w:val="00566C78"/>
    <w:rsid w:val="005675E1"/>
    <w:rsid w:val="005676D9"/>
    <w:rsid w:val="005702A0"/>
    <w:rsid w:val="005716C2"/>
    <w:rsid w:val="005719AC"/>
    <w:rsid w:val="00572755"/>
    <w:rsid w:val="00573726"/>
    <w:rsid w:val="005739C0"/>
    <w:rsid w:val="00573EE0"/>
    <w:rsid w:val="005741AF"/>
    <w:rsid w:val="005747B7"/>
    <w:rsid w:val="00574D9D"/>
    <w:rsid w:val="00575ABD"/>
    <w:rsid w:val="005763C8"/>
    <w:rsid w:val="00576755"/>
    <w:rsid w:val="0057689E"/>
    <w:rsid w:val="00576B7E"/>
    <w:rsid w:val="00576D99"/>
    <w:rsid w:val="00576EDB"/>
    <w:rsid w:val="00576FA6"/>
    <w:rsid w:val="005770AB"/>
    <w:rsid w:val="00577E06"/>
    <w:rsid w:val="005806E0"/>
    <w:rsid w:val="005808AB"/>
    <w:rsid w:val="005817AB"/>
    <w:rsid w:val="00582265"/>
    <w:rsid w:val="00582A51"/>
    <w:rsid w:val="00582E55"/>
    <w:rsid w:val="00583214"/>
    <w:rsid w:val="005834F1"/>
    <w:rsid w:val="00583E33"/>
    <w:rsid w:val="00584119"/>
    <w:rsid w:val="005842C2"/>
    <w:rsid w:val="00584CC7"/>
    <w:rsid w:val="005851FB"/>
    <w:rsid w:val="00585650"/>
    <w:rsid w:val="00585D58"/>
    <w:rsid w:val="005860EC"/>
    <w:rsid w:val="0058638F"/>
    <w:rsid w:val="00586BEE"/>
    <w:rsid w:val="00587F1B"/>
    <w:rsid w:val="0059033C"/>
    <w:rsid w:val="0059040F"/>
    <w:rsid w:val="00590587"/>
    <w:rsid w:val="00590918"/>
    <w:rsid w:val="00590C39"/>
    <w:rsid w:val="00590C4E"/>
    <w:rsid w:val="00591F79"/>
    <w:rsid w:val="005923FE"/>
    <w:rsid w:val="00592A9D"/>
    <w:rsid w:val="00593430"/>
    <w:rsid w:val="00593890"/>
    <w:rsid w:val="00593E09"/>
    <w:rsid w:val="0059434A"/>
    <w:rsid w:val="005949DE"/>
    <w:rsid w:val="0059587F"/>
    <w:rsid w:val="00595A98"/>
    <w:rsid w:val="0059657E"/>
    <w:rsid w:val="00596A1F"/>
    <w:rsid w:val="00596F96"/>
    <w:rsid w:val="00597F2A"/>
    <w:rsid w:val="005A1709"/>
    <w:rsid w:val="005A282F"/>
    <w:rsid w:val="005A2964"/>
    <w:rsid w:val="005A29E6"/>
    <w:rsid w:val="005A2E65"/>
    <w:rsid w:val="005A2F9A"/>
    <w:rsid w:val="005A2FC2"/>
    <w:rsid w:val="005A35ED"/>
    <w:rsid w:val="005A3896"/>
    <w:rsid w:val="005A4D2B"/>
    <w:rsid w:val="005A5DF2"/>
    <w:rsid w:val="005A7211"/>
    <w:rsid w:val="005A750F"/>
    <w:rsid w:val="005A7EA1"/>
    <w:rsid w:val="005B0380"/>
    <w:rsid w:val="005B1125"/>
    <w:rsid w:val="005B1BAC"/>
    <w:rsid w:val="005B244C"/>
    <w:rsid w:val="005B3417"/>
    <w:rsid w:val="005B3A21"/>
    <w:rsid w:val="005B3F70"/>
    <w:rsid w:val="005B4003"/>
    <w:rsid w:val="005B4A48"/>
    <w:rsid w:val="005B60E5"/>
    <w:rsid w:val="005B6B8F"/>
    <w:rsid w:val="005B7BC0"/>
    <w:rsid w:val="005C157E"/>
    <w:rsid w:val="005C1810"/>
    <w:rsid w:val="005C1914"/>
    <w:rsid w:val="005C1D88"/>
    <w:rsid w:val="005C29E5"/>
    <w:rsid w:val="005C2B66"/>
    <w:rsid w:val="005C2FA6"/>
    <w:rsid w:val="005C3388"/>
    <w:rsid w:val="005C34C8"/>
    <w:rsid w:val="005C440E"/>
    <w:rsid w:val="005C4661"/>
    <w:rsid w:val="005C470B"/>
    <w:rsid w:val="005C589E"/>
    <w:rsid w:val="005C5ECE"/>
    <w:rsid w:val="005C6102"/>
    <w:rsid w:val="005C6CBE"/>
    <w:rsid w:val="005C6CE3"/>
    <w:rsid w:val="005C6E0D"/>
    <w:rsid w:val="005C6E28"/>
    <w:rsid w:val="005C7A66"/>
    <w:rsid w:val="005C7D93"/>
    <w:rsid w:val="005D01A8"/>
    <w:rsid w:val="005D08ED"/>
    <w:rsid w:val="005D0C7C"/>
    <w:rsid w:val="005D0C88"/>
    <w:rsid w:val="005D0FBE"/>
    <w:rsid w:val="005D1503"/>
    <w:rsid w:val="005D1AA2"/>
    <w:rsid w:val="005D2715"/>
    <w:rsid w:val="005D3468"/>
    <w:rsid w:val="005D466F"/>
    <w:rsid w:val="005D468F"/>
    <w:rsid w:val="005D51DF"/>
    <w:rsid w:val="005D5752"/>
    <w:rsid w:val="005D57E4"/>
    <w:rsid w:val="005D594B"/>
    <w:rsid w:val="005D596F"/>
    <w:rsid w:val="005D5B8E"/>
    <w:rsid w:val="005D6105"/>
    <w:rsid w:val="005D61F9"/>
    <w:rsid w:val="005D68E1"/>
    <w:rsid w:val="005D6964"/>
    <w:rsid w:val="005D718F"/>
    <w:rsid w:val="005E055C"/>
    <w:rsid w:val="005E0C1D"/>
    <w:rsid w:val="005E1524"/>
    <w:rsid w:val="005E1D12"/>
    <w:rsid w:val="005E2CA5"/>
    <w:rsid w:val="005E30B0"/>
    <w:rsid w:val="005E38D9"/>
    <w:rsid w:val="005E3ABC"/>
    <w:rsid w:val="005E46E1"/>
    <w:rsid w:val="005E4EDE"/>
    <w:rsid w:val="005E5085"/>
    <w:rsid w:val="005E55D8"/>
    <w:rsid w:val="005E56C6"/>
    <w:rsid w:val="005E5764"/>
    <w:rsid w:val="005E65B4"/>
    <w:rsid w:val="005E6714"/>
    <w:rsid w:val="005E6C3B"/>
    <w:rsid w:val="005E6EF5"/>
    <w:rsid w:val="005E7794"/>
    <w:rsid w:val="005E7C03"/>
    <w:rsid w:val="005F03BB"/>
    <w:rsid w:val="005F0DE0"/>
    <w:rsid w:val="005F0EBE"/>
    <w:rsid w:val="005F1176"/>
    <w:rsid w:val="005F175D"/>
    <w:rsid w:val="005F237F"/>
    <w:rsid w:val="005F2595"/>
    <w:rsid w:val="005F264E"/>
    <w:rsid w:val="005F291E"/>
    <w:rsid w:val="005F2C44"/>
    <w:rsid w:val="005F323D"/>
    <w:rsid w:val="005F43F3"/>
    <w:rsid w:val="005F4AC7"/>
    <w:rsid w:val="005F4D48"/>
    <w:rsid w:val="005F4FE8"/>
    <w:rsid w:val="005F5195"/>
    <w:rsid w:val="005F6671"/>
    <w:rsid w:val="005F7D86"/>
    <w:rsid w:val="00600248"/>
    <w:rsid w:val="00600907"/>
    <w:rsid w:val="00600CD6"/>
    <w:rsid w:val="00600EB0"/>
    <w:rsid w:val="006023EB"/>
    <w:rsid w:val="00602804"/>
    <w:rsid w:val="00602EEA"/>
    <w:rsid w:val="00603AF2"/>
    <w:rsid w:val="00603D6C"/>
    <w:rsid w:val="00604FFD"/>
    <w:rsid w:val="006050EF"/>
    <w:rsid w:val="0060529D"/>
    <w:rsid w:val="00605CDA"/>
    <w:rsid w:val="00606575"/>
    <w:rsid w:val="006066F2"/>
    <w:rsid w:val="0060691F"/>
    <w:rsid w:val="00606D44"/>
    <w:rsid w:val="00607BE6"/>
    <w:rsid w:val="00607D76"/>
    <w:rsid w:val="00607E22"/>
    <w:rsid w:val="00610668"/>
    <w:rsid w:val="00611C37"/>
    <w:rsid w:val="00611F50"/>
    <w:rsid w:val="00611FC5"/>
    <w:rsid w:val="00612174"/>
    <w:rsid w:val="00612258"/>
    <w:rsid w:val="006127EC"/>
    <w:rsid w:val="006137B9"/>
    <w:rsid w:val="006140A3"/>
    <w:rsid w:val="0061410E"/>
    <w:rsid w:val="0061465D"/>
    <w:rsid w:val="00614666"/>
    <w:rsid w:val="00615C85"/>
    <w:rsid w:val="00616496"/>
    <w:rsid w:val="00616B27"/>
    <w:rsid w:val="00616BB8"/>
    <w:rsid w:val="00616D4B"/>
    <w:rsid w:val="0061725A"/>
    <w:rsid w:val="00617EF4"/>
    <w:rsid w:val="0062012C"/>
    <w:rsid w:val="00620875"/>
    <w:rsid w:val="00620889"/>
    <w:rsid w:val="00620B8C"/>
    <w:rsid w:val="00621C90"/>
    <w:rsid w:val="00621E1C"/>
    <w:rsid w:val="00621FB2"/>
    <w:rsid w:val="0062207B"/>
    <w:rsid w:val="006222EF"/>
    <w:rsid w:val="006229FA"/>
    <w:rsid w:val="00622AF7"/>
    <w:rsid w:val="00622CB5"/>
    <w:rsid w:val="0062593D"/>
    <w:rsid w:val="00625B62"/>
    <w:rsid w:val="00625BCF"/>
    <w:rsid w:val="0062607A"/>
    <w:rsid w:val="00626192"/>
    <w:rsid w:val="00626AA0"/>
    <w:rsid w:val="00627310"/>
    <w:rsid w:val="00627A8C"/>
    <w:rsid w:val="00630688"/>
    <w:rsid w:val="006314BD"/>
    <w:rsid w:val="00631D7B"/>
    <w:rsid w:val="00633157"/>
    <w:rsid w:val="00633621"/>
    <w:rsid w:val="00633C51"/>
    <w:rsid w:val="00634E94"/>
    <w:rsid w:val="0063508B"/>
    <w:rsid w:val="00636067"/>
    <w:rsid w:val="006367AF"/>
    <w:rsid w:val="006369BF"/>
    <w:rsid w:val="00636F79"/>
    <w:rsid w:val="0063739E"/>
    <w:rsid w:val="0063751D"/>
    <w:rsid w:val="0063779C"/>
    <w:rsid w:val="006403C8"/>
    <w:rsid w:val="00640A76"/>
    <w:rsid w:val="006410DE"/>
    <w:rsid w:val="0064192C"/>
    <w:rsid w:val="006424D1"/>
    <w:rsid w:val="00642CDC"/>
    <w:rsid w:val="006438F5"/>
    <w:rsid w:val="00643A1C"/>
    <w:rsid w:val="00643A4B"/>
    <w:rsid w:val="00643F15"/>
    <w:rsid w:val="00644200"/>
    <w:rsid w:val="006445CD"/>
    <w:rsid w:val="00644695"/>
    <w:rsid w:val="00644776"/>
    <w:rsid w:val="00645176"/>
    <w:rsid w:val="006464FB"/>
    <w:rsid w:val="006465A8"/>
    <w:rsid w:val="00646E1E"/>
    <w:rsid w:val="00647AF4"/>
    <w:rsid w:val="006514F4"/>
    <w:rsid w:val="00652790"/>
    <w:rsid w:val="006532B9"/>
    <w:rsid w:val="00653A64"/>
    <w:rsid w:val="00653B0A"/>
    <w:rsid w:val="00653E83"/>
    <w:rsid w:val="00655118"/>
    <w:rsid w:val="0065536A"/>
    <w:rsid w:val="006553B3"/>
    <w:rsid w:val="00655F3C"/>
    <w:rsid w:val="006563CE"/>
    <w:rsid w:val="00656434"/>
    <w:rsid w:val="00656845"/>
    <w:rsid w:val="0065742A"/>
    <w:rsid w:val="00660D93"/>
    <w:rsid w:val="006610C5"/>
    <w:rsid w:val="00661DA6"/>
    <w:rsid w:val="00661FDA"/>
    <w:rsid w:val="00662947"/>
    <w:rsid w:val="00662FCC"/>
    <w:rsid w:val="006631D9"/>
    <w:rsid w:val="00665060"/>
    <w:rsid w:val="00665A18"/>
    <w:rsid w:val="00666330"/>
    <w:rsid w:val="006672BE"/>
    <w:rsid w:val="00667708"/>
    <w:rsid w:val="00667CFA"/>
    <w:rsid w:val="006715AC"/>
    <w:rsid w:val="006715BA"/>
    <w:rsid w:val="00671679"/>
    <w:rsid w:val="006727EF"/>
    <w:rsid w:val="00673E82"/>
    <w:rsid w:val="006745CB"/>
    <w:rsid w:val="00674E93"/>
    <w:rsid w:val="00675ECB"/>
    <w:rsid w:val="00676E11"/>
    <w:rsid w:val="00676FD9"/>
    <w:rsid w:val="00677140"/>
    <w:rsid w:val="00677247"/>
    <w:rsid w:val="006778A7"/>
    <w:rsid w:val="00677F2A"/>
    <w:rsid w:val="00680897"/>
    <w:rsid w:val="00680BEB"/>
    <w:rsid w:val="00681847"/>
    <w:rsid w:val="006822F6"/>
    <w:rsid w:val="00682739"/>
    <w:rsid w:val="00682DFE"/>
    <w:rsid w:val="0068317E"/>
    <w:rsid w:val="006838FC"/>
    <w:rsid w:val="00683979"/>
    <w:rsid w:val="00683B97"/>
    <w:rsid w:val="0068446F"/>
    <w:rsid w:val="00685BBB"/>
    <w:rsid w:val="00686E1B"/>
    <w:rsid w:val="00687ADF"/>
    <w:rsid w:val="00687FD4"/>
    <w:rsid w:val="00691064"/>
    <w:rsid w:val="0069128B"/>
    <w:rsid w:val="00691774"/>
    <w:rsid w:val="00691A66"/>
    <w:rsid w:val="00691ABD"/>
    <w:rsid w:val="00691EA8"/>
    <w:rsid w:val="00692708"/>
    <w:rsid w:val="0069273D"/>
    <w:rsid w:val="00692964"/>
    <w:rsid w:val="00693562"/>
    <w:rsid w:val="00693937"/>
    <w:rsid w:val="00695EEE"/>
    <w:rsid w:val="006971C9"/>
    <w:rsid w:val="006976B2"/>
    <w:rsid w:val="006A037B"/>
    <w:rsid w:val="006A1B69"/>
    <w:rsid w:val="006A1E31"/>
    <w:rsid w:val="006A1E9B"/>
    <w:rsid w:val="006A2387"/>
    <w:rsid w:val="006A2C76"/>
    <w:rsid w:val="006A4D86"/>
    <w:rsid w:val="006A4F42"/>
    <w:rsid w:val="006A58C6"/>
    <w:rsid w:val="006A5FA0"/>
    <w:rsid w:val="006A6FD3"/>
    <w:rsid w:val="006A73A0"/>
    <w:rsid w:val="006A7ECE"/>
    <w:rsid w:val="006B124D"/>
    <w:rsid w:val="006B16F6"/>
    <w:rsid w:val="006B1B19"/>
    <w:rsid w:val="006B3139"/>
    <w:rsid w:val="006B3C9A"/>
    <w:rsid w:val="006B3E42"/>
    <w:rsid w:val="006B492B"/>
    <w:rsid w:val="006B4D27"/>
    <w:rsid w:val="006B50BF"/>
    <w:rsid w:val="006B60C7"/>
    <w:rsid w:val="006B6CA3"/>
    <w:rsid w:val="006B751E"/>
    <w:rsid w:val="006C0C2F"/>
    <w:rsid w:val="006C0D8B"/>
    <w:rsid w:val="006C0FBF"/>
    <w:rsid w:val="006C1079"/>
    <w:rsid w:val="006C1477"/>
    <w:rsid w:val="006C1843"/>
    <w:rsid w:val="006C1E6E"/>
    <w:rsid w:val="006C1FFB"/>
    <w:rsid w:val="006C2FB8"/>
    <w:rsid w:val="006C33EA"/>
    <w:rsid w:val="006C3674"/>
    <w:rsid w:val="006C3680"/>
    <w:rsid w:val="006C378A"/>
    <w:rsid w:val="006C3A22"/>
    <w:rsid w:val="006C40C1"/>
    <w:rsid w:val="006C44CF"/>
    <w:rsid w:val="006C4C25"/>
    <w:rsid w:val="006C5111"/>
    <w:rsid w:val="006C5277"/>
    <w:rsid w:val="006C5409"/>
    <w:rsid w:val="006C7363"/>
    <w:rsid w:val="006C7D4F"/>
    <w:rsid w:val="006C7E2E"/>
    <w:rsid w:val="006C7E34"/>
    <w:rsid w:val="006D0F7D"/>
    <w:rsid w:val="006D1325"/>
    <w:rsid w:val="006D1721"/>
    <w:rsid w:val="006D1CA1"/>
    <w:rsid w:val="006D1DA0"/>
    <w:rsid w:val="006D236B"/>
    <w:rsid w:val="006D2B89"/>
    <w:rsid w:val="006D4B91"/>
    <w:rsid w:val="006D4C3F"/>
    <w:rsid w:val="006D5096"/>
    <w:rsid w:val="006D5EE2"/>
    <w:rsid w:val="006D610F"/>
    <w:rsid w:val="006D6607"/>
    <w:rsid w:val="006D689D"/>
    <w:rsid w:val="006D722F"/>
    <w:rsid w:val="006D75B7"/>
    <w:rsid w:val="006D77ED"/>
    <w:rsid w:val="006D7B2C"/>
    <w:rsid w:val="006D7CF0"/>
    <w:rsid w:val="006D7DF9"/>
    <w:rsid w:val="006D7F46"/>
    <w:rsid w:val="006E0EE6"/>
    <w:rsid w:val="006E212C"/>
    <w:rsid w:val="006E21AD"/>
    <w:rsid w:val="006E2230"/>
    <w:rsid w:val="006E3585"/>
    <w:rsid w:val="006E3847"/>
    <w:rsid w:val="006E4816"/>
    <w:rsid w:val="006E6209"/>
    <w:rsid w:val="006E6934"/>
    <w:rsid w:val="006E7756"/>
    <w:rsid w:val="006E78F5"/>
    <w:rsid w:val="006F0CF5"/>
    <w:rsid w:val="006F11B2"/>
    <w:rsid w:val="006F215C"/>
    <w:rsid w:val="006F2AD3"/>
    <w:rsid w:val="006F2FA2"/>
    <w:rsid w:val="006F39F5"/>
    <w:rsid w:val="006F4C66"/>
    <w:rsid w:val="006F5886"/>
    <w:rsid w:val="00700A0F"/>
    <w:rsid w:val="00700FD9"/>
    <w:rsid w:val="00701487"/>
    <w:rsid w:val="00701651"/>
    <w:rsid w:val="00701D19"/>
    <w:rsid w:val="00702324"/>
    <w:rsid w:val="0070343E"/>
    <w:rsid w:val="007035A9"/>
    <w:rsid w:val="00705F5E"/>
    <w:rsid w:val="0070631E"/>
    <w:rsid w:val="00706353"/>
    <w:rsid w:val="007068AE"/>
    <w:rsid w:val="00706EBD"/>
    <w:rsid w:val="007070A1"/>
    <w:rsid w:val="00707E35"/>
    <w:rsid w:val="00707ED9"/>
    <w:rsid w:val="00710227"/>
    <w:rsid w:val="007103DA"/>
    <w:rsid w:val="00710A7A"/>
    <w:rsid w:val="00710D17"/>
    <w:rsid w:val="00712A86"/>
    <w:rsid w:val="00712C0D"/>
    <w:rsid w:val="007131B0"/>
    <w:rsid w:val="007131C3"/>
    <w:rsid w:val="00713384"/>
    <w:rsid w:val="007134FF"/>
    <w:rsid w:val="00713ED3"/>
    <w:rsid w:val="00714283"/>
    <w:rsid w:val="00714CD5"/>
    <w:rsid w:val="00714F6E"/>
    <w:rsid w:val="00714FA0"/>
    <w:rsid w:val="00715A1B"/>
    <w:rsid w:val="00715DE0"/>
    <w:rsid w:val="00716214"/>
    <w:rsid w:val="0071679B"/>
    <w:rsid w:val="0071699A"/>
    <w:rsid w:val="00716A6D"/>
    <w:rsid w:val="00716B12"/>
    <w:rsid w:val="00716C5E"/>
    <w:rsid w:val="00717043"/>
    <w:rsid w:val="007172E7"/>
    <w:rsid w:val="007173A2"/>
    <w:rsid w:val="0072027D"/>
    <w:rsid w:val="007207FC"/>
    <w:rsid w:val="00721DB9"/>
    <w:rsid w:val="00722851"/>
    <w:rsid w:val="00722F58"/>
    <w:rsid w:val="00722FFB"/>
    <w:rsid w:val="007239CE"/>
    <w:rsid w:val="00723A4A"/>
    <w:rsid w:val="00723DA0"/>
    <w:rsid w:val="00725565"/>
    <w:rsid w:val="007255D2"/>
    <w:rsid w:val="00726A60"/>
    <w:rsid w:val="00726E2C"/>
    <w:rsid w:val="00727596"/>
    <w:rsid w:val="007302DD"/>
    <w:rsid w:val="007303C0"/>
    <w:rsid w:val="007308D5"/>
    <w:rsid w:val="00730CEA"/>
    <w:rsid w:val="00731513"/>
    <w:rsid w:val="0073152B"/>
    <w:rsid w:val="00732399"/>
    <w:rsid w:val="007329F3"/>
    <w:rsid w:val="0073318A"/>
    <w:rsid w:val="00733708"/>
    <w:rsid w:val="0073378C"/>
    <w:rsid w:val="0073381A"/>
    <w:rsid w:val="00733AB8"/>
    <w:rsid w:val="00733C8D"/>
    <w:rsid w:val="00733DBE"/>
    <w:rsid w:val="007350B4"/>
    <w:rsid w:val="00735141"/>
    <w:rsid w:val="00735FBA"/>
    <w:rsid w:val="00736CC0"/>
    <w:rsid w:val="0073731E"/>
    <w:rsid w:val="0073774B"/>
    <w:rsid w:val="00737F63"/>
    <w:rsid w:val="0074038D"/>
    <w:rsid w:val="007403D6"/>
    <w:rsid w:val="00740A26"/>
    <w:rsid w:val="00740D67"/>
    <w:rsid w:val="0074180E"/>
    <w:rsid w:val="00741D5C"/>
    <w:rsid w:val="00743AAB"/>
    <w:rsid w:val="00744565"/>
    <w:rsid w:val="007448C9"/>
    <w:rsid w:val="00744B4B"/>
    <w:rsid w:val="00745723"/>
    <w:rsid w:val="00745EED"/>
    <w:rsid w:val="00746AF1"/>
    <w:rsid w:val="0074702E"/>
    <w:rsid w:val="007470F4"/>
    <w:rsid w:val="007475AB"/>
    <w:rsid w:val="0074784E"/>
    <w:rsid w:val="00750480"/>
    <w:rsid w:val="00750E83"/>
    <w:rsid w:val="007515C4"/>
    <w:rsid w:val="00751A96"/>
    <w:rsid w:val="007523C8"/>
    <w:rsid w:val="00752F29"/>
    <w:rsid w:val="0075615C"/>
    <w:rsid w:val="0075637E"/>
    <w:rsid w:val="00756E0B"/>
    <w:rsid w:val="00756F6E"/>
    <w:rsid w:val="007576F5"/>
    <w:rsid w:val="00757878"/>
    <w:rsid w:val="007600F6"/>
    <w:rsid w:val="00760E45"/>
    <w:rsid w:val="0076117A"/>
    <w:rsid w:val="007612D3"/>
    <w:rsid w:val="007628FF"/>
    <w:rsid w:val="007640BC"/>
    <w:rsid w:val="0076437C"/>
    <w:rsid w:val="0076462F"/>
    <w:rsid w:val="00764CE9"/>
    <w:rsid w:val="00764F4C"/>
    <w:rsid w:val="00765198"/>
    <w:rsid w:val="007654D0"/>
    <w:rsid w:val="0076558E"/>
    <w:rsid w:val="00766205"/>
    <w:rsid w:val="00766811"/>
    <w:rsid w:val="00766B2D"/>
    <w:rsid w:val="00766D22"/>
    <w:rsid w:val="00767929"/>
    <w:rsid w:val="00767C4E"/>
    <w:rsid w:val="00767DB9"/>
    <w:rsid w:val="00767DF9"/>
    <w:rsid w:val="0077020B"/>
    <w:rsid w:val="007704AA"/>
    <w:rsid w:val="0077125A"/>
    <w:rsid w:val="007715D7"/>
    <w:rsid w:val="00771C9D"/>
    <w:rsid w:val="00771E59"/>
    <w:rsid w:val="0077254A"/>
    <w:rsid w:val="00772EED"/>
    <w:rsid w:val="007736C5"/>
    <w:rsid w:val="00774739"/>
    <w:rsid w:val="00774AAD"/>
    <w:rsid w:val="007752F0"/>
    <w:rsid w:val="0077559E"/>
    <w:rsid w:val="007763A6"/>
    <w:rsid w:val="00776476"/>
    <w:rsid w:val="00777355"/>
    <w:rsid w:val="007775AF"/>
    <w:rsid w:val="00777E93"/>
    <w:rsid w:val="00780114"/>
    <w:rsid w:val="007802B8"/>
    <w:rsid w:val="00780628"/>
    <w:rsid w:val="007807E7"/>
    <w:rsid w:val="0078083A"/>
    <w:rsid w:val="00781078"/>
    <w:rsid w:val="00781C03"/>
    <w:rsid w:val="00782124"/>
    <w:rsid w:val="00782332"/>
    <w:rsid w:val="0078234B"/>
    <w:rsid w:val="00782D3C"/>
    <w:rsid w:val="007830EA"/>
    <w:rsid w:val="0078397E"/>
    <w:rsid w:val="00784FED"/>
    <w:rsid w:val="00785245"/>
    <w:rsid w:val="00785B55"/>
    <w:rsid w:val="00785E9F"/>
    <w:rsid w:val="0078651C"/>
    <w:rsid w:val="0078658C"/>
    <w:rsid w:val="00786914"/>
    <w:rsid w:val="007869EA"/>
    <w:rsid w:val="00786ACB"/>
    <w:rsid w:val="00786DD5"/>
    <w:rsid w:val="0078723B"/>
    <w:rsid w:val="007873B2"/>
    <w:rsid w:val="00787844"/>
    <w:rsid w:val="00790342"/>
    <w:rsid w:val="0079097B"/>
    <w:rsid w:val="00792594"/>
    <w:rsid w:val="00793C3D"/>
    <w:rsid w:val="00793C6B"/>
    <w:rsid w:val="00793DF2"/>
    <w:rsid w:val="00793F68"/>
    <w:rsid w:val="007941B5"/>
    <w:rsid w:val="007945F4"/>
    <w:rsid w:val="007951E0"/>
    <w:rsid w:val="00795F93"/>
    <w:rsid w:val="00796659"/>
    <w:rsid w:val="00796C60"/>
    <w:rsid w:val="007970F0"/>
    <w:rsid w:val="00797577"/>
    <w:rsid w:val="007A174A"/>
    <w:rsid w:val="007A178B"/>
    <w:rsid w:val="007A1CB9"/>
    <w:rsid w:val="007A2326"/>
    <w:rsid w:val="007A29D1"/>
    <w:rsid w:val="007A2A4B"/>
    <w:rsid w:val="007A32A3"/>
    <w:rsid w:val="007A4494"/>
    <w:rsid w:val="007A4879"/>
    <w:rsid w:val="007A4A20"/>
    <w:rsid w:val="007A4B47"/>
    <w:rsid w:val="007A4CA7"/>
    <w:rsid w:val="007A4EC3"/>
    <w:rsid w:val="007A69F9"/>
    <w:rsid w:val="007A6D2D"/>
    <w:rsid w:val="007A70E7"/>
    <w:rsid w:val="007A73CC"/>
    <w:rsid w:val="007A775F"/>
    <w:rsid w:val="007A7DEF"/>
    <w:rsid w:val="007A7F84"/>
    <w:rsid w:val="007B11D0"/>
    <w:rsid w:val="007B1461"/>
    <w:rsid w:val="007B1CCE"/>
    <w:rsid w:val="007B225D"/>
    <w:rsid w:val="007B22A0"/>
    <w:rsid w:val="007B2562"/>
    <w:rsid w:val="007B4838"/>
    <w:rsid w:val="007B4A15"/>
    <w:rsid w:val="007B5547"/>
    <w:rsid w:val="007B5AB7"/>
    <w:rsid w:val="007B6C7E"/>
    <w:rsid w:val="007B778E"/>
    <w:rsid w:val="007B7FE7"/>
    <w:rsid w:val="007C001A"/>
    <w:rsid w:val="007C0044"/>
    <w:rsid w:val="007C07A7"/>
    <w:rsid w:val="007C1ADE"/>
    <w:rsid w:val="007C20FB"/>
    <w:rsid w:val="007C26E9"/>
    <w:rsid w:val="007C2D2B"/>
    <w:rsid w:val="007C3274"/>
    <w:rsid w:val="007C39C6"/>
    <w:rsid w:val="007C3A26"/>
    <w:rsid w:val="007C436B"/>
    <w:rsid w:val="007C4721"/>
    <w:rsid w:val="007C48C1"/>
    <w:rsid w:val="007C5134"/>
    <w:rsid w:val="007C5E8A"/>
    <w:rsid w:val="007C6011"/>
    <w:rsid w:val="007C61EE"/>
    <w:rsid w:val="007C657D"/>
    <w:rsid w:val="007C660A"/>
    <w:rsid w:val="007C68F5"/>
    <w:rsid w:val="007C69F9"/>
    <w:rsid w:val="007C6AEA"/>
    <w:rsid w:val="007D1143"/>
    <w:rsid w:val="007D1392"/>
    <w:rsid w:val="007D1B02"/>
    <w:rsid w:val="007D289E"/>
    <w:rsid w:val="007D3660"/>
    <w:rsid w:val="007D42FB"/>
    <w:rsid w:val="007D4B5D"/>
    <w:rsid w:val="007D52A5"/>
    <w:rsid w:val="007D5785"/>
    <w:rsid w:val="007D5841"/>
    <w:rsid w:val="007D6736"/>
    <w:rsid w:val="007D68FF"/>
    <w:rsid w:val="007D690C"/>
    <w:rsid w:val="007D6966"/>
    <w:rsid w:val="007D7480"/>
    <w:rsid w:val="007D7CED"/>
    <w:rsid w:val="007D7D8D"/>
    <w:rsid w:val="007E03CB"/>
    <w:rsid w:val="007E1AE6"/>
    <w:rsid w:val="007E2CBC"/>
    <w:rsid w:val="007E34D2"/>
    <w:rsid w:val="007E355E"/>
    <w:rsid w:val="007E421E"/>
    <w:rsid w:val="007E439F"/>
    <w:rsid w:val="007E4508"/>
    <w:rsid w:val="007E522E"/>
    <w:rsid w:val="007E551B"/>
    <w:rsid w:val="007E5829"/>
    <w:rsid w:val="007E592D"/>
    <w:rsid w:val="007E5F05"/>
    <w:rsid w:val="007E66B7"/>
    <w:rsid w:val="007E6BB2"/>
    <w:rsid w:val="007E6BF0"/>
    <w:rsid w:val="007E6C50"/>
    <w:rsid w:val="007E6FAE"/>
    <w:rsid w:val="007E7011"/>
    <w:rsid w:val="007E71B1"/>
    <w:rsid w:val="007E77FE"/>
    <w:rsid w:val="007F0242"/>
    <w:rsid w:val="007F02BA"/>
    <w:rsid w:val="007F0A7B"/>
    <w:rsid w:val="007F0E76"/>
    <w:rsid w:val="007F0F45"/>
    <w:rsid w:val="007F1E6A"/>
    <w:rsid w:val="007F1FFC"/>
    <w:rsid w:val="007F2256"/>
    <w:rsid w:val="007F3184"/>
    <w:rsid w:val="007F3349"/>
    <w:rsid w:val="007F3A48"/>
    <w:rsid w:val="007F3E55"/>
    <w:rsid w:val="007F49FA"/>
    <w:rsid w:val="007F5048"/>
    <w:rsid w:val="007F5153"/>
    <w:rsid w:val="007F5632"/>
    <w:rsid w:val="007F563E"/>
    <w:rsid w:val="007F5A3C"/>
    <w:rsid w:val="007F5C84"/>
    <w:rsid w:val="007F6768"/>
    <w:rsid w:val="007F709E"/>
    <w:rsid w:val="007F778F"/>
    <w:rsid w:val="007F7DD3"/>
    <w:rsid w:val="00800645"/>
    <w:rsid w:val="008006D6"/>
    <w:rsid w:val="00800FE0"/>
    <w:rsid w:val="00801F06"/>
    <w:rsid w:val="0080283E"/>
    <w:rsid w:val="00803634"/>
    <w:rsid w:val="0080461B"/>
    <w:rsid w:val="00804976"/>
    <w:rsid w:val="00804D4D"/>
    <w:rsid w:val="00804E8A"/>
    <w:rsid w:val="0080523C"/>
    <w:rsid w:val="0080539E"/>
    <w:rsid w:val="00805566"/>
    <w:rsid w:val="008057B2"/>
    <w:rsid w:val="008059C8"/>
    <w:rsid w:val="00806A1D"/>
    <w:rsid w:val="00807232"/>
    <w:rsid w:val="00807E31"/>
    <w:rsid w:val="0081082D"/>
    <w:rsid w:val="008119AC"/>
    <w:rsid w:val="008123B8"/>
    <w:rsid w:val="00812812"/>
    <w:rsid w:val="00812BA9"/>
    <w:rsid w:val="008133FF"/>
    <w:rsid w:val="00813B9F"/>
    <w:rsid w:val="008145B6"/>
    <w:rsid w:val="00814BEE"/>
    <w:rsid w:val="00814BF8"/>
    <w:rsid w:val="00814C71"/>
    <w:rsid w:val="00814CE5"/>
    <w:rsid w:val="00814ED1"/>
    <w:rsid w:val="00815A8A"/>
    <w:rsid w:val="00815EE1"/>
    <w:rsid w:val="00815FC5"/>
    <w:rsid w:val="008162A0"/>
    <w:rsid w:val="008167E7"/>
    <w:rsid w:val="00817667"/>
    <w:rsid w:val="00817ABF"/>
    <w:rsid w:val="008207A8"/>
    <w:rsid w:val="00820AB9"/>
    <w:rsid w:val="00820B58"/>
    <w:rsid w:val="008211EC"/>
    <w:rsid w:val="00821765"/>
    <w:rsid w:val="00821CA5"/>
    <w:rsid w:val="00822609"/>
    <w:rsid w:val="00822B1E"/>
    <w:rsid w:val="00822B56"/>
    <w:rsid w:val="008233AF"/>
    <w:rsid w:val="00823EBB"/>
    <w:rsid w:val="00823EF8"/>
    <w:rsid w:val="00824469"/>
    <w:rsid w:val="00824F89"/>
    <w:rsid w:val="00825387"/>
    <w:rsid w:val="00825A1A"/>
    <w:rsid w:val="00826924"/>
    <w:rsid w:val="008275F7"/>
    <w:rsid w:val="00830704"/>
    <w:rsid w:val="00830F29"/>
    <w:rsid w:val="00831E43"/>
    <w:rsid w:val="00831FB9"/>
    <w:rsid w:val="0083235B"/>
    <w:rsid w:val="00835377"/>
    <w:rsid w:val="00835CBB"/>
    <w:rsid w:val="00836632"/>
    <w:rsid w:val="00836701"/>
    <w:rsid w:val="0083701D"/>
    <w:rsid w:val="0083716B"/>
    <w:rsid w:val="00837AA2"/>
    <w:rsid w:val="008401AE"/>
    <w:rsid w:val="00840A24"/>
    <w:rsid w:val="00840BA1"/>
    <w:rsid w:val="00841567"/>
    <w:rsid w:val="00841585"/>
    <w:rsid w:val="0084179C"/>
    <w:rsid w:val="008426F7"/>
    <w:rsid w:val="00842926"/>
    <w:rsid w:val="00843101"/>
    <w:rsid w:val="00843697"/>
    <w:rsid w:val="0084421D"/>
    <w:rsid w:val="00845990"/>
    <w:rsid w:val="00845C21"/>
    <w:rsid w:val="00845D44"/>
    <w:rsid w:val="00846373"/>
    <w:rsid w:val="00846492"/>
    <w:rsid w:val="00846D89"/>
    <w:rsid w:val="00847217"/>
    <w:rsid w:val="00850640"/>
    <w:rsid w:val="00851364"/>
    <w:rsid w:val="00851C2B"/>
    <w:rsid w:val="00852293"/>
    <w:rsid w:val="00852418"/>
    <w:rsid w:val="00852982"/>
    <w:rsid w:val="00852D23"/>
    <w:rsid w:val="00852FED"/>
    <w:rsid w:val="008531B8"/>
    <w:rsid w:val="00853306"/>
    <w:rsid w:val="008546EF"/>
    <w:rsid w:val="00854A54"/>
    <w:rsid w:val="008564A4"/>
    <w:rsid w:val="00856607"/>
    <w:rsid w:val="00856935"/>
    <w:rsid w:val="0085754D"/>
    <w:rsid w:val="00857ECC"/>
    <w:rsid w:val="00857EEB"/>
    <w:rsid w:val="00860015"/>
    <w:rsid w:val="00860129"/>
    <w:rsid w:val="00860B78"/>
    <w:rsid w:val="008611B6"/>
    <w:rsid w:val="00861A98"/>
    <w:rsid w:val="008626EE"/>
    <w:rsid w:val="00862FA6"/>
    <w:rsid w:val="0086413D"/>
    <w:rsid w:val="00864300"/>
    <w:rsid w:val="00864C5B"/>
    <w:rsid w:val="00865A19"/>
    <w:rsid w:val="008666E9"/>
    <w:rsid w:val="00867FF8"/>
    <w:rsid w:val="00870365"/>
    <w:rsid w:val="0087162F"/>
    <w:rsid w:val="00871911"/>
    <w:rsid w:val="0087194A"/>
    <w:rsid w:val="00871E23"/>
    <w:rsid w:val="00871E9D"/>
    <w:rsid w:val="008721A8"/>
    <w:rsid w:val="0087279C"/>
    <w:rsid w:val="00872F34"/>
    <w:rsid w:val="008736E5"/>
    <w:rsid w:val="00873B9F"/>
    <w:rsid w:val="008745AB"/>
    <w:rsid w:val="008747B0"/>
    <w:rsid w:val="00874AA2"/>
    <w:rsid w:val="008757F8"/>
    <w:rsid w:val="00877159"/>
    <w:rsid w:val="00877B5F"/>
    <w:rsid w:val="00877E0B"/>
    <w:rsid w:val="0088010D"/>
    <w:rsid w:val="00880318"/>
    <w:rsid w:val="008803A5"/>
    <w:rsid w:val="00880D3F"/>
    <w:rsid w:val="00881126"/>
    <w:rsid w:val="00881241"/>
    <w:rsid w:val="00882D1D"/>
    <w:rsid w:val="00882F80"/>
    <w:rsid w:val="00883695"/>
    <w:rsid w:val="00884324"/>
    <w:rsid w:val="008843E2"/>
    <w:rsid w:val="00885327"/>
    <w:rsid w:val="0088535A"/>
    <w:rsid w:val="00885D5D"/>
    <w:rsid w:val="00886598"/>
    <w:rsid w:val="00887C9E"/>
    <w:rsid w:val="00890096"/>
    <w:rsid w:val="00890674"/>
    <w:rsid w:val="0089148C"/>
    <w:rsid w:val="00891F76"/>
    <w:rsid w:val="00892D46"/>
    <w:rsid w:val="008931DB"/>
    <w:rsid w:val="00893350"/>
    <w:rsid w:val="00893409"/>
    <w:rsid w:val="00893E5D"/>
    <w:rsid w:val="00893FD4"/>
    <w:rsid w:val="008942A4"/>
    <w:rsid w:val="00894376"/>
    <w:rsid w:val="00894E46"/>
    <w:rsid w:val="0089529A"/>
    <w:rsid w:val="00895A54"/>
    <w:rsid w:val="0089616A"/>
    <w:rsid w:val="0089619D"/>
    <w:rsid w:val="0089638D"/>
    <w:rsid w:val="008970E5"/>
    <w:rsid w:val="008979A7"/>
    <w:rsid w:val="00897A42"/>
    <w:rsid w:val="00897C86"/>
    <w:rsid w:val="00897C8E"/>
    <w:rsid w:val="008A024C"/>
    <w:rsid w:val="008A06EE"/>
    <w:rsid w:val="008A0BCF"/>
    <w:rsid w:val="008A12F2"/>
    <w:rsid w:val="008A15E8"/>
    <w:rsid w:val="008A238E"/>
    <w:rsid w:val="008A2743"/>
    <w:rsid w:val="008A37F9"/>
    <w:rsid w:val="008A3C2A"/>
    <w:rsid w:val="008A40FF"/>
    <w:rsid w:val="008A44F9"/>
    <w:rsid w:val="008A482F"/>
    <w:rsid w:val="008A5713"/>
    <w:rsid w:val="008A64E2"/>
    <w:rsid w:val="008A78E5"/>
    <w:rsid w:val="008A7CE5"/>
    <w:rsid w:val="008B02C2"/>
    <w:rsid w:val="008B06FD"/>
    <w:rsid w:val="008B092C"/>
    <w:rsid w:val="008B0F40"/>
    <w:rsid w:val="008B103E"/>
    <w:rsid w:val="008B10E0"/>
    <w:rsid w:val="008B16F3"/>
    <w:rsid w:val="008B16FE"/>
    <w:rsid w:val="008B1718"/>
    <w:rsid w:val="008B1756"/>
    <w:rsid w:val="008B18C9"/>
    <w:rsid w:val="008B1E6D"/>
    <w:rsid w:val="008B26F3"/>
    <w:rsid w:val="008B2746"/>
    <w:rsid w:val="008B27C5"/>
    <w:rsid w:val="008B29B7"/>
    <w:rsid w:val="008B32F2"/>
    <w:rsid w:val="008B3613"/>
    <w:rsid w:val="008B3CD0"/>
    <w:rsid w:val="008B3EFB"/>
    <w:rsid w:val="008B4171"/>
    <w:rsid w:val="008B49D3"/>
    <w:rsid w:val="008B4D6A"/>
    <w:rsid w:val="008B5B3F"/>
    <w:rsid w:val="008B602D"/>
    <w:rsid w:val="008B660A"/>
    <w:rsid w:val="008B6749"/>
    <w:rsid w:val="008B709D"/>
    <w:rsid w:val="008B70EB"/>
    <w:rsid w:val="008B72BE"/>
    <w:rsid w:val="008C041D"/>
    <w:rsid w:val="008C0808"/>
    <w:rsid w:val="008C1093"/>
    <w:rsid w:val="008C2385"/>
    <w:rsid w:val="008C2781"/>
    <w:rsid w:val="008C2CC9"/>
    <w:rsid w:val="008C31C6"/>
    <w:rsid w:val="008C3910"/>
    <w:rsid w:val="008C3A25"/>
    <w:rsid w:val="008C3CE2"/>
    <w:rsid w:val="008C439B"/>
    <w:rsid w:val="008C5012"/>
    <w:rsid w:val="008C51BF"/>
    <w:rsid w:val="008C5211"/>
    <w:rsid w:val="008C5DA0"/>
    <w:rsid w:val="008C5EA0"/>
    <w:rsid w:val="008C6AEA"/>
    <w:rsid w:val="008C6B86"/>
    <w:rsid w:val="008C6F1E"/>
    <w:rsid w:val="008C75AB"/>
    <w:rsid w:val="008C78D5"/>
    <w:rsid w:val="008C7EF4"/>
    <w:rsid w:val="008D000A"/>
    <w:rsid w:val="008D05CE"/>
    <w:rsid w:val="008D1127"/>
    <w:rsid w:val="008D1377"/>
    <w:rsid w:val="008D137A"/>
    <w:rsid w:val="008D1477"/>
    <w:rsid w:val="008D1643"/>
    <w:rsid w:val="008D18C2"/>
    <w:rsid w:val="008D1ED1"/>
    <w:rsid w:val="008D2868"/>
    <w:rsid w:val="008D290A"/>
    <w:rsid w:val="008D2F4F"/>
    <w:rsid w:val="008D3295"/>
    <w:rsid w:val="008D342C"/>
    <w:rsid w:val="008D359C"/>
    <w:rsid w:val="008D3651"/>
    <w:rsid w:val="008D3CBA"/>
    <w:rsid w:val="008D4FF7"/>
    <w:rsid w:val="008D5638"/>
    <w:rsid w:val="008D5762"/>
    <w:rsid w:val="008D57A4"/>
    <w:rsid w:val="008D62A7"/>
    <w:rsid w:val="008D63B5"/>
    <w:rsid w:val="008D66D1"/>
    <w:rsid w:val="008D68E6"/>
    <w:rsid w:val="008D783C"/>
    <w:rsid w:val="008D7908"/>
    <w:rsid w:val="008D796A"/>
    <w:rsid w:val="008D7EEB"/>
    <w:rsid w:val="008E0C4A"/>
    <w:rsid w:val="008E14B9"/>
    <w:rsid w:val="008E16E3"/>
    <w:rsid w:val="008E23B1"/>
    <w:rsid w:val="008E3128"/>
    <w:rsid w:val="008E3645"/>
    <w:rsid w:val="008E46A2"/>
    <w:rsid w:val="008E50CD"/>
    <w:rsid w:val="008E54E1"/>
    <w:rsid w:val="008E5844"/>
    <w:rsid w:val="008E58E0"/>
    <w:rsid w:val="008E6CC1"/>
    <w:rsid w:val="008E798E"/>
    <w:rsid w:val="008E7B9F"/>
    <w:rsid w:val="008E7C4A"/>
    <w:rsid w:val="008E7D41"/>
    <w:rsid w:val="008F035C"/>
    <w:rsid w:val="008F065F"/>
    <w:rsid w:val="008F0B67"/>
    <w:rsid w:val="008F2585"/>
    <w:rsid w:val="008F29DB"/>
    <w:rsid w:val="008F2C00"/>
    <w:rsid w:val="008F3119"/>
    <w:rsid w:val="008F3E66"/>
    <w:rsid w:val="008F5701"/>
    <w:rsid w:val="008F581E"/>
    <w:rsid w:val="008F685F"/>
    <w:rsid w:val="008F6B17"/>
    <w:rsid w:val="008F6FA9"/>
    <w:rsid w:val="008F7C97"/>
    <w:rsid w:val="008F7FB6"/>
    <w:rsid w:val="00900012"/>
    <w:rsid w:val="009004F6"/>
    <w:rsid w:val="009011F5"/>
    <w:rsid w:val="00902294"/>
    <w:rsid w:val="009029B9"/>
    <w:rsid w:val="00902ADA"/>
    <w:rsid w:val="0090357F"/>
    <w:rsid w:val="00903A12"/>
    <w:rsid w:val="00903E88"/>
    <w:rsid w:val="0090412F"/>
    <w:rsid w:val="00904433"/>
    <w:rsid w:val="009049F4"/>
    <w:rsid w:val="00905B44"/>
    <w:rsid w:val="00905CBB"/>
    <w:rsid w:val="00905D55"/>
    <w:rsid w:val="009061D3"/>
    <w:rsid w:val="00906436"/>
    <w:rsid w:val="00906DFA"/>
    <w:rsid w:val="00907A21"/>
    <w:rsid w:val="00907ED8"/>
    <w:rsid w:val="00910D18"/>
    <w:rsid w:val="00910F0B"/>
    <w:rsid w:val="00911193"/>
    <w:rsid w:val="0091172C"/>
    <w:rsid w:val="00911EDA"/>
    <w:rsid w:val="00912440"/>
    <w:rsid w:val="00912919"/>
    <w:rsid w:val="00912972"/>
    <w:rsid w:val="00912D56"/>
    <w:rsid w:val="00913B1C"/>
    <w:rsid w:val="0091440E"/>
    <w:rsid w:val="0091450F"/>
    <w:rsid w:val="00914588"/>
    <w:rsid w:val="00914D83"/>
    <w:rsid w:val="00916072"/>
    <w:rsid w:val="00916B74"/>
    <w:rsid w:val="009203BC"/>
    <w:rsid w:val="0092040F"/>
    <w:rsid w:val="009215B5"/>
    <w:rsid w:val="009226A9"/>
    <w:rsid w:val="00923A86"/>
    <w:rsid w:val="0092450D"/>
    <w:rsid w:val="00924D14"/>
    <w:rsid w:val="0092564A"/>
    <w:rsid w:val="00925C25"/>
    <w:rsid w:val="00926480"/>
    <w:rsid w:val="0092672E"/>
    <w:rsid w:val="00926DBB"/>
    <w:rsid w:val="00926E2F"/>
    <w:rsid w:val="00926F00"/>
    <w:rsid w:val="009275D4"/>
    <w:rsid w:val="009276B2"/>
    <w:rsid w:val="009277CE"/>
    <w:rsid w:val="00930428"/>
    <w:rsid w:val="00930B30"/>
    <w:rsid w:val="00930C64"/>
    <w:rsid w:val="00931743"/>
    <w:rsid w:val="009317B7"/>
    <w:rsid w:val="00931B83"/>
    <w:rsid w:val="00931E88"/>
    <w:rsid w:val="00932491"/>
    <w:rsid w:val="00932E13"/>
    <w:rsid w:val="009330BC"/>
    <w:rsid w:val="0093328C"/>
    <w:rsid w:val="0093333F"/>
    <w:rsid w:val="009333D9"/>
    <w:rsid w:val="009346DA"/>
    <w:rsid w:val="0093525C"/>
    <w:rsid w:val="009355BF"/>
    <w:rsid w:val="00935769"/>
    <w:rsid w:val="00935941"/>
    <w:rsid w:val="00936301"/>
    <w:rsid w:val="00937408"/>
    <w:rsid w:val="00937526"/>
    <w:rsid w:val="009379D1"/>
    <w:rsid w:val="00937E5B"/>
    <w:rsid w:val="00940E92"/>
    <w:rsid w:val="009411D0"/>
    <w:rsid w:val="0094167A"/>
    <w:rsid w:val="00941986"/>
    <w:rsid w:val="00941BA9"/>
    <w:rsid w:val="0094202B"/>
    <w:rsid w:val="00942931"/>
    <w:rsid w:val="00942A5F"/>
    <w:rsid w:val="009430C7"/>
    <w:rsid w:val="009434AE"/>
    <w:rsid w:val="00944964"/>
    <w:rsid w:val="00944C9A"/>
    <w:rsid w:val="009455EA"/>
    <w:rsid w:val="009460F0"/>
    <w:rsid w:val="00946493"/>
    <w:rsid w:val="00946CE6"/>
    <w:rsid w:val="00946D2E"/>
    <w:rsid w:val="00947AB3"/>
    <w:rsid w:val="00947F4D"/>
    <w:rsid w:val="009500ED"/>
    <w:rsid w:val="00950CCB"/>
    <w:rsid w:val="00952CE5"/>
    <w:rsid w:val="00952FDA"/>
    <w:rsid w:val="00952FFF"/>
    <w:rsid w:val="00953576"/>
    <w:rsid w:val="009536B2"/>
    <w:rsid w:val="00953D97"/>
    <w:rsid w:val="009547C5"/>
    <w:rsid w:val="00954D76"/>
    <w:rsid w:val="0095540C"/>
    <w:rsid w:val="00955937"/>
    <w:rsid w:val="00956783"/>
    <w:rsid w:val="009568E4"/>
    <w:rsid w:val="00957F51"/>
    <w:rsid w:val="00960226"/>
    <w:rsid w:val="00960BEB"/>
    <w:rsid w:val="00960C6F"/>
    <w:rsid w:val="00961754"/>
    <w:rsid w:val="009617D0"/>
    <w:rsid w:val="00961B92"/>
    <w:rsid w:val="00962670"/>
    <w:rsid w:val="009638C4"/>
    <w:rsid w:val="0096400E"/>
    <w:rsid w:val="009645C4"/>
    <w:rsid w:val="00965201"/>
    <w:rsid w:val="00965902"/>
    <w:rsid w:val="00965BCC"/>
    <w:rsid w:val="009660D5"/>
    <w:rsid w:val="0096624B"/>
    <w:rsid w:val="009669B9"/>
    <w:rsid w:val="00966E55"/>
    <w:rsid w:val="00967032"/>
    <w:rsid w:val="00967153"/>
    <w:rsid w:val="00967449"/>
    <w:rsid w:val="00967F65"/>
    <w:rsid w:val="00970C25"/>
    <w:rsid w:val="00970EC3"/>
    <w:rsid w:val="00970F16"/>
    <w:rsid w:val="00971A8D"/>
    <w:rsid w:val="0097277D"/>
    <w:rsid w:val="00973504"/>
    <w:rsid w:val="009735C4"/>
    <w:rsid w:val="00973EFA"/>
    <w:rsid w:val="0097403F"/>
    <w:rsid w:val="0097404D"/>
    <w:rsid w:val="00974150"/>
    <w:rsid w:val="0097574B"/>
    <w:rsid w:val="00975E1D"/>
    <w:rsid w:val="0097609A"/>
    <w:rsid w:val="0097644E"/>
    <w:rsid w:val="009765B8"/>
    <w:rsid w:val="009766CE"/>
    <w:rsid w:val="0097677E"/>
    <w:rsid w:val="009769FC"/>
    <w:rsid w:val="00976CBE"/>
    <w:rsid w:val="0097709C"/>
    <w:rsid w:val="009778CE"/>
    <w:rsid w:val="00977C26"/>
    <w:rsid w:val="00977E51"/>
    <w:rsid w:val="00980569"/>
    <w:rsid w:val="009809F5"/>
    <w:rsid w:val="0098111E"/>
    <w:rsid w:val="009812A8"/>
    <w:rsid w:val="009813F3"/>
    <w:rsid w:val="00981B64"/>
    <w:rsid w:val="0098293A"/>
    <w:rsid w:val="00983219"/>
    <w:rsid w:val="00983446"/>
    <w:rsid w:val="00983469"/>
    <w:rsid w:val="00983F23"/>
    <w:rsid w:val="00984361"/>
    <w:rsid w:val="0098475E"/>
    <w:rsid w:val="00984992"/>
    <w:rsid w:val="009857C8"/>
    <w:rsid w:val="0098581D"/>
    <w:rsid w:val="00985A15"/>
    <w:rsid w:val="00985F7F"/>
    <w:rsid w:val="00986280"/>
    <w:rsid w:val="00986DB6"/>
    <w:rsid w:val="00986DC6"/>
    <w:rsid w:val="00990250"/>
    <w:rsid w:val="009902A6"/>
    <w:rsid w:val="00990564"/>
    <w:rsid w:val="009906D3"/>
    <w:rsid w:val="00990AF9"/>
    <w:rsid w:val="00990BBA"/>
    <w:rsid w:val="00991B8C"/>
    <w:rsid w:val="0099222F"/>
    <w:rsid w:val="00992D6C"/>
    <w:rsid w:val="00992DBD"/>
    <w:rsid w:val="00993099"/>
    <w:rsid w:val="009932BF"/>
    <w:rsid w:val="0099372E"/>
    <w:rsid w:val="00993770"/>
    <w:rsid w:val="00994268"/>
    <w:rsid w:val="0099457B"/>
    <w:rsid w:val="00995D7D"/>
    <w:rsid w:val="0099618D"/>
    <w:rsid w:val="009965A5"/>
    <w:rsid w:val="009965D0"/>
    <w:rsid w:val="00996880"/>
    <w:rsid w:val="00996F1D"/>
    <w:rsid w:val="00997031"/>
    <w:rsid w:val="00997228"/>
    <w:rsid w:val="009A0182"/>
    <w:rsid w:val="009A04EA"/>
    <w:rsid w:val="009A0A8E"/>
    <w:rsid w:val="009A0C6E"/>
    <w:rsid w:val="009A0D56"/>
    <w:rsid w:val="009A16B5"/>
    <w:rsid w:val="009A19DE"/>
    <w:rsid w:val="009A2C7D"/>
    <w:rsid w:val="009A3AAC"/>
    <w:rsid w:val="009A3C2A"/>
    <w:rsid w:val="009A3CC3"/>
    <w:rsid w:val="009A47FC"/>
    <w:rsid w:val="009A5103"/>
    <w:rsid w:val="009A58A1"/>
    <w:rsid w:val="009A5A9D"/>
    <w:rsid w:val="009A5F19"/>
    <w:rsid w:val="009A60BE"/>
    <w:rsid w:val="009A614B"/>
    <w:rsid w:val="009A66D2"/>
    <w:rsid w:val="009A68E1"/>
    <w:rsid w:val="009A73FE"/>
    <w:rsid w:val="009A7BB0"/>
    <w:rsid w:val="009B02F3"/>
    <w:rsid w:val="009B0D66"/>
    <w:rsid w:val="009B0FAC"/>
    <w:rsid w:val="009B0FC8"/>
    <w:rsid w:val="009B154E"/>
    <w:rsid w:val="009B1795"/>
    <w:rsid w:val="009B1AE5"/>
    <w:rsid w:val="009B1EE0"/>
    <w:rsid w:val="009B2B03"/>
    <w:rsid w:val="009B3595"/>
    <w:rsid w:val="009B38BF"/>
    <w:rsid w:val="009B4C9D"/>
    <w:rsid w:val="009B584B"/>
    <w:rsid w:val="009B5A7B"/>
    <w:rsid w:val="009B6506"/>
    <w:rsid w:val="009B666B"/>
    <w:rsid w:val="009B71D4"/>
    <w:rsid w:val="009B7502"/>
    <w:rsid w:val="009C137F"/>
    <w:rsid w:val="009C1507"/>
    <w:rsid w:val="009C18D4"/>
    <w:rsid w:val="009C1B97"/>
    <w:rsid w:val="009C1E2F"/>
    <w:rsid w:val="009C2946"/>
    <w:rsid w:val="009C2F8C"/>
    <w:rsid w:val="009C3ACD"/>
    <w:rsid w:val="009C3EF2"/>
    <w:rsid w:val="009C4101"/>
    <w:rsid w:val="009C45D7"/>
    <w:rsid w:val="009C5966"/>
    <w:rsid w:val="009C5F21"/>
    <w:rsid w:val="009C63C8"/>
    <w:rsid w:val="009C6D19"/>
    <w:rsid w:val="009C746A"/>
    <w:rsid w:val="009C748F"/>
    <w:rsid w:val="009C77B9"/>
    <w:rsid w:val="009D0B25"/>
    <w:rsid w:val="009D109E"/>
    <w:rsid w:val="009D2069"/>
    <w:rsid w:val="009D24DC"/>
    <w:rsid w:val="009D25A8"/>
    <w:rsid w:val="009D2883"/>
    <w:rsid w:val="009D2DA5"/>
    <w:rsid w:val="009D3354"/>
    <w:rsid w:val="009D352C"/>
    <w:rsid w:val="009D35A9"/>
    <w:rsid w:val="009D451A"/>
    <w:rsid w:val="009D4653"/>
    <w:rsid w:val="009D48ED"/>
    <w:rsid w:val="009D52C7"/>
    <w:rsid w:val="009D570F"/>
    <w:rsid w:val="009D5AE9"/>
    <w:rsid w:val="009D695A"/>
    <w:rsid w:val="009D6D7E"/>
    <w:rsid w:val="009D6F38"/>
    <w:rsid w:val="009E009D"/>
    <w:rsid w:val="009E01BF"/>
    <w:rsid w:val="009E14E2"/>
    <w:rsid w:val="009E1825"/>
    <w:rsid w:val="009E2E1E"/>
    <w:rsid w:val="009E408D"/>
    <w:rsid w:val="009E4190"/>
    <w:rsid w:val="009E41E9"/>
    <w:rsid w:val="009E4449"/>
    <w:rsid w:val="009E4CD3"/>
    <w:rsid w:val="009E51F5"/>
    <w:rsid w:val="009E5FE6"/>
    <w:rsid w:val="009E6A49"/>
    <w:rsid w:val="009E6CB4"/>
    <w:rsid w:val="009E6D63"/>
    <w:rsid w:val="009E7563"/>
    <w:rsid w:val="009F00A1"/>
    <w:rsid w:val="009F04C1"/>
    <w:rsid w:val="009F0E27"/>
    <w:rsid w:val="009F0FCA"/>
    <w:rsid w:val="009F177F"/>
    <w:rsid w:val="009F2330"/>
    <w:rsid w:val="009F348C"/>
    <w:rsid w:val="009F532F"/>
    <w:rsid w:val="009F5817"/>
    <w:rsid w:val="009F6951"/>
    <w:rsid w:val="009F6ED8"/>
    <w:rsid w:val="009F6FDB"/>
    <w:rsid w:val="009F70F6"/>
    <w:rsid w:val="009F79F0"/>
    <w:rsid w:val="009F7F02"/>
    <w:rsid w:val="00A001F8"/>
    <w:rsid w:val="00A00640"/>
    <w:rsid w:val="00A00BF4"/>
    <w:rsid w:val="00A01656"/>
    <w:rsid w:val="00A02662"/>
    <w:rsid w:val="00A030E8"/>
    <w:rsid w:val="00A03964"/>
    <w:rsid w:val="00A03A09"/>
    <w:rsid w:val="00A04253"/>
    <w:rsid w:val="00A045CB"/>
    <w:rsid w:val="00A04636"/>
    <w:rsid w:val="00A04BCB"/>
    <w:rsid w:val="00A04E8E"/>
    <w:rsid w:val="00A05899"/>
    <w:rsid w:val="00A06BAD"/>
    <w:rsid w:val="00A07149"/>
    <w:rsid w:val="00A071E5"/>
    <w:rsid w:val="00A07A01"/>
    <w:rsid w:val="00A10A76"/>
    <w:rsid w:val="00A10B63"/>
    <w:rsid w:val="00A10CAE"/>
    <w:rsid w:val="00A10E06"/>
    <w:rsid w:val="00A1109E"/>
    <w:rsid w:val="00A1134F"/>
    <w:rsid w:val="00A11532"/>
    <w:rsid w:val="00A12302"/>
    <w:rsid w:val="00A12C1E"/>
    <w:rsid w:val="00A12DBF"/>
    <w:rsid w:val="00A136ED"/>
    <w:rsid w:val="00A1371B"/>
    <w:rsid w:val="00A14337"/>
    <w:rsid w:val="00A14E64"/>
    <w:rsid w:val="00A14E7D"/>
    <w:rsid w:val="00A16041"/>
    <w:rsid w:val="00A16B03"/>
    <w:rsid w:val="00A16D8A"/>
    <w:rsid w:val="00A170FE"/>
    <w:rsid w:val="00A20574"/>
    <w:rsid w:val="00A22EEA"/>
    <w:rsid w:val="00A22F3A"/>
    <w:rsid w:val="00A2443E"/>
    <w:rsid w:val="00A2489B"/>
    <w:rsid w:val="00A24D32"/>
    <w:rsid w:val="00A253F0"/>
    <w:rsid w:val="00A25F65"/>
    <w:rsid w:val="00A2603B"/>
    <w:rsid w:val="00A26D6F"/>
    <w:rsid w:val="00A2721D"/>
    <w:rsid w:val="00A304C8"/>
    <w:rsid w:val="00A310FD"/>
    <w:rsid w:val="00A313FB"/>
    <w:rsid w:val="00A31855"/>
    <w:rsid w:val="00A322DD"/>
    <w:rsid w:val="00A322E2"/>
    <w:rsid w:val="00A32641"/>
    <w:rsid w:val="00A33137"/>
    <w:rsid w:val="00A331AF"/>
    <w:rsid w:val="00A331C5"/>
    <w:rsid w:val="00A34224"/>
    <w:rsid w:val="00A34887"/>
    <w:rsid w:val="00A34977"/>
    <w:rsid w:val="00A34B80"/>
    <w:rsid w:val="00A35B41"/>
    <w:rsid w:val="00A35B99"/>
    <w:rsid w:val="00A35CB6"/>
    <w:rsid w:val="00A35ECC"/>
    <w:rsid w:val="00A3718E"/>
    <w:rsid w:val="00A37861"/>
    <w:rsid w:val="00A40968"/>
    <w:rsid w:val="00A40A0F"/>
    <w:rsid w:val="00A40AF5"/>
    <w:rsid w:val="00A40DCC"/>
    <w:rsid w:val="00A40E81"/>
    <w:rsid w:val="00A4142C"/>
    <w:rsid w:val="00A421F4"/>
    <w:rsid w:val="00A42A6B"/>
    <w:rsid w:val="00A432B2"/>
    <w:rsid w:val="00A434F4"/>
    <w:rsid w:val="00A43EF1"/>
    <w:rsid w:val="00A44351"/>
    <w:rsid w:val="00A44EAB"/>
    <w:rsid w:val="00A44F37"/>
    <w:rsid w:val="00A450D2"/>
    <w:rsid w:val="00A456C9"/>
    <w:rsid w:val="00A4592B"/>
    <w:rsid w:val="00A45E3D"/>
    <w:rsid w:val="00A46CD5"/>
    <w:rsid w:val="00A46F20"/>
    <w:rsid w:val="00A473BE"/>
    <w:rsid w:val="00A476D6"/>
    <w:rsid w:val="00A47B3F"/>
    <w:rsid w:val="00A501CF"/>
    <w:rsid w:val="00A50900"/>
    <w:rsid w:val="00A50E59"/>
    <w:rsid w:val="00A529C1"/>
    <w:rsid w:val="00A53EE3"/>
    <w:rsid w:val="00A5406E"/>
    <w:rsid w:val="00A5462E"/>
    <w:rsid w:val="00A549B2"/>
    <w:rsid w:val="00A5507E"/>
    <w:rsid w:val="00A56817"/>
    <w:rsid w:val="00A572CA"/>
    <w:rsid w:val="00A57588"/>
    <w:rsid w:val="00A57C09"/>
    <w:rsid w:val="00A57E4B"/>
    <w:rsid w:val="00A57F21"/>
    <w:rsid w:val="00A605C8"/>
    <w:rsid w:val="00A61BE1"/>
    <w:rsid w:val="00A622F0"/>
    <w:rsid w:val="00A62B9B"/>
    <w:rsid w:val="00A62BC2"/>
    <w:rsid w:val="00A62C72"/>
    <w:rsid w:val="00A6368F"/>
    <w:rsid w:val="00A65292"/>
    <w:rsid w:val="00A65AB9"/>
    <w:rsid w:val="00A65BDF"/>
    <w:rsid w:val="00A6679C"/>
    <w:rsid w:val="00A66FD3"/>
    <w:rsid w:val="00A671FC"/>
    <w:rsid w:val="00A67807"/>
    <w:rsid w:val="00A678CA"/>
    <w:rsid w:val="00A67DC4"/>
    <w:rsid w:val="00A700FF"/>
    <w:rsid w:val="00A702E7"/>
    <w:rsid w:val="00A70366"/>
    <w:rsid w:val="00A70BE0"/>
    <w:rsid w:val="00A70E65"/>
    <w:rsid w:val="00A70F7F"/>
    <w:rsid w:val="00A71C61"/>
    <w:rsid w:val="00A7219C"/>
    <w:rsid w:val="00A729A7"/>
    <w:rsid w:val="00A7351A"/>
    <w:rsid w:val="00A73707"/>
    <w:rsid w:val="00A73A87"/>
    <w:rsid w:val="00A73CCC"/>
    <w:rsid w:val="00A73F84"/>
    <w:rsid w:val="00A75369"/>
    <w:rsid w:val="00A756E0"/>
    <w:rsid w:val="00A759E1"/>
    <w:rsid w:val="00A75E42"/>
    <w:rsid w:val="00A76E9B"/>
    <w:rsid w:val="00A7746A"/>
    <w:rsid w:val="00A803B1"/>
    <w:rsid w:val="00A81306"/>
    <w:rsid w:val="00A818DF"/>
    <w:rsid w:val="00A81FA0"/>
    <w:rsid w:val="00A822F9"/>
    <w:rsid w:val="00A82733"/>
    <w:rsid w:val="00A82AF7"/>
    <w:rsid w:val="00A82B80"/>
    <w:rsid w:val="00A82D43"/>
    <w:rsid w:val="00A831FC"/>
    <w:rsid w:val="00A8320B"/>
    <w:rsid w:val="00A841D6"/>
    <w:rsid w:val="00A84214"/>
    <w:rsid w:val="00A854E1"/>
    <w:rsid w:val="00A86D09"/>
    <w:rsid w:val="00A87875"/>
    <w:rsid w:val="00A87C1D"/>
    <w:rsid w:val="00A87FF6"/>
    <w:rsid w:val="00A90D60"/>
    <w:rsid w:val="00A927A9"/>
    <w:rsid w:val="00A927B0"/>
    <w:rsid w:val="00A95248"/>
    <w:rsid w:val="00A95BE9"/>
    <w:rsid w:val="00A95F4D"/>
    <w:rsid w:val="00A96BB4"/>
    <w:rsid w:val="00A96EE0"/>
    <w:rsid w:val="00A9754E"/>
    <w:rsid w:val="00AA0438"/>
    <w:rsid w:val="00AA0648"/>
    <w:rsid w:val="00AA06D1"/>
    <w:rsid w:val="00AA0D9E"/>
    <w:rsid w:val="00AA0FF2"/>
    <w:rsid w:val="00AA1039"/>
    <w:rsid w:val="00AA2DC3"/>
    <w:rsid w:val="00AA2F94"/>
    <w:rsid w:val="00AA316C"/>
    <w:rsid w:val="00AA3217"/>
    <w:rsid w:val="00AA34C0"/>
    <w:rsid w:val="00AA3F71"/>
    <w:rsid w:val="00AA4008"/>
    <w:rsid w:val="00AA4562"/>
    <w:rsid w:val="00AA5532"/>
    <w:rsid w:val="00AA5CE5"/>
    <w:rsid w:val="00AA6658"/>
    <w:rsid w:val="00AA702C"/>
    <w:rsid w:val="00AA7616"/>
    <w:rsid w:val="00AB03BC"/>
    <w:rsid w:val="00AB07B0"/>
    <w:rsid w:val="00AB0864"/>
    <w:rsid w:val="00AB1875"/>
    <w:rsid w:val="00AB1E14"/>
    <w:rsid w:val="00AB1E1F"/>
    <w:rsid w:val="00AB2626"/>
    <w:rsid w:val="00AB28BA"/>
    <w:rsid w:val="00AB294D"/>
    <w:rsid w:val="00AB2EB6"/>
    <w:rsid w:val="00AB2F10"/>
    <w:rsid w:val="00AB32E2"/>
    <w:rsid w:val="00AB3C90"/>
    <w:rsid w:val="00AB4292"/>
    <w:rsid w:val="00AB4E56"/>
    <w:rsid w:val="00AB4E80"/>
    <w:rsid w:val="00AB5104"/>
    <w:rsid w:val="00AB5197"/>
    <w:rsid w:val="00AB5D87"/>
    <w:rsid w:val="00AB5F30"/>
    <w:rsid w:val="00AB609D"/>
    <w:rsid w:val="00AB622D"/>
    <w:rsid w:val="00AB6ABF"/>
    <w:rsid w:val="00AB7090"/>
    <w:rsid w:val="00AB7B7B"/>
    <w:rsid w:val="00AC0091"/>
    <w:rsid w:val="00AC0B5E"/>
    <w:rsid w:val="00AC1459"/>
    <w:rsid w:val="00AC1819"/>
    <w:rsid w:val="00AC2192"/>
    <w:rsid w:val="00AC21B4"/>
    <w:rsid w:val="00AC23FD"/>
    <w:rsid w:val="00AC2806"/>
    <w:rsid w:val="00AC2F7C"/>
    <w:rsid w:val="00AC33CC"/>
    <w:rsid w:val="00AC3596"/>
    <w:rsid w:val="00AC4AC1"/>
    <w:rsid w:val="00AC4FB0"/>
    <w:rsid w:val="00AC5099"/>
    <w:rsid w:val="00AC5566"/>
    <w:rsid w:val="00AC5789"/>
    <w:rsid w:val="00AC6156"/>
    <w:rsid w:val="00AC6258"/>
    <w:rsid w:val="00AC7499"/>
    <w:rsid w:val="00AC7D00"/>
    <w:rsid w:val="00AD0140"/>
    <w:rsid w:val="00AD1543"/>
    <w:rsid w:val="00AD3592"/>
    <w:rsid w:val="00AD3BF5"/>
    <w:rsid w:val="00AD3FBD"/>
    <w:rsid w:val="00AD4595"/>
    <w:rsid w:val="00AD5668"/>
    <w:rsid w:val="00AD5724"/>
    <w:rsid w:val="00AD6681"/>
    <w:rsid w:val="00AD6751"/>
    <w:rsid w:val="00AD6984"/>
    <w:rsid w:val="00AD6CC3"/>
    <w:rsid w:val="00AE0299"/>
    <w:rsid w:val="00AE03DF"/>
    <w:rsid w:val="00AE057F"/>
    <w:rsid w:val="00AE07A5"/>
    <w:rsid w:val="00AE1B1E"/>
    <w:rsid w:val="00AE4903"/>
    <w:rsid w:val="00AE552C"/>
    <w:rsid w:val="00AE63A8"/>
    <w:rsid w:val="00AE6415"/>
    <w:rsid w:val="00AE6FBC"/>
    <w:rsid w:val="00AE7034"/>
    <w:rsid w:val="00AE7069"/>
    <w:rsid w:val="00AF01C4"/>
    <w:rsid w:val="00AF0344"/>
    <w:rsid w:val="00AF0388"/>
    <w:rsid w:val="00AF1F92"/>
    <w:rsid w:val="00AF24E2"/>
    <w:rsid w:val="00AF30BA"/>
    <w:rsid w:val="00AF3BD0"/>
    <w:rsid w:val="00AF3C87"/>
    <w:rsid w:val="00AF3F03"/>
    <w:rsid w:val="00AF4D84"/>
    <w:rsid w:val="00AF4EF3"/>
    <w:rsid w:val="00AF4F5F"/>
    <w:rsid w:val="00AF4FC6"/>
    <w:rsid w:val="00AF55DF"/>
    <w:rsid w:val="00AF5BC0"/>
    <w:rsid w:val="00AF5E43"/>
    <w:rsid w:val="00AF68FB"/>
    <w:rsid w:val="00AF774D"/>
    <w:rsid w:val="00AF7A22"/>
    <w:rsid w:val="00AF7CE8"/>
    <w:rsid w:val="00AF7DCD"/>
    <w:rsid w:val="00B00166"/>
    <w:rsid w:val="00B003B3"/>
    <w:rsid w:val="00B02148"/>
    <w:rsid w:val="00B02752"/>
    <w:rsid w:val="00B0316B"/>
    <w:rsid w:val="00B04BDE"/>
    <w:rsid w:val="00B064E0"/>
    <w:rsid w:val="00B066F3"/>
    <w:rsid w:val="00B06C26"/>
    <w:rsid w:val="00B06E81"/>
    <w:rsid w:val="00B07315"/>
    <w:rsid w:val="00B073CD"/>
    <w:rsid w:val="00B078E5"/>
    <w:rsid w:val="00B07B3C"/>
    <w:rsid w:val="00B1091F"/>
    <w:rsid w:val="00B11987"/>
    <w:rsid w:val="00B11C06"/>
    <w:rsid w:val="00B11E8C"/>
    <w:rsid w:val="00B11EBF"/>
    <w:rsid w:val="00B120B3"/>
    <w:rsid w:val="00B122D5"/>
    <w:rsid w:val="00B1409F"/>
    <w:rsid w:val="00B14F1F"/>
    <w:rsid w:val="00B15216"/>
    <w:rsid w:val="00B159CF"/>
    <w:rsid w:val="00B15DA5"/>
    <w:rsid w:val="00B15F4E"/>
    <w:rsid w:val="00B1623E"/>
    <w:rsid w:val="00B16A93"/>
    <w:rsid w:val="00B17318"/>
    <w:rsid w:val="00B17B1E"/>
    <w:rsid w:val="00B17CBA"/>
    <w:rsid w:val="00B17E92"/>
    <w:rsid w:val="00B200B8"/>
    <w:rsid w:val="00B201B8"/>
    <w:rsid w:val="00B20208"/>
    <w:rsid w:val="00B20908"/>
    <w:rsid w:val="00B20AD8"/>
    <w:rsid w:val="00B215F5"/>
    <w:rsid w:val="00B21F32"/>
    <w:rsid w:val="00B22530"/>
    <w:rsid w:val="00B2266B"/>
    <w:rsid w:val="00B22759"/>
    <w:rsid w:val="00B22CA8"/>
    <w:rsid w:val="00B22E73"/>
    <w:rsid w:val="00B22F66"/>
    <w:rsid w:val="00B23557"/>
    <w:rsid w:val="00B2470F"/>
    <w:rsid w:val="00B247B3"/>
    <w:rsid w:val="00B248EF"/>
    <w:rsid w:val="00B252D6"/>
    <w:rsid w:val="00B256AB"/>
    <w:rsid w:val="00B25DB0"/>
    <w:rsid w:val="00B25F57"/>
    <w:rsid w:val="00B2642D"/>
    <w:rsid w:val="00B26777"/>
    <w:rsid w:val="00B27490"/>
    <w:rsid w:val="00B2756E"/>
    <w:rsid w:val="00B275B4"/>
    <w:rsid w:val="00B27C9D"/>
    <w:rsid w:val="00B27FAF"/>
    <w:rsid w:val="00B30766"/>
    <w:rsid w:val="00B30E59"/>
    <w:rsid w:val="00B3100E"/>
    <w:rsid w:val="00B31124"/>
    <w:rsid w:val="00B31926"/>
    <w:rsid w:val="00B32ED6"/>
    <w:rsid w:val="00B33326"/>
    <w:rsid w:val="00B336C4"/>
    <w:rsid w:val="00B34E68"/>
    <w:rsid w:val="00B36262"/>
    <w:rsid w:val="00B36858"/>
    <w:rsid w:val="00B36D3E"/>
    <w:rsid w:val="00B36FA6"/>
    <w:rsid w:val="00B37156"/>
    <w:rsid w:val="00B37583"/>
    <w:rsid w:val="00B37B1E"/>
    <w:rsid w:val="00B37B27"/>
    <w:rsid w:val="00B37B4C"/>
    <w:rsid w:val="00B37C18"/>
    <w:rsid w:val="00B40594"/>
    <w:rsid w:val="00B40759"/>
    <w:rsid w:val="00B40924"/>
    <w:rsid w:val="00B433AF"/>
    <w:rsid w:val="00B43937"/>
    <w:rsid w:val="00B43E56"/>
    <w:rsid w:val="00B4402E"/>
    <w:rsid w:val="00B44D86"/>
    <w:rsid w:val="00B45189"/>
    <w:rsid w:val="00B451F0"/>
    <w:rsid w:val="00B457DA"/>
    <w:rsid w:val="00B45C71"/>
    <w:rsid w:val="00B46C47"/>
    <w:rsid w:val="00B46EF4"/>
    <w:rsid w:val="00B473F2"/>
    <w:rsid w:val="00B504F1"/>
    <w:rsid w:val="00B50840"/>
    <w:rsid w:val="00B50E7F"/>
    <w:rsid w:val="00B51275"/>
    <w:rsid w:val="00B513E0"/>
    <w:rsid w:val="00B514CD"/>
    <w:rsid w:val="00B5185B"/>
    <w:rsid w:val="00B521F0"/>
    <w:rsid w:val="00B52A03"/>
    <w:rsid w:val="00B52D96"/>
    <w:rsid w:val="00B5331E"/>
    <w:rsid w:val="00B538D4"/>
    <w:rsid w:val="00B53AF4"/>
    <w:rsid w:val="00B5454E"/>
    <w:rsid w:val="00B546FC"/>
    <w:rsid w:val="00B54842"/>
    <w:rsid w:val="00B54FFD"/>
    <w:rsid w:val="00B5690E"/>
    <w:rsid w:val="00B56B9B"/>
    <w:rsid w:val="00B57C3E"/>
    <w:rsid w:val="00B60107"/>
    <w:rsid w:val="00B611E5"/>
    <w:rsid w:val="00B61498"/>
    <w:rsid w:val="00B6164F"/>
    <w:rsid w:val="00B620AB"/>
    <w:rsid w:val="00B621AC"/>
    <w:rsid w:val="00B630CE"/>
    <w:rsid w:val="00B63986"/>
    <w:rsid w:val="00B63B88"/>
    <w:rsid w:val="00B63C8D"/>
    <w:rsid w:val="00B64267"/>
    <w:rsid w:val="00B647EA"/>
    <w:rsid w:val="00B64985"/>
    <w:rsid w:val="00B64C79"/>
    <w:rsid w:val="00B65266"/>
    <w:rsid w:val="00B656D4"/>
    <w:rsid w:val="00B65CD9"/>
    <w:rsid w:val="00B65E31"/>
    <w:rsid w:val="00B663E8"/>
    <w:rsid w:val="00B67ADC"/>
    <w:rsid w:val="00B67EB4"/>
    <w:rsid w:val="00B7015D"/>
    <w:rsid w:val="00B711A1"/>
    <w:rsid w:val="00B7179B"/>
    <w:rsid w:val="00B717E2"/>
    <w:rsid w:val="00B71914"/>
    <w:rsid w:val="00B72513"/>
    <w:rsid w:val="00B7256A"/>
    <w:rsid w:val="00B72623"/>
    <w:rsid w:val="00B72733"/>
    <w:rsid w:val="00B72976"/>
    <w:rsid w:val="00B72BE7"/>
    <w:rsid w:val="00B72D85"/>
    <w:rsid w:val="00B74097"/>
    <w:rsid w:val="00B740B8"/>
    <w:rsid w:val="00B741B6"/>
    <w:rsid w:val="00B748A4"/>
    <w:rsid w:val="00B748B8"/>
    <w:rsid w:val="00B74B70"/>
    <w:rsid w:val="00B74CA4"/>
    <w:rsid w:val="00B7627F"/>
    <w:rsid w:val="00B765EE"/>
    <w:rsid w:val="00B77813"/>
    <w:rsid w:val="00B77C27"/>
    <w:rsid w:val="00B77EC5"/>
    <w:rsid w:val="00B807D7"/>
    <w:rsid w:val="00B80956"/>
    <w:rsid w:val="00B821B1"/>
    <w:rsid w:val="00B825B0"/>
    <w:rsid w:val="00B8281D"/>
    <w:rsid w:val="00B82D6D"/>
    <w:rsid w:val="00B83D90"/>
    <w:rsid w:val="00B83E54"/>
    <w:rsid w:val="00B841FA"/>
    <w:rsid w:val="00B84802"/>
    <w:rsid w:val="00B84A9D"/>
    <w:rsid w:val="00B84BD2"/>
    <w:rsid w:val="00B84D3E"/>
    <w:rsid w:val="00B84DE0"/>
    <w:rsid w:val="00B85258"/>
    <w:rsid w:val="00B854D8"/>
    <w:rsid w:val="00B855FE"/>
    <w:rsid w:val="00B86173"/>
    <w:rsid w:val="00B86540"/>
    <w:rsid w:val="00B8688B"/>
    <w:rsid w:val="00B86971"/>
    <w:rsid w:val="00B87744"/>
    <w:rsid w:val="00B90757"/>
    <w:rsid w:val="00B90A87"/>
    <w:rsid w:val="00B90D31"/>
    <w:rsid w:val="00B915EB"/>
    <w:rsid w:val="00B91BC8"/>
    <w:rsid w:val="00B91C19"/>
    <w:rsid w:val="00B92026"/>
    <w:rsid w:val="00B92EAE"/>
    <w:rsid w:val="00B9447C"/>
    <w:rsid w:val="00B944DE"/>
    <w:rsid w:val="00B94AB6"/>
    <w:rsid w:val="00B94F5C"/>
    <w:rsid w:val="00B95D8E"/>
    <w:rsid w:val="00B96764"/>
    <w:rsid w:val="00B97495"/>
    <w:rsid w:val="00B97764"/>
    <w:rsid w:val="00B97CD0"/>
    <w:rsid w:val="00BA0BEF"/>
    <w:rsid w:val="00BA20D6"/>
    <w:rsid w:val="00BA217F"/>
    <w:rsid w:val="00BA2404"/>
    <w:rsid w:val="00BA2B0F"/>
    <w:rsid w:val="00BA2BF1"/>
    <w:rsid w:val="00BA2DBC"/>
    <w:rsid w:val="00BA2ED4"/>
    <w:rsid w:val="00BA3A77"/>
    <w:rsid w:val="00BA44B9"/>
    <w:rsid w:val="00BA5A87"/>
    <w:rsid w:val="00BA5EF6"/>
    <w:rsid w:val="00BA64F0"/>
    <w:rsid w:val="00BA6552"/>
    <w:rsid w:val="00BA7483"/>
    <w:rsid w:val="00BA7F86"/>
    <w:rsid w:val="00BA7FF4"/>
    <w:rsid w:val="00BB0A40"/>
    <w:rsid w:val="00BB1A4A"/>
    <w:rsid w:val="00BB310E"/>
    <w:rsid w:val="00BB3209"/>
    <w:rsid w:val="00BB441F"/>
    <w:rsid w:val="00BB4765"/>
    <w:rsid w:val="00BB59BD"/>
    <w:rsid w:val="00BB5D34"/>
    <w:rsid w:val="00BB5DC7"/>
    <w:rsid w:val="00BB6ABF"/>
    <w:rsid w:val="00BB76A5"/>
    <w:rsid w:val="00BB7CF8"/>
    <w:rsid w:val="00BC1734"/>
    <w:rsid w:val="00BC18B2"/>
    <w:rsid w:val="00BC3778"/>
    <w:rsid w:val="00BC3C97"/>
    <w:rsid w:val="00BC3FC6"/>
    <w:rsid w:val="00BC4682"/>
    <w:rsid w:val="00BC512D"/>
    <w:rsid w:val="00BC7BEF"/>
    <w:rsid w:val="00BC7D0A"/>
    <w:rsid w:val="00BD0157"/>
    <w:rsid w:val="00BD0281"/>
    <w:rsid w:val="00BD06F1"/>
    <w:rsid w:val="00BD1152"/>
    <w:rsid w:val="00BD20B4"/>
    <w:rsid w:val="00BD2307"/>
    <w:rsid w:val="00BD3024"/>
    <w:rsid w:val="00BD3A95"/>
    <w:rsid w:val="00BD46F1"/>
    <w:rsid w:val="00BD476E"/>
    <w:rsid w:val="00BD4C3B"/>
    <w:rsid w:val="00BD639B"/>
    <w:rsid w:val="00BD6E7B"/>
    <w:rsid w:val="00BD7BFF"/>
    <w:rsid w:val="00BD7D5E"/>
    <w:rsid w:val="00BE0736"/>
    <w:rsid w:val="00BE0E20"/>
    <w:rsid w:val="00BE108C"/>
    <w:rsid w:val="00BE11D6"/>
    <w:rsid w:val="00BE1A99"/>
    <w:rsid w:val="00BE27F1"/>
    <w:rsid w:val="00BE31E5"/>
    <w:rsid w:val="00BE33F9"/>
    <w:rsid w:val="00BE346F"/>
    <w:rsid w:val="00BE4292"/>
    <w:rsid w:val="00BE437D"/>
    <w:rsid w:val="00BE44AD"/>
    <w:rsid w:val="00BE4D4A"/>
    <w:rsid w:val="00BE4DEC"/>
    <w:rsid w:val="00BE5101"/>
    <w:rsid w:val="00BE54AF"/>
    <w:rsid w:val="00BE6444"/>
    <w:rsid w:val="00BE6B16"/>
    <w:rsid w:val="00BE6E91"/>
    <w:rsid w:val="00BE7B8D"/>
    <w:rsid w:val="00BE7C43"/>
    <w:rsid w:val="00BF0362"/>
    <w:rsid w:val="00BF0DA3"/>
    <w:rsid w:val="00BF1795"/>
    <w:rsid w:val="00BF1B8C"/>
    <w:rsid w:val="00BF2939"/>
    <w:rsid w:val="00BF3528"/>
    <w:rsid w:val="00BF414C"/>
    <w:rsid w:val="00BF4F0C"/>
    <w:rsid w:val="00BF50B7"/>
    <w:rsid w:val="00BF5A52"/>
    <w:rsid w:val="00BF67A5"/>
    <w:rsid w:val="00BF6894"/>
    <w:rsid w:val="00C00BCC"/>
    <w:rsid w:val="00C01639"/>
    <w:rsid w:val="00C01C02"/>
    <w:rsid w:val="00C01C83"/>
    <w:rsid w:val="00C022B2"/>
    <w:rsid w:val="00C02B29"/>
    <w:rsid w:val="00C0309D"/>
    <w:rsid w:val="00C030A6"/>
    <w:rsid w:val="00C0371A"/>
    <w:rsid w:val="00C054AE"/>
    <w:rsid w:val="00C0562A"/>
    <w:rsid w:val="00C05F2A"/>
    <w:rsid w:val="00C0671F"/>
    <w:rsid w:val="00C06A48"/>
    <w:rsid w:val="00C071A9"/>
    <w:rsid w:val="00C0783A"/>
    <w:rsid w:val="00C07995"/>
    <w:rsid w:val="00C10F77"/>
    <w:rsid w:val="00C11373"/>
    <w:rsid w:val="00C119C7"/>
    <w:rsid w:val="00C12D37"/>
    <w:rsid w:val="00C13270"/>
    <w:rsid w:val="00C1388D"/>
    <w:rsid w:val="00C13E9C"/>
    <w:rsid w:val="00C14C3F"/>
    <w:rsid w:val="00C152A6"/>
    <w:rsid w:val="00C1559A"/>
    <w:rsid w:val="00C1631E"/>
    <w:rsid w:val="00C16A2B"/>
    <w:rsid w:val="00C176B1"/>
    <w:rsid w:val="00C22D7B"/>
    <w:rsid w:val="00C22D90"/>
    <w:rsid w:val="00C237F6"/>
    <w:rsid w:val="00C24590"/>
    <w:rsid w:val="00C24A7D"/>
    <w:rsid w:val="00C24AA0"/>
    <w:rsid w:val="00C253B4"/>
    <w:rsid w:val="00C25B81"/>
    <w:rsid w:val="00C260A9"/>
    <w:rsid w:val="00C261BC"/>
    <w:rsid w:val="00C2672A"/>
    <w:rsid w:val="00C26D04"/>
    <w:rsid w:val="00C271C4"/>
    <w:rsid w:val="00C27E91"/>
    <w:rsid w:val="00C305C7"/>
    <w:rsid w:val="00C3197B"/>
    <w:rsid w:val="00C319DF"/>
    <w:rsid w:val="00C31C54"/>
    <w:rsid w:val="00C328C5"/>
    <w:rsid w:val="00C3358E"/>
    <w:rsid w:val="00C3394C"/>
    <w:rsid w:val="00C344D1"/>
    <w:rsid w:val="00C351CE"/>
    <w:rsid w:val="00C354AF"/>
    <w:rsid w:val="00C36081"/>
    <w:rsid w:val="00C36930"/>
    <w:rsid w:val="00C36A4E"/>
    <w:rsid w:val="00C36AF6"/>
    <w:rsid w:val="00C36B92"/>
    <w:rsid w:val="00C37021"/>
    <w:rsid w:val="00C37455"/>
    <w:rsid w:val="00C378F8"/>
    <w:rsid w:val="00C37AA7"/>
    <w:rsid w:val="00C41AAD"/>
    <w:rsid w:val="00C41D12"/>
    <w:rsid w:val="00C420A0"/>
    <w:rsid w:val="00C42EF3"/>
    <w:rsid w:val="00C43262"/>
    <w:rsid w:val="00C436E7"/>
    <w:rsid w:val="00C437B9"/>
    <w:rsid w:val="00C437E4"/>
    <w:rsid w:val="00C43897"/>
    <w:rsid w:val="00C43BB2"/>
    <w:rsid w:val="00C4427D"/>
    <w:rsid w:val="00C44F50"/>
    <w:rsid w:val="00C45059"/>
    <w:rsid w:val="00C460C0"/>
    <w:rsid w:val="00C46C70"/>
    <w:rsid w:val="00C4712C"/>
    <w:rsid w:val="00C4723A"/>
    <w:rsid w:val="00C478C3"/>
    <w:rsid w:val="00C5033A"/>
    <w:rsid w:val="00C50B3F"/>
    <w:rsid w:val="00C50EB0"/>
    <w:rsid w:val="00C51548"/>
    <w:rsid w:val="00C51B17"/>
    <w:rsid w:val="00C521B8"/>
    <w:rsid w:val="00C52239"/>
    <w:rsid w:val="00C5233E"/>
    <w:rsid w:val="00C535DA"/>
    <w:rsid w:val="00C53987"/>
    <w:rsid w:val="00C53C8D"/>
    <w:rsid w:val="00C540E0"/>
    <w:rsid w:val="00C544BD"/>
    <w:rsid w:val="00C54CB4"/>
    <w:rsid w:val="00C54CEE"/>
    <w:rsid w:val="00C54E49"/>
    <w:rsid w:val="00C55899"/>
    <w:rsid w:val="00C559BE"/>
    <w:rsid w:val="00C55C8A"/>
    <w:rsid w:val="00C55F94"/>
    <w:rsid w:val="00C56315"/>
    <w:rsid w:val="00C57428"/>
    <w:rsid w:val="00C57753"/>
    <w:rsid w:val="00C57CDA"/>
    <w:rsid w:val="00C57D3F"/>
    <w:rsid w:val="00C60B9A"/>
    <w:rsid w:val="00C60C3F"/>
    <w:rsid w:val="00C61AC7"/>
    <w:rsid w:val="00C61BF8"/>
    <w:rsid w:val="00C621B0"/>
    <w:rsid w:val="00C63AB6"/>
    <w:rsid w:val="00C643C7"/>
    <w:rsid w:val="00C64B29"/>
    <w:rsid w:val="00C65693"/>
    <w:rsid w:val="00C67989"/>
    <w:rsid w:val="00C7009D"/>
    <w:rsid w:val="00C70530"/>
    <w:rsid w:val="00C706BE"/>
    <w:rsid w:val="00C7072A"/>
    <w:rsid w:val="00C707C5"/>
    <w:rsid w:val="00C70ADB"/>
    <w:rsid w:val="00C71308"/>
    <w:rsid w:val="00C729E8"/>
    <w:rsid w:val="00C72B62"/>
    <w:rsid w:val="00C730C2"/>
    <w:rsid w:val="00C732C1"/>
    <w:rsid w:val="00C73543"/>
    <w:rsid w:val="00C736D8"/>
    <w:rsid w:val="00C73C34"/>
    <w:rsid w:val="00C7400C"/>
    <w:rsid w:val="00C74380"/>
    <w:rsid w:val="00C74612"/>
    <w:rsid w:val="00C74825"/>
    <w:rsid w:val="00C7575A"/>
    <w:rsid w:val="00C75E38"/>
    <w:rsid w:val="00C75E94"/>
    <w:rsid w:val="00C763B1"/>
    <w:rsid w:val="00C76C18"/>
    <w:rsid w:val="00C76D73"/>
    <w:rsid w:val="00C770D2"/>
    <w:rsid w:val="00C8064A"/>
    <w:rsid w:val="00C80B98"/>
    <w:rsid w:val="00C80F4E"/>
    <w:rsid w:val="00C8103A"/>
    <w:rsid w:val="00C816AD"/>
    <w:rsid w:val="00C818E4"/>
    <w:rsid w:val="00C818E6"/>
    <w:rsid w:val="00C81DC4"/>
    <w:rsid w:val="00C8218C"/>
    <w:rsid w:val="00C82249"/>
    <w:rsid w:val="00C829B7"/>
    <w:rsid w:val="00C82B37"/>
    <w:rsid w:val="00C82F80"/>
    <w:rsid w:val="00C851B1"/>
    <w:rsid w:val="00C85D56"/>
    <w:rsid w:val="00C85F81"/>
    <w:rsid w:val="00C8770A"/>
    <w:rsid w:val="00C87865"/>
    <w:rsid w:val="00C87C73"/>
    <w:rsid w:val="00C900A4"/>
    <w:rsid w:val="00C902B0"/>
    <w:rsid w:val="00C90DB0"/>
    <w:rsid w:val="00C91A75"/>
    <w:rsid w:val="00C927D1"/>
    <w:rsid w:val="00C929B2"/>
    <w:rsid w:val="00C92CB4"/>
    <w:rsid w:val="00C9315F"/>
    <w:rsid w:val="00C93430"/>
    <w:rsid w:val="00C934D8"/>
    <w:rsid w:val="00C93622"/>
    <w:rsid w:val="00C93905"/>
    <w:rsid w:val="00C93DBC"/>
    <w:rsid w:val="00C94183"/>
    <w:rsid w:val="00C94221"/>
    <w:rsid w:val="00C94437"/>
    <w:rsid w:val="00C948CA"/>
    <w:rsid w:val="00C94D8B"/>
    <w:rsid w:val="00C951E1"/>
    <w:rsid w:val="00C965F2"/>
    <w:rsid w:val="00C96977"/>
    <w:rsid w:val="00C9741D"/>
    <w:rsid w:val="00C977C3"/>
    <w:rsid w:val="00C97C28"/>
    <w:rsid w:val="00C97F52"/>
    <w:rsid w:val="00CA011D"/>
    <w:rsid w:val="00CA3818"/>
    <w:rsid w:val="00CA3FFE"/>
    <w:rsid w:val="00CA40D0"/>
    <w:rsid w:val="00CA4EC5"/>
    <w:rsid w:val="00CA4ECC"/>
    <w:rsid w:val="00CA52A3"/>
    <w:rsid w:val="00CA53FD"/>
    <w:rsid w:val="00CA6533"/>
    <w:rsid w:val="00CA65AA"/>
    <w:rsid w:val="00CA6CA3"/>
    <w:rsid w:val="00CB00C2"/>
    <w:rsid w:val="00CB0B6E"/>
    <w:rsid w:val="00CB157B"/>
    <w:rsid w:val="00CB1B78"/>
    <w:rsid w:val="00CB1F7D"/>
    <w:rsid w:val="00CB26B9"/>
    <w:rsid w:val="00CB4A82"/>
    <w:rsid w:val="00CB4B4D"/>
    <w:rsid w:val="00CB5428"/>
    <w:rsid w:val="00CB6834"/>
    <w:rsid w:val="00CB6F66"/>
    <w:rsid w:val="00CC1835"/>
    <w:rsid w:val="00CC1892"/>
    <w:rsid w:val="00CC28C9"/>
    <w:rsid w:val="00CC2D33"/>
    <w:rsid w:val="00CC48C9"/>
    <w:rsid w:val="00CC5BA6"/>
    <w:rsid w:val="00CC5EA6"/>
    <w:rsid w:val="00CC695B"/>
    <w:rsid w:val="00CC6AC9"/>
    <w:rsid w:val="00CC754A"/>
    <w:rsid w:val="00CC7772"/>
    <w:rsid w:val="00CD0161"/>
    <w:rsid w:val="00CD034D"/>
    <w:rsid w:val="00CD1FBE"/>
    <w:rsid w:val="00CD2A43"/>
    <w:rsid w:val="00CD2CF9"/>
    <w:rsid w:val="00CD33A5"/>
    <w:rsid w:val="00CD33B4"/>
    <w:rsid w:val="00CD5738"/>
    <w:rsid w:val="00CD597E"/>
    <w:rsid w:val="00CD5AC7"/>
    <w:rsid w:val="00CD7182"/>
    <w:rsid w:val="00CD7D37"/>
    <w:rsid w:val="00CE04B1"/>
    <w:rsid w:val="00CE0FBD"/>
    <w:rsid w:val="00CE14D1"/>
    <w:rsid w:val="00CE15B5"/>
    <w:rsid w:val="00CE1AA0"/>
    <w:rsid w:val="00CE2207"/>
    <w:rsid w:val="00CE23DE"/>
    <w:rsid w:val="00CE25C0"/>
    <w:rsid w:val="00CE2736"/>
    <w:rsid w:val="00CE29B2"/>
    <w:rsid w:val="00CE32DD"/>
    <w:rsid w:val="00CE34A2"/>
    <w:rsid w:val="00CE41AB"/>
    <w:rsid w:val="00CE4949"/>
    <w:rsid w:val="00CE4F5D"/>
    <w:rsid w:val="00CE59B0"/>
    <w:rsid w:val="00CE5C1B"/>
    <w:rsid w:val="00CE5F6B"/>
    <w:rsid w:val="00CE6D64"/>
    <w:rsid w:val="00CE6F2A"/>
    <w:rsid w:val="00CE74D8"/>
    <w:rsid w:val="00CE77EF"/>
    <w:rsid w:val="00CF03EC"/>
    <w:rsid w:val="00CF105D"/>
    <w:rsid w:val="00CF1492"/>
    <w:rsid w:val="00CF1AE9"/>
    <w:rsid w:val="00CF1C5A"/>
    <w:rsid w:val="00CF1D4C"/>
    <w:rsid w:val="00CF1DF9"/>
    <w:rsid w:val="00CF21C3"/>
    <w:rsid w:val="00CF2A2B"/>
    <w:rsid w:val="00CF2C6B"/>
    <w:rsid w:val="00CF3308"/>
    <w:rsid w:val="00CF4359"/>
    <w:rsid w:val="00CF45B8"/>
    <w:rsid w:val="00CF4B17"/>
    <w:rsid w:val="00CF4C8B"/>
    <w:rsid w:val="00CF4F43"/>
    <w:rsid w:val="00CF567A"/>
    <w:rsid w:val="00CF57B1"/>
    <w:rsid w:val="00CF654B"/>
    <w:rsid w:val="00CF74A2"/>
    <w:rsid w:val="00D004B8"/>
    <w:rsid w:val="00D006A6"/>
    <w:rsid w:val="00D029DF"/>
    <w:rsid w:val="00D04117"/>
    <w:rsid w:val="00D04CC5"/>
    <w:rsid w:val="00D06755"/>
    <w:rsid w:val="00D07262"/>
    <w:rsid w:val="00D076C2"/>
    <w:rsid w:val="00D10350"/>
    <w:rsid w:val="00D106CA"/>
    <w:rsid w:val="00D1087E"/>
    <w:rsid w:val="00D118AD"/>
    <w:rsid w:val="00D119D3"/>
    <w:rsid w:val="00D11F7F"/>
    <w:rsid w:val="00D11F83"/>
    <w:rsid w:val="00D12067"/>
    <w:rsid w:val="00D125A0"/>
    <w:rsid w:val="00D12702"/>
    <w:rsid w:val="00D12A46"/>
    <w:rsid w:val="00D132C0"/>
    <w:rsid w:val="00D136B6"/>
    <w:rsid w:val="00D13704"/>
    <w:rsid w:val="00D13C25"/>
    <w:rsid w:val="00D14192"/>
    <w:rsid w:val="00D146B6"/>
    <w:rsid w:val="00D14788"/>
    <w:rsid w:val="00D14BB8"/>
    <w:rsid w:val="00D14CBE"/>
    <w:rsid w:val="00D14F5F"/>
    <w:rsid w:val="00D1618A"/>
    <w:rsid w:val="00D1639B"/>
    <w:rsid w:val="00D164E5"/>
    <w:rsid w:val="00D16EBA"/>
    <w:rsid w:val="00D17059"/>
    <w:rsid w:val="00D17B5F"/>
    <w:rsid w:val="00D21044"/>
    <w:rsid w:val="00D21472"/>
    <w:rsid w:val="00D21620"/>
    <w:rsid w:val="00D21FE5"/>
    <w:rsid w:val="00D23487"/>
    <w:rsid w:val="00D2443A"/>
    <w:rsid w:val="00D245FC"/>
    <w:rsid w:val="00D24B74"/>
    <w:rsid w:val="00D309A3"/>
    <w:rsid w:val="00D30E80"/>
    <w:rsid w:val="00D325E7"/>
    <w:rsid w:val="00D3367C"/>
    <w:rsid w:val="00D33DA1"/>
    <w:rsid w:val="00D34F39"/>
    <w:rsid w:val="00D355C1"/>
    <w:rsid w:val="00D35A69"/>
    <w:rsid w:val="00D35B3A"/>
    <w:rsid w:val="00D37942"/>
    <w:rsid w:val="00D37D91"/>
    <w:rsid w:val="00D404BA"/>
    <w:rsid w:val="00D40DD4"/>
    <w:rsid w:val="00D41BEC"/>
    <w:rsid w:val="00D41FE7"/>
    <w:rsid w:val="00D42BB2"/>
    <w:rsid w:val="00D42E26"/>
    <w:rsid w:val="00D43200"/>
    <w:rsid w:val="00D43E01"/>
    <w:rsid w:val="00D4424D"/>
    <w:rsid w:val="00D442C8"/>
    <w:rsid w:val="00D445C1"/>
    <w:rsid w:val="00D44E68"/>
    <w:rsid w:val="00D45512"/>
    <w:rsid w:val="00D4561D"/>
    <w:rsid w:val="00D4562B"/>
    <w:rsid w:val="00D45D0E"/>
    <w:rsid w:val="00D46531"/>
    <w:rsid w:val="00D467F5"/>
    <w:rsid w:val="00D467FB"/>
    <w:rsid w:val="00D46ECC"/>
    <w:rsid w:val="00D50082"/>
    <w:rsid w:val="00D503C2"/>
    <w:rsid w:val="00D50422"/>
    <w:rsid w:val="00D516D6"/>
    <w:rsid w:val="00D518D2"/>
    <w:rsid w:val="00D51FEF"/>
    <w:rsid w:val="00D52E55"/>
    <w:rsid w:val="00D53852"/>
    <w:rsid w:val="00D53F36"/>
    <w:rsid w:val="00D5472B"/>
    <w:rsid w:val="00D54B1F"/>
    <w:rsid w:val="00D54E31"/>
    <w:rsid w:val="00D54FD7"/>
    <w:rsid w:val="00D5595F"/>
    <w:rsid w:val="00D567C3"/>
    <w:rsid w:val="00D56889"/>
    <w:rsid w:val="00D57287"/>
    <w:rsid w:val="00D5745D"/>
    <w:rsid w:val="00D57B4F"/>
    <w:rsid w:val="00D6102F"/>
    <w:rsid w:val="00D612BF"/>
    <w:rsid w:val="00D61726"/>
    <w:rsid w:val="00D61A12"/>
    <w:rsid w:val="00D61CD3"/>
    <w:rsid w:val="00D640F4"/>
    <w:rsid w:val="00D6455C"/>
    <w:rsid w:val="00D6462C"/>
    <w:rsid w:val="00D65D0D"/>
    <w:rsid w:val="00D66229"/>
    <w:rsid w:val="00D662B0"/>
    <w:rsid w:val="00D66308"/>
    <w:rsid w:val="00D66D12"/>
    <w:rsid w:val="00D675EA"/>
    <w:rsid w:val="00D67759"/>
    <w:rsid w:val="00D67775"/>
    <w:rsid w:val="00D708DC"/>
    <w:rsid w:val="00D709B0"/>
    <w:rsid w:val="00D7179C"/>
    <w:rsid w:val="00D72352"/>
    <w:rsid w:val="00D723B5"/>
    <w:rsid w:val="00D73437"/>
    <w:rsid w:val="00D74AB6"/>
    <w:rsid w:val="00D76919"/>
    <w:rsid w:val="00D76E17"/>
    <w:rsid w:val="00D77A68"/>
    <w:rsid w:val="00D808EA"/>
    <w:rsid w:val="00D812EF"/>
    <w:rsid w:val="00D816BD"/>
    <w:rsid w:val="00D816E6"/>
    <w:rsid w:val="00D81D8C"/>
    <w:rsid w:val="00D835B9"/>
    <w:rsid w:val="00D83B47"/>
    <w:rsid w:val="00D83ED7"/>
    <w:rsid w:val="00D83F98"/>
    <w:rsid w:val="00D8453B"/>
    <w:rsid w:val="00D84CB5"/>
    <w:rsid w:val="00D84D93"/>
    <w:rsid w:val="00D8566C"/>
    <w:rsid w:val="00D85685"/>
    <w:rsid w:val="00D869C2"/>
    <w:rsid w:val="00D8721C"/>
    <w:rsid w:val="00D87BA2"/>
    <w:rsid w:val="00D90C2A"/>
    <w:rsid w:val="00D90C8E"/>
    <w:rsid w:val="00D91B86"/>
    <w:rsid w:val="00D91F84"/>
    <w:rsid w:val="00D932A8"/>
    <w:rsid w:val="00D934AA"/>
    <w:rsid w:val="00D94800"/>
    <w:rsid w:val="00D94901"/>
    <w:rsid w:val="00D95054"/>
    <w:rsid w:val="00D95802"/>
    <w:rsid w:val="00D95DE8"/>
    <w:rsid w:val="00D96B87"/>
    <w:rsid w:val="00D97522"/>
    <w:rsid w:val="00D975FF"/>
    <w:rsid w:val="00DA022E"/>
    <w:rsid w:val="00DA0D97"/>
    <w:rsid w:val="00DA0EC5"/>
    <w:rsid w:val="00DA14BA"/>
    <w:rsid w:val="00DA1B29"/>
    <w:rsid w:val="00DA2DF3"/>
    <w:rsid w:val="00DA42FD"/>
    <w:rsid w:val="00DA469C"/>
    <w:rsid w:val="00DA46CC"/>
    <w:rsid w:val="00DA50EC"/>
    <w:rsid w:val="00DA55E7"/>
    <w:rsid w:val="00DA5713"/>
    <w:rsid w:val="00DA58F3"/>
    <w:rsid w:val="00DA5E13"/>
    <w:rsid w:val="00DA62B8"/>
    <w:rsid w:val="00DA69D4"/>
    <w:rsid w:val="00DA7DF6"/>
    <w:rsid w:val="00DB1D4C"/>
    <w:rsid w:val="00DB1E88"/>
    <w:rsid w:val="00DB3B5B"/>
    <w:rsid w:val="00DB403E"/>
    <w:rsid w:val="00DB43B6"/>
    <w:rsid w:val="00DB4683"/>
    <w:rsid w:val="00DB47C4"/>
    <w:rsid w:val="00DB4CC6"/>
    <w:rsid w:val="00DB55EE"/>
    <w:rsid w:val="00DB5D0A"/>
    <w:rsid w:val="00DB69CE"/>
    <w:rsid w:val="00DB7467"/>
    <w:rsid w:val="00DC0476"/>
    <w:rsid w:val="00DC0B9A"/>
    <w:rsid w:val="00DC0EAB"/>
    <w:rsid w:val="00DC1E3A"/>
    <w:rsid w:val="00DC2121"/>
    <w:rsid w:val="00DC2535"/>
    <w:rsid w:val="00DC2678"/>
    <w:rsid w:val="00DC2CD8"/>
    <w:rsid w:val="00DC2F03"/>
    <w:rsid w:val="00DC2FB6"/>
    <w:rsid w:val="00DC3B99"/>
    <w:rsid w:val="00DC3D1F"/>
    <w:rsid w:val="00DC3F14"/>
    <w:rsid w:val="00DC4825"/>
    <w:rsid w:val="00DC4A4F"/>
    <w:rsid w:val="00DC53F4"/>
    <w:rsid w:val="00DC5423"/>
    <w:rsid w:val="00DC653F"/>
    <w:rsid w:val="00DC657F"/>
    <w:rsid w:val="00DC6A52"/>
    <w:rsid w:val="00DC77DC"/>
    <w:rsid w:val="00DC7990"/>
    <w:rsid w:val="00DC7A2E"/>
    <w:rsid w:val="00DD0080"/>
    <w:rsid w:val="00DD03DD"/>
    <w:rsid w:val="00DD05E0"/>
    <w:rsid w:val="00DD102E"/>
    <w:rsid w:val="00DD22AA"/>
    <w:rsid w:val="00DD2780"/>
    <w:rsid w:val="00DD2FB2"/>
    <w:rsid w:val="00DD45C3"/>
    <w:rsid w:val="00DD4882"/>
    <w:rsid w:val="00DD49D2"/>
    <w:rsid w:val="00DD4BC0"/>
    <w:rsid w:val="00DD4D00"/>
    <w:rsid w:val="00DD571A"/>
    <w:rsid w:val="00DD58DF"/>
    <w:rsid w:val="00DD6131"/>
    <w:rsid w:val="00DD6491"/>
    <w:rsid w:val="00DD6536"/>
    <w:rsid w:val="00DD6E01"/>
    <w:rsid w:val="00DD78D4"/>
    <w:rsid w:val="00DE0618"/>
    <w:rsid w:val="00DE07CA"/>
    <w:rsid w:val="00DE2422"/>
    <w:rsid w:val="00DE2476"/>
    <w:rsid w:val="00DE2972"/>
    <w:rsid w:val="00DE2AF0"/>
    <w:rsid w:val="00DE49EE"/>
    <w:rsid w:val="00DE4CF4"/>
    <w:rsid w:val="00DE4DA5"/>
    <w:rsid w:val="00DE52CC"/>
    <w:rsid w:val="00DE5334"/>
    <w:rsid w:val="00DE568F"/>
    <w:rsid w:val="00DE62A6"/>
    <w:rsid w:val="00DE67EC"/>
    <w:rsid w:val="00DE6A75"/>
    <w:rsid w:val="00DE6FFE"/>
    <w:rsid w:val="00DE766B"/>
    <w:rsid w:val="00DE7816"/>
    <w:rsid w:val="00DE7D3E"/>
    <w:rsid w:val="00DF0336"/>
    <w:rsid w:val="00DF087F"/>
    <w:rsid w:val="00DF0BAA"/>
    <w:rsid w:val="00DF0C20"/>
    <w:rsid w:val="00DF10F0"/>
    <w:rsid w:val="00DF1194"/>
    <w:rsid w:val="00DF148D"/>
    <w:rsid w:val="00DF1B2F"/>
    <w:rsid w:val="00DF1DC5"/>
    <w:rsid w:val="00DF2222"/>
    <w:rsid w:val="00DF27B1"/>
    <w:rsid w:val="00DF293F"/>
    <w:rsid w:val="00DF2D39"/>
    <w:rsid w:val="00DF2DB0"/>
    <w:rsid w:val="00DF31E8"/>
    <w:rsid w:val="00DF33BC"/>
    <w:rsid w:val="00DF35D8"/>
    <w:rsid w:val="00DF363B"/>
    <w:rsid w:val="00DF3A46"/>
    <w:rsid w:val="00DF453D"/>
    <w:rsid w:val="00DF4D2C"/>
    <w:rsid w:val="00DF4DCE"/>
    <w:rsid w:val="00DF4F18"/>
    <w:rsid w:val="00DF5554"/>
    <w:rsid w:val="00DF5670"/>
    <w:rsid w:val="00DF5B6F"/>
    <w:rsid w:val="00DF6B5B"/>
    <w:rsid w:val="00DF6E94"/>
    <w:rsid w:val="00DF7828"/>
    <w:rsid w:val="00E006A0"/>
    <w:rsid w:val="00E00D28"/>
    <w:rsid w:val="00E01915"/>
    <w:rsid w:val="00E01BCA"/>
    <w:rsid w:val="00E03DA0"/>
    <w:rsid w:val="00E05546"/>
    <w:rsid w:val="00E05953"/>
    <w:rsid w:val="00E06C49"/>
    <w:rsid w:val="00E07105"/>
    <w:rsid w:val="00E07644"/>
    <w:rsid w:val="00E07BC3"/>
    <w:rsid w:val="00E10146"/>
    <w:rsid w:val="00E10286"/>
    <w:rsid w:val="00E1085C"/>
    <w:rsid w:val="00E10A67"/>
    <w:rsid w:val="00E10EE9"/>
    <w:rsid w:val="00E11126"/>
    <w:rsid w:val="00E11606"/>
    <w:rsid w:val="00E117B0"/>
    <w:rsid w:val="00E117DF"/>
    <w:rsid w:val="00E119E0"/>
    <w:rsid w:val="00E131E4"/>
    <w:rsid w:val="00E13219"/>
    <w:rsid w:val="00E1326F"/>
    <w:rsid w:val="00E1331D"/>
    <w:rsid w:val="00E1337B"/>
    <w:rsid w:val="00E133C8"/>
    <w:rsid w:val="00E14530"/>
    <w:rsid w:val="00E14BF6"/>
    <w:rsid w:val="00E1613C"/>
    <w:rsid w:val="00E16237"/>
    <w:rsid w:val="00E16576"/>
    <w:rsid w:val="00E16A6E"/>
    <w:rsid w:val="00E16A86"/>
    <w:rsid w:val="00E17107"/>
    <w:rsid w:val="00E17DE5"/>
    <w:rsid w:val="00E200CC"/>
    <w:rsid w:val="00E204CD"/>
    <w:rsid w:val="00E21CC2"/>
    <w:rsid w:val="00E21DC3"/>
    <w:rsid w:val="00E223E8"/>
    <w:rsid w:val="00E22AB6"/>
    <w:rsid w:val="00E22CD0"/>
    <w:rsid w:val="00E23196"/>
    <w:rsid w:val="00E2332C"/>
    <w:rsid w:val="00E2346C"/>
    <w:rsid w:val="00E23AA8"/>
    <w:rsid w:val="00E23BD7"/>
    <w:rsid w:val="00E26297"/>
    <w:rsid w:val="00E264A0"/>
    <w:rsid w:val="00E27845"/>
    <w:rsid w:val="00E27B4C"/>
    <w:rsid w:val="00E27CC4"/>
    <w:rsid w:val="00E3000F"/>
    <w:rsid w:val="00E314BA"/>
    <w:rsid w:val="00E31694"/>
    <w:rsid w:val="00E31740"/>
    <w:rsid w:val="00E31C76"/>
    <w:rsid w:val="00E32E51"/>
    <w:rsid w:val="00E331DC"/>
    <w:rsid w:val="00E339D0"/>
    <w:rsid w:val="00E3400A"/>
    <w:rsid w:val="00E346B1"/>
    <w:rsid w:val="00E34B6D"/>
    <w:rsid w:val="00E35154"/>
    <w:rsid w:val="00E357A0"/>
    <w:rsid w:val="00E35BDB"/>
    <w:rsid w:val="00E3637F"/>
    <w:rsid w:val="00E36F4C"/>
    <w:rsid w:val="00E40085"/>
    <w:rsid w:val="00E41641"/>
    <w:rsid w:val="00E4192D"/>
    <w:rsid w:val="00E41CF5"/>
    <w:rsid w:val="00E4238D"/>
    <w:rsid w:val="00E4349F"/>
    <w:rsid w:val="00E43BE6"/>
    <w:rsid w:val="00E43DF9"/>
    <w:rsid w:val="00E4445F"/>
    <w:rsid w:val="00E447C3"/>
    <w:rsid w:val="00E44AAD"/>
    <w:rsid w:val="00E44D1C"/>
    <w:rsid w:val="00E45A9B"/>
    <w:rsid w:val="00E462B9"/>
    <w:rsid w:val="00E467DC"/>
    <w:rsid w:val="00E468E1"/>
    <w:rsid w:val="00E47872"/>
    <w:rsid w:val="00E47A10"/>
    <w:rsid w:val="00E500DC"/>
    <w:rsid w:val="00E5035E"/>
    <w:rsid w:val="00E50784"/>
    <w:rsid w:val="00E5091F"/>
    <w:rsid w:val="00E50DE2"/>
    <w:rsid w:val="00E51AA5"/>
    <w:rsid w:val="00E51EC3"/>
    <w:rsid w:val="00E52F71"/>
    <w:rsid w:val="00E535CB"/>
    <w:rsid w:val="00E539BA"/>
    <w:rsid w:val="00E546B4"/>
    <w:rsid w:val="00E55358"/>
    <w:rsid w:val="00E5621C"/>
    <w:rsid w:val="00E5702D"/>
    <w:rsid w:val="00E574C8"/>
    <w:rsid w:val="00E57637"/>
    <w:rsid w:val="00E579DC"/>
    <w:rsid w:val="00E57DB0"/>
    <w:rsid w:val="00E60122"/>
    <w:rsid w:val="00E605B8"/>
    <w:rsid w:val="00E60A08"/>
    <w:rsid w:val="00E60E1E"/>
    <w:rsid w:val="00E61025"/>
    <w:rsid w:val="00E611B5"/>
    <w:rsid w:val="00E6176F"/>
    <w:rsid w:val="00E61D89"/>
    <w:rsid w:val="00E61F22"/>
    <w:rsid w:val="00E62247"/>
    <w:rsid w:val="00E62844"/>
    <w:rsid w:val="00E628E6"/>
    <w:rsid w:val="00E62B7A"/>
    <w:rsid w:val="00E63FAF"/>
    <w:rsid w:val="00E647A0"/>
    <w:rsid w:val="00E657E9"/>
    <w:rsid w:val="00E65A92"/>
    <w:rsid w:val="00E65FC1"/>
    <w:rsid w:val="00E66332"/>
    <w:rsid w:val="00E668A6"/>
    <w:rsid w:val="00E6737C"/>
    <w:rsid w:val="00E6744B"/>
    <w:rsid w:val="00E675FB"/>
    <w:rsid w:val="00E67EDC"/>
    <w:rsid w:val="00E700DB"/>
    <w:rsid w:val="00E70911"/>
    <w:rsid w:val="00E71C29"/>
    <w:rsid w:val="00E72A0D"/>
    <w:rsid w:val="00E72E98"/>
    <w:rsid w:val="00E73045"/>
    <w:rsid w:val="00E73106"/>
    <w:rsid w:val="00E73748"/>
    <w:rsid w:val="00E74178"/>
    <w:rsid w:val="00E7487E"/>
    <w:rsid w:val="00E74BFF"/>
    <w:rsid w:val="00E74D68"/>
    <w:rsid w:val="00E75355"/>
    <w:rsid w:val="00E757D3"/>
    <w:rsid w:val="00E75E55"/>
    <w:rsid w:val="00E75F46"/>
    <w:rsid w:val="00E76403"/>
    <w:rsid w:val="00E765F6"/>
    <w:rsid w:val="00E76EDB"/>
    <w:rsid w:val="00E774D3"/>
    <w:rsid w:val="00E7780F"/>
    <w:rsid w:val="00E815EA"/>
    <w:rsid w:val="00E81A09"/>
    <w:rsid w:val="00E81F3D"/>
    <w:rsid w:val="00E83213"/>
    <w:rsid w:val="00E83821"/>
    <w:rsid w:val="00E83AFC"/>
    <w:rsid w:val="00E843CC"/>
    <w:rsid w:val="00E8486A"/>
    <w:rsid w:val="00E84A2A"/>
    <w:rsid w:val="00E84B42"/>
    <w:rsid w:val="00E84C06"/>
    <w:rsid w:val="00E84CA6"/>
    <w:rsid w:val="00E84DF1"/>
    <w:rsid w:val="00E84EBF"/>
    <w:rsid w:val="00E855D3"/>
    <w:rsid w:val="00E856C1"/>
    <w:rsid w:val="00E85D0C"/>
    <w:rsid w:val="00E87248"/>
    <w:rsid w:val="00E87500"/>
    <w:rsid w:val="00E900F0"/>
    <w:rsid w:val="00E90817"/>
    <w:rsid w:val="00E9121C"/>
    <w:rsid w:val="00E9133D"/>
    <w:rsid w:val="00E9213E"/>
    <w:rsid w:val="00E92258"/>
    <w:rsid w:val="00E93F04"/>
    <w:rsid w:val="00E94520"/>
    <w:rsid w:val="00E94C65"/>
    <w:rsid w:val="00E95352"/>
    <w:rsid w:val="00E95720"/>
    <w:rsid w:val="00E95E62"/>
    <w:rsid w:val="00E96022"/>
    <w:rsid w:val="00E965F0"/>
    <w:rsid w:val="00E96746"/>
    <w:rsid w:val="00E96AE8"/>
    <w:rsid w:val="00E972C2"/>
    <w:rsid w:val="00E976B2"/>
    <w:rsid w:val="00E97ABE"/>
    <w:rsid w:val="00E97B71"/>
    <w:rsid w:val="00E97DC3"/>
    <w:rsid w:val="00E97F9F"/>
    <w:rsid w:val="00EA0C12"/>
    <w:rsid w:val="00EA0FB3"/>
    <w:rsid w:val="00EA1185"/>
    <w:rsid w:val="00EA1370"/>
    <w:rsid w:val="00EA1959"/>
    <w:rsid w:val="00EA2DD1"/>
    <w:rsid w:val="00EA3013"/>
    <w:rsid w:val="00EA352F"/>
    <w:rsid w:val="00EA3AAE"/>
    <w:rsid w:val="00EA3BA1"/>
    <w:rsid w:val="00EA3BEA"/>
    <w:rsid w:val="00EA3E54"/>
    <w:rsid w:val="00EA3F75"/>
    <w:rsid w:val="00EA417A"/>
    <w:rsid w:val="00EA444F"/>
    <w:rsid w:val="00EA4857"/>
    <w:rsid w:val="00EA4BDC"/>
    <w:rsid w:val="00EA5131"/>
    <w:rsid w:val="00EA581D"/>
    <w:rsid w:val="00EA5875"/>
    <w:rsid w:val="00EA5F4A"/>
    <w:rsid w:val="00EA62C0"/>
    <w:rsid w:val="00EA637B"/>
    <w:rsid w:val="00EA7C86"/>
    <w:rsid w:val="00EB009D"/>
    <w:rsid w:val="00EB0361"/>
    <w:rsid w:val="00EB22E8"/>
    <w:rsid w:val="00EB48BA"/>
    <w:rsid w:val="00EB4BEE"/>
    <w:rsid w:val="00EB4EA7"/>
    <w:rsid w:val="00EB5815"/>
    <w:rsid w:val="00EB5E91"/>
    <w:rsid w:val="00EB6841"/>
    <w:rsid w:val="00EB7A16"/>
    <w:rsid w:val="00EC009E"/>
    <w:rsid w:val="00EC0447"/>
    <w:rsid w:val="00EC0931"/>
    <w:rsid w:val="00EC1673"/>
    <w:rsid w:val="00EC1987"/>
    <w:rsid w:val="00EC2D7F"/>
    <w:rsid w:val="00EC2E6D"/>
    <w:rsid w:val="00EC31EE"/>
    <w:rsid w:val="00EC3514"/>
    <w:rsid w:val="00EC35C4"/>
    <w:rsid w:val="00EC3951"/>
    <w:rsid w:val="00EC3CF5"/>
    <w:rsid w:val="00EC4136"/>
    <w:rsid w:val="00EC41C4"/>
    <w:rsid w:val="00EC43C9"/>
    <w:rsid w:val="00EC4692"/>
    <w:rsid w:val="00EC4929"/>
    <w:rsid w:val="00EC49A5"/>
    <w:rsid w:val="00EC4CCE"/>
    <w:rsid w:val="00EC4F25"/>
    <w:rsid w:val="00EC5124"/>
    <w:rsid w:val="00EC5203"/>
    <w:rsid w:val="00EC5C43"/>
    <w:rsid w:val="00EC66CD"/>
    <w:rsid w:val="00EC6D52"/>
    <w:rsid w:val="00EC6FEC"/>
    <w:rsid w:val="00EC712D"/>
    <w:rsid w:val="00EC72C1"/>
    <w:rsid w:val="00EC7774"/>
    <w:rsid w:val="00ED02D2"/>
    <w:rsid w:val="00ED0AF7"/>
    <w:rsid w:val="00ED103D"/>
    <w:rsid w:val="00ED13D6"/>
    <w:rsid w:val="00ED2540"/>
    <w:rsid w:val="00ED2E33"/>
    <w:rsid w:val="00ED3FC5"/>
    <w:rsid w:val="00ED4184"/>
    <w:rsid w:val="00ED45D1"/>
    <w:rsid w:val="00ED4841"/>
    <w:rsid w:val="00ED4ABD"/>
    <w:rsid w:val="00ED4F61"/>
    <w:rsid w:val="00ED5319"/>
    <w:rsid w:val="00ED5DF2"/>
    <w:rsid w:val="00EE095F"/>
    <w:rsid w:val="00EE0B7A"/>
    <w:rsid w:val="00EE14A2"/>
    <w:rsid w:val="00EE1730"/>
    <w:rsid w:val="00EE26CB"/>
    <w:rsid w:val="00EE31A6"/>
    <w:rsid w:val="00EE33FA"/>
    <w:rsid w:val="00EE34A9"/>
    <w:rsid w:val="00EE3629"/>
    <w:rsid w:val="00EE3D60"/>
    <w:rsid w:val="00EE3FE1"/>
    <w:rsid w:val="00EE3FF8"/>
    <w:rsid w:val="00EE4D86"/>
    <w:rsid w:val="00EE5C2A"/>
    <w:rsid w:val="00EE7027"/>
    <w:rsid w:val="00EE7944"/>
    <w:rsid w:val="00EE7A53"/>
    <w:rsid w:val="00EF032B"/>
    <w:rsid w:val="00EF0369"/>
    <w:rsid w:val="00EF1016"/>
    <w:rsid w:val="00EF19BF"/>
    <w:rsid w:val="00EF27F8"/>
    <w:rsid w:val="00EF3271"/>
    <w:rsid w:val="00EF35F0"/>
    <w:rsid w:val="00EF4A13"/>
    <w:rsid w:val="00EF4DD4"/>
    <w:rsid w:val="00EF549A"/>
    <w:rsid w:val="00EF5A22"/>
    <w:rsid w:val="00EF68E7"/>
    <w:rsid w:val="00EF6B0C"/>
    <w:rsid w:val="00EF6D9E"/>
    <w:rsid w:val="00EF6F1C"/>
    <w:rsid w:val="00EF6FA7"/>
    <w:rsid w:val="00EF7DF3"/>
    <w:rsid w:val="00EF7E6E"/>
    <w:rsid w:val="00F0089D"/>
    <w:rsid w:val="00F00BF8"/>
    <w:rsid w:val="00F00D4B"/>
    <w:rsid w:val="00F01B19"/>
    <w:rsid w:val="00F02B6C"/>
    <w:rsid w:val="00F03873"/>
    <w:rsid w:val="00F04191"/>
    <w:rsid w:val="00F04B2C"/>
    <w:rsid w:val="00F05518"/>
    <w:rsid w:val="00F05F16"/>
    <w:rsid w:val="00F06531"/>
    <w:rsid w:val="00F06CF6"/>
    <w:rsid w:val="00F07515"/>
    <w:rsid w:val="00F07A97"/>
    <w:rsid w:val="00F07AE5"/>
    <w:rsid w:val="00F07E51"/>
    <w:rsid w:val="00F105DB"/>
    <w:rsid w:val="00F10C23"/>
    <w:rsid w:val="00F10DE6"/>
    <w:rsid w:val="00F116FE"/>
    <w:rsid w:val="00F11848"/>
    <w:rsid w:val="00F118C2"/>
    <w:rsid w:val="00F118F3"/>
    <w:rsid w:val="00F1193B"/>
    <w:rsid w:val="00F119CF"/>
    <w:rsid w:val="00F11C16"/>
    <w:rsid w:val="00F1211F"/>
    <w:rsid w:val="00F12801"/>
    <w:rsid w:val="00F13890"/>
    <w:rsid w:val="00F13EAE"/>
    <w:rsid w:val="00F14152"/>
    <w:rsid w:val="00F142F1"/>
    <w:rsid w:val="00F14C14"/>
    <w:rsid w:val="00F15195"/>
    <w:rsid w:val="00F15317"/>
    <w:rsid w:val="00F1740A"/>
    <w:rsid w:val="00F17D4F"/>
    <w:rsid w:val="00F209DC"/>
    <w:rsid w:val="00F21410"/>
    <w:rsid w:val="00F21453"/>
    <w:rsid w:val="00F21E66"/>
    <w:rsid w:val="00F23BF2"/>
    <w:rsid w:val="00F23E02"/>
    <w:rsid w:val="00F2448B"/>
    <w:rsid w:val="00F25373"/>
    <w:rsid w:val="00F25948"/>
    <w:rsid w:val="00F25F1E"/>
    <w:rsid w:val="00F260D8"/>
    <w:rsid w:val="00F2677B"/>
    <w:rsid w:val="00F26976"/>
    <w:rsid w:val="00F26B1D"/>
    <w:rsid w:val="00F26CBC"/>
    <w:rsid w:val="00F26CCB"/>
    <w:rsid w:val="00F26FEC"/>
    <w:rsid w:val="00F2768A"/>
    <w:rsid w:val="00F3064A"/>
    <w:rsid w:val="00F3135A"/>
    <w:rsid w:val="00F316A7"/>
    <w:rsid w:val="00F31D87"/>
    <w:rsid w:val="00F321F5"/>
    <w:rsid w:val="00F342A4"/>
    <w:rsid w:val="00F34B21"/>
    <w:rsid w:val="00F353AF"/>
    <w:rsid w:val="00F35656"/>
    <w:rsid w:val="00F35B0D"/>
    <w:rsid w:val="00F361F3"/>
    <w:rsid w:val="00F364AC"/>
    <w:rsid w:val="00F370EA"/>
    <w:rsid w:val="00F375E4"/>
    <w:rsid w:val="00F37C63"/>
    <w:rsid w:val="00F40743"/>
    <w:rsid w:val="00F409BB"/>
    <w:rsid w:val="00F410AD"/>
    <w:rsid w:val="00F417BD"/>
    <w:rsid w:val="00F4291E"/>
    <w:rsid w:val="00F42ACE"/>
    <w:rsid w:val="00F4363A"/>
    <w:rsid w:val="00F44267"/>
    <w:rsid w:val="00F44FA1"/>
    <w:rsid w:val="00F454FA"/>
    <w:rsid w:val="00F4626A"/>
    <w:rsid w:val="00F47511"/>
    <w:rsid w:val="00F47670"/>
    <w:rsid w:val="00F47A22"/>
    <w:rsid w:val="00F50000"/>
    <w:rsid w:val="00F50BB7"/>
    <w:rsid w:val="00F50F79"/>
    <w:rsid w:val="00F51039"/>
    <w:rsid w:val="00F5263D"/>
    <w:rsid w:val="00F52805"/>
    <w:rsid w:val="00F52F14"/>
    <w:rsid w:val="00F530B0"/>
    <w:rsid w:val="00F530F3"/>
    <w:rsid w:val="00F53879"/>
    <w:rsid w:val="00F542FA"/>
    <w:rsid w:val="00F547E0"/>
    <w:rsid w:val="00F548B3"/>
    <w:rsid w:val="00F54BBA"/>
    <w:rsid w:val="00F54C65"/>
    <w:rsid w:val="00F54FF5"/>
    <w:rsid w:val="00F55EE7"/>
    <w:rsid w:val="00F5634F"/>
    <w:rsid w:val="00F563FD"/>
    <w:rsid w:val="00F5775C"/>
    <w:rsid w:val="00F60EF9"/>
    <w:rsid w:val="00F61086"/>
    <w:rsid w:val="00F617BE"/>
    <w:rsid w:val="00F6216C"/>
    <w:rsid w:val="00F624BE"/>
    <w:rsid w:val="00F62E3B"/>
    <w:rsid w:val="00F63158"/>
    <w:rsid w:val="00F63948"/>
    <w:rsid w:val="00F63B9F"/>
    <w:rsid w:val="00F63C66"/>
    <w:rsid w:val="00F645D5"/>
    <w:rsid w:val="00F64B46"/>
    <w:rsid w:val="00F65E7B"/>
    <w:rsid w:val="00F6718D"/>
    <w:rsid w:val="00F672BA"/>
    <w:rsid w:val="00F67D21"/>
    <w:rsid w:val="00F67EFD"/>
    <w:rsid w:val="00F7079C"/>
    <w:rsid w:val="00F715BA"/>
    <w:rsid w:val="00F71664"/>
    <w:rsid w:val="00F71A62"/>
    <w:rsid w:val="00F71CE7"/>
    <w:rsid w:val="00F72077"/>
    <w:rsid w:val="00F72FEA"/>
    <w:rsid w:val="00F738BD"/>
    <w:rsid w:val="00F74D09"/>
    <w:rsid w:val="00F75693"/>
    <w:rsid w:val="00F7590A"/>
    <w:rsid w:val="00F762FA"/>
    <w:rsid w:val="00F77006"/>
    <w:rsid w:val="00F7735D"/>
    <w:rsid w:val="00F77A66"/>
    <w:rsid w:val="00F80AC2"/>
    <w:rsid w:val="00F8102E"/>
    <w:rsid w:val="00F8115E"/>
    <w:rsid w:val="00F81BDC"/>
    <w:rsid w:val="00F820F7"/>
    <w:rsid w:val="00F8224B"/>
    <w:rsid w:val="00F822D9"/>
    <w:rsid w:val="00F839EF"/>
    <w:rsid w:val="00F83E46"/>
    <w:rsid w:val="00F84091"/>
    <w:rsid w:val="00F849AB"/>
    <w:rsid w:val="00F84B00"/>
    <w:rsid w:val="00F84E8C"/>
    <w:rsid w:val="00F851DA"/>
    <w:rsid w:val="00F851EF"/>
    <w:rsid w:val="00F85DE2"/>
    <w:rsid w:val="00F8630D"/>
    <w:rsid w:val="00F86618"/>
    <w:rsid w:val="00F86C14"/>
    <w:rsid w:val="00F871A1"/>
    <w:rsid w:val="00F871CC"/>
    <w:rsid w:val="00F90F23"/>
    <w:rsid w:val="00F91C82"/>
    <w:rsid w:val="00F91CEA"/>
    <w:rsid w:val="00F926D1"/>
    <w:rsid w:val="00F9272B"/>
    <w:rsid w:val="00F92A1C"/>
    <w:rsid w:val="00F92AE5"/>
    <w:rsid w:val="00F92BFC"/>
    <w:rsid w:val="00F92E2B"/>
    <w:rsid w:val="00F9413C"/>
    <w:rsid w:val="00F95418"/>
    <w:rsid w:val="00F954F2"/>
    <w:rsid w:val="00F96266"/>
    <w:rsid w:val="00F96634"/>
    <w:rsid w:val="00F96862"/>
    <w:rsid w:val="00F96F4A"/>
    <w:rsid w:val="00FA036F"/>
    <w:rsid w:val="00FA07FD"/>
    <w:rsid w:val="00FA0BCF"/>
    <w:rsid w:val="00FA1F11"/>
    <w:rsid w:val="00FA3017"/>
    <w:rsid w:val="00FA3782"/>
    <w:rsid w:val="00FA43D9"/>
    <w:rsid w:val="00FA4C50"/>
    <w:rsid w:val="00FA50D6"/>
    <w:rsid w:val="00FA656D"/>
    <w:rsid w:val="00FA6A54"/>
    <w:rsid w:val="00FA6BD4"/>
    <w:rsid w:val="00FA6DAA"/>
    <w:rsid w:val="00FA7559"/>
    <w:rsid w:val="00FA76E5"/>
    <w:rsid w:val="00FB0774"/>
    <w:rsid w:val="00FB1206"/>
    <w:rsid w:val="00FB1D9A"/>
    <w:rsid w:val="00FB4508"/>
    <w:rsid w:val="00FB458F"/>
    <w:rsid w:val="00FB59BF"/>
    <w:rsid w:val="00FB6052"/>
    <w:rsid w:val="00FB621C"/>
    <w:rsid w:val="00FB72C6"/>
    <w:rsid w:val="00FB7512"/>
    <w:rsid w:val="00FB7757"/>
    <w:rsid w:val="00FB7785"/>
    <w:rsid w:val="00FB7968"/>
    <w:rsid w:val="00FB7E19"/>
    <w:rsid w:val="00FC0079"/>
    <w:rsid w:val="00FC0AC3"/>
    <w:rsid w:val="00FC0D54"/>
    <w:rsid w:val="00FC1940"/>
    <w:rsid w:val="00FC1955"/>
    <w:rsid w:val="00FC1CD3"/>
    <w:rsid w:val="00FC32DE"/>
    <w:rsid w:val="00FC344B"/>
    <w:rsid w:val="00FC3C63"/>
    <w:rsid w:val="00FC4073"/>
    <w:rsid w:val="00FC42DA"/>
    <w:rsid w:val="00FC4544"/>
    <w:rsid w:val="00FC4582"/>
    <w:rsid w:val="00FC5444"/>
    <w:rsid w:val="00FC6139"/>
    <w:rsid w:val="00FC654F"/>
    <w:rsid w:val="00FC773B"/>
    <w:rsid w:val="00FC77B4"/>
    <w:rsid w:val="00FC7F4E"/>
    <w:rsid w:val="00FD0841"/>
    <w:rsid w:val="00FD1667"/>
    <w:rsid w:val="00FD1923"/>
    <w:rsid w:val="00FD198A"/>
    <w:rsid w:val="00FD2102"/>
    <w:rsid w:val="00FD265D"/>
    <w:rsid w:val="00FD2A1D"/>
    <w:rsid w:val="00FD2B24"/>
    <w:rsid w:val="00FD3AAE"/>
    <w:rsid w:val="00FD4181"/>
    <w:rsid w:val="00FD41BF"/>
    <w:rsid w:val="00FD4667"/>
    <w:rsid w:val="00FD4766"/>
    <w:rsid w:val="00FD5470"/>
    <w:rsid w:val="00FD55A9"/>
    <w:rsid w:val="00FD69E5"/>
    <w:rsid w:val="00FD7092"/>
    <w:rsid w:val="00FD797F"/>
    <w:rsid w:val="00FD7AD1"/>
    <w:rsid w:val="00FD7BB7"/>
    <w:rsid w:val="00FD7D5C"/>
    <w:rsid w:val="00FD7F1E"/>
    <w:rsid w:val="00FE003C"/>
    <w:rsid w:val="00FE01B8"/>
    <w:rsid w:val="00FE0D64"/>
    <w:rsid w:val="00FE1B99"/>
    <w:rsid w:val="00FE24DE"/>
    <w:rsid w:val="00FE2728"/>
    <w:rsid w:val="00FE2A7F"/>
    <w:rsid w:val="00FE2ADB"/>
    <w:rsid w:val="00FE2BF5"/>
    <w:rsid w:val="00FE3100"/>
    <w:rsid w:val="00FE3495"/>
    <w:rsid w:val="00FE3F09"/>
    <w:rsid w:val="00FE402F"/>
    <w:rsid w:val="00FE42FD"/>
    <w:rsid w:val="00FE4725"/>
    <w:rsid w:val="00FE49E0"/>
    <w:rsid w:val="00FE52E0"/>
    <w:rsid w:val="00FE6FD5"/>
    <w:rsid w:val="00FE7533"/>
    <w:rsid w:val="00FF0B02"/>
    <w:rsid w:val="00FF10E2"/>
    <w:rsid w:val="00FF15A5"/>
    <w:rsid w:val="00FF23E8"/>
    <w:rsid w:val="00FF28DB"/>
    <w:rsid w:val="00FF41F9"/>
    <w:rsid w:val="00FF4239"/>
    <w:rsid w:val="00FF4C59"/>
    <w:rsid w:val="00FF5BD6"/>
    <w:rsid w:val="00FF65A0"/>
    <w:rsid w:val="00FF690E"/>
    <w:rsid w:val="00FF7C90"/>
    <w:rsid w:val="00FF7D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1F74D8AC-763D-4B59-ACD5-9A3E83D5B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A78E5"/>
  </w:style>
  <w:style w:type="paragraph" w:styleId="Nagwek1">
    <w:name w:val="heading 1"/>
    <w:basedOn w:val="Normalny"/>
    <w:next w:val="Normalny"/>
    <w:link w:val="Nagwek1Znak"/>
    <w:uiPriority w:val="9"/>
    <w:qFormat/>
    <w:rsid w:val="00244C2E"/>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pl-PL"/>
    </w:rPr>
  </w:style>
  <w:style w:type="paragraph" w:styleId="Nagwek2">
    <w:name w:val="heading 2"/>
    <w:basedOn w:val="Normalny"/>
    <w:next w:val="Normalny"/>
    <w:link w:val="Nagwek2Znak"/>
    <w:uiPriority w:val="9"/>
    <w:semiHidden/>
    <w:unhideWhenUsed/>
    <w:qFormat/>
    <w:rsid w:val="003A31A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5">
    <w:name w:val="heading 5"/>
    <w:basedOn w:val="Normalny"/>
    <w:next w:val="Normalny"/>
    <w:link w:val="Nagwek5Znak"/>
    <w:uiPriority w:val="9"/>
    <w:semiHidden/>
    <w:unhideWhenUsed/>
    <w:qFormat/>
    <w:rsid w:val="00244C2E"/>
    <w:pPr>
      <w:keepNext/>
      <w:keepLines/>
      <w:spacing w:before="40" w:after="0" w:line="240" w:lineRule="auto"/>
      <w:outlineLvl w:val="4"/>
    </w:pPr>
    <w:rPr>
      <w:rFonts w:asciiTheme="majorHAnsi" w:eastAsiaTheme="majorEastAsia" w:hAnsiTheme="majorHAnsi" w:cstheme="majorBidi"/>
      <w:color w:val="2E74B5" w:themeColor="accent1" w:themeShade="BF"/>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rsid w:val="00D35B3A"/>
  </w:style>
  <w:style w:type="character" w:customStyle="1" w:styleId="Teksttreci">
    <w:name w:val="Tekst treści_"/>
    <w:basedOn w:val="Domylnaczcionkaakapitu"/>
    <w:link w:val="Teksttreci0"/>
    <w:uiPriority w:val="99"/>
    <w:rsid w:val="002179DB"/>
    <w:rPr>
      <w:sz w:val="23"/>
      <w:szCs w:val="23"/>
      <w:shd w:val="clear" w:color="auto" w:fill="FFFFFF"/>
    </w:rPr>
  </w:style>
  <w:style w:type="paragraph" w:customStyle="1" w:styleId="Teksttreci0">
    <w:name w:val="Tekst treści"/>
    <w:basedOn w:val="Normalny"/>
    <w:link w:val="Teksttreci"/>
    <w:rsid w:val="002179DB"/>
    <w:pPr>
      <w:shd w:val="clear" w:color="auto" w:fill="FFFFFF"/>
      <w:spacing w:before="60" w:after="60" w:line="0" w:lineRule="atLeast"/>
      <w:ind w:hanging="460"/>
    </w:pPr>
    <w:rPr>
      <w:sz w:val="23"/>
      <w:szCs w:val="23"/>
    </w:rPr>
  </w:style>
  <w:style w:type="paragraph" w:styleId="Tekstprzypisukocowego">
    <w:name w:val="endnote text"/>
    <w:basedOn w:val="Normalny"/>
    <w:link w:val="TekstprzypisukocowegoZnak"/>
    <w:uiPriority w:val="99"/>
    <w:semiHidden/>
    <w:unhideWhenUsed/>
    <w:rsid w:val="008A238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238E"/>
    <w:rPr>
      <w:sz w:val="20"/>
      <w:szCs w:val="20"/>
    </w:rPr>
  </w:style>
  <w:style w:type="character" w:styleId="Odwoanieprzypisukocowego">
    <w:name w:val="endnote reference"/>
    <w:basedOn w:val="Domylnaczcionkaakapitu"/>
    <w:uiPriority w:val="99"/>
    <w:semiHidden/>
    <w:unhideWhenUsed/>
    <w:rsid w:val="008A238E"/>
    <w:rPr>
      <w:vertAlign w:val="superscript"/>
    </w:rPr>
  </w:style>
  <w:style w:type="paragraph" w:styleId="Poprawka">
    <w:name w:val="Revision"/>
    <w:hidden/>
    <w:uiPriority w:val="99"/>
    <w:semiHidden/>
    <w:rsid w:val="0018768A"/>
    <w:pPr>
      <w:spacing w:after="0" w:line="240" w:lineRule="auto"/>
    </w:pPr>
  </w:style>
  <w:style w:type="character" w:styleId="Odwoaniedokomentarza">
    <w:name w:val="annotation reference"/>
    <w:basedOn w:val="Domylnaczcionkaakapitu"/>
    <w:uiPriority w:val="99"/>
    <w:semiHidden/>
    <w:unhideWhenUsed/>
    <w:rsid w:val="00FE2728"/>
    <w:rPr>
      <w:sz w:val="16"/>
      <w:szCs w:val="16"/>
    </w:rPr>
  </w:style>
  <w:style w:type="paragraph" w:styleId="Tekstkomentarza">
    <w:name w:val="annotation text"/>
    <w:basedOn w:val="Normalny"/>
    <w:link w:val="TekstkomentarzaZnak"/>
    <w:uiPriority w:val="99"/>
    <w:unhideWhenUsed/>
    <w:rsid w:val="00FE2728"/>
    <w:pPr>
      <w:spacing w:line="240" w:lineRule="auto"/>
    </w:pPr>
    <w:rPr>
      <w:sz w:val="20"/>
      <w:szCs w:val="20"/>
    </w:rPr>
  </w:style>
  <w:style w:type="character" w:customStyle="1" w:styleId="TekstkomentarzaZnak">
    <w:name w:val="Tekst komentarza Znak"/>
    <w:basedOn w:val="Domylnaczcionkaakapitu"/>
    <w:link w:val="Tekstkomentarza"/>
    <w:uiPriority w:val="99"/>
    <w:rsid w:val="00FE2728"/>
    <w:rPr>
      <w:sz w:val="20"/>
      <w:szCs w:val="20"/>
    </w:rPr>
  </w:style>
  <w:style w:type="paragraph" w:styleId="Tematkomentarza">
    <w:name w:val="annotation subject"/>
    <w:basedOn w:val="Tekstkomentarza"/>
    <w:next w:val="Tekstkomentarza"/>
    <w:link w:val="TematkomentarzaZnak"/>
    <w:uiPriority w:val="99"/>
    <w:semiHidden/>
    <w:unhideWhenUsed/>
    <w:rsid w:val="00FE2728"/>
    <w:rPr>
      <w:b/>
      <w:bCs/>
    </w:rPr>
  </w:style>
  <w:style w:type="character" w:customStyle="1" w:styleId="TematkomentarzaZnak">
    <w:name w:val="Temat komentarza Znak"/>
    <w:basedOn w:val="TekstkomentarzaZnak"/>
    <w:link w:val="Tematkomentarza"/>
    <w:uiPriority w:val="99"/>
    <w:semiHidden/>
    <w:rsid w:val="00FE2728"/>
    <w:rPr>
      <w:b/>
      <w:bCs/>
      <w:sz w:val="20"/>
      <w:szCs w:val="20"/>
    </w:rPr>
  </w:style>
  <w:style w:type="paragraph" w:styleId="NormalnyWeb">
    <w:name w:val="Normal (Web)"/>
    <w:basedOn w:val="Normalny"/>
    <w:uiPriority w:val="99"/>
    <w:semiHidden/>
    <w:unhideWhenUsed/>
    <w:rsid w:val="00A434F4"/>
    <w:rPr>
      <w:rFonts w:ascii="Times New Roman" w:hAnsi="Times New Roman" w:cs="Times New Roman"/>
      <w:sz w:val="24"/>
      <w:szCs w:val="24"/>
    </w:rPr>
  </w:style>
  <w:style w:type="character" w:customStyle="1" w:styleId="highlight">
    <w:name w:val="highlight"/>
    <w:basedOn w:val="Domylnaczcionkaakapitu"/>
    <w:rsid w:val="00E4238D"/>
  </w:style>
  <w:style w:type="character" w:customStyle="1" w:styleId="Nagwek2Znak">
    <w:name w:val="Nagłówek 2 Znak"/>
    <w:basedOn w:val="Domylnaczcionkaakapitu"/>
    <w:link w:val="Nagwek2"/>
    <w:uiPriority w:val="9"/>
    <w:semiHidden/>
    <w:rsid w:val="003A31AF"/>
    <w:rPr>
      <w:rFonts w:asciiTheme="majorHAnsi" w:eastAsiaTheme="majorEastAsia" w:hAnsiTheme="majorHAnsi" w:cstheme="majorBidi"/>
      <w:color w:val="2E74B5" w:themeColor="accent1" w:themeShade="BF"/>
      <w:sz w:val="26"/>
      <w:szCs w:val="26"/>
    </w:rPr>
  </w:style>
  <w:style w:type="character" w:customStyle="1" w:styleId="Nagwek1Znak">
    <w:name w:val="Nagłówek 1 Znak"/>
    <w:basedOn w:val="Domylnaczcionkaakapitu"/>
    <w:link w:val="Nagwek1"/>
    <w:uiPriority w:val="9"/>
    <w:rsid w:val="00244C2E"/>
    <w:rPr>
      <w:rFonts w:asciiTheme="majorHAnsi" w:eastAsiaTheme="majorEastAsia" w:hAnsiTheme="majorHAnsi" w:cstheme="majorBidi"/>
      <w:color w:val="2E74B5" w:themeColor="accent1" w:themeShade="BF"/>
      <w:sz w:val="32"/>
      <w:szCs w:val="32"/>
      <w:lang w:eastAsia="pl-PL"/>
    </w:rPr>
  </w:style>
  <w:style w:type="character" w:customStyle="1" w:styleId="Nagwek5Znak">
    <w:name w:val="Nagłówek 5 Znak"/>
    <w:basedOn w:val="Domylnaczcionkaakapitu"/>
    <w:link w:val="Nagwek5"/>
    <w:uiPriority w:val="9"/>
    <w:semiHidden/>
    <w:rsid w:val="00244C2E"/>
    <w:rPr>
      <w:rFonts w:asciiTheme="majorHAnsi" w:eastAsiaTheme="majorEastAsia" w:hAnsiTheme="majorHAnsi" w:cstheme="majorBidi"/>
      <w:color w:val="2E74B5" w:themeColor="accent1" w:themeShade="BF"/>
      <w:sz w:val="24"/>
      <w:szCs w:val="24"/>
      <w:lang w:eastAsia="pl-PL"/>
    </w:rPr>
  </w:style>
  <w:style w:type="table" w:styleId="Tabela-Siatka">
    <w:name w:val="Table Grid"/>
    <w:basedOn w:val="Standardowy"/>
    <w:rsid w:val="00244C2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44C2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Uwydatnienie">
    <w:name w:val="Emphasis"/>
    <w:basedOn w:val="Domylnaczcionkaakapitu"/>
    <w:uiPriority w:val="20"/>
    <w:qFormat/>
    <w:rsid w:val="00244C2E"/>
    <w:rPr>
      <w:i/>
      <w:iCs/>
    </w:rPr>
  </w:style>
  <w:style w:type="paragraph" w:customStyle="1" w:styleId="Teksttreci1">
    <w:name w:val="Tekst treści1"/>
    <w:basedOn w:val="Normalny"/>
    <w:uiPriority w:val="99"/>
    <w:rsid w:val="00417FB7"/>
    <w:pPr>
      <w:widowControl w:val="0"/>
      <w:shd w:val="clear" w:color="auto" w:fill="FFFFFF"/>
      <w:spacing w:before="120" w:after="0" w:line="326" w:lineRule="exact"/>
      <w:ind w:hanging="1020"/>
      <w:jc w:val="both"/>
    </w:pPr>
    <w:rPr>
      <w:rFonts w:ascii="Arial" w:eastAsia="Times New Roman" w:hAnsi="Arial" w:cs="Arial"/>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958193">
      <w:bodyDiv w:val="1"/>
      <w:marLeft w:val="0"/>
      <w:marRight w:val="0"/>
      <w:marTop w:val="0"/>
      <w:marBottom w:val="0"/>
      <w:divBdr>
        <w:top w:val="none" w:sz="0" w:space="0" w:color="auto"/>
        <w:left w:val="none" w:sz="0" w:space="0" w:color="auto"/>
        <w:bottom w:val="none" w:sz="0" w:space="0" w:color="auto"/>
        <w:right w:val="none" w:sz="0" w:space="0" w:color="auto"/>
      </w:divBdr>
    </w:div>
    <w:div w:id="259528842">
      <w:bodyDiv w:val="1"/>
      <w:marLeft w:val="0"/>
      <w:marRight w:val="0"/>
      <w:marTop w:val="0"/>
      <w:marBottom w:val="0"/>
      <w:divBdr>
        <w:top w:val="none" w:sz="0" w:space="0" w:color="auto"/>
        <w:left w:val="none" w:sz="0" w:space="0" w:color="auto"/>
        <w:bottom w:val="none" w:sz="0" w:space="0" w:color="auto"/>
        <w:right w:val="none" w:sz="0" w:space="0" w:color="auto"/>
      </w:divBdr>
    </w:div>
    <w:div w:id="305668916">
      <w:bodyDiv w:val="1"/>
      <w:marLeft w:val="0"/>
      <w:marRight w:val="0"/>
      <w:marTop w:val="0"/>
      <w:marBottom w:val="0"/>
      <w:divBdr>
        <w:top w:val="none" w:sz="0" w:space="0" w:color="auto"/>
        <w:left w:val="none" w:sz="0" w:space="0" w:color="auto"/>
        <w:bottom w:val="none" w:sz="0" w:space="0" w:color="auto"/>
        <w:right w:val="none" w:sz="0" w:space="0" w:color="auto"/>
      </w:divBdr>
      <w:divsChild>
        <w:div w:id="1453479542">
          <w:marLeft w:val="0"/>
          <w:marRight w:val="0"/>
          <w:marTop w:val="0"/>
          <w:marBottom w:val="0"/>
          <w:divBdr>
            <w:top w:val="none" w:sz="0" w:space="0" w:color="auto"/>
            <w:left w:val="none" w:sz="0" w:space="0" w:color="auto"/>
            <w:bottom w:val="none" w:sz="0" w:space="0" w:color="auto"/>
            <w:right w:val="none" w:sz="0" w:space="0" w:color="auto"/>
          </w:divBdr>
          <w:divsChild>
            <w:div w:id="1749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70098">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869875093">
      <w:bodyDiv w:val="1"/>
      <w:marLeft w:val="0"/>
      <w:marRight w:val="0"/>
      <w:marTop w:val="0"/>
      <w:marBottom w:val="0"/>
      <w:divBdr>
        <w:top w:val="none" w:sz="0" w:space="0" w:color="auto"/>
        <w:left w:val="none" w:sz="0" w:space="0" w:color="auto"/>
        <w:bottom w:val="none" w:sz="0" w:space="0" w:color="auto"/>
        <w:right w:val="none" w:sz="0" w:space="0" w:color="auto"/>
      </w:divBdr>
    </w:div>
    <w:div w:id="958533267">
      <w:bodyDiv w:val="1"/>
      <w:marLeft w:val="0"/>
      <w:marRight w:val="0"/>
      <w:marTop w:val="0"/>
      <w:marBottom w:val="0"/>
      <w:divBdr>
        <w:top w:val="none" w:sz="0" w:space="0" w:color="auto"/>
        <w:left w:val="none" w:sz="0" w:space="0" w:color="auto"/>
        <w:bottom w:val="none" w:sz="0" w:space="0" w:color="auto"/>
        <w:right w:val="none" w:sz="0" w:space="0" w:color="auto"/>
      </w:divBdr>
    </w:div>
    <w:div w:id="1042362839">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51674099">
      <w:bodyDiv w:val="1"/>
      <w:marLeft w:val="0"/>
      <w:marRight w:val="0"/>
      <w:marTop w:val="0"/>
      <w:marBottom w:val="0"/>
      <w:divBdr>
        <w:top w:val="none" w:sz="0" w:space="0" w:color="auto"/>
        <w:left w:val="none" w:sz="0" w:space="0" w:color="auto"/>
        <w:bottom w:val="none" w:sz="0" w:space="0" w:color="auto"/>
        <w:right w:val="none" w:sz="0" w:space="0" w:color="auto"/>
      </w:divBdr>
      <w:divsChild>
        <w:div w:id="401026270">
          <w:marLeft w:val="0"/>
          <w:marRight w:val="0"/>
          <w:marTop w:val="0"/>
          <w:marBottom w:val="0"/>
          <w:divBdr>
            <w:top w:val="none" w:sz="0" w:space="0" w:color="auto"/>
            <w:left w:val="none" w:sz="0" w:space="0" w:color="auto"/>
            <w:bottom w:val="none" w:sz="0" w:space="0" w:color="auto"/>
            <w:right w:val="none" w:sz="0" w:space="0" w:color="auto"/>
          </w:divBdr>
          <w:divsChild>
            <w:div w:id="1181965209">
              <w:marLeft w:val="0"/>
              <w:marRight w:val="0"/>
              <w:marTop w:val="0"/>
              <w:marBottom w:val="0"/>
              <w:divBdr>
                <w:top w:val="none" w:sz="0" w:space="0" w:color="auto"/>
                <w:left w:val="none" w:sz="0" w:space="0" w:color="auto"/>
                <w:bottom w:val="none" w:sz="0" w:space="0" w:color="auto"/>
                <w:right w:val="none" w:sz="0" w:space="0" w:color="auto"/>
              </w:divBdr>
              <w:divsChild>
                <w:div w:id="11162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728545">
          <w:marLeft w:val="0"/>
          <w:marRight w:val="0"/>
          <w:marTop w:val="0"/>
          <w:marBottom w:val="0"/>
          <w:divBdr>
            <w:top w:val="none" w:sz="0" w:space="0" w:color="auto"/>
            <w:left w:val="none" w:sz="0" w:space="0" w:color="auto"/>
            <w:bottom w:val="none" w:sz="0" w:space="0" w:color="auto"/>
            <w:right w:val="none" w:sz="0" w:space="0" w:color="auto"/>
          </w:divBdr>
          <w:divsChild>
            <w:div w:id="1904220083">
              <w:marLeft w:val="0"/>
              <w:marRight w:val="0"/>
              <w:marTop w:val="0"/>
              <w:marBottom w:val="0"/>
              <w:divBdr>
                <w:top w:val="none" w:sz="0" w:space="0" w:color="auto"/>
                <w:left w:val="none" w:sz="0" w:space="0" w:color="auto"/>
                <w:bottom w:val="none" w:sz="0" w:space="0" w:color="auto"/>
                <w:right w:val="none" w:sz="0" w:space="0" w:color="auto"/>
              </w:divBdr>
            </w:div>
          </w:divsChild>
        </w:div>
        <w:div w:id="942803179">
          <w:marLeft w:val="0"/>
          <w:marRight w:val="0"/>
          <w:marTop w:val="0"/>
          <w:marBottom w:val="0"/>
          <w:divBdr>
            <w:top w:val="none" w:sz="0" w:space="0" w:color="auto"/>
            <w:left w:val="none" w:sz="0" w:space="0" w:color="auto"/>
            <w:bottom w:val="none" w:sz="0" w:space="0" w:color="auto"/>
            <w:right w:val="none" w:sz="0" w:space="0" w:color="auto"/>
          </w:divBdr>
          <w:divsChild>
            <w:div w:id="1034618371">
              <w:marLeft w:val="0"/>
              <w:marRight w:val="0"/>
              <w:marTop w:val="0"/>
              <w:marBottom w:val="0"/>
              <w:divBdr>
                <w:top w:val="none" w:sz="0" w:space="0" w:color="auto"/>
                <w:left w:val="none" w:sz="0" w:space="0" w:color="auto"/>
                <w:bottom w:val="none" w:sz="0" w:space="0" w:color="auto"/>
                <w:right w:val="none" w:sz="0" w:space="0" w:color="auto"/>
              </w:divBdr>
              <w:divsChild>
                <w:div w:id="179328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40817">
          <w:marLeft w:val="0"/>
          <w:marRight w:val="0"/>
          <w:marTop w:val="0"/>
          <w:marBottom w:val="0"/>
          <w:divBdr>
            <w:top w:val="none" w:sz="0" w:space="0" w:color="auto"/>
            <w:left w:val="none" w:sz="0" w:space="0" w:color="auto"/>
            <w:bottom w:val="none" w:sz="0" w:space="0" w:color="auto"/>
            <w:right w:val="none" w:sz="0" w:space="0" w:color="auto"/>
          </w:divBdr>
          <w:divsChild>
            <w:div w:id="1909655229">
              <w:marLeft w:val="0"/>
              <w:marRight w:val="0"/>
              <w:marTop w:val="0"/>
              <w:marBottom w:val="0"/>
              <w:divBdr>
                <w:top w:val="none" w:sz="0" w:space="0" w:color="auto"/>
                <w:left w:val="none" w:sz="0" w:space="0" w:color="auto"/>
                <w:bottom w:val="none" w:sz="0" w:space="0" w:color="auto"/>
                <w:right w:val="none" w:sz="0" w:space="0" w:color="auto"/>
              </w:divBdr>
              <w:divsChild>
                <w:div w:id="101341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52772">
      <w:bodyDiv w:val="1"/>
      <w:marLeft w:val="0"/>
      <w:marRight w:val="0"/>
      <w:marTop w:val="0"/>
      <w:marBottom w:val="0"/>
      <w:divBdr>
        <w:top w:val="none" w:sz="0" w:space="0" w:color="auto"/>
        <w:left w:val="none" w:sz="0" w:space="0" w:color="auto"/>
        <w:bottom w:val="none" w:sz="0" w:space="0" w:color="auto"/>
        <w:right w:val="none" w:sz="0" w:space="0" w:color="auto"/>
      </w:divBdr>
    </w:div>
    <w:div w:id="1603301830">
      <w:bodyDiv w:val="1"/>
      <w:marLeft w:val="0"/>
      <w:marRight w:val="0"/>
      <w:marTop w:val="0"/>
      <w:marBottom w:val="0"/>
      <w:divBdr>
        <w:top w:val="none" w:sz="0" w:space="0" w:color="auto"/>
        <w:left w:val="none" w:sz="0" w:space="0" w:color="auto"/>
        <w:bottom w:val="none" w:sz="0" w:space="0" w:color="auto"/>
        <w:right w:val="none" w:sz="0" w:space="0" w:color="auto"/>
      </w:divBdr>
    </w:div>
    <w:div w:id="1929847546">
      <w:bodyDiv w:val="1"/>
      <w:marLeft w:val="0"/>
      <w:marRight w:val="0"/>
      <w:marTop w:val="0"/>
      <w:marBottom w:val="0"/>
      <w:divBdr>
        <w:top w:val="none" w:sz="0" w:space="0" w:color="auto"/>
        <w:left w:val="none" w:sz="0" w:space="0" w:color="auto"/>
        <w:bottom w:val="none" w:sz="0" w:space="0" w:color="auto"/>
        <w:right w:val="none" w:sz="0" w:space="0" w:color="auto"/>
      </w:divBdr>
    </w:div>
    <w:div w:id="195647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2458</TotalTime>
  <Pages>1</Pages>
  <Words>12468</Words>
  <Characters>74813</Characters>
  <Application>Microsoft Office Word</Application>
  <DocSecurity>0</DocSecurity>
  <Lines>623</Lines>
  <Paragraphs>174</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87107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Kalinowska Jolanta</cp:lastModifiedBy>
  <cp:revision>20</cp:revision>
  <cp:lastPrinted>2026-07-07T08:53:00Z</cp:lastPrinted>
  <dcterms:created xsi:type="dcterms:W3CDTF">2026-02-12T12:34:00Z</dcterms:created>
  <dcterms:modified xsi:type="dcterms:W3CDTF">2026-07-15T05:23:00Z</dcterms:modified>
</cp:coreProperties>
</file>