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1"/>
        <w:gridCol w:w="206"/>
        <w:gridCol w:w="411"/>
        <w:gridCol w:w="168"/>
        <w:gridCol w:w="239"/>
        <w:gridCol w:w="442"/>
        <w:gridCol w:w="494"/>
        <w:gridCol w:w="188"/>
        <w:gridCol w:w="48"/>
        <w:gridCol w:w="635"/>
        <w:gridCol w:w="264"/>
        <w:gridCol w:w="129"/>
        <w:gridCol w:w="145"/>
        <w:gridCol w:w="145"/>
        <w:gridCol w:w="482"/>
        <w:gridCol w:w="201"/>
        <w:gridCol w:w="494"/>
        <w:gridCol w:w="189"/>
        <w:gridCol w:w="18"/>
        <w:gridCol w:w="549"/>
        <w:gridCol w:w="116"/>
        <w:gridCol w:w="235"/>
        <w:gridCol w:w="304"/>
        <w:gridCol w:w="144"/>
        <w:gridCol w:w="453"/>
        <w:gridCol w:w="230"/>
        <w:gridCol w:w="669"/>
        <w:gridCol w:w="14"/>
        <w:gridCol w:w="1315"/>
      </w:tblGrid>
      <w:tr w:rsidR="006A701A" w:rsidRPr="001309DC" w14:paraId="03E68ED2" w14:textId="77777777" w:rsidTr="76AA89EE">
        <w:trPr>
          <w:trHeight w:val="1611"/>
          <w:jc w:val="center"/>
        </w:trPr>
        <w:tc>
          <w:tcPr>
            <w:tcW w:w="6202" w:type="dxa"/>
            <w:gridSpan w:val="17"/>
          </w:tcPr>
          <w:p w14:paraId="540A0E5B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Nazwa </w:t>
            </w:r>
            <w:r w:rsidR="001B75D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projektu</w:t>
            </w:r>
          </w:p>
          <w:p w14:paraId="20D58F9B" w14:textId="3B803FAD" w:rsidR="004E11AC" w:rsidRPr="001309DC" w:rsidRDefault="00855F98" w:rsidP="005E36D6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U</w:t>
            </w:r>
            <w:r w:rsidR="00567584" w:rsidRPr="001309DC">
              <w:rPr>
                <w:rFonts w:ascii="Times New Roman" w:hAnsi="Times New Roman"/>
                <w:sz w:val="24"/>
                <w:szCs w:val="24"/>
              </w:rPr>
              <w:t>stawa o zmianie ustawy o Ogólnopolskiej Sieci Edukacyjnej</w:t>
            </w:r>
          </w:p>
          <w:p w14:paraId="3BF2EFEC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EAF691" w14:textId="77777777" w:rsidR="006A701A" w:rsidRPr="001309DC" w:rsidRDefault="006A701A" w:rsidP="005E36D6">
            <w:pPr>
              <w:spacing w:line="240" w:lineRule="auto"/>
              <w:ind w:firstLine="2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Ministerstwo wiodące i ministerstwa współpracujące</w:t>
            </w:r>
          </w:p>
          <w:p w14:paraId="5E01FD9A" w14:textId="551B9446" w:rsidR="004E11AC" w:rsidRPr="001309DC" w:rsidRDefault="0057102C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Ministerstwo Cyfryzacji</w:t>
            </w:r>
          </w:p>
          <w:p w14:paraId="0D6AF090" w14:textId="77777777" w:rsidR="006A701A" w:rsidRPr="001309DC" w:rsidRDefault="006A701A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9B8234" w14:textId="77777777" w:rsidR="001B3460" w:rsidRPr="001309DC" w:rsidRDefault="001B3460" w:rsidP="00855F98">
            <w:pPr>
              <w:spacing w:line="240" w:lineRule="auto"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14:paraId="34E7558D" w14:textId="35F0038A" w:rsidR="00847528" w:rsidRPr="001309DC" w:rsidRDefault="0015618F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Michał Gramatyka</w:t>
            </w:r>
            <w:r w:rsidR="008F6214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="00847528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>Sekretarz Stanu</w:t>
            </w:r>
            <w:r w:rsidR="006C6CA6" w:rsidRPr="001309DC">
              <w:rPr>
                <w:rFonts w:ascii="Times New Roman" w:hAnsi="Times New Roman"/>
                <w:sz w:val="24"/>
                <w:szCs w:val="24"/>
              </w:rPr>
              <w:t xml:space="preserve"> w M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inisterstwie Cyfryzacji</w:t>
            </w:r>
          </w:p>
          <w:p w14:paraId="73473B46" w14:textId="77777777" w:rsidR="00F40C09" w:rsidRPr="001309DC" w:rsidRDefault="00F40C09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B9EEBC" w14:textId="77777777" w:rsidR="006A701A" w:rsidRPr="001309DC" w:rsidRDefault="006A701A" w:rsidP="00855F98">
            <w:pPr>
              <w:spacing w:line="240" w:lineRule="auto"/>
              <w:ind w:firstLine="2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Kontakt do opiekuna merytorycznego projektu</w:t>
            </w:r>
          </w:p>
          <w:p w14:paraId="5ED8247B" w14:textId="1B105987" w:rsidR="006A701A" w:rsidRPr="001309DC" w:rsidRDefault="00567584" w:rsidP="00855F9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Marcin Łukasiewicz</w:t>
            </w:r>
            <w:r w:rsidR="0045666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818C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Zastępca </w:t>
            </w:r>
            <w:r w:rsidR="0073352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4E11A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yrektor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4E11A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Departamentu Telekomunikacji </w:t>
            </w:r>
            <w:r w:rsidR="0084752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 M</w:t>
            </w:r>
            <w:r w:rsidR="0045666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inisterstwie Cyfryzacji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1" w:history="1">
              <w:r w:rsidR="00261A01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marcin.lukasiewicz@cyfra.gov.pl</w:t>
              </w:r>
            </w:hyperlink>
            <w:r w:rsidR="002E3EDC" w:rsidRPr="001309DC">
              <w:rPr>
                <w:rFonts w:ascii="Times New Roman" w:hAnsi="Times New Roman"/>
                <w:sz w:val="24"/>
                <w:szCs w:val="24"/>
              </w:rPr>
              <w:t>, tel. 723 997 913</w:t>
            </w:r>
          </w:p>
          <w:p w14:paraId="2B05313E" w14:textId="4EB900C8" w:rsidR="00583E0A" w:rsidRPr="001309DC" w:rsidRDefault="005B0173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Magdalena Nowak-Kowalska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 Naczelnik Wydziału Programowania Inwestycji Telekomunikacyjnych</w:t>
            </w:r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w</w:t>
            </w:r>
            <w:r w:rsidR="00855F98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 xml:space="preserve">Departamencie Telekomunikacji w Ministerstwie Cyfryzacji, </w:t>
            </w:r>
            <w:hyperlink r:id="rId12" w:history="1">
              <w:r w:rsidR="0045666E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Magdalena.Nowak-Kowalska@cyfra.gov.pl</w:t>
              </w:r>
            </w:hyperlink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850FB" w14:textId="77D3FC75" w:rsidR="001B3F8A" w:rsidRPr="001309DC" w:rsidRDefault="005B0173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Jarosław Daniel</w:t>
            </w:r>
            <w:r w:rsidR="0045666E" w:rsidRPr="001309DC">
              <w:rPr>
                <w:rFonts w:ascii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 główny specjalista</w:t>
            </w:r>
            <w:r w:rsidR="00583E0A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E3B" w:rsidRPr="001309DC">
              <w:rPr>
                <w:rFonts w:ascii="Times New Roman" w:hAnsi="Times New Roman"/>
                <w:sz w:val="24"/>
                <w:szCs w:val="24"/>
              </w:rPr>
              <w:t>w Wydziale Programowania Inwestycji Telekomunikacyjnych w</w:t>
            </w:r>
            <w:r w:rsidR="008C3717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="00EE7E3B" w:rsidRPr="001309DC">
              <w:rPr>
                <w:rFonts w:ascii="Times New Roman" w:hAnsi="Times New Roman"/>
                <w:sz w:val="24"/>
                <w:szCs w:val="24"/>
              </w:rPr>
              <w:t xml:space="preserve">Departamencie Telekomunikacji w Ministerstwie Cyfryzacji, </w:t>
            </w:r>
            <w:hyperlink r:id="rId13" w:history="1">
              <w:r w:rsidR="00EE7E3B" w:rsidRPr="001309DC">
                <w:rPr>
                  <w:rStyle w:val="Hipercze"/>
                  <w:rFonts w:ascii="Times New Roman" w:hAnsi="Times New Roman"/>
                  <w:sz w:val="24"/>
                  <w:szCs w:val="24"/>
                </w:rPr>
                <w:t>Jaroslaw.Daniel@cyfra.gov.pl</w:t>
              </w:r>
            </w:hyperlink>
            <w:r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6" w:type="dxa"/>
            <w:gridSpan w:val="12"/>
            <w:shd w:val="clear" w:color="auto" w:fill="FFFFFF" w:themeFill="background1"/>
          </w:tcPr>
          <w:p w14:paraId="701766E0" w14:textId="40A199BC" w:rsidR="00C2674D" w:rsidRPr="001309DC" w:rsidRDefault="001B3460" w:rsidP="00F40C0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</w:p>
          <w:p w14:paraId="4CD29A55" w14:textId="5A9B7B12" w:rsidR="001B3460" w:rsidRPr="001309DC" w:rsidRDefault="00E8790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A3787">
              <w:rPr>
                <w:rFonts w:ascii="Times New Roman" w:hAnsi="Times New Roman"/>
                <w:sz w:val="24"/>
                <w:szCs w:val="24"/>
              </w:rPr>
              <w:t>1</w:t>
            </w:r>
            <w:r w:rsidR="00797EF4">
              <w:rPr>
                <w:rFonts w:ascii="Times New Roman" w:hAnsi="Times New Roman"/>
                <w:sz w:val="24"/>
                <w:szCs w:val="24"/>
              </w:rPr>
              <w:t>.06</w:t>
            </w:r>
            <w:r w:rsidR="00071D1D">
              <w:rPr>
                <w:rFonts w:ascii="Times New Roman" w:hAnsi="Times New Roman"/>
                <w:sz w:val="24"/>
                <w:szCs w:val="24"/>
              </w:rPr>
              <w:t>.202</w:t>
            </w:r>
            <w:r w:rsidR="00FB49CB">
              <w:rPr>
                <w:rFonts w:ascii="Times New Roman" w:hAnsi="Times New Roman"/>
                <w:sz w:val="24"/>
                <w:szCs w:val="24"/>
              </w:rPr>
              <w:t>6</w:t>
            </w:r>
            <w:r w:rsidR="004312D5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1AC" w:rsidRPr="001309DC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46778B91" w14:textId="77777777" w:rsidR="00F76884" w:rsidRPr="001309DC" w:rsidRDefault="00F768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320799" w14:textId="77777777" w:rsidR="00F76884" w:rsidRPr="001309DC" w:rsidRDefault="00F768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Źródło: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866560287"/>
              <w:placeholder>
                <w:docPart w:val="8F772EB4B39047F9B2BB2BCCCCF2553E"/>
              </w:placeholder>
              <w:dropDownList>
                <w:listItem w:value="Wybierz element."/>
                <w:listItem w:displayText="Zapowiedź z exposé" w:value="Zapowiedź z exposé"/>
                <w:listItem w:displayText="Decyzja PRM/RM" w:value="Decyzja PRM/RM"/>
                <w:listItem w:displayText="Orzeczenie TK" w:value="Orzeczenie TK"/>
                <w:listItem w:displayText="Prawo UE (dyrektywa)" w:value="Prawo UE (dyrektywa)"/>
                <w:listItem w:displayText="Prawo UE (rozporządzenie)" w:value="Prawo UE (rozporządzenie)"/>
                <w:listItem w:displayText="Wytyczne/zalecenia KE" w:value="Wytyczne/zalecenia KE"/>
                <w:listItem w:displayText="Upoważnienie ustawowe" w:value="Upoważnienie ustawowe"/>
                <w:listItem w:displayText="Strategia" w:value="Strategia"/>
                <w:listItem w:displayText="Inicjatywa własna" w:value="Inicjatywa własna"/>
                <w:listItem w:displayText="Efekt przeglądu" w:value="Efekt przeglądu"/>
                <w:listItem w:displayText="Inne" w:value="Inne"/>
              </w:dropDownList>
            </w:sdtPr>
            <w:sdtContent>
              <w:p w14:paraId="69F1824A" w14:textId="77777777" w:rsidR="00121CC7" w:rsidRPr="001309DC" w:rsidRDefault="00121CC7" w:rsidP="00855F98">
                <w:pPr>
                  <w:spacing w:line="240" w:lineRule="auto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1309DC">
                  <w:rPr>
                    <w:rFonts w:ascii="Times New Roman" w:hAnsi="Times New Roman"/>
                    <w:sz w:val="24"/>
                    <w:szCs w:val="24"/>
                  </w:rPr>
                  <w:t>Efekt przeglądu</w:t>
                </w:r>
              </w:p>
            </w:sdtContent>
          </w:sdt>
          <w:p w14:paraId="712038F5" w14:textId="7085D441" w:rsidR="00121CC7" w:rsidRPr="001309DC" w:rsidRDefault="00121CC7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Art. 50 ust. 1c ustawy z dnia 29 sierpnia 2009</w:t>
            </w:r>
            <w:r w:rsidR="00855F98" w:rsidRPr="001309DC">
              <w:rPr>
                <w:rFonts w:ascii="Times New Roman" w:hAnsi="Times New Roman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 xml:space="preserve">r. o finansach publicznych 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(Dz. U. z</w:t>
            </w:r>
            <w:r w:rsidR="00855F98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</w:t>
            </w:r>
            <w:r w:rsidR="0091722B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r. poz.</w:t>
            </w:r>
            <w:r w:rsidR="0091722B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1483</w:t>
            </w:r>
            <w:r w:rsidR="00296E77"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1844 i 1846</w:t>
            </w:r>
            <w:r w:rsidR="00A213E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oraz z</w:t>
            </w:r>
            <w:r w:rsidR="00CA378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="00A213E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2026 r. poz. 426</w:t>
            </w:r>
            <w:r w:rsidR="00797E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="00A213E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635</w:t>
            </w:r>
            <w:r w:rsidR="00797E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 680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</w:t>
            </w:r>
            <w:r w:rsidR="008779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14:paraId="2A50223C" w14:textId="77777777" w:rsidR="00234B84" w:rsidRPr="001309DC" w:rsidRDefault="00234B84" w:rsidP="00855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F0FFAF" w14:textId="73398A9E" w:rsidR="006A701A" w:rsidRPr="001309DC" w:rsidRDefault="006A701A" w:rsidP="00855F9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Nr </w:t>
            </w:r>
            <w:r w:rsidR="0057668E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21984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ykaz</w:t>
            </w:r>
            <w:r w:rsidR="0057668E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ie</w:t>
            </w:r>
            <w:r w:rsidR="008D4E8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prac</w:t>
            </w:r>
            <w:r w:rsidR="001F2260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legislacyjnych i</w:t>
            </w:r>
            <w:r w:rsidR="00855F98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="001F2260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programowych R</w:t>
            </w:r>
            <w:r w:rsidR="00121984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ady Ministrów</w:t>
            </w:r>
            <w:r w:rsidR="00FE6219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1C8DB85D" w14:textId="7F6E5ED8" w:rsidR="006A701A" w:rsidRPr="001309DC" w:rsidRDefault="00805934" w:rsidP="00B44C5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UD369</w:t>
            </w:r>
          </w:p>
        </w:tc>
      </w:tr>
      <w:tr w:rsidR="006A701A" w:rsidRPr="001309DC" w14:paraId="4292C0F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F01C942" w14:textId="77777777" w:rsidR="006A701A" w:rsidRPr="001309DC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6A701A" w:rsidRPr="001309DC" w14:paraId="1EF278B5" w14:textId="77777777" w:rsidTr="76AA89EE">
        <w:trPr>
          <w:trHeight w:val="333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1300C0D5" w14:textId="77777777" w:rsidR="006A701A" w:rsidRPr="001309DC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 xml:space="preserve">Jaki problem jest </w:t>
            </w:r>
            <w:r w:rsidR="00CC6305" w:rsidRPr="001309DC">
              <w:rPr>
                <w:rFonts w:ascii="Times New Roman" w:hAnsi="Times New Roman"/>
                <w:b/>
                <w:sz w:val="24"/>
                <w:szCs w:val="24"/>
              </w:rPr>
              <w:t>rozwiązywany?</w:t>
            </w:r>
          </w:p>
        </w:tc>
      </w:tr>
      <w:tr w:rsidR="006A701A" w:rsidRPr="001309DC" w14:paraId="00A83DA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78085C8D" w14:textId="64E0641D" w:rsidR="000D3B00" w:rsidRPr="001309DC" w:rsidRDefault="000D3B00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Ogólnopolska Sieć Edukacyjna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zwana dalej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OSE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”,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to sieć dostępu do szybkiego, bezpiecznego i</w:t>
            </w:r>
            <w:r w:rsidR="001F226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bezpłatnego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nternetu, z której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korzysta 90%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wszystki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szkół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Polsce kształcąc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ramach powszechnego obowiązku szkolnego.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Sieć p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owstała na mocy ustawy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 dnia 27 października 2017 r.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Ogólnopolskiej Sieci Edukacyjnej (Dz.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U. z 2024 r. poz. 1768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zwanej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„ustaw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OSE”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Celem ustawy o OSE było przede wszystkim umożliwienie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dostarczenia i utrzymania wydajnej i bezpiecznej sieci dla polskich szkół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tap wdrożeniowy został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już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zakończony.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Zakończyło się również finansowanie </w:t>
            </w:r>
            <w:r w:rsidR="001F315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ze środków europejskich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które umożliwił</w:t>
            </w:r>
            <w:r w:rsidR="00805934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E6199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wytworzenie infrastruktury bezpieczeństwa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infrastruktury sieciowej, a jedynym źródłem utrzymania oraz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koniecznego odtwarzania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infrastruktury</w:t>
            </w:r>
            <w:r w:rsidR="008059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jest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obecnie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budżet 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aństwa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uzupełniająco Fundusz Szerokopasmowy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którym mowa w art. 16a ust. 1 ustawy z</w:t>
            </w:r>
            <w:r w:rsidR="0003233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dnia 7 maja 2010 r. o wspieraniu rozwoju usług i sieci telekomunikacyjnych (Dz. U. z 202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 poz. 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652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2A6BB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 dostarczeniu sieci do szkół obowiązkiem 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Naukowej i Akademickiej Sieci Komputerowej – Państwowego Instytutu Badawczego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zwane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go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„NASK-PIB”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jako operatora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jest 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zapewnienie nieprzerwanie najwyższego standardu świadczonych usług</w:t>
            </w:r>
            <w:r w:rsidR="00C245E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szczególności bezpieczeństwa sieciowego</w:t>
            </w:r>
            <w:r w:rsidR="00C245E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B017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dalszy rozwój oferty dla szkół.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Projektowane 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zmiany precyzują kompetencje i obowiązki operatora OSE oraz dostosowują planowany budżet do realiów wynikających z zakończenia fazy wdrożeniowej projektu.</w:t>
            </w:r>
          </w:p>
          <w:p w14:paraId="7F811E0D" w14:textId="77777777" w:rsidR="009902DB" w:rsidRPr="001309DC" w:rsidRDefault="00A1636A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Ponadto p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raktyka stosowania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obecnie obowiązujących 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przepisów ujawniła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potrzebę ich doprecyzowania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8562A3C" w14:textId="0AE3C0B1" w:rsidR="009902DB" w:rsidRPr="001309DC" w:rsidRDefault="009902DB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definicji OSE należy rozszerzyć krąg podmiotów, którym OSE służy, także o podmioty wskazane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art.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342 ust. 13 ustawy z dnia 20 marca 2025 r. o rynku pracy i służbach zatrudnienia (Dz. U. z 2025 r. poz. 620</w:t>
            </w:r>
            <w:r w:rsidR="0081033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1746 i 1794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z 2026 r. poz. 451</w:t>
            </w:r>
            <w:r w:rsidR="002D5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507</w:t>
            </w:r>
            <w:r w:rsidR="002D5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734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). Przepis ten wprowadził obowiązek odpowiedniego stosowania ustawy o OSE do jednostek Ochotniczych Hufców Pracy, zwanych dalej „OHP”, realizujących zadania z zakresu kształcenia zawodowego, wychowania oraz aktywizacji społeczno-zawodowej młodzieży.</w:t>
            </w:r>
          </w:p>
          <w:p w14:paraId="5B0CA4F8" w14:textId="5DE41809" w:rsidR="00994BC3" w:rsidRPr="001309DC" w:rsidRDefault="00994BC3" w:rsidP="00AA4C48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Ustawa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określa, że zadaniem operatora OSE jest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wiadczenie usług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szkole”. Sformułowanie to nie precyzuje sytuacji zespołów szkół prowadzących działalność w jednym budynku, ale także szkół, które prowadzą działalność w kilku lokalizacjach – dotychczasowe brzmienie przepisów rodziło wątpliwości interpretacyjne, jaki jest rzeczywisty zakres odpowiedzialności operatora OSE za dostarczenie usług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czy każdej szkole z zespołu szkół osobno, czy do każdej lokalizacji osobno. Każdorazowo wątpliwości te były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uzgadniane z dyrektorami szkó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ł lub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organami prowadzącymi w kierunku zaspokajającym potrzeby szkół, jednak większą pewność prawną dałoby doprecyzowanie tej kwestii na poziomie samej ustawy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 zastąpienie terminu „sz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313D3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oła”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bardziej precyzyjnym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terminem „lokalizacja szkoły”.</w:t>
            </w:r>
          </w:p>
          <w:p w14:paraId="6C52D35E" w14:textId="6D5AC855" w:rsidR="003470E6" w:rsidRPr="001309DC" w:rsidRDefault="003470E6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Obecnie obowiązująca ustawa o OSE zawiera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przepisy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określające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procedury, które w okresie wdrażania OSE miały gwarantować, że dochowano należytej staranności celem zorganizowania szkołom usługi o podstawowych parametrach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(symetryczna przepustowość 100 Mb/s)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 Stąd procedura wydawania przez ministra właściwego do spraw informatyzacji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 zasięgnięciu opinii Prezesa Urzędu Komunikacji Elektronicznej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zgody na tymczasowe świadczenie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lub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korzystanie przez szkoły z usług o niższych parametrach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gdy nie było jeszcze możliwości zapewnienia usługi o podstawowych parametrach. 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rzepisy te miały umożliwiać operatorowi OSE świadczenie usług OSE o najwyższej dostępnej jakości – zamiast nie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świadczenia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ich w ogóle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np. w przypadku opóźniającego się procesu przyłączania konkretnej szkoły do infrastruktury szerokopasmowej budowanej przez zewnętrznego partnera technicznego OSE. Obecnie sytuacje, w których w lokalizacji szkoły nie jest możliwe zapewnienie usług dostępu do szybkiego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symetrycznej przepustowości 100 Mb/s, mają charakter incydentalny oraz krótkotrwały</w:t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Hlk207784417"/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(24 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lokalizacje szkoły </w:t>
            </w:r>
            <w:r w:rsidR="002B212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łącznej liczbie 20</w:t>
            </w:r>
            <w:r w:rsidR="007A701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94A5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  <w:r w:rsidR="007A701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lokalizacji</w:t>
            </w:r>
            <w:r w:rsidR="003A43D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bookmarkEnd w:id="0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związku z czym dla takich przypadków nie jest zasadne dalsze utrzymywanie biurokratycznej procedury wydawania zgody przez ministra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właściwego do spraw informatyzacji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która jedynie może opóźniać proces zawarcia umowy o świadczenie usług OSE/umowy komercyjnej</w:t>
            </w:r>
            <w:r w:rsidR="00994BC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13C17C0" w14:textId="77777777" w:rsidR="00CA5D54" w:rsidRPr="001309DC" w:rsidRDefault="00CA5D54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0931D4" w14:textId="732D402A" w:rsidR="00CA5D54" w:rsidRPr="001309DC" w:rsidRDefault="00CA5D54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Ustawa o OSE zawiera </w:t>
            </w:r>
            <w:r w:rsidR="00A1636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także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przepisy o opracowywaniu i publikowaniu harmonogramu rozpoczęcia świadczenia usług OSE w szkołach. Harmonogram był niezbędny w okresie organizacji OSE i procesu masowego przyłączania szkół do OSE. Był narzędziem strukturyzującym proces wdrażania OSE i pozwalał różnym jego uczestnikom (operatorowi OSE, szkołom, partnerom zewnętrznym OSE) na odpowiednie przygotowanie do udziału w tym procesie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np. w zakresie procedur przetargowych. Obecnie wszystkie szkoły mogą już skorzystać z usług OSE (mogą się jedynie zdarzyć incydentalne i krótkotrwałe przypadki braku możliwości świadczenia usługi o podstawowych parametrach), w związku z czym zbędne jest dalsze publikowanie przez operatora OSE harmonogramu.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Harmonogram służył procesowi masowego przyłączania szkół do sieci OSE i dziś nie jest już potrzebnym narzędziem. </w:t>
            </w:r>
          </w:p>
          <w:p w14:paraId="7F8475FE" w14:textId="77777777" w:rsidR="00334ACD" w:rsidRPr="001309DC" w:rsidRDefault="00334ACD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CD8A4F" w14:textId="3DF6399C" w:rsidR="00334ACD" w:rsidRPr="001309DC" w:rsidRDefault="00334ACD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Dotychczasowe obowiązki operatora OSE w zakresie wyposażania budynków szkół w infrastrukturę poprawiającą jakość usług dostępu do </w:t>
            </w:r>
            <w:r w:rsidR="005E36D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pomieszczeniach szkoły zostały określone na poziomie zapewniającym korzystanie z usługi OSE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Parametry odbieranej usługi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OSE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pomieszczeniach szkoły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zależ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ą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od wyposażenia szkoły w infrastrukturę sieci LAN oraz od jej jakości. Znakomita większość szkół zgłasza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potrzeby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przeprowadzenia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budynkach szkół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prac modernizacyjnych w zakresie sieci LAN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 NASK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jako operator sieci OSE jest właściwym podmiotem do realizacji tego zadania. Znając już topologię sieci w szkole oraz wykorzystując doświadczenie z dotychczas przeprowadzonych prac w ramach podłączenia szkół do sieci, </w:t>
            </w:r>
            <w:r w:rsidR="005D7B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jest w stanie efektywnie planować i realizować potencjalne modernizacje. Doprecyzowanie takiej możliwości w ustawie otworzy </w:t>
            </w:r>
            <w:r w:rsidR="002B212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szkołom</w:t>
            </w:r>
            <w:r w:rsidR="00826F6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możliwości rozwoju cyfrowego w każdej sali szkolnej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w przypadku uzyskania dodatkowego finansowania umożliwi operatorowi 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OSE kontynuację dotychczasowych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działa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ń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2E06E5DF" w14:textId="77777777" w:rsidR="00B202B3" w:rsidRPr="001309DC" w:rsidRDefault="00B202B3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867740" w14:textId="767E5F68" w:rsidR="009902DB" w:rsidRPr="001309DC" w:rsidRDefault="00B202B3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Świadczenie usług OSE do szkół opiera się na wykorzystaniu infrastruktury telekomunikacyjnej operatorów doprowadzonej przez nich do budynków szkół – dzięki temu ta infrastruktura jest wykorzystywana i nie jest konieczne je</w:t>
            </w:r>
            <w:r w:rsidR="008C4FD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dublowanie. Niemniej, na wypadek zaistnienia budynków szkół, do których żadna infrastruktura nie jest doprowadzona przez operatorów i jej doprowadzenie nie jest przez nich planowane, operator OSE posiada uprawnienie do samodzielnej budowy takiej infrastruktury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którego do tej pory nie musiał jeszcze korzystać). Ustawa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określa źródła, z których operator OSE ma czerpać informacje o istniejącej oraz planowanej infrastrukturze na potrzeby ustalenia, czy może wykonać swoje uprawnienie do samodzielnego doprowadzenia infrastruktury do budynku szkoły. Przepisy ustawy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zakresie tych źródeł są już nieaktualne, bowiem nie odsyłają do Systemu Informacyjnego o Dostępie do Usług Stacjonarnego Internetu Szerokopasmowego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zwanego 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dalej „SIDUSIS”, powstałego w oparciu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przepisy ustawy z dnia 15 września 2022 r. o zmianie ustawy o wspieraniu rozwoju usług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 sieci telekomunikacyjnych (Dz. U. poz. 2164) i który od 2023 r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stanowi najlepsze źródło informacji 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 miejscach, w których jest już możliwe lub jest planowane istnienie nowoczesnej infrastruktury szerokopasmowej,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której operator OSE mógłby skorzystać do świadczenia usług OSE.</w:t>
            </w:r>
          </w:p>
          <w:p w14:paraId="6E8161B6" w14:textId="4DA3F279" w:rsidR="00261A01" w:rsidRPr="001309DC" w:rsidRDefault="00CB5557" w:rsidP="00261A0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Ze 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względu na wrażliwość użytkowników OSE</w:t>
            </w:r>
            <w:r w:rsidR="00735D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(uczniowie i nauczyciele),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prawidłowe funkcjonowanie OSE opiera się na bezwzględnym wymogu 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prawidłowego 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działania 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wszystkich komponentów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infrastrukturalnych sieci OSE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urządzeń, oprogramowania oraz infrastruktury bezpieczeństwa, które zapewniają szkołom nie tylko nieprzerwany dostęp do sieci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 przede wszystkim dostarczają najwyższy poziom cyberbezpieczeństwa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C57B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 szczególnym uwzględnieniem ochrony dzieci i młodzieży przed treściami szkodliwymi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Dotychczasowa infrastruktura sieci OSE została zbudowana z udziałem dofinansowania ze środków </w:t>
            </w:r>
            <w:r w:rsidR="00A74B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Programu Operacyjnego Polska Cyfrowa, zwanego dalej „PO PC”,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była wdrażana w latach 2018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="002360E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0D3B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nfrastruktura musi podlegać stopniowemu odtworzeniu i modernizacji, aby utrzymać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sprawne działanie sieci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OSE. Ze względu zaś na objęcie istniejącej infrastruktury tzw. trwałością nie jest możliwe finansowanie tego odtworzenia ze środków europejskich. </w:t>
            </w:r>
            <w:r w:rsidR="00DA341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To powoduje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że finansowanie tych wydatków musi pochodzić wyłącznie z 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dotacji celowych, udzielanych operatorowi OSE przez ministra właściwego do spraw informatyzacji. W art. 15 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ust. 1 </w:t>
            </w:r>
            <w:r w:rsidR="003E59F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staw</w:t>
            </w:r>
            <w:r w:rsidR="003E59FE" w:rsidRPr="001309DC">
              <w:rPr>
                <w:rFonts w:ascii="Times New Roman" w:hAnsi="Times New Roman"/>
                <w:sz w:val="24"/>
                <w:szCs w:val="24"/>
              </w:rPr>
              <w:t>y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OSE określono maksymalne limity wydatków z budżetu państwa przeznaczonych na finansowanie tych dotacji w latach 2018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="00D12A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2027.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Zostały one oszacowane w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2017 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od tamtej pory nie były nowelizowane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39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aistniało wiele okoliczności (ogólnoświatowych i</w:t>
            </w:r>
            <w:r w:rsidR="007606D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lokalnych), które mają negatywny skutek ekonomiczny również w sferze kosztów funkcjonowania OSE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sprawiając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że obecnie obowiązujące limity finansowania OSE z budżetu państwa są dalece niewystarczające do pokrycia niezbędnych kosztów.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celu umożliwienia utrzymania jakości świadczonych usług w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 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dopuszczono możliwość współfinansowania OSE ze środków Funduszu Szerokopasmowego</w:t>
            </w:r>
            <w:r w:rsidR="00421BA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o którym mowa w art. 16a ust. 1 ustawy z dnia 7 maja 2010 r. o wspieraniu rozwoju usług i sieci telekomunikacyjnych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Fundusz Szerokopasmowy nie jest jednak ani stałym ani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wystarczając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ym źródłem finansowania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pokrycia różnicy pomiędzy szacowanymi kosztami funkcjonowania OSE, a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finansowaniem z budżetu państwa gwarantowanym obecnie ustawą o OSE. </w:t>
            </w:r>
          </w:p>
          <w:p w14:paraId="2B333ADB" w14:textId="3E804695" w:rsidR="00B202B3" w:rsidRPr="001309DC" w:rsidRDefault="00261A01" w:rsidP="004C08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Brak możliwości budżetowych do sfinansowania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pełnych szacowanych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kosztów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spowoduje, że OSE 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czasem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przesta</w:t>
            </w:r>
            <w:r w:rsidR="00EF2E1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spełniać swoje funkcje, np. z powodu zaprzestania świadczenia przez producentów urządzeń zamontowanych w OSE usług wsparcia serwisowego czy rozwoju oprogramowania zarządzającego. Jest to ryzyko zupełnie nieakceptowalne z punktu widzenia korzystania przez szkoły z</w:t>
            </w:r>
            <w:r w:rsidR="001250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usług OSE co najmniej w dotychczasowym standardzie.</w:t>
            </w:r>
            <w:r w:rsidR="002F4B2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Rekomendowane zmiany służą utrzymaniu bezpieczeństwa cyfrowego polskich szkół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możliwości rozw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oju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kompetencji przyszłości wśród dzieci i</w:t>
            </w:r>
            <w:r w:rsidR="0012504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młodzieży, co w efekcie pozwoli im zbudować niezbędne przewagi konkurencyjne </w:t>
            </w:r>
            <w:r w:rsidR="003A6CC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gospodarce przyszłości opartej o technologie cyfrowe</w:t>
            </w:r>
            <w:r w:rsidR="00BE32A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8D5E468" w14:textId="7651195C" w:rsidR="00B202B3" w:rsidRPr="001309DC" w:rsidRDefault="00B202B3" w:rsidP="00B202B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końcu obecna reguła wydatkowa, określona w art. 15 ust. 1 ustawy o OSE, przewiduje wydatki z budżetu państwa na wykonywanie ustawy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2027</w:t>
            </w:r>
            <w:r w:rsidR="000B080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natomiast zasadne jest kontynuowanie wykonywania ustawy także w latach kolejnych. Z tego względu, stosownie do art. 50 ust. 1c ustawy z dnia 29 sierpnia 2009 r.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finansach publicznych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309D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Rada Ministrów powinna przedstawić projekt ustawy określającej limity wydatków na wykonywanie ustawy w kolejnych 10 latach.</w:t>
            </w:r>
          </w:p>
        </w:tc>
      </w:tr>
      <w:tr w:rsidR="006A701A" w:rsidRPr="001309DC" w14:paraId="2C7DF07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515106C7" w14:textId="77777777" w:rsidR="006A701A" w:rsidRPr="001309DC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Rekomendowane rozwiązanie, w tym planowane narzędzia interwencji, i oczekiwany efekt</w:t>
            </w:r>
          </w:p>
        </w:tc>
      </w:tr>
      <w:tr w:rsidR="006A701A" w:rsidRPr="001309DC" w14:paraId="1692FE14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6C812603" w14:textId="478253F3" w:rsidR="00F61978" w:rsidRPr="001309DC" w:rsidRDefault="00261A01" w:rsidP="002611FC">
            <w:pPr>
              <w:spacing w:before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Proponuje się nowelizację </w:t>
            </w:r>
            <w:r w:rsidR="00F619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przepisów ustawy o OSE mającą na celu </w:t>
            </w:r>
            <w:r w:rsidR="00334AC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rozwiązanie problemów wskazanych w pkt 1 przez</w:t>
            </w:r>
            <w:r w:rsidR="00F6197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444E3F02" w14:textId="2647E5DA" w:rsidR="00821ECC" w:rsidRPr="001309DC" w:rsidRDefault="00821ECC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uwzględnieni</w:t>
            </w:r>
            <w:r w:rsidR="00AA4C48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definicji OSE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w pozostałych przepisach projektu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faktu, ż</w:t>
            </w:r>
            <w:r w:rsidR="00E45CA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zgodnie z przepisem art. 342 ust. 13 ustawy z dnia 20 marca 2025 r. o rynku pracy i służbach zatrudnienia, świadczy ona usługi także jednostkom OHP; </w:t>
            </w:r>
          </w:p>
          <w:p w14:paraId="4E67B8D7" w14:textId="2CB55A19" w:rsidR="00F61978" w:rsidRPr="001309DC" w:rsidRDefault="00F61978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doprecyzowanie, że operator OSE świadczy usługi „w lokalizacji szkoły”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nie „szkole</w:t>
            </w:r>
            <w:r w:rsidR="00583E0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38B9D5F" w14:textId="37934DE4" w:rsidR="00F61978" w:rsidRPr="001309DC" w:rsidRDefault="00F61978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usunięcie zbędnych już procedur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organizujących podłączanie szkół do OSE oraz dotyczących świadczenia usług o parametrach innych niż standard podstawowy</w:t>
            </w:r>
            <w:r w:rsidR="0018093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oraz zastąpienie ich elastyczną procedurą współpracy operatora OSE z podmiotami chcącymi skorzystać z usług OSE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9B04D51" w14:textId="4998072E" w:rsidR="002E3EDC" w:rsidRPr="001309DC" w:rsidRDefault="00334ACD" w:rsidP="0081033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przyznanie operatorowi OSE nowego uprawnienia polegającego na doposażaniu budynków szkół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infrastrukturę poprawiającą jakość usługi dostępu do </w:t>
            </w:r>
            <w:r w:rsidR="00CB555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nternetu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pomieszczeniach szkoły;</w:t>
            </w:r>
          </w:p>
          <w:p w14:paraId="4374408B" w14:textId="6CC2DDED" w:rsidR="00A201F2" w:rsidRPr="001309DC" w:rsidRDefault="00261A01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podniesienie obecnie określon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limit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wydatków z budżetu państwa, przeznaczonych na realizację zadań określonych ustawą</w:t>
            </w:r>
            <w:r w:rsidR="002777C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rok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2027, jak też przedłużenie reguły wydatkowej na lata 2028</w:t>
            </w:r>
            <w:r w:rsidR="006B440C" w:rsidRPr="001309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  <w:r w:rsidR="00DD5BF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celu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wykonania</w:t>
            </w:r>
            <w:r w:rsidR="00334ACD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dyspozycj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art. 50 ust. 1</w:t>
            </w:r>
            <w:r w:rsidR="004C08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ustawy z dnia 27 sierpnia 2009 r. o finansach publicznych, tj. obejmując nowelizacją przepisu art. 15</w:t>
            </w:r>
            <w:r w:rsidR="006B440C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ust. 1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ustawy o OSE skutki finansowe wykonywania tej ustawy w okresie 10 lat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F219663" w14:textId="0B982524" w:rsidR="00A201F2" w:rsidRPr="001309DC" w:rsidRDefault="00A7147B" w:rsidP="00583E0A">
            <w:pPr>
              <w:pStyle w:val="Akapitzlist"/>
              <w:numPr>
                <w:ilvl w:val="0"/>
                <w:numId w:val="43"/>
              </w:numPr>
              <w:spacing w:before="60" w:line="240" w:lineRule="auto"/>
              <w:ind w:left="306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dostosowanie ustawy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 zmian wynikających z ustawy z dnia 15 września 2022 r. o zmianie ustawy o wspieraniu rozwoju usług i sieci telekomunikacyjnych</w:t>
            </w:r>
            <w:r w:rsidR="009F15E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 polegających n</w:t>
            </w:r>
            <w:r w:rsidR="00B202B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7B76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odesłaniu do systemu SIDUSIS jako źródła zasięgania przez operatora OSE informacji o istniejących lub planowanych sieciach, z których można skorzystać do świadczenia usług OSE.</w:t>
            </w:r>
          </w:p>
        </w:tc>
      </w:tr>
      <w:tr w:rsidR="006A701A" w:rsidRPr="001309DC" w14:paraId="05B11D44" w14:textId="77777777" w:rsidTr="76AA89EE">
        <w:trPr>
          <w:trHeight w:val="307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2029FBE4" w14:textId="77777777" w:rsidR="006A701A" w:rsidRPr="001309DC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Jak problem został rozwiązany w innych krajach, w szczególności krajach członkowskich OECD/UE</w:t>
            </w:r>
            <w:r w:rsidR="006A701A"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="006A701A" w:rsidRPr="001309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01A" w:rsidRPr="001309DC" w14:paraId="3872AFD4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461614FB" w14:textId="6E7183F1" w:rsidR="00986A5F" w:rsidRPr="001309DC" w:rsidRDefault="00986A5F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momencie powstania OSE Polska była prekursorem wśród państw</w:t>
            </w:r>
            <w:r w:rsidR="00944CCE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członkowskich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Unii Europejskiej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zakresie systemowego podejścia do zapewnienia szkołom bezpiecznego i bezpłatnego dostępu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wsparcia edukacyjnego w obszarze odpowiedzialnego korzystania z technologii cyfrowych. Podobne inicjatywy funkcjonowały wówczas w Irlandii oraz Danii. Obecnie w różnych 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aństwach członkowskich Unii Europejskiej funkcjonują różne rozwiązania systemowe z zakresu korzystania przez szkoły z dostępu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z udostępnianych szkołom materiałów szkoleniowych o bezpiecznym korzystaniu z technologii cyfrowych. Na tym tle OSE wyróżnia się jako jeden z najbardziej kompleksowych i zaawansowanych projektów, stanowiąc przykład europejskiego pioniera oferującego kompleksowe wsparcie infrastrukturalne i edukacyjne dla placówek oświatowych.</w:t>
            </w:r>
          </w:p>
          <w:p w14:paraId="52A0DF69" w14:textId="4B181FA1" w:rsidR="00986A5F" w:rsidRPr="001309DC" w:rsidRDefault="00986A5F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Portugalii realizowany jest projekt „Rede Alargada da Educação”, którego celem jest zapewnienie wszystkim placówkom edukacyjnym dostępu do bardzo szybkiego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wsparcie cyfrowej transformacji szkół. Każda jednostka objęta programem otrzymuje dedykowane łącze światłowodowe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przepustowości do 10 Gbit/s, zintegrowane z krajową siecią badawczo-edukacyjną. Projekt obejmuje również wdrożenie usług wspierających bezpieczeństwo cyfrowe, takich jak monitoring sieci, filtrowanie treści oraz platformy e-learningowe. W Chorwacji, w ramach programu „e-Schools”, za którego realizację odpowiada narodowa sieć naukowo-badawcza CARNET, zmodernizowano infrastrukturę sieciową szkół oraz wdrożono rozwiązania umożliwiające bezpieczne i efektywne korzystanie z zasobów cyfrowych,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tym dostęp do sieci eduroam, usług chmurowych oraz wsparcia technicznego. Grecja rozwija projekt Greek School Network, który obejmuje ponad 16 tysięcy szkół i jednostek administracyjnych, zapewniając im dostęp do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szeroki katalog usług cyfrowych, takich jak hosting treści, zarządzanie użytkownikami i wsparcie ICT. Na Litwie zrealizowano projekt „Creating a Safe Digital Space for Children”, w ramach którego 82% szkół zostało wyposażonych w łącza światłowodowe, wdrożono bezprzewodowe sieci oraz przeprowadzono szkolenia dla kadry pedagogicznej w zakresie zarządzania infrastrukturą i bezpiecznego korzystania z 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6BC7F75" w14:textId="209BCDBD" w:rsidR="006A701A" w:rsidRPr="001309DC" w:rsidRDefault="00A201F2" w:rsidP="00D420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Proponowane zmiany w ustawie </w:t>
            </w:r>
            <w:r w:rsidR="00F4702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OSE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mają za zadanie utrzymać konkurencyjność cyfrowego rozwoju polskich szkół na tle innych krajów.</w:t>
            </w:r>
          </w:p>
        </w:tc>
      </w:tr>
      <w:tr w:rsidR="006A701A" w:rsidRPr="001309DC" w14:paraId="26D37EB7" w14:textId="77777777" w:rsidTr="76AA89EE">
        <w:trPr>
          <w:trHeight w:val="359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22D02977" w14:textId="77777777" w:rsidR="006A701A" w:rsidRPr="001309DC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Podmioty, na które oddziałuje projekt</w:t>
            </w:r>
          </w:p>
        </w:tc>
      </w:tr>
      <w:tr w:rsidR="00260F33" w:rsidRPr="001309DC" w14:paraId="4C5CC555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1AB10D12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Grupa</w:t>
            </w:r>
          </w:p>
        </w:tc>
        <w:tc>
          <w:tcPr>
            <w:tcW w:w="2200" w:type="dxa"/>
            <w:gridSpan w:val="7"/>
          </w:tcPr>
          <w:p w14:paraId="154F362C" w14:textId="77777777" w:rsidR="00260F33" w:rsidRPr="001309DC" w:rsidRDefault="00563199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Wielkość</w:t>
            </w:r>
          </w:p>
        </w:tc>
        <w:tc>
          <w:tcPr>
            <w:tcW w:w="2878" w:type="dxa"/>
            <w:gridSpan w:val="11"/>
          </w:tcPr>
          <w:p w14:paraId="1ADDE62A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Źródło danych</w:t>
            </w:r>
            <w:r w:rsidRPr="001309DC" w:rsidDel="00260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gridSpan w:val="6"/>
          </w:tcPr>
          <w:p w14:paraId="4DD3AB3B" w14:textId="77777777" w:rsidR="00260F33" w:rsidRPr="001309DC" w:rsidRDefault="00260F33" w:rsidP="0072636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</w:t>
            </w:r>
          </w:p>
        </w:tc>
      </w:tr>
      <w:tr w:rsidR="0005251B" w:rsidRPr="001309DC" w14:paraId="5631BFAD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574A7A3F" w14:textId="20E1F268" w:rsidR="0005251B" w:rsidRPr="001309DC" w:rsidRDefault="0005251B" w:rsidP="005C5A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Uczniowie,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wyłączeniem uczniów szkół dla dorosłych</w:t>
            </w:r>
          </w:p>
        </w:tc>
        <w:tc>
          <w:tcPr>
            <w:tcW w:w="2200" w:type="dxa"/>
            <w:gridSpan w:val="7"/>
          </w:tcPr>
          <w:p w14:paraId="5F409874" w14:textId="489EF53F" w:rsidR="0005251B" w:rsidRPr="001309DC" w:rsidRDefault="00944CC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k. </w:t>
            </w:r>
            <w:r w:rsidR="001103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5251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mln</w:t>
            </w:r>
          </w:p>
        </w:tc>
        <w:tc>
          <w:tcPr>
            <w:tcW w:w="2878" w:type="dxa"/>
            <w:gridSpan w:val="11"/>
          </w:tcPr>
          <w:p w14:paraId="4C25849D" w14:textId="44DE8322" w:rsidR="0005251B" w:rsidRPr="001309DC" w:rsidRDefault="00110374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10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ane zgromadzone w 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110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ystemie 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10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nformacji </w:t>
            </w:r>
            <w:r w:rsidR="008779B8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110374">
              <w:rPr>
                <w:rFonts w:ascii="Times New Roman" w:hAnsi="Times New Roman"/>
                <w:color w:val="000000"/>
                <w:sz w:val="24"/>
                <w:szCs w:val="24"/>
              </w:rPr>
              <w:t>światowej (SIO), według stanu danych na dzień 30 września 2025 r.</w:t>
            </w:r>
          </w:p>
        </w:tc>
        <w:tc>
          <w:tcPr>
            <w:tcW w:w="2825" w:type="dxa"/>
            <w:gridSpan w:val="6"/>
          </w:tcPr>
          <w:p w14:paraId="565D5925" w14:textId="33727A0F" w:rsidR="0005251B" w:rsidRPr="001309DC" w:rsidRDefault="0005251B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Zapewnienie bezpieczeństwa cyfrowego i możliwości rozwoju kompetencji przyszłości</w:t>
            </w:r>
            <w:r w:rsidR="0075503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10374" w:rsidRPr="001309DC" w14:paraId="20B36C1C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41644D3" w14:textId="6D45F07B" w:rsidR="00110374" w:rsidRPr="001309DC" w:rsidRDefault="00117ABF" w:rsidP="005C5A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ABF">
              <w:rPr>
                <w:rFonts w:ascii="Times New Roman" w:hAnsi="Times New Roman"/>
                <w:color w:val="000000"/>
                <w:sz w:val="24"/>
                <w:szCs w:val="24"/>
              </w:rPr>
              <w:t>Nauczyciele zatrudnieni w szkołach (z wyłączeniem placówek wychowania przedszkolnego, szkół ze związaniem organizacyjnym w podmiocie leczniczym oraz szkół dla dorosłych)</w:t>
            </w:r>
          </w:p>
        </w:tc>
        <w:tc>
          <w:tcPr>
            <w:tcW w:w="2200" w:type="dxa"/>
            <w:gridSpan w:val="7"/>
          </w:tcPr>
          <w:p w14:paraId="655B03CE" w14:textId="292032EC" w:rsidR="00110374" w:rsidRPr="001309DC" w:rsidRDefault="00117ABF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ok. 600 tys.</w:t>
            </w:r>
          </w:p>
        </w:tc>
        <w:tc>
          <w:tcPr>
            <w:tcW w:w="2878" w:type="dxa"/>
            <w:gridSpan w:val="11"/>
          </w:tcPr>
          <w:p w14:paraId="6FADD5AB" w14:textId="27598DD7" w:rsidR="00110374" w:rsidRPr="001309DC" w:rsidRDefault="00117ABF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7ABF">
              <w:rPr>
                <w:rFonts w:ascii="Times New Roman" w:hAnsi="Times New Roman"/>
                <w:color w:val="000000"/>
                <w:sz w:val="24"/>
                <w:szCs w:val="24"/>
              </w:rPr>
              <w:t>dane SIO, według stanu na dzień 30 września 2025 r.</w:t>
            </w:r>
          </w:p>
        </w:tc>
        <w:tc>
          <w:tcPr>
            <w:tcW w:w="2825" w:type="dxa"/>
            <w:gridSpan w:val="6"/>
          </w:tcPr>
          <w:p w14:paraId="7AEAE72C" w14:textId="1A194327" w:rsidR="00110374" w:rsidRPr="001309DC" w:rsidRDefault="00491683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Zapewnienie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nowoczesnych metod prowadzeni</w:t>
            </w:r>
            <w:r w:rsidR="00B17B44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zajęć,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bezpieczeństwa cyfrowego i możliwości rozwoju kompetencji przyszłości.</w:t>
            </w:r>
          </w:p>
        </w:tc>
      </w:tr>
      <w:tr w:rsidR="004E11AC" w:rsidRPr="001309DC" w14:paraId="4BE23E60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1E0B31FC" w14:textId="05041629" w:rsidR="004E11AC" w:rsidRPr="001309DC" w:rsidRDefault="00864100" w:rsidP="005C5A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Minister właściwy do spraw informatyzacji</w:t>
            </w:r>
          </w:p>
        </w:tc>
        <w:tc>
          <w:tcPr>
            <w:tcW w:w="2200" w:type="dxa"/>
            <w:gridSpan w:val="7"/>
          </w:tcPr>
          <w:p w14:paraId="2E895DCD" w14:textId="77777777" w:rsidR="004E11AC" w:rsidRPr="001309DC" w:rsidRDefault="004E11AC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66E03F5D" w14:textId="436E781F" w:rsidR="004E11AC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234B8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76BA749E" w14:textId="6BE05F07" w:rsidR="004E11AC" w:rsidRPr="001309DC" w:rsidRDefault="008B41A2" w:rsidP="001309D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14" w:hanging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zniesienie obowiązku wydawania zgody na świadczenie szkole/korzystanie przez szkołę z usług dostępu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do 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jakości niższej niż symetryczne 100 Mb/s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AA91888" w14:textId="77777777" w:rsidR="008B41A2" w:rsidRPr="001309DC" w:rsidRDefault="008B41A2" w:rsidP="001309D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14" w:hanging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umożliwienie udzielenia operatorowi OSE dotacji celowej z budżetu państwa w wysokości odpowiadającej nowym szacowanym kosztom wykonywania zadań operatora OSE</w:t>
            </w:r>
          </w:p>
          <w:p w14:paraId="54A4A888" w14:textId="28558CF4" w:rsidR="00583E0A" w:rsidRPr="001309DC" w:rsidRDefault="00583E0A" w:rsidP="001309DC">
            <w:pPr>
              <w:pStyle w:val="Akapitzlist"/>
              <w:spacing w:line="240" w:lineRule="auto"/>
              <w:ind w:left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1AC" w:rsidRPr="001309DC" w14:paraId="19117D6A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417FC1F7" w14:textId="29EA0C3C" w:rsidR="004E11AC" w:rsidRPr="001309DC" w:rsidRDefault="00864100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</w:t>
            </w:r>
            <w:r w:rsidR="009440D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ASK</w:t>
            </w:r>
            <w:r w:rsidR="00823C7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-PIB</w:t>
            </w:r>
            <w:r w:rsidR="009440D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jako operator OSE</w:t>
            </w:r>
          </w:p>
        </w:tc>
        <w:tc>
          <w:tcPr>
            <w:tcW w:w="2200" w:type="dxa"/>
            <w:gridSpan w:val="7"/>
          </w:tcPr>
          <w:p w14:paraId="5D40F972" w14:textId="0F42E26D" w:rsidR="004E11AC" w:rsidRPr="001309DC" w:rsidRDefault="00864100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20AE66A7" w14:textId="07B3AFB8" w:rsidR="004E11AC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332E908E" w14:textId="59E792BF" w:rsidR="004E11AC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zniesienie zbędnych obowiązków biurokratycznych związanych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organizacją podłączania szkół do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90F2FFA" w14:textId="3BD2CCBE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otrzymanie nowego uprawnienia do modernizacji wewnątrzszkolnych sieci LAN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6CBA599" w14:textId="6F518ECA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możliwość otrzymania dotacji celowej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budżetu państwa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wysokości odpowiadającej nowym szacowanym kosztom wykonywania zadań operatora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DA4DF25" w14:textId="74FD9AFA" w:rsidR="008B41A2" w:rsidRPr="001309DC" w:rsidRDefault="008B41A2" w:rsidP="001309DC">
            <w:pPr>
              <w:pStyle w:val="Akapitzlist"/>
              <w:numPr>
                <w:ilvl w:val="0"/>
                <w:numId w:val="45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możliwość korzystania ze środków dotacji celowej do ponoszenia wkładu własnego lub </w:t>
            </w:r>
            <w:r w:rsidR="000B304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wydatków niekwalifikowalnych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B304B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projektach dofinansowanych ze źródeł zewnętrznych</w:t>
            </w:r>
          </w:p>
        </w:tc>
      </w:tr>
      <w:tr w:rsidR="008B41A2" w:rsidRPr="001309DC" w14:paraId="10EF00DD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503B7612" w14:textId="38987898" w:rsidR="008B41A2" w:rsidRPr="001309DC" w:rsidRDefault="008B41A2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Prezes Urzędu Komunikacji Elektronicznej</w:t>
            </w:r>
          </w:p>
        </w:tc>
        <w:tc>
          <w:tcPr>
            <w:tcW w:w="2200" w:type="dxa"/>
            <w:gridSpan w:val="7"/>
          </w:tcPr>
          <w:p w14:paraId="142D79AB" w14:textId="790CF4D1" w:rsidR="008B41A2" w:rsidRPr="001309DC" w:rsidRDefault="008B41A2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8" w:type="dxa"/>
            <w:gridSpan w:val="11"/>
          </w:tcPr>
          <w:p w14:paraId="2FA14287" w14:textId="74AF2B9B" w:rsidR="008B41A2" w:rsidRPr="001309DC" w:rsidRDefault="0045666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="008B41A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stawa o OSE</w:t>
            </w:r>
          </w:p>
        </w:tc>
        <w:tc>
          <w:tcPr>
            <w:tcW w:w="2825" w:type="dxa"/>
            <w:gridSpan w:val="6"/>
          </w:tcPr>
          <w:p w14:paraId="588211BA" w14:textId="759ABFD3" w:rsidR="008B41A2" w:rsidRPr="001309DC" w:rsidRDefault="008B41A2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Zniesienie obowiązku wydawania opinii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sprawie wyrażenia zgody na świadczenie szkole/korzystanie przez szkołę z usług dostępu do 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nternetu o jakości niższej niż symetryczne 100 Mb/s</w:t>
            </w:r>
            <w:r w:rsidR="00BA68E2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B41A2" w:rsidRPr="001309DC" w14:paraId="7E9A2C1C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C7C7301" w14:textId="4D264B90" w:rsidR="008B41A2" w:rsidRPr="001309DC" w:rsidRDefault="00C01DF9" w:rsidP="00F47022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Pr="00C01DF9">
              <w:rPr>
                <w:rFonts w:ascii="Times New Roman" w:hAnsi="Times New Roman"/>
                <w:color w:val="000000"/>
                <w:sz w:val="24"/>
                <w:szCs w:val="24"/>
              </w:rPr>
              <w:t>unkcjonując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C01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szk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C01DF9">
              <w:rPr>
                <w:rFonts w:ascii="Times New Roman" w:hAnsi="Times New Roman"/>
                <w:color w:val="000000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C01DF9">
              <w:rPr>
                <w:rFonts w:ascii="Times New Roman" w:hAnsi="Times New Roman"/>
                <w:color w:val="000000"/>
                <w:sz w:val="24"/>
                <w:szCs w:val="24"/>
              </w:rPr>
              <w:t>, do których uczęszczają uczniowie (z wyłączeniem szkół dla dorosłych)</w:t>
            </w:r>
          </w:p>
        </w:tc>
        <w:tc>
          <w:tcPr>
            <w:tcW w:w="2200" w:type="dxa"/>
            <w:gridSpan w:val="7"/>
          </w:tcPr>
          <w:p w14:paraId="1D54B42C" w14:textId="6172362A" w:rsidR="008B41A2" w:rsidRPr="001309DC" w:rsidRDefault="00CE73EE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3E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73E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78" w:type="dxa"/>
            <w:gridSpan w:val="11"/>
          </w:tcPr>
          <w:p w14:paraId="5590C869" w14:textId="31A32675" w:rsidR="008B41A2" w:rsidRPr="001309DC" w:rsidRDefault="008779B8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="00C01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ane </w:t>
            </w:r>
            <w:r w:rsidR="00C01DF9" w:rsidRPr="00CE7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SIO </w:t>
            </w:r>
            <w:r w:rsidR="00CE73EE" w:rsidRPr="00CE73EE">
              <w:rPr>
                <w:rFonts w:ascii="Times New Roman" w:hAnsi="Times New Roman"/>
                <w:color w:val="000000"/>
                <w:sz w:val="24"/>
                <w:szCs w:val="24"/>
              </w:rPr>
              <w:t>według stanu na dzień 30 września 2025 r.</w:t>
            </w:r>
            <w:r w:rsidR="00C01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gridSpan w:val="6"/>
          </w:tcPr>
          <w:p w14:paraId="1D1F6E18" w14:textId="12B380B0" w:rsidR="008B41A2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 zasady korzystania z usług dostępu do </w:t>
            </w:r>
            <w:r w:rsidR="005B65F5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nternetu o parametrach niższych i wyższych od symetrycznych 100 Mb/s,</w:t>
            </w:r>
          </w:p>
          <w:p w14:paraId="0F73F9EA" w14:textId="67E84C8D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nowe zasady przyłączania się do OSE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060B081" w14:textId="5DD1687E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gwarancja korzystania z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usług OSE o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niepogorszonej jakości</w:t>
            </w:r>
            <w:r w:rsidR="00175111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E65487A" w14:textId="0715CA69" w:rsidR="000B304B" w:rsidRPr="001309DC" w:rsidRDefault="000B304B" w:rsidP="001309DC">
            <w:pPr>
              <w:pStyle w:val="Akapitzlist"/>
              <w:numPr>
                <w:ilvl w:val="0"/>
                <w:numId w:val="46"/>
              </w:numPr>
              <w:spacing w:line="240" w:lineRule="auto"/>
              <w:ind w:left="214" w:hanging="2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możliwość skorzystania ze wsparcia OSE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postaci modernizacji wewnątrzszkolnych sieci LAN</w:t>
            </w:r>
          </w:p>
        </w:tc>
      </w:tr>
      <w:tr w:rsidR="003F7799" w:rsidRPr="001309DC" w14:paraId="0CEF079E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26DB4675" w14:textId="77777777" w:rsidR="003F7799" w:rsidRPr="001309DC" w:rsidRDefault="003F7799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Ośrodki szkolenia zawodowego OHP </w:t>
            </w:r>
          </w:p>
          <w:p w14:paraId="4D1B1584" w14:textId="77777777" w:rsidR="003F7799" w:rsidRPr="001309DC" w:rsidRDefault="003F7799" w:rsidP="00F47022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7"/>
          </w:tcPr>
          <w:p w14:paraId="23153934" w14:textId="24E91721" w:rsidR="003F7799" w:rsidRPr="001309DC" w:rsidRDefault="003F7799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8" w:type="dxa"/>
            <w:gridSpan w:val="11"/>
          </w:tcPr>
          <w:p w14:paraId="004047FA" w14:textId="7F6F287C" w:rsidR="003F7799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portale OHP: https://ohp.pl/nasze-jednostki oraz: https://dokariery.pl/strona-glowna</w:t>
            </w:r>
          </w:p>
        </w:tc>
        <w:tc>
          <w:tcPr>
            <w:tcW w:w="2825" w:type="dxa"/>
            <w:gridSpan w:val="6"/>
          </w:tcPr>
          <w:p w14:paraId="3D15EB42" w14:textId="06CC4DFC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3F7799" w:rsidRPr="001309DC" w14:paraId="34D946F0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417E3DDA" w14:textId="7B206C3F" w:rsidR="003F7799" w:rsidRPr="001309DC" w:rsidRDefault="003F7799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Centra kształcenia i wychowania OHP</w:t>
            </w:r>
          </w:p>
        </w:tc>
        <w:tc>
          <w:tcPr>
            <w:tcW w:w="2200" w:type="dxa"/>
            <w:gridSpan w:val="7"/>
          </w:tcPr>
          <w:p w14:paraId="2317ACFD" w14:textId="61D0E73D" w:rsidR="003F7799" w:rsidRPr="001309DC" w:rsidRDefault="003F7799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8" w:type="dxa"/>
            <w:gridSpan w:val="11"/>
          </w:tcPr>
          <w:p w14:paraId="5E5422C0" w14:textId="190C31F7" w:rsidR="003F7799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portale OHP: https://ohp.pl/nasze-jednostki oraz: https://dokariery.pl/strona-glowna</w:t>
            </w:r>
          </w:p>
        </w:tc>
        <w:tc>
          <w:tcPr>
            <w:tcW w:w="2825" w:type="dxa"/>
            <w:gridSpan w:val="6"/>
          </w:tcPr>
          <w:p w14:paraId="5CC60C78" w14:textId="178DD085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E20C11" w:rsidRPr="001309DC" w14:paraId="33CDDD6D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637CEBB4" w14:textId="611BD294" w:rsidR="00E20C11" w:rsidRPr="001309DC" w:rsidRDefault="00E20C11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Ośrodki Szkolenia i Wychowania OHP</w:t>
            </w:r>
          </w:p>
        </w:tc>
        <w:tc>
          <w:tcPr>
            <w:tcW w:w="2200" w:type="dxa"/>
            <w:gridSpan w:val="7"/>
          </w:tcPr>
          <w:p w14:paraId="4A6B4F4D" w14:textId="5DCE0426" w:rsidR="00E20C11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78" w:type="dxa"/>
            <w:gridSpan w:val="11"/>
          </w:tcPr>
          <w:p w14:paraId="11CE20EE" w14:textId="1E821B87" w:rsidR="00E20C11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portale OHP: https://ohp.pl/nasze-jednostki oraz: https://dokariery.pl/strona-glowna</w:t>
            </w:r>
          </w:p>
        </w:tc>
        <w:tc>
          <w:tcPr>
            <w:tcW w:w="2825" w:type="dxa"/>
            <w:gridSpan w:val="6"/>
          </w:tcPr>
          <w:p w14:paraId="2BD209C7" w14:textId="1122CA38" w:rsidR="00E20C11" w:rsidRPr="001309DC" w:rsidRDefault="00E20C11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E20C11" w:rsidRPr="001309DC" w14:paraId="2273D838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1BDD341" w14:textId="1B889959" w:rsidR="00E20C11" w:rsidRPr="001309DC" w:rsidRDefault="00E20C11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Centra Edukacji i Pracy Młodzieży – wraz z ich wewnętrznymi formami organizacyjnymi</w:t>
            </w:r>
          </w:p>
        </w:tc>
        <w:tc>
          <w:tcPr>
            <w:tcW w:w="2200" w:type="dxa"/>
            <w:gridSpan w:val="7"/>
          </w:tcPr>
          <w:p w14:paraId="6A5E1F6E" w14:textId="24118196" w:rsidR="00E20C11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78" w:type="dxa"/>
            <w:gridSpan w:val="11"/>
          </w:tcPr>
          <w:p w14:paraId="37E8AF5B" w14:textId="64854044" w:rsidR="00E20C11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portale OHP: https://ohp.pl/nasze-jednostki oraz: https://dokariery.pl/strona-glowna</w:t>
            </w:r>
          </w:p>
        </w:tc>
        <w:tc>
          <w:tcPr>
            <w:tcW w:w="2825" w:type="dxa"/>
            <w:gridSpan w:val="6"/>
          </w:tcPr>
          <w:p w14:paraId="749C1238" w14:textId="6554B86E" w:rsidR="00E20C11" w:rsidRPr="001309DC" w:rsidRDefault="00E20C11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3F7799" w:rsidRPr="001309DC" w14:paraId="51A194FA" w14:textId="77777777" w:rsidTr="76AA89EE">
        <w:trPr>
          <w:trHeight w:val="142"/>
          <w:jc w:val="center"/>
        </w:trPr>
        <w:tc>
          <w:tcPr>
            <w:tcW w:w="2535" w:type="dxa"/>
            <w:gridSpan w:val="5"/>
          </w:tcPr>
          <w:p w14:paraId="0207AD85" w14:textId="5D003637" w:rsidR="003F7799" w:rsidRPr="001309DC" w:rsidRDefault="00E20C11" w:rsidP="005C5A15">
            <w:p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Hufce pracy OHP</w:t>
            </w:r>
          </w:p>
        </w:tc>
        <w:tc>
          <w:tcPr>
            <w:tcW w:w="2200" w:type="dxa"/>
            <w:gridSpan w:val="7"/>
          </w:tcPr>
          <w:p w14:paraId="7B987BFD" w14:textId="6C2CC70D" w:rsidR="003F7799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878" w:type="dxa"/>
            <w:gridSpan w:val="11"/>
          </w:tcPr>
          <w:p w14:paraId="23D98D5A" w14:textId="1C1C7B9D" w:rsidR="003F7799" w:rsidRPr="001309DC" w:rsidRDefault="00E20C11" w:rsidP="00F4702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C11">
              <w:rPr>
                <w:rFonts w:ascii="Times New Roman" w:hAnsi="Times New Roman"/>
                <w:color w:val="000000"/>
                <w:sz w:val="24"/>
                <w:szCs w:val="24"/>
              </w:rPr>
              <w:t>portale OHP: https://ohp.pl/nasze-jednostki oraz: https://dokariery.pl/strona-glowna</w:t>
            </w:r>
          </w:p>
        </w:tc>
        <w:tc>
          <w:tcPr>
            <w:tcW w:w="2825" w:type="dxa"/>
            <w:gridSpan w:val="6"/>
          </w:tcPr>
          <w:p w14:paraId="6C108A96" w14:textId="2FE51E22" w:rsidR="003F7799" w:rsidRPr="001309DC" w:rsidRDefault="003F7799" w:rsidP="001309D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Oddziaływanie analogiczne jak 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przypadku szkół.</w:t>
            </w:r>
          </w:p>
        </w:tc>
      </w:tr>
      <w:tr w:rsidR="004E11AC" w:rsidRPr="001309DC" w14:paraId="60A55748" w14:textId="77777777" w:rsidTr="76AA89EE">
        <w:trPr>
          <w:trHeight w:val="30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5E78F03E" w14:textId="77777777" w:rsidR="004E11AC" w:rsidRPr="001309DC" w:rsidRDefault="004E11AC" w:rsidP="004E11AC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4E11AC" w:rsidRPr="001309DC" w14:paraId="1162799E" w14:textId="77777777" w:rsidTr="76AA89EE">
        <w:trPr>
          <w:trHeight w:val="3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72467AA" w14:textId="5E63F521" w:rsidR="009C7CA7" w:rsidRPr="001309DC" w:rsidRDefault="009C7CA7" w:rsidP="00D4201B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Stosownie do postanowień art. 5 ustawy z dnia 7 lipca 2005 r. o działalności lobbingowej w procesie stanowienia prawa (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U. z 2025 r. poz. 677</w:t>
            </w:r>
            <w:r w:rsidR="00E36AD8">
              <w:rPr>
                <w:rFonts w:ascii="Times New Roman" w:eastAsia="Times New Roman" w:hAnsi="Times New Roman"/>
                <w:sz w:val="24"/>
                <w:szCs w:val="24"/>
              </w:rPr>
              <w:t xml:space="preserve"> oraz z 2026 r. poz. 160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B44A30" w:rsidRPr="001309D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projekt 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udostępniony w Biuletynie Informacji Publicznej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Ministerstwa Cyfryzacji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. Ponadto zgodnie z § 52 ust. 1 uchwały 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r 190 Rady Ministrów z dnia 29 października 2013 r. – Regulamin pracy Rady Ministrów (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>M.P. z 202</w:t>
            </w:r>
            <w:r w:rsidR="00F929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4312D5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r. poz.</w:t>
            </w:r>
            <w:r w:rsidR="002D59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92985">
              <w:rPr>
                <w:rFonts w:ascii="Times New Roman" w:eastAsia="Times New Roman" w:hAnsi="Times New Roman"/>
                <w:sz w:val="24"/>
                <w:szCs w:val="24"/>
              </w:rPr>
              <w:t>404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), projekt </w:t>
            </w:r>
            <w:r w:rsidR="00755039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udostępniony w Biuletynie Informacji Publicznej na stronie podmiotowej Rządowego Centrum Legislacji, w serwisie Rządowy Proces Legislacyjny</w:t>
            </w:r>
            <w:r w:rsidR="00847528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34D6A41" w14:textId="03D0DCEE" w:rsidR="00F43793" w:rsidRPr="001309DC" w:rsidRDefault="00F43793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Projekt </w:t>
            </w:r>
            <w:r w:rsidR="0045666E"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zosta</w:t>
            </w:r>
            <w:r w:rsidR="004C52D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ł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poddany </w:t>
            </w:r>
            <w:r w:rsidR="005C4092"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21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-dniowym konsultacjom publicznym z następującymi podmiotami:</w:t>
            </w:r>
          </w:p>
          <w:p w14:paraId="032152BD" w14:textId="77777777" w:rsidR="00784E63" w:rsidRPr="001309DC" w:rsidRDefault="00784E6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Nauczycielstwa Polskiego;</w:t>
            </w:r>
          </w:p>
          <w:p w14:paraId="306FDF0C" w14:textId="77777777" w:rsidR="00784E63" w:rsidRPr="001309DC" w:rsidRDefault="00784E6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Niezależnym Związkiem Zawodowym „Oświata Polska”;</w:t>
            </w:r>
          </w:p>
          <w:p w14:paraId="4BF1EF1E" w14:textId="22AE26F4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Informatyki i Telekomunikacji;</w:t>
            </w:r>
          </w:p>
          <w:p w14:paraId="1B6F31E3" w14:textId="36E586B8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ą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Gospodarcz</w:t>
            </w:r>
            <w:r w:rsidR="000B304B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Elektroniki i Telekomunikacji;</w:t>
            </w:r>
          </w:p>
          <w:p w14:paraId="13D98FBC" w14:textId="5A2F0E02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Komunikacji Elektronicznej;</w:t>
            </w:r>
          </w:p>
          <w:p w14:paraId="6F2E6B59" w14:textId="7A811F7C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Komunikacji Ethernetowej;</w:t>
            </w:r>
          </w:p>
          <w:p w14:paraId="7FCAF45D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Pracodawców Mediów Elektronicznych Mediakom;</w:t>
            </w:r>
          </w:p>
          <w:p w14:paraId="4CA9854F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Związkiem Telewizji Kablowych w Polsce Izba Gospodarcza;</w:t>
            </w:r>
          </w:p>
          <w:p w14:paraId="62D93981" w14:textId="208FEDFB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Radiodyfuzji Cyfrowej;</w:t>
            </w:r>
          </w:p>
          <w:p w14:paraId="687A7DEF" w14:textId="77777777" w:rsidR="000B304B" w:rsidRPr="001309DC" w:rsidRDefault="000B304B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Krajową Izbą Gospodarczą;</w:t>
            </w:r>
          </w:p>
          <w:p w14:paraId="41B0A6A5" w14:textId="4254F15F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Gospodarki Elektronicznej;</w:t>
            </w:r>
          </w:p>
          <w:p w14:paraId="0E462FB5" w14:textId="20C0E872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Krajow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Izb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Gospodarki Cyfrowej;</w:t>
            </w:r>
          </w:p>
          <w:p w14:paraId="7734A80B" w14:textId="7ECF7191" w:rsidR="00F43793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iem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Pracodawców Branży Internetowej IAB Polska;</w:t>
            </w:r>
          </w:p>
          <w:p w14:paraId="490A1981" w14:textId="39A12283" w:rsidR="000B304B" w:rsidRPr="001309DC" w:rsidRDefault="00F43793" w:rsidP="00D4201B">
            <w:pPr>
              <w:pStyle w:val="Akapitzlist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Związk</w:t>
            </w:r>
            <w:r w:rsidR="002611FC" w:rsidRPr="001309DC">
              <w:rPr>
                <w:rFonts w:ascii="Times New Roman" w:eastAsia="Times New Roman" w:hAnsi="Times New Roman"/>
                <w:sz w:val="24"/>
                <w:szCs w:val="24"/>
              </w:rPr>
              <w:t>iem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Importerów i Producentów Sprzętu Elektrycznego i Elektronicznego Branży RTV i IT – ZIPSEE „Cyfrowa Polska”</w:t>
            </w:r>
            <w:r w:rsidR="000B304B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47002BD" w14:textId="46386C4D" w:rsidR="00F43793" w:rsidRPr="001309DC" w:rsidRDefault="00F43793" w:rsidP="00D4201B">
            <w:pPr>
              <w:pStyle w:val="Akapitzlist"/>
              <w:spacing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14:paraId="747AEBC0" w14:textId="6D2EAC4A" w:rsidR="009D159E" w:rsidRPr="005C5A15" w:rsidRDefault="00F43793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Projekt </w:t>
            </w:r>
            <w:r w:rsidR="0045666E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ustawy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przekazany do zaopiniowania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Prezesowi Urzędu Komunikacji Elektronicznej, 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z </w:t>
            </w:r>
            <w:r w:rsidR="009338FF" w:rsidRPr="005C5A1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-dniow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ym terminem na przedstawienie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opini</w:t>
            </w:r>
            <w:r w:rsidR="000F479C" w:rsidRPr="005C5A15">
              <w:rPr>
                <w:rFonts w:ascii="Times New Roman" w:eastAsia="Times New Roman" w:hAnsi="Times New Roman"/>
                <w:sz w:val="24"/>
                <w:szCs w:val="24"/>
              </w:rPr>
              <w:t>i.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E80BB7" w14:textId="77777777" w:rsidR="00F43793" w:rsidRPr="005C5A15" w:rsidRDefault="00F43793" w:rsidP="00D4201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72B2C6" w14:textId="4D9ACB5D" w:rsidR="00F43793" w:rsidRPr="005C5A15" w:rsidRDefault="00BC65C6" w:rsidP="00D4201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trybie art. 16 ustawy z dnia 23 maja 1991 r. o organizacjach pracodawców (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3227D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U. z 2025 r. poz. 423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projekt ustawy 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przekazany do zaopiniowania, z 30-dniowym terminem przedstawienia opinii,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do następujących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reprezentatywnych organizacji pracodawców: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6CDC09" w14:textId="3E8FDC36" w:rsidR="00F43793" w:rsidRPr="001309DC" w:rsidRDefault="00F43793" w:rsidP="00D4201B">
            <w:pPr>
              <w:pStyle w:val="Akapitzlist"/>
              <w:numPr>
                <w:ilvl w:val="0"/>
                <w:numId w:val="5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Bu</w:t>
            </w:r>
            <w:r w:rsidR="00EC5903" w:rsidRPr="001309DC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iness Centre Club – Związek Pracodawców;</w:t>
            </w:r>
          </w:p>
          <w:p w14:paraId="21B0A2EE" w14:textId="77777777" w:rsidR="00F43793" w:rsidRPr="001309DC" w:rsidRDefault="00F43793" w:rsidP="00D4201B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Pracodawcy Rzeczypospolitej Polskiej;</w:t>
            </w:r>
          </w:p>
          <w:p w14:paraId="10673A1D" w14:textId="1F7F15AD" w:rsidR="00F43793" w:rsidRPr="001309DC" w:rsidRDefault="00F43793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Konfederacj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4CCE" w:rsidRPr="001309DC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Lewiatan</w:t>
            </w:r>
            <w:r w:rsidR="00944CCE" w:rsidRPr="001309DC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7FC39F0" w14:textId="50B77D4D" w:rsidR="00D4201B" w:rsidRPr="001309DC" w:rsidRDefault="00F43793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ek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Przedsiębiorców i Pracodawców</w:t>
            </w:r>
            <w:r w:rsidR="00D4201B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11D216E" w14:textId="77777777" w:rsidR="00D4201B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Związek Rzemiosła Polskiego;</w:t>
            </w:r>
          </w:p>
          <w:p w14:paraId="1BCD8EDC" w14:textId="77777777" w:rsidR="00D4201B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Polskie Towarzystwo Gospodarcze;</w:t>
            </w:r>
          </w:p>
          <w:p w14:paraId="632D201B" w14:textId="7EB44538" w:rsidR="00F43793" w:rsidRPr="001309DC" w:rsidRDefault="00D4201B" w:rsidP="000F479C">
            <w:pPr>
              <w:pStyle w:val="Akapitzlist"/>
              <w:numPr>
                <w:ilvl w:val="0"/>
                <w:numId w:val="5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Federacja Przedsiębiorców Polskich.</w:t>
            </w:r>
          </w:p>
          <w:p w14:paraId="75278D79" w14:textId="77777777" w:rsidR="00F43793" w:rsidRPr="001309DC" w:rsidRDefault="00F43793" w:rsidP="000F479C">
            <w:pPr>
              <w:pStyle w:val="Akapitzlist"/>
              <w:spacing w:line="240" w:lineRule="auto"/>
              <w:ind w:left="316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E8FB37" w14:textId="781DA150" w:rsidR="00F43793" w:rsidRPr="005C5A15" w:rsidRDefault="00BC65C6" w:rsidP="000501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trybie art. 19</w:t>
            </w:r>
            <w:r w:rsidR="00ED4964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>ustawy z dnia 23 maja 1991 r. o związkach zawodowych (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Dz.</w:t>
            </w:r>
            <w:r w:rsidR="003227D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>U. z 202</w:t>
            </w:r>
            <w:r w:rsidR="00F929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7157C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r. poz.</w:t>
            </w:r>
            <w:r w:rsidR="00F92985">
              <w:rPr>
                <w:rFonts w:ascii="Times New Roman" w:eastAsia="Times New Roman" w:hAnsi="Times New Roman"/>
                <w:sz w:val="24"/>
                <w:szCs w:val="24"/>
              </w:rPr>
              <w:t xml:space="preserve"> 549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projekt ustawy 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 przekazany do zaopiniowania, z 30-dniowym terminem na przedstawienie opinii, </w:t>
            </w:r>
            <w:r w:rsidR="00F43793" w:rsidRPr="005C5A15">
              <w:rPr>
                <w:rFonts w:ascii="Times New Roman" w:eastAsia="Times New Roman" w:hAnsi="Times New Roman"/>
                <w:sz w:val="24"/>
                <w:szCs w:val="24"/>
              </w:rPr>
              <w:t xml:space="preserve">do następujących reprezentatywnych organizacji związkowych: </w:t>
            </w:r>
          </w:p>
          <w:p w14:paraId="7974EF36" w14:textId="3F13441A" w:rsidR="009338FF" w:rsidRPr="001309DC" w:rsidRDefault="000B0801" w:rsidP="0005011C">
            <w:pPr>
              <w:pStyle w:val="Akapitzlist"/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Niezależn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Samorządn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Związ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ek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Zawodow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338FF" w:rsidRPr="001309DC">
              <w:rPr>
                <w:rFonts w:ascii="Times New Roman" w:eastAsia="Times New Roman" w:hAnsi="Times New Roman"/>
                <w:sz w:val="24"/>
                <w:szCs w:val="24"/>
              </w:rPr>
              <w:t>„Solidarność”</w:t>
            </w:r>
            <w:r w:rsidR="002F5AB1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09E102" w14:textId="6FA6D807" w:rsidR="009338FF" w:rsidRPr="001309DC" w:rsidRDefault="009338FF" w:rsidP="0005011C">
            <w:pPr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Ogólnopolski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Porozumien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ie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 xml:space="preserve"> Związków Zawodowych</w:t>
            </w:r>
            <w:r w:rsidR="002F5AB1" w:rsidRPr="001309D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409BCE8" w14:textId="40B8849B" w:rsidR="009338FF" w:rsidRPr="001309DC" w:rsidRDefault="009338FF" w:rsidP="0005011C">
            <w:pPr>
              <w:numPr>
                <w:ilvl w:val="0"/>
                <w:numId w:val="54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</w:rPr>
              <w:t>Forum Związków Zawodowych</w:t>
            </w:r>
            <w:r w:rsidR="000F479C" w:rsidRPr="001309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ADA05C1" w14:textId="51B54313" w:rsidR="001F63F2" w:rsidRPr="001309DC" w:rsidRDefault="001F63F2" w:rsidP="0005011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665EAB" w14:textId="39A9634D" w:rsidR="009948D4" w:rsidRPr="005C5A15" w:rsidRDefault="00BC65C6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hAnsi="Times New Roman"/>
                <w:sz w:val="24"/>
                <w:szCs w:val="24"/>
              </w:rPr>
              <w:t>W</w:t>
            </w:r>
            <w:r w:rsidR="001F63F2" w:rsidRPr="005C5A15">
              <w:rPr>
                <w:rFonts w:ascii="Times New Roman" w:hAnsi="Times New Roman"/>
                <w:sz w:val="24"/>
                <w:szCs w:val="24"/>
              </w:rPr>
              <w:t xml:space="preserve"> trybie art. 5 ustawy z dnia 24 lipca 2015 r. o</w:t>
            </w:r>
            <w:r w:rsidR="001F63F2" w:rsidRPr="005C5A15">
              <w:rPr>
                <w:rFonts w:ascii="Times New Roman" w:eastAsiaTheme="minorHAnsi" w:hAnsi="Times New Roman"/>
                <w:sz w:val="24"/>
                <w:szCs w:val="24"/>
              </w:rPr>
              <w:t> Radzie Dialogu Społecznego i innych instytucjach dialogu społecznego</w:t>
            </w:r>
            <w:r w:rsidR="001F63F2" w:rsidRPr="005C5A15">
              <w:rPr>
                <w:rFonts w:ascii="Times New Roman" w:hAnsi="Times New Roman"/>
                <w:sz w:val="24"/>
                <w:szCs w:val="24"/>
              </w:rPr>
              <w:t xml:space="preserve"> (Dz. U. z 2018 r. poz. 2232, z późn. zm.)</w:t>
            </w:r>
            <w:r w:rsidR="0045666E" w:rsidRPr="005C5A15">
              <w:rPr>
                <w:rFonts w:ascii="Times New Roman" w:hAnsi="Times New Roman"/>
                <w:sz w:val="24"/>
                <w:szCs w:val="24"/>
              </w:rPr>
              <w:t>,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 projekt ustawy zosta</w:t>
            </w:r>
            <w:r w:rsidR="004C52D6" w:rsidRPr="005C5A15">
              <w:rPr>
                <w:rFonts w:ascii="Times New Roman" w:eastAsiaTheme="minorHAnsi" w:hAnsi="Times New Roman"/>
                <w:sz w:val="24"/>
                <w:szCs w:val="24"/>
              </w:rPr>
              <w:t>ł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 przekazany do zaopiniowania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Radzie Dialogu Społecznego</w:t>
            </w:r>
            <w:r w:rsidRPr="005C5A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</w:rPr>
              <w:t>z 30-dniowym terminem przedstawienia opinii</w:t>
            </w:r>
            <w:r w:rsidR="001F63F2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75C0D2C6" w14:textId="1E97D9C9" w:rsidR="009D159E" w:rsidRPr="005C5A15" w:rsidRDefault="003227DC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trybie art. 17 ustawy z dnia 17 lutego 2005 r. o informatyzacji podmiotów realizujących zadania publiczne (Dz. U. z 202</w:t>
            </w:r>
            <w:r w:rsidR="0081033A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 poz. </w:t>
            </w:r>
            <w:r w:rsidR="0081033A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1703</w:t>
            </w:r>
            <w:r w:rsidR="00E36AD8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z 2026 r. poz. 160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projekt </w:t>
            </w:r>
            <w:r w:rsidR="00EA5A6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ustawy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zost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przekazany do zaopiniowania Radzie do Spraw Cyfryzacji, z 30-dniowym terminem na przedstawienie opinii.</w:t>
            </w:r>
          </w:p>
          <w:p w14:paraId="017F9E89" w14:textId="002F97EB" w:rsidR="00A00719" w:rsidRPr="005C5A15" w:rsidRDefault="00A00719" w:rsidP="00F52CCD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trybie art. 41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ust. 2 ustawy z dnia 24 kwietnia 2003 r. o działalności pożytku publicznego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o wolontariacie (Dz. U. z 2025 r. poz. 1338), projekt ustawy został przekazany do zaopiniowania Radzie Dialogu z Młodym Pokoleniem, z 30-dniowym terminem na przedstawienie opinii.</w:t>
            </w:r>
          </w:p>
          <w:p w14:paraId="603AD4D5" w14:textId="0C84F977" w:rsidR="00BC65C6" w:rsidRPr="005C5A15" w:rsidRDefault="009D159E" w:rsidP="0005011C">
            <w:pPr>
              <w:pStyle w:val="Akapitzlist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</w:t>
            </w:r>
            <w:r w:rsidR="00EA5A6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zosta</w:t>
            </w:r>
            <w:r w:rsidR="004C52D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</w:t>
            </w:r>
            <w:r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przekazany do zaopiniowania przez Komisję Wspólną Rządu i Samorządu Terytorialnego</w:t>
            </w:r>
            <w:r w:rsidR="00BC65C6" w:rsidRPr="005C5A1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C65C6" w:rsidRPr="005C5A15">
              <w:rPr>
                <w:rFonts w:ascii="Times New Roman" w:hAnsi="Times New Roman"/>
                <w:sz w:val="24"/>
                <w:szCs w:val="24"/>
              </w:rPr>
              <w:t xml:space="preserve"> gdyż dotyczy problematyki samorządu terytorialnego, w tym także kwestii określających relacje pomiędzy samorządem terytorialnym, a innymi organami administracji publicznej.</w:t>
            </w:r>
          </w:p>
          <w:p w14:paraId="4DAE690F" w14:textId="46ECB540" w:rsidR="009D159E" w:rsidRPr="001309DC" w:rsidRDefault="00BC65C6" w:rsidP="0005011C">
            <w:pPr>
              <w:pStyle w:val="Akapitzlist"/>
              <w:shd w:val="clear" w:color="auto" w:fill="FFFFFF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</w:t>
            </w:r>
            <w:r w:rsidR="00EA5A66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wymaga zaopiniowania przez Radę Działalności Pożytku Publicznego, o której mowa w ustawie z dnia 24 kwietnia 2003 r. o działalności pożytku publicznego i o wolontariacie, gdyż nie dotyczy funkcjonowania organizacji pozarządowych oraz działalności pożytku publicznego oraz wolontariatu.</w:t>
            </w:r>
          </w:p>
          <w:p w14:paraId="76EA30E3" w14:textId="6DEF2EA9" w:rsidR="006C6CA6" w:rsidRPr="001309DC" w:rsidRDefault="006C6CA6" w:rsidP="00F52CCD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Wyniki konsultacji </w:t>
            </w:r>
            <w:r w:rsidR="00830688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publicznych 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opiniowania zosta</w:t>
            </w:r>
            <w:r w:rsidR="00864100"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ną</w:t>
            </w:r>
            <w:r w:rsidRPr="001309D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opisane w raporcie z konsultacji.</w:t>
            </w:r>
          </w:p>
        </w:tc>
      </w:tr>
      <w:tr w:rsidR="00B44C50" w:rsidRPr="001309DC" w14:paraId="4B57B8AF" w14:textId="77777777" w:rsidTr="76AA89EE">
        <w:trPr>
          <w:trHeight w:val="363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0120332B" w14:textId="77777777" w:rsidR="00B44C50" w:rsidRPr="001309DC" w:rsidRDefault="00B44C50" w:rsidP="00C5145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Wpływ na sektor finansów publicznych</w:t>
            </w:r>
          </w:p>
        </w:tc>
      </w:tr>
      <w:tr w:rsidR="00B44C50" w:rsidRPr="001309DC" w14:paraId="126E3D31" w14:textId="77777777" w:rsidTr="76AA89EE">
        <w:trPr>
          <w:trHeight w:val="142"/>
          <w:jc w:val="center"/>
        </w:trPr>
        <w:tc>
          <w:tcPr>
            <w:tcW w:w="1717" w:type="dxa"/>
            <w:gridSpan w:val="2"/>
            <w:vMerge w:val="restart"/>
            <w:shd w:val="clear" w:color="auto" w:fill="FFFFFF" w:themeFill="background1"/>
          </w:tcPr>
          <w:p w14:paraId="7F54F706" w14:textId="77777777" w:rsidR="00B44C50" w:rsidRPr="001309DC" w:rsidRDefault="00B44C50" w:rsidP="00C51456">
            <w:pPr>
              <w:spacing w:before="40" w:after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(ceny stałe</w:t>
            </w:r>
          </w:p>
          <w:p w14:paraId="7995AA98" w14:textId="77777777" w:rsidR="00B44C50" w:rsidRPr="001309DC" w:rsidRDefault="00B44C50" w:rsidP="00C51456">
            <w:pPr>
              <w:spacing w:before="40" w:after="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z … r.)</w:t>
            </w:r>
          </w:p>
        </w:tc>
        <w:tc>
          <w:tcPr>
            <w:tcW w:w="8721" w:type="dxa"/>
            <w:gridSpan w:val="27"/>
            <w:shd w:val="clear" w:color="auto" w:fill="FFFFFF" w:themeFill="background1"/>
          </w:tcPr>
          <w:p w14:paraId="7DBE8E83" w14:textId="77777777" w:rsidR="00B44C50" w:rsidRPr="001309DC" w:rsidRDefault="00B44C50" w:rsidP="00C51456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B44C50" w:rsidRPr="001309DC" w14:paraId="2865070A" w14:textId="77777777" w:rsidTr="76AA89EE">
        <w:trPr>
          <w:trHeight w:val="142"/>
          <w:jc w:val="center"/>
        </w:trPr>
        <w:tc>
          <w:tcPr>
            <w:tcW w:w="1717" w:type="dxa"/>
            <w:gridSpan w:val="2"/>
            <w:vMerge/>
          </w:tcPr>
          <w:p w14:paraId="2A2E2F2F" w14:textId="77777777" w:rsidR="00B44C50" w:rsidRPr="001309DC" w:rsidRDefault="00B44C50" w:rsidP="00C51456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8D4E242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29F8E30E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C2B6B3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8BC5892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2C9EB919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02FC8AD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4327176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3E3782D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2A2B303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6BA7C8A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B489D1E" w14:textId="77777777" w:rsidR="00B44C50" w:rsidRPr="001309DC" w:rsidRDefault="00B44C50" w:rsidP="00C514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auto" w:fill="FFFFFF" w:themeFill="background1"/>
          </w:tcPr>
          <w:p w14:paraId="4BC0395A" w14:textId="77777777" w:rsidR="00B44C50" w:rsidRPr="001309DC" w:rsidRDefault="00B44C50" w:rsidP="00C51456">
            <w:pPr>
              <w:spacing w:before="40" w:after="40" w:line="240" w:lineRule="auto"/>
              <w:ind w:left="-109" w:right="-1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Łącznie (0–10)</w:t>
            </w:r>
          </w:p>
        </w:tc>
      </w:tr>
      <w:tr w:rsidR="00665E21" w:rsidRPr="001309DC" w14:paraId="09169CB8" w14:textId="77777777" w:rsidTr="76AA89EE">
        <w:trPr>
          <w:trHeight w:val="308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6CBE033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Dochody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664EF01" w14:textId="76B854BD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3931B11C" w14:textId="1897C8C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2645E68" w14:textId="62DD85D1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F869074" w14:textId="730BCAF4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08606F5C" w14:textId="1334B9C6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69CDF41" w14:textId="4DC5B23C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B2DC1B6" w14:textId="02DD792D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56D621F" w14:textId="5BB1B00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05A149A" w14:textId="157E463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AD553E0" w14:textId="795488AD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FFA2FF" w14:textId="5F3F5279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E1CFCB0" w14:textId="481D702F" w:rsidR="00665E21" w:rsidRPr="001309DC" w:rsidRDefault="00665E21" w:rsidP="00665E21">
            <w:pPr>
              <w:spacing w:line="240" w:lineRule="auto"/>
              <w:ind w:lef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19CD6FBA" w14:textId="77777777" w:rsidTr="76AA89EE">
        <w:trPr>
          <w:trHeight w:val="32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386FBD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C78150A" w14:textId="4DB021F8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15CBE160" w14:textId="0D77D964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4991D0F4" w14:textId="05886441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A09F981" w14:textId="6B9A640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BB5B409" w14:textId="15EDB59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4C8A5F2" w14:textId="1053680B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0930551" w14:textId="10DAED96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33FA414" w14:textId="5ED231C8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B86812F" w14:textId="08C9F1E0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216D3E6" w14:textId="276C9467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0CBE0B7" w14:textId="2BDDA685" w:rsidR="00665E21" w:rsidRPr="001309DC" w:rsidRDefault="00665E21" w:rsidP="00665E21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878B53C" w14:textId="3EC5B64B" w:rsidR="00665E21" w:rsidRPr="001309DC" w:rsidRDefault="00665E21" w:rsidP="00665E21">
            <w:pPr>
              <w:tabs>
                <w:tab w:val="left" w:pos="680"/>
              </w:tabs>
              <w:spacing w:line="240" w:lineRule="auto"/>
              <w:ind w:left="113" w:right="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6DF31D1B" w14:textId="77777777" w:rsidTr="76AA89EE">
        <w:trPr>
          <w:trHeight w:val="344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7943FD7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4060E38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6006802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746F092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2BFAEE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EA4DC1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9CE70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F56DA1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31FA990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CE4DA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685056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82C700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1BD24D7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65E21" w:rsidRPr="001309DC" w14:paraId="657554A7" w14:textId="77777777" w:rsidTr="76AA89EE">
        <w:trPr>
          <w:trHeight w:val="344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2B0823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687FE638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0DAFF0AD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31B0D9C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89F0187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370A8344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95A9EC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489C7F5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04C8B40F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2B063D1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3F1FD8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597EB26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4024F91B" w14:textId="77777777" w:rsidR="00665E21" w:rsidRPr="001309DC" w:rsidRDefault="00665E21" w:rsidP="00665E2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0ADC6D68" w14:textId="77777777" w:rsidTr="76AA89EE">
        <w:trPr>
          <w:trHeight w:val="33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613D6E5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Wydatki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0CBE2FF6" w14:textId="45881F51" w:rsidR="00043C44" w:rsidRPr="001309DC" w:rsidRDefault="00043C44" w:rsidP="00043C4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742A09E" w14:textId="12265014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5218CCB3" w14:textId="571439A5" w:rsidR="00043C44" w:rsidRPr="001309DC" w:rsidRDefault="009346D9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C71E03F" w14:textId="7E147D31" w:rsidR="00043C44" w:rsidRPr="001309DC" w:rsidRDefault="00043C44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57B495F8" w14:textId="41826BFB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EA3711" w14:textId="43755F17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54F5733" w14:textId="607B692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0FD11912" w14:textId="797E393C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3BB7D56" w14:textId="7A66AFD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AC4361E" w14:textId="50751E2E" w:rsidR="00043C44" w:rsidRPr="001309DC" w:rsidRDefault="00043C44" w:rsidP="00043C44">
            <w:pPr>
              <w:spacing w:line="240" w:lineRule="auto"/>
              <w:ind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45CE9A0" w14:textId="08CDDD36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3B7B78F7" w14:textId="5CAC0AA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4F233413" w14:textId="77777777" w:rsidTr="76AA89EE">
        <w:trPr>
          <w:trHeight w:val="33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55DE1C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3DAC906D" w14:textId="1B60D64C" w:rsidR="00043C44" w:rsidRPr="001309DC" w:rsidRDefault="00043C44" w:rsidP="00043C4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202D715A" w14:textId="773DBF3B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0A6255AD" w14:textId="4F217EAF" w:rsidR="00043C44" w:rsidRPr="001309DC" w:rsidRDefault="009346D9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97D885D" w14:textId="2DEA1709" w:rsidR="00043C44" w:rsidRPr="001309DC" w:rsidRDefault="00043C44" w:rsidP="00043C44">
            <w:pPr>
              <w:spacing w:line="240" w:lineRule="auto"/>
              <w:ind w:right="-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5FE552AA" w14:textId="5305ED7E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BA13FC3" w14:textId="2574E686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180D47" w14:textId="4D2F2C5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9C25D4B" w14:textId="25C41E0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1081F3DF" w14:textId="6FC1D7E0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4755B85" w14:textId="7A838F9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544EF49" w14:textId="10BC5DCD" w:rsidR="00043C44" w:rsidRPr="001309DC" w:rsidRDefault="00D6277A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409C818F" w14:textId="25674104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72706E52" w14:textId="77777777" w:rsidTr="76AA89EE">
        <w:trPr>
          <w:trHeight w:val="35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149190A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F67F32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41E8ACE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63E3CE4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6CB2ACE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1DA0DF7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AA545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04735618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7BA962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2C205D2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0A226A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7B11F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00FFDA9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44" w:rsidRPr="001309DC" w14:paraId="169AE40D" w14:textId="77777777" w:rsidTr="76AA89EE">
        <w:trPr>
          <w:trHeight w:val="351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5E453FD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1AF10D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5425097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2BE9683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44F9FC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DB09B88" w14:textId="350FEF4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B4BAA3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0CECD7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68ADFA64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6BC131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1DF601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1767D1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29AAC02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3C44" w:rsidRPr="001309DC" w14:paraId="1EF2CDA3" w14:textId="77777777" w:rsidTr="76AA89EE">
        <w:trPr>
          <w:trHeight w:val="36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4F2B839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Saldo ogółem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53631808" w14:textId="45E4959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1B9DDA41" w14:textId="6D4C956E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1CA9FF2" w14:textId="0535EB2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566C076" w14:textId="004D73C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71F23586" w14:textId="008A1F11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3FC3A88" w14:textId="4DD68CF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E5E6021" w14:textId="65330ECE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59A9B0A" w14:textId="0FCA544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473AD2A8" w14:textId="48CF0D62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6B052F8" w14:textId="4733DCFA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56BC910" w14:textId="3AEBC07F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330D43E7" w14:textId="01448D60" w:rsidR="00043C44" w:rsidRPr="001309DC" w:rsidRDefault="00043C44" w:rsidP="00043C44">
            <w:pPr>
              <w:spacing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405C0749" w14:textId="77777777" w:rsidTr="76AA89EE">
        <w:trPr>
          <w:trHeight w:val="360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63C79C1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7BBBE8D5" w14:textId="1787F8C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2E02258" w14:textId="5660DC10" w:rsidR="00043C44" w:rsidRPr="001309DC" w:rsidRDefault="00043C44" w:rsidP="00043C44">
            <w:pPr>
              <w:spacing w:line="240" w:lineRule="auto"/>
              <w:ind w:right="-1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-136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1B928AA0" w14:textId="3DF0490F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346D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FDCCAF4" w14:textId="2CF42706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3462E0A3" w14:textId="462F8C3B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0509991" w14:textId="29239930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202D09" w14:textId="1FFB597D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06C988C" w14:textId="3609B57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1250A5F" w14:textId="2E14BC24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50BE4B6" w14:textId="6623D609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-300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451D9E2" w14:textId="55B8938A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15" w:type="dxa"/>
            <w:shd w:val="clear" w:color="auto" w:fill="FFFFFF" w:themeFill="background1"/>
          </w:tcPr>
          <w:p w14:paraId="73207CAE" w14:textId="2500EB74" w:rsidR="00043C44" w:rsidRPr="001309DC" w:rsidRDefault="00043C44" w:rsidP="00043C44">
            <w:pPr>
              <w:spacing w:line="240" w:lineRule="auto"/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-2 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716</w:t>
            </w:r>
          </w:p>
        </w:tc>
      </w:tr>
      <w:tr w:rsidR="00043C44" w:rsidRPr="001309DC" w14:paraId="6C1CDEF1" w14:textId="77777777" w:rsidTr="76AA89EE">
        <w:trPr>
          <w:trHeight w:val="357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59060E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2EE2282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352C3145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7B6B059F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3C391A2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10B6CAD9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4F9095E3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8D30200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5200A05A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7D147B54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15CC2F2B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53A3C97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363360F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2DD39C06" w14:textId="77777777" w:rsidTr="76AA89EE">
        <w:trPr>
          <w:trHeight w:val="357"/>
          <w:jc w:val="center"/>
        </w:trPr>
        <w:tc>
          <w:tcPr>
            <w:tcW w:w="1717" w:type="dxa"/>
            <w:gridSpan w:val="2"/>
            <w:shd w:val="clear" w:color="auto" w:fill="FFFFFF" w:themeFill="background1"/>
            <w:vAlign w:val="center"/>
          </w:tcPr>
          <w:p w14:paraId="2AA1A84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79" w:type="dxa"/>
            <w:gridSpan w:val="2"/>
            <w:shd w:val="clear" w:color="auto" w:fill="FFFFFF" w:themeFill="background1"/>
          </w:tcPr>
          <w:p w14:paraId="16C0A44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gridSpan w:val="2"/>
            <w:shd w:val="clear" w:color="auto" w:fill="FFFFFF" w:themeFill="background1"/>
          </w:tcPr>
          <w:p w14:paraId="7769EE88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  <w:shd w:val="clear" w:color="auto" w:fill="FFFFFF" w:themeFill="background1"/>
          </w:tcPr>
          <w:p w14:paraId="35F0DBF5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43305EA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4"/>
            <w:shd w:val="clear" w:color="auto" w:fill="FFFFFF" w:themeFill="background1"/>
          </w:tcPr>
          <w:p w14:paraId="6476DFE3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3F77E74C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75F134A9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417E205F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3"/>
            <w:shd w:val="clear" w:color="auto" w:fill="FFFFFF" w:themeFill="background1"/>
          </w:tcPr>
          <w:p w14:paraId="1EACA26C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5FDFCEC4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3" w:type="dxa"/>
            <w:gridSpan w:val="2"/>
            <w:shd w:val="clear" w:color="auto" w:fill="FFFFFF" w:themeFill="background1"/>
          </w:tcPr>
          <w:p w14:paraId="280C24A0" w14:textId="77777777" w:rsidR="00043C44" w:rsidRPr="001309DC" w:rsidRDefault="00043C44" w:rsidP="00043C44">
            <w:pPr>
              <w:spacing w:line="240" w:lineRule="auto"/>
              <w:ind w:left="-83" w:right="-1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5" w:type="dxa"/>
            <w:shd w:val="clear" w:color="auto" w:fill="FFFFFF" w:themeFill="background1"/>
          </w:tcPr>
          <w:p w14:paraId="74E5C56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72894DF2" w14:textId="77777777" w:rsidTr="76AA89EE">
        <w:trPr>
          <w:trHeight w:val="348"/>
          <w:jc w:val="center"/>
        </w:trPr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2A15594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0BAC7821" w14:textId="492B4D3C" w:rsidR="00043C44" w:rsidRPr="001309DC" w:rsidRDefault="00685207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Część 27 budżetu państwa</w:t>
            </w:r>
          </w:p>
        </w:tc>
      </w:tr>
      <w:tr w:rsidR="009B1059" w:rsidRPr="001309DC" w14:paraId="44D35B0D" w14:textId="77777777" w:rsidTr="00791BA1">
        <w:trPr>
          <w:trHeight w:val="562"/>
          <w:jc w:val="center"/>
        </w:trPr>
        <w:tc>
          <w:tcPr>
            <w:tcW w:w="2128" w:type="dxa"/>
            <w:gridSpan w:val="3"/>
            <w:shd w:val="clear" w:color="auto" w:fill="FFFFFF" w:themeFill="background1"/>
          </w:tcPr>
          <w:p w14:paraId="0FB0EB49" w14:textId="77777777" w:rsidR="009B1059" w:rsidRPr="001309DC" w:rsidRDefault="009B1059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8310" w:type="dxa"/>
            <w:gridSpan w:val="26"/>
            <w:shd w:val="clear" w:color="auto" w:fill="FFFFFF" w:themeFill="background1"/>
          </w:tcPr>
          <w:p w14:paraId="0CF0059C" w14:textId="5EF6CFF6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Punktem wyjścia do wyjaśnienia kosztów wykonywania ustawy o OSE jest prezentacja łącznych dotychczasowych kosztów funkcjonowania OSE poniesionych od </w:t>
            </w:r>
            <w:r w:rsidR="00B44A3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roku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wejścia w życie tej ustawy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tj. od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2017 r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do 2025 r. W latach 2017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3835F2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część kosztów uruchomienia OSE została poniesiona w ramach projektów wdrożeniowych OSE, finansowanych ze środków PO PC, natomiast w latach 2018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2025 wszystkie bieżące koszty funkcjonowania OSE oraz część kosztów uruchomienia były i są ponoszone ze środków dotacji celowej udzielanej operatorowi OSE przez ministra właściwego do spraw informatyzacji. Łącznie w tym okresie na OSE zosta</w:t>
            </w:r>
            <w:r w:rsid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ły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wydatkowane środki w wysokości </w:t>
            </w:r>
            <w:r w:rsidR="001150D0" w:rsidRP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1 618 362 583,56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50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Poniższa tabela prezentuje wydatki z poszczególnych źródeł w poszczególnych latach:</w:t>
            </w:r>
          </w:p>
          <w:p w14:paraId="6C755001" w14:textId="77777777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Tabela-Siatka"/>
              <w:tblW w:w="8084" w:type="dxa"/>
              <w:tblLook w:val="04A0" w:firstRow="1" w:lastRow="0" w:firstColumn="1" w:lastColumn="0" w:noHBand="0" w:noVBand="1"/>
            </w:tblPr>
            <w:tblGrid>
              <w:gridCol w:w="734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  <w:gridCol w:w="735"/>
            </w:tblGrid>
            <w:tr w:rsidR="00EA045E" w:rsidRPr="001309DC" w14:paraId="76184D1F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7E8E9F45" w14:textId="628D9DF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Źródło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0810716" w14:textId="6DF1446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0F9BBEC" w14:textId="5BDAD89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AB19E8" w14:textId="75B3444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A0DDCED" w14:textId="794E956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00E175D9" w14:textId="56C69351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72C226" w14:textId="1B0E70D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18F0E1D" w14:textId="140C40A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081D3978" w14:textId="3518F7E6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325648" w14:textId="19EAF2FF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A24F001" w14:textId="6578DC34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</w:p>
              </w:tc>
            </w:tr>
            <w:tr w:rsidR="00EA045E" w:rsidRPr="001309DC" w14:paraId="5419F690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1D539AB8" w14:textId="68A4A03D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PO PC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B635372" w14:textId="124918C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1 136 363,10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C8504A6" w14:textId="6F60079A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8 438 716,93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6100BAD" w14:textId="5DEADDB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125 981 815,93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09CCE9B" w14:textId="2C44875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112 816 414,37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AAED338" w14:textId="783E8B3A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175 186 754,50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5FE9ED0C" w14:textId="546B7A7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75 392 015,23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C37E02B" w14:textId="3A4694D4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74 181 462,33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69FA04B" w14:textId="40C8622E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4D552CF" w14:textId="626B5E6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6D6A8E3" w14:textId="4C1120CF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573 133 542,39</w:t>
                  </w:r>
                </w:p>
              </w:tc>
            </w:tr>
            <w:tr w:rsidR="00EA045E" w:rsidRPr="001309DC" w14:paraId="7A4599A6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0314D3F3" w14:textId="4824700D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Dotacja celowa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5113B864" w14:textId="38EB8E2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-  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C95A71F" w14:textId="3FB9F398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10 475 791,00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4395C75" w14:textId="5BC2DE3E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45 382 220,96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9CA248" w14:textId="5DD4CA10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172 592 516,07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F0AA3AF" w14:textId="4758A3F9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131 514 752,33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6365068" w14:textId="2E97715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146 253 216,16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4CB78BD5" w14:textId="02E3969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137 751 235,46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87C535B" w14:textId="7015922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t>178 776 262,66 zł, w tym 14 776 262,66 zł z Funduszu Szerokopasmo</w:t>
                  </w:r>
                  <w:r w:rsidRPr="001309D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4968FE5" w14:textId="724A2C12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222 483 046,53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045E" w:rsidRPr="001309DC">
                    <w:rPr>
                      <w:rFonts w:ascii="Times New Roman" w:hAnsi="Times New Roman"/>
                      <w:sz w:val="24"/>
                      <w:szCs w:val="24"/>
                    </w:rPr>
                    <w:t xml:space="preserve">zł, w tym </w:t>
                  </w:r>
                  <w:r w:rsidRPr="001150D0">
                    <w:rPr>
                      <w:rFonts w:ascii="Times New Roman" w:hAnsi="Times New Roman"/>
                      <w:sz w:val="24"/>
                      <w:szCs w:val="24"/>
                    </w:rPr>
                    <w:t>58 483 046,53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A045E" w:rsidRPr="001309DC">
                    <w:rPr>
                      <w:rFonts w:ascii="Times New Roman" w:hAnsi="Times New Roman"/>
                      <w:sz w:val="24"/>
                      <w:szCs w:val="24"/>
                    </w:rPr>
                    <w:t>zł z Funduszu Szerokopasmo</w:t>
                  </w:r>
                  <w:r w:rsidR="00EA045E" w:rsidRPr="001309D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6F1B02C1" w14:textId="5B530866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1 045 229 041,17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73 259 309,19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owego</w:t>
                  </w:r>
                </w:p>
              </w:tc>
            </w:tr>
            <w:tr w:rsidR="00EA045E" w:rsidRPr="001309DC" w14:paraId="37877BFC" w14:textId="77777777" w:rsidTr="009B1059">
              <w:trPr>
                <w:trHeight w:val="288"/>
              </w:trPr>
              <w:tc>
                <w:tcPr>
                  <w:tcW w:w="734" w:type="dxa"/>
                  <w:noWrap/>
                  <w:vAlign w:val="center"/>
                  <w:hideMark/>
                </w:tcPr>
                <w:p w14:paraId="5B24791A" w14:textId="218E1E8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SUMA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146C7C5" w14:textId="6435500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1 136 363,10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36A8491" w14:textId="6C4CA8A2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18 914 507,93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86C8AC4" w14:textId="53EE4B9B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171 364 036,89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7143DBF" w14:textId="77D763C7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285 408 930,44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E91993B" w14:textId="1D1BCDC5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306 701 506,83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2B06C43" w14:textId="4EB1B770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221 645 231,39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35361BAF" w14:textId="12D7185C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211 932 697,79 zł 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77D0DE24" w14:textId="60CE3EA3" w:rsidR="00EA045E" w:rsidRPr="001309DC" w:rsidRDefault="00EA045E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178 776 262,66 zł, w tym 14 776 262,66 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22E6F58E" w14:textId="4FEA8055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222 483 046,53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58 483 046,53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Szerokopasmowego</w:t>
                  </w:r>
                </w:p>
              </w:tc>
              <w:tc>
                <w:tcPr>
                  <w:tcW w:w="735" w:type="dxa"/>
                  <w:noWrap/>
                  <w:vAlign w:val="center"/>
                  <w:hideMark/>
                </w:tcPr>
                <w:p w14:paraId="11670069" w14:textId="751DB599" w:rsidR="00EA045E" w:rsidRPr="001309DC" w:rsidRDefault="001150D0" w:rsidP="00EA045E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1 618 362 583,56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zł, w tym </w:t>
                  </w:r>
                  <w:r w:rsidRPr="001150D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73 259 309,19</w:t>
                  </w:r>
                  <w:r w:rsidR="00EA045E" w:rsidRPr="00130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zł z Funduszu Szerokopasmowego</w:t>
                  </w:r>
                </w:p>
              </w:tc>
            </w:tr>
          </w:tbl>
          <w:p w14:paraId="70053255" w14:textId="77777777" w:rsidR="009B1059" w:rsidRPr="001309DC" w:rsidRDefault="009B1059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5BE759" w14:textId="31435419" w:rsidR="00340923" w:rsidRPr="001309DC" w:rsidRDefault="00340923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funkcjonowania OSE w latach 202</w:t>
            </w:r>
            <w:r w:rsidR="00816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E235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oszacowano przy następujących założeniach:</w:t>
            </w:r>
          </w:p>
          <w:p w14:paraId="5174DDD1" w14:textId="7F9121ED" w:rsidR="00340923" w:rsidRPr="001309DC" w:rsidRDefault="00340923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 okresach 5-letnich urządzenia i systemy w sieci szkieletowej OSE oraz urządzenia dostarczone do szkół, a niezbędne do korzystania z usług OSE, tracą gwarancyjne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serwisowe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wsparcie producenckie i muszą podlegać wymianie na nowe pod rygorem 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narażenia na skompromitowanie w przypadku wystąpienia podatności, których producent już nie wspiera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co jest standardową okolicznością </w:t>
            </w:r>
            <w:r w:rsidR="00402AD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 rynku ICT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EDBF9E" w14:textId="58C584B7" w:rsidR="00402ADA" w:rsidRPr="001309DC" w:rsidRDefault="00402ADA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szacunki dotyczące niezbędnych zakupów inwestycyjnych oparto na wiedzy eksperckiej operatora OSE wynikającej z kilkuset przeprowadzonych postępowań zakupowych nie tylko w obszarze budowy i utrzymania sieci OSE, ale także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innych obszarów funkcjonowania NASK-PIB;</w:t>
            </w:r>
          </w:p>
          <w:p w14:paraId="26247F70" w14:textId="77777777" w:rsidR="00402ADA" w:rsidRPr="001309DC" w:rsidRDefault="00402ADA" w:rsidP="00583E0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jako punkt odniesienia dla oszacowania pozostałych kosztów funkcjonowania OSE przyjęto dotychczas ponoszone odpowiednie koszty oraz charakter, przyczyny i tempo ich wzrostów w ostatnich latach.</w:t>
            </w:r>
          </w:p>
          <w:p w14:paraId="7DE517A6" w14:textId="23C26C2E" w:rsidR="00402ADA" w:rsidRPr="001309DC" w:rsidRDefault="00402ADA" w:rsidP="00402AD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Dla oceny skutku dla budżetu państwa przyjęto, że 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w kolejnych latach zasady działania Funduszu Szerokopasmowego zostaną znowelizowane w kierunku umożliwiającym jego większe wykorzystanie na cele związane z zapewnieniem powszechnego dostępu do szybkiego </w:t>
            </w:r>
            <w:r w:rsidR="00BC65C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Internetu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z jednoczesnym zaprzestaniem wspierania OSE oraz Funduszu Cyberbezpieczeństwa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o którym mowa w ustawie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dnia 2 grudnia 2021 r. o szczególnych zasadach wynagradzania osób realizujących zadania z zakresu cyberbezpieczeństwa (Dz. U. z 2024 r. poz. 1662</w:t>
            </w:r>
            <w:r w:rsidR="00F929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 2025 r. poz. 1017</w:t>
            </w:r>
            <w:r w:rsidR="00F929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oraz z 2026 r. poz. 252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F0B6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9842CD7" w14:textId="77777777" w:rsidR="004F0B6A" w:rsidRPr="001309DC" w:rsidRDefault="004F0B6A" w:rsidP="00402AD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F93785" w14:textId="537EDDB9" w:rsidR="00685207" w:rsidRPr="001309DC" w:rsidRDefault="00685207" w:rsidP="0068520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Katalog wydatków ponoszonych na funkcjonowanie OSE określa art. 11 ustawy o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OSE. W praktyce dotychczas oraz w kolejnych latach w ramach OSE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są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ponoszone i będą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ponoszone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wydatki na:</w:t>
            </w:r>
          </w:p>
          <w:p w14:paraId="2CE0CF6E" w14:textId="3F61D35E" w:rsidR="004F0B6A" w:rsidRPr="001309DC" w:rsidRDefault="004F0B6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utrzymanie </w:t>
            </w:r>
            <w:r w:rsidR="00744B1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pracowników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operatora OSE gwarantującego prawidłową realizację jego zadań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(utrzymanie sieci i usług bezpieczeństwa, prace rozwojowe, współpraca z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operatorami zewnętrznymi, prowadzenie działalności edukacyjnej, wsparcie prawne, organizacyjne i finansowe, zamówienia publiczne, 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infolinia, 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itd.)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na moment sporządzania niniejszej Oceny Skutków Regulacji w strukturze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operatora OSE funkcjonuje średniomiesięcznie 129 etatów, których utrzymanie generuj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średniomiesięczny koszt w wysokości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2 024 140,02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</w:t>
            </w:r>
            <w:r w:rsidR="00520F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0BF33A" w14:textId="436A0EAD" w:rsidR="00520F0F" w:rsidRPr="001309DC" w:rsidRDefault="00520F0F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usługi obce – koszty stałe funkcjonowania OSE, do których należą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szczególności: opłaty za dostęp do infrastruktury operatorów telekomunikacyjnych w celu zorganizowania usług dla szkół, opłaty za utrzymanie węzłów szkieletowych sieci OSE (najem powierzchni i koszty energii), opłaty za podwykonawstwo serwisowe w szkołach, wsparcie zewnętrze w utrzymaniu Security Operations Centre i Network Operations Centre</w:t>
            </w:r>
            <w:r w:rsidR="008D2FAB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koszty prowadzenia kampanii informacyjno-promocyjnych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koszty stale rosnące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kolejnych latach (przykładowo w 2024 r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wyniosły 137 223 442,04 zł, zaś 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5C5A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2025 r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7DA6" w:rsidRP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170 481 140,39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273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zł);</w:t>
            </w:r>
          </w:p>
          <w:p w14:paraId="0949352F" w14:textId="70B16B43" w:rsidR="0090273A" w:rsidRPr="001309DC" w:rsidRDefault="0090273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zakupów niskocennych i materiałów – koszty stałe w postaci utrzymania licencji na oprogramowanie wykorzystywane przez personel OSE oraz cyklicznej wymiany sprzętu służbowego personelu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(utrzymujące się corocznie na podobnym poziomie nieprzekraczającym 1 mln zł),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natomiast w kolejnych latach koszty związane również z wymianą niskocennych urządzeń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CPE, WiFi i Switch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szkołach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(o szacowanej wartości średniorocznej 35 000 000,00 zł przy założeniu wymiany sprzętu w każdym roku w 1/5 szkół korzystających z usług OSE);</w:t>
            </w:r>
          </w:p>
          <w:p w14:paraId="0438A7C4" w14:textId="5E91D77B" w:rsidR="0090273A" w:rsidRPr="001309DC" w:rsidRDefault="0090273A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koszty inwestycyjne – związane z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sukcesywnym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odtw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ar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niem infrastruktury sieci szkieletowej i systemów bezpieczeństwa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OSE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 szacowanej wartości średniorocznej 55 000 000,00 zł w latach 202</w:t>
            </w:r>
            <w:r w:rsidR="00FB7C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2F5AB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FB7C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(ze znacznymi odchyleniami w poszczególnych latach w związku z 5-letnim cyklem liczonym 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od różnego momentu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dla różnych odtwarzanych elementów sieci OSE – przykładowo </w:t>
            </w:r>
            <w:r w:rsidR="00FB7C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dla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2026 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szacowane </w:t>
            </w:r>
            <w:r w:rsidR="00597D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były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 poziomie 93 000 000,00 zł, a w 2030 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r. </w:t>
            </w:r>
            <w:r w:rsidR="00CE0CB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2 800 000,00 zł).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Należy podkreślić, że szacunkowe koszty wydatków inwestycyjnych obejmują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co do zasady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791BA1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zamówienie na dostawę lub usługę, wdrożenie oraz świadczenie 5-letniej gwarancji;</w:t>
            </w:r>
          </w:p>
          <w:p w14:paraId="7F06F4CE" w14:textId="2970B4DE" w:rsidR="00791BA1" w:rsidRDefault="00791BA1" w:rsidP="00583E0A">
            <w:pPr>
              <w:pStyle w:val="Akapitzlist"/>
              <w:numPr>
                <w:ilvl w:val="0"/>
                <w:numId w:val="42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koszty pośrednie operatora OSE – koszty które operator OSE ponosi na funkcjonowanie OSE, ale ich charakter uniemożliwia jednoznaczne przypisanie do kosztu bezpośredniego (np. koszt utrzymania powierzchni biurowej i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personelu NASK-PIB, 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która służy i który jest zaangażowany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także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inn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 d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ziałalnoś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ć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NASK-PIB). Koszty rozliczane ryczałtowo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stosunkiem do sumy kosztów bezpośrednich (różnej w kolejnych latach) uzgadnianym w umowie dotacji celowej (dotychczas stosowano współczynnik 7,54%).</w:t>
            </w:r>
          </w:p>
          <w:p w14:paraId="1E70DF0D" w14:textId="77777777" w:rsidR="00E36AD8" w:rsidRPr="001309DC" w:rsidRDefault="00E36AD8" w:rsidP="00E36AD8">
            <w:pPr>
              <w:pStyle w:val="Akapitzlist"/>
              <w:spacing w:line="240" w:lineRule="auto"/>
              <w:ind w:left="318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53F368" w14:textId="5E86AD89" w:rsidR="005F599D" w:rsidRPr="001309DC" w:rsidRDefault="00791BA1" w:rsidP="00791B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Podsumowując, średnioroczne koszty funkcjonowania OSE w latach 202</w:t>
            </w:r>
            <w:r w:rsidR="00816BA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203</w:t>
            </w:r>
            <w:r w:rsidR="00E235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tym niezbędne koszty inwestycyjne w odtworzenie infrastruktury i systemów sieci OSE zapewniające nieprzerwanie najwyższą jakość tej sieci i ochronę jej użytkowników przed zagrożeniami w cyberprzestrzeni, wynosić będą 300 000 000,00 zł w każdym roku z wyjątkiem 2030</w:t>
            </w:r>
            <w:r w:rsidR="00EA5A66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r.</w:t>
            </w:r>
            <w:r w:rsidR="00D6277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 2036 r.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gdzie wyjątkowo –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związku z cyklem 5-letnim – nie będzie potrzeby ponoszenia istotnych wydatków majątkowych, a</w:t>
            </w:r>
            <w:r w:rsidR="007E6420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suma kosztów operatora OSE szacowana jest na kwotę 240 000 000,00 zł.</w:t>
            </w:r>
          </w:p>
          <w:p w14:paraId="514E5302" w14:textId="0CF350FF" w:rsidR="005F599D" w:rsidRPr="001309DC" w:rsidRDefault="005F599D" w:rsidP="006E7B0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 przedstawionych kalkulacjach nie uwzględniono kosztów wykonywania now</w:t>
            </w:r>
            <w:r w:rsidR="00FB7C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uprawnie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nia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operatora OSE do modernizowania sieci LAN w szkołach,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ponieważ zakłada się, że wykonywanie t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ego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uprawnie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będzie następować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ramach projektowanych limitów </w:t>
            </w:r>
            <w:r w:rsidR="0093420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 ile wystąpią jakieś oszczędności względem tych limitów</w:t>
            </w:r>
            <w:r w:rsidR="0093420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lub </w:t>
            </w:r>
            <w:r w:rsidR="00E65C44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ze środków europejskich (jeżeli zostaną przyznane)</w:t>
            </w:r>
            <w:r w:rsidR="006E7B0A" w:rsidRPr="001309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43C44" w:rsidRPr="001309DC" w14:paraId="1DB1F50B" w14:textId="77777777" w:rsidTr="76AA89EE">
        <w:trPr>
          <w:trHeight w:val="345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7B58EE11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043C44" w:rsidRPr="001309DC" w14:paraId="10C6475F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4F126C01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Skutki</w:t>
            </w:r>
          </w:p>
        </w:tc>
      </w:tr>
      <w:tr w:rsidR="00043C44" w:rsidRPr="001309DC" w14:paraId="0B38DFD0" w14:textId="77777777" w:rsidTr="76AA89EE">
        <w:trPr>
          <w:trHeight w:val="142"/>
          <w:jc w:val="center"/>
        </w:trPr>
        <w:tc>
          <w:tcPr>
            <w:tcW w:w="3707" w:type="dxa"/>
            <w:gridSpan w:val="9"/>
            <w:shd w:val="clear" w:color="auto" w:fill="FFFFFF" w:themeFill="background1"/>
          </w:tcPr>
          <w:p w14:paraId="21ACB54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79B3D768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035BB6D5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7081BB34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3BF7B214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28776A3B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08331F6C" w14:textId="77777777" w:rsidR="00043C44" w:rsidRPr="001309DC" w:rsidRDefault="00043C44" w:rsidP="00043C4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2C491860" w14:textId="285123AF" w:rsidR="00043C44" w:rsidRPr="001309DC" w:rsidRDefault="00043C44" w:rsidP="00043C44">
            <w:pPr>
              <w:spacing w:line="240" w:lineRule="auto"/>
              <w:ind w:left="-130" w:right="-1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Łącznie</w:t>
            </w:r>
            <w:r w:rsidRPr="001309DC" w:rsidDel="00732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(0–10)</w:t>
            </w:r>
          </w:p>
        </w:tc>
      </w:tr>
      <w:tr w:rsidR="00043C44" w:rsidRPr="001309DC" w14:paraId="367EE16D" w14:textId="77777777" w:rsidTr="76AA89EE">
        <w:trPr>
          <w:trHeight w:val="142"/>
          <w:jc w:val="center"/>
        </w:trPr>
        <w:tc>
          <w:tcPr>
            <w:tcW w:w="1511" w:type="dxa"/>
            <w:vMerge w:val="restart"/>
            <w:shd w:val="clear" w:color="auto" w:fill="FFFFFF" w:themeFill="background1"/>
          </w:tcPr>
          <w:p w14:paraId="1FEEE63D" w14:textId="77777777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 ujęciu pieniężnym</w:t>
            </w:r>
          </w:p>
          <w:p w14:paraId="2B036410" w14:textId="77777777" w:rsidR="00043C44" w:rsidRPr="001309DC" w:rsidRDefault="00043C44" w:rsidP="00043C44">
            <w:pPr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 xml:space="preserve">(w mln zł, </w:t>
            </w:r>
          </w:p>
          <w:p w14:paraId="3C22929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 xml:space="preserve">ceny stałe </w:t>
            </w:r>
          </w:p>
          <w:p w14:paraId="155F0127" w14:textId="4BD2C7D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z … r.)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78BBFB8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5EAD33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358B44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3ABD61A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0E58752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7293FE9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329AA60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71DFEC7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1D1B0B42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3C9AF0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1F19CE9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3C17B24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741E25F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43A2E04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5A82C72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661F0852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4F8F13D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3EFA22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7F226E02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318BB40D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57871EB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75B2B4C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4"/>
            <w:shd w:val="clear" w:color="auto" w:fill="FFFFFF" w:themeFill="background1"/>
          </w:tcPr>
          <w:p w14:paraId="63CD8BF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4"/>
            <w:shd w:val="clear" w:color="auto" w:fill="FFFFFF" w:themeFill="background1"/>
          </w:tcPr>
          <w:p w14:paraId="5F7F1E3A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14:paraId="2AB78A5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1" w:type="dxa"/>
            <w:gridSpan w:val="3"/>
            <w:shd w:val="clear" w:color="auto" w:fill="FFFFFF" w:themeFill="background1"/>
          </w:tcPr>
          <w:p w14:paraId="5E41E079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99" w:type="dxa"/>
            <w:gridSpan w:val="2"/>
            <w:shd w:val="clear" w:color="auto" w:fill="FFFFFF" w:themeFill="background1"/>
          </w:tcPr>
          <w:p w14:paraId="204D71C1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9" w:type="dxa"/>
            <w:gridSpan w:val="2"/>
            <w:shd w:val="clear" w:color="auto" w:fill="FFFFFF" w:themeFill="background1"/>
          </w:tcPr>
          <w:p w14:paraId="5611ACE3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3BF91651" w14:textId="77777777" w:rsidTr="76AA89EE">
        <w:trPr>
          <w:trHeight w:val="142"/>
          <w:jc w:val="center"/>
        </w:trPr>
        <w:tc>
          <w:tcPr>
            <w:tcW w:w="1511" w:type="dxa"/>
            <w:vMerge w:val="restart"/>
            <w:shd w:val="clear" w:color="auto" w:fill="FFFFFF" w:themeFill="background1"/>
          </w:tcPr>
          <w:p w14:paraId="66E331FE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3501D37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22193453" w14:textId="6E45936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Wyjaśnienia w sekcji: Dodatkowe informacje (…)</w:t>
            </w:r>
          </w:p>
        </w:tc>
      </w:tr>
      <w:tr w:rsidR="00043C44" w:rsidRPr="001309DC" w14:paraId="387A3477" w14:textId="77777777" w:rsidTr="76AA89EE">
        <w:trPr>
          <w:trHeight w:val="142"/>
          <w:jc w:val="center"/>
        </w:trPr>
        <w:tc>
          <w:tcPr>
            <w:tcW w:w="1511" w:type="dxa"/>
            <w:vMerge/>
          </w:tcPr>
          <w:p w14:paraId="5DD9E3D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0B0579DC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6C20917C" w14:textId="7E35F01F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Wyjaśnienia w sekcji: Dodatkowe informacje (…)</w:t>
            </w:r>
          </w:p>
        </w:tc>
      </w:tr>
      <w:tr w:rsidR="00043C44" w:rsidRPr="001309DC" w14:paraId="147DA942" w14:textId="77777777" w:rsidTr="76AA89EE">
        <w:trPr>
          <w:trHeight w:val="596"/>
          <w:jc w:val="center"/>
        </w:trPr>
        <w:tc>
          <w:tcPr>
            <w:tcW w:w="1511" w:type="dxa"/>
            <w:vMerge/>
          </w:tcPr>
          <w:p w14:paraId="433B7AC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5BE2951C" w14:textId="77777777" w:rsidR="00043C44" w:rsidRPr="001309DC" w:rsidRDefault="00043C44" w:rsidP="00043C44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1E7F4B6F" w14:textId="495EE530" w:rsidR="00043C44" w:rsidRPr="001309DC" w:rsidRDefault="00AD3D00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 u</w:t>
            </w:r>
            <w:r w:rsidR="00043C4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staw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="00043C44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pozostaje bez wpływu na sytuację rodziny, obywateli, w tym osób starszych i niepełnosprawnych, oraz gospodarstw domowych.</w:t>
            </w:r>
          </w:p>
        </w:tc>
      </w:tr>
      <w:tr w:rsidR="00043C44" w:rsidRPr="001309DC" w14:paraId="2B5EF0CC" w14:textId="77777777" w:rsidTr="76AA89EE">
        <w:trPr>
          <w:trHeight w:val="142"/>
          <w:jc w:val="center"/>
        </w:trPr>
        <w:tc>
          <w:tcPr>
            <w:tcW w:w="1511" w:type="dxa"/>
            <w:shd w:val="clear" w:color="auto" w:fill="FFFFFF" w:themeFill="background1"/>
          </w:tcPr>
          <w:p w14:paraId="33D30AD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2196" w:type="dxa"/>
            <w:gridSpan w:val="8"/>
            <w:shd w:val="clear" w:color="auto" w:fill="FFFFFF" w:themeFill="background1"/>
          </w:tcPr>
          <w:p w14:paraId="4253A6F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31" w:type="dxa"/>
            <w:gridSpan w:val="20"/>
            <w:shd w:val="clear" w:color="auto" w:fill="FFFFFF" w:themeFill="background1"/>
          </w:tcPr>
          <w:p w14:paraId="1E39D2F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3C44" w:rsidRPr="001309DC" w14:paraId="4FEE1FE6" w14:textId="77777777" w:rsidTr="76AA89EE">
        <w:trPr>
          <w:trHeight w:val="1643"/>
          <w:jc w:val="center"/>
        </w:trPr>
        <w:tc>
          <w:tcPr>
            <w:tcW w:w="2128" w:type="dxa"/>
            <w:gridSpan w:val="3"/>
            <w:shd w:val="clear" w:color="auto" w:fill="FFFFFF" w:themeFill="background1"/>
          </w:tcPr>
          <w:p w14:paraId="74489C3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10600D62" w14:textId="790B5431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 ustawa będzie mieć niewątpliwie pozytywny skutek gospodarczy w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postaci umożliwienia operatorowi OSE (NASK-PIB) zamawiania dostaw urządzeń lub oprogramowania do sieci OSE, co wesprze przedsiębiorstwa – w tym przedsiębiorstwa z sektora 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małych i średnich przedsiębiorstw –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działające na polskim rynku nie tylko pod względem ekonomicznym (dostarczenie gotówki), ale i</w:t>
            </w:r>
            <w:r w:rsidR="008C371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rozwojowym (motywacja do wprowadzania innowacyjnych rozwiązań).</w:t>
            </w:r>
            <w:r w:rsidR="00BB6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43C44" w:rsidRPr="001309DC" w14:paraId="31767501" w14:textId="77777777" w:rsidTr="76AA89EE">
        <w:trPr>
          <w:trHeight w:val="342"/>
          <w:jc w:val="center"/>
        </w:trPr>
        <w:tc>
          <w:tcPr>
            <w:tcW w:w="10438" w:type="dxa"/>
            <w:gridSpan w:val="29"/>
            <w:shd w:val="clear" w:color="auto" w:fill="99CCFF"/>
            <w:vAlign w:val="center"/>
          </w:tcPr>
          <w:p w14:paraId="7D4A9657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043C44" w:rsidRPr="001309DC" w14:paraId="6D902ED8" w14:textId="77777777" w:rsidTr="76AA89EE">
        <w:trPr>
          <w:trHeight w:val="151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28736255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75FFF6E3" w14:textId="77777777" w:rsidTr="76AA89EE">
        <w:trPr>
          <w:trHeight w:val="946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4F61F7C0" w14:textId="77777777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Wprowadzane są obciążenia poza bezwzględnie wymaganymi przez UE (szczegóły w odwróconej tabeli zgodności).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7C6A4E2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1544FA00" w14:textId="0A8F901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2377E96" w14:textId="19BDF2DB" w:rsidR="00043C44" w:rsidRPr="001309DC" w:rsidRDefault="00043C44" w:rsidP="00043C4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Wybór1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bookmarkEnd w:id="1"/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36B1E597" w14:textId="77777777" w:rsidTr="76AA89EE">
        <w:trPr>
          <w:trHeight w:val="1116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77AF5DB8" w14:textId="23162933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zmniejszenie liczby dokumentów </w:t>
            </w:r>
          </w:p>
          <w:p w14:paraId="1DAB5468" w14:textId="7649DD8E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zmniejszenie liczby procedur</w:t>
            </w:r>
          </w:p>
          <w:p w14:paraId="50D1D74C" w14:textId="32DBB1C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skrócenie czasu na załatwienie sprawy</w:t>
            </w:r>
          </w:p>
          <w:p w14:paraId="1D3D5D52" w14:textId="6F81ABD1" w:rsidR="00043C44" w:rsidRPr="001309DC" w:rsidRDefault="00043C44" w:rsidP="00043C4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5631DD0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zwiększenie liczby dokumentów</w:t>
            </w:r>
          </w:p>
          <w:p w14:paraId="51F9C90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zwiększenie liczby procedur</w:t>
            </w:r>
          </w:p>
          <w:p w14:paraId="76A32B0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wydłużenie czasu na załatwienie sprawy</w:t>
            </w:r>
          </w:p>
          <w:p w14:paraId="2F3C4864" w14:textId="67C27AA2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</w:tr>
      <w:tr w:rsidR="00043C44" w:rsidRPr="001309DC" w14:paraId="3F7897C9" w14:textId="77777777" w:rsidTr="76AA89EE">
        <w:trPr>
          <w:trHeight w:val="870"/>
          <w:jc w:val="center"/>
        </w:trPr>
        <w:tc>
          <w:tcPr>
            <w:tcW w:w="4880" w:type="dxa"/>
            <w:gridSpan w:val="13"/>
            <w:shd w:val="clear" w:color="auto" w:fill="FFFFFF" w:themeFill="background1"/>
          </w:tcPr>
          <w:p w14:paraId="61C1B3B6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5558" w:type="dxa"/>
            <w:gridSpan w:val="16"/>
            <w:shd w:val="clear" w:color="auto" w:fill="FFFFFF" w:themeFill="background1"/>
          </w:tcPr>
          <w:p w14:paraId="5F182F7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3DE307EF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20001D81" w14:textId="2AE79815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043C44" w:rsidRPr="001309DC" w14:paraId="5D5C77C7" w14:textId="77777777" w:rsidTr="76AA89EE">
        <w:trPr>
          <w:trHeight w:val="630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063BD29" w14:textId="366B6CD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Komentarz: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3D0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znosi procedurę zezwolenia na świadczenie szkołom lub korzystanie przez te szkoły z usług dostępu do </w:t>
            </w:r>
            <w:r w:rsidR="00AE070F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Internetu</w:t>
            </w:r>
            <w:r w:rsidR="004F43E7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 parametrach niższych niż symetryczna przepustowość 100 Mb/s</w:t>
            </w:r>
            <w:r w:rsidR="00745B93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oraz znosi obowiązek publikowania harmonogramu podłączenia szkół do OSE.</w:t>
            </w:r>
          </w:p>
        </w:tc>
      </w:tr>
      <w:tr w:rsidR="00043C44" w:rsidRPr="001309DC" w14:paraId="2CA55176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F6BFBBD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043C44" w:rsidRPr="001309DC" w14:paraId="03DB7707" w14:textId="77777777" w:rsidTr="76AA89EE">
        <w:trPr>
          <w:trHeight w:val="142"/>
          <w:jc w:val="center"/>
        </w:trPr>
        <w:tc>
          <w:tcPr>
            <w:tcW w:w="10438" w:type="dxa"/>
            <w:gridSpan w:val="29"/>
          </w:tcPr>
          <w:p w14:paraId="5D32E080" w14:textId="391DE17A" w:rsidR="00043C44" w:rsidRPr="001309DC" w:rsidRDefault="00043C44" w:rsidP="00043C4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Projektowana ustawa jest neutralna z punktu widzenia rynku pracy.</w:t>
            </w:r>
          </w:p>
        </w:tc>
      </w:tr>
      <w:tr w:rsidR="00043C44" w:rsidRPr="001309DC" w14:paraId="52F3C6C0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157209EF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043C44" w:rsidRPr="001309DC" w14:paraId="72D2171E" w14:textId="77777777" w:rsidTr="76AA89EE">
        <w:trPr>
          <w:trHeight w:val="1031"/>
          <w:jc w:val="center"/>
        </w:trPr>
        <w:tc>
          <w:tcPr>
            <w:tcW w:w="3471" w:type="dxa"/>
            <w:gridSpan w:val="7"/>
            <w:shd w:val="clear" w:color="auto" w:fill="FFFFFF" w:themeFill="background1"/>
          </w:tcPr>
          <w:p w14:paraId="7EF4630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środowisko naturalne</w:t>
            </w:r>
          </w:p>
          <w:p w14:paraId="0088AB4A" w14:textId="2DA55580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161FE6F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09DC">
              <w:rPr>
                <w:rFonts w:ascii="Times New Roman" w:hAnsi="Times New Roman"/>
                <w:sz w:val="24"/>
                <w:szCs w:val="24"/>
              </w:rPr>
              <w:t>sądy powszechne, administracyjne lub wojskowe</w:t>
            </w:r>
          </w:p>
        </w:tc>
        <w:tc>
          <w:tcPr>
            <w:tcW w:w="3487" w:type="dxa"/>
            <w:gridSpan w:val="13"/>
            <w:shd w:val="clear" w:color="auto" w:fill="FFFFFF" w:themeFill="background1"/>
          </w:tcPr>
          <w:p w14:paraId="6302811B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demografia</w:t>
            </w:r>
          </w:p>
          <w:p w14:paraId="721FE01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  <w:p w14:paraId="4BE4D927" w14:textId="11C22171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inne: </w:t>
            </w:r>
          </w:p>
        </w:tc>
        <w:tc>
          <w:tcPr>
            <w:tcW w:w="3480" w:type="dxa"/>
            <w:gridSpan w:val="9"/>
            <w:shd w:val="clear" w:color="auto" w:fill="FFFFFF" w:themeFill="background1"/>
          </w:tcPr>
          <w:p w14:paraId="27D9B867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informatyzacja</w:t>
            </w:r>
          </w:p>
          <w:p w14:paraId="66840C20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zdrowie</w:t>
            </w:r>
          </w:p>
        </w:tc>
      </w:tr>
      <w:tr w:rsidR="00043C44" w:rsidRPr="001309DC" w14:paraId="5F1EBE13" w14:textId="77777777" w:rsidTr="76AA89EE">
        <w:trPr>
          <w:trHeight w:val="712"/>
          <w:jc w:val="center"/>
        </w:trPr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14:paraId="00CDBE88" w14:textId="77777777" w:rsidR="00043C44" w:rsidRPr="001309DC" w:rsidRDefault="00043C44" w:rsidP="00043C4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310" w:type="dxa"/>
            <w:gridSpan w:val="26"/>
            <w:shd w:val="clear" w:color="auto" w:fill="FFFFFF" w:themeFill="background1"/>
            <w:vAlign w:val="center"/>
          </w:tcPr>
          <w:p w14:paraId="69C25409" w14:textId="1DBD0FD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Przyjęcie projektowanej ustawy pozwoli co najmniej utrzymać dotychczasową jakość usług z obszaru łączności i bezpieczeństwa sieciowego, a także kontynuować rozwijanie pionierskich narzędzi zapewniania cyberbezpieczeństwa w szkołach.</w:t>
            </w:r>
          </w:p>
        </w:tc>
      </w:tr>
      <w:tr w:rsidR="00043C44" w:rsidRPr="001309DC" w14:paraId="6B9A75B0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396ED2D1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Planowane wykonanie przepisów aktu prawnego</w:t>
            </w:r>
          </w:p>
        </w:tc>
      </w:tr>
      <w:tr w:rsidR="00043C44" w:rsidRPr="001309DC" w14:paraId="7F259AFF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B49F415" w14:textId="6F6E573B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Ustawa wejdzie w życie</w:t>
            </w:r>
            <w:r w:rsidR="007C0299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 upływie 14 dni od dnia ogłoszenia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43C44" w:rsidRPr="001309DC" w14:paraId="1584C08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60B832E1" w14:textId="373EAE05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 jaki sposób i kiedy nastąpi ewaluacja efektów projektu oraz jakie mierniki zostaną zastosowane?</w:t>
            </w:r>
          </w:p>
        </w:tc>
      </w:tr>
      <w:tr w:rsidR="00043C44" w:rsidRPr="001309DC" w14:paraId="7F1B64DB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20DAA5E7" w14:textId="3A1C2522" w:rsidR="00043C44" w:rsidRPr="001309DC" w:rsidRDefault="00043C44" w:rsidP="00043C4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Ewaluacja będzie następować w trybie rocznym, w ramach rozliczania przez ministra właściwego do spraw informatyzacji dotacji celowych udzielonych NASK-PIB</w:t>
            </w:r>
            <w:r w:rsidR="00B44A30"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uwzględnieniem znowelizowanych limitów wartości tych dotacji.</w:t>
            </w:r>
          </w:p>
        </w:tc>
      </w:tr>
      <w:tr w:rsidR="00043C44" w:rsidRPr="001309DC" w14:paraId="6B218507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99CCFF"/>
          </w:tcPr>
          <w:p w14:paraId="58F932DF" w14:textId="77777777" w:rsidR="00043C44" w:rsidRPr="001309DC" w:rsidRDefault="00043C44" w:rsidP="00043C44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Załączniki </w:t>
            </w:r>
            <w:r w:rsidRPr="001309DC">
              <w:rPr>
                <w:rFonts w:ascii="Times New Roman" w:hAnsi="Times New Roman"/>
                <w:b/>
                <w:sz w:val="24"/>
                <w:szCs w:val="24"/>
              </w:rPr>
              <w:t>(istotne dokumenty źródłowe, badania, analizy itp.</w:t>
            </w:r>
            <w:r w:rsidRPr="001309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).</w:t>
            </w:r>
          </w:p>
        </w:tc>
      </w:tr>
      <w:tr w:rsidR="00043C44" w:rsidRPr="001309DC" w14:paraId="725F31B1" w14:textId="77777777" w:rsidTr="76AA89EE">
        <w:trPr>
          <w:trHeight w:val="142"/>
          <w:jc w:val="center"/>
        </w:trPr>
        <w:tc>
          <w:tcPr>
            <w:tcW w:w="10438" w:type="dxa"/>
            <w:gridSpan w:val="29"/>
            <w:shd w:val="clear" w:color="auto" w:fill="FFFFFF" w:themeFill="background1"/>
          </w:tcPr>
          <w:p w14:paraId="19FBF7D4" w14:textId="7AA6BDE5" w:rsidR="00043C44" w:rsidRPr="001309DC" w:rsidRDefault="00043C44" w:rsidP="00043C4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9DC">
              <w:rPr>
                <w:rFonts w:ascii="Times New Roman" w:hAnsi="Times New Roman"/>
                <w:color w:val="000000"/>
                <w:sz w:val="24"/>
                <w:szCs w:val="24"/>
              </w:rPr>
              <w:t>Nie dotyczy.</w:t>
            </w:r>
          </w:p>
        </w:tc>
      </w:tr>
    </w:tbl>
    <w:p w14:paraId="76001393" w14:textId="77777777" w:rsidR="006176ED" w:rsidRPr="001309DC" w:rsidRDefault="006176ED" w:rsidP="00670024">
      <w:pPr>
        <w:rPr>
          <w:rFonts w:ascii="Times New Roman" w:hAnsi="Times New Roman"/>
          <w:sz w:val="24"/>
          <w:szCs w:val="24"/>
        </w:rPr>
      </w:pPr>
    </w:p>
    <w:sectPr w:rsidR="006176ED" w:rsidRPr="001309DC" w:rsidSect="00EC1419">
      <w:footerReference w:type="default" r:id="rId14"/>
      <w:pgSz w:w="11906" w:h="16838"/>
      <w:pgMar w:top="568" w:right="707" w:bottom="568" w:left="720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73EE" w14:textId="77777777" w:rsidR="00240A15" w:rsidRDefault="00240A15" w:rsidP="00044739">
      <w:pPr>
        <w:spacing w:line="240" w:lineRule="auto"/>
      </w:pPr>
      <w:r>
        <w:separator/>
      </w:r>
    </w:p>
  </w:endnote>
  <w:endnote w:type="continuationSeparator" w:id="0">
    <w:p w14:paraId="451D5D6F" w14:textId="77777777" w:rsidR="00240A15" w:rsidRDefault="00240A15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FB3D" w14:textId="3FDFFD6F" w:rsidR="00634348" w:rsidRPr="009A46DA" w:rsidRDefault="00634348">
    <w:pPr>
      <w:pStyle w:val="Stopka"/>
      <w:jc w:val="center"/>
      <w:rPr>
        <w:rFonts w:ascii="Times New Roman" w:hAnsi="Times New Roman"/>
        <w:sz w:val="24"/>
        <w:szCs w:val="24"/>
      </w:rPr>
    </w:pPr>
    <w:r w:rsidRPr="009A46DA">
      <w:rPr>
        <w:rFonts w:ascii="Times New Roman" w:hAnsi="Times New Roman"/>
        <w:sz w:val="24"/>
        <w:szCs w:val="24"/>
      </w:rPr>
      <w:fldChar w:fldCharType="begin"/>
    </w:r>
    <w:r w:rsidRPr="009A46DA">
      <w:rPr>
        <w:rFonts w:ascii="Times New Roman" w:hAnsi="Times New Roman"/>
        <w:sz w:val="24"/>
        <w:szCs w:val="24"/>
      </w:rPr>
      <w:instrText>PAGE   \* MERGEFORMAT</w:instrText>
    </w:r>
    <w:r w:rsidRPr="009A46DA">
      <w:rPr>
        <w:rFonts w:ascii="Times New Roman" w:hAnsi="Times New Roman"/>
        <w:sz w:val="24"/>
        <w:szCs w:val="24"/>
      </w:rPr>
      <w:fldChar w:fldCharType="separate"/>
    </w:r>
    <w:r w:rsidR="00771CB5">
      <w:rPr>
        <w:rFonts w:ascii="Times New Roman" w:hAnsi="Times New Roman"/>
        <w:noProof/>
        <w:sz w:val="24"/>
        <w:szCs w:val="24"/>
      </w:rPr>
      <w:t>11</w:t>
    </w:r>
    <w:r w:rsidRPr="009A46DA">
      <w:rPr>
        <w:rFonts w:ascii="Times New Roman" w:hAnsi="Times New Roman"/>
        <w:sz w:val="24"/>
        <w:szCs w:val="24"/>
      </w:rPr>
      <w:fldChar w:fldCharType="end"/>
    </w:r>
  </w:p>
  <w:p w14:paraId="25DB35EB" w14:textId="77777777" w:rsidR="00634348" w:rsidRPr="009A46DA" w:rsidRDefault="00634348">
    <w:pPr>
      <w:pStyle w:val="Stopk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4F09" w14:textId="77777777" w:rsidR="00240A15" w:rsidRDefault="00240A15" w:rsidP="00044739">
      <w:pPr>
        <w:spacing w:line="240" w:lineRule="auto"/>
      </w:pPr>
      <w:r>
        <w:separator/>
      </w:r>
    </w:p>
  </w:footnote>
  <w:footnote w:type="continuationSeparator" w:id="0">
    <w:p w14:paraId="77991EF6" w14:textId="77777777" w:rsidR="00240A15" w:rsidRDefault="00240A15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A11"/>
    <w:multiLevelType w:val="hybridMultilevel"/>
    <w:tmpl w:val="131682AA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57BF"/>
    <w:multiLevelType w:val="hybridMultilevel"/>
    <w:tmpl w:val="0590A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B6F86"/>
    <w:multiLevelType w:val="hybridMultilevel"/>
    <w:tmpl w:val="6BFC0002"/>
    <w:lvl w:ilvl="0" w:tplc="EEB0661E">
      <w:start w:val="1"/>
      <w:numFmt w:val="decimal"/>
      <w:lvlText w:val="%1)"/>
      <w:lvlJc w:val="left"/>
      <w:pPr>
        <w:ind w:left="502" w:hanging="360"/>
      </w:pPr>
    </w:lvl>
    <w:lvl w:ilvl="1" w:tplc="EA4E488E">
      <w:start w:val="1"/>
      <w:numFmt w:val="lowerLetter"/>
      <w:lvlText w:val="%2."/>
      <w:lvlJc w:val="left"/>
      <w:pPr>
        <w:ind w:left="1440" w:hanging="360"/>
      </w:pPr>
    </w:lvl>
    <w:lvl w:ilvl="2" w:tplc="DCC65A48">
      <w:start w:val="1"/>
      <w:numFmt w:val="lowerRoman"/>
      <w:lvlText w:val="%3."/>
      <w:lvlJc w:val="right"/>
      <w:pPr>
        <w:ind w:left="2160" w:hanging="180"/>
      </w:pPr>
    </w:lvl>
    <w:lvl w:ilvl="3" w:tplc="FC468CAA">
      <w:start w:val="1"/>
      <w:numFmt w:val="decimal"/>
      <w:lvlText w:val="%4."/>
      <w:lvlJc w:val="left"/>
      <w:pPr>
        <w:ind w:left="2880" w:hanging="360"/>
      </w:pPr>
    </w:lvl>
    <w:lvl w:ilvl="4" w:tplc="C9148F7A">
      <w:start w:val="1"/>
      <w:numFmt w:val="lowerLetter"/>
      <w:lvlText w:val="%5."/>
      <w:lvlJc w:val="left"/>
      <w:pPr>
        <w:ind w:left="3600" w:hanging="360"/>
      </w:pPr>
    </w:lvl>
    <w:lvl w:ilvl="5" w:tplc="D510703E">
      <w:start w:val="1"/>
      <w:numFmt w:val="lowerRoman"/>
      <w:lvlText w:val="%6."/>
      <w:lvlJc w:val="right"/>
      <w:pPr>
        <w:ind w:left="4320" w:hanging="180"/>
      </w:pPr>
    </w:lvl>
    <w:lvl w:ilvl="6" w:tplc="7786BF52">
      <w:start w:val="1"/>
      <w:numFmt w:val="decimal"/>
      <w:lvlText w:val="%7."/>
      <w:lvlJc w:val="left"/>
      <w:pPr>
        <w:ind w:left="5040" w:hanging="360"/>
      </w:pPr>
    </w:lvl>
    <w:lvl w:ilvl="7" w:tplc="28C6A084">
      <w:start w:val="1"/>
      <w:numFmt w:val="lowerLetter"/>
      <w:lvlText w:val="%8."/>
      <w:lvlJc w:val="left"/>
      <w:pPr>
        <w:ind w:left="5760" w:hanging="360"/>
      </w:pPr>
    </w:lvl>
    <w:lvl w:ilvl="8" w:tplc="73226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9523D"/>
    <w:multiLevelType w:val="hybridMultilevel"/>
    <w:tmpl w:val="8B388BD2"/>
    <w:lvl w:ilvl="0" w:tplc="A1746636">
      <w:start w:val="1"/>
      <w:numFmt w:val="decimal"/>
      <w:lvlText w:val="%1)"/>
      <w:lvlJc w:val="left"/>
      <w:pPr>
        <w:ind w:left="360" w:hanging="360"/>
      </w:pPr>
    </w:lvl>
    <w:lvl w:ilvl="1" w:tplc="B4521FAC">
      <w:start w:val="1"/>
      <w:numFmt w:val="lowerLetter"/>
      <w:lvlText w:val="%2."/>
      <w:lvlJc w:val="left"/>
      <w:pPr>
        <w:ind w:left="1080" w:hanging="360"/>
      </w:pPr>
    </w:lvl>
    <w:lvl w:ilvl="2" w:tplc="5328A6EA">
      <w:start w:val="1"/>
      <w:numFmt w:val="lowerRoman"/>
      <w:lvlText w:val="%3."/>
      <w:lvlJc w:val="right"/>
      <w:pPr>
        <w:ind w:left="1800" w:hanging="180"/>
      </w:pPr>
    </w:lvl>
    <w:lvl w:ilvl="3" w:tplc="0C1A80C4">
      <w:start w:val="1"/>
      <w:numFmt w:val="decimal"/>
      <w:lvlText w:val="%4."/>
      <w:lvlJc w:val="left"/>
      <w:pPr>
        <w:ind w:left="2520" w:hanging="360"/>
      </w:pPr>
    </w:lvl>
    <w:lvl w:ilvl="4" w:tplc="506E20AC">
      <w:start w:val="1"/>
      <w:numFmt w:val="lowerLetter"/>
      <w:lvlText w:val="%5."/>
      <w:lvlJc w:val="left"/>
      <w:pPr>
        <w:ind w:left="3240" w:hanging="360"/>
      </w:pPr>
    </w:lvl>
    <w:lvl w:ilvl="5" w:tplc="E1C61BEE">
      <w:start w:val="1"/>
      <w:numFmt w:val="lowerRoman"/>
      <w:lvlText w:val="%6."/>
      <w:lvlJc w:val="right"/>
      <w:pPr>
        <w:ind w:left="3960" w:hanging="180"/>
      </w:pPr>
    </w:lvl>
    <w:lvl w:ilvl="6" w:tplc="F3BAE074">
      <w:start w:val="1"/>
      <w:numFmt w:val="decimal"/>
      <w:lvlText w:val="%7."/>
      <w:lvlJc w:val="left"/>
      <w:pPr>
        <w:ind w:left="4680" w:hanging="360"/>
      </w:pPr>
    </w:lvl>
    <w:lvl w:ilvl="7" w:tplc="5EFA133C">
      <w:start w:val="1"/>
      <w:numFmt w:val="lowerLetter"/>
      <w:lvlText w:val="%8."/>
      <w:lvlJc w:val="left"/>
      <w:pPr>
        <w:ind w:left="5400" w:hanging="360"/>
      </w:pPr>
    </w:lvl>
    <w:lvl w:ilvl="8" w:tplc="5A6A074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B1F15"/>
    <w:multiLevelType w:val="hybridMultilevel"/>
    <w:tmpl w:val="2968DF2A"/>
    <w:lvl w:ilvl="0" w:tplc="E8C8DB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756BA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F34E3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9DE2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784B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70F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EFC27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5E3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1A26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8" w15:restartNumberingAfterBreak="0">
    <w:nsid w:val="1B717A4A"/>
    <w:multiLevelType w:val="hybridMultilevel"/>
    <w:tmpl w:val="4BA464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B7B4F"/>
    <w:multiLevelType w:val="hybridMultilevel"/>
    <w:tmpl w:val="6C28B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687A"/>
    <w:multiLevelType w:val="hybridMultilevel"/>
    <w:tmpl w:val="6AE08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5" w15:restartNumberingAfterBreak="0">
    <w:nsid w:val="23163A4E"/>
    <w:multiLevelType w:val="hybridMultilevel"/>
    <w:tmpl w:val="09184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E26FB"/>
    <w:multiLevelType w:val="hybridMultilevel"/>
    <w:tmpl w:val="56BAB5CE"/>
    <w:lvl w:ilvl="0" w:tplc="4E5CA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D423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2C37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42C1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3677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9480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D4C6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7C28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9268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27A1F8C"/>
    <w:multiLevelType w:val="hybridMultilevel"/>
    <w:tmpl w:val="F5A8D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2F3155"/>
    <w:multiLevelType w:val="hybridMultilevel"/>
    <w:tmpl w:val="FAFAF2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C5140"/>
    <w:multiLevelType w:val="multilevel"/>
    <w:tmpl w:val="98F4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3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DFD5BEC"/>
    <w:multiLevelType w:val="hybridMultilevel"/>
    <w:tmpl w:val="6A8E6990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E4DCD"/>
    <w:multiLevelType w:val="hybridMultilevel"/>
    <w:tmpl w:val="8CAC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37A80"/>
    <w:multiLevelType w:val="hybridMultilevel"/>
    <w:tmpl w:val="BE265ADC"/>
    <w:lvl w:ilvl="0" w:tplc="3E92B0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CD688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69479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DA00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32464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2A6A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3E68D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250F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781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46B54C26"/>
    <w:multiLevelType w:val="hybridMultilevel"/>
    <w:tmpl w:val="0B4EF980"/>
    <w:lvl w:ilvl="0" w:tplc="44561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0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34014FB"/>
    <w:multiLevelType w:val="hybridMultilevel"/>
    <w:tmpl w:val="09184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0DB6CFA"/>
    <w:multiLevelType w:val="hybridMultilevel"/>
    <w:tmpl w:val="FEA8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 w15:restartNumberingAfterBreak="0">
    <w:nsid w:val="64265F22"/>
    <w:multiLevelType w:val="hybridMultilevel"/>
    <w:tmpl w:val="FC9EF3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BD78D3"/>
    <w:multiLevelType w:val="hybridMultilevel"/>
    <w:tmpl w:val="F4A85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BE03ED"/>
    <w:multiLevelType w:val="hybridMultilevel"/>
    <w:tmpl w:val="71AE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85BBD"/>
    <w:multiLevelType w:val="multilevel"/>
    <w:tmpl w:val="3D986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1C0E58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A44B70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CA4ACD"/>
    <w:multiLevelType w:val="hybridMultilevel"/>
    <w:tmpl w:val="09184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B4939"/>
    <w:multiLevelType w:val="hybridMultilevel"/>
    <w:tmpl w:val="4BA46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1B59C3"/>
    <w:multiLevelType w:val="hybridMultilevel"/>
    <w:tmpl w:val="F5A8D9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9511E2"/>
    <w:multiLevelType w:val="hybridMultilevel"/>
    <w:tmpl w:val="8E5A7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2933B0"/>
    <w:multiLevelType w:val="hybridMultilevel"/>
    <w:tmpl w:val="32A8D350"/>
    <w:lvl w:ilvl="0" w:tplc="4A54C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024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06CD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5E1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374A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FCB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47A3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548B7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C24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0" w15:restartNumberingAfterBreak="0">
    <w:nsid w:val="75271A23"/>
    <w:multiLevelType w:val="hybridMultilevel"/>
    <w:tmpl w:val="EE4C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1D5297"/>
    <w:multiLevelType w:val="hybridMultilevel"/>
    <w:tmpl w:val="4AE0EF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7D2377"/>
    <w:multiLevelType w:val="hybridMultilevel"/>
    <w:tmpl w:val="8026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18931">
    <w:abstractNumId w:val="11"/>
  </w:num>
  <w:num w:numId="2" w16cid:durableId="1496455118">
    <w:abstractNumId w:val="2"/>
  </w:num>
  <w:num w:numId="3" w16cid:durableId="1736006114">
    <w:abstractNumId w:val="21"/>
  </w:num>
  <w:num w:numId="4" w16cid:durableId="941915480">
    <w:abstractNumId w:val="36"/>
  </w:num>
  <w:num w:numId="5" w16cid:durableId="431125900">
    <w:abstractNumId w:val="4"/>
  </w:num>
  <w:num w:numId="6" w16cid:durableId="1067266367">
    <w:abstractNumId w:val="16"/>
  </w:num>
  <w:num w:numId="7" w16cid:durableId="1798908394">
    <w:abstractNumId w:val="28"/>
  </w:num>
  <w:num w:numId="8" w16cid:durableId="1585341608">
    <w:abstractNumId w:val="12"/>
  </w:num>
  <w:num w:numId="9" w16cid:durableId="1254051183">
    <w:abstractNumId w:val="30"/>
  </w:num>
  <w:num w:numId="10" w16cid:durableId="1024552014">
    <w:abstractNumId w:val="23"/>
  </w:num>
  <w:num w:numId="11" w16cid:durableId="1696271959">
    <w:abstractNumId w:val="29"/>
  </w:num>
  <w:num w:numId="12" w16cid:durableId="1713384080">
    <w:abstractNumId w:val="7"/>
  </w:num>
  <w:num w:numId="13" w16cid:durableId="770324546">
    <w:abstractNumId w:val="22"/>
  </w:num>
  <w:num w:numId="14" w16cid:durableId="1939556458">
    <w:abstractNumId w:val="37"/>
  </w:num>
  <w:num w:numId="15" w16cid:durableId="439186390">
    <w:abstractNumId w:val="32"/>
  </w:num>
  <w:num w:numId="16" w16cid:durableId="1019820566">
    <w:abstractNumId w:val="34"/>
  </w:num>
  <w:num w:numId="17" w16cid:durableId="1841773948">
    <w:abstractNumId w:val="13"/>
  </w:num>
  <w:num w:numId="18" w16cid:durableId="1407150789">
    <w:abstractNumId w:val="48"/>
  </w:num>
  <w:num w:numId="19" w16cid:durableId="1156608121">
    <w:abstractNumId w:val="52"/>
  </w:num>
  <w:num w:numId="20" w16cid:durableId="930431099">
    <w:abstractNumId w:val="33"/>
  </w:num>
  <w:num w:numId="21" w16cid:durableId="1086534728">
    <w:abstractNumId w:val="14"/>
  </w:num>
  <w:num w:numId="22" w16cid:durableId="1612476360">
    <w:abstractNumId w:val="47"/>
  </w:num>
  <w:num w:numId="23" w16cid:durableId="1579947752">
    <w:abstractNumId w:val="38"/>
  </w:num>
  <w:num w:numId="24" w16cid:durableId="1931698385">
    <w:abstractNumId w:val="5"/>
  </w:num>
  <w:num w:numId="25" w16cid:durableId="1750541046">
    <w:abstractNumId w:val="39"/>
  </w:num>
  <w:num w:numId="26" w16cid:durableId="1375538816">
    <w:abstractNumId w:val="1"/>
  </w:num>
  <w:num w:numId="27" w16cid:durableId="2115199286">
    <w:abstractNumId w:val="40"/>
  </w:num>
  <w:num w:numId="28" w16cid:durableId="1385831118">
    <w:abstractNumId w:val="45"/>
  </w:num>
  <w:num w:numId="29" w16cid:durableId="91440793">
    <w:abstractNumId w:val="19"/>
  </w:num>
  <w:num w:numId="30" w16cid:durableId="464004430">
    <w:abstractNumId w:val="8"/>
  </w:num>
  <w:num w:numId="31" w16cid:durableId="531773475">
    <w:abstractNumId w:val="53"/>
  </w:num>
  <w:num w:numId="32" w16cid:durableId="1068573388">
    <w:abstractNumId w:val="3"/>
  </w:num>
  <w:num w:numId="33" w16cid:durableId="667051879">
    <w:abstractNumId w:val="51"/>
  </w:num>
  <w:num w:numId="34" w16cid:durableId="1361935688">
    <w:abstractNumId w:val="20"/>
  </w:num>
  <w:num w:numId="35" w16cid:durableId="1124274688">
    <w:abstractNumId w:val="31"/>
  </w:num>
  <w:num w:numId="36" w16cid:durableId="353771616">
    <w:abstractNumId w:val="50"/>
  </w:num>
  <w:num w:numId="37" w16cid:durableId="365256931">
    <w:abstractNumId w:val="44"/>
  </w:num>
  <w:num w:numId="38" w16cid:durableId="966205581">
    <w:abstractNumId w:val="15"/>
  </w:num>
  <w:num w:numId="39" w16cid:durableId="8679860">
    <w:abstractNumId w:val="18"/>
  </w:num>
  <w:num w:numId="40" w16cid:durableId="1435711533">
    <w:abstractNumId w:val="35"/>
  </w:num>
  <w:num w:numId="41" w16cid:durableId="1017855671">
    <w:abstractNumId w:val="10"/>
  </w:num>
  <w:num w:numId="42" w16cid:durableId="1516647502">
    <w:abstractNumId w:val="25"/>
  </w:num>
  <w:num w:numId="43" w16cid:durableId="1565526747">
    <w:abstractNumId w:val="9"/>
  </w:num>
  <w:num w:numId="44" w16cid:durableId="736129029">
    <w:abstractNumId w:val="27"/>
  </w:num>
  <w:num w:numId="45" w16cid:durableId="377171378">
    <w:abstractNumId w:val="24"/>
  </w:num>
  <w:num w:numId="46" w16cid:durableId="1160316931">
    <w:abstractNumId w:val="0"/>
  </w:num>
  <w:num w:numId="47" w16cid:durableId="396049607">
    <w:abstractNumId w:val="26"/>
  </w:num>
  <w:num w:numId="48" w16cid:durableId="1743485982">
    <w:abstractNumId w:val="17"/>
  </w:num>
  <w:num w:numId="49" w16cid:durableId="109321196">
    <w:abstractNumId w:val="49"/>
  </w:num>
  <w:num w:numId="50" w16cid:durableId="1201161352">
    <w:abstractNumId w:val="6"/>
  </w:num>
  <w:num w:numId="51" w16cid:durableId="563488877">
    <w:abstractNumId w:val="41"/>
  </w:num>
  <w:num w:numId="52" w16cid:durableId="1160461874">
    <w:abstractNumId w:val="46"/>
  </w:num>
  <w:num w:numId="53" w16cid:durableId="1344631549">
    <w:abstractNumId w:val="43"/>
  </w:num>
  <w:num w:numId="54" w16cid:durableId="1815566383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1431B"/>
    <w:rsid w:val="00015ADD"/>
    <w:rsid w:val="00015EE2"/>
    <w:rsid w:val="00023836"/>
    <w:rsid w:val="0003233D"/>
    <w:rsid w:val="00032A95"/>
    <w:rsid w:val="000356A9"/>
    <w:rsid w:val="00036ECF"/>
    <w:rsid w:val="00042628"/>
    <w:rsid w:val="00043C44"/>
    <w:rsid w:val="00044138"/>
    <w:rsid w:val="00044553"/>
    <w:rsid w:val="00044739"/>
    <w:rsid w:val="0005011C"/>
    <w:rsid w:val="00051637"/>
    <w:rsid w:val="0005251B"/>
    <w:rsid w:val="0005426E"/>
    <w:rsid w:val="00054E39"/>
    <w:rsid w:val="00056681"/>
    <w:rsid w:val="000648A7"/>
    <w:rsid w:val="00064BA0"/>
    <w:rsid w:val="00065F30"/>
    <w:rsid w:val="00065FE9"/>
    <w:rsid w:val="0006618B"/>
    <w:rsid w:val="000670C0"/>
    <w:rsid w:val="00071B99"/>
    <w:rsid w:val="00071D1D"/>
    <w:rsid w:val="000721AF"/>
    <w:rsid w:val="000756E5"/>
    <w:rsid w:val="0007704E"/>
    <w:rsid w:val="00080EC8"/>
    <w:rsid w:val="00083C38"/>
    <w:rsid w:val="00084E63"/>
    <w:rsid w:val="000862DA"/>
    <w:rsid w:val="000944AC"/>
    <w:rsid w:val="00094CB9"/>
    <w:rsid w:val="000956B2"/>
    <w:rsid w:val="000969E7"/>
    <w:rsid w:val="000A23DE"/>
    <w:rsid w:val="000A4020"/>
    <w:rsid w:val="000A5F16"/>
    <w:rsid w:val="000B0801"/>
    <w:rsid w:val="000B0D7C"/>
    <w:rsid w:val="000B304B"/>
    <w:rsid w:val="000B54FB"/>
    <w:rsid w:val="000C29B0"/>
    <w:rsid w:val="000C5E10"/>
    <w:rsid w:val="000C76FC"/>
    <w:rsid w:val="000C7F70"/>
    <w:rsid w:val="000D068D"/>
    <w:rsid w:val="000D3387"/>
    <w:rsid w:val="000D38FC"/>
    <w:rsid w:val="000D3B00"/>
    <w:rsid w:val="000D440B"/>
    <w:rsid w:val="000D4D90"/>
    <w:rsid w:val="000E2D10"/>
    <w:rsid w:val="000E406E"/>
    <w:rsid w:val="000F2CBF"/>
    <w:rsid w:val="000F3204"/>
    <w:rsid w:val="000F479C"/>
    <w:rsid w:val="00101F96"/>
    <w:rsid w:val="0010356A"/>
    <w:rsid w:val="0010548B"/>
    <w:rsid w:val="001072D1"/>
    <w:rsid w:val="00107BC6"/>
    <w:rsid w:val="00110374"/>
    <w:rsid w:val="001150D0"/>
    <w:rsid w:val="00117017"/>
    <w:rsid w:val="00117ABF"/>
    <w:rsid w:val="00121984"/>
    <w:rsid w:val="00121CC7"/>
    <w:rsid w:val="0012465D"/>
    <w:rsid w:val="00124B88"/>
    <w:rsid w:val="0012504A"/>
    <w:rsid w:val="00127602"/>
    <w:rsid w:val="001309DC"/>
    <w:rsid w:val="00130E8E"/>
    <w:rsid w:val="0013216E"/>
    <w:rsid w:val="0013365E"/>
    <w:rsid w:val="00133EFA"/>
    <w:rsid w:val="001358C9"/>
    <w:rsid w:val="00137271"/>
    <w:rsid w:val="001401B5"/>
    <w:rsid w:val="001422B9"/>
    <w:rsid w:val="001451E8"/>
    <w:rsid w:val="0014665F"/>
    <w:rsid w:val="0015231A"/>
    <w:rsid w:val="00153464"/>
    <w:rsid w:val="001541B3"/>
    <w:rsid w:val="00154FE8"/>
    <w:rsid w:val="00155AB4"/>
    <w:rsid w:val="00155B15"/>
    <w:rsid w:val="0015618F"/>
    <w:rsid w:val="0015747E"/>
    <w:rsid w:val="00161AF6"/>
    <w:rsid w:val="001625BE"/>
    <w:rsid w:val="001643A4"/>
    <w:rsid w:val="001650A1"/>
    <w:rsid w:val="00166379"/>
    <w:rsid w:val="00167C86"/>
    <w:rsid w:val="0017112D"/>
    <w:rsid w:val="001727BB"/>
    <w:rsid w:val="0017310C"/>
    <w:rsid w:val="00175111"/>
    <w:rsid w:val="0018093F"/>
    <w:rsid w:val="00180D25"/>
    <w:rsid w:val="0018318D"/>
    <w:rsid w:val="00183E91"/>
    <w:rsid w:val="0018572C"/>
    <w:rsid w:val="00187E79"/>
    <w:rsid w:val="00187F0D"/>
    <w:rsid w:val="00192CC5"/>
    <w:rsid w:val="001956A7"/>
    <w:rsid w:val="001963FF"/>
    <w:rsid w:val="001A118A"/>
    <w:rsid w:val="001A1973"/>
    <w:rsid w:val="001A27F4"/>
    <w:rsid w:val="001A2D95"/>
    <w:rsid w:val="001A2DE7"/>
    <w:rsid w:val="001A3EC7"/>
    <w:rsid w:val="001B14B9"/>
    <w:rsid w:val="001B1521"/>
    <w:rsid w:val="001B2EB1"/>
    <w:rsid w:val="001B3460"/>
    <w:rsid w:val="001B3F8A"/>
    <w:rsid w:val="001B4CA1"/>
    <w:rsid w:val="001B75D8"/>
    <w:rsid w:val="001C0983"/>
    <w:rsid w:val="001C0C53"/>
    <w:rsid w:val="001C1060"/>
    <w:rsid w:val="001C3C63"/>
    <w:rsid w:val="001C46ED"/>
    <w:rsid w:val="001D1BE6"/>
    <w:rsid w:val="001D4351"/>
    <w:rsid w:val="001D4732"/>
    <w:rsid w:val="001D55C0"/>
    <w:rsid w:val="001D6A3C"/>
    <w:rsid w:val="001D6CE5"/>
    <w:rsid w:val="001D6D51"/>
    <w:rsid w:val="001D6F0F"/>
    <w:rsid w:val="001E23B7"/>
    <w:rsid w:val="001E3538"/>
    <w:rsid w:val="001F2260"/>
    <w:rsid w:val="001F3151"/>
    <w:rsid w:val="001F610D"/>
    <w:rsid w:val="001F63F2"/>
    <w:rsid w:val="001F653A"/>
    <w:rsid w:val="001F6979"/>
    <w:rsid w:val="001F6C10"/>
    <w:rsid w:val="00202BC6"/>
    <w:rsid w:val="00203820"/>
    <w:rsid w:val="00205141"/>
    <w:rsid w:val="0020516B"/>
    <w:rsid w:val="002051C5"/>
    <w:rsid w:val="0021136A"/>
    <w:rsid w:val="002126DE"/>
    <w:rsid w:val="00213559"/>
    <w:rsid w:val="00213EFD"/>
    <w:rsid w:val="002172F1"/>
    <w:rsid w:val="0021795D"/>
    <w:rsid w:val="00221A6E"/>
    <w:rsid w:val="00221F46"/>
    <w:rsid w:val="00222CE0"/>
    <w:rsid w:val="00223797"/>
    <w:rsid w:val="00223879"/>
    <w:rsid w:val="00223C7B"/>
    <w:rsid w:val="00224AB1"/>
    <w:rsid w:val="002255FD"/>
    <w:rsid w:val="0022588B"/>
    <w:rsid w:val="0022687A"/>
    <w:rsid w:val="00230728"/>
    <w:rsid w:val="00234040"/>
    <w:rsid w:val="00234B84"/>
    <w:rsid w:val="00235CD2"/>
    <w:rsid w:val="002360EE"/>
    <w:rsid w:val="00240A15"/>
    <w:rsid w:val="00240C79"/>
    <w:rsid w:val="00246886"/>
    <w:rsid w:val="00251C84"/>
    <w:rsid w:val="002523AC"/>
    <w:rsid w:val="0025493B"/>
    <w:rsid w:val="00254DED"/>
    <w:rsid w:val="00255619"/>
    <w:rsid w:val="00255DAD"/>
    <w:rsid w:val="00256108"/>
    <w:rsid w:val="00257B76"/>
    <w:rsid w:val="002606C1"/>
    <w:rsid w:val="00260F33"/>
    <w:rsid w:val="002611FC"/>
    <w:rsid w:val="002613BD"/>
    <w:rsid w:val="00261A01"/>
    <w:rsid w:val="002624F1"/>
    <w:rsid w:val="0026566C"/>
    <w:rsid w:val="00266C25"/>
    <w:rsid w:val="00266F7A"/>
    <w:rsid w:val="00270C81"/>
    <w:rsid w:val="00271558"/>
    <w:rsid w:val="00274661"/>
    <w:rsid w:val="002747DE"/>
    <w:rsid w:val="00274862"/>
    <w:rsid w:val="002777CC"/>
    <w:rsid w:val="00280760"/>
    <w:rsid w:val="002807E3"/>
    <w:rsid w:val="00281514"/>
    <w:rsid w:val="00281F81"/>
    <w:rsid w:val="00282D72"/>
    <w:rsid w:val="00283402"/>
    <w:rsid w:val="00285030"/>
    <w:rsid w:val="00286ECA"/>
    <w:rsid w:val="00290FD6"/>
    <w:rsid w:val="002914AF"/>
    <w:rsid w:val="00293894"/>
    <w:rsid w:val="00294259"/>
    <w:rsid w:val="00294A76"/>
    <w:rsid w:val="00295490"/>
    <w:rsid w:val="00296E77"/>
    <w:rsid w:val="002A2C81"/>
    <w:rsid w:val="002A4A44"/>
    <w:rsid w:val="002A4F6F"/>
    <w:rsid w:val="002A5124"/>
    <w:rsid w:val="002A6589"/>
    <w:rsid w:val="002A6BBA"/>
    <w:rsid w:val="002B212C"/>
    <w:rsid w:val="002B36B9"/>
    <w:rsid w:val="002B3D1A"/>
    <w:rsid w:val="002B4798"/>
    <w:rsid w:val="002C06C5"/>
    <w:rsid w:val="002C27BF"/>
    <w:rsid w:val="002C27D0"/>
    <w:rsid w:val="002C2C9B"/>
    <w:rsid w:val="002C5570"/>
    <w:rsid w:val="002D007C"/>
    <w:rsid w:val="002D0F10"/>
    <w:rsid w:val="002D17D6"/>
    <w:rsid w:val="002D18D7"/>
    <w:rsid w:val="002D21CE"/>
    <w:rsid w:val="002D4883"/>
    <w:rsid w:val="002D4EFB"/>
    <w:rsid w:val="002D597B"/>
    <w:rsid w:val="002D65F0"/>
    <w:rsid w:val="002E3519"/>
    <w:rsid w:val="002E3745"/>
    <w:rsid w:val="002E3DA3"/>
    <w:rsid w:val="002E3EDC"/>
    <w:rsid w:val="002E450F"/>
    <w:rsid w:val="002E6B38"/>
    <w:rsid w:val="002E6D63"/>
    <w:rsid w:val="002E6E2B"/>
    <w:rsid w:val="002F033F"/>
    <w:rsid w:val="002F4B2D"/>
    <w:rsid w:val="002F500B"/>
    <w:rsid w:val="002F5AB1"/>
    <w:rsid w:val="002F6DB5"/>
    <w:rsid w:val="002F714C"/>
    <w:rsid w:val="002F79AD"/>
    <w:rsid w:val="00300991"/>
    <w:rsid w:val="00301959"/>
    <w:rsid w:val="00302DB6"/>
    <w:rsid w:val="00303DBB"/>
    <w:rsid w:val="00305B8A"/>
    <w:rsid w:val="00307CD6"/>
    <w:rsid w:val="00311099"/>
    <w:rsid w:val="00313D3E"/>
    <w:rsid w:val="003179E4"/>
    <w:rsid w:val="003227DC"/>
    <w:rsid w:val="00325357"/>
    <w:rsid w:val="00331BF9"/>
    <w:rsid w:val="0033495E"/>
    <w:rsid w:val="00334A79"/>
    <w:rsid w:val="00334ACD"/>
    <w:rsid w:val="00334D8D"/>
    <w:rsid w:val="00337345"/>
    <w:rsid w:val="00337B5A"/>
    <w:rsid w:val="00337DD2"/>
    <w:rsid w:val="003404D1"/>
    <w:rsid w:val="00340923"/>
    <w:rsid w:val="003443FF"/>
    <w:rsid w:val="003457A4"/>
    <w:rsid w:val="00345EAD"/>
    <w:rsid w:val="003470E6"/>
    <w:rsid w:val="0035079B"/>
    <w:rsid w:val="00355808"/>
    <w:rsid w:val="00356449"/>
    <w:rsid w:val="00362C7E"/>
    <w:rsid w:val="00363309"/>
    <w:rsid w:val="00363601"/>
    <w:rsid w:val="003649DC"/>
    <w:rsid w:val="00366E15"/>
    <w:rsid w:val="00367A62"/>
    <w:rsid w:val="00371108"/>
    <w:rsid w:val="0037157C"/>
    <w:rsid w:val="00372C3E"/>
    <w:rsid w:val="00376AC9"/>
    <w:rsid w:val="003835F2"/>
    <w:rsid w:val="003837B6"/>
    <w:rsid w:val="00390F56"/>
    <w:rsid w:val="003927DC"/>
    <w:rsid w:val="00393032"/>
    <w:rsid w:val="00394B69"/>
    <w:rsid w:val="00395B7F"/>
    <w:rsid w:val="00397078"/>
    <w:rsid w:val="003A2D76"/>
    <w:rsid w:val="003A43DD"/>
    <w:rsid w:val="003A43F0"/>
    <w:rsid w:val="003A6953"/>
    <w:rsid w:val="003A6CC6"/>
    <w:rsid w:val="003A7663"/>
    <w:rsid w:val="003B01BD"/>
    <w:rsid w:val="003B1187"/>
    <w:rsid w:val="003B1ED3"/>
    <w:rsid w:val="003B2009"/>
    <w:rsid w:val="003B3D39"/>
    <w:rsid w:val="003B6083"/>
    <w:rsid w:val="003C3838"/>
    <w:rsid w:val="003C5847"/>
    <w:rsid w:val="003D0681"/>
    <w:rsid w:val="003D12F6"/>
    <w:rsid w:val="003D1426"/>
    <w:rsid w:val="003D1442"/>
    <w:rsid w:val="003D730A"/>
    <w:rsid w:val="003D7FF7"/>
    <w:rsid w:val="003E00CB"/>
    <w:rsid w:val="003E036C"/>
    <w:rsid w:val="003E2F4E"/>
    <w:rsid w:val="003E59FE"/>
    <w:rsid w:val="003E720A"/>
    <w:rsid w:val="003F10B5"/>
    <w:rsid w:val="003F6DBA"/>
    <w:rsid w:val="003F7799"/>
    <w:rsid w:val="00402ADA"/>
    <w:rsid w:val="00403E6E"/>
    <w:rsid w:val="00405A8D"/>
    <w:rsid w:val="00405D35"/>
    <w:rsid w:val="004116B7"/>
    <w:rsid w:val="004129B4"/>
    <w:rsid w:val="00417EF0"/>
    <w:rsid w:val="004218E7"/>
    <w:rsid w:val="00421BAF"/>
    <w:rsid w:val="00422181"/>
    <w:rsid w:val="004244A8"/>
    <w:rsid w:val="00425F72"/>
    <w:rsid w:val="00427736"/>
    <w:rsid w:val="00427F8D"/>
    <w:rsid w:val="004312D5"/>
    <w:rsid w:val="00431D59"/>
    <w:rsid w:val="00441787"/>
    <w:rsid w:val="004438EB"/>
    <w:rsid w:val="00444F2D"/>
    <w:rsid w:val="00446DF1"/>
    <w:rsid w:val="00446DF5"/>
    <w:rsid w:val="00452034"/>
    <w:rsid w:val="00454274"/>
    <w:rsid w:val="00455FA6"/>
    <w:rsid w:val="0045602F"/>
    <w:rsid w:val="004560EA"/>
    <w:rsid w:val="0045666E"/>
    <w:rsid w:val="00460C7E"/>
    <w:rsid w:val="00462D37"/>
    <w:rsid w:val="00466C70"/>
    <w:rsid w:val="004702C9"/>
    <w:rsid w:val="00472E45"/>
    <w:rsid w:val="00473FEA"/>
    <w:rsid w:val="0047579D"/>
    <w:rsid w:val="00480DBE"/>
    <w:rsid w:val="00481506"/>
    <w:rsid w:val="00483262"/>
    <w:rsid w:val="00484107"/>
    <w:rsid w:val="0048493F"/>
    <w:rsid w:val="00484F1E"/>
    <w:rsid w:val="00485CC5"/>
    <w:rsid w:val="00486A8D"/>
    <w:rsid w:val="00491683"/>
    <w:rsid w:val="0049343F"/>
    <w:rsid w:val="004942B6"/>
    <w:rsid w:val="004964FC"/>
    <w:rsid w:val="00496C91"/>
    <w:rsid w:val="004A0D61"/>
    <w:rsid w:val="004A145E"/>
    <w:rsid w:val="004A1F15"/>
    <w:rsid w:val="004A2A81"/>
    <w:rsid w:val="004A2AC8"/>
    <w:rsid w:val="004A7BD7"/>
    <w:rsid w:val="004B03DD"/>
    <w:rsid w:val="004B2944"/>
    <w:rsid w:val="004B4CFF"/>
    <w:rsid w:val="004B4FF2"/>
    <w:rsid w:val="004B554F"/>
    <w:rsid w:val="004C0800"/>
    <w:rsid w:val="004C11A2"/>
    <w:rsid w:val="004C15C2"/>
    <w:rsid w:val="004C2126"/>
    <w:rsid w:val="004C25B6"/>
    <w:rsid w:val="004C36D8"/>
    <w:rsid w:val="004C52D6"/>
    <w:rsid w:val="004C6A0C"/>
    <w:rsid w:val="004D1248"/>
    <w:rsid w:val="004D1582"/>
    <w:rsid w:val="004D1E3C"/>
    <w:rsid w:val="004D2415"/>
    <w:rsid w:val="004D4169"/>
    <w:rsid w:val="004D5F36"/>
    <w:rsid w:val="004D5FEA"/>
    <w:rsid w:val="004D65F9"/>
    <w:rsid w:val="004D6E14"/>
    <w:rsid w:val="004E11AC"/>
    <w:rsid w:val="004E13B3"/>
    <w:rsid w:val="004E19A8"/>
    <w:rsid w:val="004E4F90"/>
    <w:rsid w:val="004F0B2D"/>
    <w:rsid w:val="004F0B6A"/>
    <w:rsid w:val="004F43E7"/>
    <w:rsid w:val="004F4E17"/>
    <w:rsid w:val="004F561B"/>
    <w:rsid w:val="0050082F"/>
    <w:rsid w:val="00500C56"/>
    <w:rsid w:val="00501713"/>
    <w:rsid w:val="0050225B"/>
    <w:rsid w:val="00504DE9"/>
    <w:rsid w:val="005063B7"/>
    <w:rsid w:val="00506568"/>
    <w:rsid w:val="00507E98"/>
    <w:rsid w:val="00512266"/>
    <w:rsid w:val="0051398C"/>
    <w:rsid w:val="00514BBB"/>
    <w:rsid w:val="0051551B"/>
    <w:rsid w:val="00515724"/>
    <w:rsid w:val="00517EB5"/>
    <w:rsid w:val="00520C57"/>
    <w:rsid w:val="00520F0F"/>
    <w:rsid w:val="00522D94"/>
    <w:rsid w:val="0052336B"/>
    <w:rsid w:val="00533D89"/>
    <w:rsid w:val="00534353"/>
    <w:rsid w:val="00535F9B"/>
    <w:rsid w:val="00536564"/>
    <w:rsid w:val="00544597"/>
    <w:rsid w:val="00544FFE"/>
    <w:rsid w:val="005473F5"/>
    <w:rsid w:val="005477E7"/>
    <w:rsid w:val="00552794"/>
    <w:rsid w:val="0055777E"/>
    <w:rsid w:val="0056185E"/>
    <w:rsid w:val="00563199"/>
    <w:rsid w:val="00564874"/>
    <w:rsid w:val="00564DDA"/>
    <w:rsid w:val="00567584"/>
    <w:rsid w:val="00567963"/>
    <w:rsid w:val="0057009A"/>
    <w:rsid w:val="0057102C"/>
    <w:rsid w:val="00571260"/>
    <w:rsid w:val="0057189C"/>
    <w:rsid w:val="00572D85"/>
    <w:rsid w:val="00573FC1"/>
    <w:rsid w:val="005741EE"/>
    <w:rsid w:val="0057668E"/>
    <w:rsid w:val="00576D58"/>
    <w:rsid w:val="0057757B"/>
    <w:rsid w:val="005818CA"/>
    <w:rsid w:val="00583E0A"/>
    <w:rsid w:val="005863D1"/>
    <w:rsid w:val="00594CE2"/>
    <w:rsid w:val="00595E83"/>
    <w:rsid w:val="00596530"/>
    <w:rsid w:val="005967F3"/>
    <w:rsid w:val="00597DA6"/>
    <w:rsid w:val="005A06DF"/>
    <w:rsid w:val="005A5527"/>
    <w:rsid w:val="005A5AE6"/>
    <w:rsid w:val="005A665D"/>
    <w:rsid w:val="005A749B"/>
    <w:rsid w:val="005B0173"/>
    <w:rsid w:val="005B1206"/>
    <w:rsid w:val="005B37E8"/>
    <w:rsid w:val="005B3BAA"/>
    <w:rsid w:val="005B65F5"/>
    <w:rsid w:val="005C0056"/>
    <w:rsid w:val="005C0C4A"/>
    <w:rsid w:val="005C3202"/>
    <w:rsid w:val="005C4092"/>
    <w:rsid w:val="005C4DE7"/>
    <w:rsid w:val="005C5A15"/>
    <w:rsid w:val="005D0C52"/>
    <w:rsid w:val="005D61D6"/>
    <w:rsid w:val="005D7BAA"/>
    <w:rsid w:val="005E0D13"/>
    <w:rsid w:val="005E31AC"/>
    <w:rsid w:val="005E36D6"/>
    <w:rsid w:val="005E5047"/>
    <w:rsid w:val="005E7205"/>
    <w:rsid w:val="005E7371"/>
    <w:rsid w:val="005F116C"/>
    <w:rsid w:val="005F2131"/>
    <w:rsid w:val="005F599D"/>
    <w:rsid w:val="005F7D02"/>
    <w:rsid w:val="00605EF6"/>
    <w:rsid w:val="00606455"/>
    <w:rsid w:val="00607011"/>
    <w:rsid w:val="006101E7"/>
    <w:rsid w:val="00611DAD"/>
    <w:rsid w:val="00614929"/>
    <w:rsid w:val="00616511"/>
    <w:rsid w:val="006176ED"/>
    <w:rsid w:val="00617DBD"/>
    <w:rsid w:val="006202F3"/>
    <w:rsid w:val="0062097A"/>
    <w:rsid w:val="00621DA6"/>
    <w:rsid w:val="00623CFE"/>
    <w:rsid w:val="0062621E"/>
    <w:rsid w:val="00627221"/>
    <w:rsid w:val="00627EE8"/>
    <w:rsid w:val="006316FA"/>
    <w:rsid w:val="006319D2"/>
    <w:rsid w:val="00634348"/>
    <w:rsid w:val="00636D1F"/>
    <w:rsid w:val="006370D2"/>
    <w:rsid w:val="0064074F"/>
    <w:rsid w:val="00641882"/>
    <w:rsid w:val="00641F55"/>
    <w:rsid w:val="0064563D"/>
    <w:rsid w:val="00645E4A"/>
    <w:rsid w:val="006469EF"/>
    <w:rsid w:val="00653688"/>
    <w:rsid w:val="00657198"/>
    <w:rsid w:val="0066091B"/>
    <w:rsid w:val="00661132"/>
    <w:rsid w:val="006646A7"/>
    <w:rsid w:val="00665E21"/>
    <w:rsid w:val="006660E9"/>
    <w:rsid w:val="00667249"/>
    <w:rsid w:val="00667558"/>
    <w:rsid w:val="00670024"/>
    <w:rsid w:val="0067116C"/>
    <w:rsid w:val="00671523"/>
    <w:rsid w:val="006754EF"/>
    <w:rsid w:val="00676C8D"/>
    <w:rsid w:val="00676F1F"/>
    <w:rsid w:val="00677381"/>
    <w:rsid w:val="00677414"/>
    <w:rsid w:val="00680198"/>
    <w:rsid w:val="006804B4"/>
    <w:rsid w:val="006832CF"/>
    <w:rsid w:val="006846F5"/>
    <w:rsid w:val="00685207"/>
    <w:rsid w:val="0068601E"/>
    <w:rsid w:val="0069148C"/>
    <w:rsid w:val="00691C5A"/>
    <w:rsid w:val="0069486B"/>
    <w:rsid w:val="00696D6F"/>
    <w:rsid w:val="00697735"/>
    <w:rsid w:val="006A4904"/>
    <w:rsid w:val="006A4EA3"/>
    <w:rsid w:val="006A548F"/>
    <w:rsid w:val="006A6316"/>
    <w:rsid w:val="006A701A"/>
    <w:rsid w:val="006B0D54"/>
    <w:rsid w:val="006B20F6"/>
    <w:rsid w:val="006B2E72"/>
    <w:rsid w:val="006B2F22"/>
    <w:rsid w:val="006B440C"/>
    <w:rsid w:val="006B64DC"/>
    <w:rsid w:val="006B7A91"/>
    <w:rsid w:val="006C1543"/>
    <w:rsid w:val="006C6CA6"/>
    <w:rsid w:val="006C7FC1"/>
    <w:rsid w:val="006D09AE"/>
    <w:rsid w:val="006D413F"/>
    <w:rsid w:val="006D46C4"/>
    <w:rsid w:val="006D4704"/>
    <w:rsid w:val="006D5499"/>
    <w:rsid w:val="006D6A2D"/>
    <w:rsid w:val="006E1AE6"/>
    <w:rsid w:val="006E1E18"/>
    <w:rsid w:val="006E1EC5"/>
    <w:rsid w:val="006E31CE"/>
    <w:rsid w:val="006E34D3"/>
    <w:rsid w:val="006E64AD"/>
    <w:rsid w:val="006E7B0A"/>
    <w:rsid w:val="006F087C"/>
    <w:rsid w:val="006F1435"/>
    <w:rsid w:val="006F1BCE"/>
    <w:rsid w:val="006F3DD2"/>
    <w:rsid w:val="006F78C4"/>
    <w:rsid w:val="00700278"/>
    <w:rsid w:val="00700739"/>
    <w:rsid w:val="007024B3"/>
    <w:rsid w:val="00702687"/>
    <w:rsid w:val="007031A0"/>
    <w:rsid w:val="0070469E"/>
    <w:rsid w:val="0070551D"/>
    <w:rsid w:val="00705A29"/>
    <w:rsid w:val="00707498"/>
    <w:rsid w:val="00707B98"/>
    <w:rsid w:val="007111F4"/>
    <w:rsid w:val="00711A65"/>
    <w:rsid w:val="00714133"/>
    <w:rsid w:val="00714DA4"/>
    <w:rsid w:val="007158B2"/>
    <w:rsid w:val="00716081"/>
    <w:rsid w:val="007165EE"/>
    <w:rsid w:val="00716971"/>
    <w:rsid w:val="00717E00"/>
    <w:rsid w:val="00722B48"/>
    <w:rsid w:val="00724164"/>
    <w:rsid w:val="00725DE7"/>
    <w:rsid w:val="0072636A"/>
    <w:rsid w:val="00726B44"/>
    <w:rsid w:val="007273E4"/>
    <w:rsid w:val="00727555"/>
    <w:rsid w:val="007318DD"/>
    <w:rsid w:val="00731A10"/>
    <w:rsid w:val="00733167"/>
    <w:rsid w:val="00733521"/>
    <w:rsid w:val="00735D78"/>
    <w:rsid w:val="00737E33"/>
    <w:rsid w:val="007405BD"/>
    <w:rsid w:val="00740D2C"/>
    <w:rsid w:val="00744B1A"/>
    <w:rsid w:val="00744BF9"/>
    <w:rsid w:val="00745B93"/>
    <w:rsid w:val="00751098"/>
    <w:rsid w:val="00752623"/>
    <w:rsid w:val="00752A1E"/>
    <w:rsid w:val="00754BDD"/>
    <w:rsid w:val="0075502A"/>
    <w:rsid w:val="00755039"/>
    <w:rsid w:val="00755434"/>
    <w:rsid w:val="007573DD"/>
    <w:rsid w:val="007606D5"/>
    <w:rsid w:val="00760E43"/>
    <w:rsid w:val="00760F1F"/>
    <w:rsid w:val="0076423E"/>
    <w:rsid w:val="007646CB"/>
    <w:rsid w:val="00764800"/>
    <w:rsid w:val="00764ED7"/>
    <w:rsid w:val="0076658F"/>
    <w:rsid w:val="00767EDC"/>
    <w:rsid w:val="0077040A"/>
    <w:rsid w:val="00771485"/>
    <w:rsid w:val="007719FA"/>
    <w:rsid w:val="00771CB5"/>
    <w:rsid w:val="007724F7"/>
    <w:rsid w:val="00772D64"/>
    <w:rsid w:val="007773A0"/>
    <w:rsid w:val="00783E67"/>
    <w:rsid w:val="00784E63"/>
    <w:rsid w:val="00785921"/>
    <w:rsid w:val="00790C83"/>
    <w:rsid w:val="00791BA1"/>
    <w:rsid w:val="00792609"/>
    <w:rsid w:val="00792837"/>
    <w:rsid w:val="00792887"/>
    <w:rsid w:val="00792ED8"/>
    <w:rsid w:val="007943E2"/>
    <w:rsid w:val="00794BB2"/>
    <w:rsid w:val="00794F2C"/>
    <w:rsid w:val="00796460"/>
    <w:rsid w:val="00796E83"/>
    <w:rsid w:val="00797EF4"/>
    <w:rsid w:val="007A01CC"/>
    <w:rsid w:val="007A3BC7"/>
    <w:rsid w:val="007A429B"/>
    <w:rsid w:val="007A5AC4"/>
    <w:rsid w:val="007A701D"/>
    <w:rsid w:val="007B063A"/>
    <w:rsid w:val="007B0FDD"/>
    <w:rsid w:val="007B4802"/>
    <w:rsid w:val="007B6668"/>
    <w:rsid w:val="007B6B33"/>
    <w:rsid w:val="007C0299"/>
    <w:rsid w:val="007C122A"/>
    <w:rsid w:val="007C19C8"/>
    <w:rsid w:val="007C2701"/>
    <w:rsid w:val="007C3AA7"/>
    <w:rsid w:val="007C4CD7"/>
    <w:rsid w:val="007C5894"/>
    <w:rsid w:val="007D2192"/>
    <w:rsid w:val="007D3B78"/>
    <w:rsid w:val="007D5262"/>
    <w:rsid w:val="007D5AB2"/>
    <w:rsid w:val="007D5B9E"/>
    <w:rsid w:val="007D7650"/>
    <w:rsid w:val="007E0D6B"/>
    <w:rsid w:val="007E3900"/>
    <w:rsid w:val="007E3B24"/>
    <w:rsid w:val="007E5077"/>
    <w:rsid w:val="007E5BC1"/>
    <w:rsid w:val="007E6420"/>
    <w:rsid w:val="007E708A"/>
    <w:rsid w:val="007F0021"/>
    <w:rsid w:val="007F2F52"/>
    <w:rsid w:val="007F300F"/>
    <w:rsid w:val="00801F71"/>
    <w:rsid w:val="00805934"/>
    <w:rsid w:val="00805F28"/>
    <w:rsid w:val="00806413"/>
    <w:rsid w:val="0080749F"/>
    <w:rsid w:val="0081033A"/>
    <w:rsid w:val="00811D46"/>
    <w:rsid w:val="00811E50"/>
    <w:rsid w:val="008125B0"/>
    <w:rsid w:val="008144CB"/>
    <w:rsid w:val="00814D4D"/>
    <w:rsid w:val="00815901"/>
    <w:rsid w:val="008160AA"/>
    <w:rsid w:val="00816BA0"/>
    <w:rsid w:val="00817409"/>
    <w:rsid w:val="00817E42"/>
    <w:rsid w:val="008203C0"/>
    <w:rsid w:val="008209F2"/>
    <w:rsid w:val="00821717"/>
    <w:rsid w:val="00821ECC"/>
    <w:rsid w:val="00823C70"/>
    <w:rsid w:val="00823F99"/>
    <w:rsid w:val="0082400D"/>
    <w:rsid w:val="00824210"/>
    <w:rsid w:val="00825932"/>
    <w:rsid w:val="008263C0"/>
    <w:rsid w:val="00826F67"/>
    <w:rsid w:val="00830688"/>
    <w:rsid w:val="00831B33"/>
    <w:rsid w:val="00833355"/>
    <w:rsid w:val="00836D0A"/>
    <w:rsid w:val="008375D9"/>
    <w:rsid w:val="00840429"/>
    <w:rsid w:val="00840C8A"/>
    <w:rsid w:val="00840CDA"/>
    <w:rsid w:val="00841176"/>
    <w:rsid w:val="008411FE"/>
    <w:rsid w:val="00841422"/>
    <w:rsid w:val="00841D3B"/>
    <w:rsid w:val="008424F9"/>
    <w:rsid w:val="0084314C"/>
    <w:rsid w:val="00843171"/>
    <w:rsid w:val="00847528"/>
    <w:rsid w:val="00852852"/>
    <w:rsid w:val="00855F98"/>
    <w:rsid w:val="008575C3"/>
    <w:rsid w:val="00863D28"/>
    <w:rsid w:val="00864100"/>
    <w:rsid w:val="008648C3"/>
    <w:rsid w:val="00872133"/>
    <w:rsid w:val="008732C1"/>
    <w:rsid w:val="008751AB"/>
    <w:rsid w:val="0087623C"/>
    <w:rsid w:val="008779B8"/>
    <w:rsid w:val="0088003C"/>
    <w:rsid w:val="00880F26"/>
    <w:rsid w:val="00881ED2"/>
    <w:rsid w:val="00886A8A"/>
    <w:rsid w:val="008934A9"/>
    <w:rsid w:val="00894A5E"/>
    <w:rsid w:val="00895FA5"/>
    <w:rsid w:val="00896C2E"/>
    <w:rsid w:val="008A3E48"/>
    <w:rsid w:val="008A441E"/>
    <w:rsid w:val="008A5095"/>
    <w:rsid w:val="008A608F"/>
    <w:rsid w:val="008B1A9A"/>
    <w:rsid w:val="008B41A2"/>
    <w:rsid w:val="008B4747"/>
    <w:rsid w:val="008B4FE6"/>
    <w:rsid w:val="008B6C37"/>
    <w:rsid w:val="008C3717"/>
    <w:rsid w:val="008C3979"/>
    <w:rsid w:val="008C4FDE"/>
    <w:rsid w:val="008C51C9"/>
    <w:rsid w:val="008C57BE"/>
    <w:rsid w:val="008C7586"/>
    <w:rsid w:val="008D126B"/>
    <w:rsid w:val="008D1CDD"/>
    <w:rsid w:val="008D2FAB"/>
    <w:rsid w:val="008D3C4A"/>
    <w:rsid w:val="008D4E88"/>
    <w:rsid w:val="008D5EB1"/>
    <w:rsid w:val="008E18F7"/>
    <w:rsid w:val="008E1E10"/>
    <w:rsid w:val="008E2008"/>
    <w:rsid w:val="008E291B"/>
    <w:rsid w:val="008E4F2F"/>
    <w:rsid w:val="008E5094"/>
    <w:rsid w:val="008E74B0"/>
    <w:rsid w:val="008E7BE9"/>
    <w:rsid w:val="008F0D5A"/>
    <w:rsid w:val="008F2BD1"/>
    <w:rsid w:val="008F6214"/>
    <w:rsid w:val="009001E7"/>
    <w:rsid w:val="009008A8"/>
    <w:rsid w:val="00900C5B"/>
    <w:rsid w:val="00900CB2"/>
    <w:rsid w:val="0090273A"/>
    <w:rsid w:val="009063B0"/>
    <w:rsid w:val="00907106"/>
    <w:rsid w:val="00907B95"/>
    <w:rsid w:val="009107FD"/>
    <w:rsid w:val="0091137C"/>
    <w:rsid w:val="00911567"/>
    <w:rsid w:val="0091722B"/>
    <w:rsid w:val="00917AAE"/>
    <w:rsid w:val="009209A1"/>
    <w:rsid w:val="009248F9"/>
    <w:rsid w:val="009251A9"/>
    <w:rsid w:val="00925379"/>
    <w:rsid w:val="009277DB"/>
    <w:rsid w:val="00930699"/>
    <w:rsid w:val="0093089E"/>
    <w:rsid w:val="00931F69"/>
    <w:rsid w:val="009336E4"/>
    <w:rsid w:val="009338FF"/>
    <w:rsid w:val="00934123"/>
    <w:rsid w:val="00934204"/>
    <w:rsid w:val="009346D9"/>
    <w:rsid w:val="00934A15"/>
    <w:rsid w:val="00937B18"/>
    <w:rsid w:val="00941CF8"/>
    <w:rsid w:val="009440D1"/>
    <w:rsid w:val="00944CCE"/>
    <w:rsid w:val="009465FA"/>
    <w:rsid w:val="00952719"/>
    <w:rsid w:val="009548C1"/>
    <w:rsid w:val="0095506B"/>
    <w:rsid w:val="00955774"/>
    <w:rsid w:val="00955C05"/>
    <w:rsid w:val="00955C14"/>
    <w:rsid w:val="009560B5"/>
    <w:rsid w:val="0096216D"/>
    <w:rsid w:val="00966CD4"/>
    <w:rsid w:val="00967A66"/>
    <w:rsid w:val="00967C90"/>
    <w:rsid w:val="009703D6"/>
    <w:rsid w:val="0097058D"/>
    <w:rsid w:val="009716A3"/>
    <w:rsid w:val="0097181B"/>
    <w:rsid w:val="00972D47"/>
    <w:rsid w:val="00976DC5"/>
    <w:rsid w:val="00981373"/>
    <w:rsid w:val="009818C7"/>
    <w:rsid w:val="00982DD4"/>
    <w:rsid w:val="009841E5"/>
    <w:rsid w:val="0098479F"/>
    <w:rsid w:val="00984A8A"/>
    <w:rsid w:val="009857B6"/>
    <w:rsid w:val="00985A8D"/>
    <w:rsid w:val="00986610"/>
    <w:rsid w:val="00986A5F"/>
    <w:rsid w:val="009877DC"/>
    <w:rsid w:val="009902DB"/>
    <w:rsid w:val="00991DAC"/>
    <w:rsid w:val="00991F96"/>
    <w:rsid w:val="0099364D"/>
    <w:rsid w:val="009948D4"/>
    <w:rsid w:val="00994BC3"/>
    <w:rsid w:val="00995C6A"/>
    <w:rsid w:val="009960C6"/>
    <w:rsid w:val="00996C39"/>
    <w:rsid w:val="00996F0A"/>
    <w:rsid w:val="009A1D86"/>
    <w:rsid w:val="009A1FF8"/>
    <w:rsid w:val="009A32C6"/>
    <w:rsid w:val="009A46DA"/>
    <w:rsid w:val="009A7F94"/>
    <w:rsid w:val="009B049C"/>
    <w:rsid w:val="009B0943"/>
    <w:rsid w:val="009B1059"/>
    <w:rsid w:val="009B11C8"/>
    <w:rsid w:val="009B2BCF"/>
    <w:rsid w:val="009B2FF8"/>
    <w:rsid w:val="009B5BA3"/>
    <w:rsid w:val="009B6091"/>
    <w:rsid w:val="009B7E64"/>
    <w:rsid w:val="009C6473"/>
    <w:rsid w:val="009C6F02"/>
    <w:rsid w:val="009C79AE"/>
    <w:rsid w:val="009C7CA7"/>
    <w:rsid w:val="009C7EF4"/>
    <w:rsid w:val="009D0027"/>
    <w:rsid w:val="009D0655"/>
    <w:rsid w:val="009D159E"/>
    <w:rsid w:val="009D372F"/>
    <w:rsid w:val="009D51CE"/>
    <w:rsid w:val="009D6593"/>
    <w:rsid w:val="009E00F2"/>
    <w:rsid w:val="009E0372"/>
    <w:rsid w:val="009E038E"/>
    <w:rsid w:val="009E1567"/>
    <w:rsid w:val="009E1E98"/>
    <w:rsid w:val="009E3ABE"/>
    <w:rsid w:val="009E3C4B"/>
    <w:rsid w:val="009E3F5B"/>
    <w:rsid w:val="009F0637"/>
    <w:rsid w:val="009F0D4F"/>
    <w:rsid w:val="009F15EB"/>
    <w:rsid w:val="009F20DE"/>
    <w:rsid w:val="009F3C52"/>
    <w:rsid w:val="009F62A6"/>
    <w:rsid w:val="009F674F"/>
    <w:rsid w:val="009F799E"/>
    <w:rsid w:val="00A00719"/>
    <w:rsid w:val="00A01495"/>
    <w:rsid w:val="00A01ADC"/>
    <w:rsid w:val="00A01B2E"/>
    <w:rsid w:val="00A02020"/>
    <w:rsid w:val="00A02BF0"/>
    <w:rsid w:val="00A02DB1"/>
    <w:rsid w:val="00A0559E"/>
    <w:rsid w:val="00A056CB"/>
    <w:rsid w:val="00A07A29"/>
    <w:rsid w:val="00A10FF1"/>
    <w:rsid w:val="00A13449"/>
    <w:rsid w:val="00A1506B"/>
    <w:rsid w:val="00A1636A"/>
    <w:rsid w:val="00A17CB2"/>
    <w:rsid w:val="00A201F2"/>
    <w:rsid w:val="00A213E4"/>
    <w:rsid w:val="00A227C1"/>
    <w:rsid w:val="00A23191"/>
    <w:rsid w:val="00A24C38"/>
    <w:rsid w:val="00A271BB"/>
    <w:rsid w:val="00A319C0"/>
    <w:rsid w:val="00A33560"/>
    <w:rsid w:val="00A33FEA"/>
    <w:rsid w:val="00A364E4"/>
    <w:rsid w:val="00A366E7"/>
    <w:rsid w:val="00A371A5"/>
    <w:rsid w:val="00A37589"/>
    <w:rsid w:val="00A37A08"/>
    <w:rsid w:val="00A42C26"/>
    <w:rsid w:val="00A47BDF"/>
    <w:rsid w:val="00A51CD7"/>
    <w:rsid w:val="00A52ADB"/>
    <w:rsid w:val="00A533E8"/>
    <w:rsid w:val="00A542D9"/>
    <w:rsid w:val="00A56E64"/>
    <w:rsid w:val="00A624C3"/>
    <w:rsid w:val="00A6309B"/>
    <w:rsid w:val="00A662CC"/>
    <w:rsid w:val="00A6641C"/>
    <w:rsid w:val="00A66E0E"/>
    <w:rsid w:val="00A6733A"/>
    <w:rsid w:val="00A7147B"/>
    <w:rsid w:val="00A7440B"/>
    <w:rsid w:val="00A749C5"/>
    <w:rsid w:val="00A74BE2"/>
    <w:rsid w:val="00A757ED"/>
    <w:rsid w:val="00A767D2"/>
    <w:rsid w:val="00A77616"/>
    <w:rsid w:val="00A805DA"/>
    <w:rsid w:val="00A811B4"/>
    <w:rsid w:val="00A87CDE"/>
    <w:rsid w:val="00A92BAF"/>
    <w:rsid w:val="00A93F39"/>
    <w:rsid w:val="00A94737"/>
    <w:rsid w:val="00A94BA3"/>
    <w:rsid w:val="00A96CBA"/>
    <w:rsid w:val="00AA4C48"/>
    <w:rsid w:val="00AA7187"/>
    <w:rsid w:val="00AA75E1"/>
    <w:rsid w:val="00AA79E3"/>
    <w:rsid w:val="00AA7C1B"/>
    <w:rsid w:val="00AB1ACD"/>
    <w:rsid w:val="00AB277F"/>
    <w:rsid w:val="00AB4099"/>
    <w:rsid w:val="00AB449A"/>
    <w:rsid w:val="00AB67FA"/>
    <w:rsid w:val="00AB6CAB"/>
    <w:rsid w:val="00AC0330"/>
    <w:rsid w:val="00AC6CD6"/>
    <w:rsid w:val="00AD14F9"/>
    <w:rsid w:val="00AD2273"/>
    <w:rsid w:val="00AD35D6"/>
    <w:rsid w:val="00AD3D00"/>
    <w:rsid w:val="00AD58C5"/>
    <w:rsid w:val="00AE02FA"/>
    <w:rsid w:val="00AE070F"/>
    <w:rsid w:val="00AE36C4"/>
    <w:rsid w:val="00AE472C"/>
    <w:rsid w:val="00AE5375"/>
    <w:rsid w:val="00AE6CF8"/>
    <w:rsid w:val="00AF1103"/>
    <w:rsid w:val="00AF20F8"/>
    <w:rsid w:val="00AF41A8"/>
    <w:rsid w:val="00AF4CAC"/>
    <w:rsid w:val="00AF5735"/>
    <w:rsid w:val="00AF5EA8"/>
    <w:rsid w:val="00B03455"/>
    <w:rsid w:val="00B03E0D"/>
    <w:rsid w:val="00B04D3E"/>
    <w:rsid w:val="00B054F8"/>
    <w:rsid w:val="00B07064"/>
    <w:rsid w:val="00B10540"/>
    <w:rsid w:val="00B126A1"/>
    <w:rsid w:val="00B14BBE"/>
    <w:rsid w:val="00B16071"/>
    <w:rsid w:val="00B17B44"/>
    <w:rsid w:val="00B202B3"/>
    <w:rsid w:val="00B2219A"/>
    <w:rsid w:val="00B25382"/>
    <w:rsid w:val="00B27821"/>
    <w:rsid w:val="00B3581B"/>
    <w:rsid w:val="00B36B81"/>
    <w:rsid w:val="00B36C87"/>
    <w:rsid w:val="00B36FEE"/>
    <w:rsid w:val="00B37C80"/>
    <w:rsid w:val="00B4328D"/>
    <w:rsid w:val="00B44A30"/>
    <w:rsid w:val="00B44C50"/>
    <w:rsid w:val="00B45B1E"/>
    <w:rsid w:val="00B46147"/>
    <w:rsid w:val="00B5092B"/>
    <w:rsid w:val="00B5194E"/>
    <w:rsid w:val="00B51AF5"/>
    <w:rsid w:val="00B52C52"/>
    <w:rsid w:val="00B5313D"/>
    <w:rsid w:val="00B531FC"/>
    <w:rsid w:val="00B54374"/>
    <w:rsid w:val="00B55347"/>
    <w:rsid w:val="00B57E5E"/>
    <w:rsid w:val="00B61101"/>
    <w:rsid w:val="00B61F37"/>
    <w:rsid w:val="00B6208A"/>
    <w:rsid w:val="00B64CB4"/>
    <w:rsid w:val="00B70764"/>
    <w:rsid w:val="00B71002"/>
    <w:rsid w:val="00B72F0D"/>
    <w:rsid w:val="00B73060"/>
    <w:rsid w:val="00B738F4"/>
    <w:rsid w:val="00B743FC"/>
    <w:rsid w:val="00B7770F"/>
    <w:rsid w:val="00B77A89"/>
    <w:rsid w:val="00B77B27"/>
    <w:rsid w:val="00B812AA"/>
    <w:rsid w:val="00B8134E"/>
    <w:rsid w:val="00B81B55"/>
    <w:rsid w:val="00B83905"/>
    <w:rsid w:val="00B84613"/>
    <w:rsid w:val="00B87AF0"/>
    <w:rsid w:val="00B9037B"/>
    <w:rsid w:val="00B90CF2"/>
    <w:rsid w:val="00B910BD"/>
    <w:rsid w:val="00B93834"/>
    <w:rsid w:val="00B96469"/>
    <w:rsid w:val="00BA0DA2"/>
    <w:rsid w:val="00BA0E04"/>
    <w:rsid w:val="00BA2981"/>
    <w:rsid w:val="00BA42EE"/>
    <w:rsid w:val="00BA48F9"/>
    <w:rsid w:val="00BA68E2"/>
    <w:rsid w:val="00BB0DCA"/>
    <w:rsid w:val="00BB2666"/>
    <w:rsid w:val="00BB2A1E"/>
    <w:rsid w:val="00BB49DB"/>
    <w:rsid w:val="00BB4E92"/>
    <w:rsid w:val="00BB5142"/>
    <w:rsid w:val="00BB5DBB"/>
    <w:rsid w:val="00BB652D"/>
    <w:rsid w:val="00BB6B80"/>
    <w:rsid w:val="00BB7320"/>
    <w:rsid w:val="00BB7822"/>
    <w:rsid w:val="00BC3773"/>
    <w:rsid w:val="00BC381A"/>
    <w:rsid w:val="00BC65C6"/>
    <w:rsid w:val="00BD0167"/>
    <w:rsid w:val="00BD0962"/>
    <w:rsid w:val="00BD1EED"/>
    <w:rsid w:val="00BD261B"/>
    <w:rsid w:val="00BD42E1"/>
    <w:rsid w:val="00BE32AA"/>
    <w:rsid w:val="00BE608E"/>
    <w:rsid w:val="00BF0DA2"/>
    <w:rsid w:val="00BF109C"/>
    <w:rsid w:val="00BF335B"/>
    <w:rsid w:val="00BF34FA"/>
    <w:rsid w:val="00BF6667"/>
    <w:rsid w:val="00C004B6"/>
    <w:rsid w:val="00C008E5"/>
    <w:rsid w:val="00C01DF9"/>
    <w:rsid w:val="00C047A7"/>
    <w:rsid w:val="00C04D96"/>
    <w:rsid w:val="00C05DE5"/>
    <w:rsid w:val="00C06944"/>
    <w:rsid w:val="00C10459"/>
    <w:rsid w:val="00C128C5"/>
    <w:rsid w:val="00C145B4"/>
    <w:rsid w:val="00C14686"/>
    <w:rsid w:val="00C14A80"/>
    <w:rsid w:val="00C21484"/>
    <w:rsid w:val="00C245EC"/>
    <w:rsid w:val="00C253BD"/>
    <w:rsid w:val="00C2674D"/>
    <w:rsid w:val="00C27060"/>
    <w:rsid w:val="00C277A1"/>
    <w:rsid w:val="00C3294C"/>
    <w:rsid w:val="00C32E63"/>
    <w:rsid w:val="00C33027"/>
    <w:rsid w:val="00C338CE"/>
    <w:rsid w:val="00C34A34"/>
    <w:rsid w:val="00C37667"/>
    <w:rsid w:val="00C40F83"/>
    <w:rsid w:val="00C42763"/>
    <w:rsid w:val="00C433D9"/>
    <w:rsid w:val="00C4359F"/>
    <w:rsid w:val="00C435DB"/>
    <w:rsid w:val="00C440DE"/>
    <w:rsid w:val="00C44D73"/>
    <w:rsid w:val="00C44F72"/>
    <w:rsid w:val="00C465B2"/>
    <w:rsid w:val="00C472BA"/>
    <w:rsid w:val="00C50175"/>
    <w:rsid w:val="00C50B42"/>
    <w:rsid w:val="00C516FF"/>
    <w:rsid w:val="00C5171E"/>
    <w:rsid w:val="00C52B5C"/>
    <w:rsid w:val="00C52BFA"/>
    <w:rsid w:val="00C52FB6"/>
    <w:rsid w:val="00C53D1D"/>
    <w:rsid w:val="00C53F26"/>
    <w:rsid w:val="00C540BC"/>
    <w:rsid w:val="00C64F7D"/>
    <w:rsid w:val="00C67309"/>
    <w:rsid w:val="00C70A86"/>
    <w:rsid w:val="00C70DE9"/>
    <w:rsid w:val="00C7353E"/>
    <w:rsid w:val="00C7614E"/>
    <w:rsid w:val="00C76579"/>
    <w:rsid w:val="00C77B61"/>
    <w:rsid w:val="00C77BF1"/>
    <w:rsid w:val="00C80D60"/>
    <w:rsid w:val="00C818C4"/>
    <w:rsid w:val="00C81D1A"/>
    <w:rsid w:val="00C82CAF"/>
    <w:rsid w:val="00C82FBD"/>
    <w:rsid w:val="00C85267"/>
    <w:rsid w:val="00C8721B"/>
    <w:rsid w:val="00C9372C"/>
    <w:rsid w:val="00C9470E"/>
    <w:rsid w:val="00C94A45"/>
    <w:rsid w:val="00C94CCE"/>
    <w:rsid w:val="00C95CEB"/>
    <w:rsid w:val="00C9662E"/>
    <w:rsid w:val="00CA1054"/>
    <w:rsid w:val="00CA2EF8"/>
    <w:rsid w:val="00CA3787"/>
    <w:rsid w:val="00CA543A"/>
    <w:rsid w:val="00CA5D54"/>
    <w:rsid w:val="00CA63EB"/>
    <w:rsid w:val="00CA69F1"/>
    <w:rsid w:val="00CA7CF2"/>
    <w:rsid w:val="00CB369C"/>
    <w:rsid w:val="00CB5557"/>
    <w:rsid w:val="00CB5B15"/>
    <w:rsid w:val="00CB6991"/>
    <w:rsid w:val="00CB70D0"/>
    <w:rsid w:val="00CC08C4"/>
    <w:rsid w:val="00CC1B41"/>
    <w:rsid w:val="00CC5E99"/>
    <w:rsid w:val="00CC6194"/>
    <w:rsid w:val="00CC6305"/>
    <w:rsid w:val="00CC6FFB"/>
    <w:rsid w:val="00CC78A5"/>
    <w:rsid w:val="00CD0516"/>
    <w:rsid w:val="00CD66B1"/>
    <w:rsid w:val="00CD756B"/>
    <w:rsid w:val="00CD7D9B"/>
    <w:rsid w:val="00CE043D"/>
    <w:rsid w:val="00CE0CBA"/>
    <w:rsid w:val="00CE13D2"/>
    <w:rsid w:val="00CE52BB"/>
    <w:rsid w:val="00CE734F"/>
    <w:rsid w:val="00CE73EE"/>
    <w:rsid w:val="00CF112E"/>
    <w:rsid w:val="00CF161D"/>
    <w:rsid w:val="00CF3C0A"/>
    <w:rsid w:val="00CF5F4F"/>
    <w:rsid w:val="00D0580D"/>
    <w:rsid w:val="00D06B9D"/>
    <w:rsid w:val="00D12A93"/>
    <w:rsid w:val="00D131E1"/>
    <w:rsid w:val="00D218DC"/>
    <w:rsid w:val="00D21FEE"/>
    <w:rsid w:val="00D22C79"/>
    <w:rsid w:val="00D24E56"/>
    <w:rsid w:val="00D253C6"/>
    <w:rsid w:val="00D27A23"/>
    <w:rsid w:val="00D31643"/>
    <w:rsid w:val="00D31AEB"/>
    <w:rsid w:val="00D324E3"/>
    <w:rsid w:val="00D32ECD"/>
    <w:rsid w:val="00D34E23"/>
    <w:rsid w:val="00D351E7"/>
    <w:rsid w:val="00D361E4"/>
    <w:rsid w:val="00D41DF9"/>
    <w:rsid w:val="00D4201B"/>
    <w:rsid w:val="00D42466"/>
    <w:rsid w:val="00D42A8F"/>
    <w:rsid w:val="00D4316B"/>
    <w:rsid w:val="00D439F6"/>
    <w:rsid w:val="00D459C6"/>
    <w:rsid w:val="00D460E9"/>
    <w:rsid w:val="00D46902"/>
    <w:rsid w:val="00D5017A"/>
    <w:rsid w:val="00D50729"/>
    <w:rsid w:val="00D50C19"/>
    <w:rsid w:val="00D5339C"/>
    <w:rsid w:val="00D5379E"/>
    <w:rsid w:val="00D56363"/>
    <w:rsid w:val="00D6064D"/>
    <w:rsid w:val="00D62643"/>
    <w:rsid w:val="00D6277A"/>
    <w:rsid w:val="00D62C8F"/>
    <w:rsid w:val="00D63C52"/>
    <w:rsid w:val="00D64C0F"/>
    <w:rsid w:val="00D665BD"/>
    <w:rsid w:val="00D66856"/>
    <w:rsid w:val="00D6717A"/>
    <w:rsid w:val="00D711DC"/>
    <w:rsid w:val="00D71D9D"/>
    <w:rsid w:val="00D71E72"/>
    <w:rsid w:val="00D72EFE"/>
    <w:rsid w:val="00D7614A"/>
    <w:rsid w:val="00D76227"/>
    <w:rsid w:val="00D77DF1"/>
    <w:rsid w:val="00D814F6"/>
    <w:rsid w:val="00D84729"/>
    <w:rsid w:val="00D86AFF"/>
    <w:rsid w:val="00D93C2B"/>
    <w:rsid w:val="00D95579"/>
    <w:rsid w:val="00D95A44"/>
    <w:rsid w:val="00D95D16"/>
    <w:rsid w:val="00D97C76"/>
    <w:rsid w:val="00DA1591"/>
    <w:rsid w:val="00DA1DE6"/>
    <w:rsid w:val="00DA3413"/>
    <w:rsid w:val="00DA68D9"/>
    <w:rsid w:val="00DB02B4"/>
    <w:rsid w:val="00DB0686"/>
    <w:rsid w:val="00DB0D1C"/>
    <w:rsid w:val="00DB199F"/>
    <w:rsid w:val="00DB42BC"/>
    <w:rsid w:val="00DB4FF2"/>
    <w:rsid w:val="00DB538D"/>
    <w:rsid w:val="00DC185F"/>
    <w:rsid w:val="00DC275C"/>
    <w:rsid w:val="00DC4B0D"/>
    <w:rsid w:val="00DC5FDB"/>
    <w:rsid w:val="00DC6D9C"/>
    <w:rsid w:val="00DC7FE1"/>
    <w:rsid w:val="00DD23D1"/>
    <w:rsid w:val="00DD3F3F"/>
    <w:rsid w:val="00DD5572"/>
    <w:rsid w:val="00DD5BFA"/>
    <w:rsid w:val="00DD70FA"/>
    <w:rsid w:val="00DD7901"/>
    <w:rsid w:val="00DE1D0B"/>
    <w:rsid w:val="00DE33DD"/>
    <w:rsid w:val="00DE5D80"/>
    <w:rsid w:val="00DF062D"/>
    <w:rsid w:val="00DF3632"/>
    <w:rsid w:val="00DF58CD"/>
    <w:rsid w:val="00DF65DE"/>
    <w:rsid w:val="00E019A5"/>
    <w:rsid w:val="00E02EC8"/>
    <w:rsid w:val="00E037F5"/>
    <w:rsid w:val="00E04ECB"/>
    <w:rsid w:val="00E05A09"/>
    <w:rsid w:val="00E06CA1"/>
    <w:rsid w:val="00E13C02"/>
    <w:rsid w:val="00E15821"/>
    <w:rsid w:val="00E15B93"/>
    <w:rsid w:val="00E16963"/>
    <w:rsid w:val="00E17173"/>
    <w:rsid w:val="00E172B8"/>
    <w:rsid w:val="00E17CF1"/>
    <w:rsid w:val="00E17FB4"/>
    <w:rsid w:val="00E20B75"/>
    <w:rsid w:val="00E20C11"/>
    <w:rsid w:val="00E214F2"/>
    <w:rsid w:val="00E21E63"/>
    <w:rsid w:val="00E2353C"/>
    <w:rsid w:val="00E2371E"/>
    <w:rsid w:val="00E23D63"/>
    <w:rsid w:val="00E24BD7"/>
    <w:rsid w:val="00E26523"/>
    <w:rsid w:val="00E26809"/>
    <w:rsid w:val="00E32CF3"/>
    <w:rsid w:val="00E3412D"/>
    <w:rsid w:val="00E36AD8"/>
    <w:rsid w:val="00E40211"/>
    <w:rsid w:val="00E45CA5"/>
    <w:rsid w:val="00E50C8E"/>
    <w:rsid w:val="00E512E4"/>
    <w:rsid w:val="00E5188F"/>
    <w:rsid w:val="00E57322"/>
    <w:rsid w:val="00E57589"/>
    <w:rsid w:val="00E60A4B"/>
    <w:rsid w:val="00E6199B"/>
    <w:rsid w:val="00E628CB"/>
    <w:rsid w:val="00E62AD9"/>
    <w:rsid w:val="00E638C8"/>
    <w:rsid w:val="00E65C44"/>
    <w:rsid w:val="00E669E0"/>
    <w:rsid w:val="00E6710E"/>
    <w:rsid w:val="00E7509B"/>
    <w:rsid w:val="00E761A3"/>
    <w:rsid w:val="00E766C0"/>
    <w:rsid w:val="00E82C5F"/>
    <w:rsid w:val="00E8473F"/>
    <w:rsid w:val="00E85A64"/>
    <w:rsid w:val="00E85BF0"/>
    <w:rsid w:val="00E86562"/>
    <w:rsid w:val="00E86590"/>
    <w:rsid w:val="00E86933"/>
    <w:rsid w:val="00E87902"/>
    <w:rsid w:val="00E907FF"/>
    <w:rsid w:val="00E937EE"/>
    <w:rsid w:val="00E93CA5"/>
    <w:rsid w:val="00EA045E"/>
    <w:rsid w:val="00EA0E74"/>
    <w:rsid w:val="00EA42D1"/>
    <w:rsid w:val="00EA42EF"/>
    <w:rsid w:val="00EA5A66"/>
    <w:rsid w:val="00EB1B87"/>
    <w:rsid w:val="00EB2BDA"/>
    <w:rsid w:val="00EB2DD1"/>
    <w:rsid w:val="00EB3C26"/>
    <w:rsid w:val="00EB4763"/>
    <w:rsid w:val="00EB509A"/>
    <w:rsid w:val="00EB5172"/>
    <w:rsid w:val="00EB6B37"/>
    <w:rsid w:val="00EC05DD"/>
    <w:rsid w:val="00EC1419"/>
    <w:rsid w:val="00EC264B"/>
    <w:rsid w:val="00EC29FE"/>
    <w:rsid w:val="00EC2D1F"/>
    <w:rsid w:val="00EC3C70"/>
    <w:rsid w:val="00EC5903"/>
    <w:rsid w:val="00EC5C1B"/>
    <w:rsid w:val="00ED2149"/>
    <w:rsid w:val="00ED36DD"/>
    <w:rsid w:val="00ED3A3D"/>
    <w:rsid w:val="00ED4964"/>
    <w:rsid w:val="00ED538A"/>
    <w:rsid w:val="00ED6FBC"/>
    <w:rsid w:val="00ED7723"/>
    <w:rsid w:val="00EE0416"/>
    <w:rsid w:val="00EE1EBB"/>
    <w:rsid w:val="00EE1FD8"/>
    <w:rsid w:val="00EE2F16"/>
    <w:rsid w:val="00EE3861"/>
    <w:rsid w:val="00EE6EF2"/>
    <w:rsid w:val="00EE7E3B"/>
    <w:rsid w:val="00EF16CB"/>
    <w:rsid w:val="00EF19FC"/>
    <w:rsid w:val="00EF1E80"/>
    <w:rsid w:val="00EF2E1E"/>
    <w:rsid w:val="00EF2E73"/>
    <w:rsid w:val="00EF4776"/>
    <w:rsid w:val="00EF5BC2"/>
    <w:rsid w:val="00EF7683"/>
    <w:rsid w:val="00EF7A2D"/>
    <w:rsid w:val="00F04F8D"/>
    <w:rsid w:val="00F055EC"/>
    <w:rsid w:val="00F06057"/>
    <w:rsid w:val="00F06C27"/>
    <w:rsid w:val="00F107CA"/>
    <w:rsid w:val="00F10AD0"/>
    <w:rsid w:val="00F116CC"/>
    <w:rsid w:val="00F121D5"/>
    <w:rsid w:val="00F12BD1"/>
    <w:rsid w:val="00F14827"/>
    <w:rsid w:val="00F14EC4"/>
    <w:rsid w:val="00F15327"/>
    <w:rsid w:val="00F168CF"/>
    <w:rsid w:val="00F17D31"/>
    <w:rsid w:val="00F20A3D"/>
    <w:rsid w:val="00F210FC"/>
    <w:rsid w:val="00F240D7"/>
    <w:rsid w:val="00F2555C"/>
    <w:rsid w:val="00F306FC"/>
    <w:rsid w:val="00F31DF3"/>
    <w:rsid w:val="00F33AE5"/>
    <w:rsid w:val="00F3597D"/>
    <w:rsid w:val="00F35C25"/>
    <w:rsid w:val="00F363BF"/>
    <w:rsid w:val="00F367F7"/>
    <w:rsid w:val="00F37257"/>
    <w:rsid w:val="00F4025C"/>
    <w:rsid w:val="00F40C09"/>
    <w:rsid w:val="00F429D9"/>
    <w:rsid w:val="00F4376D"/>
    <w:rsid w:val="00F43793"/>
    <w:rsid w:val="00F44CFF"/>
    <w:rsid w:val="00F45399"/>
    <w:rsid w:val="00F45BFE"/>
    <w:rsid w:val="00F465EA"/>
    <w:rsid w:val="00F47022"/>
    <w:rsid w:val="00F51561"/>
    <w:rsid w:val="00F52097"/>
    <w:rsid w:val="00F52CCD"/>
    <w:rsid w:val="00F547B0"/>
    <w:rsid w:val="00F54E7B"/>
    <w:rsid w:val="00F5579C"/>
    <w:rsid w:val="00F55A88"/>
    <w:rsid w:val="00F56D81"/>
    <w:rsid w:val="00F61978"/>
    <w:rsid w:val="00F6298A"/>
    <w:rsid w:val="00F65717"/>
    <w:rsid w:val="00F70BDE"/>
    <w:rsid w:val="00F71B73"/>
    <w:rsid w:val="00F729B2"/>
    <w:rsid w:val="00F72F39"/>
    <w:rsid w:val="00F74005"/>
    <w:rsid w:val="00F76884"/>
    <w:rsid w:val="00F8048F"/>
    <w:rsid w:val="00F83D24"/>
    <w:rsid w:val="00F83DD9"/>
    <w:rsid w:val="00F83F40"/>
    <w:rsid w:val="00F87223"/>
    <w:rsid w:val="00F927FF"/>
    <w:rsid w:val="00F92985"/>
    <w:rsid w:val="00F93A6E"/>
    <w:rsid w:val="00F9799F"/>
    <w:rsid w:val="00FA117A"/>
    <w:rsid w:val="00FA16C2"/>
    <w:rsid w:val="00FA2E74"/>
    <w:rsid w:val="00FA4FC5"/>
    <w:rsid w:val="00FA5A31"/>
    <w:rsid w:val="00FB386A"/>
    <w:rsid w:val="00FB49CB"/>
    <w:rsid w:val="00FB4E8B"/>
    <w:rsid w:val="00FB6600"/>
    <w:rsid w:val="00FB7C73"/>
    <w:rsid w:val="00FC0786"/>
    <w:rsid w:val="00FC11E4"/>
    <w:rsid w:val="00FC49EF"/>
    <w:rsid w:val="00FC6516"/>
    <w:rsid w:val="00FD40D5"/>
    <w:rsid w:val="00FD4644"/>
    <w:rsid w:val="00FD655A"/>
    <w:rsid w:val="00FE36E2"/>
    <w:rsid w:val="00FE6219"/>
    <w:rsid w:val="00FE72AA"/>
    <w:rsid w:val="00FF11AD"/>
    <w:rsid w:val="00FF2971"/>
    <w:rsid w:val="00FF2B0F"/>
    <w:rsid w:val="00FF33A3"/>
    <w:rsid w:val="00FF34D4"/>
    <w:rsid w:val="1BC60551"/>
    <w:rsid w:val="326DA245"/>
    <w:rsid w:val="76AA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446A8"/>
  <w15:chartTrackingRefBased/>
  <w15:docId w15:val="{7F8402DE-94CC-48E0-A551-5D6F7BC8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,List Paragraph"/>
    <w:basedOn w:val="Normalny"/>
    <w:link w:val="AkapitzlistZnak"/>
    <w:uiPriority w:val="99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Podrozdział,Podrozdział Znak,Podrozdział Znak Znak,Tekst przypisu,tekst przypisu,tekst przypisu1,tekst przypisu2,tekst przypisu3,tekst przypisu4,tekst przypisu5,tekst przypisu11,tekst przypisu21,tekst przypisu31,tekst przypisu41,o"/>
    <w:basedOn w:val="Normalny"/>
    <w:link w:val="TekstprzypisudolnegoZnak"/>
    <w:uiPriority w:val="99"/>
    <w:unhideWhenUsed/>
    <w:qFormat/>
    <w:rsid w:val="00C047A7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Tekst przypisu Znak,tekst przypisu Znak,tekst przypisu1 Znak,tekst przypisu2 Znak,tekst przypisu3 Znak,tekst przypisu4 Znak,tekst przypisu5 Znak,o Znak"/>
    <w:link w:val="Tekstprzypisudolnego"/>
    <w:uiPriority w:val="99"/>
    <w:rsid w:val="00C047A7"/>
    <w:rPr>
      <w:lang w:eastAsia="en-US"/>
    </w:rPr>
  </w:style>
  <w:style w:type="character" w:styleId="Odwoanieprzypisudolnego">
    <w:name w:val="footnote reference"/>
    <w:aliases w:val="Footnote Reference Number,stylish Car Car,Footnote Refernece Car Car,BVI fnr Car Car,Fußnotenzeichen_Raxen Car Car,callout Car Car,Footnote Reference Number Car Car,Footnote Reference Superscript Car Car,Footnote symbol"/>
    <w:link w:val="stylishCar"/>
    <w:uiPriority w:val="99"/>
    <w:unhideWhenUsed/>
    <w:qFormat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4E11AC"/>
    <w:rPr>
      <w:sz w:val="22"/>
      <w:szCs w:val="22"/>
      <w:lang w:eastAsia="en-US"/>
    </w:rPr>
  </w:style>
  <w:style w:type="character" w:customStyle="1" w:styleId="normaltextrun">
    <w:name w:val="normaltextrun"/>
    <w:rsid w:val="004E11AC"/>
  </w:style>
  <w:style w:type="character" w:customStyle="1" w:styleId="findhit">
    <w:name w:val="findhit"/>
    <w:rsid w:val="004E11AC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alny"/>
    <w:link w:val="Odwoanieprzypisudolnego"/>
    <w:uiPriority w:val="99"/>
    <w:rsid w:val="00EE0416"/>
    <w:pPr>
      <w:spacing w:after="160" w:line="240" w:lineRule="exact"/>
    </w:pPr>
    <w:rPr>
      <w:sz w:val="20"/>
      <w:szCs w:val="20"/>
      <w:vertAlign w:val="superscript"/>
      <w:lang w:eastAsia="pl-PL"/>
    </w:rPr>
  </w:style>
  <w:style w:type="character" w:styleId="Pogrubienie">
    <w:name w:val="Strong"/>
    <w:uiPriority w:val="22"/>
    <w:qFormat/>
    <w:locked/>
    <w:rsid w:val="00972D47"/>
    <w:rPr>
      <w:rFonts w:ascii="firabold" w:hAnsi="firabold" w:hint="default"/>
      <w:b w:val="0"/>
      <w:bCs w:val="0"/>
    </w:rPr>
  </w:style>
  <w:style w:type="paragraph" w:styleId="Poprawka">
    <w:name w:val="Revision"/>
    <w:hidden/>
    <w:uiPriority w:val="99"/>
    <w:semiHidden/>
    <w:rsid w:val="000E406E"/>
    <w:rPr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B72F0D"/>
    <w:pPr>
      <w:spacing w:line="360" w:lineRule="auto"/>
      <w:ind w:left="510" w:hanging="510"/>
      <w:jc w:val="both"/>
    </w:pPr>
    <w:rPr>
      <w:rFonts w:ascii="Times New Roman" w:eastAsia="Times New Roman" w:hAnsi="Times New Roman"/>
      <w:bCs/>
      <w:color w:val="000000" w:themeColor="text1"/>
      <w:sz w:val="24"/>
      <w:szCs w:val="24"/>
    </w:rPr>
  </w:style>
  <w:style w:type="character" w:customStyle="1" w:styleId="cf01">
    <w:name w:val="cf01"/>
    <w:basedOn w:val="Domylnaczcionkaakapitu"/>
    <w:rsid w:val="00B44C5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w.Daniel@cyfra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gdalena.Nowak-Kowalska@cyfra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in.lukasiewicz@cyfra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772EB4B39047F9B2BB2BCCCCF25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9C031-2509-47CB-8DE3-75AB895A29E1}"/>
      </w:docPartPr>
      <w:docPartBody>
        <w:p w:rsidR="00592057" w:rsidRDefault="00592057" w:rsidP="00592057">
          <w:pPr>
            <w:pStyle w:val="8F772EB4B39047F9B2BB2BCCCCF2553E"/>
          </w:pPr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57"/>
    <w:rsid w:val="0000313E"/>
    <w:rsid w:val="00032A95"/>
    <w:rsid w:val="00044553"/>
    <w:rsid w:val="0006329B"/>
    <w:rsid w:val="000647D8"/>
    <w:rsid w:val="00064BA0"/>
    <w:rsid w:val="000B0D7C"/>
    <w:rsid w:val="0010356A"/>
    <w:rsid w:val="00132196"/>
    <w:rsid w:val="00133EFA"/>
    <w:rsid w:val="00137786"/>
    <w:rsid w:val="001431AF"/>
    <w:rsid w:val="00144CE2"/>
    <w:rsid w:val="00154280"/>
    <w:rsid w:val="00161A5A"/>
    <w:rsid w:val="001A3EC7"/>
    <w:rsid w:val="001D6CE5"/>
    <w:rsid w:val="0023477D"/>
    <w:rsid w:val="00240C79"/>
    <w:rsid w:val="00295312"/>
    <w:rsid w:val="002B008C"/>
    <w:rsid w:val="002B27D3"/>
    <w:rsid w:val="002B6B67"/>
    <w:rsid w:val="002C6604"/>
    <w:rsid w:val="002D0F10"/>
    <w:rsid w:val="00337B5A"/>
    <w:rsid w:val="003632DE"/>
    <w:rsid w:val="00367A62"/>
    <w:rsid w:val="0038695E"/>
    <w:rsid w:val="003927DC"/>
    <w:rsid w:val="003D7FF7"/>
    <w:rsid w:val="003F27FF"/>
    <w:rsid w:val="004158E3"/>
    <w:rsid w:val="00424AF9"/>
    <w:rsid w:val="00431D59"/>
    <w:rsid w:val="00435B6C"/>
    <w:rsid w:val="00486A8D"/>
    <w:rsid w:val="004942B6"/>
    <w:rsid w:val="00515724"/>
    <w:rsid w:val="00534353"/>
    <w:rsid w:val="00541759"/>
    <w:rsid w:val="00590AFC"/>
    <w:rsid w:val="00592057"/>
    <w:rsid w:val="005C3202"/>
    <w:rsid w:val="005E5366"/>
    <w:rsid w:val="00611B2D"/>
    <w:rsid w:val="0065302E"/>
    <w:rsid w:val="00657198"/>
    <w:rsid w:val="0069148C"/>
    <w:rsid w:val="00696D6F"/>
    <w:rsid w:val="006D09AE"/>
    <w:rsid w:val="006E1AE6"/>
    <w:rsid w:val="00707B98"/>
    <w:rsid w:val="007237D1"/>
    <w:rsid w:val="007273E4"/>
    <w:rsid w:val="007550F5"/>
    <w:rsid w:val="00764800"/>
    <w:rsid w:val="007954FC"/>
    <w:rsid w:val="00816F7D"/>
    <w:rsid w:val="00817409"/>
    <w:rsid w:val="008411FE"/>
    <w:rsid w:val="00886D2C"/>
    <w:rsid w:val="008C7586"/>
    <w:rsid w:val="008D3536"/>
    <w:rsid w:val="008E5094"/>
    <w:rsid w:val="009001E7"/>
    <w:rsid w:val="00903D82"/>
    <w:rsid w:val="00907B95"/>
    <w:rsid w:val="009320FC"/>
    <w:rsid w:val="0093235C"/>
    <w:rsid w:val="00934A15"/>
    <w:rsid w:val="00961E28"/>
    <w:rsid w:val="0097058D"/>
    <w:rsid w:val="0099364D"/>
    <w:rsid w:val="009A32C6"/>
    <w:rsid w:val="009A4A65"/>
    <w:rsid w:val="009B12A7"/>
    <w:rsid w:val="009E4A95"/>
    <w:rsid w:val="009F5C52"/>
    <w:rsid w:val="00A01495"/>
    <w:rsid w:val="00A61156"/>
    <w:rsid w:val="00A61CEF"/>
    <w:rsid w:val="00A732EC"/>
    <w:rsid w:val="00A7440B"/>
    <w:rsid w:val="00A749C5"/>
    <w:rsid w:val="00A77DD9"/>
    <w:rsid w:val="00AA7187"/>
    <w:rsid w:val="00AE1098"/>
    <w:rsid w:val="00AF20F8"/>
    <w:rsid w:val="00B12A6C"/>
    <w:rsid w:val="00B6190F"/>
    <w:rsid w:val="00B61FE3"/>
    <w:rsid w:val="00B833A9"/>
    <w:rsid w:val="00B96DBF"/>
    <w:rsid w:val="00BA05DF"/>
    <w:rsid w:val="00BB49DB"/>
    <w:rsid w:val="00BB5DBB"/>
    <w:rsid w:val="00BC1D2C"/>
    <w:rsid w:val="00BE0410"/>
    <w:rsid w:val="00BF335B"/>
    <w:rsid w:val="00C008E5"/>
    <w:rsid w:val="00C03C66"/>
    <w:rsid w:val="00C14686"/>
    <w:rsid w:val="00C40F83"/>
    <w:rsid w:val="00C76579"/>
    <w:rsid w:val="00C81D1A"/>
    <w:rsid w:val="00CB30FC"/>
    <w:rsid w:val="00CD66B1"/>
    <w:rsid w:val="00D324E3"/>
    <w:rsid w:val="00D47692"/>
    <w:rsid w:val="00D63C52"/>
    <w:rsid w:val="00D814F6"/>
    <w:rsid w:val="00DC7B9C"/>
    <w:rsid w:val="00DE33DD"/>
    <w:rsid w:val="00E035A1"/>
    <w:rsid w:val="00E17CF1"/>
    <w:rsid w:val="00E30AF9"/>
    <w:rsid w:val="00E457B6"/>
    <w:rsid w:val="00E50C8E"/>
    <w:rsid w:val="00E51E1F"/>
    <w:rsid w:val="00E62DC9"/>
    <w:rsid w:val="00E661DB"/>
    <w:rsid w:val="00E669E0"/>
    <w:rsid w:val="00E721F2"/>
    <w:rsid w:val="00E75E06"/>
    <w:rsid w:val="00E766C0"/>
    <w:rsid w:val="00E777B7"/>
    <w:rsid w:val="00E87617"/>
    <w:rsid w:val="00E8776D"/>
    <w:rsid w:val="00E95662"/>
    <w:rsid w:val="00ED777D"/>
    <w:rsid w:val="00F37257"/>
    <w:rsid w:val="00F41EA5"/>
    <w:rsid w:val="00F429CB"/>
    <w:rsid w:val="00F52097"/>
    <w:rsid w:val="00F579E1"/>
    <w:rsid w:val="00F93A6E"/>
    <w:rsid w:val="00F97EF9"/>
    <w:rsid w:val="00FA2E74"/>
    <w:rsid w:val="00FC6516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057"/>
    <w:rPr>
      <w:color w:val="808080"/>
    </w:rPr>
  </w:style>
  <w:style w:type="paragraph" w:customStyle="1" w:styleId="8F772EB4B39047F9B2BB2BCCCCF2553E">
    <w:name w:val="8F772EB4B39047F9B2BB2BCCCCF2553E"/>
    <w:rsid w:val="0059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04BC500D33499CF7A8D84B855585" ma:contentTypeVersion="6" ma:contentTypeDescription="Utwórz nowy dokument." ma:contentTypeScope="" ma:versionID="edf4fda46bfa3916041f2bc5699d87a3">
  <xsd:schema xmlns:xsd="http://www.w3.org/2001/XMLSchema" xmlns:xs="http://www.w3.org/2001/XMLSchema" xmlns:p="http://schemas.microsoft.com/office/2006/metadata/properties" xmlns:ns2="dae98073-3a37-49e3-82c0-ba05dd56c598" xmlns:ns3="f651fe72-64ac-4af0-b802-1c66a6b13aaf" targetNamespace="http://schemas.microsoft.com/office/2006/metadata/properties" ma:root="true" ma:fieldsID="0ce30f84bb5fc1d1fd1563c1d7d7ed43" ns2:_="" ns3:_="">
    <xsd:import namespace="dae98073-3a37-49e3-82c0-ba05dd56c598"/>
    <xsd:import namespace="f651fe72-64ac-4af0-b802-1c66a6b13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073-3a37-49e3-82c0-ba05dd56c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e72-64ac-4af0-b802-1c66a6b13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51fe72-64ac-4af0-b802-1c66a6b13aaf">
      <UserInfo>
        <DisplayName>Osiński Janusz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4A23BF2-F4A1-4226-AB4E-D2B29B1B2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9F8A9-AE07-47FB-B926-0895BA2C0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193F4-2817-479A-B57D-36029DBED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98073-3a37-49e3-82c0-ba05dd56c598"/>
    <ds:schemaRef ds:uri="f651fe72-64ac-4af0-b802-1c66a6b13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323A8-93DB-4349-B53A-2974F4A5E9C5}">
  <ds:schemaRefs>
    <ds:schemaRef ds:uri="http://schemas.microsoft.com/office/2006/metadata/properties"/>
    <ds:schemaRef ds:uri="http://schemas.microsoft.com/office/infopath/2007/PartnerControls"/>
    <ds:schemaRef ds:uri="f651fe72-64ac-4af0-b802-1c66a6b13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5059</Words>
  <Characters>30354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Opolski Tomasz</dc:creator>
  <cp:keywords/>
  <cp:lastModifiedBy>DP WL</cp:lastModifiedBy>
  <cp:revision>2</cp:revision>
  <dcterms:created xsi:type="dcterms:W3CDTF">2026-06-22T08:34:00Z</dcterms:created>
  <dcterms:modified xsi:type="dcterms:W3CDTF">2026-06-22T08:34:00Z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0x010100043704BC500D33499CF7A8D84B855585</vt:lpwstr>
  </property>
</Properties>
</file>