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6C1809"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6C1809"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EB594D">
            <w:pPr>
              <w:pStyle w:val="Akapitzlist"/>
              <w:numPr>
                <w:ilvl w:val="0"/>
                <w:numId w:val="55"/>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304</w:t>
            </w:r>
          </w:p>
        </w:tc>
        <w:tc>
          <w:tcPr>
            <w:tcW w:w="2835" w:type="dxa"/>
            <w:gridSpan w:val="2"/>
          </w:tcPr>
          <w:p w:rsidR="00140CD8" w:rsidRPr="00140CD8" w:rsidRDefault="00140CD8" w:rsidP="00140CD8">
            <w:pPr>
              <w:ind w:hanging="34"/>
              <w:rPr>
                <w:rFonts w:ascii="Times New Roman" w:eastAsia="Times New Roman" w:hAnsi="Times New Roman" w:cs="Times New Roman"/>
              </w:rPr>
            </w:pPr>
            <w:bookmarkStart w:id="5" w:name="_Hlk132563226"/>
            <w:r w:rsidRPr="00140CD8">
              <w:rPr>
                <w:rFonts w:ascii="Times New Roman" w:eastAsia="Times New Roman" w:hAnsi="Times New Roman" w:cs="Times New Roman"/>
                <w:bCs/>
              </w:rPr>
              <w:t>Projekt rozporządzenia Ministra Obrony Narodowej w sprawie określenia wzoru protokołu czynności opusz</w:t>
            </w:r>
            <w:r w:rsidRPr="00140CD8">
              <w:rPr>
                <w:rFonts w:ascii="Times New Roman" w:eastAsia="Times New Roman" w:hAnsi="Times New Roman" w:cs="Times New Roman"/>
                <w:bCs/>
              </w:rPr>
              <w:lastRenderedPageBreak/>
              <w:t>czenia wspólnie zajmowanego mieszkania i jego bezpośredniego otoczenia, w związku z wydaniem nakazu i zakazu</w:t>
            </w:r>
            <w:bookmarkEnd w:id="5"/>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lastRenderedPageBreak/>
              <w:t>art. 18e ust. 8 ustawy z dnia 24 sierpnia 2001 r. o Żandarmerii Wojskowej i wojskowych organach porządkowych (Dz. U. z 2023 r. poz. 1266 i 1860)</w:t>
            </w:r>
          </w:p>
        </w:tc>
        <w:tc>
          <w:tcPr>
            <w:tcW w:w="3543" w:type="dxa"/>
            <w:gridSpan w:val="2"/>
          </w:tcPr>
          <w:p w:rsidR="00140CD8" w:rsidRDefault="00140CD8" w:rsidP="00140CD8">
            <w:pPr>
              <w:jc w:val="both"/>
              <w:rPr>
                <w:rFonts w:ascii="Times New Roman" w:hAnsi="Times New Roman"/>
                <w:bCs/>
                <w:color w:val="000000"/>
              </w:rPr>
            </w:pPr>
            <w:r>
              <w:rPr>
                <w:rFonts w:ascii="Times New Roman" w:hAnsi="Times New Roman"/>
                <w:bCs/>
                <w:color w:val="000000"/>
              </w:rPr>
              <w:t>R</w:t>
            </w:r>
            <w:r w:rsidRPr="00140CD8">
              <w:rPr>
                <w:rFonts w:ascii="Times New Roman" w:hAnsi="Times New Roman"/>
                <w:bCs/>
                <w:color w:val="000000"/>
              </w:rPr>
              <w:t>ozporządzenie wprowadza now</w:t>
            </w:r>
            <w:r>
              <w:rPr>
                <w:rFonts w:ascii="Times New Roman" w:hAnsi="Times New Roman"/>
                <w:bCs/>
                <w:color w:val="000000"/>
              </w:rPr>
              <w:t>y</w:t>
            </w:r>
            <w:r w:rsidRPr="00140CD8">
              <w:rPr>
                <w:rFonts w:ascii="Times New Roman" w:hAnsi="Times New Roman"/>
                <w:bCs/>
                <w:color w:val="000000"/>
              </w:rPr>
              <w:t xml:space="preserve"> wzór protokołu czynności opuszczenia wspólnie zajmowanego mieszkania i jego bezpośredniego otoczenia, </w:t>
            </w:r>
            <w:r w:rsidRPr="00140CD8">
              <w:rPr>
                <w:rFonts w:ascii="Times New Roman" w:hAnsi="Times New Roman"/>
                <w:bCs/>
                <w:color w:val="000000"/>
              </w:rPr>
              <w:lastRenderedPageBreak/>
              <w:t>w związku z wydaniem nakazu i zakazu</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40CD8" w:rsidRDefault="00140CD8" w:rsidP="00140CD8">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305</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określenia wzoru zawiadomienia osoby stosującej przemoc domową, wobec której został wydany nakaz i zakaz, zakaz zbliżania, zakaz kontaktowania lub zakaz wstępu, umieszczanego na drzwiach mieszkania wobec niemożności ich doręczenia</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18d ust. 5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 xml:space="preserve">Rozporządzenie </w:t>
            </w:r>
            <w:r w:rsidRPr="00140CD8">
              <w:rPr>
                <w:rFonts w:ascii="Times New Roman" w:hAnsi="Times New Roman"/>
                <w:bCs/>
                <w:color w:val="000000"/>
              </w:rPr>
              <w:t>wprowadza</w:t>
            </w:r>
            <w:r>
              <w:rPr>
                <w:rFonts w:ascii="Times New Roman" w:hAnsi="Times New Roman"/>
                <w:bCs/>
                <w:color w:val="000000"/>
              </w:rPr>
              <w:t xml:space="preserve"> nowy</w:t>
            </w:r>
            <w:r w:rsidRPr="00140CD8">
              <w:rPr>
                <w:rFonts w:ascii="Times New Roman" w:hAnsi="Times New Roman"/>
                <w:bCs/>
                <w:color w:val="000000"/>
              </w:rPr>
              <w:t xml:space="preserve"> wzór zawiadomienia osoby stosującej przemoc domową, wobec której został wydany nakaz i zakaz, zakaz zbliżania, zakaz kontaktowania lub zakaz wstępu, umieszczanego na drzwiach mieszkania wobec niemożności ich doręczenia.  </w:t>
            </w:r>
          </w:p>
          <w:p w:rsidR="00140CD8" w:rsidRDefault="00140CD8" w:rsidP="00140CD8">
            <w:pPr>
              <w:jc w:val="both"/>
              <w:rPr>
                <w:rFonts w:ascii="Times New Roman" w:hAnsi="Times New Roman"/>
                <w:bCs/>
                <w:color w:val="000000"/>
              </w:rPr>
            </w:pP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306</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wydawania przez żołnierza Żandarmerii Wojskowej wobec osoby stosującej przemoc domową nakazu i zakazu, zakazu zbliżania, zakazu kontaktowania oraz zakazu wstępu.</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18c ust. 2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Rozporządzenie wprowadza nowe wzory załączników</w:t>
            </w:r>
            <w:r w:rsidRPr="00140CD8">
              <w:rPr>
                <w:rFonts w:ascii="Times New Roman" w:hAnsi="Times New Roman"/>
                <w:bCs/>
                <w:color w:val="000000"/>
              </w:rPr>
              <w:t xml:space="preserve">:  </w:t>
            </w:r>
          </w:p>
          <w:p w:rsidR="00140CD8" w:rsidRPr="00140CD8" w:rsidRDefault="00140CD8" w:rsidP="00140CD8">
            <w:pPr>
              <w:jc w:val="both"/>
              <w:rPr>
                <w:rFonts w:ascii="Times New Roman" w:hAnsi="Times New Roman"/>
                <w:bCs/>
                <w:color w:val="000000"/>
              </w:rPr>
            </w:pPr>
            <w:r w:rsidRPr="00140CD8">
              <w:rPr>
                <w:rFonts w:ascii="Times New Roman" w:hAnsi="Times New Roman"/>
                <w:bCs/>
                <w:color w:val="000000"/>
              </w:rPr>
              <w:t>1)</w:t>
            </w:r>
            <w:r w:rsidRPr="00140CD8">
              <w:rPr>
                <w:rFonts w:ascii="Times New Roman" w:hAnsi="Times New Roman"/>
                <w:bCs/>
                <w:color w:val="000000"/>
              </w:rPr>
              <w:tab/>
              <w:t>wzór nakazu natychmiastowego opuszczenia wspólnie zajmowanego mieszkania i jego bezpośredniego otoczenia i zakazu zbliżania się do wspólnie zajmowanego mieszkania i jego bezpośredniego otoczenia; zakazu zbliżania się do osoby doznającej przemocy domowej na wyrażoną w metrach odległość; zakazu kontaktowania się z osobą doznającą przemocy domowej; zakazu wstępu na teren szkoły, placówki oświatowej, opiekuńczej lub artystycznej, obiektu sportowego lub miejsca pracy i przebywania na tym terenie;</w:t>
            </w:r>
          </w:p>
          <w:p w:rsidR="00140CD8" w:rsidRDefault="00140CD8" w:rsidP="00140CD8">
            <w:pPr>
              <w:jc w:val="both"/>
              <w:rPr>
                <w:rFonts w:ascii="Times New Roman" w:hAnsi="Times New Roman"/>
                <w:bCs/>
                <w:color w:val="000000"/>
              </w:rPr>
            </w:pPr>
            <w:r w:rsidRPr="00140CD8">
              <w:rPr>
                <w:rFonts w:ascii="Times New Roman" w:hAnsi="Times New Roman"/>
                <w:bCs/>
                <w:color w:val="000000"/>
              </w:rPr>
              <w:t>2)</w:t>
            </w:r>
            <w:r w:rsidRPr="00140CD8">
              <w:rPr>
                <w:rFonts w:ascii="Times New Roman" w:hAnsi="Times New Roman"/>
                <w:bCs/>
                <w:color w:val="000000"/>
              </w:rPr>
              <w:tab/>
              <w:t>wzór kwestionariusza szacowania ryzyka zagrożenia życia lub zdrowia ludzkiego służący stwie</w:t>
            </w:r>
            <w:r>
              <w:rPr>
                <w:rFonts w:ascii="Times New Roman" w:hAnsi="Times New Roman"/>
                <w:bCs/>
                <w:color w:val="000000"/>
              </w:rPr>
              <w:t>rdzeniu zasadności zatrzymania.</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307</w:t>
            </w:r>
          </w:p>
        </w:tc>
        <w:tc>
          <w:tcPr>
            <w:tcW w:w="2835" w:type="dxa"/>
            <w:gridSpan w:val="2"/>
          </w:tcPr>
          <w:p w:rsidR="00140CD8" w:rsidRPr="00140CD8" w:rsidRDefault="00140CD8" w:rsidP="00140CD8">
            <w:pPr>
              <w:ind w:hanging="34"/>
              <w:rPr>
                <w:rFonts w:ascii="Times New Roman" w:eastAsia="Times New Roman" w:hAnsi="Times New Roman" w:cs="Times New Roman"/>
              </w:rPr>
            </w:pPr>
            <w:r w:rsidRPr="00140CD8">
              <w:rPr>
                <w:rFonts w:ascii="Times New Roman" w:eastAsia="Times New Roman" w:hAnsi="Times New Roman" w:cs="Times New Roman"/>
                <w:bCs/>
              </w:rPr>
              <w:t>Projekt rozporządzenia Ministra Obrony Narodowej w sprawie określenia wzoru zawiadomienia osoby stosującej przemoc domową, wobec której został wydany nakaz i zakaz, zakaz zbliżania, zakaz kontaktowania lub zakaz wstępu, pozostawionego w razie niemożności doręczenia korespondencji</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18f ust. 4 ustawy z dnia 24 sierpnia 2001 r. o Żandarmerii Wojskowej i wojskowych organach porządkowych (Dz. U. z 2023 r. poz. 1266 i 1860)</w:t>
            </w:r>
          </w:p>
        </w:tc>
        <w:tc>
          <w:tcPr>
            <w:tcW w:w="3543" w:type="dxa"/>
            <w:gridSpan w:val="2"/>
          </w:tcPr>
          <w:p w:rsidR="00140CD8" w:rsidRDefault="000C1E17" w:rsidP="000C1E17">
            <w:pPr>
              <w:jc w:val="both"/>
              <w:rPr>
                <w:rFonts w:ascii="Times New Roman" w:hAnsi="Times New Roman"/>
                <w:bCs/>
                <w:color w:val="000000"/>
              </w:rPr>
            </w:pPr>
            <w:r>
              <w:rPr>
                <w:rFonts w:ascii="Times New Roman" w:hAnsi="Times New Roman"/>
                <w:bCs/>
                <w:color w:val="000000"/>
              </w:rPr>
              <w:t xml:space="preserve">Rozporządzenie </w:t>
            </w:r>
            <w:r w:rsidRPr="000C1E17">
              <w:rPr>
                <w:rFonts w:ascii="Times New Roman" w:hAnsi="Times New Roman"/>
                <w:bCs/>
                <w:color w:val="000000"/>
              </w:rPr>
              <w:t>wprowadza now</w:t>
            </w:r>
            <w:r>
              <w:rPr>
                <w:rFonts w:ascii="Times New Roman" w:hAnsi="Times New Roman"/>
                <w:bCs/>
                <w:color w:val="000000"/>
              </w:rPr>
              <w:t>y</w:t>
            </w:r>
            <w:r w:rsidRPr="000C1E17">
              <w:rPr>
                <w:rFonts w:ascii="Times New Roman" w:hAnsi="Times New Roman"/>
                <w:bCs/>
                <w:color w:val="000000"/>
              </w:rPr>
              <w:t xml:space="preserve"> wzór zawiadomienia osoby stosującej przemoc domową, wobec której został wydany nakaz i zakaz, zakaz zbliżania, zakaz kontaktowania lub zakaz wstępu, pozostawionego w razie niemożności doręczenia korespondencji</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BB3355" w:rsidRPr="00B65B8A" w:rsidTr="0066474C">
        <w:tblPrEx>
          <w:jc w:val="left"/>
          <w:shd w:val="clear" w:color="auto" w:fill="auto"/>
        </w:tblPrEx>
        <w:trPr>
          <w:gridAfter w:val="1"/>
          <w:wAfter w:w="113" w:type="dxa"/>
          <w:trHeight w:val="840"/>
        </w:trPr>
        <w:tc>
          <w:tcPr>
            <w:tcW w:w="846" w:type="dxa"/>
            <w:gridSpan w:val="2"/>
          </w:tcPr>
          <w:p w:rsidR="00BB3355" w:rsidRDefault="00BB3355"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308</w:t>
            </w:r>
          </w:p>
        </w:tc>
        <w:tc>
          <w:tcPr>
            <w:tcW w:w="2835" w:type="dxa"/>
            <w:gridSpan w:val="2"/>
          </w:tcPr>
          <w:p w:rsidR="00BB3355" w:rsidRPr="00BB3355" w:rsidRDefault="00BB3355" w:rsidP="00BB3355">
            <w:pPr>
              <w:ind w:hanging="34"/>
              <w:rPr>
                <w:rFonts w:ascii="Times New Roman" w:eastAsia="Times New Roman" w:hAnsi="Times New Roman" w:cs="Times New Roman"/>
              </w:rPr>
            </w:pPr>
            <w:r w:rsidRPr="00BB3355">
              <w:rPr>
                <w:rFonts w:ascii="Times New Roman" w:eastAsia="Times New Roman" w:hAnsi="Times New Roman" w:cs="Times New Roman"/>
              </w:rPr>
              <w:t>Projekt rozporządzenia Ministra Obrony Narodowej</w:t>
            </w:r>
            <w:r w:rsidRPr="00BB3355">
              <w:rPr>
                <w:rFonts w:ascii="Times New Roman" w:eastAsia="Times New Roman" w:hAnsi="Times New Roman" w:cs="Times New Roman"/>
                <w:bCs/>
              </w:rPr>
              <w:t xml:space="preserve"> zmieniającego rozporządzenie w sprawie wsparcia dla organu prowadzącego oddział przygotowania wojskowego</w:t>
            </w:r>
          </w:p>
        </w:tc>
        <w:tc>
          <w:tcPr>
            <w:tcW w:w="2977" w:type="dxa"/>
            <w:gridSpan w:val="2"/>
          </w:tcPr>
          <w:p w:rsidR="00BB3355" w:rsidRDefault="00BB3355" w:rsidP="00BB3355">
            <w:pPr>
              <w:rPr>
                <w:rFonts w:ascii="Times New Roman" w:hAnsi="Times New Roman"/>
                <w:color w:val="000000"/>
              </w:rPr>
            </w:pPr>
            <w:r w:rsidRPr="00BB3355">
              <w:rPr>
                <w:rFonts w:ascii="Times New Roman" w:hAnsi="Times New Roman"/>
                <w:color w:val="000000"/>
              </w:rPr>
              <w:t>art. 74 ust. 3 ustawy z dnia 27 października 2017 r. o finansowaniu zadań oświatowych (Dz.U. z 2023 r. poz. 1400)</w:t>
            </w:r>
          </w:p>
        </w:tc>
        <w:tc>
          <w:tcPr>
            <w:tcW w:w="3543" w:type="dxa"/>
            <w:gridSpan w:val="2"/>
          </w:tcPr>
          <w:p w:rsidR="00BB3355" w:rsidRPr="00BB3355" w:rsidRDefault="00BB3355" w:rsidP="00BB3355">
            <w:pPr>
              <w:jc w:val="both"/>
              <w:rPr>
                <w:rFonts w:ascii="Times New Roman" w:hAnsi="Times New Roman"/>
                <w:bCs/>
                <w:color w:val="000000"/>
              </w:rPr>
            </w:pPr>
            <w:r>
              <w:rPr>
                <w:rFonts w:ascii="Times New Roman" w:hAnsi="Times New Roman"/>
                <w:bCs/>
                <w:color w:val="000000"/>
              </w:rPr>
              <w:t xml:space="preserve">Rozporządzenie </w:t>
            </w:r>
            <w:r w:rsidRPr="00BB3355">
              <w:rPr>
                <w:rFonts w:ascii="Times New Roman" w:hAnsi="Times New Roman"/>
                <w:bCs/>
                <w:color w:val="000000"/>
              </w:rPr>
              <w:t>ma na celu umożliwienie dofinansowania w formie dotacji organu prowadzącego szkołę z oddziałem przygotowania wojskowego liczącym mniej niż 22 uczniów. Obecnie kryterium, które uzależnia możliwość ubiegania się o dotację, wynosi co najmniej 22 uczniów przyjętych do klasy I oddziału przygotowania wojskowego. Zmniejszenie tego kryterium do 15 uczniów umożliwi organom prowadzącym szkoły z oddziałami przygotowania wojskowego, którym w procesie rekrutacji nie udało się osiągnąć wymaganej liczby minimum 22 uczniów, ubieganie się o dofinansowanie m.in. zakupu całości albo części wyposażenia specjalistycznego dla tego oddziału oraz wszystkich elementów ubioru dla każdego ucznia rozpoczynającego naukę w klasie I.</w:t>
            </w:r>
          </w:p>
        </w:tc>
        <w:tc>
          <w:tcPr>
            <w:tcW w:w="1134" w:type="dxa"/>
            <w:gridSpan w:val="2"/>
          </w:tcPr>
          <w:p w:rsidR="00BB3355" w:rsidRDefault="00BB3355"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BB3355" w:rsidRDefault="00BB3355" w:rsidP="00BB335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BB3355" w:rsidRPr="00E10012" w:rsidRDefault="00BB3355" w:rsidP="00BB335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B3355" w:rsidRDefault="00BB3355" w:rsidP="00BB3355">
            <w:pPr>
              <w:ind w:hanging="34"/>
              <w:jc w:val="both"/>
              <w:rPr>
                <w:rFonts w:ascii="Times New Roman" w:hAnsi="Times New Roman"/>
                <w:bCs/>
              </w:rPr>
            </w:pPr>
          </w:p>
        </w:tc>
      </w:tr>
      <w:tr w:rsidR="003F01FB" w:rsidRPr="00B65B8A" w:rsidTr="0066474C">
        <w:tblPrEx>
          <w:jc w:val="left"/>
          <w:shd w:val="clear" w:color="auto" w:fill="auto"/>
        </w:tblPrEx>
        <w:trPr>
          <w:gridAfter w:val="1"/>
          <w:wAfter w:w="113" w:type="dxa"/>
          <w:trHeight w:val="840"/>
        </w:trPr>
        <w:tc>
          <w:tcPr>
            <w:tcW w:w="846" w:type="dxa"/>
            <w:gridSpan w:val="2"/>
          </w:tcPr>
          <w:p w:rsidR="003F01FB" w:rsidRDefault="003F01FB"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309</w:t>
            </w:r>
          </w:p>
        </w:tc>
        <w:tc>
          <w:tcPr>
            <w:tcW w:w="2835" w:type="dxa"/>
            <w:gridSpan w:val="2"/>
          </w:tcPr>
          <w:p w:rsidR="003F01FB" w:rsidRPr="00CE11AE" w:rsidRDefault="003F01FB" w:rsidP="003F01FB">
            <w:pPr>
              <w:ind w:hanging="34"/>
              <w:rPr>
                <w:rFonts w:ascii="Times New Roman" w:hAnsi="Times New Roman"/>
                <w:color w:val="000000"/>
              </w:rPr>
            </w:pPr>
            <w:r>
              <w:rPr>
                <w:rFonts w:ascii="Times New Roman" w:hAnsi="Times New Roman"/>
                <w:color w:val="000000"/>
              </w:rPr>
              <w:t>Projekt r</w:t>
            </w:r>
            <w:r w:rsidRPr="00CE11AE">
              <w:rPr>
                <w:rFonts w:ascii="Times New Roman" w:hAnsi="Times New Roman"/>
                <w:color w:val="000000"/>
              </w:rPr>
              <w:t>ozporządzeni</w:t>
            </w:r>
            <w:r>
              <w:rPr>
                <w:rFonts w:ascii="Times New Roman" w:hAnsi="Times New Roman"/>
                <w:color w:val="000000"/>
              </w:rPr>
              <w:t>a</w:t>
            </w:r>
            <w:r w:rsidRPr="00CE11AE">
              <w:rPr>
                <w:rFonts w:ascii="Times New Roman" w:hAnsi="Times New Roman"/>
                <w:color w:val="000000"/>
              </w:rPr>
              <w:t xml:space="preserve"> Ministra Obrony </w:t>
            </w:r>
            <w:r w:rsidRPr="00CE11AE">
              <w:rPr>
                <w:rFonts w:ascii="Times New Roman" w:hAnsi="Times New Roman"/>
              </w:rPr>
              <w:t xml:space="preserve">Narodowej </w:t>
            </w:r>
            <w:r w:rsidRPr="00CE11AE">
              <w:rPr>
                <w:rFonts w:ascii="Times New Roman" w:hAnsi="Times New Roman"/>
                <w:color w:val="000000"/>
              </w:rPr>
              <w:t>w sprawie wypłaty świadczenia mieszkaniowego</w:t>
            </w:r>
          </w:p>
          <w:p w:rsidR="003F01FB" w:rsidRPr="00BB3355" w:rsidRDefault="003F01FB" w:rsidP="00BB3355">
            <w:pPr>
              <w:ind w:hanging="34"/>
              <w:rPr>
                <w:rFonts w:ascii="Times New Roman" w:eastAsia="Times New Roman" w:hAnsi="Times New Roman" w:cs="Times New Roman"/>
              </w:rPr>
            </w:pPr>
          </w:p>
        </w:tc>
        <w:tc>
          <w:tcPr>
            <w:tcW w:w="2977" w:type="dxa"/>
            <w:gridSpan w:val="2"/>
          </w:tcPr>
          <w:p w:rsidR="003F01FB" w:rsidRPr="003F01FB" w:rsidRDefault="003F01FB" w:rsidP="00BB3355">
            <w:pPr>
              <w:rPr>
                <w:rFonts w:ascii="Times New Roman" w:hAnsi="Times New Roman"/>
              </w:rPr>
            </w:pPr>
            <w:r w:rsidRPr="00CE11AE">
              <w:rPr>
                <w:rFonts w:ascii="Times New Roman" w:hAnsi="Times New Roman"/>
              </w:rPr>
              <w:lastRenderedPageBreak/>
              <w:t xml:space="preserve">Art. 48d ust. 17 ustawy z dnia 22 czerwca 1995r. o zakwaterowaniu Sił Zbrojnych Rzeczypospolitej Polskiej (Dz. U. </w:t>
            </w:r>
            <w:r w:rsidRPr="00CE11AE">
              <w:rPr>
                <w:rFonts w:ascii="Times New Roman" w:hAnsi="Times New Roman"/>
              </w:rPr>
              <w:lastRenderedPageBreak/>
              <w:t>z 2022 r. poz. 1623 i z 2023 r. poz. 1872)</w:t>
            </w:r>
          </w:p>
        </w:tc>
        <w:tc>
          <w:tcPr>
            <w:tcW w:w="3543" w:type="dxa"/>
            <w:gridSpan w:val="2"/>
          </w:tcPr>
          <w:p w:rsidR="003F01FB" w:rsidRDefault="003F01FB" w:rsidP="00BB3355">
            <w:pPr>
              <w:jc w:val="both"/>
              <w:rPr>
                <w:rFonts w:ascii="Times New Roman" w:hAnsi="Times New Roman"/>
                <w:bCs/>
                <w:color w:val="000000"/>
              </w:rPr>
            </w:pPr>
            <w:r>
              <w:rPr>
                <w:rFonts w:ascii="Times New Roman" w:hAnsi="Times New Roman"/>
                <w:bCs/>
                <w:color w:val="000000"/>
              </w:rPr>
              <w:lastRenderedPageBreak/>
              <w:t xml:space="preserve">Rozporządzenie jest wydawane w związku z nowelizacją delegacji ustawowej. Rozporządzenie określa wysokość świadczenia mieszkaniowego </w:t>
            </w:r>
            <w:r>
              <w:rPr>
                <w:rFonts w:ascii="Times New Roman" w:hAnsi="Times New Roman"/>
                <w:bCs/>
                <w:color w:val="000000"/>
              </w:rPr>
              <w:lastRenderedPageBreak/>
              <w:t>w poszczególnych garnizonach. Ponadto, projekcie rozporządzenia przewidziano podwyższenie świadczenia mieszkaniowego o 300 zł miesięczne dla garnizonów zlokalizowanych na tzw. „ścianie wschodniej”</w:t>
            </w:r>
            <w:r w:rsidR="00D1692B">
              <w:rPr>
                <w:rFonts w:ascii="Times New Roman" w:hAnsi="Times New Roman"/>
                <w:bCs/>
                <w:color w:val="000000"/>
              </w:rPr>
              <w:t>.</w:t>
            </w:r>
          </w:p>
        </w:tc>
        <w:tc>
          <w:tcPr>
            <w:tcW w:w="1134" w:type="dxa"/>
            <w:gridSpan w:val="2"/>
          </w:tcPr>
          <w:p w:rsidR="003F01FB" w:rsidRDefault="00D1692B" w:rsidP="00BB335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F01FB" w:rsidRDefault="00D1692B" w:rsidP="00BB3355">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3F01FB" w:rsidRPr="00E10012" w:rsidRDefault="00D1692B" w:rsidP="00BB335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F01FB" w:rsidRDefault="003F01FB" w:rsidP="00BB3355">
            <w:pPr>
              <w:ind w:hanging="34"/>
              <w:jc w:val="both"/>
              <w:rPr>
                <w:rFonts w:ascii="Times New Roman" w:hAnsi="Times New Roman"/>
                <w:bCs/>
              </w:rPr>
            </w:pPr>
          </w:p>
        </w:tc>
      </w:tr>
      <w:tr w:rsidR="0022619A" w:rsidRPr="00B65B8A" w:rsidTr="0066474C">
        <w:tblPrEx>
          <w:jc w:val="left"/>
          <w:shd w:val="clear" w:color="auto" w:fill="auto"/>
        </w:tblPrEx>
        <w:trPr>
          <w:gridAfter w:val="1"/>
          <w:wAfter w:w="113" w:type="dxa"/>
          <w:trHeight w:val="840"/>
        </w:trPr>
        <w:tc>
          <w:tcPr>
            <w:tcW w:w="846" w:type="dxa"/>
            <w:gridSpan w:val="2"/>
          </w:tcPr>
          <w:p w:rsidR="0022619A" w:rsidRDefault="0022619A"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310</w:t>
            </w:r>
          </w:p>
        </w:tc>
        <w:tc>
          <w:tcPr>
            <w:tcW w:w="2835" w:type="dxa"/>
            <w:gridSpan w:val="2"/>
          </w:tcPr>
          <w:p w:rsidR="0022619A" w:rsidRDefault="0022619A" w:rsidP="0022619A">
            <w:pPr>
              <w:ind w:hanging="34"/>
              <w:rPr>
                <w:rFonts w:ascii="Times New Roman" w:hAnsi="Times New Roman"/>
                <w:color w:val="000000"/>
              </w:rPr>
            </w:pPr>
            <w:r w:rsidRPr="0022619A">
              <w:rPr>
                <w:rFonts w:ascii="Times New Roman" w:hAnsi="Times New Roman"/>
                <w:color w:val="000000"/>
              </w:rPr>
              <w:t>Projekt rozporządzenia Ministra Obrony Narodowej w sprawie limitu przyjęć na studia na określonym kierunku dla kandydatów na żołnierzy zawodowych w poszczególnych uczelniach wojskowych</w:t>
            </w:r>
          </w:p>
        </w:tc>
        <w:tc>
          <w:tcPr>
            <w:tcW w:w="2977" w:type="dxa"/>
            <w:gridSpan w:val="2"/>
          </w:tcPr>
          <w:p w:rsidR="0022619A" w:rsidRPr="00CE11AE" w:rsidRDefault="0022619A" w:rsidP="00BB3355">
            <w:pPr>
              <w:rPr>
                <w:rFonts w:ascii="Times New Roman" w:hAnsi="Times New Roman"/>
              </w:rPr>
            </w:pPr>
            <w:r w:rsidRPr="0022619A">
              <w:rPr>
                <w:rFonts w:ascii="Times New Roman" w:hAnsi="Times New Roman"/>
                <w:color w:val="000000"/>
              </w:rPr>
              <w:t>art. 444 ust. 3 ustawy z dnia 20 lipca 2018 r. - Prawo o szkolnictwie wyższym i nauce (Dz. U. z 2023 r. poz. 742, z późn. zm.)</w:t>
            </w:r>
          </w:p>
        </w:tc>
        <w:tc>
          <w:tcPr>
            <w:tcW w:w="3543" w:type="dxa"/>
            <w:gridSpan w:val="2"/>
          </w:tcPr>
          <w:p w:rsidR="0022619A" w:rsidRDefault="0022619A" w:rsidP="0022619A">
            <w:pPr>
              <w:jc w:val="both"/>
              <w:rPr>
                <w:rFonts w:ascii="Times New Roman" w:hAnsi="Times New Roman"/>
                <w:bCs/>
                <w:color w:val="000000"/>
              </w:rPr>
            </w:pPr>
            <w:r w:rsidRPr="0022619A">
              <w:rPr>
                <w:rFonts w:ascii="Times New Roman" w:hAnsi="Times New Roman"/>
                <w:bCs/>
                <w:color w:val="000000"/>
              </w:rPr>
              <w:t>Rozporządzenie określa limit przyjęć na studia na określonym kierunku dla kandydatów na żołnierzy zawodowych w poszczególnych uczelniach wojskowych, w roku akademickim 2024/2025 na poziomie 2483 osób.</w:t>
            </w:r>
          </w:p>
        </w:tc>
        <w:tc>
          <w:tcPr>
            <w:tcW w:w="1134" w:type="dxa"/>
            <w:gridSpan w:val="2"/>
          </w:tcPr>
          <w:p w:rsidR="0022619A" w:rsidRDefault="0022619A"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22619A" w:rsidRDefault="0022619A" w:rsidP="00BB3355">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2619A" w:rsidRPr="00E10012" w:rsidRDefault="0022619A" w:rsidP="00BB335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22619A" w:rsidRDefault="0022619A" w:rsidP="00BB3355">
            <w:pPr>
              <w:ind w:hanging="34"/>
              <w:jc w:val="both"/>
              <w:rPr>
                <w:rFonts w:ascii="Times New Roman" w:hAnsi="Times New Roman"/>
                <w:bCs/>
              </w:rPr>
            </w:pPr>
          </w:p>
        </w:tc>
      </w:tr>
      <w:tr w:rsidR="0095147F" w:rsidRPr="00B65B8A" w:rsidTr="0066474C">
        <w:tblPrEx>
          <w:jc w:val="left"/>
          <w:shd w:val="clear" w:color="auto" w:fill="auto"/>
        </w:tblPrEx>
        <w:trPr>
          <w:gridAfter w:val="1"/>
          <w:wAfter w:w="113" w:type="dxa"/>
          <w:trHeight w:val="840"/>
        </w:trPr>
        <w:tc>
          <w:tcPr>
            <w:tcW w:w="846" w:type="dxa"/>
            <w:gridSpan w:val="2"/>
          </w:tcPr>
          <w:p w:rsidR="0095147F" w:rsidRDefault="0095147F"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311</w:t>
            </w:r>
          </w:p>
        </w:tc>
        <w:tc>
          <w:tcPr>
            <w:tcW w:w="2835" w:type="dxa"/>
            <w:gridSpan w:val="2"/>
          </w:tcPr>
          <w:p w:rsidR="0095147F" w:rsidRPr="0095147F" w:rsidRDefault="0095147F" w:rsidP="0095147F">
            <w:pPr>
              <w:ind w:left="-34"/>
              <w:rPr>
                <w:rFonts w:ascii="Times New Roman" w:hAnsi="Times New Roman"/>
                <w:color w:val="000000"/>
              </w:rPr>
            </w:pPr>
            <w:r w:rsidRPr="0095147F">
              <w:rPr>
                <w:rFonts w:ascii="Times New Roman" w:hAnsi="Times New Roman"/>
                <w:bCs/>
                <w:color w:val="000000"/>
              </w:rPr>
              <w:t>Projekt rozporządzenia Ministra Obrony Narodowej zmieniającego rozporządzenie w sprawie równoważników pieniężnych przysługujących żołnierzom zawodowym w zamian za umundurowanie i wyekwipowanie niewydane w naturze</w:t>
            </w:r>
          </w:p>
        </w:tc>
        <w:tc>
          <w:tcPr>
            <w:tcW w:w="2977" w:type="dxa"/>
            <w:gridSpan w:val="2"/>
          </w:tcPr>
          <w:p w:rsidR="0095147F" w:rsidRPr="0022619A" w:rsidRDefault="0095147F" w:rsidP="0095147F">
            <w:pPr>
              <w:rPr>
                <w:rFonts w:ascii="Times New Roman" w:hAnsi="Times New Roman"/>
                <w:color w:val="000000"/>
              </w:rPr>
            </w:pPr>
            <w:r w:rsidRPr="0095147F">
              <w:rPr>
                <w:rFonts w:ascii="Times New Roman" w:hAnsi="Times New Roman"/>
                <w:color w:val="000000"/>
              </w:rPr>
              <w:t>art. 334 ust. 5 pkt 1 ustawy z dnia 11 marca 2022 r. o obronie Ojczyzny (Dz. U. poz. 2305, z późn. zm.)</w:t>
            </w:r>
          </w:p>
        </w:tc>
        <w:tc>
          <w:tcPr>
            <w:tcW w:w="3543" w:type="dxa"/>
            <w:gridSpan w:val="2"/>
          </w:tcPr>
          <w:p w:rsidR="0095147F" w:rsidRPr="0022619A" w:rsidRDefault="0095147F" w:rsidP="0095147F">
            <w:pPr>
              <w:jc w:val="both"/>
              <w:rPr>
                <w:rFonts w:ascii="Times New Roman" w:hAnsi="Times New Roman"/>
                <w:bCs/>
                <w:color w:val="000000"/>
              </w:rPr>
            </w:pPr>
            <w:r w:rsidRPr="0095147F">
              <w:rPr>
                <w:rFonts w:ascii="Times New Roman" w:hAnsi="Times New Roman"/>
                <w:bCs/>
                <w:color w:val="000000"/>
              </w:rPr>
              <w:t xml:space="preserve">Powyższe rozporządzenie </w:t>
            </w:r>
            <w:r>
              <w:rPr>
                <w:rFonts w:ascii="Times New Roman" w:hAnsi="Times New Roman"/>
                <w:bCs/>
                <w:color w:val="000000"/>
              </w:rPr>
              <w:t xml:space="preserve">ma na celu aktualizację </w:t>
            </w:r>
            <w:r w:rsidRPr="0095147F">
              <w:rPr>
                <w:rFonts w:ascii="Times New Roman" w:hAnsi="Times New Roman"/>
                <w:bCs/>
                <w:color w:val="000000"/>
              </w:rPr>
              <w:t xml:space="preserve">wysokości równoważnika pieniężnego wypłacanego żołnierzom zawodowym za przedmioty umundurowania i wyekwipowania niewydane w naturze. Ponadto w rozporządzeniu wprowadzono należności ubiorów cywilnych dla żołnierzy Centrum Rozpoznania Osobowego oraz dla niektórych żołnierzy Wojsk Specjalnych. </w:t>
            </w:r>
          </w:p>
        </w:tc>
        <w:tc>
          <w:tcPr>
            <w:tcW w:w="1134" w:type="dxa"/>
            <w:gridSpan w:val="2"/>
          </w:tcPr>
          <w:p w:rsidR="0095147F" w:rsidRDefault="0095147F"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95147F" w:rsidRDefault="0095147F" w:rsidP="0095147F">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95147F" w:rsidRPr="00E10012" w:rsidRDefault="0095147F"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5147F" w:rsidRDefault="0095147F" w:rsidP="0095147F">
            <w:pPr>
              <w:ind w:hanging="34"/>
              <w:jc w:val="both"/>
              <w:rPr>
                <w:rFonts w:ascii="Times New Roman" w:hAnsi="Times New Roman"/>
                <w:bCs/>
              </w:rPr>
            </w:pPr>
          </w:p>
        </w:tc>
      </w:tr>
      <w:tr w:rsidR="006C1809" w:rsidRPr="00B65B8A" w:rsidTr="0066474C">
        <w:tblPrEx>
          <w:jc w:val="left"/>
          <w:shd w:val="clear" w:color="auto" w:fill="auto"/>
        </w:tblPrEx>
        <w:trPr>
          <w:gridAfter w:val="1"/>
          <w:wAfter w:w="113" w:type="dxa"/>
          <w:trHeight w:val="840"/>
        </w:trPr>
        <w:tc>
          <w:tcPr>
            <w:tcW w:w="846" w:type="dxa"/>
            <w:gridSpan w:val="2"/>
          </w:tcPr>
          <w:p w:rsidR="006C1809" w:rsidRDefault="006C1809"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312</w:t>
            </w:r>
          </w:p>
        </w:tc>
        <w:tc>
          <w:tcPr>
            <w:tcW w:w="2835" w:type="dxa"/>
            <w:gridSpan w:val="2"/>
          </w:tcPr>
          <w:p w:rsidR="006C1809" w:rsidRPr="0095147F" w:rsidRDefault="006C1809" w:rsidP="0095147F">
            <w:pPr>
              <w:ind w:left="-34"/>
              <w:rPr>
                <w:rFonts w:ascii="Times New Roman" w:hAnsi="Times New Roman"/>
                <w:bCs/>
                <w:color w:val="000000"/>
              </w:rPr>
            </w:pPr>
            <w:r>
              <w:rPr>
                <w:rFonts w:ascii="Times New Roman" w:hAnsi="Times New Roman"/>
                <w:bCs/>
                <w:color w:val="000000"/>
              </w:rPr>
              <w:t>Projekt rozporządzenia zmieniającego rozporządzenie w sprawie kwalifikacji wojskowej</w:t>
            </w:r>
          </w:p>
        </w:tc>
        <w:tc>
          <w:tcPr>
            <w:tcW w:w="2977" w:type="dxa"/>
            <w:gridSpan w:val="2"/>
          </w:tcPr>
          <w:p w:rsidR="006C1809" w:rsidRPr="0095147F" w:rsidRDefault="006C1809" w:rsidP="0095147F">
            <w:pPr>
              <w:rPr>
                <w:rFonts w:ascii="Times New Roman" w:hAnsi="Times New Roman"/>
                <w:color w:val="000000"/>
              </w:rPr>
            </w:pPr>
            <w:r>
              <w:rPr>
                <w:rFonts w:ascii="Times New Roman" w:hAnsi="Times New Roman"/>
                <w:color w:val="000000"/>
              </w:rPr>
              <w:t xml:space="preserve">Art. 68 ustawy </w:t>
            </w:r>
            <w:r w:rsidRPr="0095147F">
              <w:rPr>
                <w:rFonts w:ascii="Times New Roman" w:hAnsi="Times New Roman"/>
                <w:color w:val="000000"/>
              </w:rPr>
              <w:t>z dnia 11 marca 2022 r. o obronie Ojczyzny (Dz. U. poz. 2305, z późn. zm.)</w:t>
            </w:r>
          </w:p>
        </w:tc>
        <w:tc>
          <w:tcPr>
            <w:tcW w:w="3543" w:type="dxa"/>
            <w:gridSpan w:val="2"/>
          </w:tcPr>
          <w:p w:rsidR="006C1809" w:rsidRPr="006C1809" w:rsidRDefault="006C1809" w:rsidP="006C1809">
            <w:pPr>
              <w:jc w:val="both"/>
              <w:rPr>
                <w:rFonts w:ascii="Times New Roman" w:hAnsi="Times New Roman"/>
                <w:bCs/>
                <w:color w:val="000000"/>
              </w:rPr>
            </w:pPr>
            <w:r w:rsidRPr="006C1809">
              <w:rPr>
                <w:rFonts w:ascii="Times New Roman" w:hAnsi="Times New Roman"/>
                <w:bCs/>
                <w:color w:val="000000"/>
              </w:rPr>
              <w:t>Projektowany akt prawny określa sposób zwolnienia osób z obowiązku osobistego stawiennictwa do kwalifikacji wojskowej w przypadku skutecznego doręczenia wójtowi (burmistrzowi, prezydentowi miasta) orzeczenia albo wypisu z treści orzeczenia lub innego dokumentu stwierdzającego niezdolność lub niepełnosprawność.</w:t>
            </w:r>
          </w:p>
          <w:p w:rsidR="006C1809" w:rsidRPr="0095147F" w:rsidRDefault="006C1809" w:rsidP="0095147F">
            <w:pPr>
              <w:jc w:val="both"/>
              <w:rPr>
                <w:rFonts w:ascii="Times New Roman" w:hAnsi="Times New Roman"/>
                <w:bCs/>
                <w:color w:val="000000"/>
              </w:rPr>
            </w:pPr>
          </w:p>
        </w:tc>
        <w:tc>
          <w:tcPr>
            <w:tcW w:w="1134" w:type="dxa"/>
            <w:gridSpan w:val="2"/>
          </w:tcPr>
          <w:p w:rsidR="006C1809" w:rsidRDefault="006C1809"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6C1809" w:rsidRPr="00F428B4" w:rsidRDefault="006C1809" w:rsidP="0095147F">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6C1809" w:rsidRPr="00E10012" w:rsidRDefault="006C1809"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bookmarkStart w:id="6" w:name="_GoBack"/>
            <w:bookmarkEnd w:id="6"/>
          </w:p>
        </w:tc>
        <w:tc>
          <w:tcPr>
            <w:tcW w:w="1276" w:type="dxa"/>
            <w:gridSpan w:val="2"/>
          </w:tcPr>
          <w:p w:rsidR="006C1809" w:rsidRDefault="006C1809" w:rsidP="0095147F">
            <w:pPr>
              <w:ind w:hanging="34"/>
              <w:jc w:val="both"/>
              <w:rPr>
                <w:rFonts w:ascii="Times New Roman" w:hAnsi="Times New Roman"/>
                <w:bCs/>
              </w:rPr>
            </w:pPr>
          </w:p>
        </w:tc>
      </w:tr>
    </w:tbl>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A" w:rsidRDefault="0022619A" w:rsidP="000C3879">
      <w:pPr>
        <w:spacing w:after="0" w:line="240" w:lineRule="auto"/>
      </w:pPr>
      <w:r>
        <w:separator/>
      </w:r>
    </w:p>
  </w:endnote>
  <w:endnote w:type="continuationSeparator" w:id="0">
    <w:p w:rsidR="0022619A" w:rsidRDefault="0022619A"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A" w:rsidRDefault="0022619A" w:rsidP="000C3879">
      <w:pPr>
        <w:spacing w:after="0" w:line="240" w:lineRule="auto"/>
      </w:pPr>
      <w:r>
        <w:separator/>
      </w:r>
    </w:p>
  </w:footnote>
  <w:footnote w:type="continuationSeparator" w:id="0">
    <w:p w:rsidR="0022619A" w:rsidRDefault="0022619A"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69872014"/>
    <w:multiLevelType w:val="singleLevel"/>
    <w:tmpl w:val="04150011"/>
    <w:lvl w:ilvl="0">
      <w:start w:val="1"/>
      <w:numFmt w:val="decimal"/>
      <w:lvlText w:val="%1)"/>
      <w:lvlJc w:val="left"/>
      <w:pPr>
        <w:ind w:left="720" w:hanging="360"/>
      </w:pPr>
    </w:lvl>
  </w:abstractNum>
  <w:abstractNum w:abstractNumId="4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9"/>
  </w:num>
  <w:num w:numId="3">
    <w:abstractNumId w:val="20"/>
  </w:num>
  <w:num w:numId="4">
    <w:abstractNumId w:val="17"/>
  </w:num>
  <w:num w:numId="5">
    <w:abstractNumId w:val="7"/>
  </w:num>
  <w:num w:numId="6">
    <w:abstractNumId w:val="52"/>
  </w:num>
  <w:num w:numId="7">
    <w:abstractNumId w:val="23"/>
  </w:num>
  <w:num w:numId="8">
    <w:abstractNumId w:val="8"/>
  </w:num>
  <w:num w:numId="9">
    <w:abstractNumId w:val="11"/>
  </w:num>
  <w:num w:numId="10">
    <w:abstractNumId w:val="49"/>
  </w:num>
  <w:num w:numId="11">
    <w:abstractNumId w:val="31"/>
  </w:num>
  <w:num w:numId="12">
    <w:abstractNumId w:val="10"/>
  </w:num>
  <w:num w:numId="13">
    <w:abstractNumId w:val="5"/>
  </w:num>
  <w:num w:numId="14">
    <w:abstractNumId w:val="13"/>
  </w:num>
  <w:num w:numId="15">
    <w:abstractNumId w:val="32"/>
  </w:num>
  <w:num w:numId="16">
    <w:abstractNumId w:val="0"/>
  </w:num>
  <w:num w:numId="17">
    <w:abstractNumId w:val="19"/>
  </w:num>
  <w:num w:numId="18">
    <w:abstractNumId w:val="33"/>
  </w:num>
  <w:num w:numId="19">
    <w:abstractNumId w:val="53"/>
  </w:num>
  <w:num w:numId="20">
    <w:abstractNumId w:val="39"/>
  </w:num>
  <w:num w:numId="21">
    <w:abstractNumId w:val="37"/>
  </w:num>
  <w:num w:numId="22">
    <w:abstractNumId w:val="14"/>
  </w:num>
  <w:num w:numId="23">
    <w:abstractNumId w:val="22"/>
  </w:num>
  <w:num w:numId="24">
    <w:abstractNumId w:val="35"/>
  </w:num>
  <w:num w:numId="25">
    <w:abstractNumId w:val="44"/>
  </w:num>
  <w:num w:numId="26">
    <w:abstractNumId w:val="4"/>
  </w:num>
  <w:num w:numId="27">
    <w:abstractNumId w:val="51"/>
  </w:num>
  <w:num w:numId="28">
    <w:abstractNumId w:val="36"/>
  </w:num>
  <w:num w:numId="29">
    <w:abstractNumId w:val="42"/>
  </w:num>
  <w:num w:numId="30">
    <w:abstractNumId w:val="46"/>
  </w:num>
  <w:num w:numId="31">
    <w:abstractNumId w:val="30"/>
  </w:num>
  <w:num w:numId="32">
    <w:abstractNumId w:val="26"/>
  </w:num>
  <w:num w:numId="33">
    <w:abstractNumId w:val="9"/>
  </w:num>
  <w:num w:numId="34">
    <w:abstractNumId w:val="38"/>
  </w:num>
  <w:num w:numId="35">
    <w:abstractNumId w:val="50"/>
  </w:num>
  <w:num w:numId="36">
    <w:abstractNumId w:val="27"/>
  </w:num>
  <w:num w:numId="37">
    <w:abstractNumId w:val="48"/>
  </w:num>
  <w:num w:numId="38">
    <w:abstractNumId w:val="28"/>
  </w:num>
  <w:num w:numId="39">
    <w:abstractNumId w:val="25"/>
  </w:num>
  <w:num w:numId="40">
    <w:abstractNumId w:val="47"/>
  </w:num>
  <w:num w:numId="41">
    <w:abstractNumId w:val="40"/>
  </w:num>
  <w:num w:numId="42">
    <w:abstractNumId w:val="45"/>
  </w:num>
  <w:num w:numId="43">
    <w:abstractNumId w:val="12"/>
  </w:num>
  <w:num w:numId="44">
    <w:abstractNumId w:val="24"/>
  </w:num>
  <w:num w:numId="45">
    <w:abstractNumId w:val="16"/>
  </w:num>
  <w:num w:numId="46">
    <w:abstractNumId w:val="6"/>
  </w:num>
  <w:num w:numId="47">
    <w:abstractNumId w:val="54"/>
  </w:num>
  <w:num w:numId="48">
    <w:abstractNumId w:val="1"/>
  </w:num>
  <w:num w:numId="49">
    <w:abstractNumId w:val="18"/>
  </w:num>
  <w:num w:numId="50">
    <w:abstractNumId w:val="2"/>
  </w:num>
  <w:num w:numId="51">
    <w:abstractNumId w:val="3"/>
  </w:num>
  <w:num w:numId="52">
    <w:abstractNumId w:val="43"/>
  </w:num>
  <w:num w:numId="53">
    <w:abstractNumId w:val="41"/>
  </w:num>
  <w:num w:numId="54">
    <w:abstractNumId w:val="21"/>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224EB"/>
    <w:rsid w:val="0022619A"/>
    <w:rsid w:val="00233622"/>
    <w:rsid w:val="0023413B"/>
    <w:rsid w:val="00236E82"/>
    <w:rsid w:val="002454EF"/>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4DC7"/>
    <w:rsid w:val="0039672B"/>
    <w:rsid w:val="003B08DA"/>
    <w:rsid w:val="003B0B42"/>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1846"/>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5537"/>
    <o:shapelayout v:ext="edit">
      <o:idmap v:ext="edit" data="1"/>
    </o:shapelayout>
  </w:shapeDefaults>
  <w:decimalSymbol w:val=","/>
  <w:listSeparator w:val=";"/>
  <w14:docId w14:val="464DC32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4C253-4BF0-4DFE-B384-978A912FA7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91479DB-7201-47AF-9361-FF3AD8DB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200</Pages>
  <Words>50027</Words>
  <Characters>300165</Characters>
  <Application>Microsoft Office Word</Application>
  <DocSecurity>0</DocSecurity>
  <Lines>2501</Lines>
  <Paragraphs>698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43</cp:revision>
  <dcterms:created xsi:type="dcterms:W3CDTF">2023-06-01T06:30:00Z</dcterms:created>
  <dcterms:modified xsi:type="dcterms:W3CDTF">2023-10-11T09:31:00Z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