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B311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F7CF7A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CCF2E10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5C25AD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C4A725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488830D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636BE29E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863624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3FC23BF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F08351C" w14:textId="69D82584" w:rsidR="004B303F" w:rsidRPr="009A1B05" w:rsidRDefault="00585473" w:rsidP="005052BA">
      <w:pPr>
        <w:spacing w:before="120" w:after="120" w:line="360" w:lineRule="auto"/>
        <w:contextualSpacing/>
        <w:jc w:val="center"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  <w:r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Załącznik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 </w:t>
      </w:r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nr 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1</w:t>
      </w:r>
      <w:bookmarkStart w:id="0" w:name="_Toc428535187"/>
      <w:bookmarkStart w:id="1" w:name="_Toc431295988"/>
      <w:bookmarkStart w:id="2" w:name="_Toc78468497"/>
      <w:bookmarkStart w:id="3" w:name="_Toc406509583"/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>.</w:t>
      </w:r>
    </w:p>
    <w:p w14:paraId="171562BE" w14:textId="0BD76F67" w:rsidR="003F4FBA" w:rsidRPr="009A1B05" w:rsidRDefault="003F4FBA" w:rsidP="005052BA">
      <w:pPr>
        <w:spacing w:before="120" w:after="120" w:line="360" w:lineRule="auto"/>
        <w:contextualSpacing/>
        <w:jc w:val="center"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t>Zamówienia udzielane w Przedsięwzięciach</w:t>
      </w:r>
      <w:bookmarkEnd w:id="0"/>
      <w:bookmarkEnd w:id="1"/>
      <w:bookmarkEnd w:id="2"/>
      <w:r w:rsidRPr="009A1B05">
        <w:rPr>
          <w:rFonts w:cstheme="minorHAnsi"/>
          <w:b/>
          <w:iCs/>
          <w:sz w:val="24"/>
          <w:szCs w:val="24"/>
          <w:lang w:val="pl-PL"/>
        </w:rPr>
        <w:t xml:space="preserve"> real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izowanych w ramach inwestycji C</w:t>
      </w:r>
      <w:r w:rsidR="005D7E72" w:rsidRPr="009A1B05">
        <w:rPr>
          <w:rFonts w:cstheme="minorHAnsi"/>
          <w:b/>
          <w:iCs/>
          <w:sz w:val="24"/>
          <w:szCs w:val="24"/>
          <w:lang w:val="pl-PL"/>
        </w:rPr>
        <w:t>3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.1.1</w:t>
      </w:r>
      <w:r w:rsidR="00897C89" w:rsidRPr="009A1B05">
        <w:rPr>
          <w:rFonts w:cstheme="minorHAnsi"/>
          <w:b/>
          <w:iCs/>
          <w:sz w:val="24"/>
          <w:szCs w:val="24"/>
          <w:lang w:val="pl-PL"/>
        </w:rPr>
        <w:t>.</w:t>
      </w:r>
    </w:p>
    <w:p w14:paraId="53F3455A" w14:textId="10FE59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8B703CE" w14:textId="4A3C611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965A885" w14:textId="4A11EF30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D11CEB1" w14:textId="7E4E8431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24D0E" w14:textId="22A66DD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5D1734D" w14:textId="3BBC8A9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4B1E4AD4" w14:textId="1A2C20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9E25C97" w14:textId="0D0E2E4E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4130E45" w14:textId="27DB5AF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DF5C6" w14:textId="74E1938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CE68030" w14:textId="7030DDD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DBC993E" w14:textId="249ED0D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BBEC6CE" w14:textId="1B62D06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38E2739C" w14:textId="65BCF25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CAB1DE0" w14:textId="6EC2C35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5A012AEA" w14:textId="113E4FA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E82A890" w14:textId="46360790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1CCF40F" w14:textId="05C69D2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F87C1E7" w14:textId="59C17B63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EA76818" w14:textId="0C4CB97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sdt>
      <w:sdtPr>
        <w:rPr>
          <w:rFonts w:asciiTheme="minorHAnsi" w:eastAsiaTheme="minorHAnsi" w:hAnsiTheme="minorHAnsi" w:cstheme="minorHAnsi"/>
          <w:iCs/>
          <w:color w:val="auto"/>
          <w:sz w:val="24"/>
          <w:szCs w:val="24"/>
          <w:shd w:val="clear" w:color="auto" w:fill="E6E6E6"/>
          <w:lang w:val="en-GB" w:eastAsia="en-US"/>
        </w:rPr>
        <w:id w:val="-1936120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0A91F9" w14:textId="1794B3A4" w:rsidR="00722124" w:rsidRPr="009A1B05" w:rsidRDefault="00722124" w:rsidP="005052BA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</w:pPr>
          <w:r w:rsidRPr="009A1B05"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  <w:t>Spis treści</w:t>
          </w:r>
        </w:p>
        <w:p w14:paraId="0576EC1D" w14:textId="71261DC0" w:rsidR="00160AF3" w:rsidRPr="00160AF3" w:rsidRDefault="00722124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160AF3">
            <w:rPr>
              <w:sz w:val="24"/>
              <w:szCs w:val="24"/>
            </w:rPr>
            <w:instrText xml:space="preserve"> TOC \o "1-3" \h \z \u </w:instrText>
          </w: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959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Zamówienia udzielane w ramach Przedsięwzięć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_Toc161824959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3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CCB75" w14:textId="0C3CA2EA" w:rsidR="00160AF3" w:rsidRPr="00160AF3" w:rsidRDefault="00823CE1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0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Zasada konkurencyjności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_Toc161824960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7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2626D1" w14:textId="64E728B4" w:rsidR="00160AF3" w:rsidRPr="00160AF3" w:rsidRDefault="00823CE1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1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III.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Zamówienia w trybie in-house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_Toc161824961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17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D534" w14:textId="018E57BD" w:rsidR="00160AF3" w:rsidRPr="00160AF3" w:rsidRDefault="00823CE1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2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IV.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Przykłady możliwych nieprawidłowości w obszarze zamówień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_Toc161824962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18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EE4FD" w14:textId="4E2EE1D9" w:rsidR="00160AF3" w:rsidRPr="00160AF3" w:rsidRDefault="00823CE1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3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V.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Zestawienie regulacji w zakresie zasady konkurencyjności w odniesieniu do konieczności stosowania przez zamawiającego określonej ścieżki postępowania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_Toc161824963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21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ECA68" w14:textId="5C43811F" w:rsidR="00722124" w:rsidRPr="009A1B05" w:rsidRDefault="00722124" w:rsidP="005052BA">
          <w:pPr>
            <w:spacing w:before="120" w:after="120" w:line="360" w:lineRule="auto"/>
            <w:contextualSpacing/>
            <w:rPr>
              <w:rFonts w:cstheme="minorHAnsi"/>
              <w:iCs/>
              <w:sz w:val="24"/>
              <w:szCs w:val="24"/>
            </w:rPr>
          </w:pPr>
          <w:r w:rsidRPr="00160AF3">
            <w:rPr>
              <w:rFonts w:cstheme="minorHAnsi"/>
              <w:b/>
              <w:bCs/>
              <w:iCs/>
              <w:color w:val="2B579A"/>
              <w:sz w:val="24"/>
              <w:szCs w:val="24"/>
              <w:shd w:val="clear" w:color="auto" w:fill="E6E6E6"/>
            </w:rPr>
            <w:fldChar w:fldCharType="end"/>
          </w:r>
        </w:p>
      </w:sdtContent>
    </w:sdt>
    <w:p w14:paraId="365AB435" w14:textId="7F79EA23" w:rsidR="00A6683C" w:rsidRPr="009A1B05" w:rsidRDefault="00A6683C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br w:type="page"/>
      </w:r>
    </w:p>
    <w:p w14:paraId="677F43A3" w14:textId="681BDD25" w:rsidR="00D24E7A" w:rsidRPr="00875CA1" w:rsidRDefault="00D24E7A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4" w:name="_Toc161824959"/>
      <w:bookmarkEnd w:id="3"/>
      <w:r w:rsidRPr="00875CA1">
        <w:rPr>
          <w:rFonts w:asciiTheme="minorHAnsi" w:hAnsiTheme="minorHAnsi" w:cstheme="minorHAnsi"/>
          <w:color w:val="auto"/>
        </w:rPr>
        <w:t xml:space="preserve">Zamówienia udzielane w ramach </w:t>
      </w:r>
      <w:r w:rsidR="00D41CD7" w:rsidRPr="00875CA1">
        <w:rPr>
          <w:rFonts w:asciiTheme="minorHAnsi" w:hAnsiTheme="minorHAnsi" w:cstheme="minorHAnsi"/>
          <w:color w:val="auto"/>
        </w:rPr>
        <w:t>Przedsięwzięć</w:t>
      </w:r>
      <w:bookmarkEnd w:id="4"/>
    </w:p>
    <w:p w14:paraId="19D8C8AB" w14:textId="308033FB" w:rsidR="005C1397" w:rsidRPr="009A1B05" w:rsidRDefault="60FF2F5B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Ostateczny odbiorca wsparcia (dalej jako: “OOW”)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jest zobowiązany do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:</w:t>
      </w:r>
    </w:p>
    <w:p w14:paraId="0C899948" w14:textId="1263E437" w:rsidR="005C1397" w:rsidRPr="009A1B05" w:rsidRDefault="005C1397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>s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60AECB30" w:rsidRPr="009A1B05">
        <w:rPr>
          <w:rFonts w:cstheme="minorHAnsi"/>
          <w:iCs/>
          <w:sz w:val="24"/>
          <w:szCs w:val="24"/>
        </w:rPr>
        <w:t>Ustawy z dnia 11 września 2019 r. - Prawo zamówień publicznych (</w:t>
      </w:r>
      <w:bookmarkStart w:id="5" w:name="_Hlk135807607"/>
      <w:r w:rsidR="60AECB30" w:rsidRPr="009A1B05">
        <w:rPr>
          <w:rFonts w:cstheme="minorHAnsi"/>
          <w:iCs/>
          <w:sz w:val="24"/>
          <w:szCs w:val="24"/>
        </w:rPr>
        <w:t xml:space="preserve">Dz. U. z 2022 r. poz. 1710 z </w:t>
      </w:r>
      <w:proofErr w:type="spellStart"/>
      <w:r w:rsidR="60AECB30" w:rsidRPr="009A1B05">
        <w:rPr>
          <w:rFonts w:cstheme="minorHAnsi"/>
          <w:iCs/>
          <w:sz w:val="24"/>
          <w:szCs w:val="24"/>
        </w:rPr>
        <w:t>późn</w:t>
      </w:r>
      <w:proofErr w:type="spellEnd"/>
      <w:r w:rsidR="60AECB30" w:rsidRPr="009A1B05">
        <w:rPr>
          <w:rFonts w:cstheme="minorHAnsi"/>
          <w:iCs/>
          <w:sz w:val="24"/>
          <w:szCs w:val="24"/>
        </w:rPr>
        <w:t>. zm.)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5"/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(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dalej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jako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: “</w:t>
      </w:r>
      <w:r w:rsidR="00B00387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124C615B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właściwych przepisów prawa powszechnie obowiązującego,</w:t>
      </w:r>
    </w:p>
    <w:p w14:paraId="616A9C4E" w14:textId="569487F0" w:rsidR="00691701" w:rsidRPr="009A1B05" w:rsidRDefault="00691701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dla podmiotów nie zobowiązanych do stosowania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, do stosowania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zasad, określonych w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niniejszym załączniku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F31A721" w14:textId="651DD14D" w:rsidR="00C24E4D" w:rsidRPr="009A1B05" w:rsidRDefault="00C24E4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i Partner / i Podmiot upoważniony do ponoszenia wydatków zobowiązani do stosowania PZP jak i podmioty nie mające takiego obowiązku dla wydatków o wartości </w:t>
      </w:r>
      <w:r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do 50 tys. PLN netto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uprawnieni są do stosowania własnych wewnętrznych uregulowań określających zasady dokonywania zakupu towarów, usług oraz robót budowlanych. </w:t>
      </w:r>
    </w:p>
    <w:p w14:paraId="5F1BCA2B" w14:textId="2CAF3938" w:rsidR="000069FF" w:rsidRPr="009A1B05" w:rsidRDefault="43A6BCCC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 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jest</w:t>
      </w:r>
      <w:r w:rsidR="6C081CD3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>zobowiązan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przeprowadzenia postępowania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o udzielenie zamówienia o wartości szacunkowej </w:t>
      </w:r>
      <w:r w:rsidR="058F629A"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przekraczającej 50 tys. PLN netto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tj. bez podatku od towarów i usług (VAT) w sposób zapewniający przejrzystość oraz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zachowanie uczciwej konkurencji i równego traktowania wykonawców. Spełnienie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powyższych wymogów następuje w drodze zastosowania </w:t>
      </w:r>
      <w:bookmarkStart w:id="6" w:name="_Hlk131401910"/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6"/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albo zasady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konkurencyjności określonej w sekcji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>Zasada konkurencyjności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3B715D9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niniejszego Załącznika</w:t>
      </w:r>
      <w:r w:rsidR="1299545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6D97D19D" w14:textId="4E658E4A" w:rsidR="000069FF" w:rsidRPr="009A1B05" w:rsidRDefault="706D660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Koszty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ramach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muszą być</w:t>
      </w:r>
      <w:r w:rsidR="6EAA4E5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70132DF9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6E50AD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jest organem administracji publicznej, może on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powierzać na podstawie art. 5 ust. 2 pkt 1 ustawy z dnia 24 kwietnia 2003 r.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 działalności pożytku publicznego i o wolontariacie </w:t>
      </w:r>
      <w:r w:rsidR="6D075864" w:rsidRPr="009A1B05">
        <w:rPr>
          <w:rFonts w:eastAsia="MS Mincho" w:cstheme="minorHAnsi"/>
          <w:iCs/>
          <w:sz w:val="24"/>
          <w:szCs w:val="24"/>
          <w:lang w:eastAsia="ja-JP"/>
        </w:rPr>
        <w:t xml:space="preserve">(tj. Dz. U. z 2023 r. poz. 571)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realizację zadań publicznych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trybie określonym w tej ustawie. Do powierzenia realizacji zadań publicznych</w:t>
      </w:r>
      <w:r w:rsidR="4086F4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ww. trybie,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50C0A7C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="00D0305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stosuje się.</w:t>
      </w:r>
    </w:p>
    <w:p w14:paraId="63007E30" w14:textId="11939FEA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przypadku, gdy na podstawie obowiązujących przepisów prawa innych niż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28CD51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wyłącza się stosowanie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Partner /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będący zamawiającym w rozumieniu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przeprowadza zamówienie z zastosowaniem tych przepisów. Do przeprowadzenia zamówienia w ww. trybie,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>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153BA50A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stosuje </w:t>
      </w:r>
      <w:r w:rsidR="075747E6" w:rsidRPr="009A1B05">
        <w:rPr>
          <w:rFonts w:eastAsia="MS Mincho" w:cstheme="minorHAnsi"/>
          <w:iCs/>
          <w:sz w:val="24"/>
          <w:szCs w:val="24"/>
          <w:lang w:eastAsia="ja-JP"/>
        </w:rPr>
        <w:t>się</w:t>
      </w:r>
      <w:r w:rsidR="0CDFEDDC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578B9910" w14:textId="54C1A705" w:rsidR="008A324E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II. „Zasada konkurencyjności”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stosuje się </w:t>
      </w:r>
      <w:r w:rsidR="49AA4403" w:rsidRPr="009A1B05">
        <w:rPr>
          <w:rFonts w:eastAsia="MS Mincho" w:cstheme="minorHAnsi"/>
          <w:iCs/>
          <w:sz w:val="24"/>
          <w:szCs w:val="24"/>
          <w:lang w:eastAsia="ja-JP"/>
        </w:rPr>
        <w:t xml:space="preserve">także </w:t>
      </w:r>
      <w:r w:rsidR="736B0460" w:rsidRPr="009A1B05">
        <w:rPr>
          <w:rFonts w:eastAsia="MS Mincho" w:cstheme="minorHAnsi"/>
          <w:iCs/>
          <w:sz w:val="24"/>
          <w:szCs w:val="24"/>
          <w:lang w:eastAsia="ja-JP"/>
        </w:rPr>
        <w:t xml:space="preserve">do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</w:t>
      </w:r>
      <w:r w:rsidR="736B0460" w:rsidRPr="009A1B05">
        <w:rPr>
          <w:rFonts w:eastAsia="MS Mincho" w:cstheme="minorHAnsi"/>
          <w:iCs/>
          <w:sz w:val="24"/>
          <w:szCs w:val="24"/>
          <w:lang w:eastAsia="ja-JP"/>
        </w:rPr>
        <w:t>eń określonych w art. 9-14</w:t>
      </w:r>
      <w:r w:rsidR="00225B3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36B0460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8A324E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przypadkach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8A324E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których mowa w art. 9-14 PZP zastosowanie ma zasada określona w niniejszych Zasadach (sekcja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 II.</w:t>
      </w:r>
      <w:r w:rsidR="008A324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„Zasada konkurencyjności”</w:t>
      </w:r>
      <w:r w:rsidR="008A324E" w:rsidRPr="009A1B05">
        <w:rPr>
          <w:rFonts w:eastAsia="MS Mincho" w:cstheme="minorHAnsi"/>
          <w:iCs/>
          <w:sz w:val="24"/>
          <w:szCs w:val="24"/>
          <w:lang w:eastAsia="ja-JP"/>
        </w:rPr>
        <w:t xml:space="preserve">) dla zamówień o wartości </w:t>
      </w:r>
      <w:r w:rsidR="008A324E"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przekraczającej 50 tyś PLN netto,</w:t>
      </w:r>
      <w:r w:rsidR="008A324E" w:rsidRPr="009A1B05">
        <w:rPr>
          <w:rFonts w:eastAsia="MS Mincho" w:cstheme="minorHAnsi"/>
          <w:iCs/>
          <w:sz w:val="24"/>
          <w:szCs w:val="24"/>
          <w:lang w:eastAsia="ja-JP"/>
        </w:rPr>
        <w:t xml:space="preserve"> tj. bez podatku od towarów i usług (VAT) w sposób zapewniający przejrzystość oraz zachowanie uczciwej konkurencji i równego traktowania wykonawców.</w:t>
      </w:r>
    </w:p>
    <w:p w14:paraId="1B46A052" w14:textId="27739916" w:rsidR="00A149EC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niestosowanie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określon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30ADEF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-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udzielaniu zamówień w następujących przypadkach:</w:t>
      </w:r>
      <w:r w:rsidR="008B068D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"/>
      </w:r>
    </w:p>
    <w:p w14:paraId="1DA7DD72" w14:textId="736D2FC5" w:rsidR="00812017" w:rsidRPr="009A1B05" w:rsidRDefault="058F629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wyniku prawidłowego zastosowania zasady konkurencyjności 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>określonej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nie wpłynęła żadna oferta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wpłynęły tylko oferty podlegające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odrzuceniu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albo wszyscy wykonawcy zostali wykluczeni z postępowania lub nie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spełnili warunków udziału w postępowaniu</w:t>
      </w:r>
      <w:r w:rsidR="238C752A" w:rsidRPr="009A1B05">
        <w:rPr>
          <w:rFonts w:eastAsia="MS Mincho" w:cstheme="minorHAnsi"/>
          <w:iCs/>
          <w:sz w:val="24"/>
          <w:szCs w:val="24"/>
          <w:lang w:eastAsia="ja-JP"/>
        </w:rPr>
        <w:t>, przy czym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ADDBCED" w:rsidRPr="009A1B05">
        <w:rPr>
          <w:rFonts w:eastAsia="MS Mincho" w:cstheme="minorHAnsi"/>
          <w:iCs/>
          <w:sz w:val="24"/>
          <w:szCs w:val="24"/>
          <w:lang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awarcie umowy w sprawie realizacji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pominięciem zasady konkurencyjności jest możliwe, gdy pierwotne</w:t>
      </w:r>
      <w:r w:rsidR="187F874C" w:rsidRPr="009A1B05">
        <w:rPr>
          <w:rFonts w:eastAsia="MS Mincho" w:cstheme="minorHAnsi"/>
          <w:iCs/>
          <w:sz w:val="24"/>
          <w:szCs w:val="24"/>
          <w:lang w:eastAsia="ja-JP"/>
        </w:rPr>
        <w:t xml:space="preserve"> warunki zamówienia nie zostały zmienione,</w:t>
      </w:r>
    </w:p>
    <w:p w14:paraId="5AF0B3F2" w14:textId="2AB5DB39" w:rsidR="00D24E7A" w:rsidRPr="009A1B05" w:rsidRDefault="00D24E7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może być zrealizowane tylko przez jednego wykonawcę z jednego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następujących powodów:</w:t>
      </w:r>
    </w:p>
    <w:p w14:paraId="1E2F0198" w14:textId="3159A2BC" w:rsidR="00D24E7A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tzn. istnieje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tylko jeden wykonawca, który jako jedyny może zrealizować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zamówienie</w:t>
      </w:r>
      <w:r w:rsidR="00A254DB" w:rsidRPr="009A1B05">
        <w:rPr>
          <w:rFonts w:eastAsia="MS Mincho" w:cstheme="minorHAnsi"/>
          <w:iCs/>
          <w:sz w:val="24"/>
          <w:szCs w:val="24"/>
          <w:lang w:eastAsia="ja-JP"/>
        </w:rPr>
        <w:t>, albo</w:t>
      </w:r>
    </w:p>
    <w:p w14:paraId="23CDCE21" w14:textId="35E27059" w:rsidR="001E16B2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 jest objęty ochroną praw wyłącznych, w tym praw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własności intelektualnej, tzn. istnieje tylko jeden wykonawca, który ma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wyłączne prawo do dysponowania przedmiotem zamówienia, a prawo to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podlega ochronie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ustawowej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39046CD6" w14:textId="350F376B" w:rsidR="00D24E7A" w:rsidRPr="009A1B05" w:rsidRDefault="00D24E7A" w:rsidP="00875CA1">
      <w:pPr>
        <w:spacing w:before="120" w:after="120" w:line="360" w:lineRule="auto"/>
        <w:ind w:left="1004"/>
        <w:contextualSpacing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ile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istnieje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rozwiązanie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alternatywne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lub</w:t>
      </w:r>
      <w:proofErr w:type="spellEnd"/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zastępcze</w:t>
      </w:r>
      <w:proofErr w:type="spellEnd"/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a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brak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konkurencji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jest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wynikiem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sztucznego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zawężania</w:t>
      </w:r>
      <w:proofErr w:type="spellEnd"/>
      <w:r w:rsidR="00543235" w:rsidRPr="009A1B05">
        <w:rPr>
          <w:rFonts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cstheme="minorHAnsi"/>
          <w:iCs/>
          <w:sz w:val="24"/>
          <w:szCs w:val="24"/>
          <w:lang w:eastAsia="ja-JP"/>
        </w:rPr>
        <w:t>parametrów</w:t>
      </w:r>
      <w:proofErr w:type="spellEnd"/>
      <w:r w:rsidRPr="009A1B05">
        <w:rPr>
          <w:rFonts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cstheme="minorHAnsi"/>
          <w:iCs/>
          <w:sz w:val="24"/>
          <w:szCs w:val="24"/>
          <w:lang w:eastAsia="ja-JP"/>
        </w:rPr>
        <w:t>zamówienia</w:t>
      </w:r>
      <w:proofErr w:type="spellEnd"/>
      <w:r w:rsidRPr="009A1B05">
        <w:rPr>
          <w:rFonts w:cstheme="minorHAnsi"/>
          <w:iCs/>
          <w:sz w:val="24"/>
          <w:szCs w:val="24"/>
          <w:lang w:eastAsia="ja-JP"/>
        </w:rPr>
        <w:t>,</w:t>
      </w:r>
    </w:p>
    <w:p w14:paraId="33BC75A6" w14:textId="377FCBEC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 przypadku zamówień</w:t>
      </w:r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2941" w:rsidRPr="009A1B05">
        <w:rPr>
          <w:rFonts w:eastAsia="MS Mincho" w:cstheme="minorHAnsi"/>
          <w:iCs/>
          <w:sz w:val="24"/>
          <w:szCs w:val="24"/>
          <w:lang w:eastAsia="ja-JP"/>
        </w:rPr>
        <w:t>ze względu na pilną potrzebę (konieczność) udzielenia zamówienia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niewynikającą z przyczyn leżących po stronie zamawiającego, której wcześniej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można było przewidzieć, nie można zachować terminów określonych w sekcji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p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03CBF754" w14:textId="63EDDB02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zamówień</w:t>
      </w:r>
      <w:r w:rsidR="001A6C6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konkurencyjności,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na było przewidzieć (np. klęski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>żywiołowe, katastrofy, awarie), wymagane jest natychmiastowe wykonanie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i nie można zachować terminów określonych w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>. pkt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753FC0A0" w14:textId="0B8E711A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 konkurencyjności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dodatkowe dostawy, polegających na częściowej wymianie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dostarczonych produktów lub instalacji albo zwiększeniu bieżących dostaw lub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rozbudowie istniejących instalacji, a zmiana wykonawcy prowadziłaby do nabycia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materiałów o innych właściwościach technicznych, co powodowałoby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niekompatybilność techniczną lub nieproporcjonalnie duże trudności techniczne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użytkowaniu i utrzymaniu tych produktów lub instalacji. Czas trwania umowy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sprawie zamówienia na dostawy dodatkowe nie może przekraczać 3 lat,</w:t>
      </w:r>
    </w:p>
    <w:p w14:paraId="647E3210" w14:textId="77F37439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okresie 3 lat od dnia udzielenia zamówienia podstawowego,</w:t>
      </w:r>
      <w:r w:rsidR="003F3B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wysokości wartości pierwotnego zamówienia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5637A761" w14:textId="77777777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warunkach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związku z likwidacją działalności innego podmiotu,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postępowaniem egzekucyjnym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na dostawy jest dokonywane na giełdzie towarowej w rozumieniu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przepisów o giełdach towarowych, w tym na giełdzie towarowej innych państw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członkowskich Europejskiego Obszaru Gospodarczego</w:t>
      </w:r>
      <w:r w:rsidR="00DE113B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3E876AF0" w14:textId="692BF42A" w:rsidR="00D24E7A" w:rsidRPr="009A1B05" w:rsidRDefault="00D24E7A" w:rsidP="00875CA1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W przypadku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proofErr w:type="spellStart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proofErr w:type="spellEnd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Partnera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/ </w:t>
      </w:r>
      <w:proofErr w:type="spellStart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proofErr w:type="spellEnd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Podmiotu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upoważnionego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ponoszenia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wydatków</w:t>
      </w:r>
      <w:proofErr w:type="spellEnd"/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któr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nie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jest zamawiającym w rozumieniu </w:t>
      </w:r>
      <w:r w:rsidR="00C13579" w:rsidRPr="009A1B05">
        <w:rPr>
          <w:rFonts w:eastAsia="MS Mincho" w:cstheme="minorHAnsi"/>
          <w:iCs/>
          <w:sz w:val="24"/>
          <w:szCs w:val="24"/>
          <w:lang w:val="pl-PL" w:eastAsia="ja-JP"/>
        </w:rPr>
        <w:t>PZP</w:t>
      </w:r>
      <w:r w:rsidR="00695BBC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zamówienia o wartości szacunkowej </w:t>
      </w:r>
      <w:r w:rsidRPr="009A1B05">
        <w:rPr>
          <w:rFonts w:eastAsia="MS Mincho" w:cstheme="minorHAnsi"/>
          <w:b/>
          <w:bCs/>
          <w:iCs/>
          <w:sz w:val="24"/>
          <w:szCs w:val="24"/>
          <w:lang w:val="pl-PL" w:eastAsia="ja-JP"/>
        </w:rPr>
        <w:t>przekraczającej 50 tys. PLN netto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o których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mowa w </w:t>
      </w:r>
      <w:proofErr w:type="spellStart"/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ppkt</w:t>
      </w:r>
      <w:proofErr w:type="spellEnd"/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.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1) - 4)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7) - 8)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nie mogą być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lastRenderedPageBreak/>
        <w:t>udzielane podmiotom powiązanym z nim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>osobowo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kapitałowo w s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posób określony w pkt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. 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3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.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I.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bez zgody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554259" w:rsidRPr="009A1B05">
        <w:rPr>
          <w:rFonts w:eastAsia="MS Mincho" w:cstheme="minorHAnsi"/>
          <w:iCs/>
          <w:sz w:val="24"/>
          <w:szCs w:val="24"/>
          <w:lang w:val="pl-PL" w:eastAsia="ja-JP"/>
        </w:rPr>
        <w:t>JW.</w:t>
      </w:r>
    </w:p>
    <w:p w14:paraId="7645F945" w14:textId="77777777" w:rsidR="00F5705E" w:rsidRPr="009A1B05" w:rsidRDefault="00541534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1088EBF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przepisów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m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ożliwe jest niestosowanie procedur określonych w niniejsz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przypadkach określonych w art. 214 ust. 1 </w:t>
      </w:r>
      <w:r w:rsidR="0023044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8F74E05" w14:textId="33E50B1D" w:rsidR="00F5705E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Spełnienie przesłanek z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 i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 xml:space="preserve"> 9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musi być pisemnie uzasadnione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Do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uzasadnienia mus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 xml:space="preserve">zą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być załączone dowody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uzasadniające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>twierdze</w:t>
      </w:r>
      <w:r w:rsidR="00105365" w:rsidRPr="009A1B05">
        <w:rPr>
          <w:rFonts w:eastAsia="MS Mincho" w:cstheme="minorHAnsi"/>
          <w:iCs/>
          <w:sz w:val="24"/>
          <w:szCs w:val="24"/>
          <w:lang w:eastAsia="ja-JP"/>
        </w:rPr>
        <w:t>nia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>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469087" w14:textId="74E829A7" w:rsidR="00D24E7A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Podstawą ustalenia wartości zamówienia w ramach</w:t>
      </w:r>
      <w:r w:rsidR="00CC69A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Przedsięwzięcia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całkowite szacunkowe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(VAT), ustalone z należytą starannością, z uwzględnieniem ewentualnych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zamówień, o których mowa w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Szacowanie jest dokumentowane w sposób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>wniosku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 xml:space="preserve">o objęcie Przedsięwzięcia wsparciem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 notatce z szacowania).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Określenie szacunkowej wartości zamówienia musi </w:t>
      </w:r>
      <w:r w:rsidR="00511460" w:rsidRPr="009A1B05">
        <w:rPr>
          <w:rFonts w:eastAsia="MS Mincho" w:cstheme="minorHAnsi"/>
          <w:iCs/>
          <w:sz w:val="24"/>
          <w:szCs w:val="24"/>
          <w:lang w:eastAsia="ja-JP"/>
        </w:rPr>
        <w:t xml:space="preserve">się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>odbyć z zachowaniem należytej staranności</w:t>
      </w:r>
      <w:r w:rsidR="6B5009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 </w:t>
      </w:r>
      <w:r w:rsidR="3E1D2DDB" w:rsidRPr="009A1B05">
        <w:rPr>
          <w:rFonts w:eastAsia="MS Mincho" w:cstheme="minorHAnsi"/>
          <w:iCs/>
          <w:sz w:val="24"/>
          <w:szCs w:val="24"/>
          <w:lang w:eastAsia="ja-JP"/>
        </w:rPr>
        <w:t>m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usi objąć cały przedmiot zamówienia.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Zabronione jest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zawyżanie oraz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zaniżanie wartości szacunkowej zamówienia lub jego podział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skutkujący zaniżeniem jego wartości szacunkowej, przy czym ustalając wartość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</w:t>
      </w:r>
      <w:r w:rsidR="003A7B9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przy ewentualnym sumowaniu odrębnych zamówień</w:t>
      </w:r>
      <w:r w:rsidR="00BA4810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przesłanek (tożsamości):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2"/>
      </w:r>
    </w:p>
    <w:p w14:paraId="315A6906" w14:textId="77777777" w:rsidR="000069FF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usługi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dostawy są tożsame rodzajowo lub funkcjonalnie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(tożsamość przedmiotowa),</w:t>
      </w:r>
    </w:p>
    <w:p w14:paraId="014221FD" w14:textId="77777777" w:rsidR="003A36EC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udzielenie zamówienia w tym samym czasie (tożsamość czasowa),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3"/>
      </w:r>
    </w:p>
    <w:p w14:paraId="677D1002" w14:textId="162AC131" w:rsidR="0056799E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wykonanie zamówienia przez jednego wykonawcę (tożsamość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podmiotowa).</w:t>
      </w:r>
    </w:p>
    <w:p w14:paraId="22F32F1C" w14:textId="77777777" w:rsidR="00EF35D4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 przypadku udzielania zamówienia w częściach (z określonych względów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ekonomicznych, organizacyjnych, celowościowych), wartość zamówienia ustala się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jako łączną wartość poszczególnych jego części</w:t>
      </w:r>
      <w:r w:rsidR="00F84F7A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4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665FDADE" w14:textId="476A74FB" w:rsidR="00EF35D4" w:rsidRPr="009A1B05" w:rsidRDefault="0065086E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Podmioty będące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a także podmioty nie będące zamawiającymi 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przekracza wartości, od której istnieje obowiązek stosowania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podmioty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te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zobowiązane są stosować zasady konkurencyjności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zamówień których wartość szacunkowa przekracza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50 tys. PLN netto, tj. bez podatku od towarów i usług (VAT). </w:t>
      </w:r>
    </w:p>
    <w:p w14:paraId="246EFE22" w14:textId="62257A96" w:rsidR="000521A3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naruszenia przez</w:t>
      </w:r>
      <w:r w:rsidR="006221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warunków i procedur postępowania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udzielenie zamówienia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92B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548A5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uznaje całość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część </w:t>
      </w:r>
      <w:r w:rsidR="005011D3" w:rsidRPr="009A1B05">
        <w:rPr>
          <w:rFonts w:eastAsia="MS Mincho" w:cstheme="minorHAnsi"/>
          <w:iCs/>
          <w:sz w:val="24"/>
          <w:szCs w:val="24"/>
          <w:lang w:eastAsia="ja-JP"/>
        </w:rPr>
        <w:t>kosztów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związanych z tym zamówieniem za niekwalifikowalne</w:t>
      </w:r>
      <w:r w:rsidR="003112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zależności od skali naruszenia. </w:t>
      </w:r>
    </w:p>
    <w:p w14:paraId="64875C6E" w14:textId="7DCEFBA8" w:rsidR="00874A7D" w:rsidRPr="00FE688E" w:rsidRDefault="00874A7D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FE688E">
        <w:rPr>
          <w:rFonts w:eastAsia="MS Mincho" w:cstheme="minorHAnsi"/>
          <w:iCs/>
          <w:sz w:val="24"/>
          <w:szCs w:val="24"/>
          <w:lang w:eastAsia="ja-JP"/>
        </w:rPr>
        <w:t>Do zamówień udzielanych w ramach Przedsięwzięcia zastosowanie ma z</w:t>
      </w:r>
      <w:r w:rsidR="00EB4B8E" w:rsidRPr="00FE688E">
        <w:rPr>
          <w:rFonts w:eastAsia="MS Mincho" w:cstheme="minorHAnsi"/>
          <w:iCs/>
          <w:sz w:val="24"/>
          <w:szCs w:val="24"/>
          <w:lang w:eastAsia="ja-JP"/>
        </w:rPr>
        <w:t xml:space="preserve">ałącznik 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563704" w:rsidRPr="00FE688E">
        <w:rPr>
          <w:rFonts w:eastAsia="MS Mincho" w:cstheme="minorHAnsi"/>
          <w:iCs/>
          <w:sz w:val="24"/>
          <w:szCs w:val="24"/>
          <w:lang w:eastAsia="ja-JP"/>
        </w:rPr>
        <w:t>Stawki procentowe korekt finansowych i pomniejszeń dla poszczególnych kategorii nieprawidłowości indywidualnych stosowane w zamówieniach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F822AB" w:rsidRPr="00FE688E">
        <w:rPr>
          <w:rFonts w:eastAsia="MS Mincho" w:cstheme="minorHAnsi"/>
          <w:iCs/>
          <w:sz w:val="24"/>
          <w:szCs w:val="24"/>
          <w:lang w:eastAsia="ja-JP"/>
        </w:rPr>
        <w:t>, stanowiących załącznik do Wytycznych dotyczących sposobu korygowania nieprawidłowych wydatków na lata 2021-2027.</w:t>
      </w:r>
    </w:p>
    <w:p w14:paraId="5571DD82" w14:textId="6CE378BA" w:rsidR="00D24E7A" w:rsidRPr="005052BA" w:rsidRDefault="00D24E7A" w:rsidP="006E373C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7" w:name="_Toc161824960"/>
      <w:r w:rsidRPr="005052BA">
        <w:rPr>
          <w:rFonts w:asciiTheme="minorHAnsi" w:hAnsiTheme="minorHAnsi" w:cstheme="minorHAnsi"/>
          <w:color w:val="auto"/>
        </w:rPr>
        <w:t>Zasada konkurencyjności</w:t>
      </w:r>
      <w:bookmarkEnd w:id="7"/>
    </w:p>
    <w:p w14:paraId="0C4BAA82" w14:textId="2F8EE7AD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Udzielenie zamówienia w ramach </w:t>
      </w:r>
      <w:r w:rsidR="00943D92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przez 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następuje zgodnie</w:t>
      </w:r>
      <w:r w:rsidR="001B4CA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zasadą konkurencyjności w przypadku:</w:t>
      </w:r>
    </w:p>
    <w:p w14:paraId="32A1DC3A" w14:textId="1423F6CF" w:rsidR="006437FB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niebędąc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zamówień przekraczających wartość 50 tys. PLN netto, tj. bez podatku od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towarów i usług (VAT),</w:t>
      </w:r>
    </w:p>
    <w:p w14:paraId="4620676D" w14:textId="1F515B17" w:rsidR="00D24E7A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będącego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zamówień o wartości niższej niż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kwoty określone w art. 2 ust. 1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, a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jednocześnie przekraczającej 50 tys. PLN netto, tj. bez podatku od towarów i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usług (VAT).</w:t>
      </w:r>
    </w:p>
    <w:p w14:paraId="642C9BC9" w14:textId="51D43F3E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uniknięcia konfliktu interesów:</w:t>
      </w:r>
    </w:p>
    <w:p w14:paraId="3ECD96D2" w14:textId="029FAAED" w:rsidR="001B6AB8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nie jest zamawiającym w rozumieniu </w:t>
      </w:r>
      <w:r w:rsidR="009572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nie mogą być udzielane podmiotom powiązanym z nim osobowo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kapitałowo, z wyłączeniem zamówień sektorowych, zamówień określonych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</w:t>
      </w:r>
      <w:r w:rsidR="003468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pkt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5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wyjątkowo w przypadku, w którym umożliwienie podmiotowi powiązanemu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wzięcia udziału w postępowaniu jest uzasadnione ze względu na specyfikę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B1346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typ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Podmiotu upoważnionego do ponoszenia wydatków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wybór wykonawcy będącego podmiotem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powiązanym będzie dokonany zgodnie z procedurą opisaną w niniejsz</w:t>
      </w:r>
      <w:r w:rsidR="001B59CD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EC03E59" w14:textId="2D6CB7A2" w:rsidR="00D24E7A" w:rsidRPr="009A1B05" w:rsidRDefault="00D24E7A" w:rsidP="006E373C">
      <w:pPr>
        <w:pStyle w:val="Akapitzlist"/>
        <w:numPr>
          <w:ilvl w:val="2"/>
          <w:numId w:val="5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>OI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może wyrazić zgodę na wyłączenie zakazu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odniesieniu do danego postępowania przed jego przeprowadzeniem,</w:t>
      </w:r>
    </w:p>
    <w:p w14:paraId="33297017" w14:textId="05334ED1" w:rsidR="00D24E7A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osoby wykonujące w imieniu zamawiającego czynności związane z procedurą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wyboru wykonawcy, w szczególności osoby biorące udział w procesie oceny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ofert, nie mogą być powiązane osobowo lub kapitałowo z wykonawcami, którzy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złożyli oferty. Powinny być to osoby bezstronne i obiektywne.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tym celu składają oświadczenie </w:t>
      </w:r>
      <w:r w:rsidR="00D31632" w:rsidRPr="009A1B05">
        <w:rPr>
          <w:rFonts w:cstheme="minorHAnsi"/>
          <w:iCs/>
          <w:sz w:val="24"/>
          <w:szCs w:val="24"/>
        </w:rPr>
        <w:t>w formie pisemnej lub w formie elektronicznej (w rozumieniu odpowiednio art. 78 i art. 78¹ Kodeksu cywilnego)</w:t>
      </w:r>
      <w:r w:rsidR="00E50CEF" w:rsidRPr="009A1B05">
        <w:rPr>
          <w:rFonts w:cstheme="minorHAnsi"/>
          <w:iCs/>
          <w:sz w:val="24"/>
          <w:szCs w:val="24"/>
        </w:rPr>
        <w:t xml:space="preserve"> o braku istnienia albo braku wpływu powiązań osobowych lub kapitałowych z wykonawcami na bezstronność postępowania.</w:t>
      </w:r>
    </w:p>
    <w:p w14:paraId="24C6C9EF" w14:textId="30E47698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Przez powiązania kapitałowe lub osobowe rozumie się wzajemne powiązania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między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Partnerem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Podmiotem upoważnionym do ponoszenia wydatków</w:t>
      </w:r>
      <w:r w:rsidR="004E30B8"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osobami upoważnionymi do zaciągania zobowiązań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7462C16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osobami wykonującymi w 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473CE9C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czynności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związane z przeprowadzeniem procedury wyboru wykonawcy a wykonawcą,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posiadaniu co najmniej 10% udziałów lub akcji, o ile niższy próg nie wynika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przepisów prawa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6DBEC0DD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pełnieniu funkcji członka organu nadzorczego lub zarządzającego, prokurenta,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pełnomocnika,</w:t>
      </w:r>
    </w:p>
    <w:p w14:paraId="69901D83" w14:textId="1AE3E985" w:rsidR="00E50CEF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w związku małżeńskim, w stosunku pokrewieństwa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powinowactwa w linii prostej, pokrewieństwa drugiego stopnia lub powinowactwa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drugiego stopnia w linii bocznej lub w stosunku przysposobienia, opieki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kurateli.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00500E7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stwierdzi udzielenie</w:t>
      </w:r>
      <w:r w:rsidR="00AD2B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podmiotowi powiązanemu w sposób inny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niż wskazane w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sekcji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8. </w:t>
      </w:r>
      <w:proofErr w:type="spellStart"/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4)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jest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zobowiązana przed wezwaniem do zwrotu środków wykazać istnienie naruszenia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zasady konkurencyjności poprzez istniejące powiązanie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79500BA5" w14:textId="6F80EF1A" w:rsidR="00D24E7A" w:rsidRPr="009A1B05" w:rsidRDefault="00E50CEF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F2F2AE" w14:textId="72E684EF" w:rsidR="009459F3" w:rsidRPr="009A1B05" w:rsidRDefault="009459F3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Podmiot, który nie jest zamawiającym w rozumieniu PZP, stosuje zasady określone w art. 56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niezależnie od wartości szacunkowej zamówienia. </w:t>
      </w:r>
    </w:p>
    <w:p w14:paraId="665BD6B3" w14:textId="666CA536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jest zamawiającym w rozumieniu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zasadę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 uznaje się za spełnioną</w:t>
      </w:r>
      <w:r w:rsidR="33C3A81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85AE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jeżeli postępowanie o udzielenie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przeprowadzone jest na zasadach i w trybach określonych w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A19BFC" w14:textId="4F2D3C8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pomoc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zamówienia, opis przedmiotu zamówienia nie może zawierać odniesień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znaków towarowych, patentów lub pochodzenia, źródła lub szczególnego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procesu, który charakteryzuje produkty lub usługi dostarczane przez konkretnego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wykonawcę, jeżeli mogłoby to doprowadzić do uprzywilejowania lub wyeliminowania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niektórych wykonawców lub produktów. W wyjątkowych przypadkach dopuszcza się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wystarczająco precyzyjny i zrozumiały sposób zgodnie ze zdaniem pierwszym.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Takim odniesieniom muszą towarzyszyć słowa „lub równoważne”</w:t>
      </w:r>
      <w:r w:rsidR="003758C7"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 podaniem kryteriów równoważności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korzysta z możliwości zastosowania takich odniesień, nie może on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odrzucić oferty jako niezgodnej z zapytaniem ofertowym,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jeżeli wykonawca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udowodni w swojej ofercie, że proponowane rozwiązania w równoważnym stopniu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 uwagi na konieczność ochrony tajemnicy przedsiębiorstwa dopuszcza się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ograniczenia zakresu opisu przedmiotu zamówienia, przy czym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wymagane jest udostępnienie uzupełnienia wyłączonego opisu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potencjalnemu wykonawcy, który zobowiązał się do zachowania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poufności w odniesieniu do przedstawionych informacji, w terminie umożliwiającym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Do opisu przedmiotu zamówienia stosuje się nazwy i kody określone we Wspólnym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Słowniku Zamówień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rozporządzeniu (WE) nr 2195/2002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Parlamentu Europejskiego i Rady z dnia 5 listopada 2002 r. w sprawie Wspólnego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Słownika Zamówień (CPV) (Dz. Urz. WE L 340 z 16.12.2002, str. 1, z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późn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>. zm.; Dz.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Urz. UE Polskie wydanie specjalne rozdz. 6, t. 5, str. 3).</w:t>
      </w:r>
      <w:r w:rsidR="00500C62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5"/>
      </w:r>
    </w:p>
    <w:p w14:paraId="1F73277C" w14:textId="1E2D24B0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 udzielenie zamówienia oraz opis sposobu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dokonywania oceny ich spełniania, o ile zostaną zawarte w zapytaniu ofertowym,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określane są w sposób proporcjonalny do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zamówienia, zapewniający zachowanie uczciwej konkurencji i równego traktowania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wykonawców. Nie można formułować warunków przewyższających wymagania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 składanych w ramach postępowania o udzielenie zamówienia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są formułowane w sposób zapewniający zachowanie uczciwej konkurencji oraz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równego traktowania wykonawców, przy czym:</w:t>
      </w:r>
    </w:p>
    <w:p w14:paraId="3BD8FF72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oceny ofert musi odnosić się do danego przedmiotu zamówienia,</w:t>
      </w:r>
    </w:p>
    <w:p w14:paraId="0C61AC8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(i opis jego stosowania) musi być sformułowane jednoznacznie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precyzyjnie, tak żeby każdy wykonawca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mógł interpretować je w jednakowy sposób,</w:t>
      </w:r>
    </w:p>
    <w:p w14:paraId="4AE832FF" w14:textId="77777777" w:rsidR="001B6AB8" w:rsidRPr="009A1B05" w:rsidRDefault="001B6AB8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wagi (znaczenie) poszczególnych kryteriów powinny być określone w sposób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umożliwiający wybór najkorzystniejszej oferty,</w:t>
      </w:r>
    </w:p>
    <w:p w14:paraId="7E58106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kryteria oceny ofert nie mogą dotyczyć właściwości wykonawcy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 w szczególności jego wiarygodności ekonomicznej, technicznej lub finansowej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doświadczenia. Zakaz ten nie dotyczy zamówień na usługi społeczne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innych szczególnych usług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6"/>
      </w:r>
    </w:p>
    <w:p w14:paraId="2B69EC99" w14:textId="15627CBD" w:rsidR="00D9038B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cena może być jedynym kryterium oceny ofert. Poza wymaganiami dotyczącymi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ceny wskazane jest stosowanie jako kryterium oceny ofert innych wymagań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odnoszących się do przedmiotu zamówienia, takich jak np. jakość,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funkcjonalność, parametry techniczne, aspekty środowiskowe, społeczne,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innowacyjne, serwis, termin wykonania zamówienia, koszty eksploatacji oraz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organizacja, kwalifikacje zawodowe i doświadczenie osób wyznaczonych do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realizacji zamówienia, jeżeli mogą mieć zna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czący wpływ na jakość wykonania 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zamówienia.</w:t>
      </w:r>
    </w:p>
    <w:p w14:paraId="7C756C93" w14:textId="0F53D839" w:rsidR="00AD2B32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na złożenie oferty (decyduje data wpływu oferty do zamawiającego) wynosi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 zamówień o wartości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szacunkowej równej lub przekraczającej 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7410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7"/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termin wynosi co najmniej 30 dni. Bieg terminu rozpoczyna się w dniu następującym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 dniu upublicznienia zapytania ofertowego, a kończy się z upływem ostatniego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dnia. Jeżeli koniec terminu przypada na sobotę lub dzień ustawowo wolny od pracy,</w:t>
      </w:r>
      <w:r w:rsidR="00035E99" w:rsidRPr="009A1B05">
        <w:rPr>
          <w:rFonts w:eastAsia="MS Mincho" w:cstheme="minorHAnsi"/>
          <w:iCs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spełnienia zasady konkurencyjności należy:</w:t>
      </w:r>
    </w:p>
    <w:p w14:paraId="51EB7CF6" w14:textId="0920CE3D" w:rsidR="00D9038B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upublicznić zapytanie ofertowe zgodnie z warunkami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 w pkt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które zawiera co najmniej:</w:t>
      </w:r>
    </w:p>
    <w:p w14:paraId="5225C4EE" w14:textId="0588A015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przedmiotu zamówienia,</w:t>
      </w:r>
    </w:p>
    <w:p w14:paraId="4C7775F9" w14:textId="340211B0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oraz opis sposobu dokonywania oceny ich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kryteria oceny oferty,</w:t>
      </w:r>
    </w:p>
    <w:p w14:paraId="49E29BEB" w14:textId="3D3F991D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</w:t>
      </w:r>
      <w:r w:rsidR="00042CE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przyznawania punktacji za spełnienie danego kryterium oceny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oferty,</w:t>
      </w:r>
    </w:p>
    <w:p w14:paraId="0A88CCB2" w14:textId="3DDCCC22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termin </w:t>
      </w:r>
      <w:r w:rsidR="00A03383" w:rsidRPr="009A1B05">
        <w:rPr>
          <w:rFonts w:eastAsia="MS Mincho" w:cstheme="minorHAnsi"/>
          <w:iCs/>
          <w:sz w:val="24"/>
          <w:szCs w:val="24"/>
          <w:lang w:eastAsia="ja-JP"/>
        </w:rPr>
        <w:t xml:space="preserve">i sposób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składania ofert,</w:t>
      </w:r>
    </w:p>
    <w:p w14:paraId="3D218116" w14:textId="633FB229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realizacji umowy,</w:t>
      </w:r>
    </w:p>
    <w:p w14:paraId="0C2975B0" w14:textId="09ABC68B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na temat zakazu powiązań osobowych lub kapitałowych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 </w:t>
      </w:r>
      <w:proofErr w:type="spellStart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 1) i 2)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8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 ile zakaz taki nie został wyłączony na podstawie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lit.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a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302F1F5" w14:textId="285962A7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określenie warunków istotnych zmian umowy zawartej w wyniku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przeprowadzonego postępowania o udzielenie zamówienia, o ile przewiduje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możliwości składania ofert częściowych, o ile zamawiający taką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przewiduje,</w:t>
      </w:r>
    </w:p>
    <w:p w14:paraId="5FAF5B38" w14:textId="4C5B7E6E" w:rsidR="00F70C46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przedstawiania ofert wariantowych oraz minimalne warunki,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jakim muszą odpowiadać oferty wariantowe wraz z wybranymi kryteriami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oceny, jeżeli zamawiający wymaga lub dopuszcza ich składanie,</w:t>
      </w:r>
    </w:p>
    <w:p w14:paraId="015D001F" w14:textId="426CF501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planowanych zamówieniach, o których mowa w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I.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ich zakres oraz warunki, na jakich zostaną udzielone,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zamawiający przewiduje udzielenie tego typu zamówień,</w:t>
      </w:r>
    </w:p>
    <w:p w14:paraId="2EF0202E" w14:textId="16EAB333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wadium (jeśli dotyczy), zakazane jest ustalenie wysokości wadium o wartości większej aniżeli wskazano w art. 97 ust. 2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1B7648F5" w14:textId="20083287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zabezpieczenia należytego wykonania umowy (jeśli dotyczy), zakazane jest ustalenie wysokości zabezpieczenia o wartości większej aniżeli wskazano w art. 452 ust. 2 i 3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3EE8EF" w14:textId="2B383B64" w:rsidR="00B70D2F" w:rsidRPr="009A1B05" w:rsidRDefault="006E6F42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wzór umowy,</w:t>
      </w:r>
    </w:p>
    <w:p w14:paraId="21BBE47C" w14:textId="20590F11" w:rsidR="00664ED4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wybrać najkorzystniejszą ofertę zgodną z opisem przedmiotu zamówienia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złożoną przez wykonawcę spełniającego warunki udziału w postępowaniu,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oparciu o ustalone w zapytaniu ofertowym kryteria oceny. Wybór oferty jest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dokumentowany protokołem postępowania o udzielenie zamówienia, o którym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Postępowanie może zakończyć się wyborem kilku wykonawców,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gdy zamawiający dopuszcza składanie ofert częściowych</w:t>
      </w:r>
      <w:r w:rsidR="00344E8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zamawiający planuje zawrzeć umowę ramową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</w:p>
    <w:p w14:paraId="236CFE4F" w14:textId="3BE43943" w:rsidR="00E23146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Upublicznienie zapytania ofertowego polega na jego umieszczeniu w bazie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konkurencyjności,</w:t>
      </w:r>
      <w:r w:rsidR="002204D4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9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 przypadku zawieszenia działalności bazy potwierdzonego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odpowiednim komunikatem ministra właściwego do spraw rozwoju regionalnego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skierowaniu zapytania ofertowego do co najmniej trzech potencjalnych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wykonawców, o ile na rynku istnieje trzech potencjalnych wykonawców danego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zamówienia oraz upublicznieniu tego zapytania co najmniej na stronie internetowej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o ile posiada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ją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taką stronę. Upublicznienie zapytania ofertowego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Zapytanie ofertowe musi być ogólnodostępne do czasu formalnego zamknięcia Przedsięwzięcia wraz z finalnym rozliczeniem Wniosku o Płatność Końcową.</w:t>
      </w:r>
    </w:p>
    <w:p w14:paraId="63D7CCDA" w14:textId="6C99B781" w:rsidR="00E23146" w:rsidRPr="009A1B05" w:rsidRDefault="00C6456A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8E31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przypadku, gdy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rozpoczyna realizację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na własne ryzyko</w:t>
      </w:r>
      <w:r w:rsidR="00664E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przed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0D544843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5CB1A70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</w:t>
      </w:r>
      <w:r w:rsidR="00C1694B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wsparciem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upublicznia zapytanie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ofertowe na stronie internetowej</w:t>
      </w:r>
      <w:r w:rsidR="01B1B4B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1B1B4B5" w:rsidRPr="009A1B05">
        <w:rPr>
          <w:rFonts w:eastAsia="Calibri" w:cstheme="minorHAns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8">
        <w:r w:rsidR="00664ED4" w:rsidRPr="009A1B05">
          <w:rPr>
            <w:rStyle w:val="Hipercze"/>
            <w:rFonts w:eastAsia="MS Mincho" w:cstheme="minorHAnsi"/>
            <w:iCs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11CCA7B" w14:textId="4A85F199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wszczęcia postępowania przed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38FB8E19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76F7615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Przedsięwzięcia wsparciem,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ocena, czy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koszt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kwalifikowalny</w:t>
      </w:r>
      <w:r w:rsidR="6CA6BAD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należy do</w:t>
      </w:r>
      <w:r w:rsidR="00DE296D" w:rsidRPr="009A1B05">
        <w:rPr>
          <w:rFonts w:eastAsia="MS Mincho" w:cstheme="minorHAnsi"/>
          <w:iCs/>
          <w:sz w:val="24"/>
          <w:szCs w:val="24"/>
          <w:lang w:eastAsia="ja-JP"/>
        </w:rPr>
        <w:t xml:space="preserve"> JW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6FC6D47" w14:textId="5FD095EE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Zapytanie ofertowe może zostać zmienione przed upływem terminu składania ofert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przewidzianym w zapytaniu ofertowym. W takim przypadku należy w opublikowanym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zapytaniu ofertowym uwzględnić informację o zmianie.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Informacja ta powinna zawierać co najmniej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datę upublicznienia zmienianego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zapytania ofertowego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opis dokonanych zmian. Zamawiający </w:t>
      </w:r>
      <w:r w:rsidR="00977B8D" w:rsidRPr="009A1B05">
        <w:rPr>
          <w:rFonts w:eastAsia="MS Mincho" w:cstheme="minorHAnsi"/>
          <w:iCs/>
          <w:sz w:val="24"/>
          <w:szCs w:val="24"/>
          <w:lang w:eastAsia="ja-JP"/>
        </w:rPr>
        <w:t>przedłuża termin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jest to konieczne z uwag</w:t>
      </w:r>
      <w:r w:rsidR="00E23146" w:rsidRPr="009A1B05">
        <w:rPr>
          <w:rFonts w:eastAsia="MS Mincho" w:cstheme="minorHAnsi"/>
          <w:iCs/>
          <w:sz w:val="24"/>
          <w:szCs w:val="24"/>
          <w:lang w:eastAsia="ja-JP"/>
        </w:rPr>
        <w:t>i na zakres wprowadzonych zmian.</w:t>
      </w:r>
    </w:p>
    <w:p w14:paraId="2A6B6B31" w14:textId="6014B1F6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Treść pytań dotyczących zapytania ofertowego wraz z wyjaśnieniami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zamawiającego publikowana jest 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0E2297A" w14:textId="5D5E74A0" w:rsidR="00D4563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Protokół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 xml:space="preserve">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 należy sporządzić w formie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pisemnej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elektronicznej (wraz z kwalifikowanym podpisem elektronicznym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Protokół zawiera co najmniej:</w:t>
      </w:r>
    </w:p>
    <w:p w14:paraId="1495C8D2" w14:textId="072CF916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wykaz wszystkich ofert, które wpłynęły w odpowiedzi na zapytanie ofertowe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wraz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ze wskazaniem daty wpłynięcia oferty do zamawiającego,</w:t>
      </w:r>
    </w:p>
    <w:p w14:paraId="09DC48F9" w14:textId="260316DB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spełnieniu warunku, 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C02285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wykonawców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 do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poszczególnych kryteriów oceny i sposobie przyznawania punktacji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poszczególnym wykonawcom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załączniki:</w:t>
      </w:r>
    </w:p>
    <w:p w14:paraId="13DDA639" w14:textId="2CB5B47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potwierdzenie upublicznienia zapytania ofertowego w sposób wskazany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ze zmianami w zapytaniu ofertowym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 ile zostały dokonane,</w:t>
      </w:r>
    </w:p>
    <w:p w14:paraId="393E9746" w14:textId="2B67DD0F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złożone oferty,</w:t>
      </w:r>
    </w:p>
    <w:p w14:paraId="61282CAE" w14:textId="237DA7B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oświadczenia o braku powiązań z wykonawcami, którzy złożyli oferty,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podpisane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osoby uprawnione do reprezentowania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zamawiającego i osoby wykonujące w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imieniu 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czynności związane z procedurą wyboru wykonawcy, w tym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biorące udział w procesie oceny ofert (tj. powiązań, o których mowa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 2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).</w:t>
      </w:r>
    </w:p>
    <w:p w14:paraId="6694BF40" w14:textId="772565D0" w:rsidR="000D4C28" w:rsidRPr="009A1B05" w:rsidRDefault="000D4C28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oświadczenie o którym mowa w art. 56 ust. 4 ustawy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485C873F" w14:textId="2E1E4A12" w:rsidR="009C078D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wyniku postępowania upublicznia się w taki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sposób</w:t>
      </w:r>
      <w:r w:rsidR="002204D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jaki zostało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upublicznione zapytanie ofertowe. Informacja o wyniku postępowania zawiera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nazwę wybranego wykonawcy,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adres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jego siedzib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 cenę zamówienia. Na wniosek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wykonawcy, który złożył ofertę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innego zainteresowanego podmiotu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należy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udostępnić protokół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zamówienia, z wyłączeniem części ofert stanowiących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tajemnicę przedsiębiorstwa.</w:t>
      </w:r>
      <w:r w:rsidR="003764D5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0"/>
      </w:r>
    </w:p>
    <w:p w14:paraId="45131AE5" w14:textId="263AAFF9" w:rsidR="009C078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 przeprowadzeniu procedury uregulowanej w niniejszej sekcji następuje zawarcie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umowy z wykonawcą w formie pisemnej lub elektronicznej (wraz z kwalifikowanym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podpisem elektronicznym). W przypadku, gdy zamawiający dopuszcza składanie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zamówienia. 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gdy przedmiotem zamówienia jest zawarcie umowy ramowej, dopuszcza się sporządzenie jednej umowy z wieloma wykonawcami, lub kilku samodzielnych umów.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gdy wybrany wykonawca odstąpi od zawarcia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 zamawiającym, zamawiający zawiera umowę z kolejnym wykonawcą, który w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Nie jest możliwe dokonywanie istotnych zmian</w:t>
      </w:r>
      <w:r w:rsidR="00683D29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1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postanowień zawartej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stosunku do treści oferty, na podstawie której dokonano wyboru wykonawcy,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chyba że:</w:t>
      </w:r>
    </w:p>
    <w:p w14:paraId="3FCDC685" w14:textId="61C6F4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zostały przewidziane w zapytaniu ofertowym w postaci jednoznacznych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postanowień umownych, które określają ich zakres i charakter oraz warunki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wprowadzenia zmian,</w:t>
      </w:r>
    </w:p>
    <w:p w14:paraId="19D92F32" w14:textId="05EFAD91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dotyczą realizacji dodatkowych dostaw</w:t>
      </w:r>
      <w:r w:rsidR="009C001A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usług</w:t>
      </w:r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robót budowlanych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dotychczasowego wykonawcy, nieobjętych zamówieniem podstawowym,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nie może zostać dokonana z powodów ekonomicznych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technicznych, w szczególności dotyczących zamienności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interoperacyjności sprzętu, usług lub instalacji, zamówionych w ramach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podstawowego,</w:t>
      </w:r>
    </w:p>
    <w:p w14:paraId="5AD874F9" w14:textId="73C1795F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spowodowałaby istotną niedogodność lub znaczne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zwiększenie kosztów dla zamawiającego,</w:t>
      </w:r>
    </w:p>
    <w:p w14:paraId="1F496713" w14:textId="391F786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wartość każdej kolejnej zmiany nie przekracza 50% wartości zamówienia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i zostały spełnione łącznie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warunki:</w:t>
      </w:r>
    </w:p>
    <w:p w14:paraId="1EC16F2B" w14:textId="6BD9777D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konieczność zmiany umowy spowodowana jest okolicznościami, których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wartość zmiany nie przekracza 50% wartości zamówienia określonej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pierwotnie w umowie,</w:t>
      </w:r>
    </w:p>
    <w:p w14:paraId="46DF799D" w14:textId="532D70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wykonawcę, któremu zamawiający udzielił 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>zamówienia ma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zastąpić nowy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 xml:space="preserve"> wykonawca:</w:t>
      </w:r>
    </w:p>
    <w:p w14:paraId="464AE5BA" w14:textId="56174215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 podstawie postanowień umownych, o których mowa w </w:t>
      </w:r>
      <w:proofErr w:type="spellStart"/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proofErr w:type="spellEnd"/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>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3C14A91D" w14:textId="2FF76FA6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połączenia, podziału, przekształcenia, upadłości, restrukturyzacji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nabycia dotychczasowego wykonawcy lub jego przedsiębiorstwa</w:t>
      </w:r>
      <w:r w:rsidR="00F5360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nowy wykonawca spełnia warunki udziału w postępowaniu, nie zachodzą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wobec niego podstawy wykluczenia oraz nie pociąga to za sobą innych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istotnych zmian umowy,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 także nie ma na celu uniknięcia stosowania zasady konkurencyjności, lub</w:t>
      </w:r>
    </w:p>
    <w:p w14:paraId="5F225AEB" w14:textId="0B119FBA" w:rsidR="00D45636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przejęcia przez zamawiającego zobowiązań wykonawcy względem jego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podwykonawców; w przypadku zmiany podwykonawcy, zamawiający może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zawrzeć umowę z nowym podwykonawcą bez zmiany warunków realizacji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uwzględnieniem dokonanych płatności z tytułu dotychczas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zrealizowanych prac,</w:t>
      </w:r>
    </w:p>
    <w:p w14:paraId="5AE942C3" w14:textId="7E8F4919" w:rsidR="00117196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a łączna wartość zmian jest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mniejsza niż progi unijne w rozumieniu art. 3 </w:t>
      </w:r>
      <w:r w:rsidR="00EF35D4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97090F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2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 jednocześnie jest mniejsza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10% wartości zamówienia określonej pierwotnie w umowie w przypadku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usługi lub dostawy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albo, w przypadku zamówień na roboty budowlane jest mniejsza od 15% wartości zamówienia określonej pierwotnie w umowie.</w:t>
      </w:r>
    </w:p>
    <w:p w14:paraId="01FA4A47" w14:textId="7BA44B7B" w:rsidR="004B5A4B" w:rsidRPr="005052BA" w:rsidRDefault="004B5A4B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8" w:name="_Toc115082200"/>
      <w:bookmarkStart w:id="9" w:name="_Toc161824961"/>
      <w:r w:rsidRPr="005052BA">
        <w:rPr>
          <w:rFonts w:asciiTheme="minorHAnsi" w:hAnsiTheme="minorHAnsi" w:cstheme="minorHAnsi"/>
          <w:color w:val="auto"/>
        </w:rPr>
        <w:lastRenderedPageBreak/>
        <w:t>Zamówienia w trybie in-</w:t>
      </w:r>
      <w:proofErr w:type="spellStart"/>
      <w:r w:rsidRPr="005052BA">
        <w:rPr>
          <w:rFonts w:asciiTheme="minorHAnsi" w:hAnsiTheme="minorHAnsi" w:cstheme="minorHAnsi"/>
          <w:color w:val="auto"/>
        </w:rPr>
        <w:t>house</w:t>
      </w:r>
      <w:bookmarkEnd w:id="8"/>
      <w:bookmarkEnd w:id="9"/>
      <w:proofErr w:type="spellEnd"/>
      <w:r w:rsidRPr="005052BA">
        <w:rPr>
          <w:rFonts w:asciiTheme="minorHAnsi" w:hAnsiTheme="minorHAnsi" w:cstheme="minorHAnsi"/>
          <w:color w:val="auto"/>
        </w:rPr>
        <w:t xml:space="preserve"> </w:t>
      </w:r>
    </w:p>
    <w:p w14:paraId="7A003B97" w14:textId="1651920C" w:rsidR="004B5A4B" w:rsidRPr="009A1B05" w:rsidRDefault="004B5A4B" w:rsidP="005052BA">
      <w:pPr>
        <w:spacing w:before="120" w:after="120" w:line="360" w:lineRule="auto"/>
        <w:contextualSpacing/>
        <w:rPr>
          <w:rFonts w:eastAsia="Times New Roman" w:cstheme="minorHAnsi"/>
          <w:iCs/>
          <w:sz w:val="24"/>
          <w:szCs w:val="24"/>
          <w:lang w:val="pl-PL" w:eastAsia="pl-PL"/>
        </w:rPr>
      </w:pP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W przypadku zamówień w trybie in-</w:t>
      </w:r>
      <w:proofErr w:type="spellStart"/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house</w:t>
      </w:r>
      <w:proofErr w:type="spellEnd"/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, oprócz zasad i warunków zawartych w niniejszym dokumencie wraz z załącznikiem oraz spełnienia przesłanek wskazanych w </w:t>
      </w:r>
      <w:r w:rsidR="00444CD8" w:rsidRPr="009A1B05">
        <w:rPr>
          <w:rFonts w:eastAsia="Times New Roman" w:cstheme="minorHAnsi"/>
          <w:iCs/>
          <w:sz w:val="24"/>
          <w:szCs w:val="24"/>
          <w:lang w:val="pl-PL"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, w celu uznania kosztów poniesionych w związku z zamówieniem w trybie in-</w:t>
      </w:r>
      <w:proofErr w:type="spellStart"/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house</w:t>
      </w:r>
      <w:proofErr w:type="spellEnd"/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 za kwalifikowalne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F43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zobowiązany jest do:</w:t>
      </w:r>
    </w:p>
    <w:p w14:paraId="178D49C6" w14:textId="6A04ECEA" w:rsidR="00786086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leceni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prac podmiotowi wewnętrznemu na podstawie podpisanej umowy z podmiotem wewnętrznym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ED6AA14" w14:textId="2C3565C0" w:rsidR="00CF0E60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rzeprowadzeni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rozeznania rynku przed zleceniem prac in-</w:t>
      </w:r>
      <w:proofErr w:type="spellStart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house</w:t>
      </w:r>
      <w:proofErr w:type="spellEnd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(ex </w:t>
      </w:r>
      <w:proofErr w:type="spellStart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ante</w:t>
      </w:r>
      <w:proofErr w:type="spellEnd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) poprzez:</w:t>
      </w:r>
    </w:p>
    <w:p w14:paraId="2B9BB775" w14:textId="03F1D30C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62CF2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08548731" w14:textId="4168D773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304844F8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5EEB8B41" w14:textId="340D09F8" w:rsidR="004B5A4B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przeprowadzenie zewnętrznej, niezależnej analizy porównawczej wyceny rynkowej</w:t>
      </w:r>
      <w:r w:rsidR="137F433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(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proofErr w:type="spellStart"/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ppkt</w:t>
      </w:r>
      <w:proofErr w:type="spellEnd"/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1)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i oszacowania kosztów podmiotu wewnętrznego (p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proofErr w:type="spellStart"/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ppkt</w:t>
      </w:r>
      <w:proofErr w:type="spellEnd"/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 2)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przez wyłonionego w otwartym konkursie eksperta rynkowego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 lub/i ekspertów z jednostek podległych i nadzorowanych przez -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,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112959A4" w14:textId="27C439DE" w:rsidR="00CF0E60" w:rsidRPr="009A1B05" w:rsidRDefault="004B5A4B" w:rsidP="005052BA">
      <w:pPr>
        <w:spacing w:before="120" w:after="120" w:line="360" w:lineRule="auto"/>
        <w:contextualSpacing/>
        <w:rPr>
          <w:rFonts w:cstheme="minorHAnsi"/>
          <w:b/>
          <w:bCs/>
          <w:iCs/>
          <w:sz w:val="24"/>
          <w:szCs w:val="24"/>
          <w:lang w:val="pl-PL"/>
        </w:rPr>
      </w:pPr>
      <w:r w:rsidRPr="009A1B05">
        <w:rPr>
          <w:rFonts w:cstheme="minorHAnsi"/>
          <w:b/>
          <w:bCs/>
          <w:iCs/>
          <w:sz w:val="24"/>
          <w:szCs w:val="24"/>
          <w:lang w:val="pl-PL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378F6F45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O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dbioru prac zgodnie z przyjętym harmonogramem realizacji Przedsięwzięcia wskazanym w Umowie/Porozumieniu o objęciu Przedsięwzięcia wsparciem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1B24AA3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C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yklicznego raportowania kosztów ponoszonych w trybie in-</w:t>
      </w:r>
      <w:proofErr w:type="spellStart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house</w:t>
      </w:r>
      <w:proofErr w:type="spellEnd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do JW.</w:t>
      </w:r>
    </w:p>
    <w:p w14:paraId="0E819F8A" w14:textId="375CE462" w:rsidR="00CF0E60" w:rsidRPr="009A1B05" w:rsidRDefault="004B5A4B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Podmiot wewnętrzny zobowiązany jest do:</w:t>
      </w:r>
    </w:p>
    <w:p w14:paraId="2FB595F4" w14:textId="7E411592" w:rsidR="00CF0E60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dokonywania zakupów towarów, materiałów i usług dotyczących podpisanej umowy zgodnie z ustawą 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zgodnie z </w:t>
      </w:r>
      <w:r w:rsidR="00EF35D4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Załącznikiem nr 3</w:t>
      </w:r>
      <w:r w:rsidR="00062CF2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: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„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Zasady 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>kwalifikowania wydatków w Przedsięwzięciach realizowanych w ramach Inwestycji C3.1.1. Krajowego Planu Odbudowy i Zwiększania Odporności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”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2700CA49" w14:textId="77777777" w:rsidR="00EF35D4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4BB62D9D" w:rsidR="004B5A4B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75CD755C" w:rsidR="00117196" w:rsidRPr="005052BA" w:rsidRDefault="00117196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0" w:name="_Toc161824962"/>
      <w:bookmarkStart w:id="11" w:name="_Toc78468510"/>
      <w:r w:rsidRPr="005052BA">
        <w:rPr>
          <w:rFonts w:asciiTheme="minorHAnsi" w:hAnsiTheme="minorHAnsi" w:cstheme="minorHAnsi"/>
          <w:color w:val="auto"/>
        </w:rPr>
        <w:t xml:space="preserve">Przykłady możliwych nieprawidłowości w obszarze </w:t>
      </w:r>
      <w:r w:rsidR="00D72C2E" w:rsidRPr="005052BA">
        <w:rPr>
          <w:rFonts w:asciiTheme="minorHAnsi" w:hAnsiTheme="minorHAnsi" w:cstheme="minorHAnsi"/>
          <w:color w:val="auto"/>
        </w:rPr>
        <w:t>zamówień</w:t>
      </w:r>
      <w:bookmarkEnd w:id="10"/>
    </w:p>
    <w:p w14:paraId="04697B44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stosowanie trybów niekonkurencyjnych lub nieuprawnione stosowanie procedur przyspieszonych powołując się np. na termin zakończenia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Przedsięwzięcia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lub koniec roku budżetowego.</w:t>
      </w:r>
    </w:p>
    <w:p w14:paraId="5BE91B5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 pierwotnym przetargu autorskich</w:t>
      </w:r>
      <w:r w:rsidR="00BA1F4D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praw</w:t>
      </w:r>
      <w:r w:rsidR="00BA1F4D" w:rsidRPr="009A1B05">
        <w:rPr>
          <w:rFonts w:cstheme="minorHAnsi"/>
          <w:iCs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377293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3F547C4E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Niedopuszczenie przez zamawiającego zaoferowania produktu równoważnego lub usługi równoważnej, w 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D62AC1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>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B522E60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łączenie zamówień publicznych, które odrębnie udzielane wymagają zastosowania różnych zasad udzielenia. </w:t>
      </w:r>
    </w:p>
    <w:p w14:paraId="00D66FF4" w14:textId="77777777" w:rsidR="00062CF2" w:rsidRPr="009A1B05" w:rsidRDefault="00A43A42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0ACF9E46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76149532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5866708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701F83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46977DA5" w14:textId="77777777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7CB3BB7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6635957D" w14:textId="3891C025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Nieuprawniony podział zamówienia na części, w sytuacji gdy w ramach kilku Przedsięwzięć realizowane są tożsame zamówienia, celem uniknięcia stosowania przepisów </w:t>
      </w:r>
      <w:r w:rsidR="007A0E63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zasad określonych w niniejszym dokumencie.</w:t>
      </w:r>
    </w:p>
    <w:p w14:paraId="40F46F15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9A1B05">
        <w:rPr>
          <w:rFonts w:eastAsia="Calibri" w:cstheme="minorHAnsi"/>
          <w:iCs/>
          <w:sz w:val="24"/>
          <w:szCs w:val="24"/>
        </w:rPr>
        <w:t xml:space="preserve">Za niedopuszczalne uznaje się natomiast uprzednie uzgodnienie z wykonawcą lub jakimkolwiek innym podmiotem/jakąkolwiek inną osobą sposobu poprawienia omyłek, które pojawiły się w ofercie, a o których mowa w przepisie art.  87 ust. 2 ustawy </w:t>
      </w:r>
      <w:r w:rsidR="007A0E63" w:rsidRPr="009A1B05">
        <w:rPr>
          <w:rFonts w:eastAsia="Calibri" w:cstheme="minorHAnsi"/>
          <w:iCs/>
          <w:sz w:val="24"/>
          <w:szCs w:val="24"/>
        </w:rPr>
        <w:t>PZP</w:t>
      </w:r>
      <w:r w:rsidRPr="009A1B05">
        <w:rPr>
          <w:rFonts w:eastAsia="Calibri" w:cstheme="minorHAnsi"/>
          <w:iCs/>
          <w:sz w:val="24"/>
          <w:szCs w:val="24"/>
        </w:rPr>
        <w:t>.</w:t>
      </w:r>
    </w:p>
    <w:p w14:paraId="05BE226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Konstruowanie kryteriów oceny ofert, które w połączeni</w:t>
      </w:r>
      <w:r w:rsidR="0025094C" w:rsidRPr="009A1B05">
        <w:rPr>
          <w:rFonts w:eastAsia="Calibri" w:cstheme="minorHAnsi"/>
          <w:iCs/>
          <w:sz w:val="24"/>
          <w:szCs w:val="24"/>
        </w:rPr>
        <w:t>u z karami umownymi, mają charak</w:t>
      </w:r>
      <w:r w:rsidRPr="009A1B05">
        <w:rPr>
          <w:rFonts w:eastAsia="Calibri" w:cstheme="minorHAnsi"/>
          <w:iCs/>
          <w:sz w:val="24"/>
          <w:szCs w:val="24"/>
        </w:rPr>
        <w:t xml:space="preserve">ter iluzoryczny,  m.in. takich jak kryterium terminu realizacji w sytuacji gdy brak jest kar umownej za zwłokę/opóźnienie </w:t>
      </w:r>
      <w:r w:rsidR="0025094C" w:rsidRPr="009A1B05">
        <w:rPr>
          <w:rFonts w:eastAsia="Calibri" w:cstheme="minorHAnsi"/>
          <w:iCs/>
          <w:sz w:val="24"/>
          <w:szCs w:val="24"/>
        </w:rPr>
        <w:t xml:space="preserve">ze strony </w:t>
      </w:r>
      <w:r w:rsidRPr="009A1B05">
        <w:rPr>
          <w:rFonts w:eastAsia="Calibri" w:cstheme="minorHAnsi"/>
          <w:iCs/>
          <w:sz w:val="24"/>
          <w:szCs w:val="24"/>
        </w:rPr>
        <w:t>wykonawcy.</w:t>
      </w:r>
    </w:p>
    <w:p w14:paraId="78BA60CC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lastRenderedPageBreak/>
        <w:t>Odrzucenie przez zamawiającego ofert przewyższający</w:t>
      </w:r>
      <w:r w:rsidR="0025094C" w:rsidRPr="009A1B05">
        <w:rPr>
          <w:rFonts w:eastAsia="Calibri" w:cstheme="minorHAnsi"/>
          <w:iCs/>
          <w:sz w:val="24"/>
          <w:szCs w:val="24"/>
        </w:rPr>
        <w:t>ch wartość środków, które zostały przeznaczone na realizację z</w:t>
      </w:r>
      <w:r w:rsidRPr="009A1B05">
        <w:rPr>
          <w:rFonts w:eastAsia="Calibri" w:cstheme="minorHAnsi"/>
          <w:iCs/>
          <w:sz w:val="24"/>
          <w:szCs w:val="24"/>
        </w:rPr>
        <w:t>amówienia.</w:t>
      </w:r>
    </w:p>
    <w:p w14:paraId="24EDD672" w14:textId="77777777" w:rsidR="00225B38" w:rsidRPr="009A1B05" w:rsidRDefault="00405EC4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7377AA5E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411B30A7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12769D8B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4F2FCD2F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593B245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Przygotowanie dokumentacji zamówienia w oparciu o konkretny produkt lub dostawcę.</w:t>
      </w:r>
    </w:p>
    <w:p w14:paraId="035670B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Skracanie terminów składania ofert celem uniemożliwienia lub utrudnienia złożenia ofert przez innych wykonawców.</w:t>
      </w:r>
    </w:p>
    <w:p w14:paraId="02CA29E8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6C6C748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Niepublikowanie wzoru umowy.</w:t>
      </w:r>
    </w:p>
    <w:p w14:paraId="2AF095FB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Sporządzenie aneksu do umowy wydłużającego termin realizacji zamówienia, w sytuacji gdy przesłanka i warunki wydłużenia terminu nie zostały wprost określone w treści wzoru umowy a termin realizacji był kryterium punktowanym w ramach kryteriów oceny ofert.</w:t>
      </w:r>
    </w:p>
    <w:p w14:paraId="10E91102" w14:textId="77777777" w:rsidR="00225B38" w:rsidRPr="009A1B05" w:rsidRDefault="00C07D05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Profilowanie opisu przedmiotu zamówienia pod konkretną technologię/produkt lub producenta/dostawcę</w:t>
      </w:r>
      <w:r w:rsidR="00225B38" w:rsidRPr="009A1B05">
        <w:rPr>
          <w:rFonts w:eastAsia="Calibri" w:cstheme="minorHAnsi"/>
          <w:iCs/>
          <w:sz w:val="24"/>
          <w:szCs w:val="24"/>
        </w:rPr>
        <w:t>.</w:t>
      </w:r>
    </w:p>
    <w:p w14:paraId="5DAD9195" w14:textId="4AFE4E40" w:rsidR="00671CC6" w:rsidRPr="006446ED" w:rsidRDefault="00C07D05" w:rsidP="006446ED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lastRenderedPageBreak/>
        <w:t xml:space="preserve">Nieuzasadnione stosowanie </w:t>
      </w:r>
      <w:proofErr w:type="spellStart"/>
      <w:r w:rsidRPr="009A1B05">
        <w:rPr>
          <w:rFonts w:eastAsia="Calibri" w:cstheme="minorHAnsi"/>
          <w:iCs/>
          <w:sz w:val="24"/>
          <w:szCs w:val="24"/>
        </w:rPr>
        <w:t>wyłączeń</w:t>
      </w:r>
      <w:proofErr w:type="spellEnd"/>
      <w:r w:rsidRPr="009A1B05">
        <w:rPr>
          <w:rFonts w:eastAsia="Calibri" w:cstheme="minorHAnsi"/>
          <w:iCs/>
          <w:sz w:val="24"/>
          <w:szCs w:val="24"/>
        </w:rPr>
        <w:t xml:space="preserve"> ustawowych. </w:t>
      </w:r>
    </w:p>
    <w:p w14:paraId="6A367185" w14:textId="4E5ABE4B" w:rsidR="000C47F8" w:rsidRPr="005052BA" w:rsidRDefault="000C47F8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2" w:name="_Toc161824963"/>
      <w:r w:rsidRPr="005052BA">
        <w:rPr>
          <w:rFonts w:asciiTheme="minorHAnsi" w:hAnsiTheme="minorHAnsi" w:cstheme="minorHAnsi"/>
          <w:color w:val="auto"/>
        </w:rPr>
        <w:t>Zestawienie regulacji w za</w:t>
      </w:r>
      <w:r w:rsidR="009E4385" w:rsidRPr="005052BA">
        <w:rPr>
          <w:rFonts w:asciiTheme="minorHAnsi" w:hAnsiTheme="minorHAnsi" w:cstheme="minorHAnsi"/>
          <w:color w:val="auto"/>
        </w:rPr>
        <w:t xml:space="preserve">kresie zasady konkurencyjności </w:t>
      </w:r>
      <w:r w:rsidRPr="005052BA">
        <w:rPr>
          <w:rFonts w:asciiTheme="minorHAnsi" w:hAnsiTheme="minorHAnsi" w:cstheme="minorHAnsi"/>
          <w:color w:val="auto"/>
        </w:rPr>
        <w:t>w odniesieniu do konieczności stosowania przez zamawiającego określonej ścieżki postępowania</w:t>
      </w:r>
      <w:bookmarkEnd w:id="11"/>
      <w:bookmarkEnd w:id="12"/>
    </w:p>
    <w:p w14:paraId="3952CBA5" w14:textId="6CB39097" w:rsidR="000C47F8" w:rsidRPr="009A1B05" w:rsidRDefault="000C47F8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Poniższe zestawienie zostało opracowane na podstawie informacji zawartych w niniejszym </w:t>
      </w:r>
      <w:r w:rsidR="007A641E" w:rsidRPr="009A1B05">
        <w:rPr>
          <w:rFonts w:eastAsia="MS Mincho" w:cstheme="minorHAnsi"/>
          <w:iCs/>
          <w:sz w:val="24"/>
          <w:szCs w:val="24"/>
          <w:lang w:val="pl-PL"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ałączniku</w:t>
      </w:r>
      <w:r w:rsidR="00276958">
        <w:rPr>
          <w:rFonts w:eastAsia="MS Mincho" w:cstheme="minorHAnsi"/>
          <w:iCs/>
          <w:sz w:val="24"/>
          <w:szCs w:val="24"/>
          <w:lang w:val="pl-PL" w:eastAsia="ja-JP"/>
        </w:rPr>
        <w:t>.</w:t>
      </w:r>
    </w:p>
    <w:tbl>
      <w:tblPr>
        <w:tblStyle w:val="Tabela-Siatka"/>
        <w:tblW w:w="5700" w:type="pct"/>
        <w:tblInd w:w="-459" w:type="dxa"/>
        <w:tblLook w:val="04A0" w:firstRow="1" w:lastRow="0" w:firstColumn="1" w:lastColumn="0" w:noHBand="0" w:noVBand="1"/>
      </w:tblPr>
      <w:tblGrid>
        <w:gridCol w:w="2099"/>
        <w:gridCol w:w="2471"/>
        <w:gridCol w:w="2694"/>
        <w:gridCol w:w="3067"/>
      </w:tblGrid>
      <w:tr w:rsidR="000C47F8" w:rsidRPr="009A1B05" w14:paraId="0A069939" w14:textId="77777777" w:rsidTr="0041553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9A1B05" w:rsidRDefault="000C47F8" w:rsidP="005052BA">
            <w:pPr>
              <w:spacing w:before="120" w:after="120" w:line="360" w:lineRule="auto"/>
              <w:ind w:left="2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9A1B05" w:rsidRDefault="000C47F8" w:rsidP="005052BA">
            <w:pPr>
              <w:spacing w:before="120" w:after="120" w:line="360" w:lineRule="auto"/>
              <w:contextualSpacing/>
              <w:jc w:val="center"/>
              <w:rPr>
                <w:rFonts w:eastAsia="MS Mincho" w:cstheme="minorHAnsi"/>
                <w:b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b/>
                <w:bCs/>
                <w:iCs/>
                <w:sz w:val="24"/>
                <w:szCs w:val="24"/>
                <w:lang w:val="pl-PL" w:eastAsia="ja-JP"/>
              </w:rPr>
              <w:t>Regulacja w zakresie zasady uczciwej konkurencji</w:t>
            </w:r>
          </w:p>
        </w:tc>
      </w:tr>
      <w:tr w:rsidR="000C47F8" w:rsidRPr="009A1B05" w14:paraId="5F328D1D" w14:textId="77777777" w:rsidTr="0041553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9A1B05" w:rsidRDefault="000C47F8" w:rsidP="005052BA">
            <w:pPr>
              <w:spacing w:before="120" w:after="120" w:line="360" w:lineRule="auto"/>
              <w:ind w:left="4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2E1FB4AF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zobligowani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(zgodnie z zapisami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)</w:t>
            </w:r>
          </w:p>
        </w:tc>
        <w:tc>
          <w:tcPr>
            <w:tcW w:w="3543" w:type="dxa"/>
            <w:vAlign w:val="center"/>
          </w:tcPr>
          <w:p w14:paraId="4D9C0D61" w14:textId="473DEC35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Zamawiający zobowiązani do przestrz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egania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zasady konkurencyjności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o której mowa w sekcji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6BA2BE3" w14:textId="076354FE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niezobowiązani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lub zasady konkurencyjności, o której mowa w s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III.</w:t>
            </w:r>
          </w:p>
        </w:tc>
      </w:tr>
      <w:tr w:rsidR="000C47F8" w:rsidRPr="009A1B05" w14:paraId="45AE1236" w14:textId="77777777" w:rsidTr="0041553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9A1B05" w:rsidRDefault="000C47F8" w:rsidP="005052BA">
            <w:pPr>
              <w:spacing w:before="120" w:after="120" w:line="360" w:lineRule="auto"/>
              <w:ind w:left="61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4</w:t>
            </w:r>
          </w:p>
        </w:tc>
      </w:tr>
      <w:tr w:rsidR="000C47F8" w:rsidRPr="009A1B05" w14:paraId="14A3AF14" w14:textId="77777777" w:rsidTr="00415538">
        <w:tc>
          <w:tcPr>
            <w:tcW w:w="2694" w:type="dxa"/>
            <w:vAlign w:val="center"/>
          </w:tcPr>
          <w:p w14:paraId="41FD8B44" w14:textId="694154AD" w:rsidR="000C47F8" w:rsidRPr="009A1B05" w:rsidRDefault="00447FE0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Do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- 50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9A1B05" w:rsidRDefault="00447FE0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9A1B05" w:rsidRDefault="00447FE0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9A1B05" w:rsidRDefault="00447FE0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  <w:r w:rsidR="00FF7E4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9A1B05" w14:paraId="69219D1D" w14:textId="77777777" w:rsidTr="00415538">
        <w:trPr>
          <w:trHeight w:val="944"/>
        </w:trPr>
        <w:tc>
          <w:tcPr>
            <w:tcW w:w="2694" w:type="dxa"/>
            <w:vAlign w:val="center"/>
          </w:tcPr>
          <w:p w14:paraId="66805194" w14:textId="41365AFE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Powyżej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netto – do kwoty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</w:t>
            </w:r>
          </w:p>
        </w:tc>
        <w:tc>
          <w:tcPr>
            <w:tcW w:w="3402" w:type="dxa"/>
            <w:vAlign w:val="center"/>
          </w:tcPr>
          <w:p w14:paraId="63C68743" w14:textId="6296E964" w:rsidR="000C47F8" w:rsidRPr="009A1B05" w:rsidRDefault="00A91A7B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3543" w:type="dxa"/>
            <w:vAlign w:val="center"/>
          </w:tcPr>
          <w:p w14:paraId="523FEFC7" w14:textId="177AF1B2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0C47F8" w:rsidRPr="009A1B05" w14:paraId="281C4866" w14:textId="77777777" w:rsidTr="00415538">
        <w:tc>
          <w:tcPr>
            <w:tcW w:w="2694" w:type="dxa"/>
            <w:vAlign w:val="center"/>
          </w:tcPr>
          <w:p w14:paraId="49955932" w14:textId="3BA41E20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lastRenderedPageBreak/>
              <w:t xml:space="preserve">Od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018BB014" w14:textId="1C03D374" w:rsidR="000C47F8" w:rsidRPr="009A1B05" w:rsidRDefault="0041553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220B54A4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9A1B05" w:rsidRDefault="00D24E7A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</w:p>
    <w:sectPr w:rsidR="00D24E7A" w:rsidRPr="009A1B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7653" w14:textId="77777777" w:rsidR="004F38CF" w:rsidRDefault="004F38CF" w:rsidP="004A3775">
      <w:pPr>
        <w:spacing w:after="0" w:line="240" w:lineRule="auto"/>
      </w:pPr>
      <w:r>
        <w:separator/>
      </w:r>
    </w:p>
  </w:endnote>
  <w:endnote w:type="continuationSeparator" w:id="0">
    <w:p w14:paraId="0912C9A5" w14:textId="77777777" w:rsidR="004F38CF" w:rsidRDefault="004F38CF" w:rsidP="004A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634D03" w:rsidRDefault="000D4C28">
        <w:pPr>
          <w:pStyle w:val="Stopka"/>
          <w:jc w:val="right"/>
        </w:pPr>
        <w:r w:rsidRPr="00634D03">
          <w:fldChar w:fldCharType="begin"/>
        </w:r>
        <w:r w:rsidRPr="00634D03">
          <w:instrText>PAGE   \* MERGEFORMAT</w:instrText>
        </w:r>
        <w:r w:rsidRPr="00634D03">
          <w:fldChar w:fldCharType="separate"/>
        </w:r>
        <w:r w:rsidR="00664ED4" w:rsidRPr="00634D03">
          <w:rPr>
            <w:noProof/>
            <w:lang w:val="pl-PL"/>
          </w:rPr>
          <w:t>13</w:t>
        </w:r>
        <w:r w:rsidRPr="00634D03">
          <w:fldChar w:fldCharType="end"/>
        </w:r>
      </w:p>
    </w:sdtContent>
  </w:sdt>
  <w:p w14:paraId="5C7782AE" w14:textId="77777777" w:rsidR="000D4C28" w:rsidRDefault="000D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2D41" w14:textId="77777777" w:rsidR="004F38CF" w:rsidRDefault="004F38CF" w:rsidP="004A3775">
      <w:pPr>
        <w:spacing w:after="0" w:line="240" w:lineRule="auto"/>
      </w:pPr>
      <w:r>
        <w:separator/>
      </w:r>
    </w:p>
  </w:footnote>
  <w:footnote w:type="continuationSeparator" w:id="0">
    <w:p w14:paraId="4934DD08" w14:textId="77777777" w:rsidR="004F38CF" w:rsidRDefault="004F38CF" w:rsidP="004A3775">
      <w:pPr>
        <w:spacing w:after="0" w:line="240" w:lineRule="auto"/>
      </w:pPr>
      <w:r>
        <w:continuationSeparator/>
      </w:r>
    </w:p>
  </w:footnote>
  <w:footnote w:id="1">
    <w:p w14:paraId="472D7534" w14:textId="51F49634" w:rsidR="000D4C28" w:rsidRPr="00812017" w:rsidRDefault="000D4C28" w:rsidP="008B068D">
      <w:pPr>
        <w:pStyle w:val="Tekstprzypisudolnego"/>
        <w:jc w:val="both"/>
        <w:rPr>
          <w:rFonts w:cstheme="minorHAnsi"/>
          <w:lang w:val="pl-PL"/>
        </w:rPr>
      </w:pPr>
      <w:r w:rsidRPr="00812017">
        <w:rPr>
          <w:rStyle w:val="Odwoanieprzypisudolnego"/>
          <w:rFonts w:cstheme="minorHAnsi"/>
        </w:rPr>
        <w:footnoteRef/>
      </w:r>
      <w:r w:rsidRPr="00812017">
        <w:rPr>
          <w:rFonts w:cstheme="minorHAnsi"/>
          <w:lang w:val="pl-PL"/>
        </w:rPr>
        <w:t xml:space="preserve"> Określone w </w:t>
      </w:r>
      <w:r w:rsidRPr="005E1EA6">
        <w:rPr>
          <w:rFonts w:cstheme="minorHAnsi"/>
          <w:lang w:val="pl-PL"/>
        </w:rPr>
        <w:t xml:space="preserve">sekcji </w:t>
      </w:r>
      <w:r w:rsidR="005E1EA6" w:rsidRPr="005E1EA6">
        <w:rPr>
          <w:rFonts w:cstheme="minorHAnsi"/>
          <w:lang w:val="pl-PL"/>
        </w:rPr>
        <w:t>I.</w:t>
      </w:r>
      <w:r w:rsidR="00543235" w:rsidRPr="005E1EA6">
        <w:rPr>
          <w:rFonts w:cstheme="minorHAnsi"/>
          <w:lang w:val="pl-PL"/>
        </w:rPr>
        <w:t xml:space="preserve"> </w:t>
      </w:r>
      <w:r w:rsidRPr="005E1EA6">
        <w:rPr>
          <w:rFonts w:cstheme="minorHAnsi"/>
          <w:lang w:val="pl-PL"/>
        </w:rPr>
        <w:t>pkt</w:t>
      </w:r>
      <w:r w:rsidR="005E1EA6">
        <w:rPr>
          <w:rFonts w:cstheme="minorHAnsi"/>
          <w:lang w:val="pl-PL"/>
        </w:rPr>
        <w:t>.</w:t>
      </w:r>
      <w:r w:rsidRPr="005E1EA6">
        <w:rPr>
          <w:rFonts w:cstheme="minorHAnsi"/>
          <w:lang w:val="pl-PL"/>
        </w:rPr>
        <w:t xml:space="preserve"> </w:t>
      </w:r>
      <w:r w:rsidR="009C5ACA" w:rsidRPr="005E1EA6">
        <w:rPr>
          <w:rFonts w:cstheme="minorHAnsi"/>
          <w:lang w:val="pl-PL"/>
        </w:rPr>
        <w:t>8</w:t>
      </w:r>
      <w:r w:rsidR="005E1EA6">
        <w:rPr>
          <w:rFonts w:cstheme="minorHAnsi"/>
          <w:lang w:val="pl-PL"/>
        </w:rPr>
        <w:t>.</w:t>
      </w:r>
      <w:r w:rsidR="009C5ACA" w:rsidRPr="005E1EA6">
        <w:rPr>
          <w:rFonts w:cstheme="minorHAnsi"/>
          <w:lang w:val="pl-PL"/>
        </w:rPr>
        <w:t xml:space="preserve"> i 9</w:t>
      </w:r>
      <w:r w:rsidR="005E1EA6">
        <w:rPr>
          <w:rFonts w:cstheme="minorHAnsi"/>
          <w:lang w:val="pl-PL"/>
        </w:rPr>
        <w:t>.</w:t>
      </w:r>
      <w:r w:rsidRPr="00812017">
        <w:rPr>
          <w:rFonts w:cstheme="minorHAnsi"/>
          <w:lang w:val="pl-PL"/>
        </w:rPr>
        <w:t xml:space="preserve"> przesłanki umożliwiające niestosowanie procedur należy interpretować biorąc pod uwagę wykładnię odpowiednich przepisów </w:t>
      </w:r>
      <w:r w:rsidR="00812017">
        <w:rPr>
          <w:rFonts w:cstheme="minorHAnsi"/>
          <w:lang w:val="pl-PL"/>
        </w:rPr>
        <w:t>PZP</w:t>
      </w:r>
      <w:r w:rsidRPr="00812017">
        <w:rPr>
          <w:rFonts w:cstheme="minorHAnsi"/>
          <w:lang w:val="pl-PL"/>
        </w:rPr>
        <w:t xml:space="preserve"> umożliwiających zastosowanie trybu niekonkurencyjnego po spełnieniu określonych warunków.</w:t>
      </w:r>
    </w:p>
  </w:footnote>
  <w:footnote w:id="2">
    <w:p w14:paraId="66B7D75D" w14:textId="356F7923" w:rsidR="000D4C28" w:rsidRPr="003A36EC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Wskazane przesłanki należy interpretować zgodnie z wykładnią przepisów </w:t>
      </w:r>
      <w:r w:rsidR="00B6794F" w:rsidRPr="003A36EC">
        <w:rPr>
          <w:rFonts w:cstheme="minorHAnsi"/>
          <w:lang w:val="pl-PL"/>
        </w:rPr>
        <w:t xml:space="preserve">PZP </w:t>
      </w:r>
      <w:r w:rsidRPr="003A36EC">
        <w:rPr>
          <w:rFonts w:cstheme="minorHAnsi"/>
          <w:lang w:val="pl-PL"/>
        </w:rPr>
        <w:t>dotyczących szacowania wartości zamówienia.</w:t>
      </w:r>
    </w:p>
  </w:footnote>
  <w:footnote w:id="3">
    <w:p w14:paraId="219447E5" w14:textId="77777777" w:rsidR="000D4C28" w:rsidRPr="00A9616F" w:rsidRDefault="000D4C28" w:rsidP="00C07D0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1D30D15F" w:rsidR="000D4C28" w:rsidRPr="00415538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W przypadku podmiotu zobowiązanego do stosowania </w:t>
      </w:r>
      <w:r w:rsidR="00B6794F">
        <w:rPr>
          <w:rFonts w:cstheme="minorHAnsi"/>
          <w:lang w:val="pl-PL"/>
        </w:rPr>
        <w:t>PZP</w:t>
      </w:r>
      <w:r w:rsidR="00B6794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– nie dotyczy to zamówień o których mowa w art. 30 ust. 4 </w:t>
      </w:r>
      <w:r w:rsidR="00B6794F">
        <w:rPr>
          <w:rFonts w:cstheme="minorHAnsi"/>
          <w:lang w:val="pl-PL"/>
        </w:rPr>
        <w:t>PZP</w:t>
      </w:r>
      <w:r w:rsidRPr="00415538">
        <w:rPr>
          <w:rFonts w:cstheme="minorHAnsi"/>
          <w:lang w:val="pl-PL"/>
        </w:rPr>
        <w:t>.</w:t>
      </w:r>
    </w:p>
  </w:footnote>
  <w:footnote w:id="5">
    <w:p w14:paraId="2ECC6F39" w14:textId="756AEAC7" w:rsidR="000D4C28" w:rsidRPr="00523F95" w:rsidRDefault="000D4C28" w:rsidP="00BB0CA9">
      <w:pPr>
        <w:pStyle w:val="Tekstprzypisudolnego"/>
        <w:jc w:val="both"/>
        <w:rPr>
          <w:rFonts w:cstheme="minorHAnsi"/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Wspólny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Słownik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Zamówień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dostępny jest m. in.: pod adresem: http://kody.uzp.gov.p</w:t>
      </w:r>
      <w:r w:rsidR="00303221">
        <w:rPr>
          <w:rFonts w:cstheme="minorHAnsi"/>
          <w:lang w:val="pl-PL"/>
        </w:rPr>
        <w:t>l.</w:t>
      </w:r>
    </w:p>
  </w:footnote>
  <w:footnote w:id="6">
    <w:p w14:paraId="0B3F601F" w14:textId="221B7A9C" w:rsidR="000D4C28" w:rsidRPr="00FA6EB4" w:rsidRDefault="000D4C28" w:rsidP="00303221">
      <w:pPr>
        <w:pStyle w:val="Tekstprzypisudolnego"/>
        <w:rPr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</w:t>
      </w:r>
      <w:proofErr w:type="spellStart"/>
      <w:r w:rsidRPr="00303221">
        <w:rPr>
          <w:rFonts w:cstheme="minorHAnsi"/>
          <w:lang w:val="pl-PL"/>
        </w:rPr>
        <w:t>późn</w:t>
      </w:r>
      <w:proofErr w:type="spellEnd"/>
      <w:r w:rsidRPr="00303221">
        <w:rPr>
          <w:rFonts w:cstheme="minorHAnsi"/>
          <w:lang w:val="pl-PL"/>
        </w:rPr>
        <w:t xml:space="preserve">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303221">
        <w:rPr>
          <w:rFonts w:cstheme="minorHAnsi"/>
          <w:lang w:val="pl-PL"/>
        </w:rPr>
        <w:t>późn</w:t>
      </w:r>
      <w:proofErr w:type="spellEnd"/>
      <w:r w:rsidRPr="00303221">
        <w:rPr>
          <w:rFonts w:cstheme="minorHAnsi"/>
          <w:lang w:val="pl-PL"/>
        </w:rPr>
        <w:t>. zm.).</w:t>
      </w:r>
    </w:p>
  </w:footnote>
  <w:footnote w:id="7">
    <w:p w14:paraId="4B26B3F9" w14:textId="014B15BD" w:rsidR="000D4C28" w:rsidRPr="00D923F9" w:rsidRDefault="000D4C28" w:rsidP="00303221">
      <w:pPr>
        <w:pStyle w:val="Tekstprzypisudolnego"/>
        <w:rPr>
          <w:lang w:val="pl-PL"/>
        </w:rPr>
      </w:pPr>
      <w:r w:rsidRPr="00D923F9">
        <w:rPr>
          <w:rStyle w:val="Odwoanieprzypisudolnego"/>
        </w:rPr>
        <w:footnoteRef/>
      </w:r>
      <w:r w:rsidRPr="00D923F9">
        <w:rPr>
          <w:lang w:val="pl-PL"/>
        </w:rPr>
        <w:t xml:space="preserve"> Średni kurs PLN w stosunku do EUR stanowiący podstawę przeliczania wartości zamówień ustala się w oparciu o przepisy art. 3 </w:t>
      </w:r>
      <w:r w:rsidR="00EF35D4">
        <w:rPr>
          <w:lang w:val="pl-PL"/>
        </w:rPr>
        <w:t>PZP</w:t>
      </w:r>
      <w:r w:rsidRPr="00D923F9">
        <w:rPr>
          <w:lang w:val="pl-PL"/>
        </w:rPr>
        <w:t>.</w:t>
      </w:r>
    </w:p>
  </w:footnote>
  <w:footnote w:id="8">
    <w:p w14:paraId="0D3C6A0F" w14:textId="541010CF" w:rsidR="000D4C28" w:rsidRPr="007F6C2E" w:rsidRDefault="000D4C28" w:rsidP="005337E6">
      <w:pPr>
        <w:pStyle w:val="Tekstprzypisudolnego"/>
        <w:rPr>
          <w:rFonts w:cstheme="minorHAnsi"/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Nie dotyczy podmiotów będących zamawiającymi w rozumieniu </w:t>
      </w:r>
      <w:r w:rsidR="00EF35D4" w:rsidRPr="007F6C2E">
        <w:rPr>
          <w:rFonts w:cstheme="minorHAnsi"/>
          <w:lang w:val="pl-PL"/>
        </w:rPr>
        <w:t>PZP</w:t>
      </w:r>
      <w:r w:rsidRPr="007F6C2E">
        <w:rPr>
          <w:rFonts w:cstheme="minorHAnsi"/>
          <w:lang w:val="pl-PL"/>
        </w:rPr>
        <w:t>.</w:t>
      </w:r>
    </w:p>
  </w:footnote>
  <w:footnote w:id="9">
    <w:p w14:paraId="37AF51C4" w14:textId="77777777" w:rsidR="000D4C28" w:rsidRPr="00FA6EB4" w:rsidRDefault="000D4C28" w:rsidP="002204D4">
      <w:pPr>
        <w:pStyle w:val="Tekstprzypisudolnego"/>
        <w:rPr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</w:p>
  </w:footnote>
  <w:footnote w:id="10">
    <w:p w14:paraId="4AFFACF6" w14:textId="77777777" w:rsidR="000D4C28" w:rsidRPr="00415538" w:rsidRDefault="000D4C28" w:rsidP="003764D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Tajemnicę przedsiębiorstwa należy rozumieć zgodnie z przepisami o zwalczaniu nieuczciwej konkurencji (ustawa z dnia 16 kwietnia 1993 r. o zwalczaniu nieuczciwej konkurencji (Dz. U. z 2020 r. poz. 1913).</w:t>
      </w:r>
    </w:p>
  </w:footnote>
  <w:footnote w:id="11">
    <w:p w14:paraId="329B00D6" w14:textId="060584D8" w:rsidR="000D4C28" w:rsidRPr="00002616" w:rsidRDefault="000D4C28" w:rsidP="00002616">
      <w:pPr>
        <w:pStyle w:val="Tekstprzypisudolnego"/>
        <w:jc w:val="both"/>
        <w:rPr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786086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zmiana znacznie rozszerza lub zmniejsza zakres świadczeń i zobowiązań wynikający z umowy lub polega na zastąpieniu wykonawcy, któremu zamawiający udzielił zamówienia, nowym wykonawcą, w przypadkach innych niż wymienione w </w:t>
      </w:r>
      <w:proofErr w:type="spellStart"/>
      <w:r w:rsidR="00786086">
        <w:rPr>
          <w:rFonts w:cstheme="minorHAnsi"/>
          <w:lang w:val="pl-PL"/>
        </w:rPr>
        <w:t>ppkt</w:t>
      </w:r>
      <w:proofErr w:type="spellEnd"/>
      <w:r w:rsidR="00786086">
        <w:rPr>
          <w:rFonts w:cstheme="minorHAnsi"/>
          <w:lang w:val="pl-PL"/>
        </w:rPr>
        <w:t>. 4)</w:t>
      </w:r>
      <w:r w:rsidRPr="00415538">
        <w:rPr>
          <w:rFonts w:cstheme="minorHAnsi"/>
          <w:lang w:val="pl-PL"/>
        </w:rPr>
        <w:t>.</w:t>
      </w:r>
    </w:p>
  </w:footnote>
  <w:footnote w:id="12">
    <w:p w14:paraId="60883367" w14:textId="0C0BA85E" w:rsidR="000D4C28" w:rsidRPr="00062CF2" w:rsidRDefault="000D4C28" w:rsidP="0097090F">
      <w:pPr>
        <w:pStyle w:val="Tekstprzypisudolnego"/>
        <w:rPr>
          <w:rFonts w:cstheme="minorHAnsi"/>
          <w:lang w:val="pl-PL"/>
        </w:rPr>
      </w:pPr>
      <w:r w:rsidRPr="00062CF2">
        <w:rPr>
          <w:rStyle w:val="Odwoanieprzypisudolnego"/>
          <w:rFonts w:cstheme="minorHAnsi"/>
        </w:rPr>
        <w:footnoteRef/>
      </w:r>
      <w:r w:rsidRPr="00062CF2">
        <w:rPr>
          <w:rFonts w:cstheme="minorHAnsi"/>
          <w:lang w:val="pl-PL"/>
        </w:rPr>
        <w:t xml:space="preserve"> Średni kurs PLN w stosunku do EUR stanowiący podstawę przeliczania wartości zamówień ustala się w oparciu o przepisy art. 3 </w:t>
      </w:r>
      <w:r w:rsidR="00062CF2">
        <w:rPr>
          <w:rFonts w:cstheme="minorHAnsi"/>
          <w:lang w:val="pl-PL"/>
        </w:rPr>
        <w:t>PZP</w:t>
      </w:r>
      <w:r w:rsidRPr="00062CF2">
        <w:rPr>
          <w:rFonts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EA8" w14:textId="02C99C57" w:rsidR="00E94688" w:rsidRDefault="00E94688" w:rsidP="00E94688">
    <w:pPr>
      <w:pStyle w:val="Nagwek"/>
      <w:jc w:val="center"/>
    </w:pPr>
    <w:r>
      <w:rPr>
        <w:noProof/>
      </w:rPr>
      <w:drawing>
        <wp:inline distT="0" distB="0" distL="0" distR="0" wp14:anchorId="5CAFE036" wp14:editId="70C1E6AE">
          <wp:extent cx="5758180" cy="344170"/>
          <wp:effectExtent l="0" t="0" r="0" b="0"/>
          <wp:docPr id="2051011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7A05" w14:textId="77777777" w:rsidR="00C61F2C" w:rsidRPr="00E94688" w:rsidRDefault="00C61F2C" w:rsidP="00E946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E95"/>
    <w:multiLevelType w:val="hybridMultilevel"/>
    <w:tmpl w:val="31142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B67E4"/>
    <w:multiLevelType w:val="hybridMultilevel"/>
    <w:tmpl w:val="20A26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860"/>
    <w:multiLevelType w:val="hybridMultilevel"/>
    <w:tmpl w:val="5E4C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29B"/>
    <w:multiLevelType w:val="hybridMultilevel"/>
    <w:tmpl w:val="DBA4A104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62C"/>
    <w:multiLevelType w:val="hybridMultilevel"/>
    <w:tmpl w:val="05DAC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3465"/>
    <w:multiLevelType w:val="hybridMultilevel"/>
    <w:tmpl w:val="73B8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AE0"/>
    <w:multiLevelType w:val="hybridMultilevel"/>
    <w:tmpl w:val="3892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3C4"/>
    <w:multiLevelType w:val="hybridMultilevel"/>
    <w:tmpl w:val="724E72D0"/>
    <w:lvl w:ilvl="0" w:tplc="FFFFFFFF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4C3209"/>
    <w:multiLevelType w:val="hybridMultilevel"/>
    <w:tmpl w:val="84C4E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5192E"/>
    <w:multiLevelType w:val="hybridMultilevel"/>
    <w:tmpl w:val="5AE0962C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52C1"/>
    <w:multiLevelType w:val="hybridMultilevel"/>
    <w:tmpl w:val="CA9662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8A6E24"/>
    <w:multiLevelType w:val="hybridMultilevel"/>
    <w:tmpl w:val="9702B22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BA0695"/>
    <w:multiLevelType w:val="hybridMultilevel"/>
    <w:tmpl w:val="C93C9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3EA"/>
    <w:multiLevelType w:val="hybridMultilevel"/>
    <w:tmpl w:val="9E20A6F2"/>
    <w:lvl w:ilvl="0" w:tplc="FE36E18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7522912"/>
    <w:multiLevelType w:val="hybridMultilevel"/>
    <w:tmpl w:val="AFDAD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73FFC"/>
    <w:multiLevelType w:val="hybridMultilevel"/>
    <w:tmpl w:val="C5365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AA5"/>
    <w:multiLevelType w:val="hybridMultilevel"/>
    <w:tmpl w:val="313E6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6A32"/>
    <w:multiLevelType w:val="hybridMultilevel"/>
    <w:tmpl w:val="7DBC37EC"/>
    <w:lvl w:ilvl="0" w:tplc="FAA2D4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6754C"/>
    <w:multiLevelType w:val="hybridMultilevel"/>
    <w:tmpl w:val="E286D44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5B52E11"/>
    <w:multiLevelType w:val="hybridMultilevel"/>
    <w:tmpl w:val="194A811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643C7"/>
    <w:multiLevelType w:val="hybridMultilevel"/>
    <w:tmpl w:val="8034E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0069"/>
    <w:multiLevelType w:val="hybridMultilevel"/>
    <w:tmpl w:val="8E48FF3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0968">
    <w:abstractNumId w:val="15"/>
  </w:num>
  <w:num w:numId="2" w16cid:durableId="1778603124">
    <w:abstractNumId w:val="8"/>
  </w:num>
  <w:num w:numId="3" w16cid:durableId="1185166893">
    <w:abstractNumId w:val="21"/>
  </w:num>
  <w:num w:numId="4" w16cid:durableId="282616306">
    <w:abstractNumId w:val="20"/>
  </w:num>
  <w:num w:numId="5" w16cid:durableId="1580362292">
    <w:abstractNumId w:val="6"/>
  </w:num>
  <w:num w:numId="6" w16cid:durableId="1906724813">
    <w:abstractNumId w:val="2"/>
  </w:num>
  <w:num w:numId="7" w16cid:durableId="1863736986">
    <w:abstractNumId w:val="14"/>
  </w:num>
  <w:num w:numId="8" w16cid:durableId="1887335537">
    <w:abstractNumId w:val="17"/>
  </w:num>
  <w:num w:numId="9" w16cid:durableId="2137596421">
    <w:abstractNumId w:val="10"/>
  </w:num>
  <w:num w:numId="10" w16cid:durableId="1838496868">
    <w:abstractNumId w:val="1"/>
  </w:num>
  <w:num w:numId="11" w16cid:durableId="1798527616">
    <w:abstractNumId w:val="7"/>
  </w:num>
  <w:num w:numId="12" w16cid:durableId="1361471411">
    <w:abstractNumId w:val="4"/>
  </w:num>
  <w:num w:numId="13" w16cid:durableId="2084330088">
    <w:abstractNumId w:val="0"/>
  </w:num>
  <w:num w:numId="14" w16cid:durableId="244724619">
    <w:abstractNumId w:val="19"/>
  </w:num>
  <w:num w:numId="15" w16cid:durableId="897790501">
    <w:abstractNumId w:val="12"/>
  </w:num>
  <w:num w:numId="16" w16cid:durableId="967854936">
    <w:abstractNumId w:val="9"/>
  </w:num>
  <w:num w:numId="17" w16cid:durableId="1395273696">
    <w:abstractNumId w:val="3"/>
  </w:num>
  <w:num w:numId="18" w16cid:durableId="1531919628">
    <w:abstractNumId w:val="22"/>
  </w:num>
  <w:num w:numId="19" w16cid:durableId="1616133352">
    <w:abstractNumId w:val="13"/>
  </w:num>
  <w:num w:numId="20" w16cid:durableId="439689151">
    <w:abstractNumId w:val="16"/>
  </w:num>
  <w:num w:numId="21" w16cid:durableId="1370371522">
    <w:abstractNumId w:val="5"/>
  </w:num>
  <w:num w:numId="22" w16cid:durableId="17893705">
    <w:abstractNumId w:val="18"/>
  </w:num>
  <w:num w:numId="23" w16cid:durableId="190310221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4CD2"/>
    <w:rsid w:val="00033023"/>
    <w:rsid w:val="00033DE0"/>
    <w:rsid w:val="00035E99"/>
    <w:rsid w:val="0003677B"/>
    <w:rsid w:val="00042CEF"/>
    <w:rsid w:val="00043291"/>
    <w:rsid w:val="000521A3"/>
    <w:rsid w:val="00056C35"/>
    <w:rsid w:val="00062CF2"/>
    <w:rsid w:val="0008548C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05365"/>
    <w:rsid w:val="00114002"/>
    <w:rsid w:val="00117196"/>
    <w:rsid w:val="001241D3"/>
    <w:rsid w:val="00142BF9"/>
    <w:rsid w:val="00147A62"/>
    <w:rsid w:val="001504BD"/>
    <w:rsid w:val="00160AF3"/>
    <w:rsid w:val="00167B43"/>
    <w:rsid w:val="00187603"/>
    <w:rsid w:val="00190DEE"/>
    <w:rsid w:val="00196524"/>
    <w:rsid w:val="001A1C8A"/>
    <w:rsid w:val="001A297A"/>
    <w:rsid w:val="001A6C67"/>
    <w:rsid w:val="001B3D39"/>
    <w:rsid w:val="001B4CA4"/>
    <w:rsid w:val="001B59CD"/>
    <w:rsid w:val="001B6AB8"/>
    <w:rsid w:val="001C4668"/>
    <w:rsid w:val="001C495C"/>
    <w:rsid w:val="001C5380"/>
    <w:rsid w:val="001C5C0C"/>
    <w:rsid w:val="001D09F0"/>
    <w:rsid w:val="001D25AD"/>
    <w:rsid w:val="001E16B2"/>
    <w:rsid w:val="001E7E0C"/>
    <w:rsid w:val="001F5239"/>
    <w:rsid w:val="00211C2F"/>
    <w:rsid w:val="00211E7C"/>
    <w:rsid w:val="00217922"/>
    <w:rsid w:val="002204D4"/>
    <w:rsid w:val="00223657"/>
    <w:rsid w:val="002246AC"/>
    <w:rsid w:val="00225B38"/>
    <w:rsid w:val="0023044E"/>
    <w:rsid w:val="00231D0B"/>
    <w:rsid w:val="0023787D"/>
    <w:rsid w:val="002379AF"/>
    <w:rsid w:val="00240912"/>
    <w:rsid w:val="0024227D"/>
    <w:rsid w:val="00244837"/>
    <w:rsid w:val="0025094C"/>
    <w:rsid w:val="00253DE7"/>
    <w:rsid w:val="002548A5"/>
    <w:rsid w:val="00263204"/>
    <w:rsid w:val="002732B1"/>
    <w:rsid w:val="002737F0"/>
    <w:rsid w:val="00274100"/>
    <w:rsid w:val="0027692D"/>
    <w:rsid w:val="00276958"/>
    <w:rsid w:val="00277C5A"/>
    <w:rsid w:val="00283AFA"/>
    <w:rsid w:val="00285958"/>
    <w:rsid w:val="002A1648"/>
    <w:rsid w:val="002B2A9C"/>
    <w:rsid w:val="002B6B10"/>
    <w:rsid w:val="002C0035"/>
    <w:rsid w:val="002D0D26"/>
    <w:rsid w:val="002D2D7C"/>
    <w:rsid w:val="002E5A1C"/>
    <w:rsid w:val="002E7271"/>
    <w:rsid w:val="002F2771"/>
    <w:rsid w:val="002F43B8"/>
    <w:rsid w:val="00302F3E"/>
    <w:rsid w:val="00303221"/>
    <w:rsid w:val="00304CD3"/>
    <w:rsid w:val="003112C8"/>
    <w:rsid w:val="00323634"/>
    <w:rsid w:val="00324885"/>
    <w:rsid w:val="00325211"/>
    <w:rsid w:val="003323DB"/>
    <w:rsid w:val="00332C3E"/>
    <w:rsid w:val="003359BB"/>
    <w:rsid w:val="00337BD6"/>
    <w:rsid w:val="00344E81"/>
    <w:rsid w:val="00346826"/>
    <w:rsid w:val="00354668"/>
    <w:rsid w:val="00360797"/>
    <w:rsid w:val="00373A85"/>
    <w:rsid w:val="0037480D"/>
    <w:rsid w:val="003758C7"/>
    <w:rsid w:val="003764D5"/>
    <w:rsid w:val="00376A58"/>
    <w:rsid w:val="003862D6"/>
    <w:rsid w:val="003965DA"/>
    <w:rsid w:val="003A0308"/>
    <w:rsid w:val="003A25F3"/>
    <w:rsid w:val="003A2B7D"/>
    <w:rsid w:val="003A36EC"/>
    <w:rsid w:val="003A7B91"/>
    <w:rsid w:val="003C218E"/>
    <w:rsid w:val="003C6C62"/>
    <w:rsid w:val="003D278B"/>
    <w:rsid w:val="003D5AA1"/>
    <w:rsid w:val="003E44D4"/>
    <w:rsid w:val="003F3A8F"/>
    <w:rsid w:val="003F3B47"/>
    <w:rsid w:val="003F4738"/>
    <w:rsid w:val="003F4FBA"/>
    <w:rsid w:val="00405A5A"/>
    <w:rsid w:val="00405EC4"/>
    <w:rsid w:val="004120F0"/>
    <w:rsid w:val="0041551C"/>
    <w:rsid w:val="00415538"/>
    <w:rsid w:val="0042267C"/>
    <w:rsid w:val="004255EE"/>
    <w:rsid w:val="0043321B"/>
    <w:rsid w:val="00433C71"/>
    <w:rsid w:val="00443C08"/>
    <w:rsid w:val="00444CD8"/>
    <w:rsid w:val="004470EC"/>
    <w:rsid w:val="004477A7"/>
    <w:rsid w:val="00447FE0"/>
    <w:rsid w:val="00460B0C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4E73"/>
    <w:rsid w:val="004B5597"/>
    <w:rsid w:val="004B5A4B"/>
    <w:rsid w:val="004C15F4"/>
    <w:rsid w:val="004D2A8E"/>
    <w:rsid w:val="004D4793"/>
    <w:rsid w:val="004E0213"/>
    <w:rsid w:val="004E30B8"/>
    <w:rsid w:val="004E391D"/>
    <w:rsid w:val="004E60F0"/>
    <w:rsid w:val="004E729C"/>
    <w:rsid w:val="004F38CF"/>
    <w:rsid w:val="00500C62"/>
    <w:rsid w:val="00500E70"/>
    <w:rsid w:val="005011D3"/>
    <w:rsid w:val="005052BA"/>
    <w:rsid w:val="005068D7"/>
    <w:rsid w:val="00506C48"/>
    <w:rsid w:val="00511460"/>
    <w:rsid w:val="00516DFA"/>
    <w:rsid w:val="0052322C"/>
    <w:rsid w:val="00523F95"/>
    <w:rsid w:val="00525485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3704"/>
    <w:rsid w:val="00567223"/>
    <w:rsid w:val="0056799E"/>
    <w:rsid w:val="00570B0A"/>
    <w:rsid w:val="00571CC0"/>
    <w:rsid w:val="00577EB3"/>
    <w:rsid w:val="00585473"/>
    <w:rsid w:val="00591B6B"/>
    <w:rsid w:val="0059651F"/>
    <w:rsid w:val="005B727A"/>
    <w:rsid w:val="005C1397"/>
    <w:rsid w:val="005D1451"/>
    <w:rsid w:val="005D7E72"/>
    <w:rsid w:val="005E1EA6"/>
    <w:rsid w:val="005F2B0B"/>
    <w:rsid w:val="00607139"/>
    <w:rsid w:val="006110FE"/>
    <w:rsid w:val="00620FB6"/>
    <w:rsid w:val="006221C8"/>
    <w:rsid w:val="00632497"/>
    <w:rsid w:val="00632C47"/>
    <w:rsid w:val="00634D03"/>
    <w:rsid w:val="006363AB"/>
    <w:rsid w:val="006437FB"/>
    <w:rsid w:val="006446ED"/>
    <w:rsid w:val="00647C41"/>
    <w:rsid w:val="0065086E"/>
    <w:rsid w:val="00653A5E"/>
    <w:rsid w:val="00655F2C"/>
    <w:rsid w:val="00662525"/>
    <w:rsid w:val="00664AAD"/>
    <w:rsid w:val="00664ED4"/>
    <w:rsid w:val="00667448"/>
    <w:rsid w:val="00667DFF"/>
    <w:rsid w:val="00671CC6"/>
    <w:rsid w:val="006740F1"/>
    <w:rsid w:val="006756A2"/>
    <w:rsid w:val="00683D29"/>
    <w:rsid w:val="00684389"/>
    <w:rsid w:val="006848C8"/>
    <w:rsid w:val="006849B5"/>
    <w:rsid w:val="006854E3"/>
    <w:rsid w:val="00690AB6"/>
    <w:rsid w:val="00691701"/>
    <w:rsid w:val="00693B20"/>
    <w:rsid w:val="00695BBC"/>
    <w:rsid w:val="00696ED9"/>
    <w:rsid w:val="006B7054"/>
    <w:rsid w:val="006C1C85"/>
    <w:rsid w:val="006C4ADE"/>
    <w:rsid w:val="006C576D"/>
    <w:rsid w:val="006D7B08"/>
    <w:rsid w:val="006E2A7D"/>
    <w:rsid w:val="006E373C"/>
    <w:rsid w:val="006E4408"/>
    <w:rsid w:val="006E6F42"/>
    <w:rsid w:val="006F2DAF"/>
    <w:rsid w:val="006F7A5E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2AA8"/>
    <w:rsid w:val="00747566"/>
    <w:rsid w:val="0075296B"/>
    <w:rsid w:val="00752E65"/>
    <w:rsid w:val="00756744"/>
    <w:rsid w:val="00771CC3"/>
    <w:rsid w:val="00775F4E"/>
    <w:rsid w:val="00777E3C"/>
    <w:rsid w:val="00786086"/>
    <w:rsid w:val="00787499"/>
    <w:rsid w:val="007914F0"/>
    <w:rsid w:val="007A0E63"/>
    <w:rsid w:val="007A21C0"/>
    <w:rsid w:val="007A3B88"/>
    <w:rsid w:val="007A585A"/>
    <w:rsid w:val="007A641E"/>
    <w:rsid w:val="007B2893"/>
    <w:rsid w:val="007C00CE"/>
    <w:rsid w:val="007C0C37"/>
    <w:rsid w:val="007C65D2"/>
    <w:rsid w:val="007C7CD5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7F6C2E"/>
    <w:rsid w:val="00804FAF"/>
    <w:rsid w:val="00805608"/>
    <w:rsid w:val="008068E6"/>
    <w:rsid w:val="00812017"/>
    <w:rsid w:val="008131EF"/>
    <w:rsid w:val="00813E3F"/>
    <w:rsid w:val="00823CE1"/>
    <w:rsid w:val="00824B24"/>
    <w:rsid w:val="0083540C"/>
    <w:rsid w:val="0083678B"/>
    <w:rsid w:val="0084083C"/>
    <w:rsid w:val="00853E14"/>
    <w:rsid w:val="008561E9"/>
    <w:rsid w:val="008600E6"/>
    <w:rsid w:val="00862662"/>
    <w:rsid w:val="008700FB"/>
    <w:rsid w:val="00872862"/>
    <w:rsid w:val="00874A7D"/>
    <w:rsid w:val="00875CA1"/>
    <w:rsid w:val="00876EDE"/>
    <w:rsid w:val="0088422C"/>
    <w:rsid w:val="0089039C"/>
    <w:rsid w:val="008968B0"/>
    <w:rsid w:val="00897C89"/>
    <w:rsid w:val="008A324E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8F033B"/>
    <w:rsid w:val="00907C68"/>
    <w:rsid w:val="00910FBB"/>
    <w:rsid w:val="00925D1B"/>
    <w:rsid w:val="009415E0"/>
    <w:rsid w:val="00943D92"/>
    <w:rsid w:val="00944452"/>
    <w:rsid w:val="009459F3"/>
    <w:rsid w:val="0095036D"/>
    <w:rsid w:val="0095720C"/>
    <w:rsid w:val="00957265"/>
    <w:rsid w:val="0097090F"/>
    <w:rsid w:val="009725D7"/>
    <w:rsid w:val="0097347B"/>
    <w:rsid w:val="00977B8D"/>
    <w:rsid w:val="00982C42"/>
    <w:rsid w:val="0098318F"/>
    <w:rsid w:val="0099611A"/>
    <w:rsid w:val="009979C1"/>
    <w:rsid w:val="009A1B05"/>
    <w:rsid w:val="009A1ED1"/>
    <w:rsid w:val="009C001A"/>
    <w:rsid w:val="009C078D"/>
    <w:rsid w:val="009C4831"/>
    <w:rsid w:val="009C5ACA"/>
    <w:rsid w:val="009D2F4A"/>
    <w:rsid w:val="009D3A76"/>
    <w:rsid w:val="009D66D2"/>
    <w:rsid w:val="009E230B"/>
    <w:rsid w:val="009E4385"/>
    <w:rsid w:val="009E4548"/>
    <w:rsid w:val="009E5053"/>
    <w:rsid w:val="009F30E8"/>
    <w:rsid w:val="00A01AC4"/>
    <w:rsid w:val="00A03383"/>
    <w:rsid w:val="00A053A6"/>
    <w:rsid w:val="00A1007C"/>
    <w:rsid w:val="00A11606"/>
    <w:rsid w:val="00A1432C"/>
    <w:rsid w:val="00A149EC"/>
    <w:rsid w:val="00A254DB"/>
    <w:rsid w:val="00A35E8F"/>
    <w:rsid w:val="00A43A42"/>
    <w:rsid w:val="00A45735"/>
    <w:rsid w:val="00A51BA8"/>
    <w:rsid w:val="00A533E6"/>
    <w:rsid w:val="00A601C9"/>
    <w:rsid w:val="00A636DE"/>
    <w:rsid w:val="00A6683C"/>
    <w:rsid w:val="00A8071B"/>
    <w:rsid w:val="00A80FB7"/>
    <w:rsid w:val="00A83AF5"/>
    <w:rsid w:val="00A91A7B"/>
    <w:rsid w:val="00A9209B"/>
    <w:rsid w:val="00A94A40"/>
    <w:rsid w:val="00A95901"/>
    <w:rsid w:val="00A9616F"/>
    <w:rsid w:val="00A975F5"/>
    <w:rsid w:val="00AA4AC3"/>
    <w:rsid w:val="00AB062D"/>
    <w:rsid w:val="00AB33AB"/>
    <w:rsid w:val="00AB36F8"/>
    <w:rsid w:val="00AC7377"/>
    <w:rsid w:val="00AC7705"/>
    <w:rsid w:val="00AD2B32"/>
    <w:rsid w:val="00AD2F50"/>
    <w:rsid w:val="00AF3410"/>
    <w:rsid w:val="00B002A7"/>
    <w:rsid w:val="00B00387"/>
    <w:rsid w:val="00B01EFD"/>
    <w:rsid w:val="00B04FFA"/>
    <w:rsid w:val="00B15CED"/>
    <w:rsid w:val="00B2578D"/>
    <w:rsid w:val="00B30FBF"/>
    <w:rsid w:val="00B311D3"/>
    <w:rsid w:val="00B34B90"/>
    <w:rsid w:val="00B42ECD"/>
    <w:rsid w:val="00B434B0"/>
    <w:rsid w:val="00B46A3C"/>
    <w:rsid w:val="00B503A0"/>
    <w:rsid w:val="00B51834"/>
    <w:rsid w:val="00B55554"/>
    <w:rsid w:val="00B62941"/>
    <w:rsid w:val="00B6794F"/>
    <w:rsid w:val="00B70D2F"/>
    <w:rsid w:val="00B848C8"/>
    <w:rsid w:val="00B8512D"/>
    <w:rsid w:val="00B8748D"/>
    <w:rsid w:val="00B9084E"/>
    <w:rsid w:val="00B90C7E"/>
    <w:rsid w:val="00BA1D2F"/>
    <w:rsid w:val="00BA1F4D"/>
    <w:rsid w:val="00BA4810"/>
    <w:rsid w:val="00BB0CA9"/>
    <w:rsid w:val="00BB3B13"/>
    <w:rsid w:val="00C060C2"/>
    <w:rsid w:val="00C07D05"/>
    <w:rsid w:val="00C13579"/>
    <w:rsid w:val="00C1694B"/>
    <w:rsid w:val="00C1786F"/>
    <w:rsid w:val="00C2245D"/>
    <w:rsid w:val="00C24E4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1F2C"/>
    <w:rsid w:val="00C6456A"/>
    <w:rsid w:val="00C679CC"/>
    <w:rsid w:val="00C67A7E"/>
    <w:rsid w:val="00C826F1"/>
    <w:rsid w:val="00C910F1"/>
    <w:rsid w:val="00C94F8F"/>
    <w:rsid w:val="00CA1520"/>
    <w:rsid w:val="00CA3569"/>
    <w:rsid w:val="00CB1346"/>
    <w:rsid w:val="00CC4B1E"/>
    <w:rsid w:val="00CC69AB"/>
    <w:rsid w:val="00CD5F79"/>
    <w:rsid w:val="00CD611B"/>
    <w:rsid w:val="00CE5A47"/>
    <w:rsid w:val="00CF0E60"/>
    <w:rsid w:val="00D02136"/>
    <w:rsid w:val="00D0305D"/>
    <w:rsid w:val="00D045EE"/>
    <w:rsid w:val="00D124F4"/>
    <w:rsid w:val="00D12C3D"/>
    <w:rsid w:val="00D14C2B"/>
    <w:rsid w:val="00D16C82"/>
    <w:rsid w:val="00D20733"/>
    <w:rsid w:val="00D24E7A"/>
    <w:rsid w:val="00D31632"/>
    <w:rsid w:val="00D36D72"/>
    <w:rsid w:val="00D41CD7"/>
    <w:rsid w:val="00D45636"/>
    <w:rsid w:val="00D523B9"/>
    <w:rsid w:val="00D6244A"/>
    <w:rsid w:val="00D65E3F"/>
    <w:rsid w:val="00D72C2E"/>
    <w:rsid w:val="00D9038B"/>
    <w:rsid w:val="00D91320"/>
    <w:rsid w:val="00D91963"/>
    <w:rsid w:val="00D923F9"/>
    <w:rsid w:val="00D92DC4"/>
    <w:rsid w:val="00D968C9"/>
    <w:rsid w:val="00D9788B"/>
    <w:rsid w:val="00DA00BA"/>
    <w:rsid w:val="00DA4E27"/>
    <w:rsid w:val="00DA533F"/>
    <w:rsid w:val="00DB0A88"/>
    <w:rsid w:val="00DB417D"/>
    <w:rsid w:val="00DB6AD3"/>
    <w:rsid w:val="00DB7D27"/>
    <w:rsid w:val="00DC059D"/>
    <w:rsid w:val="00DC255C"/>
    <w:rsid w:val="00DC6A5C"/>
    <w:rsid w:val="00DD79B8"/>
    <w:rsid w:val="00DE113B"/>
    <w:rsid w:val="00DE296D"/>
    <w:rsid w:val="00DE3B75"/>
    <w:rsid w:val="00DE4E96"/>
    <w:rsid w:val="00DF13BC"/>
    <w:rsid w:val="00E22C16"/>
    <w:rsid w:val="00E23146"/>
    <w:rsid w:val="00E27666"/>
    <w:rsid w:val="00E30C82"/>
    <w:rsid w:val="00E3613A"/>
    <w:rsid w:val="00E41428"/>
    <w:rsid w:val="00E46BF0"/>
    <w:rsid w:val="00E50CEF"/>
    <w:rsid w:val="00E53FC2"/>
    <w:rsid w:val="00E54D30"/>
    <w:rsid w:val="00E63012"/>
    <w:rsid w:val="00E7323C"/>
    <w:rsid w:val="00E74CE0"/>
    <w:rsid w:val="00E773E3"/>
    <w:rsid w:val="00E83178"/>
    <w:rsid w:val="00E87176"/>
    <w:rsid w:val="00E94688"/>
    <w:rsid w:val="00EA1302"/>
    <w:rsid w:val="00EA7218"/>
    <w:rsid w:val="00EB34D3"/>
    <w:rsid w:val="00EB4B8E"/>
    <w:rsid w:val="00EC0CA8"/>
    <w:rsid w:val="00EC1723"/>
    <w:rsid w:val="00EC4553"/>
    <w:rsid w:val="00EC73CE"/>
    <w:rsid w:val="00ED5A7D"/>
    <w:rsid w:val="00ED5CDC"/>
    <w:rsid w:val="00ED636E"/>
    <w:rsid w:val="00EE09AF"/>
    <w:rsid w:val="00EF35D4"/>
    <w:rsid w:val="00EF5F4C"/>
    <w:rsid w:val="00EF6D16"/>
    <w:rsid w:val="00F01818"/>
    <w:rsid w:val="00F03471"/>
    <w:rsid w:val="00F1568A"/>
    <w:rsid w:val="00F21768"/>
    <w:rsid w:val="00F270D1"/>
    <w:rsid w:val="00F310AD"/>
    <w:rsid w:val="00F32B78"/>
    <w:rsid w:val="00F338D5"/>
    <w:rsid w:val="00F34E10"/>
    <w:rsid w:val="00F36EF6"/>
    <w:rsid w:val="00F379E6"/>
    <w:rsid w:val="00F4123A"/>
    <w:rsid w:val="00F42228"/>
    <w:rsid w:val="00F43FB6"/>
    <w:rsid w:val="00F518E0"/>
    <w:rsid w:val="00F53607"/>
    <w:rsid w:val="00F5511E"/>
    <w:rsid w:val="00F5705E"/>
    <w:rsid w:val="00F622D0"/>
    <w:rsid w:val="00F667B3"/>
    <w:rsid w:val="00F70C46"/>
    <w:rsid w:val="00F72EFA"/>
    <w:rsid w:val="00F73E68"/>
    <w:rsid w:val="00F74B15"/>
    <w:rsid w:val="00F822AB"/>
    <w:rsid w:val="00F84F7A"/>
    <w:rsid w:val="00F901E1"/>
    <w:rsid w:val="00F95387"/>
    <w:rsid w:val="00F953E5"/>
    <w:rsid w:val="00FA594A"/>
    <w:rsid w:val="00FA6EB4"/>
    <w:rsid w:val="00FB0EA2"/>
    <w:rsid w:val="00FB790F"/>
    <w:rsid w:val="00FC118C"/>
    <w:rsid w:val="00FD1FF0"/>
    <w:rsid w:val="00FD2675"/>
    <w:rsid w:val="00FD2757"/>
    <w:rsid w:val="00FD29A7"/>
    <w:rsid w:val="00FD2DEA"/>
    <w:rsid w:val="00FD34F2"/>
    <w:rsid w:val="00FD4899"/>
    <w:rsid w:val="00FE4588"/>
    <w:rsid w:val="00FE5828"/>
    <w:rsid w:val="00FE688E"/>
    <w:rsid w:val="00FF7E48"/>
    <w:rsid w:val="01B1B4B5"/>
    <w:rsid w:val="03B715D9"/>
    <w:rsid w:val="058F629A"/>
    <w:rsid w:val="05AD87C9"/>
    <w:rsid w:val="0615F53E"/>
    <w:rsid w:val="06DB900D"/>
    <w:rsid w:val="0749582A"/>
    <w:rsid w:val="075747E6"/>
    <w:rsid w:val="0809C3FD"/>
    <w:rsid w:val="0832806C"/>
    <w:rsid w:val="0B4970D9"/>
    <w:rsid w:val="0CDFEDDC"/>
    <w:rsid w:val="0D544843"/>
    <w:rsid w:val="1088EBFB"/>
    <w:rsid w:val="124C615B"/>
    <w:rsid w:val="1299545C"/>
    <w:rsid w:val="137F4332"/>
    <w:rsid w:val="153BA50A"/>
    <w:rsid w:val="17C9E1A7"/>
    <w:rsid w:val="1871C7D7"/>
    <w:rsid w:val="187F874C"/>
    <w:rsid w:val="19FEBB41"/>
    <w:rsid w:val="1C30C208"/>
    <w:rsid w:val="1D5118C8"/>
    <w:rsid w:val="1D61518A"/>
    <w:rsid w:val="1E202D9F"/>
    <w:rsid w:val="1E313A54"/>
    <w:rsid w:val="1F32A79A"/>
    <w:rsid w:val="200D8950"/>
    <w:rsid w:val="22B9EA13"/>
    <w:rsid w:val="238C752A"/>
    <w:rsid w:val="2445E920"/>
    <w:rsid w:val="24A2E09C"/>
    <w:rsid w:val="25A071EA"/>
    <w:rsid w:val="26A7B3DD"/>
    <w:rsid w:val="2822BB9A"/>
    <w:rsid w:val="28FA1D37"/>
    <w:rsid w:val="2A023DBA"/>
    <w:rsid w:val="2C77FB96"/>
    <w:rsid w:val="2D772645"/>
    <w:rsid w:val="2E058BA1"/>
    <w:rsid w:val="304844F8"/>
    <w:rsid w:val="30ADEF0B"/>
    <w:rsid w:val="33C3A812"/>
    <w:rsid w:val="33FE5A60"/>
    <w:rsid w:val="3469E51E"/>
    <w:rsid w:val="34B1A9F2"/>
    <w:rsid w:val="36F97859"/>
    <w:rsid w:val="38FB8E19"/>
    <w:rsid w:val="3904F7EF"/>
    <w:rsid w:val="3BBC1F6B"/>
    <w:rsid w:val="3C9F69FB"/>
    <w:rsid w:val="3D5BC926"/>
    <w:rsid w:val="3D708427"/>
    <w:rsid w:val="3E1D2DDB"/>
    <w:rsid w:val="3F2851E1"/>
    <w:rsid w:val="3F39ABC3"/>
    <w:rsid w:val="3F6FEA06"/>
    <w:rsid w:val="3FEA7C36"/>
    <w:rsid w:val="4086F4AA"/>
    <w:rsid w:val="43341159"/>
    <w:rsid w:val="43A6BCCC"/>
    <w:rsid w:val="44571C5A"/>
    <w:rsid w:val="44CFE1BA"/>
    <w:rsid w:val="45D724EF"/>
    <w:rsid w:val="472C6ACA"/>
    <w:rsid w:val="473CE9CB"/>
    <w:rsid w:val="47E9A486"/>
    <w:rsid w:val="49790068"/>
    <w:rsid w:val="49AA4403"/>
    <w:rsid w:val="4A640B8C"/>
    <w:rsid w:val="4A83DA66"/>
    <w:rsid w:val="4AFFEA15"/>
    <w:rsid w:val="4CD1B417"/>
    <w:rsid w:val="4D5C4505"/>
    <w:rsid w:val="4E95FB06"/>
    <w:rsid w:val="4F3010D5"/>
    <w:rsid w:val="4F96CAEB"/>
    <w:rsid w:val="4FF51C0D"/>
    <w:rsid w:val="50C0A7CC"/>
    <w:rsid w:val="518AF2DC"/>
    <w:rsid w:val="52D750D9"/>
    <w:rsid w:val="53EB9F52"/>
    <w:rsid w:val="5653C011"/>
    <w:rsid w:val="56952A30"/>
    <w:rsid w:val="573C1449"/>
    <w:rsid w:val="5830FA91"/>
    <w:rsid w:val="58B05577"/>
    <w:rsid w:val="5A821CDC"/>
    <w:rsid w:val="5C5C67A9"/>
    <w:rsid w:val="5CB1A70A"/>
    <w:rsid w:val="5CCE0A43"/>
    <w:rsid w:val="5D5B60E9"/>
    <w:rsid w:val="5D8A4A3D"/>
    <w:rsid w:val="601E40D4"/>
    <w:rsid w:val="604E57AB"/>
    <w:rsid w:val="606EF2CC"/>
    <w:rsid w:val="60AECB30"/>
    <w:rsid w:val="60FF2F5B"/>
    <w:rsid w:val="617DA923"/>
    <w:rsid w:val="63197984"/>
    <w:rsid w:val="63CDD588"/>
    <w:rsid w:val="64B549E5"/>
    <w:rsid w:val="64F6CFB7"/>
    <w:rsid w:val="66DB39FA"/>
    <w:rsid w:val="683BBCBC"/>
    <w:rsid w:val="68E2A093"/>
    <w:rsid w:val="6A669FAD"/>
    <w:rsid w:val="6A921023"/>
    <w:rsid w:val="6B4B9F36"/>
    <w:rsid w:val="6B50090B"/>
    <w:rsid w:val="6C081CD3"/>
    <w:rsid w:val="6CA6BADB"/>
    <w:rsid w:val="6D075864"/>
    <w:rsid w:val="6DF483D4"/>
    <w:rsid w:val="6E50AD79"/>
    <w:rsid w:val="6E833FF8"/>
    <w:rsid w:val="6EA94276"/>
    <w:rsid w:val="6EAA4E56"/>
    <w:rsid w:val="706D660D"/>
    <w:rsid w:val="70F8448B"/>
    <w:rsid w:val="71408A58"/>
    <w:rsid w:val="728CD514"/>
    <w:rsid w:val="7346396F"/>
    <w:rsid w:val="736B0460"/>
    <w:rsid w:val="738CCC77"/>
    <w:rsid w:val="7462C164"/>
    <w:rsid w:val="76F7615A"/>
    <w:rsid w:val="78AD9254"/>
    <w:rsid w:val="7A337CC1"/>
    <w:rsid w:val="7A77F898"/>
    <w:rsid w:val="7ADDBCED"/>
    <w:rsid w:val="7C59A457"/>
    <w:rsid w:val="7CEED87C"/>
    <w:rsid w:val="7DB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F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F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2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60AF3"/>
    <w:pPr>
      <w:tabs>
        <w:tab w:val="left" w:pos="660"/>
        <w:tab w:val="right" w:leader="dot" w:pos="9062"/>
      </w:tabs>
      <w:spacing w:after="0" w:line="360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34B90"/>
    <w:pPr>
      <w:tabs>
        <w:tab w:val="right" w:leader="dot" w:pos="9062"/>
      </w:tabs>
      <w:spacing w:after="100" w:line="276" w:lineRule="auto"/>
    </w:pPr>
    <w:rPr>
      <w:rFonts w:eastAsiaTheme="minorEastAsia" w:cs="Times New Roman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97C89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FD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22</Pages>
  <Words>5389</Words>
  <Characters>32335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Korkuś</dc:creator>
  <cp:lastModifiedBy>Marta Przepiórka</cp:lastModifiedBy>
  <cp:revision>64</cp:revision>
  <cp:lastPrinted>2023-05-30T06:10:00Z</cp:lastPrinted>
  <dcterms:created xsi:type="dcterms:W3CDTF">2023-05-16T12:59:00Z</dcterms:created>
  <dcterms:modified xsi:type="dcterms:W3CDTF">2024-03-21T08:05:00Z</dcterms:modified>
</cp:coreProperties>
</file>