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CB49" w14:textId="77777777" w:rsidR="007F11E7" w:rsidRPr="00963F43" w:rsidRDefault="00000000" w:rsidP="00684FAD">
      <w:pPr>
        <w:pStyle w:val="Bezodstpw"/>
        <w:suppressAutoHyphens/>
        <w:spacing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963F43">
        <w:rPr>
          <w:rFonts w:asciiTheme="minorHAnsi" w:hAnsiTheme="minorHAnsi"/>
          <w:sz w:val="24"/>
          <w:szCs w:val="24"/>
        </w:rPr>
        <w:t>Gdańsk</w:t>
      </w:r>
      <w:bookmarkEnd w:id="0"/>
      <w:r w:rsidRPr="00963F43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963F43">
        <w:rPr>
          <w:rFonts w:asciiTheme="minorHAnsi" w:hAnsiTheme="minorHAnsi"/>
          <w:sz w:val="24"/>
          <w:szCs w:val="24"/>
        </w:rPr>
        <w:t>25 listopada 2025</w:t>
      </w:r>
      <w:bookmarkEnd w:id="1"/>
      <w:r w:rsidRPr="00963F43">
        <w:rPr>
          <w:rFonts w:asciiTheme="minorHAnsi" w:hAnsiTheme="minorHAnsi"/>
          <w:sz w:val="24"/>
          <w:szCs w:val="24"/>
        </w:rPr>
        <w:t xml:space="preserve"> r.</w:t>
      </w:r>
    </w:p>
    <w:p w14:paraId="24BFABFA" w14:textId="77777777" w:rsidR="007F11E7" w:rsidRPr="00963F43" w:rsidRDefault="00000000" w:rsidP="00684FAD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963F43">
        <w:rPr>
          <w:rFonts w:asciiTheme="minorHAnsi" w:hAnsiTheme="minorHAnsi"/>
          <w:sz w:val="24"/>
          <w:szCs w:val="24"/>
        </w:rPr>
        <w:t>NSP-II.431.4.2024</w:t>
      </w:r>
      <w:bookmarkEnd w:id="2"/>
      <w:r w:rsidRPr="00963F43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963F43">
        <w:rPr>
          <w:rFonts w:asciiTheme="minorHAnsi" w:hAnsiTheme="minorHAnsi"/>
          <w:sz w:val="24"/>
          <w:szCs w:val="24"/>
        </w:rPr>
        <w:t>KS</w:t>
      </w:r>
      <w:bookmarkEnd w:id="3"/>
    </w:p>
    <w:p w14:paraId="6835646B" w14:textId="77777777" w:rsidR="007F11E7" w:rsidRPr="00963F43" w:rsidRDefault="007F11E7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35A4B77" w14:textId="77777777" w:rsidR="007F11E7" w:rsidRPr="00963F43" w:rsidRDefault="007F11E7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A0DF1F8" w14:textId="77777777" w:rsidR="007F11E7" w:rsidRPr="00300DBB" w:rsidRDefault="00000000" w:rsidP="00300DBB">
      <w:pPr>
        <w:keepNext/>
        <w:spacing w:after="0" w:line="288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32"/>
          <w:szCs w:val="32"/>
          <w:lang w:eastAsia="pl-PL"/>
        </w:rPr>
      </w:pPr>
      <w:bookmarkStart w:id="4" w:name="_Hlk189823889"/>
      <w:r w:rsidRPr="00300DBB">
        <w:rPr>
          <w:rFonts w:asciiTheme="minorHAnsi" w:hAnsiTheme="minorHAnsi" w:cstheme="minorHAnsi"/>
          <w:b/>
          <w:bCs/>
          <w:kern w:val="32"/>
          <w:sz w:val="32"/>
          <w:szCs w:val="32"/>
          <w:lang w:eastAsia="pl-PL"/>
        </w:rPr>
        <w:t>Wystąpienie pokontrolne</w:t>
      </w:r>
    </w:p>
    <w:p w14:paraId="2408737D" w14:textId="77777777" w:rsidR="007F11E7" w:rsidRPr="00300DBB" w:rsidRDefault="007F11E7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</w:p>
    <w:p w14:paraId="73434551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00DBB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Nazwa i adres jednostki kontrolowanej:</w:t>
      </w:r>
      <w:r w:rsidRPr="00300DB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</w:p>
    <w:p w14:paraId="76C73C7E" w14:textId="77777777" w:rsidR="007F11E7" w:rsidRPr="00300DBB" w:rsidRDefault="00000000" w:rsidP="00300DBB">
      <w:pPr>
        <w:keepNext/>
        <w:keepLines/>
        <w:spacing w:after="0" w:line="288" w:lineRule="auto"/>
        <w:jc w:val="both"/>
        <w:outlineLvl w:val="1"/>
        <w:rPr>
          <w:rFonts w:asciiTheme="minorHAnsi" w:hAnsiTheme="minorHAnsi" w:cstheme="minorHAnsi"/>
          <w:bCs/>
          <w:sz w:val="24"/>
          <w:szCs w:val="24"/>
          <w:highlight w:val="yellow"/>
          <w:lang w:eastAsia="pl-PL"/>
        </w:rPr>
      </w:pPr>
      <w:bookmarkStart w:id="5" w:name="_Hlk214880100"/>
      <w:r w:rsidRPr="00300DBB">
        <w:rPr>
          <w:rFonts w:asciiTheme="minorHAnsi" w:eastAsia="Calibri" w:hAnsiTheme="minorHAnsi" w:cstheme="minorHAnsi"/>
          <w:sz w:val="24"/>
          <w:szCs w:val="24"/>
          <w:lang w:eastAsia="pl-PL"/>
        </w:rPr>
        <w:t>Starostwo Powiatowe w Słupsku, Wydział Gospodarki Nieruchomościami</w:t>
      </w:r>
      <w:bookmarkEnd w:id="5"/>
      <w:r w:rsidRPr="00300DBB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(</w:t>
      </w:r>
      <w:r w:rsidRPr="00300DBB">
        <w:rPr>
          <w:rFonts w:asciiTheme="minorHAnsi" w:eastAsia="Calibri" w:hAnsiTheme="minorHAnsi" w:cstheme="minorHAnsi"/>
          <w:sz w:val="24"/>
          <w:szCs w:val="24"/>
        </w:rPr>
        <w:t>zwany dalej „Starostwem”),</w:t>
      </w:r>
      <w:r w:rsidRPr="00300DBB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ul. Szarych Szeregów 14, 76-200 Słupsk</w:t>
      </w:r>
      <w:r w:rsidRPr="00300DB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468A894" w14:textId="77777777" w:rsidR="007F11E7" w:rsidRPr="00300DBB" w:rsidRDefault="007F11E7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highlight w:val="yellow"/>
          <w:lang w:eastAsia="pl-PL"/>
        </w:rPr>
      </w:pPr>
    </w:p>
    <w:p w14:paraId="4E182AE1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 xml:space="preserve">Przedmiot kontroli: </w:t>
      </w:r>
    </w:p>
    <w:p w14:paraId="1031CFE9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sz w:val="24"/>
          <w:szCs w:val="24"/>
          <w:lang w:eastAsia="pl-PL"/>
        </w:rPr>
        <w:t xml:space="preserve">Realizacja wykonywania przez starostę zadań z zakresu administracji rządowej dotyczących gospodarki nieruchomościami Skarbu Państwa </w:t>
      </w:r>
      <w:bookmarkStart w:id="6" w:name="_Hlk214880214"/>
      <w:r w:rsidRPr="00300DBB">
        <w:rPr>
          <w:rFonts w:asciiTheme="minorHAnsi" w:hAnsiTheme="minorHAnsi" w:cstheme="minorHAnsi"/>
          <w:sz w:val="24"/>
          <w:szCs w:val="24"/>
          <w:lang w:eastAsia="pl-PL"/>
        </w:rPr>
        <w:t>w zakresie:</w:t>
      </w:r>
    </w:p>
    <w:p w14:paraId="6201CCC6" w14:textId="77777777" w:rsidR="007F11E7" w:rsidRPr="00300DBB" w:rsidRDefault="00000000" w:rsidP="00300DBB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4"/>
          <w:szCs w:val="24"/>
        </w:rPr>
        <w:t>1) nieruchomości nabytych po podmiotach, które utraciły byt prawny w związku  z nieprzerejestrowaniem do Krajowego Rejestru Sądowego lub wykreślonych z Krajowego Rejestru Sądowego,</w:t>
      </w:r>
    </w:p>
    <w:p w14:paraId="7A19AB6E" w14:textId="77777777" w:rsidR="007F11E7" w:rsidRPr="00300DBB" w:rsidRDefault="00000000" w:rsidP="00300DBB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4"/>
          <w:szCs w:val="24"/>
        </w:rPr>
        <w:t>2) nieruchomości niezagospodarowanych,</w:t>
      </w:r>
    </w:p>
    <w:p w14:paraId="45D2A38E" w14:textId="77777777" w:rsidR="007F11E7" w:rsidRPr="00300DBB" w:rsidRDefault="00000000" w:rsidP="00300DBB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4"/>
          <w:szCs w:val="24"/>
        </w:rPr>
        <w:t xml:space="preserve">3) </w:t>
      </w:r>
      <w:bookmarkStart w:id="7" w:name="_Hlk192597558"/>
      <w:r w:rsidRPr="00300DBB">
        <w:rPr>
          <w:rFonts w:asciiTheme="minorHAnsi" w:eastAsia="Calibri" w:hAnsiTheme="minorHAnsi" w:cstheme="minorHAnsi"/>
          <w:sz w:val="24"/>
          <w:szCs w:val="24"/>
        </w:rPr>
        <w:t>ustanawiania prawa użytkowania wieczystego oraz prawidłowego ustalania i stosowania stawek procentowych opłat rocznych z tytułu użytkowania wieczystego.</w:t>
      </w:r>
    </w:p>
    <w:bookmarkEnd w:id="6"/>
    <w:bookmarkEnd w:id="7"/>
    <w:p w14:paraId="3CD95D85" w14:textId="77777777" w:rsidR="007F11E7" w:rsidRPr="00300DBB" w:rsidRDefault="007F11E7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sz w:val="24"/>
          <w:szCs w:val="24"/>
          <w:highlight w:val="yellow"/>
          <w:lang w:eastAsia="pl-PL"/>
        </w:rPr>
      </w:pPr>
    </w:p>
    <w:p w14:paraId="79E59679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 xml:space="preserve">Okres objęty kontrolą: </w:t>
      </w:r>
    </w:p>
    <w:p w14:paraId="77CA9405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eastAsia="Calibri" w:hAnsiTheme="minorHAnsi" w:cstheme="minorHAnsi"/>
          <w:sz w:val="24"/>
          <w:szCs w:val="24"/>
          <w:highlight w:val="yellow"/>
          <w:lang w:eastAsia="pl-PL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pl-PL"/>
        </w:rPr>
        <w:t>od dnia 30 września 2022 r. do dnia 30 września 2024 r.</w:t>
      </w:r>
    </w:p>
    <w:p w14:paraId="319D6B98" w14:textId="77777777" w:rsidR="007F11E7" w:rsidRPr="00300DBB" w:rsidRDefault="007F11E7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</w:p>
    <w:p w14:paraId="7F356FB8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Podstawa prawna przeprowadzenia kontroli:</w:t>
      </w:r>
    </w:p>
    <w:p w14:paraId="400BED50" w14:textId="77777777" w:rsidR="007F11E7" w:rsidRPr="00300DBB" w:rsidRDefault="00000000" w:rsidP="00300DBB">
      <w:pPr>
        <w:keepNext/>
        <w:keepLines/>
        <w:spacing w:after="0" w:line="288" w:lineRule="auto"/>
        <w:jc w:val="both"/>
        <w:outlineLvl w:val="1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sz w:val="24"/>
          <w:szCs w:val="24"/>
          <w:lang w:eastAsia="pl-PL"/>
        </w:rPr>
        <w:t>Kontrola planowa, realizowana w trybie zwykłym, prowadzona na podstawie:</w:t>
      </w:r>
    </w:p>
    <w:p w14:paraId="249BFF7D" w14:textId="77777777" w:rsidR="007F11E7" w:rsidRPr="00300DBB" w:rsidRDefault="00000000" w:rsidP="00300DBB">
      <w:pPr>
        <w:numPr>
          <w:ilvl w:val="0"/>
          <w:numId w:val="1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4"/>
          <w:szCs w:val="24"/>
        </w:rPr>
        <w:t>art. 28 ust. 1 pkt 2 ustawy z dnia 23 stycznia 2009 r. o wojewodzie i administracji rządowej w województwie (Dz.U. z 2025 r. poz. 428),</w:t>
      </w:r>
    </w:p>
    <w:p w14:paraId="0FA527B1" w14:textId="77777777" w:rsidR="007F11E7" w:rsidRPr="00300DBB" w:rsidRDefault="00000000" w:rsidP="00300DBB">
      <w:pPr>
        <w:numPr>
          <w:ilvl w:val="0"/>
          <w:numId w:val="1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4"/>
          <w:szCs w:val="24"/>
        </w:rPr>
        <w:t>art. 6 ust. 4 pkt 3 ustawy z dnia 15 lipca 2011 r. o kontroli w administracji rządowej (Dz.U. z 2020 r. poz. 224 ze zm.),</w:t>
      </w:r>
    </w:p>
    <w:p w14:paraId="4DF07D81" w14:textId="77777777" w:rsidR="007F11E7" w:rsidRPr="00300DBB" w:rsidRDefault="00000000" w:rsidP="00300DBB">
      <w:pPr>
        <w:numPr>
          <w:ilvl w:val="0"/>
          <w:numId w:val="1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4"/>
          <w:szCs w:val="24"/>
        </w:rPr>
        <w:t>art. 23, art. 71-78, ustawy z dnia 21 sierpnia 1997 r. o gospodarce nieruchomościami (</w:t>
      </w:r>
      <w:bookmarkStart w:id="8" w:name="_Hlk214880643"/>
      <w:r w:rsidRPr="00300DBB">
        <w:rPr>
          <w:rFonts w:asciiTheme="minorHAnsi" w:eastAsia="Calibri" w:hAnsiTheme="minorHAnsi" w:cstheme="minorHAnsi"/>
          <w:sz w:val="24"/>
          <w:szCs w:val="24"/>
        </w:rPr>
        <w:t>Dz.U. z 2024 r. poz. 1145 ze zm.</w:t>
      </w:r>
      <w:bookmarkEnd w:id="8"/>
      <w:r w:rsidRPr="00300DBB">
        <w:rPr>
          <w:rFonts w:asciiTheme="minorHAnsi" w:eastAsia="Calibri" w:hAnsiTheme="minorHAnsi" w:cstheme="minorHAnsi"/>
          <w:sz w:val="24"/>
          <w:szCs w:val="24"/>
        </w:rPr>
        <w:t>) - zwanej dalej „ugn”,</w:t>
      </w:r>
    </w:p>
    <w:p w14:paraId="1E0B8D4A" w14:textId="77777777" w:rsidR="007F11E7" w:rsidRPr="00300DBB" w:rsidRDefault="00000000" w:rsidP="00300DBB">
      <w:p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pl-PL"/>
        </w:rPr>
        <w:t>4)</w:t>
      </w:r>
      <w:r w:rsidRPr="00300DBB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art. 25e ust. 1 ustawy z dnia 20 sierpnia 1997 r. o Krajowym Rejestrze Sądowym (Dz.U </w:t>
      </w:r>
    </w:p>
    <w:p w14:paraId="3C38180A" w14:textId="77777777" w:rsidR="007F11E7" w:rsidRPr="00300DBB" w:rsidRDefault="00000000" w:rsidP="00300DBB">
      <w:pPr>
        <w:autoSpaceDE w:val="0"/>
        <w:autoSpaceDN w:val="0"/>
        <w:adjustRightInd w:val="0"/>
        <w:spacing w:after="0"/>
        <w:ind w:left="425" w:firstLine="1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pl-PL"/>
        </w:rPr>
        <w:t>z 2025 r. poz. 869),</w:t>
      </w:r>
    </w:p>
    <w:p w14:paraId="4EFF0E66" w14:textId="77777777" w:rsidR="007F11E7" w:rsidRPr="00300DBB" w:rsidRDefault="00000000" w:rsidP="00300DBB">
      <w:pPr>
        <w:autoSpaceDE w:val="0"/>
        <w:autoSpaceDN w:val="0"/>
        <w:adjustRightInd w:val="0"/>
        <w:spacing w:after="0"/>
        <w:ind w:left="425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pl-PL"/>
        </w:rPr>
        <w:t>5)</w:t>
      </w:r>
      <w:r w:rsidRPr="00300DBB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>art. 9 ust 2b ustawy z dnia 20 sierpnia 1997 r. Przepisy wprowadzające ustawę o Krajowym Rejestrze Sądowym (Dz. U. Nr 121, poz. 770  ze zm.).</w:t>
      </w:r>
    </w:p>
    <w:p w14:paraId="29D845EF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lastRenderedPageBreak/>
        <w:t>Data rozpoczęcia i zakończenia czynności kontrolnych:</w:t>
      </w:r>
    </w:p>
    <w:p w14:paraId="68FFA45C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eastAsia="Calibri" w:hAnsiTheme="minorHAnsi" w:cstheme="minorHAnsi"/>
          <w:sz w:val="23"/>
          <w:szCs w:val="23"/>
          <w:highlight w:val="yellow"/>
        </w:rPr>
      </w:pPr>
      <w:r w:rsidRPr="00300DBB">
        <w:rPr>
          <w:rFonts w:asciiTheme="minorHAnsi" w:eastAsia="Calibri" w:hAnsiTheme="minorHAnsi" w:cstheme="minorHAnsi"/>
          <w:sz w:val="23"/>
          <w:szCs w:val="23"/>
        </w:rPr>
        <w:t xml:space="preserve">od dnia </w:t>
      </w:r>
      <w:bookmarkStart w:id="9" w:name="_Hlk214351717"/>
      <w:r w:rsidRPr="00300DBB">
        <w:rPr>
          <w:rFonts w:asciiTheme="minorHAnsi" w:eastAsia="Calibri" w:hAnsiTheme="minorHAnsi" w:cstheme="minorHAnsi"/>
          <w:sz w:val="23"/>
          <w:szCs w:val="23"/>
        </w:rPr>
        <w:t>18 grudnia 2024 r. do dnia 28 października 2025 r.</w:t>
      </w:r>
      <w:bookmarkEnd w:id="9"/>
    </w:p>
    <w:p w14:paraId="325142A7" w14:textId="77777777" w:rsidR="007F11E7" w:rsidRPr="00300DBB" w:rsidRDefault="00000000" w:rsidP="00300DBB">
      <w:pPr>
        <w:keepNext/>
        <w:spacing w:before="120"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Kierownik jednostki kontrolowanej:</w:t>
      </w:r>
    </w:p>
    <w:p w14:paraId="7276C35A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W okresie objętym kontrolą Starostą Słupskim, wykonującym zadania z zakresu administracji rządowej (zwanym dalej „Starostą”) był Pan Paweł Lisowski, wybrany na to stanowisko Uchwałą Rady Powiatu Słupskiego Nr I/3/2018 z dnia 20 listopada 2018 r. oraz ponownie wybrany na stanowisko Uchwałą Rady Powiatu Słupskiego Nr I/3/2024 z dnia 7 maja 2024 r.</w:t>
      </w:r>
      <w:r>
        <w:rPr>
          <w:rFonts w:eastAsia="Calibri" w:cs="Calibri"/>
          <w:sz w:val="24"/>
          <w:szCs w:val="24"/>
          <w:vertAlign w:val="superscript"/>
        </w:rPr>
        <w:footnoteReference w:id="1"/>
      </w:r>
    </w:p>
    <w:p w14:paraId="513146DC" w14:textId="77777777" w:rsidR="007F11E7" w:rsidRPr="00300DBB" w:rsidRDefault="00000000" w:rsidP="00300DBB">
      <w:pPr>
        <w:keepNext/>
        <w:spacing w:before="120"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00DBB">
        <w:rPr>
          <w:rFonts w:asciiTheme="minorHAnsi" w:hAnsiTheme="minorHAnsi" w:cstheme="minorHAnsi"/>
          <w:b/>
          <w:bCs/>
          <w:iCs/>
          <w:sz w:val="24"/>
          <w:szCs w:val="24"/>
        </w:rPr>
        <w:t>Skład zespołu kontrolującego:</w:t>
      </w:r>
    </w:p>
    <w:p w14:paraId="6A7846CD" w14:textId="77777777" w:rsidR="007F11E7" w:rsidRPr="00300DBB" w:rsidRDefault="00000000" w:rsidP="00300DBB">
      <w:pPr>
        <w:numPr>
          <w:ilvl w:val="0"/>
          <w:numId w:val="2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4"/>
          <w:szCs w:val="24"/>
        </w:rPr>
        <w:t xml:space="preserve">Karolina Szulgo </w:t>
      </w:r>
      <w:r w:rsidRPr="00300DBB">
        <w:rPr>
          <w:rFonts w:asciiTheme="minorHAnsi" w:eastAsia="Calibri" w:hAnsiTheme="minorHAnsi" w:cstheme="minorHAnsi"/>
          <w:bCs/>
          <w:sz w:val="24"/>
          <w:szCs w:val="24"/>
        </w:rPr>
        <w:t>– starszy inspektor wojewódzki - kierownik zespołu kontrolnego;</w:t>
      </w:r>
    </w:p>
    <w:p w14:paraId="2341215B" w14:textId="77777777" w:rsidR="007F11E7" w:rsidRPr="00300DBB" w:rsidRDefault="00000000" w:rsidP="00300DBB">
      <w:pPr>
        <w:numPr>
          <w:ilvl w:val="0"/>
          <w:numId w:val="2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4"/>
          <w:szCs w:val="24"/>
        </w:rPr>
        <w:t>Urszula Sosnowska – inspektor wojewódzki;</w:t>
      </w:r>
    </w:p>
    <w:p w14:paraId="14A975B4" w14:textId="77777777" w:rsidR="007F11E7" w:rsidRPr="00300DBB" w:rsidRDefault="00000000" w:rsidP="00300DBB">
      <w:pPr>
        <w:numPr>
          <w:ilvl w:val="0"/>
          <w:numId w:val="2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4"/>
          <w:szCs w:val="24"/>
        </w:rPr>
        <w:t>Anna Bakinowska – kierownik oddziału;</w:t>
      </w:r>
    </w:p>
    <w:p w14:paraId="44154578" w14:textId="77777777" w:rsidR="007F11E7" w:rsidRPr="00300DBB" w:rsidRDefault="00000000" w:rsidP="00300DBB">
      <w:pPr>
        <w:numPr>
          <w:ilvl w:val="0"/>
          <w:numId w:val="2"/>
        </w:numPr>
        <w:spacing w:after="0" w:line="288" w:lineRule="auto"/>
        <w:ind w:left="425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4"/>
          <w:szCs w:val="24"/>
        </w:rPr>
        <w:t>Tomasz Chumek – starszy inspektor wojewódzki;</w:t>
      </w:r>
    </w:p>
    <w:p w14:paraId="7F16E694" w14:textId="77777777" w:rsidR="007F11E7" w:rsidRPr="00300DBB" w:rsidRDefault="00000000" w:rsidP="00300DBB">
      <w:pPr>
        <w:keepNext/>
        <w:spacing w:before="120"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Informacje wstępne:</w:t>
      </w:r>
    </w:p>
    <w:p w14:paraId="2C98C1BD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color w:val="000000"/>
          <w:sz w:val="24"/>
          <w:szCs w:val="24"/>
          <w:lang w:eastAsia="pl-PL"/>
        </w:rPr>
        <w:t xml:space="preserve">Organizacja i zasady działania Starostwa oraz zakresy spraw załatwianych przez wewnętrzne komórki organizacyjne określone zostały </w:t>
      </w:r>
      <w:r w:rsidRPr="00300DBB">
        <w:rPr>
          <w:rFonts w:eastAsia="Calibri" w:cs="Calibri"/>
          <w:sz w:val="24"/>
          <w:szCs w:val="24"/>
        </w:rPr>
        <w:t xml:space="preserve">w Regulaminie Organizacyjnym Starostwa Powiatowego w Słupsku przyjętym przez Zarząd Powiatu Słupskiego Uchwałą nr 124/2022 </w:t>
      </w:r>
      <w:r w:rsidRPr="00300DBB">
        <w:rPr>
          <w:rFonts w:eastAsia="Calibri" w:cs="Calibri"/>
          <w:sz w:val="24"/>
          <w:szCs w:val="24"/>
        </w:rPr>
        <w:br/>
        <w:t>z dnia 15 września 2022 r. oraz Uchwałą nr 175/2024 z dnia 12 grudnia 2024 r. w sprawie uchwalenia Regulaminu Organizacyjnego Starostwa Powiatowego w Słupsku.</w:t>
      </w:r>
      <w:r>
        <w:rPr>
          <w:rFonts w:eastAsia="Calibri" w:cs="Calibri"/>
          <w:sz w:val="24"/>
          <w:szCs w:val="24"/>
          <w:vertAlign w:val="superscript"/>
        </w:rPr>
        <w:footnoteReference w:id="2"/>
      </w:r>
    </w:p>
    <w:p w14:paraId="7B4D40CE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 xml:space="preserve">Zadania podlegające kontroli zostały przypisane Wydziałowi Gospodarki Nieruchomościami. </w:t>
      </w:r>
    </w:p>
    <w:p w14:paraId="5DBC142C" w14:textId="77777777" w:rsidR="007F11E7" w:rsidRPr="00300DBB" w:rsidRDefault="00000000" w:rsidP="00300DBB">
      <w:pPr>
        <w:keepNext/>
        <w:spacing w:after="12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300DBB">
        <w:rPr>
          <w:rFonts w:asciiTheme="minorHAnsi" w:eastAsia="Calibri" w:hAnsiTheme="minorHAnsi" w:cstheme="minorHAnsi"/>
          <w:sz w:val="23"/>
          <w:szCs w:val="23"/>
        </w:rPr>
        <w:t>W okresie objętym kontrolą s</w:t>
      </w:r>
      <w:r w:rsidRPr="00300DBB">
        <w:rPr>
          <w:rFonts w:eastAsia="Calibri" w:cs="Calibri"/>
          <w:sz w:val="24"/>
          <w:szCs w:val="24"/>
        </w:rPr>
        <w:t xml:space="preserve">prawami objętymi kontrolą zajmowało się 2 pracowników zatrudnionych w </w:t>
      </w:r>
      <w:bookmarkStart w:id="11" w:name="_Hlk214352491"/>
      <w:r w:rsidRPr="00300DBB">
        <w:rPr>
          <w:rFonts w:eastAsia="Calibri" w:cs="Calibri"/>
          <w:sz w:val="24"/>
          <w:szCs w:val="24"/>
        </w:rPr>
        <w:t xml:space="preserve">Wydziale Gospodarki Nieruchomościami, </w:t>
      </w:r>
      <w:bookmarkEnd w:id="11"/>
      <w:r w:rsidRPr="00300DBB">
        <w:rPr>
          <w:rFonts w:eastAsia="Calibri" w:cs="Calibri"/>
          <w:sz w:val="24"/>
          <w:szCs w:val="24"/>
        </w:rPr>
        <w:t xml:space="preserve">podległych Naczelnikowi Wydziału, na stanowiskach: </w:t>
      </w:r>
    </w:p>
    <w:p w14:paraId="135EC736" w14:textId="77777777" w:rsidR="007F11E7" w:rsidRPr="00300DBB" w:rsidRDefault="00000000" w:rsidP="00300DBB">
      <w:pPr>
        <w:keepNext/>
        <w:spacing w:after="12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 xml:space="preserve">1. ds. gospodarowania mieniem Skarbu Państwa (zakres kontroli: nieruchomości nabyte </w:t>
      </w:r>
      <w:r>
        <w:rPr>
          <w:rFonts w:eastAsia="Calibri" w:cs="Calibri"/>
          <w:sz w:val="24"/>
          <w:szCs w:val="24"/>
        </w:rPr>
        <w:br/>
      </w:r>
      <w:r w:rsidRPr="00300DBB">
        <w:rPr>
          <w:rFonts w:eastAsia="Calibri" w:cs="Calibri"/>
          <w:sz w:val="24"/>
          <w:szCs w:val="24"/>
        </w:rPr>
        <w:t xml:space="preserve">po podmiotach, które utraciły byt prawny w związku z nieprzerejestrowaniem do Krajowego Rejestru Sądowego lub wykreślonych z Krajowego Rejestru Sądowego, nieruchomości niezagospodarowanych); </w:t>
      </w:r>
    </w:p>
    <w:p w14:paraId="360D1352" w14:textId="77777777" w:rsidR="007F11E7" w:rsidRPr="00300DBB" w:rsidRDefault="00000000" w:rsidP="00300DBB">
      <w:pPr>
        <w:keepNext/>
        <w:spacing w:after="120" w:line="288" w:lineRule="auto"/>
        <w:jc w:val="both"/>
        <w:outlineLvl w:val="1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2. ds. użytkowania wieczystego oraz umów cywilnoprawnych (zakres kontroli: ustanawianie prawa użytkowania wieczystego oraz prawidłowe ustalanie i stosowanie stawek procentowych opłat rocznych z tytułu użytkowania wieczystego)</w:t>
      </w:r>
      <w:r>
        <w:rPr>
          <w:rFonts w:eastAsia="Calibri" w:cs="Calibri"/>
          <w:sz w:val="24"/>
          <w:szCs w:val="24"/>
          <w:vertAlign w:val="superscript"/>
        </w:rPr>
        <w:footnoteReference w:id="3"/>
      </w:r>
      <w:r w:rsidRPr="00300DBB">
        <w:rPr>
          <w:rFonts w:eastAsia="Calibri" w:cs="Calibri"/>
          <w:sz w:val="24"/>
          <w:szCs w:val="24"/>
        </w:rPr>
        <w:t>.</w:t>
      </w:r>
    </w:p>
    <w:p w14:paraId="2EAB0D2D" w14:textId="77777777" w:rsidR="007F11E7" w:rsidRPr="00300DBB" w:rsidRDefault="00000000" w:rsidP="00300DBB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Theme="minorHAnsi" w:eastAsia="Calibri" w:hAnsiTheme="minorHAnsi" w:cstheme="minorHAnsi"/>
          <w:b/>
          <w:bCs/>
          <w:sz w:val="24"/>
          <w:szCs w:val="24"/>
          <w:highlight w:val="yellow"/>
        </w:rPr>
      </w:pPr>
      <w:r w:rsidRPr="00300DBB">
        <w:rPr>
          <w:rFonts w:asciiTheme="minorHAnsi" w:eastAsia="Calibri" w:hAnsiTheme="minorHAnsi" w:cstheme="minorHAnsi"/>
          <w:b/>
          <w:bCs/>
          <w:sz w:val="24"/>
          <w:szCs w:val="24"/>
        </w:rPr>
        <w:t>W okresie objętym kontrolą Starosta zakończył następującą liczbę spraw</w:t>
      </w:r>
      <w:r>
        <w:rPr>
          <w:rFonts w:asciiTheme="minorHAnsi" w:eastAsia="Calibri" w:hAnsiTheme="minorHAnsi" w:cstheme="minorHAnsi"/>
          <w:b/>
          <w:bCs/>
          <w:sz w:val="24"/>
          <w:szCs w:val="24"/>
          <w:vertAlign w:val="superscript"/>
        </w:rPr>
        <w:footnoteReference w:id="4"/>
      </w:r>
      <w:r w:rsidRPr="00300DBB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</w:p>
    <w:p w14:paraId="73254FC3" w14:textId="77777777" w:rsidR="007F11E7" w:rsidRPr="00300DBB" w:rsidRDefault="00000000" w:rsidP="00300DB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  <w14:ligatures w14:val="standardContextual"/>
        </w:rPr>
      </w:pPr>
      <w:r w:rsidRPr="00300DBB">
        <w:rPr>
          <w:rFonts w:asciiTheme="minorHAnsi" w:eastAsia="Calibri" w:hAnsiTheme="minorHAnsi" w:cstheme="minorHAnsi"/>
          <w:sz w:val="24"/>
          <w:szCs w:val="24"/>
          <w14:ligatures w14:val="standardContextual"/>
        </w:rPr>
        <w:t>1) ustanowienie prawa użytkowania wieczystego – 0 spraw;</w:t>
      </w:r>
    </w:p>
    <w:p w14:paraId="7971D290" w14:textId="77777777" w:rsidR="007F11E7" w:rsidRPr="00300DBB" w:rsidRDefault="00000000" w:rsidP="00332A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  <w14:ligatures w14:val="standardContextual"/>
        </w:rPr>
      </w:pPr>
      <w:r w:rsidRPr="00300DBB">
        <w:rPr>
          <w:rFonts w:asciiTheme="minorHAnsi" w:eastAsia="Calibri" w:hAnsiTheme="minorHAnsi" w:cstheme="minorHAnsi"/>
          <w:sz w:val="24"/>
          <w:szCs w:val="24"/>
          <w14:ligatures w14:val="standardContextual"/>
        </w:rPr>
        <w:t>2) zmiana stawki procentowej opłat rocznych z tytułu użytkowania wieczystego – 1 sprawa.</w:t>
      </w:r>
    </w:p>
    <w:p w14:paraId="1EA7DFB7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8"/>
          <w:szCs w:val="28"/>
          <w:lang w:eastAsia="pl-PL"/>
        </w:rPr>
      </w:pPr>
      <w:r w:rsidRPr="00300DBB">
        <w:rPr>
          <w:rFonts w:asciiTheme="minorHAnsi" w:hAnsiTheme="minorHAnsi" w:cstheme="minorHAnsi"/>
          <w:b/>
          <w:bCs/>
          <w:iCs/>
          <w:sz w:val="28"/>
          <w:szCs w:val="28"/>
          <w:lang w:eastAsia="pl-PL"/>
        </w:rPr>
        <w:lastRenderedPageBreak/>
        <w:t>Ustalenia:</w:t>
      </w:r>
    </w:p>
    <w:p w14:paraId="293E3DA2" w14:textId="77777777" w:rsidR="007F11E7" w:rsidRPr="00300DBB" w:rsidRDefault="00000000" w:rsidP="00300DBB">
      <w:pPr>
        <w:keepNext/>
        <w:spacing w:after="24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300DBB">
        <w:rPr>
          <w:rFonts w:asciiTheme="minorHAnsi" w:eastAsia="Calibri" w:hAnsiTheme="minorHAnsi" w:cstheme="minorHAnsi"/>
          <w:bCs/>
          <w:sz w:val="24"/>
          <w:szCs w:val="24"/>
        </w:rPr>
        <w:t>Ocena działalności Urzędu w zakresie objętym kontrolą została dokonana na podstawie kryteriów legalności, rzetelności i gospodarności. Ocenę uzasadniają następujące ustalenia.</w:t>
      </w:r>
    </w:p>
    <w:p w14:paraId="53CF34A3" w14:textId="77777777" w:rsidR="007F11E7" w:rsidRPr="00300DBB" w:rsidRDefault="00000000" w:rsidP="00300DB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</w:pPr>
      <w:r w:rsidRPr="00300DBB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 xml:space="preserve">1. Nieruchomości nabyte po podmiotach, które utraciły byt prawny w związku </w:t>
      </w:r>
      <w:r w:rsidRPr="00300DBB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br/>
        <w:t xml:space="preserve">z nieprzerejestrowaniem do Krajowego Rejestru Sądowego lub wykreślonych </w:t>
      </w:r>
      <w:r w:rsidRPr="00300DBB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br/>
        <w:t>z Krajowego Rejestru Sądowego.</w:t>
      </w:r>
    </w:p>
    <w:p w14:paraId="4F232150" w14:textId="77777777" w:rsidR="007F11E7" w:rsidRPr="00300DBB" w:rsidRDefault="00000000" w:rsidP="00300DB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bookmarkStart w:id="12" w:name="_Hlk199243666"/>
      <w:r w:rsidRPr="00300DBB">
        <w:rPr>
          <w:rFonts w:eastAsia="Calibri" w:cs="Calibri"/>
          <w:sz w:val="24"/>
          <w:szCs w:val="24"/>
          <w:lang w:eastAsia="pl-PL"/>
        </w:rPr>
        <w:t>Organ kontrolowany pismem z dnia 27 listopada 2024 r. nr NSP-II.431.4.2024.KS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5"/>
      </w:r>
      <w:r w:rsidRPr="00300DBB">
        <w:rPr>
          <w:rFonts w:eastAsia="Calibri" w:cs="Calibri"/>
          <w:sz w:val="24"/>
          <w:szCs w:val="24"/>
          <w:lang w:eastAsia="pl-PL"/>
        </w:rPr>
        <w:t xml:space="preserve"> został zobowiązany do wypełnienia dołączonej do pisma tabeli pn. „rejestr nieruchomości Skarbu Państwa – KRS”. </w:t>
      </w:r>
      <w:bookmarkStart w:id="13" w:name="_Hlk210668676"/>
      <w:r w:rsidRPr="00300DBB">
        <w:rPr>
          <w:rFonts w:eastAsia="Calibri" w:cs="Calibri"/>
          <w:sz w:val="24"/>
          <w:szCs w:val="24"/>
          <w:lang w:eastAsia="pl-PL"/>
        </w:rPr>
        <w:t>Starosta przekazał ww. zestawienie 13 grudnia 2024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6"/>
      </w:r>
      <w:r w:rsidRPr="00300DBB">
        <w:rPr>
          <w:rFonts w:eastAsia="Calibri" w:cs="Calibri"/>
          <w:sz w:val="24"/>
          <w:szCs w:val="24"/>
          <w:lang w:eastAsia="pl-PL"/>
        </w:rPr>
        <w:t>, następnie zaś przesłał jego poprawioną wersję pismem z dnia 24 stycznia 2025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7"/>
      </w:r>
    </w:p>
    <w:bookmarkEnd w:id="12"/>
    <w:bookmarkEnd w:id="13"/>
    <w:p w14:paraId="11C1DA93" w14:textId="77777777" w:rsidR="007F11E7" w:rsidRPr="00300DBB" w:rsidRDefault="00000000" w:rsidP="00300DB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highlight w:val="yellow"/>
          <w:lang w:eastAsia="pl-PL"/>
        </w:rPr>
      </w:pPr>
      <w:r w:rsidRPr="00300DBB">
        <w:rPr>
          <w:rFonts w:eastAsia="Calibri" w:cs="Calibri"/>
          <w:sz w:val="24"/>
          <w:szCs w:val="24"/>
          <w:lang w:eastAsia="pl-PL"/>
        </w:rPr>
        <w:t xml:space="preserve">W przekazanej przez Starostę tabeli znajdowały się 3 nieruchomości, które zostały nabyte </w:t>
      </w:r>
      <w:r w:rsidRPr="00300DBB">
        <w:rPr>
          <w:rFonts w:eastAsia="Calibri" w:cs="Calibri"/>
          <w:sz w:val="24"/>
          <w:szCs w:val="24"/>
          <w:lang w:eastAsia="pl-PL"/>
        </w:rPr>
        <w:br/>
        <w:t xml:space="preserve">do zasobu nieruchomości Skarbu Państwa w określonym trybie: 1 z nich na podstawie </w:t>
      </w:r>
      <w:r w:rsidRPr="00300DBB">
        <w:rPr>
          <w:rFonts w:eastAsia="Calibri" w:cs="Calibri"/>
          <w:sz w:val="24"/>
          <w:szCs w:val="24"/>
          <w:lang w:eastAsia="pl-PL"/>
        </w:rPr>
        <w:br/>
        <w:t xml:space="preserve">art. 25e ust. 1 ustawy z dnia 20 sierpnia 1997 r. o Krajowym Rejestrze Sądowym, zaś 2 </w:t>
      </w:r>
      <w:r w:rsidRPr="00300DBB">
        <w:rPr>
          <w:rFonts w:eastAsia="Calibri" w:cs="Calibri"/>
          <w:sz w:val="24"/>
          <w:szCs w:val="24"/>
          <w:lang w:eastAsia="pl-PL"/>
        </w:rPr>
        <w:br/>
        <w:t xml:space="preserve">z nich na podstawie art. 9 ust 2b ustawy z dnia 20 sierpnia 1997 r. Przepisy wprowadzające ustawę o Krajowym Rejestrze Sądowym (w tym w 1 przypadku nabyto nieruchomość lokalową wraz z udziałem w nieruchomości gruntowej). </w:t>
      </w:r>
    </w:p>
    <w:p w14:paraId="54EAEB14" w14:textId="77777777" w:rsidR="007F11E7" w:rsidRPr="00300DBB" w:rsidRDefault="00000000" w:rsidP="00300DB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300DBB">
        <w:rPr>
          <w:rFonts w:eastAsia="Calibri" w:cs="Calibri"/>
          <w:sz w:val="24"/>
          <w:szCs w:val="24"/>
          <w:lang w:eastAsia="pl-PL"/>
        </w:rPr>
        <w:t xml:space="preserve">Gospodarowanie nieruchomościami nabytymi po podmiotach, które utraciły byt prawny </w:t>
      </w:r>
      <w:r w:rsidRPr="00300DBB">
        <w:rPr>
          <w:rFonts w:eastAsia="Calibri" w:cs="Calibri"/>
          <w:sz w:val="24"/>
          <w:szCs w:val="24"/>
          <w:lang w:eastAsia="pl-PL"/>
        </w:rPr>
        <w:br/>
        <w:t xml:space="preserve">w związku z nieprzerejestrowaniem do Krajowego Rejestru Sądowego lub wykreślonych </w:t>
      </w:r>
      <w:r w:rsidRPr="00300DBB">
        <w:rPr>
          <w:rFonts w:eastAsia="Calibri" w:cs="Calibri"/>
          <w:sz w:val="24"/>
          <w:szCs w:val="24"/>
          <w:lang w:eastAsia="pl-PL"/>
        </w:rPr>
        <w:br/>
        <w:t xml:space="preserve">z Krajowego Rejestru Sądowego, tak jak każdy z kontrolowanych obszarów, oceniany jest </w:t>
      </w:r>
      <w:r w:rsidRPr="00300DBB">
        <w:rPr>
          <w:rFonts w:eastAsia="Calibri" w:cs="Calibri"/>
          <w:sz w:val="24"/>
          <w:szCs w:val="24"/>
          <w:lang w:eastAsia="pl-PL"/>
        </w:rPr>
        <w:br/>
        <w:t xml:space="preserve">na podstawie ustalonych przed kontrolą zasad i mierników, które zostały ujęte </w:t>
      </w:r>
      <w:r w:rsidRPr="00300DBB">
        <w:rPr>
          <w:rFonts w:eastAsia="Calibri" w:cs="Calibri"/>
          <w:sz w:val="24"/>
          <w:szCs w:val="24"/>
          <w:lang w:eastAsia="pl-PL"/>
        </w:rPr>
        <w:br/>
        <w:t>i szczegółowo opisane w programie kontroli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8"/>
      </w:r>
      <w:r w:rsidRPr="00300DBB">
        <w:rPr>
          <w:rFonts w:eastAsia="Calibri" w:cs="Calibri"/>
          <w:sz w:val="24"/>
          <w:szCs w:val="24"/>
          <w:lang w:eastAsia="pl-PL"/>
        </w:rPr>
        <w:t xml:space="preserve">, znajdującym się w aktach sprawy. </w:t>
      </w:r>
    </w:p>
    <w:p w14:paraId="53494883" w14:textId="77777777" w:rsidR="007F11E7" w:rsidRPr="00300DBB" w:rsidRDefault="00000000" w:rsidP="00300DB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highlight w:val="yellow"/>
          <w:lang w:eastAsia="pl-PL"/>
        </w:rPr>
      </w:pPr>
      <w:r w:rsidRPr="00300DBB">
        <w:rPr>
          <w:rFonts w:eastAsia="Calibri" w:cs="Calibri"/>
          <w:sz w:val="24"/>
          <w:szCs w:val="24"/>
          <w:lang w:eastAsia="pl-PL"/>
        </w:rPr>
        <w:t xml:space="preserve">Z przesłanego zestawienia wynika, że </w:t>
      </w:r>
      <w:r w:rsidRPr="00300DBB">
        <w:rPr>
          <w:rFonts w:eastAsia="Calibri" w:cs="Calibri"/>
          <w:sz w:val="24"/>
          <w:szCs w:val="24"/>
        </w:rPr>
        <w:t>2 z 3 opisywanych nieruchomości generują koszty związane z ich utrzymaniem (przy czym w 1 przypadku, nieruchomość w 2023 r. została umownie zagospodarowana, a koszty scedowane na jej użytkownika) oraz żadna z nich nie przynosi dochodu</w:t>
      </w:r>
      <w:r w:rsidRPr="00300DBB">
        <w:rPr>
          <w:rFonts w:eastAsia="Calibri" w:cs="Calibri"/>
          <w:sz w:val="24"/>
          <w:szCs w:val="24"/>
          <w:lang w:eastAsia="pl-PL"/>
        </w:rPr>
        <w:t xml:space="preserve">. </w:t>
      </w:r>
    </w:p>
    <w:p w14:paraId="3D6FB929" w14:textId="77777777" w:rsidR="007F11E7" w:rsidRPr="00300DBB" w:rsidRDefault="00000000" w:rsidP="00300DB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300DBB">
        <w:rPr>
          <w:rFonts w:eastAsia="Calibri" w:cs="Calibri"/>
          <w:sz w:val="24"/>
          <w:szCs w:val="24"/>
          <w:lang w:eastAsia="pl-PL"/>
        </w:rPr>
        <w:t xml:space="preserve">Dodatkowo wszystkie działki obciążone są hipotekami oraz objęte były postępowaniem komorniczym. Czynniki te znacznie utrudniają gospodarowanie przedmiotowymi nieruchomościami. </w:t>
      </w:r>
    </w:p>
    <w:p w14:paraId="021F1F22" w14:textId="77777777" w:rsidR="007F11E7" w:rsidRPr="00300DBB" w:rsidRDefault="00000000" w:rsidP="00300DB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300DBB">
        <w:rPr>
          <w:rFonts w:eastAsia="Calibri" w:cs="Calibri"/>
          <w:sz w:val="24"/>
          <w:szCs w:val="24"/>
          <w:lang w:eastAsia="pl-PL"/>
        </w:rPr>
        <w:t xml:space="preserve">Niezależnie od powyższego należy zauważyć, że aktualnie trwa procedura przekazania jednej z omawianych nieruchomości na rzecz gminy, zaś okres kiedy nieruchomość pozostawała niezagospodarowana i generowała koszty jej utrzymania - wynikał z ustanowionych na niej wysokich hipotekach oraz prowadzonego postępowania komorniczego. Natomiast </w:t>
      </w:r>
      <w:r>
        <w:rPr>
          <w:rFonts w:eastAsia="Calibri" w:cs="Calibri"/>
          <w:sz w:val="24"/>
          <w:szCs w:val="24"/>
          <w:lang w:eastAsia="pl-PL"/>
        </w:rPr>
        <w:br/>
      </w:r>
      <w:r w:rsidRPr="00300DBB">
        <w:rPr>
          <w:rFonts w:eastAsia="Calibri" w:cs="Calibri"/>
          <w:sz w:val="24"/>
          <w:szCs w:val="24"/>
          <w:lang w:eastAsia="pl-PL"/>
        </w:rPr>
        <w:lastRenderedPageBreak/>
        <w:t xml:space="preserve">do pozostałych dwóch nieruchomości, które wcześniej niemożliwe były do zagospodarowania </w:t>
      </w:r>
      <w:r w:rsidRPr="00300DBB">
        <w:rPr>
          <w:rFonts w:eastAsia="Calibri" w:cs="Calibri"/>
          <w:sz w:val="24"/>
          <w:szCs w:val="24"/>
          <w:lang w:eastAsia="pl-PL"/>
        </w:rPr>
        <w:br/>
        <w:t>ze względu na trwające postępowanie komornicze, Starosta przedstawił plan ich przyszłego zagospodarowania, które umożliwi podejmowanie m.in. czynności w celu wykreślenia hipotek oraz zakończenie postępowań komorniczych.</w:t>
      </w:r>
    </w:p>
    <w:p w14:paraId="7EFA0888" w14:textId="77777777" w:rsidR="007F11E7" w:rsidRPr="00300DBB" w:rsidRDefault="00000000" w:rsidP="00300DB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300DBB">
        <w:rPr>
          <w:rFonts w:eastAsia="Calibri" w:cs="Calibri"/>
          <w:sz w:val="24"/>
          <w:szCs w:val="24"/>
          <w:lang w:eastAsia="pl-PL"/>
        </w:rPr>
        <w:t xml:space="preserve">W związku z powyższym 3 nieruchomości, które oceniono indywidualnie, tj. 100% nieruchomości znajdujących się w ww. rejestrze, uznano zgodnie z przyjętymi </w:t>
      </w:r>
      <w:r w:rsidRPr="00300DBB">
        <w:rPr>
          <w:rFonts w:eastAsia="Calibri" w:cs="Calibri"/>
          <w:sz w:val="24"/>
          <w:szCs w:val="24"/>
          <w:lang w:eastAsia="pl-PL"/>
        </w:rPr>
        <w:br/>
        <w:t xml:space="preserve">do kontroli miernikami za prawidłowo zagospodarowane (0% działek nieprawidłowo zagospodarowanych). </w:t>
      </w:r>
    </w:p>
    <w:p w14:paraId="5926378D" w14:textId="77777777" w:rsidR="007F11E7" w:rsidRPr="00300DBB" w:rsidRDefault="00000000" w:rsidP="00300DBB">
      <w:pPr>
        <w:autoSpaceDE w:val="0"/>
        <w:autoSpaceDN w:val="0"/>
        <w:adjustRightInd w:val="0"/>
        <w:spacing w:after="360"/>
        <w:jc w:val="both"/>
        <w:rPr>
          <w:rFonts w:eastAsia="Calibri" w:cs="Calibri"/>
          <w:sz w:val="24"/>
          <w:szCs w:val="24"/>
          <w:lang w:eastAsia="pl-PL"/>
        </w:rPr>
      </w:pPr>
      <w:r w:rsidRPr="00300DBB">
        <w:rPr>
          <w:rFonts w:eastAsia="Calibri" w:cs="Calibri"/>
          <w:sz w:val="24"/>
          <w:szCs w:val="24"/>
          <w:lang w:eastAsia="pl-PL"/>
        </w:rPr>
        <w:t xml:space="preserve">Podsumowując stwierdza się, że brak podejmowanych przez Starostę działań w zakresie zagospodarowania ww. nieruchomości jest od niego w dużej mierze niezależny. Dlatego też </w:t>
      </w:r>
      <w:r w:rsidRPr="00300DBB">
        <w:rPr>
          <w:rFonts w:eastAsia="Calibri" w:cs="Calibri"/>
          <w:sz w:val="24"/>
          <w:szCs w:val="24"/>
        </w:rPr>
        <w:t>zespół kontrolujący</w:t>
      </w:r>
      <w:r w:rsidRPr="00300DBB">
        <w:rPr>
          <w:rFonts w:eastAsia="Calibri" w:cs="Calibri"/>
          <w:sz w:val="24"/>
          <w:szCs w:val="24"/>
          <w:lang w:eastAsia="pl-PL"/>
        </w:rPr>
        <w:t xml:space="preserve"> działalność w tym zakresie ocenia pozytywnie.</w:t>
      </w:r>
    </w:p>
    <w:p w14:paraId="2A2E0D97" w14:textId="77777777" w:rsidR="007F11E7" w:rsidRPr="00300DBB" w:rsidRDefault="00000000" w:rsidP="00300DBB">
      <w:pPr>
        <w:spacing w:before="240" w:after="24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00DBB">
        <w:rPr>
          <w:rFonts w:asciiTheme="minorHAnsi" w:eastAsia="Calibri" w:hAnsiTheme="minorHAnsi" w:cstheme="minorHAnsi"/>
          <w:b/>
          <w:sz w:val="24"/>
          <w:szCs w:val="24"/>
        </w:rPr>
        <w:t>2. Nieruchomości niezagospodarowane.</w:t>
      </w:r>
    </w:p>
    <w:p w14:paraId="43CC2CE0" w14:textId="77777777" w:rsidR="007F11E7" w:rsidRPr="00300DBB" w:rsidRDefault="00000000" w:rsidP="00300DB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bookmarkStart w:id="14" w:name="_Hlk199248780"/>
      <w:r w:rsidRPr="00300DBB">
        <w:rPr>
          <w:rFonts w:eastAsia="Calibri" w:cs="Calibri"/>
          <w:sz w:val="24"/>
          <w:szCs w:val="24"/>
          <w:lang w:eastAsia="pl-PL"/>
        </w:rPr>
        <w:t>Organ kontrolowany pismem z dnia 27 listopada 2024 r. nr NSP-II.431.4.2024.KS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9"/>
      </w:r>
      <w:r w:rsidRPr="00300DBB">
        <w:rPr>
          <w:rFonts w:eastAsia="Calibri" w:cs="Calibri"/>
          <w:sz w:val="24"/>
          <w:szCs w:val="24"/>
          <w:lang w:eastAsia="pl-PL"/>
        </w:rPr>
        <w:t xml:space="preserve"> został zobowiązany do wypełnienia dołączonej do pisma tabeli pn. „tabela nieruchomości niezagospodarowane”. Starosta przekazał ww. zestawienie 13 grudnia 2024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0"/>
      </w:r>
      <w:r w:rsidRPr="00300DBB">
        <w:rPr>
          <w:rFonts w:eastAsia="Calibri" w:cs="Calibri"/>
          <w:sz w:val="24"/>
          <w:szCs w:val="24"/>
          <w:lang w:eastAsia="pl-PL"/>
        </w:rPr>
        <w:t>, następnie zaś przesłał jego poprawioną wersję pismem z dnia 24 stycznia 2025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1"/>
      </w:r>
      <w:r w:rsidRPr="00300DBB">
        <w:rPr>
          <w:rFonts w:eastAsia="Calibri" w:cs="Calibri"/>
          <w:sz w:val="24"/>
          <w:szCs w:val="24"/>
          <w:lang w:eastAsia="pl-PL"/>
        </w:rPr>
        <w:t xml:space="preserve"> Dodatkowe wyjaśnienia odnośnie zagospodarowania przedmiotowych działek Starosta przedstawił w piśmie z dnia 27 października 2025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2"/>
      </w:r>
    </w:p>
    <w:p w14:paraId="0AE2711C" w14:textId="77777777" w:rsidR="007F11E7" w:rsidRPr="00300DBB" w:rsidRDefault="00000000" w:rsidP="00300DBB">
      <w:pPr>
        <w:autoSpaceDE w:val="0"/>
        <w:autoSpaceDN w:val="0"/>
        <w:adjustRightInd w:val="0"/>
        <w:spacing w:after="240"/>
        <w:jc w:val="both"/>
        <w:rPr>
          <w:rFonts w:eastAsia="Calibri" w:cs="Calibri"/>
          <w:sz w:val="24"/>
          <w:szCs w:val="24"/>
          <w:lang w:eastAsia="pl-PL"/>
        </w:rPr>
      </w:pPr>
      <w:r w:rsidRPr="00300DBB">
        <w:rPr>
          <w:rFonts w:eastAsia="Calibri" w:cs="Calibri"/>
          <w:sz w:val="24"/>
          <w:szCs w:val="24"/>
          <w:lang w:eastAsia="pl-PL"/>
        </w:rPr>
        <w:t xml:space="preserve">Planowanie zagospodarowania przedmiotowych nieruchomości oraz koszty przez nie generowane związane z ich utrzymaniem, podobnie jak każde z kontrolowanych obszarów, oceniane jest na podstawie ustalonych przed kontrolą zasad i mierników, które zostały ujęte </w:t>
      </w:r>
      <w:r w:rsidRPr="00300DBB">
        <w:rPr>
          <w:rFonts w:eastAsia="Calibri" w:cs="Calibri"/>
          <w:sz w:val="24"/>
          <w:szCs w:val="24"/>
          <w:lang w:eastAsia="pl-PL"/>
        </w:rPr>
        <w:br/>
        <w:t>i szczegółowo opisane w programie kontroli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3"/>
      </w:r>
      <w:r w:rsidRPr="00300DBB">
        <w:rPr>
          <w:rFonts w:eastAsia="Calibri" w:cs="Calibri"/>
          <w:sz w:val="24"/>
          <w:szCs w:val="24"/>
          <w:lang w:eastAsia="pl-PL"/>
        </w:rPr>
        <w:t xml:space="preserve">, znajdującym się w aktach sprawy. </w:t>
      </w:r>
      <w:bookmarkEnd w:id="14"/>
    </w:p>
    <w:p w14:paraId="2C19E995" w14:textId="77777777" w:rsidR="007F11E7" w:rsidRPr="00300DBB" w:rsidRDefault="00000000" w:rsidP="00300DBB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2.1. Planowanie zagospodarowania nieruchomości.</w:t>
      </w:r>
    </w:p>
    <w:p w14:paraId="7922CB9F" w14:textId="77777777" w:rsidR="007F11E7" w:rsidRPr="00300DBB" w:rsidRDefault="00000000" w:rsidP="00300DBB">
      <w:pPr>
        <w:spacing w:after="120"/>
        <w:jc w:val="both"/>
        <w:rPr>
          <w:rFonts w:eastAsia="Calibri" w:cs="Calibri"/>
          <w:sz w:val="24"/>
          <w:szCs w:val="24"/>
          <w:highlight w:val="yellow"/>
        </w:rPr>
      </w:pPr>
      <w:r w:rsidRPr="00300DBB">
        <w:rPr>
          <w:rFonts w:eastAsia="Calibri" w:cs="Calibri"/>
          <w:sz w:val="24"/>
          <w:szCs w:val="24"/>
        </w:rPr>
        <w:t xml:space="preserve">Z uzupełnionego zestawienia wynika, że w zasobie, jakim gospodaruje Starosta jest 86 niezagospodarowanych działek o łącznej powierzchni 104,4260 ha.  </w:t>
      </w:r>
    </w:p>
    <w:p w14:paraId="46EA9270" w14:textId="77777777" w:rsidR="007F11E7" w:rsidRPr="00300DBB" w:rsidRDefault="00000000" w:rsidP="00300DBB">
      <w:pPr>
        <w:contextualSpacing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Planowany sposób rozdysponowania ww. działek ujętych w przedmiotowym rejestrze prezentuje się następująco:</w:t>
      </w:r>
    </w:p>
    <w:p w14:paraId="3000C04F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>31 działek przeznaczonych jest do komunalizacji na rzecz gmin,</w:t>
      </w:r>
    </w:p>
    <w:p w14:paraId="27DE6693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>10 działek przeznaczonych jest do dzierżawy,</w:t>
      </w:r>
    </w:p>
    <w:p w14:paraId="1A11E102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>7 działek przeznaczonych jest do przekazania do Lasów Państwowych,</w:t>
      </w:r>
    </w:p>
    <w:p w14:paraId="3AF1C7C5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lastRenderedPageBreak/>
        <w:t>5 działek przeznaczonych jest do darowizny, bądź w dalszej kolejności do zbycia,</w:t>
      </w:r>
    </w:p>
    <w:p w14:paraId="68899353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>4 działki przeznaczono do darowizny na rzecz gminy,</w:t>
      </w:r>
    </w:p>
    <w:p w14:paraId="00E5D14A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 xml:space="preserve">5 działek przeznaczono do zbycia na rzecz współwłaściciela nieruchomości (przy czym </w:t>
      </w:r>
      <w:r w:rsidRPr="00300DBB">
        <w:rPr>
          <w:rFonts w:eastAsia="Calibri" w:cs="Calibri"/>
          <w:sz w:val="23"/>
          <w:szCs w:val="23"/>
        </w:rPr>
        <w:br/>
        <w:t xml:space="preserve">w 2 przypadkach zbycie musi zostać poprzedzone uregulowaniem stanu prawnego </w:t>
      </w:r>
      <w:r w:rsidRPr="00300DBB">
        <w:rPr>
          <w:rFonts w:eastAsia="Calibri" w:cs="Calibri"/>
          <w:sz w:val="23"/>
          <w:szCs w:val="23"/>
        </w:rPr>
        <w:br/>
        <w:t xml:space="preserve">w księgach wieczystych przez współwłaścicieli), </w:t>
      </w:r>
    </w:p>
    <w:p w14:paraId="0B9ABA36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 xml:space="preserve">3 działki, tzw. „rencistówki”, podlegać będą zwrotowi byłym rolnikom w zamian </w:t>
      </w:r>
      <w:r>
        <w:rPr>
          <w:rFonts w:eastAsia="Calibri" w:cs="Calibri"/>
          <w:sz w:val="23"/>
          <w:szCs w:val="23"/>
        </w:rPr>
        <w:br/>
      </w:r>
      <w:r w:rsidRPr="00300DBB">
        <w:rPr>
          <w:rFonts w:eastAsia="Calibri" w:cs="Calibri"/>
          <w:sz w:val="23"/>
          <w:szCs w:val="23"/>
        </w:rPr>
        <w:t>za świadczenia emerytalne,</w:t>
      </w:r>
    </w:p>
    <w:p w14:paraId="49E6512E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>2 działki przeznaczone są do zbycia w drodze zamiany,</w:t>
      </w:r>
    </w:p>
    <w:p w14:paraId="23C53375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>2 działki przeznaczone są do przekazania w użytkowanie wieczyste,</w:t>
      </w:r>
    </w:p>
    <w:p w14:paraId="5F53D449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>2 działki przeznaczono do zbycia (w 1 przypadku chodzi o nieruchomość lokalową),</w:t>
      </w:r>
    </w:p>
    <w:p w14:paraId="2E03EAFC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>1 działka przeznaczona jest do przekazania na rzecz Wód Polskich,</w:t>
      </w:r>
    </w:p>
    <w:p w14:paraId="675A7FB0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>1 działka przeznaczona jest do przekazania na rzecz gestora sieci,</w:t>
      </w:r>
    </w:p>
    <w:p w14:paraId="15E18158" w14:textId="77777777" w:rsidR="007F11E7" w:rsidRPr="00300DBB" w:rsidRDefault="00000000" w:rsidP="00300DBB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Calibri" w:cs="Calibri"/>
          <w:sz w:val="23"/>
          <w:szCs w:val="23"/>
        </w:rPr>
      </w:pPr>
      <w:r w:rsidRPr="00300DBB">
        <w:rPr>
          <w:rFonts w:eastAsia="Calibri" w:cs="Calibri"/>
          <w:sz w:val="23"/>
          <w:szCs w:val="23"/>
        </w:rPr>
        <w:t>1 działka w wyniku zmian granic administracyjnych przejdzie do zasobu Miasta Słupska.</w:t>
      </w:r>
    </w:p>
    <w:p w14:paraId="072BD0DC" w14:textId="77777777" w:rsidR="007F11E7" w:rsidRPr="00300DBB" w:rsidRDefault="007F11E7" w:rsidP="00300DBB">
      <w:pPr>
        <w:suppressAutoHyphens/>
        <w:spacing w:after="0"/>
        <w:ind w:left="720"/>
        <w:contextualSpacing/>
        <w:jc w:val="both"/>
        <w:rPr>
          <w:rFonts w:eastAsia="Calibri" w:cs="Calibri"/>
          <w:sz w:val="24"/>
          <w:szCs w:val="24"/>
        </w:rPr>
      </w:pPr>
    </w:p>
    <w:p w14:paraId="36F82AC4" w14:textId="77777777" w:rsidR="007F11E7" w:rsidRPr="00300DBB" w:rsidRDefault="00000000" w:rsidP="00300DBB">
      <w:pPr>
        <w:suppressAutoHyphens/>
        <w:spacing w:after="120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Ponadto zgodnie z ww. zestawieniem 3 działki stanowią tzw. „resztówki”, czyli niemożliwe do zagospodarowania działki pozostałe po wydzieleniu terenu pod drogę, 6 działek stanowi plaże nadmorskie a 1 działka stanowi punkt osnowy geodezyjnej.</w:t>
      </w:r>
    </w:p>
    <w:p w14:paraId="698D666F" w14:textId="77777777" w:rsidR="007F11E7" w:rsidRPr="00300DBB" w:rsidRDefault="00000000" w:rsidP="00300DBB">
      <w:pPr>
        <w:spacing w:after="240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W przypadku 2 działek nie wskazano planu na ich zagospodarowania. Starosta wskazał</w:t>
      </w:r>
      <w:r>
        <w:rPr>
          <w:rFonts w:eastAsia="Calibri" w:cs="Calibri"/>
          <w:sz w:val="24"/>
          <w:szCs w:val="24"/>
          <w:vertAlign w:val="superscript"/>
        </w:rPr>
        <w:footnoteReference w:id="14"/>
      </w:r>
      <w:r w:rsidRPr="00300DBB">
        <w:rPr>
          <w:rFonts w:eastAsia="Calibri" w:cs="Calibri"/>
          <w:sz w:val="24"/>
          <w:szCs w:val="24"/>
        </w:rPr>
        <w:t xml:space="preserve">, </w:t>
      </w:r>
      <w:r w:rsidRPr="00300DBB">
        <w:rPr>
          <w:rFonts w:eastAsia="Calibri" w:cs="Calibri"/>
          <w:sz w:val="24"/>
          <w:szCs w:val="24"/>
        </w:rPr>
        <w:br/>
        <w:t xml:space="preserve">że jedna z nich została nabyta do zasobu nieruchomości Skarbu Państwa w zamian </w:t>
      </w:r>
      <w:r w:rsidRPr="00300DBB">
        <w:rPr>
          <w:rFonts w:eastAsia="Calibri" w:cs="Calibri"/>
          <w:sz w:val="24"/>
          <w:szCs w:val="24"/>
        </w:rPr>
        <w:br/>
        <w:t xml:space="preserve">za świadczenia emerytalne i nie wystąpiono o jej zwrot, zaś w drugim przypadku działka </w:t>
      </w:r>
      <w:r w:rsidRPr="00300DBB">
        <w:rPr>
          <w:rFonts w:eastAsia="Calibri" w:cs="Calibri"/>
          <w:sz w:val="24"/>
          <w:szCs w:val="24"/>
        </w:rPr>
        <w:br/>
        <w:t>weszła do zasobu nieruchomości Skarbu Państwa w wyniku podziału nieruchomości sąsiedniej (zgodnie z ustaleniami planu miejscowego), ale podmiot który mógłby ją przejąć nie jest powyższym zainteresowany - dlatego działki pozostają niezagospodarowane.</w:t>
      </w:r>
    </w:p>
    <w:p w14:paraId="709FAA3B" w14:textId="77777777" w:rsidR="007F11E7" w:rsidRPr="00300DBB" w:rsidRDefault="00000000" w:rsidP="00300DBB">
      <w:pPr>
        <w:spacing w:after="240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 xml:space="preserve">Biorąc pod uwagę fakt, że tylko dla 2 działek, tj. 2,3 % działek znajdujących się w ww. rejestrze, brak jest planu ich zagospodarowania, zespół kontrolujący ocenił gospodarowanie nieruchomościami w tym zakresie jako pozytywne. </w:t>
      </w:r>
    </w:p>
    <w:p w14:paraId="38528794" w14:textId="77777777" w:rsidR="007F11E7" w:rsidRPr="00300DBB" w:rsidRDefault="00000000" w:rsidP="00300DBB">
      <w:pPr>
        <w:spacing w:after="240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Na marginesie, planowany sposób zagospodarowania przedmiotowych nieruchomości został również określony przez Starostę Słupskiego w analogicznym zakresie kontroli, która była przeprowadzana przez tutejszy Organ w 2015 r. Wówczas stan nieruchomości niezagospodarowanych wynosił 237 działek, stąd zauważalny jest spadek jej liczby i dążenie do maksymalnego ograniczenia takich nieruchomości w zasobie Skarbu Państwa.</w:t>
      </w:r>
    </w:p>
    <w:p w14:paraId="51281334" w14:textId="77777777" w:rsidR="007F11E7" w:rsidRPr="00300DBB" w:rsidRDefault="00000000" w:rsidP="00300DBB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2.2. Koszty generowane przez nieruchomości niezagospodarowane związane z ich utrzymaniem.</w:t>
      </w:r>
    </w:p>
    <w:p w14:paraId="097594F3" w14:textId="3DD07C00" w:rsidR="007F11E7" w:rsidRPr="00300DBB" w:rsidRDefault="00000000" w:rsidP="00300DBB">
      <w:pPr>
        <w:spacing w:after="120"/>
        <w:jc w:val="both"/>
        <w:rPr>
          <w:rFonts w:eastAsia="Calibri" w:cs="Calibri"/>
          <w:sz w:val="24"/>
          <w:szCs w:val="24"/>
          <w:highlight w:val="yellow"/>
        </w:rPr>
      </w:pPr>
      <w:r w:rsidRPr="00300DBB">
        <w:rPr>
          <w:rFonts w:eastAsia="Calibri" w:cs="Calibri"/>
          <w:sz w:val="24"/>
          <w:szCs w:val="24"/>
        </w:rPr>
        <w:t xml:space="preserve">W przypadku 3 działek znajdujących się w ww. rejestrze odnotowano generowanie kosztów przez nieruchomość na rzecz Skarbu Państwa. Działki te, generują koszty z tytułu podatku </w:t>
      </w:r>
      <w:r w:rsidRPr="00300DBB">
        <w:rPr>
          <w:rFonts w:eastAsia="Calibri" w:cs="Calibri"/>
          <w:sz w:val="24"/>
          <w:szCs w:val="24"/>
        </w:rPr>
        <w:br/>
        <w:t xml:space="preserve">od nieruchomości – łącznie </w:t>
      </w:r>
      <w:r w:rsidR="00CE2028">
        <w:rPr>
          <w:rFonts w:eastAsia="Calibri" w:cs="Calibri"/>
          <w:sz w:val="24"/>
          <w:szCs w:val="24"/>
        </w:rPr>
        <w:t>[…..]</w:t>
      </w:r>
      <w:r w:rsidRPr="00300DBB">
        <w:rPr>
          <w:rFonts w:eastAsia="Calibri" w:cs="Calibri"/>
          <w:sz w:val="24"/>
          <w:szCs w:val="24"/>
        </w:rPr>
        <w:t xml:space="preserve"> zł rocznie.</w:t>
      </w:r>
    </w:p>
    <w:p w14:paraId="7EDFE6B2" w14:textId="77777777" w:rsidR="007F11E7" w:rsidRPr="00300DBB" w:rsidRDefault="00000000" w:rsidP="00300DBB">
      <w:pPr>
        <w:spacing w:after="120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lastRenderedPageBreak/>
        <w:t xml:space="preserve">Jednocześnie Starosta planuje i podejmuje czynności, w celu zagospodarowania przedmiotowych działek, choć zgodnie z informacjami powyższe zadanie jest utrudnione. Wśród opisywanych działek generujących koszty: </w:t>
      </w:r>
    </w:p>
    <w:p w14:paraId="6EA2323F" w14:textId="77777777" w:rsidR="007F11E7" w:rsidRPr="00300DBB" w:rsidRDefault="00000000" w:rsidP="00300DBB">
      <w:pPr>
        <w:numPr>
          <w:ilvl w:val="0"/>
          <w:numId w:val="7"/>
        </w:numPr>
        <w:spacing w:after="240" w:line="240" w:lineRule="auto"/>
        <w:ind w:left="284" w:hanging="284"/>
        <w:contextualSpacing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2 działki znajdują się we współwłasności Skarbu Państwa i osób fizycznych w wyniku spadkobrania, zaś do czasu uregulowania stanu prawnego współwłaścicieli w księgach wieczystych, Skarb Państwa nie ma możliwości ich innego zagospodarowania;</w:t>
      </w:r>
    </w:p>
    <w:p w14:paraId="5F6E9731" w14:textId="77777777" w:rsidR="007F11E7" w:rsidRPr="00300DBB" w:rsidRDefault="00000000" w:rsidP="00300DBB">
      <w:pPr>
        <w:numPr>
          <w:ilvl w:val="0"/>
          <w:numId w:val="7"/>
        </w:numPr>
        <w:spacing w:after="240" w:line="240" w:lineRule="auto"/>
        <w:ind w:left="284" w:hanging="284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 xml:space="preserve">1 działka została przejęta do zasobu po KRS-ach i wcześniej była objęta postępowaniem komorniczym. </w:t>
      </w:r>
    </w:p>
    <w:p w14:paraId="30AB19D4" w14:textId="77777777" w:rsidR="007F11E7" w:rsidRPr="00300DBB" w:rsidRDefault="00000000" w:rsidP="00332A6B">
      <w:pPr>
        <w:spacing w:before="120" w:after="240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W związku z powyższym, mając na uwadze, że generowane koszty są niezależne od działań Starosty, zespół kontrolujący ocenił gospodarowanie nieruchomościami w tym zakresie pozytywnie.</w:t>
      </w:r>
    </w:p>
    <w:p w14:paraId="2F0AAA7D" w14:textId="77777777" w:rsidR="007F11E7" w:rsidRPr="00300DBB" w:rsidRDefault="00000000" w:rsidP="00300DBB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2.3. Ocena całościowa w zakresie nieruchomości niezagospodarowanych.</w:t>
      </w:r>
    </w:p>
    <w:p w14:paraId="473B5A65" w14:textId="77777777" w:rsidR="007F11E7" w:rsidRPr="00300DBB" w:rsidRDefault="00000000" w:rsidP="00300DBB">
      <w:pPr>
        <w:spacing w:after="240"/>
        <w:jc w:val="both"/>
        <w:rPr>
          <w:rFonts w:eastAsia="Calibri" w:cs="Calibri"/>
          <w:sz w:val="24"/>
          <w:szCs w:val="24"/>
          <w:highlight w:val="yellow"/>
        </w:rPr>
      </w:pPr>
      <w:r w:rsidRPr="00300DBB">
        <w:rPr>
          <w:rFonts w:eastAsia="Calibri" w:cs="Calibri"/>
          <w:sz w:val="24"/>
          <w:szCs w:val="24"/>
        </w:rPr>
        <w:t>Biorąc pod uwagę powyższe mierniki, zespół kontrolujący ocenił gospodarowanie nieruchomościami w przedmiotowym zakresie pozytywnie.</w:t>
      </w:r>
    </w:p>
    <w:p w14:paraId="4B07BE7D" w14:textId="77777777" w:rsidR="007F11E7" w:rsidRPr="00300DBB" w:rsidRDefault="00000000" w:rsidP="00300DBB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Ustanawianie prawa użytkowania wieczystego oraz prawidłowe ustalanie i stosowanie stawek procentowych opłat rocznych z tytułu użytkowania wieczystego.</w:t>
      </w:r>
    </w:p>
    <w:p w14:paraId="0323AD89" w14:textId="77777777" w:rsidR="007F11E7" w:rsidRPr="00300DBB" w:rsidRDefault="00000000" w:rsidP="00300DBB">
      <w:pPr>
        <w:numPr>
          <w:ilvl w:val="1"/>
          <w:numId w:val="3"/>
        </w:numPr>
        <w:spacing w:before="240" w:after="240" w:line="240" w:lineRule="auto"/>
        <w:ind w:left="567" w:hanging="567"/>
        <w:jc w:val="both"/>
        <w:rPr>
          <w:rFonts w:eastAsia="Calibri" w:cs="Calibri"/>
          <w:sz w:val="24"/>
          <w:szCs w:val="24"/>
        </w:rPr>
      </w:pPr>
      <w:bookmarkStart w:id="16" w:name="_Hlk211427229"/>
      <w:r w:rsidRPr="00300DBB">
        <w:rPr>
          <w:rFonts w:eastAsia="Calibri" w:cs="Calibri"/>
          <w:sz w:val="24"/>
          <w:szCs w:val="24"/>
        </w:rPr>
        <w:t>Analiza spraw uwzględniająca błędy formalne prowadzonych postępowań oraz naruszenie przepisów prawa materialnego.</w:t>
      </w:r>
    </w:p>
    <w:p w14:paraId="0AC5185F" w14:textId="77777777" w:rsidR="007F11E7" w:rsidRPr="00300DBB" w:rsidRDefault="00000000" w:rsidP="00300DBB">
      <w:pPr>
        <w:spacing w:after="120"/>
        <w:jc w:val="both"/>
        <w:rPr>
          <w:rFonts w:cs="Calibri"/>
          <w:bCs/>
          <w:sz w:val="24"/>
          <w:szCs w:val="24"/>
          <w:lang w:eastAsia="pl-PL"/>
        </w:rPr>
      </w:pPr>
      <w:r w:rsidRPr="00300DBB">
        <w:rPr>
          <w:rFonts w:cs="Calibri"/>
          <w:bCs/>
          <w:sz w:val="24"/>
          <w:szCs w:val="24"/>
          <w:lang w:eastAsia="pl-PL"/>
        </w:rPr>
        <w:t>W okresie objętym kontrolą Starosta nie dokonał ustanowienia prawa użytkowania wieczystego, wobec powyższego organ kontrolujący nie dokonał oceny tego zagadnienia.</w:t>
      </w:r>
    </w:p>
    <w:p w14:paraId="46449F73" w14:textId="77777777" w:rsidR="007F11E7" w:rsidRPr="00300DBB" w:rsidRDefault="00000000" w:rsidP="00300DBB">
      <w:pPr>
        <w:spacing w:after="120"/>
        <w:jc w:val="both"/>
        <w:rPr>
          <w:rFonts w:cs="Calibri"/>
          <w:bCs/>
          <w:sz w:val="24"/>
          <w:szCs w:val="24"/>
          <w:lang w:eastAsia="pl-PL"/>
        </w:rPr>
      </w:pPr>
      <w:r w:rsidRPr="00300DBB">
        <w:rPr>
          <w:rFonts w:cs="Calibri"/>
          <w:bCs/>
          <w:sz w:val="24"/>
          <w:szCs w:val="24"/>
          <w:lang w:eastAsia="pl-PL"/>
        </w:rPr>
        <w:t>Natomiast Starosta w okresie objętym kontrolą prowadził 1 sprawę dotyczącą zmiany stawki opłaty rocznej z tytułu użytkowania wieczystego, wobec czego zespół kontrolny dokonał oceny tej sprawy, którą opisał w tabelarycznym zestawieniu na podstawie przedstawionych przez Starostę akt</w:t>
      </w:r>
      <w:r>
        <w:rPr>
          <w:rFonts w:cs="Calibri"/>
          <w:bCs/>
          <w:sz w:val="24"/>
          <w:szCs w:val="24"/>
          <w:vertAlign w:val="superscript"/>
          <w:lang w:eastAsia="pl-PL"/>
        </w:rPr>
        <w:footnoteReference w:id="15"/>
      </w:r>
      <w:r w:rsidRPr="00300DBB">
        <w:rPr>
          <w:rFonts w:cs="Calibri"/>
          <w:bCs/>
          <w:sz w:val="24"/>
          <w:szCs w:val="24"/>
          <w:lang w:eastAsia="pl-PL"/>
        </w:rPr>
        <w:t xml:space="preserve">. </w:t>
      </w:r>
    </w:p>
    <w:p w14:paraId="51A5CC51" w14:textId="77777777" w:rsidR="007F11E7" w:rsidRPr="00300DBB" w:rsidRDefault="00000000" w:rsidP="00300DBB">
      <w:pPr>
        <w:spacing w:after="120"/>
        <w:jc w:val="both"/>
        <w:rPr>
          <w:rFonts w:cs="Calibri"/>
          <w:bCs/>
          <w:sz w:val="24"/>
          <w:szCs w:val="24"/>
          <w:lang w:eastAsia="pl-PL"/>
        </w:rPr>
      </w:pPr>
      <w:r w:rsidRPr="00300DBB">
        <w:rPr>
          <w:rFonts w:cs="Calibri"/>
          <w:bCs/>
          <w:sz w:val="24"/>
          <w:szCs w:val="24"/>
          <w:lang w:eastAsia="pl-PL"/>
        </w:rPr>
        <w:t>W toku przeprowadzonych czynności kontrolnych, dokonano oceny na podstawie ustalonych przed kontrolą zasad i mierników, które zostały ujęte i szczegółowo opisane w programie kontroli</w:t>
      </w:r>
      <w:r>
        <w:rPr>
          <w:rFonts w:cs="Calibri"/>
          <w:bCs/>
          <w:sz w:val="24"/>
          <w:szCs w:val="24"/>
          <w:vertAlign w:val="superscript"/>
          <w:lang w:eastAsia="pl-PL"/>
        </w:rPr>
        <w:footnoteReference w:id="16"/>
      </w:r>
      <w:r w:rsidRPr="00300DBB">
        <w:rPr>
          <w:rFonts w:cs="Calibri"/>
          <w:bCs/>
          <w:sz w:val="24"/>
          <w:szCs w:val="24"/>
          <w:lang w:eastAsia="pl-PL"/>
        </w:rPr>
        <w:t>, znajdującym się w aktach sprawy.</w:t>
      </w:r>
    </w:p>
    <w:p w14:paraId="609C3044" w14:textId="77777777" w:rsidR="007F11E7" w:rsidRPr="00300DBB" w:rsidRDefault="00000000" w:rsidP="00300DBB">
      <w:pPr>
        <w:spacing w:after="120"/>
        <w:jc w:val="both"/>
        <w:rPr>
          <w:rFonts w:cs="Calibri"/>
          <w:bCs/>
          <w:sz w:val="24"/>
          <w:szCs w:val="24"/>
          <w:lang w:eastAsia="pl-PL"/>
        </w:rPr>
      </w:pPr>
      <w:r w:rsidRPr="00300DBB">
        <w:rPr>
          <w:rFonts w:cs="Calibri"/>
          <w:bCs/>
          <w:sz w:val="24"/>
          <w:szCs w:val="24"/>
          <w:lang w:eastAsia="pl-PL"/>
        </w:rPr>
        <w:t xml:space="preserve">Przedmiotowa sprawa dotyczyła zmiany stawki procentowej opłaty rocznej z tytułu użytkowania wieczystego z 3% (cel inny) na 2% (turystyka) – w wyniku zmiany sposobu korzystania z nieruchomości, zgodnie z wnioskiem użytkownika wieczystego z dnia 8 kwietnia 2021 r. (wpływ do Starostwa 12 kwietnia 2021 r.). Jednakże Starosta pierwsze czynności </w:t>
      </w:r>
      <w:r w:rsidRPr="00300DBB">
        <w:rPr>
          <w:rFonts w:cs="Calibri"/>
          <w:bCs/>
          <w:sz w:val="24"/>
          <w:szCs w:val="24"/>
          <w:lang w:eastAsia="pl-PL"/>
        </w:rPr>
        <w:br/>
        <w:t xml:space="preserve">w sprawie podjął dopiero w lutym 2023 r., po telefonicznym monicie użytkownika wieczystego </w:t>
      </w:r>
      <w:r w:rsidRPr="00300DBB">
        <w:rPr>
          <w:rFonts w:cs="Calibri"/>
          <w:bCs/>
          <w:sz w:val="24"/>
          <w:szCs w:val="24"/>
          <w:lang w:eastAsia="pl-PL"/>
        </w:rPr>
        <w:lastRenderedPageBreak/>
        <w:t xml:space="preserve">- co bezpośrednio narusza </w:t>
      </w:r>
      <w:bookmarkStart w:id="17" w:name="_Hlk211947232"/>
      <w:r w:rsidRPr="00300DBB">
        <w:rPr>
          <w:rFonts w:cs="Calibri"/>
          <w:bCs/>
          <w:sz w:val="24"/>
          <w:szCs w:val="24"/>
          <w:lang w:eastAsia="pl-PL"/>
        </w:rPr>
        <w:t>art. 73 ust. 2e ugn</w:t>
      </w:r>
      <w:bookmarkEnd w:id="17"/>
      <w:r w:rsidRPr="00300DBB">
        <w:rPr>
          <w:rFonts w:cs="Calibri"/>
          <w:bCs/>
          <w:sz w:val="24"/>
          <w:szCs w:val="24"/>
          <w:lang w:eastAsia="pl-PL"/>
        </w:rPr>
        <w:t xml:space="preserve">, zgodnie z którym w przypadku złożenia przedmiotowego wniosku przez użytkownika wieczystego, właściwy organ przedstawia swoje pisemne stanowisko w terminie 2 miesięcy od dnia otrzymania wniosku. </w:t>
      </w:r>
    </w:p>
    <w:p w14:paraId="62F48FAC" w14:textId="77777777" w:rsidR="007F11E7" w:rsidRPr="00300DBB" w:rsidRDefault="00000000" w:rsidP="00300DBB">
      <w:pPr>
        <w:spacing w:after="120"/>
        <w:jc w:val="both"/>
        <w:rPr>
          <w:rFonts w:cs="Calibri"/>
          <w:bCs/>
          <w:sz w:val="24"/>
          <w:szCs w:val="24"/>
          <w:lang w:eastAsia="pl-PL"/>
        </w:rPr>
      </w:pPr>
      <w:r w:rsidRPr="00300DBB">
        <w:rPr>
          <w:rFonts w:cs="Calibri"/>
          <w:bCs/>
          <w:sz w:val="24"/>
          <w:szCs w:val="24"/>
          <w:lang w:eastAsia="pl-PL"/>
        </w:rPr>
        <w:t xml:space="preserve">Co więcej, zgodnie z art. 73 ust. 2f ugn stawkę procentową opłaty rocznej przyjmuje się stosownie do celu ustalonego na podstawie zgodnego oświadczenia stron albo orzeczenia sądu, zaś nowa stawka opłaty obowiązuje od dnia 1 stycznia roku następującego po roku, </w:t>
      </w:r>
      <w:r w:rsidRPr="00300DBB">
        <w:rPr>
          <w:rFonts w:cs="Calibri"/>
          <w:bCs/>
          <w:sz w:val="24"/>
          <w:szCs w:val="24"/>
          <w:lang w:eastAsia="pl-PL"/>
        </w:rPr>
        <w:br/>
        <w:t xml:space="preserve">w którym została ustalona. Mając na uwadze, że Starosta zawarł porozumienie w dniu </w:t>
      </w:r>
      <w:r w:rsidRPr="00300DBB">
        <w:rPr>
          <w:rFonts w:cs="Calibri"/>
          <w:bCs/>
          <w:sz w:val="24"/>
          <w:szCs w:val="24"/>
          <w:lang w:eastAsia="pl-PL"/>
        </w:rPr>
        <w:br/>
        <w:t>24 marca 2023 r., w którym określił, że zmieniona stawka będzie obowiązywała od 1 stycznia 2022 r., w tym przypadku również naruszył powyżej wskazany przepis, gdyż nowa stawka powinna obowiązywać od 1 stycznia 2024 r.</w:t>
      </w:r>
    </w:p>
    <w:p w14:paraId="5B3893B2" w14:textId="77777777" w:rsidR="007F11E7" w:rsidRPr="00300DBB" w:rsidRDefault="00000000" w:rsidP="00300DBB">
      <w:pPr>
        <w:spacing w:after="120"/>
        <w:jc w:val="both"/>
        <w:rPr>
          <w:rFonts w:cs="Calibri"/>
          <w:bCs/>
          <w:sz w:val="24"/>
          <w:szCs w:val="24"/>
          <w:lang w:eastAsia="pl-PL"/>
        </w:rPr>
      </w:pPr>
      <w:r w:rsidRPr="00984523">
        <w:rPr>
          <w:rFonts w:cs="Calibri"/>
          <w:bCs/>
          <w:sz w:val="24"/>
          <w:szCs w:val="24"/>
          <w:lang w:eastAsia="pl-PL"/>
        </w:rPr>
        <w:t>W związku z powyższym ustalono, że sprawa objęta kontrolą, pomimo braków błędów formalnych, była prowadzona nieprawidłowo, gdyż Starosta naruszył ww. przepisy prawa materialnego, zaś samo prowadzenie sprawy trwało za długo</w:t>
      </w:r>
      <w:r>
        <w:rPr>
          <w:rFonts w:cs="Calibri"/>
          <w:bCs/>
          <w:sz w:val="24"/>
          <w:szCs w:val="24"/>
          <w:lang w:eastAsia="pl-PL"/>
        </w:rPr>
        <w:t xml:space="preserve"> w stosunku do terminu przewidzianego prawem</w:t>
      </w:r>
      <w:r w:rsidRPr="00984523">
        <w:rPr>
          <w:rFonts w:cs="Calibri"/>
          <w:bCs/>
          <w:sz w:val="24"/>
          <w:szCs w:val="24"/>
          <w:lang w:eastAsia="pl-PL"/>
        </w:rPr>
        <w:t>.</w:t>
      </w:r>
    </w:p>
    <w:p w14:paraId="2487082E" w14:textId="77777777" w:rsidR="007F11E7" w:rsidRPr="00300DBB" w:rsidRDefault="00000000" w:rsidP="00300DBB">
      <w:pPr>
        <w:spacing w:after="120"/>
        <w:jc w:val="both"/>
        <w:rPr>
          <w:rFonts w:cs="Calibri"/>
          <w:bCs/>
          <w:sz w:val="24"/>
          <w:szCs w:val="24"/>
          <w:lang w:eastAsia="pl-PL"/>
        </w:rPr>
      </w:pPr>
      <w:r w:rsidRPr="00300DBB">
        <w:rPr>
          <w:rFonts w:cs="Calibri"/>
          <w:bCs/>
          <w:sz w:val="24"/>
          <w:szCs w:val="24"/>
          <w:lang w:eastAsia="pl-PL"/>
        </w:rPr>
        <w:t>Biorąc pod uwagę fakt, że ocenie podlegała tylko jedna sprawa prowadzona w powyższym zakresie, tj. 100% przypadków, zespół kontrolujący wykonywanie zadań w powyższym zakresie ocenił negatywnie.</w:t>
      </w:r>
    </w:p>
    <w:bookmarkEnd w:id="16"/>
    <w:p w14:paraId="6B51917E" w14:textId="77777777" w:rsidR="007F11E7" w:rsidRPr="00300DBB" w:rsidRDefault="00000000" w:rsidP="00300DBB">
      <w:pPr>
        <w:numPr>
          <w:ilvl w:val="1"/>
          <w:numId w:val="3"/>
        </w:numPr>
        <w:spacing w:before="240" w:after="240" w:line="240" w:lineRule="auto"/>
        <w:ind w:left="567" w:hanging="567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Stan nieruchomości oddanych w użytkowanie wieczyste pod kątem prawidłowości zastosowanej stawki procentowej.</w:t>
      </w:r>
    </w:p>
    <w:p w14:paraId="3347853C" w14:textId="77777777" w:rsidR="007F11E7" w:rsidRPr="00300DBB" w:rsidRDefault="00000000" w:rsidP="00300DBB">
      <w:pPr>
        <w:autoSpaceDE w:val="0"/>
        <w:autoSpaceDN w:val="0"/>
        <w:adjustRightInd w:val="0"/>
        <w:spacing w:after="120"/>
        <w:jc w:val="both"/>
        <w:rPr>
          <w:rFonts w:eastAsia="Calibri" w:cs="Calibri"/>
          <w:sz w:val="24"/>
          <w:szCs w:val="24"/>
          <w:lang w:eastAsia="pl-PL"/>
        </w:rPr>
      </w:pPr>
      <w:r w:rsidRPr="00300DBB">
        <w:rPr>
          <w:rFonts w:eastAsia="Calibri" w:cs="Calibri"/>
          <w:sz w:val="24"/>
          <w:szCs w:val="24"/>
          <w:lang w:eastAsia="pl-PL"/>
        </w:rPr>
        <w:t>Organ kontrolowany pismem z dnia 27 listopada 2024 r. nr NSP-II.431.4.2024.KS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7"/>
      </w:r>
      <w:r w:rsidRPr="00300DBB">
        <w:rPr>
          <w:rFonts w:eastAsia="Calibri" w:cs="Calibri"/>
          <w:sz w:val="24"/>
          <w:szCs w:val="24"/>
          <w:lang w:eastAsia="pl-PL"/>
        </w:rPr>
        <w:t xml:space="preserve"> został zobowiązany do wypełnienia dołączonej do pisma tabeli pn. „Skorowidz działek Skarbu Państwa oddanych w użytkowanie wieczyste.” Starosta przekazał ww. zestawienie 13 grudnia 2024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8"/>
      </w:r>
      <w:r w:rsidRPr="00300DBB">
        <w:rPr>
          <w:rFonts w:eastAsia="Calibri" w:cs="Calibri"/>
          <w:sz w:val="24"/>
          <w:szCs w:val="24"/>
          <w:lang w:eastAsia="pl-PL"/>
        </w:rPr>
        <w:t>, następnie zaś przesłał jego poprawioną wersję pismem z dnia 24 stycznia 2025 r.</w:t>
      </w:r>
      <w:r>
        <w:rPr>
          <w:rFonts w:eastAsia="Calibri" w:cs="Calibri"/>
          <w:sz w:val="24"/>
          <w:szCs w:val="24"/>
          <w:vertAlign w:val="superscript"/>
          <w:lang w:eastAsia="pl-PL"/>
        </w:rPr>
        <w:footnoteReference w:id="19"/>
      </w:r>
    </w:p>
    <w:p w14:paraId="59CF2F61" w14:textId="77777777" w:rsidR="007F11E7" w:rsidRPr="00300DBB" w:rsidRDefault="00000000" w:rsidP="00300DBB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4"/>
          <w:szCs w:val="24"/>
          <w:lang w:eastAsia="pl-PL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Z przekazanego przez Starostę skorowidza nieruchomości Skarbu Państwa oraz dokonanej analizy</w:t>
      </w:r>
      <w:r>
        <w:rPr>
          <w:rFonts w:asciiTheme="minorHAnsi" w:eastAsia="Calibri" w:hAnsiTheme="minorHAnsi" w:cstheme="minorHAnsi"/>
          <w:sz w:val="24"/>
          <w:szCs w:val="24"/>
          <w:vertAlign w:val="superscript"/>
          <w:lang w:eastAsia="zh-CN"/>
        </w:rPr>
        <w:footnoteReference w:id="20"/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 wynika, że w użytkowaniu wieczystym znajdują się 1493 działki o łącznej powierzchni 18192,4525 ha. </w:t>
      </w:r>
    </w:p>
    <w:p w14:paraId="7C597B3E" w14:textId="77777777" w:rsidR="007F11E7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Prawo użytkowania wieczystego może być nieodpłatne lub odpłatne. Prawo nieodpłatne użytkowania wieczystego wynika z przepisów szczególnych, natomiast odpłatne prawo użytkowania wieczystego wynika z celu, na który nieruchomość została oddana w użytkowanie wieczyste.</w:t>
      </w:r>
    </w:p>
    <w:p w14:paraId="0FDA0604" w14:textId="77777777" w:rsidR="007F11E7" w:rsidRPr="00A52603" w:rsidRDefault="007F11E7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</w:p>
    <w:p w14:paraId="3A25911C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lastRenderedPageBreak/>
        <w:t xml:space="preserve">W nieodpłatne użytkowanie wieczyste (stawka 0%) oddanych zostało 957 działek. Zwolnione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br/>
        <w:t xml:space="preserve">z wnoszenia opłat rocznych za działki oddane w użytkowanie wieczyste zostały następujące podmioty: </w:t>
      </w:r>
    </w:p>
    <w:p w14:paraId="4E3CA7DA" w14:textId="77777777" w:rsidR="007F11E7" w:rsidRPr="00300DBB" w:rsidRDefault="00000000" w:rsidP="00300DB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Słowiński Park Narodowy (627 działek), </w:t>
      </w:r>
    </w:p>
    <w:p w14:paraId="08003762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na podstawie art. 10 ust. 5m ustawy z dnia 16 kwietnia 2004 r. o ochronie przyrody, gdzie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br/>
        <w:t>„od parków narodowych nie pobiera się opłaty rocznej z tytułu użytkowania wieczystego”;</w:t>
      </w:r>
    </w:p>
    <w:p w14:paraId="0B594E45" w14:textId="3C2203C4" w:rsidR="007F11E7" w:rsidRPr="00300DBB" w:rsidRDefault="00CE2028" w:rsidP="00300DB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>
        <w:rPr>
          <w:rFonts w:asciiTheme="minorHAnsi" w:eastAsia="Calibri" w:hAnsiTheme="minorHAnsi" w:cstheme="minorHAnsi"/>
          <w:sz w:val="24"/>
          <w:szCs w:val="24"/>
          <w:lang w:eastAsia="zh-CN"/>
        </w:rPr>
        <w:t>[……………………………………………………………………………..]</w:t>
      </w:r>
      <w:r w:rsidR="00000000"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 (326 działek), </w:t>
      </w:r>
    </w:p>
    <w:p w14:paraId="7C1C7239" w14:textId="5A06ECB1" w:rsidR="007F11E7" w:rsidRPr="00300DBB" w:rsidRDefault="00CE2028" w:rsidP="00300DB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>
        <w:rPr>
          <w:rFonts w:asciiTheme="minorHAnsi" w:eastAsia="Calibri" w:hAnsiTheme="minorHAnsi" w:cstheme="minorHAnsi"/>
          <w:sz w:val="24"/>
          <w:szCs w:val="24"/>
          <w:lang w:eastAsia="zh-CN"/>
        </w:rPr>
        <w:t>[……………………………………………………..]</w:t>
      </w:r>
      <w:r w:rsidR="00000000"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 (2 działki),</w:t>
      </w:r>
    </w:p>
    <w:p w14:paraId="6A56E7A5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highlight w:val="yellow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na podstawie art. 8 ustawy z dnia 28 marca 2003 r. o transporcie kolejowym (Dz. U. z 2025 r. poz. 1234), gdzie „grunty zajęte pod infrastrukturę kolejową są zwolnione od opłat z tytułu użytkowania wieczystego”;</w:t>
      </w:r>
    </w:p>
    <w:p w14:paraId="2301975C" w14:textId="77777777" w:rsidR="007F11E7" w:rsidRPr="00300DBB" w:rsidRDefault="00000000" w:rsidP="00300DBB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Państwowy Instytut Geologiczny - Państwowy Instytut Badawczy (2 działki),</w:t>
      </w:r>
    </w:p>
    <w:p w14:paraId="0F1865EA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na podstawie art. 20 ustawy z dnia 30 kwietnia 2010 r. o instytutach badawczych (Dz. U. z 2024 r. poz. 534), gdzie „Instytut jest zwolniony z opłat z tytułu użytkowania wieczystego gruntów stanowiących m.in. własność Skarbu Państwa”.</w:t>
      </w:r>
    </w:p>
    <w:p w14:paraId="360A6C0B" w14:textId="77777777" w:rsidR="007F11E7" w:rsidRPr="00300DBB" w:rsidRDefault="007F11E7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highlight w:val="yellow"/>
          <w:lang w:eastAsia="zh-CN"/>
        </w:rPr>
      </w:pPr>
    </w:p>
    <w:p w14:paraId="48DFB803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Z prawem użytkowania wieczystego związany jest obowiązek wnoszenia przez użytkownika wieczystego opłat rocznych z tego tytułu, stosownie do art. 71 ust. 1 ugn.: „Za oddanie nieruchomości gruntowej w użytkowanie wieczyste pobiera się pierwszą opłatę i opłaty roczne.” Zgodnie z art. 72 ust. 1 opłaty z tytułu użytkowania wieczystego ustala się według stawki procentowej od ceny nieruchomości gruntowej.</w:t>
      </w:r>
    </w:p>
    <w:p w14:paraId="49A33902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W myśl art. 72 ust. 2 wysokość stawek procentowych opłat rocznych z tytułu użytkowania wieczystego jest uzależniona od określonego w umowie celu, na jaki nieruchomość gruntowa została oddana, i wynosi m.in.:   </w:t>
      </w:r>
    </w:p>
    <w:p w14:paraId="15CEED7A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1)</w:t>
      </w:r>
      <w:r w:rsidRPr="00300D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za nieruchomości gruntowe pod budowę obiektów sakralnych wraz z budynkami towarzyszącymi, plebanii w parafiach diecezjalnych i zakonnych, archiwów i muzeów diecezjalnych, seminariów duchownych, domów zakonnych oraz siedzib naczelnych władz kościołów i związków wyznaniowych - 0,3% ceny;</w:t>
      </w:r>
    </w:p>
    <w:p w14:paraId="3E791C70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2) za nieruchomości gruntowe oddane na cele rolne - 1% ceny;</w:t>
      </w:r>
    </w:p>
    <w:p w14:paraId="4744DA97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3) za nieruchomości gruntowe oddane na cele mieszkaniowe, na realizację urządzeń infrastruktury technicznej i innych celów publicznych oraz działalność sportową - 1% ceny;</w:t>
      </w:r>
    </w:p>
    <w:p w14:paraId="3782ADE5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4) za nieruchomości gruntowe na działalność turystyczną - 2% ceny;</w:t>
      </w:r>
    </w:p>
    <w:p w14:paraId="2B55F845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5) za pozostałe nieruchomości gruntowe - 3% ceny.</w:t>
      </w:r>
    </w:p>
    <w:p w14:paraId="1C222CE2" w14:textId="77777777" w:rsidR="007F11E7" w:rsidRPr="00300DBB" w:rsidRDefault="007F11E7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</w:p>
    <w:p w14:paraId="6620AE52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Z przesłanego przez Starostę zestawienia odnośnie odpłatnego użytkowania wieczystego </w:t>
      </w:r>
      <w:r>
        <w:rPr>
          <w:rFonts w:asciiTheme="minorHAnsi" w:eastAsia="Calibri" w:hAnsiTheme="minorHAnsi" w:cstheme="minorHAnsi"/>
          <w:sz w:val="24"/>
          <w:szCs w:val="24"/>
          <w:lang w:eastAsia="zh-CN"/>
        </w:rPr>
        <w:br/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oraz dokonanej tabelarycznej analizy wynika, że znajduje się w nim 536 działek, gdzie:</w:t>
      </w:r>
    </w:p>
    <w:p w14:paraId="0ECC5FED" w14:textId="77777777" w:rsidR="007F11E7" w:rsidRPr="00300DBB" w:rsidRDefault="00000000" w:rsidP="00300DBB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3 działki posiadają stawkę 0,3% opłaty z tytułu użytkowania wieczystego i zostały oddane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br/>
        <w:t xml:space="preserve">z przeznaczeniem na działalność sakralną, co uzasadnia zastosowanie wskazanej stawki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br/>
        <w:t>i jest zgodne z przepisami;</w:t>
      </w:r>
    </w:p>
    <w:p w14:paraId="5188BC4C" w14:textId="77777777" w:rsidR="007F11E7" w:rsidRPr="00300DBB" w:rsidRDefault="00000000" w:rsidP="00300DBB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248 działek posiada stawkę 1% opłaty z tytułu użytkowania wieczystego:</w:t>
      </w:r>
    </w:p>
    <w:p w14:paraId="05AC881B" w14:textId="77777777" w:rsidR="007F11E7" w:rsidRPr="00300DBB" w:rsidRDefault="00000000" w:rsidP="00300DBB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lastRenderedPageBreak/>
        <w:t xml:space="preserve">83 działki zostały oddane w użytkowanie wieczyste na tereny mieszkaniowe,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br/>
        <w:t xml:space="preserve">co uzasadnia zastosowanie wskazanej stawki i jest zgodne z przepisami; </w:t>
      </w:r>
    </w:p>
    <w:p w14:paraId="46EE14C7" w14:textId="77777777" w:rsidR="007F11E7" w:rsidRPr="00300DBB" w:rsidRDefault="00000000" w:rsidP="00300DBB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163 działki przeznaczone są pod realizację urządzeń infrastruktury technicznej,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br/>
        <w:t>co uzasadnia zastosowanie wskazanej stawki i jest zgodne z przepisami;</w:t>
      </w:r>
    </w:p>
    <w:p w14:paraId="369FED23" w14:textId="77777777" w:rsidR="007F11E7" w:rsidRPr="00300DBB" w:rsidRDefault="00000000" w:rsidP="00300DBB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1 działka została oddana w użytkowanie wieczyste na cele sportowe, co uzasadnia zastosowanie wskazanej stawki i jest zgodne z przepisami; </w:t>
      </w:r>
    </w:p>
    <w:p w14:paraId="30591F33" w14:textId="77777777" w:rsidR="007F11E7" w:rsidRPr="00300DBB" w:rsidRDefault="00000000" w:rsidP="00300DBB">
      <w:pPr>
        <w:numPr>
          <w:ilvl w:val="0"/>
          <w:numId w:val="4"/>
        </w:numPr>
        <w:spacing w:after="160" w:line="240" w:lineRule="auto"/>
        <w:ind w:left="777" w:hanging="357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1 działka została oddana w użytkowanie wieczyste na cele rolne, co uzasadnia zastosowanie wskazanej stawki i jest zgodne z przepisami; </w:t>
      </w:r>
    </w:p>
    <w:p w14:paraId="660EA5F1" w14:textId="77777777" w:rsidR="007F11E7" w:rsidRPr="00300DBB" w:rsidRDefault="00000000" w:rsidP="00300DBB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>75 działek</w:t>
      </w:r>
      <w:r w:rsidRPr="00300D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posiada stawkę 2% opłaty z tytułu użytkowania wieczystego i zostały oddane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br/>
        <w:t>z przeznaczeniem na działalność turystyczną, co uzasadnia zastosowanie wskazanej stawki i jest zgodne z przepisami;</w:t>
      </w:r>
    </w:p>
    <w:p w14:paraId="5B00F427" w14:textId="77777777" w:rsidR="007F11E7" w:rsidRPr="00300DBB" w:rsidRDefault="00000000" w:rsidP="00300DB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t xml:space="preserve">210 działek posiada stawkę 3% opłaty z tytułu użytkowania wieczystego i zostały oddane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br/>
        <w:t xml:space="preserve">z przeznaczeniem pod inne cele, co uzasadnia zastosowanie wskazanej stawki i jest zgodne </w:t>
      </w:r>
      <w:r w:rsidRPr="00300DBB">
        <w:rPr>
          <w:rFonts w:asciiTheme="minorHAnsi" w:eastAsia="Calibri" w:hAnsiTheme="minorHAnsi" w:cstheme="minorHAnsi"/>
          <w:sz w:val="24"/>
          <w:szCs w:val="24"/>
          <w:lang w:eastAsia="zh-CN"/>
        </w:rPr>
        <w:br/>
        <w:t>z przepisami.</w:t>
      </w:r>
    </w:p>
    <w:p w14:paraId="4EA361B2" w14:textId="77777777" w:rsidR="007F11E7" w:rsidRPr="00300DBB" w:rsidRDefault="007F11E7" w:rsidP="00300DBB">
      <w:pPr>
        <w:spacing w:after="0" w:line="240" w:lineRule="auto"/>
        <w:ind w:left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</w:p>
    <w:p w14:paraId="6CE7C839" w14:textId="77777777" w:rsidR="007F11E7" w:rsidRPr="00300DBB" w:rsidRDefault="00000000" w:rsidP="00300DB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cs="Calibri"/>
          <w:sz w:val="24"/>
          <w:szCs w:val="24"/>
          <w:lang w:eastAsia="zh-CN"/>
        </w:rPr>
      </w:pPr>
      <w:r w:rsidRPr="00300DBB">
        <w:rPr>
          <w:rFonts w:cs="Calibri"/>
          <w:sz w:val="24"/>
          <w:szCs w:val="24"/>
          <w:lang w:eastAsia="zh-CN"/>
        </w:rPr>
        <w:t>Biorąc pod uwagę powyższe, organ kontrolujący stwierdził, że na nieruchomościach oddanych w użytkowanie wieczyste i będących własnością Skarbu Państwa prawidłowo naliczone są stawki procentowe opłat rocznych z tytułu użytkowania wieczystego (0% błędnych przypadków). Dlatego też organ kontrolujący ocenił działalność Starosty w tym zakresie pozytywnie.</w:t>
      </w:r>
    </w:p>
    <w:p w14:paraId="12F91564" w14:textId="77777777" w:rsidR="007F11E7" w:rsidRPr="00300DBB" w:rsidRDefault="007F11E7" w:rsidP="00300DB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sz w:val="24"/>
          <w:szCs w:val="24"/>
          <w:lang w:eastAsia="zh-CN"/>
        </w:rPr>
      </w:pPr>
    </w:p>
    <w:p w14:paraId="78B65958" w14:textId="77777777" w:rsidR="007F11E7" w:rsidRPr="00300DBB" w:rsidRDefault="00000000" w:rsidP="00300DBB">
      <w:pPr>
        <w:numPr>
          <w:ilvl w:val="1"/>
          <w:numId w:val="3"/>
        </w:numPr>
        <w:spacing w:before="240" w:after="360" w:line="240" w:lineRule="auto"/>
        <w:ind w:left="567" w:hanging="567"/>
        <w:contextualSpacing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 xml:space="preserve">Ocena całościowa w zakresie ustanawiania prawa użytkowania wieczystego </w:t>
      </w:r>
      <w:r w:rsidRPr="00300DBB">
        <w:rPr>
          <w:rFonts w:eastAsia="Calibri" w:cs="Calibri"/>
          <w:sz w:val="24"/>
          <w:szCs w:val="24"/>
        </w:rPr>
        <w:br/>
        <w:t>oraz prawidłowego ustalania i stosowania stawek procentowych opłat rocznych z tytułu użytkowania wieczystego.</w:t>
      </w:r>
    </w:p>
    <w:p w14:paraId="068E71C5" w14:textId="77777777" w:rsidR="007F11E7" w:rsidRPr="00300DBB" w:rsidRDefault="007F11E7" w:rsidP="00300DBB">
      <w:pPr>
        <w:spacing w:before="240" w:after="360" w:line="240" w:lineRule="auto"/>
        <w:ind w:left="567"/>
        <w:contextualSpacing/>
        <w:jc w:val="both"/>
        <w:rPr>
          <w:rFonts w:eastAsia="Calibri" w:cs="Calibri"/>
          <w:sz w:val="24"/>
          <w:szCs w:val="24"/>
        </w:rPr>
      </w:pPr>
    </w:p>
    <w:p w14:paraId="21AF3C27" w14:textId="77777777" w:rsidR="007F11E7" w:rsidRDefault="00000000" w:rsidP="00300DBB">
      <w:pPr>
        <w:spacing w:before="240" w:after="240"/>
        <w:jc w:val="both"/>
        <w:rPr>
          <w:rFonts w:eastAsia="Calibri" w:cs="Calibri"/>
          <w:sz w:val="24"/>
          <w:szCs w:val="24"/>
        </w:rPr>
      </w:pPr>
      <w:r w:rsidRPr="00300DBB">
        <w:rPr>
          <w:rFonts w:eastAsia="Calibri" w:cs="Calibri"/>
          <w:sz w:val="24"/>
          <w:szCs w:val="24"/>
        </w:rPr>
        <w:t>Biorąc pod uwagę powyższe mierniki, zespół kontrolujący ocenił gospodarowanie nieruchomościami w przedmiotowym zakresie pozytywnie z nieprawidłowościami.</w:t>
      </w:r>
    </w:p>
    <w:p w14:paraId="5AA376BD" w14:textId="77777777" w:rsidR="007F11E7" w:rsidRPr="00300DBB" w:rsidRDefault="007F11E7" w:rsidP="00300DBB">
      <w:pPr>
        <w:spacing w:before="240" w:after="240"/>
        <w:jc w:val="both"/>
        <w:rPr>
          <w:rFonts w:eastAsia="Calibri" w:cs="Calibri"/>
          <w:sz w:val="24"/>
          <w:szCs w:val="24"/>
        </w:rPr>
      </w:pPr>
    </w:p>
    <w:p w14:paraId="4C0F10F1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Stwierdzone nieprawidłowości:</w:t>
      </w:r>
    </w:p>
    <w:p w14:paraId="7909D70C" w14:textId="77777777" w:rsidR="007F11E7" w:rsidRPr="00300DBB" w:rsidRDefault="00000000" w:rsidP="00300DBB">
      <w:pPr>
        <w:keepNext/>
        <w:spacing w:line="288" w:lineRule="auto"/>
        <w:contextualSpacing/>
        <w:jc w:val="both"/>
        <w:outlineLvl w:val="1"/>
        <w:rPr>
          <w:rFonts w:asciiTheme="minorHAnsi" w:hAnsiTheme="minorHAnsi" w:cstheme="minorHAnsi"/>
          <w:iCs/>
          <w:sz w:val="24"/>
          <w:szCs w:val="24"/>
          <w:lang w:eastAsia="pl-PL"/>
        </w:rPr>
      </w:pPr>
      <w:r w:rsidRPr="00984523">
        <w:rPr>
          <w:rFonts w:asciiTheme="minorHAnsi" w:eastAsia="Calibri" w:hAnsiTheme="minorHAnsi" w:cstheme="minorHAnsi"/>
          <w:sz w:val="24"/>
          <w:szCs w:val="24"/>
        </w:rPr>
        <w:t>Naruszenie przepisów prawa materialnego (art. 73 ust. 2e ugn i 73 ust. 2f ugn) dotyczących prowadzonego postępowania w zakresie zmiany stawki procentowej opłaty rocznej z tytułu użytkowania wieczystego oraz zbyt długie prowadzenie postępowania względem terminów przewidzianych prawem.</w:t>
      </w:r>
    </w:p>
    <w:p w14:paraId="098BDDF9" w14:textId="77777777" w:rsidR="007F11E7" w:rsidRPr="00300DBB" w:rsidRDefault="007F11E7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color w:val="FF0000"/>
          <w:sz w:val="24"/>
          <w:szCs w:val="24"/>
          <w:highlight w:val="yellow"/>
          <w:lang w:eastAsia="pl-PL"/>
        </w:rPr>
      </w:pPr>
    </w:p>
    <w:p w14:paraId="55CF619D" w14:textId="77777777" w:rsidR="007F11E7" w:rsidRPr="00300DBB" w:rsidRDefault="00000000" w:rsidP="00300DBB">
      <w:pPr>
        <w:keepNext/>
        <w:spacing w:after="0" w:line="288" w:lineRule="auto"/>
        <w:jc w:val="both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</w:pPr>
      <w:r w:rsidRPr="00300DBB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Ocena kontrolowanej działalności:</w:t>
      </w:r>
    </w:p>
    <w:p w14:paraId="0FE09ACE" w14:textId="77777777" w:rsidR="007F11E7" w:rsidRDefault="00000000" w:rsidP="00300DBB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300DBB">
        <w:rPr>
          <w:rFonts w:asciiTheme="minorHAnsi" w:eastAsia="Calibri" w:hAnsiTheme="minorHAnsi" w:cstheme="minorHAnsi"/>
          <w:bCs/>
          <w:sz w:val="24"/>
          <w:szCs w:val="24"/>
        </w:rPr>
        <w:t xml:space="preserve">Działalność Starostwa w zakresie przeprowadzonej kontroli ocenia się pozytywnie </w:t>
      </w:r>
      <w:r w:rsidRPr="00300DBB">
        <w:rPr>
          <w:rFonts w:asciiTheme="minorHAnsi" w:eastAsia="Calibri" w:hAnsiTheme="minorHAnsi" w:cstheme="minorHAnsi"/>
          <w:bCs/>
          <w:sz w:val="24"/>
          <w:szCs w:val="24"/>
        </w:rPr>
        <w:br/>
        <w:t xml:space="preserve">z nieprawidłowościami.  </w:t>
      </w:r>
    </w:p>
    <w:p w14:paraId="369F915A" w14:textId="77777777" w:rsidR="007F11E7" w:rsidRPr="00984523" w:rsidRDefault="00000000" w:rsidP="00300DBB">
      <w:pPr>
        <w:keepNext/>
        <w:keepLines/>
        <w:spacing w:before="240" w:after="120"/>
        <w:jc w:val="both"/>
        <w:outlineLvl w:val="1"/>
        <w:rPr>
          <w:rFonts w:asciiTheme="minorHAnsi" w:hAnsiTheme="minorHAnsi" w:cstheme="minorHAnsi"/>
          <w:b/>
          <w:i/>
          <w:iCs/>
          <w:sz w:val="24"/>
          <w:szCs w:val="24"/>
          <w:lang w:eastAsia="pl-PL"/>
        </w:rPr>
      </w:pPr>
      <w:r w:rsidRPr="00984523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Zalecenia/Wnioski:</w:t>
      </w:r>
    </w:p>
    <w:p w14:paraId="2297EC3C" w14:textId="77777777" w:rsidR="007F11E7" w:rsidRPr="00984523" w:rsidRDefault="00000000" w:rsidP="00300DBB">
      <w:pPr>
        <w:jc w:val="both"/>
        <w:rPr>
          <w:rFonts w:asciiTheme="minorHAnsi" w:hAnsiTheme="minorHAnsi" w:cstheme="minorHAnsi"/>
          <w:sz w:val="24"/>
        </w:rPr>
      </w:pPr>
      <w:r w:rsidRPr="00984523">
        <w:rPr>
          <w:rFonts w:asciiTheme="minorHAnsi" w:hAnsiTheme="minorHAnsi" w:cstheme="minorHAnsi"/>
          <w:sz w:val="24"/>
        </w:rPr>
        <w:t>Biorąc pod uwagę powyższe ustalenia, na podstawie art. 46 ust. 3 ustawy o kontroli, zalecam:</w:t>
      </w:r>
    </w:p>
    <w:p w14:paraId="394E78AA" w14:textId="77777777" w:rsidR="007F11E7" w:rsidRPr="00984523" w:rsidRDefault="00000000" w:rsidP="00300DBB">
      <w:pPr>
        <w:numPr>
          <w:ilvl w:val="0"/>
          <w:numId w:val="8"/>
        </w:numPr>
        <w:spacing w:after="240"/>
        <w:ind w:left="425" w:hanging="425"/>
        <w:jc w:val="both"/>
        <w:rPr>
          <w:rFonts w:asciiTheme="minorHAnsi" w:hAnsiTheme="minorHAnsi" w:cstheme="minorHAnsi"/>
          <w:sz w:val="24"/>
        </w:rPr>
      </w:pPr>
      <w:r w:rsidRPr="00984523">
        <w:rPr>
          <w:rFonts w:asciiTheme="minorHAnsi" w:hAnsiTheme="minorHAnsi" w:cstheme="minorHAnsi"/>
          <w:sz w:val="24"/>
        </w:rPr>
        <w:t xml:space="preserve">bezwzględne przestrzeganie przepisów prawa materialnego wynikających z ustawy </w:t>
      </w:r>
      <w:r w:rsidRPr="00984523">
        <w:rPr>
          <w:rFonts w:asciiTheme="minorHAnsi" w:hAnsiTheme="minorHAnsi" w:cstheme="minorHAnsi"/>
          <w:sz w:val="24"/>
        </w:rPr>
        <w:br/>
        <w:t xml:space="preserve">o gospodarce nieruchomościami dotyczących prowadzonych postępowań w zakresie zmiany stawki procentowej opłaty rocznej z tytułu użytkowania wieczystego </w:t>
      </w:r>
      <w:r w:rsidRPr="00984523">
        <w:rPr>
          <w:rFonts w:asciiTheme="minorHAnsi" w:hAnsiTheme="minorHAnsi" w:cstheme="minorHAnsi"/>
          <w:sz w:val="24"/>
        </w:rPr>
        <w:br/>
        <w:t>(w szczególności art. 73 ust. 2e ugn i 73 ust. 2f ugn);</w:t>
      </w:r>
    </w:p>
    <w:p w14:paraId="1277D472" w14:textId="77777777" w:rsidR="007F11E7" w:rsidRPr="00984523" w:rsidRDefault="00000000" w:rsidP="00300DBB">
      <w:pPr>
        <w:numPr>
          <w:ilvl w:val="0"/>
          <w:numId w:val="8"/>
        </w:numPr>
        <w:spacing w:after="240"/>
        <w:ind w:left="425" w:hanging="425"/>
        <w:jc w:val="both"/>
        <w:rPr>
          <w:rFonts w:asciiTheme="minorHAnsi" w:hAnsiTheme="minorHAnsi" w:cstheme="minorHAnsi"/>
          <w:sz w:val="24"/>
        </w:rPr>
      </w:pPr>
      <w:r w:rsidRPr="00984523">
        <w:rPr>
          <w:rFonts w:asciiTheme="minorHAnsi" w:hAnsiTheme="minorHAnsi" w:cstheme="minorHAnsi"/>
          <w:sz w:val="24"/>
        </w:rPr>
        <w:t>zwiększenie nadzoru Naczelnika Wydziału</w:t>
      </w:r>
      <w:r w:rsidRPr="00984523">
        <w:t xml:space="preserve"> </w:t>
      </w:r>
      <w:r w:rsidRPr="00984523">
        <w:rPr>
          <w:rFonts w:asciiTheme="minorHAnsi" w:hAnsiTheme="minorHAnsi" w:cstheme="minorHAnsi"/>
          <w:sz w:val="24"/>
        </w:rPr>
        <w:t>Gospodarki Nieruchomościami nad terminowością prowadzonych przez pracowników wydziału postępowań;</w:t>
      </w:r>
    </w:p>
    <w:p w14:paraId="1A1DE638" w14:textId="77777777" w:rsidR="007F11E7" w:rsidRPr="00984523" w:rsidRDefault="00000000" w:rsidP="00300DBB">
      <w:pPr>
        <w:numPr>
          <w:ilvl w:val="0"/>
          <w:numId w:val="8"/>
        </w:numPr>
        <w:spacing w:after="240"/>
        <w:ind w:left="425" w:hanging="425"/>
        <w:jc w:val="both"/>
        <w:rPr>
          <w:rFonts w:asciiTheme="minorHAnsi" w:hAnsiTheme="minorHAnsi" w:cstheme="minorHAnsi"/>
          <w:sz w:val="24"/>
        </w:rPr>
      </w:pPr>
      <w:r w:rsidRPr="00984523">
        <w:rPr>
          <w:rFonts w:asciiTheme="minorHAnsi" w:hAnsiTheme="minorHAnsi" w:cstheme="minorHAnsi"/>
          <w:sz w:val="24"/>
        </w:rPr>
        <w:t>podjęcie działań i czynności zmierzających do maksymalnego zmniejszenia ilości niezagospodarowanych nieruchomości Skarbu Państwa.</w:t>
      </w:r>
    </w:p>
    <w:p w14:paraId="0815ACCB" w14:textId="77777777" w:rsidR="007F11E7" w:rsidRPr="00300DBB" w:rsidRDefault="00000000" w:rsidP="00300DBB">
      <w:pPr>
        <w:spacing w:after="600"/>
        <w:jc w:val="both"/>
        <w:rPr>
          <w:rFonts w:asciiTheme="minorHAnsi" w:hAnsiTheme="minorHAnsi" w:cstheme="minorHAnsi"/>
          <w:sz w:val="24"/>
        </w:rPr>
      </w:pPr>
      <w:r w:rsidRPr="00332A6B">
        <w:rPr>
          <w:rFonts w:asciiTheme="minorHAnsi" w:hAnsiTheme="minorHAnsi" w:cstheme="minorHAnsi"/>
          <w:sz w:val="24"/>
        </w:rPr>
        <w:t xml:space="preserve">Na podstawie art. 49 w zw. z art. 46 ust. 3 pkt 3 </w:t>
      </w:r>
      <w:r w:rsidRPr="00332A6B">
        <w:rPr>
          <w:rFonts w:asciiTheme="minorHAnsi" w:hAnsiTheme="minorHAnsi" w:cstheme="minorHAnsi"/>
          <w:iCs/>
          <w:sz w:val="24"/>
        </w:rPr>
        <w:t>ustawy o kontroli</w:t>
      </w:r>
      <w:r w:rsidRPr="00332A6B">
        <w:rPr>
          <w:rFonts w:asciiTheme="minorHAnsi" w:hAnsiTheme="minorHAnsi" w:cstheme="minorHAnsi"/>
          <w:sz w:val="24"/>
        </w:rPr>
        <w:t xml:space="preserve"> proszę </w:t>
      </w:r>
      <w:r w:rsidRPr="00332A6B">
        <w:rPr>
          <w:rFonts w:asciiTheme="minorHAnsi" w:hAnsiTheme="minorHAnsi" w:cstheme="minorHAnsi"/>
          <w:sz w:val="24"/>
        </w:rPr>
        <w:br/>
        <w:t xml:space="preserve">o przedstawienie, w terminie miesiąca od daty otrzymania niniejszego dokumentu: informacji o sposobie wykonania zaleceń, informacji o sposobie wykorzystania uwag i wniosków </w:t>
      </w:r>
      <w:r w:rsidRPr="00332A6B">
        <w:rPr>
          <w:rFonts w:asciiTheme="minorHAnsi" w:hAnsiTheme="minorHAnsi" w:cstheme="minorHAnsi"/>
          <w:sz w:val="24"/>
        </w:rPr>
        <w:br/>
        <w:t>lub o przyczynach ich niewykorzystania.</w:t>
      </w:r>
      <w:bookmarkEnd w:id="4"/>
    </w:p>
    <w:p w14:paraId="42928EEF" w14:textId="77777777" w:rsidR="007F11E7" w:rsidRPr="00963F43" w:rsidRDefault="007F11E7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0262E" w14:paraId="1EF4AB90" w14:textId="77777777" w:rsidTr="00963F43">
        <w:trPr>
          <w:trHeight w:val="400"/>
        </w:trPr>
        <w:tc>
          <w:tcPr>
            <w:tcW w:w="4678" w:type="dxa"/>
          </w:tcPr>
          <w:p w14:paraId="0B824098" w14:textId="77777777" w:rsidR="007F11E7" w:rsidRPr="00963F43" w:rsidRDefault="007F11E7" w:rsidP="001E23F5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0262E" w14:paraId="0194677C" w14:textId="77777777" w:rsidTr="00963F43">
        <w:trPr>
          <w:trHeight w:val="1127"/>
        </w:trPr>
        <w:tc>
          <w:tcPr>
            <w:tcW w:w="4678" w:type="dxa"/>
          </w:tcPr>
          <w:p w14:paraId="2B666A76" w14:textId="77777777" w:rsidR="007F11E7" w:rsidRDefault="00000000" w:rsidP="00174D6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8" w:name="ezdPracownikStanowisko"/>
            <w:r>
              <w:rPr>
                <w:rFonts w:asciiTheme="minorHAnsi" w:hAnsiTheme="minorHAnsi"/>
                <w:sz w:val="24"/>
                <w:szCs w:val="24"/>
              </w:rPr>
              <w:t>Wojewoda Pomorski</w:t>
            </w:r>
            <w:bookmarkEnd w:id="18"/>
          </w:p>
          <w:p w14:paraId="130EFEB9" w14:textId="77777777" w:rsidR="007F11E7" w:rsidRPr="00963F43" w:rsidRDefault="007F11E7" w:rsidP="00174D6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414EA81E" w14:textId="77777777" w:rsidR="007F11E7" w:rsidRPr="00963F43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9" w:name="ezdPracownikNazwa"/>
            <w:r w:rsidRPr="00963F43">
              <w:rPr>
                <w:rFonts w:asciiTheme="minorHAnsi" w:hAnsiTheme="minorHAnsi"/>
                <w:sz w:val="24"/>
                <w:szCs w:val="24"/>
              </w:rPr>
              <w:t>Beata Rutkiewicz</w:t>
            </w:r>
            <w:bookmarkEnd w:id="19"/>
          </w:p>
        </w:tc>
      </w:tr>
      <w:tr w:rsidR="0060262E" w14:paraId="4184446E" w14:textId="77777777" w:rsidTr="00963F43">
        <w:trPr>
          <w:trHeight w:val="336"/>
        </w:trPr>
        <w:tc>
          <w:tcPr>
            <w:tcW w:w="4678" w:type="dxa"/>
          </w:tcPr>
          <w:p w14:paraId="3552B8B2" w14:textId="77777777" w:rsidR="007F11E7" w:rsidRPr="00963F43" w:rsidRDefault="00000000" w:rsidP="00684FA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3F43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0A42050C" w14:textId="77777777" w:rsidR="007F11E7" w:rsidRPr="00963F43" w:rsidRDefault="007F11E7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1C84752" w14:textId="77777777" w:rsidR="007F11E7" w:rsidRDefault="007F11E7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sectPr w:rsidR="007F11E7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8352" w14:textId="77777777" w:rsidR="00BD4FC2" w:rsidRDefault="00BD4FC2">
      <w:pPr>
        <w:spacing w:after="0" w:line="240" w:lineRule="auto"/>
      </w:pPr>
      <w:r>
        <w:separator/>
      </w:r>
    </w:p>
  </w:endnote>
  <w:endnote w:type="continuationSeparator" w:id="0">
    <w:p w14:paraId="5FB1832E" w14:textId="77777777" w:rsidR="00BD4FC2" w:rsidRDefault="00BD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2B5D" w14:textId="77777777" w:rsidR="007F11E7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75CB0AA">
        <v:rect id="_x0000_i1025" style="width:0;height:1.5pt" o:hralign="center" o:hrstd="t" o:hr="t" fillcolor="#a0a0a0" stroked="f"/>
      </w:pict>
    </w:r>
  </w:p>
  <w:p w14:paraId="34166B06" w14:textId="77777777" w:rsidR="007F11E7" w:rsidRPr="00174D6C" w:rsidRDefault="00000000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20" w:name="ezdAutorWydzialNazwa_2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20"/>
  </w:p>
  <w:p w14:paraId="5B148FA8" w14:textId="77777777" w:rsidR="007F11E7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3ED80F00" w14:textId="77777777" w:rsidR="007F11E7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21" w:name="ezdAutorWydzialAtrybut1_2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21"/>
  </w:p>
  <w:p w14:paraId="01C44D38" w14:textId="77777777" w:rsidR="007F11E7" w:rsidRPr="00960BC6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 xml:space="preserve">tel.: </w:t>
    </w:r>
    <w:bookmarkStart w:id="22" w:name="ezdAutorWydzialAtrybut2_2"/>
    <w:r w:rsidRPr="00960BC6">
      <w:rPr>
        <w:rFonts w:asciiTheme="minorHAnsi" w:hAnsiTheme="minorHAnsi"/>
        <w:bCs/>
        <w:sz w:val="18"/>
        <w:szCs w:val="18"/>
        <w:lang w:eastAsia="pl-PL"/>
      </w:rPr>
      <w:t>58 30 77 508</w:t>
    </w:r>
    <w:bookmarkEnd w:id="22"/>
    <w:r w:rsidRPr="00960BC6">
      <w:rPr>
        <w:rFonts w:asciiTheme="minorHAnsi" w:hAnsiTheme="minorHAnsi"/>
        <w:bCs/>
        <w:sz w:val="18"/>
        <w:szCs w:val="18"/>
        <w:lang w:eastAsia="pl-PL"/>
      </w:rPr>
      <w:t xml:space="preserve">, e-mail: </w:t>
    </w:r>
    <w:bookmarkStart w:id="23" w:name="ezdAutorWydzialAtrybut3_2"/>
    <w:r w:rsidRPr="00960BC6">
      <w:rPr>
        <w:rFonts w:asciiTheme="minorHAnsi" w:hAnsiTheme="minorHAnsi"/>
        <w:bCs/>
        <w:sz w:val="18"/>
        <w:szCs w:val="18"/>
        <w:lang w:eastAsia="pl-PL"/>
      </w:rPr>
      <w:t>nsp@gdansk.uw.gov.pl</w:t>
    </w:r>
    <w:bookmarkEnd w:id="23"/>
  </w:p>
  <w:p w14:paraId="62D30521" w14:textId="77777777" w:rsidR="007F11E7" w:rsidRPr="00960BC6" w:rsidRDefault="00000000" w:rsidP="00006409">
    <w:pPr>
      <w:spacing w:after="0" w:line="240" w:lineRule="auto"/>
      <w:jc w:val="center"/>
      <w:rPr>
        <w:rFonts w:asciiTheme="minorHAnsi" w:hAnsiTheme="minorHAnsi"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>https://www.gov.pl/web/uw-pomorski</w:t>
    </w:r>
  </w:p>
  <w:p w14:paraId="5478AE23" w14:textId="77777777" w:rsidR="007F11E7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r w:rsidRPr="00174D6C">
      <w:rPr>
        <w:rFonts w:asciiTheme="minorHAnsi" w:hAnsiTheme="minorHAnsi"/>
        <w:sz w:val="18"/>
        <w:szCs w:val="18"/>
        <w:lang w:val="de-DE"/>
      </w:rPr>
      <w:t xml:space="preserve">Strona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38E8" w14:textId="77777777" w:rsidR="007F11E7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8D28094">
        <v:rect id="_x0000_i1027" style="width:0;height:1.5pt" o:hralign="center" o:hrstd="t" o:hr="t" fillcolor="#a0a0a0" stroked="f"/>
      </w:pict>
    </w:r>
  </w:p>
  <w:p w14:paraId="3341EF74" w14:textId="77777777" w:rsidR="007F11E7" w:rsidRPr="00174D6C" w:rsidRDefault="00000000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24" w:name="ezdAutorWydzialNazwa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24"/>
  </w:p>
  <w:p w14:paraId="038C0073" w14:textId="77777777" w:rsidR="007F11E7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2CF9DDF2" w14:textId="77777777" w:rsidR="007F11E7" w:rsidRPr="00174D6C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25" w:name="ezdAutorWydzialAtrybut1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25"/>
  </w:p>
  <w:p w14:paraId="08C4602A" w14:textId="77777777" w:rsidR="007F11E7" w:rsidRPr="00960BC6" w:rsidRDefault="00000000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 xml:space="preserve">tel.: </w:t>
    </w:r>
    <w:bookmarkStart w:id="26" w:name="ezdAutorWydzialAtrybut2"/>
    <w:r w:rsidRPr="00960BC6">
      <w:rPr>
        <w:rFonts w:asciiTheme="minorHAnsi" w:hAnsiTheme="minorHAnsi"/>
        <w:bCs/>
        <w:sz w:val="18"/>
        <w:szCs w:val="18"/>
        <w:lang w:eastAsia="pl-PL"/>
      </w:rPr>
      <w:t>58 30 77 508</w:t>
    </w:r>
    <w:bookmarkEnd w:id="26"/>
    <w:r w:rsidRPr="00960BC6">
      <w:rPr>
        <w:rFonts w:asciiTheme="minorHAnsi" w:hAnsiTheme="minorHAnsi"/>
        <w:bCs/>
        <w:sz w:val="18"/>
        <w:szCs w:val="18"/>
        <w:lang w:eastAsia="pl-PL"/>
      </w:rPr>
      <w:t xml:space="preserve">, e-mail: </w:t>
    </w:r>
    <w:bookmarkStart w:id="27" w:name="ezdAutorWydzialAtrybut3"/>
    <w:r w:rsidRPr="00960BC6">
      <w:rPr>
        <w:rFonts w:asciiTheme="minorHAnsi" w:hAnsiTheme="minorHAnsi"/>
        <w:bCs/>
        <w:sz w:val="18"/>
        <w:szCs w:val="18"/>
        <w:lang w:eastAsia="pl-PL"/>
      </w:rPr>
      <w:t>nsp@gdansk.uw.gov.pl</w:t>
    </w:r>
    <w:bookmarkEnd w:id="27"/>
  </w:p>
  <w:p w14:paraId="70A9D72A" w14:textId="77777777" w:rsidR="007F11E7" w:rsidRPr="00960BC6" w:rsidRDefault="00000000" w:rsidP="00963F43">
    <w:pPr>
      <w:spacing w:after="0" w:line="240" w:lineRule="auto"/>
      <w:jc w:val="center"/>
      <w:rPr>
        <w:rFonts w:asciiTheme="minorHAnsi" w:hAnsiTheme="minorHAnsi"/>
        <w:sz w:val="18"/>
        <w:szCs w:val="18"/>
        <w:lang w:eastAsia="pl-PL"/>
      </w:rPr>
    </w:pPr>
    <w:r w:rsidRPr="00960BC6">
      <w:rPr>
        <w:rFonts w:asciiTheme="minorHAnsi" w:hAnsiTheme="minorHAnsi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3B36" w14:textId="77777777" w:rsidR="00BD4FC2" w:rsidRDefault="00BD4FC2">
      <w:pPr>
        <w:spacing w:after="0" w:line="240" w:lineRule="auto"/>
      </w:pPr>
      <w:r>
        <w:separator/>
      </w:r>
    </w:p>
  </w:footnote>
  <w:footnote w:type="continuationSeparator" w:id="0">
    <w:p w14:paraId="64DB233E" w14:textId="77777777" w:rsidR="00BD4FC2" w:rsidRDefault="00BD4FC2">
      <w:pPr>
        <w:spacing w:after="0" w:line="240" w:lineRule="auto"/>
      </w:pPr>
      <w:r>
        <w:continuationSeparator/>
      </w:r>
    </w:p>
  </w:footnote>
  <w:footnote w:id="1">
    <w:p w14:paraId="2E9B6F1B" w14:textId="77777777" w:rsidR="007F11E7" w:rsidRDefault="00000000" w:rsidP="00300DBB">
      <w:pPr>
        <w:pStyle w:val="Tekstprzypisudolnego"/>
      </w:pPr>
      <w:r w:rsidRPr="00471A04">
        <w:rPr>
          <w:rStyle w:val="Odwoanieprzypisudolnego"/>
        </w:rPr>
        <w:footnoteRef/>
      </w:r>
      <w:r w:rsidRPr="00471A04">
        <w:t xml:space="preserve"> </w:t>
      </w:r>
      <w:r w:rsidRPr="00471A04">
        <w:rPr>
          <w:rFonts w:asciiTheme="minorHAnsi" w:hAnsiTheme="minorHAnsi" w:cstheme="minorHAnsi"/>
        </w:rPr>
        <w:t>Akta kontroli str. 67 – pismo Starosty z dnia 15 stycznia 2025 r.</w:t>
      </w:r>
    </w:p>
  </w:footnote>
  <w:footnote w:id="2">
    <w:p w14:paraId="1C022146" w14:textId="77777777" w:rsidR="007F11E7" w:rsidRPr="005910D6" w:rsidRDefault="00000000" w:rsidP="00300DBB">
      <w:pPr>
        <w:pStyle w:val="Tekstprzypisudolnego"/>
      </w:pPr>
      <w:r w:rsidRPr="005910D6">
        <w:rPr>
          <w:rStyle w:val="Odwoanieprzypisudolnego"/>
        </w:rPr>
        <w:footnoteRef/>
      </w:r>
      <w:r w:rsidRPr="005910D6">
        <w:t xml:space="preserve"> </w:t>
      </w:r>
      <w:bookmarkStart w:id="10" w:name="_Hlk211426348"/>
      <w:r w:rsidRPr="005910D6">
        <w:rPr>
          <w:rFonts w:asciiTheme="minorHAnsi" w:hAnsiTheme="minorHAnsi" w:cstheme="minorHAnsi"/>
        </w:rPr>
        <w:t>Akta kontroli str. 67 – pismo Starosty z dnia 15 stycznia 2025 r.</w:t>
      </w:r>
      <w:bookmarkEnd w:id="10"/>
    </w:p>
  </w:footnote>
  <w:footnote w:id="3">
    <w:p w14:paraId="18C33254" w14:textId="77777777" w:rsidR="007F11E7" w:rsidRPr="0046708F" w:rsidRDefault="00000000" w:rsidP="00300DBB">
      <w:pPr>
        <w:pStyle w:val="Tekstprzypisudolnego"/>
        <w:rPr>
          <w:rFonts w:asciiTheme="minorHAnsi" w:hAnsiTheme="minorHAnsi" w:cstheme="minorHAnsi"/>
          <w:highlight w:val="yellow"/>
        </w:rPr>
      </w:pPr>
      <w:r w:rsidRPr="005910D6">
        <w:rPr>
          <w:rStyle w:val="Odwoanieprzypisudolnego"/>
        </w:rPr>
        <w:footnoteRef/>
      </w:r>
      <w:r w:rsidRPr="005910D6">
        <w:t xml:space="preserve"> </w:t>
      </w:r>
      <w:r w:rsidRPr="005910D6">
        <w:rPr>
          <w:rFonts w:asciiTheme="minorHAnsi" w:hAnsiTheme="minorHAnsi" w:cstheme="minorHAnsi"/>
        </w:rPr>
        <w:t>Akta</w:t>
      </w:r>
      <w:r w:rsidRPr="00AE50ED">
        <w:rPr>
          <w:rFonts w:asciiTheme="minorHAnsi" w:hAnsiTheme="minorHAnsi" w:cstheme="minorHAnsi"/>
        </w:rPr>
        <w:t xml:space="preserve"> kontroli str. </w:t>
      </w:r>
      <w:r>
        <w:rPr>
          <w:rFonts w:asciiTheme="minorHAnsi" w:hAnsiTheme="minorHAnsi" w:cstheme="minorHAnsi"/>
        </w:rPr>
        <w:t xml:space="preserve">51 - 64 </w:t>
      </w:r>
      <w:r w:rsidRPr="00AE50E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zakresy obowiązków</w:t>
      </w:r>
    </w:p>
  </w:footnote>
  <w:footnote w:id="4">
    <w:p w14:paraId="136E8753" w14:textId="77777777" w:rsidR="007F11E7" w:rsidRPr="00331740" w:rsidRDefault="00000000" w:rsidP="00300DBB">
      <w:pPr>
        <w:pStyle w:val="Tekstprzypisudolnego"/>
        <w:rPr>
          <w:rFonts w:asciiTheme="minorHAnsi" w:hAnsiTheme="minorHAnsi" w:cstheme="minorHAnsi"/>
        </w:rPr>
      </w:pPr>
      <w:r w:rsidRPr="00AE50ED">
        <w:rPr>
          <w:rStyle w:val="Odwoanieprzypisudolnego"/>
        </w:rPr>
        <w:footnoteRef/>
      </w:r>
      <w:r w:rsidRPr="00AE50ED">
        <w:t xml:space="preserve"> </w:t>
      </w:r>
      <w:r w:rsidRPr="00AE50ED">
        <w:rPr>
          <w:rFonts w:asciiTheme="minorHAnsi" w:hAnsiTheme="minorHAnsi" w:cstheme="minorHAnsi"/>
        </w:rPr>
        <w:t xml:space="preserve">Akta kontroli str. </w:t>
      </w:r>
      <w:r>
        <w:rPr>
          <w:rFonts w:asciiTheme="minorHAnsi" w:hAnsiTheme="minorHAnsi" w:cstheme="minorHAnsi"/>
        </w:rPr>
        <w:t>18</w:t>
      </w:r>
      <w:r w:rsidRPr="00AE50E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zestawienie spraw użytkowania wieczystego</w:t>
      </w:r>
    </w:p>
  </w:footnote>
  <w:footnote w:id="5">
    <w:p w14:paraId="124A4795" w14:textId="77777777" w:rsidR="007F11E7" w:rsidRPr="00471A04" w:rsidRDefault="00000000" w:rsidP="00300DBB">
      <w:pPr>
        <w:pStyle w:val="Tekstprzypisudolnego"/>
        <w:rPr>
          <w:rFonts w:asciiTheme="minorHAnsi" w:hAnsiTheme="minorHAnsi" w:cstheme="minorHAnsi"/>
          <w:highlight w:val="yellow"/>
        </w:rPr>
      </w:pPr>
      <w:r w:rsidRPr="00FA024E">
        <w:rPr>
          <w:rStyle w:val="Odwoanieprzypisudolnego"/>
          <w:rFonts w:asciiTheme="minorHAnsi" w:hAnsiTheme="minorHAnsi" w:cstheme="minorHAnsi"/>
        </w:rPr>
        <w:footnoteRef/>
      </w:r>
      <w:r w:rsidRPr="00FA024E">
        <w:rPr>
          <w:rFonts w:asciiTheme="minorHAnsi" w:hAnsiTheme="minorHAnsi" w:cstheme="minorHAnsi"/>
        </w:rPr>
        <w:t xml:space="preserve"> Akta kontroli str. 9-10 - Zawiadomienie o kontroli</w:t>
      </w:r>
    </w:p>
  </w:footnote>
  <w:footnote w:id="6">
    <w:p w14:paraId="46A8DD18" w14:textId="77777777" w:rsidR="007F11E7" w:rsidRPr="00FA024E" w:rsidRDefault="00000000" w:rsidP="00300DBB">
      <w:pPr>
        <w:pStyle w:val="Tekstprzypisudolnego"/>
        <w:rPr>
          <w:rFonts w:asciiTheme="minorHAnsi" w:hAnsiTheme="minorHAnsi" w:cstheme="minorHAnsi"/>
        </w:rPr>
      </w:pPr>
      <w:r w:rsidRPr="00FA024E">
        <w:rPr>
          <w:rStyle w:val="Odwoanieprzypisudolnego"/>
          <w:rFonts w:asciiTheme="minorHAnsi" w:hAnsiTheme="minorHAnsi" w:cstheme="minorHAnsi"/>
        </w:rPr>
        <w:footnoteRef/>
      </w:r>
      <w:r w:rsidRPr="00FA024E">
        <w:rPr>
          <w:rFonts w:asciiTheme="minorHAnsi" w:hAnsiTheme="minorHAnsi" w:cstheme="minorHAnsi"/>
        </w:rPr>
        <w:t xml:space="preserve"> Akta kontroli str. 21 – dane przesłane przez </w:t>
      </w:r>
      <w:r>
        <w:rPr>
          <w:rFonts w:asciiTheme="minorHAnsi" w:hAnsiTheme="minorHAnsi" w:cstheme="minorHAnsi"/>
        </w:rPr>
        <w:t>Starostę</w:t>
      </w:r>
      <w:r w:rsidRPr="00FA024E">
        <w:rPr>
          <w:rFonts w:asciiTheme="minorHAnsi" w:hAnsiTheme="minorHAnsi" w:cstheme="minorHAnsi"/>
        </w:rPr>
        <w:t xml:space="preserve"> w odp. na zawiadomienie o kontroli</w:t>
      </w:r>
    </w:p>
  </w:footnote>
  <w:footnote w:id="7">
    <w:p w14:paraId="5736C3E0" w14:textId="77777777" w:rsidR="007F11E7" w:rsidRPr="00471A04" w:rsidRDefault="00000000" w:rsidP="00300DBB">
      <w:pPr>
        <w:pStyle w:val="Tekstprzypisudolnego"/>
        <w:rPr>
          <w:rFonts w:asciiTheme="minorHAnsi" w:hAnsiTheme="minorHAnsi" w:cstheme="minorHAnsi"/>
          <w:highlight w:val="yellow"/>
        </w:rPr>
      </w:pPr>
      <w:r w:rsidRPr="00024DCB">
        <w:rPr>
          <w:rStyle w:val="Odwoanieprzypisudolnego"/>
          <w:rFonts w:asciiTheme="minorHAnsi" w:hAnsiTheme="minorHAnsi" w:cstheme="minorHAnsi"/>
        </w:rPr>
        <w:footnoteRef/>
      </w:r>
      <w:r w:rsidRPr="00024DCB">
        <w:rPr>
          <w:rFonts w:asciiTheme="minorHAnsi" w:hAnsiTheme="minorHAnsi" w:cstheme="minorHAnsi"/>
        </w:rPr>
        <w:t xml:space="preserve"> Akta kontroli str. 69 – poprawione dane przesłane przez Starostę</w:t>
      </w:r>
    </w:p>
  </w:footnote>
  <w:footnote w:id="8">
    <w:p w14:paraId="6B054043" w14:textId="77777777" w:rsidR="007F11E7" w:rsidRPr="00471A04" w:rsidRDefault="00000000" w:rsidP="00300DBB">
      <w:pPr>
        <w:pStyle w:val="Tekstprzypisudolnego"/>
        <w:rPr>
          <w:highlight w:val="yellow"/>
        </w:rPr>
      </w:pPr>
      <w:r w:rsidRPr="00024DCB">
        <w:rPr>
          <w:rStyle w:val="Odwoanieprzypisudolnego"/>
          <w:rFonts w:asciiTheme="minorHAnsi" w:hAnsiTheme="minorHAnsi" w:cstheme="minorHAnsi"/>
        </w:rPr>
        <w:footnoteRef/>
      </w:r>
      <w:r w:rsidRPr="00024DCB">
        <w:rPr>
          <w:rFonts w:asciiTheme="minorHAnsi" w:hAnsiTheme="minorHAnsi" w:cstheme="minorHAnsi"/>
        </w:rPr>
        <w:t xml:space="preserve"> Akta kontroli str. 37-45 – Program kontroli</w:t>
      </w:r>
    </w:p>
  </w:footnote>
  <w:footnote w:id="9">
    <w:p w14:paraId="437F4D04" w14:textId="77777777" w:rsidR="007F11E7" w:rsidRPr="005E02EE" w:rsidRDefault="00000000" w:rsidP="00300DBB">
      <w:pPr>
        <w:pStyle w:val="Tekstprzypisudolnego"/>
        <w:rPr>
          <w:rFonts w:asciiTheme="minorHAnsi" w:hAnsiTheme="minorHAnsi" w:cstheme="minorHAnsi"/>
          <w:highlight w:val="yellow"/>
        </w:rPr>
      </w:pPr>
      <w:r w:rsidRPr="00FA024E">
        <w:rPr>
          <w:rStyle w:val="Odwoanieprzypisudolnego"/>
          <w:rFonts w:asciiTheme="minorHAnsi" w:hAnsiTheme="minorHAnsi" w:cstheme="minorHAnsi"/>
        </w:rPr>
        <w:footnoteRef/>
      </w:r>
      <w:r w:rsidRPr="00FA024E">
        <w:rPr>
          <w:rFonts w:asciiTheme="minorHAnsi" w:hAnsiTheme="minorHAnsi" w:cstheme="minorHAnsi"/>
        </w:rPr>
        <w:t xml:space="preserve"> </w:t>
      </w:r>
      <w:r w:rsidRPr="005E02EE">
        <w:rPr>
          <w:rFonts w:asciiTheme="minorHAnsi" w:hAnsiTheme="minorHAnsi" w:cstheme="minorHAnsi"/>
        </w:rPr>
        <w:t>Akta kontroli str. 9-10 - Zawiadomienie o kontroli</w:t>
      </w:r>
    </w:p>
  </w:footnote>
  <w:footnote w:id="10">
    <w:p w14:paraId="05BA63E7" w14:textId="77777777" w:rsidR="007F11E7" w:rsidRPr="005E02EE" w:rsidRDefault="00000000" w:rsidP="00300DBB">
      <w:pPr>
        <w:pStyle w:val="Tekstprzypisudolnego"/>
        <w:rPr>
          <w:rFonts w:asciiTheme="minorHAnsi" w:hAnsiTheme="minorHAnsi" w:cstheme="minorHAnsi"/>
        </w:rPr>
      </w:pPr>
      <w:r w:rsidRPr="005E02EE">
        <w:rPr>
          <w:rStyle w:val="Odwoanieprzypisudolnego"/>
          <w:rFonts w:asciiTheme="minorHAnsi" w:hAnsiTheme="minorHAnsi" w:cstheme="minorHAnsi"/>
        </w:rPr>
        <w:footnoteRef/>
      </w:r>
      <w:r w:rsidRPr="005E02EE">
        <w:rPr>
          <w:rFonts w:asciiTheme="minorHAnsi" w:hAnsiTheme="minorHAnsi" w:cstheme="minorHAnsi"/>
        </w:rPr>
        <w:t xml:space="preserve"> Akta kontroli str. 21 – dane przesłane przez Starostę w odp. na zawiadomienie o kontroli</w:t>
      </w:r>
    </w:p>
  </w:footnote>
  <w:footnote w:id="11">
    <w:p w14:paraId="5A975967" w14:textId="77777777" w:rsidR="007F11E7" w:rsidRPr="005E02EE" w:rsidRDefault="00000000" w:rsidP="00300DBB">
      <w:pPr>
        <w:pStyle w:val="Tekstprzypisudolnego"/>
        <w:rPr>
          <w:rFonts w:asciiTheme="minorHAnsi" w:hAnsiTheme="minorHAnsi" w:cstheme="minorHAnsi"/>
          <w:highlight w:val="yellow"/>
        </w:rPr>
      </w:pPr>
      <w:r w:rsidRPr="005E02EE">
        <w:rPr>
          <w:rStyle w:val="Odwoanieprzypisudolnego"/>
          <w:rFonts w:asciiTheme="minorHAnsi" w:hAnsiTheme="minorHAnsi" w:cstheme="minorHAnsi"/>
        </w:rPr>
        <w:footnoteRef/>
      </w:r>
      <w:r w:rsidRPr="005E02EE">
        <w:rPr>
          <w:rFonts w:asciiTheme="minorHAnsi" w:hAnsiTheme="minorHAnsi" w:cstheme="minorHAnsi"/>
        </w:rPr>
        <w:t xml:space="preserve"> Akta kontroli str. 69 – poprawione dane przesłane przez Starostę</w:t>
      </w:r>
    </w:p>
  </w:footnote>
  <w:footnote w:id="12">
    <w:p w14:paraId="7B4D9F01" w14:textId="77777777" w:rsidR="007F11E7" w:rsidRPr="005E02EE" w:rsidRDefault="00000000" w:rsidP="00300DBB">
      <w:pPr>
        <w:pStyle w:val="Tekstprzypisudolnego"/>
        <w:rPr>
          <w:rFonts w:asciiTheme="minorHAnsi" w:hAnsiTheme="minorHAnsi" w:cstheme="minorHAnsi"/>
        </w:rPr>
      </w:pPr>
      <w:r w:rsidRPr="005E02EE">
        <w:rPr>
          <w:rStyle w:val="Odwoanieprzypisudolnego"/>
          <w:rFonts w:asciiTheme="minorHAnsi" w:hAnsiTheme="minorHAnsi" w:cstheme="minorHAnsi"/>
        </w:rPr>
        <w:footnoteRef/>
      </w:r>
      <w:r w:rsidRPr="005E02EE">
        <w:rPr>
          <w:rFonts w:asciiTheme="minorHAnsi" w:hAnsiTheme="minorHAnsi" w:cstheme="minorHAnsi"/>
        </w:rPr>
        <w:t xml:space="preserve"> Akta kontroli str. 109-115 – wyjaśnienia Starosty</w:t>
      </w:r>
    </w:p>
  </w:footnote>
  <w:footnote w:id="13">
    <w:p w14:paraId="6BD9DA5A" w14:textId="77777777" w:rsidR="007F11E7" w:rsidRPr="00FA024E" w:rsidRDefault="00000000" w:rsidP="00300DBB">
      <w:pPr>
        <w:pStyle w:val="Tekstprzypisudolnego"/>
      </w:pPr>
      <w:r w:rsidRPr="005E02EE">
        <w:rPr>
          <w:rStyle w:val="Odwoanieprzypisudolnego"/>
          <w:rFonts w:asciiTheme="minorHAnsi" w:hAnsiTheme="minorHAnsi" w:cstheme="minorHAnsi"/>
        </w:rPr>
        <w:footnoteRef/>
      </w:r>
      <w:r w:rsidRPr="005E02EE">
        <w:rPr>
          <w:rFonts w:asciiTheme="minorHAnsi" w:hAnsiTheme="minorHAnsi" w:cstheme="minorHAnsi"/>
        </w:rPr>
        <w:t xml:space="preserve"> </w:t>
      </w:r>
      <w:bookmarkStart w:id="15" w:name="_Hlk212637830"/>
      <w:r w:rsidRPr="005E02EE">
        <w:rPr>
          <w:rFonts w:asciiTheme="minorHAnsi" w:hAnsiTheme="minorHAnsi" w:cstheme="minorHAnsi"/>
        </w:rPr>
        <w:t>Akta kontroli str. 37-45 – Program kontroli</w:t>
      </w:r>
      <w:bookmarkEnd w:id="15"/>
    </w:p>
  </w:footnote>
  <w:footnote w:id="14">
    <w:p w14:paraId="1F9AAB9A" w14:textId="77777777" w:rsidR="007F11E7" w:rsidRPr="00591BF9" w:rsidRDefault="00000000" w:rsidP="00300DBB">
      <w:pPr>
        <w:pStyle w:val="Tekstprzypisudolnego"/>
        <w:rPr>
          <w:rFonts w:asciiTheme="minorHAnsi" w:hAnsiTheme="minorHAnsi" w:cstheme="minorHAnsi"/>
        </w:rPr>
      </w:pPr>
      <w:r w:rsidRPr="00591BF9">
        <w:rPr>
          <w:rStyle w:val="Odwoanieprzypisudolnego"/>
          <w:rFonts w:asciiTheme="minorHAnsi" w:hAnsiTheme="minorHAnsi" w:cstheme="minorHAnsi"/>
        </w:rPr>
        <w:footnoteRef/>
      </w:r>
      <w:r w:rsidRPr="00591BF9">
        <w:rPr>
          <w:rFonts w:asciiTheme="minorHAnsi" w:hAnsiTheme="minorHAnsi" w:cstheme="minorHAnsi"/>
        </w:rPr>
        <w:t xml:space="preserve"> Akta kontroli str. 109-115 – wyjaśnienia Starosty</w:t>
      </w:r>
    </w:p>
  </w:footnote>
  <w:footnote w:id="15">
    <w:p w14:paraId="0BB604FF" w14:textId="77777777" w:rsidR="007F11E7" w:rsidRPr="003C4ADD" w:rsidRDefault="00000000" w:rsidP="00300DBB">
      <w:pPr>
        <w:pStyle w:val="Tekstprzypisudolnego"/>
        <w:rPr>
          <w:rFonts w:asciiTheme="minorHAnsi" w:hAnsiTheme="minorHAnsi" w:cstheme="minorHAnsi"/>
        </w:rPr>
      </w:pPr>
      <w:r w:rsidRPr="003C4ADD">
        <w:rPr>
          <w:rStyle w:val="Odwoanieprzypisudolnego"/>
          <w:rFonts w:asciiTheme="minorHAnsi" w:hAnsiTheme="minorHAnsi" w:cstheme="minorHAnsi"/>
        </w:rPr>
        <w:footnoteRef/>
      </w:r>
      <w:r w:rsidRPr="003C4ADD">
        <w:rPr>
          <w:rFonts w:asciiTheme="minorHAnsi" w:hAnsiTheme="minorHAnsi" w:cstheme="minorHAnsi"/>
        </w:rPr>
        <w:t xml:space="preserve"> Akta kontroli str. 73</w:t>
      </w:r>
      <w:r>
        <w:rPr>
          <w:rFonts w:asciiTheme="minorHAnsi" w:hAnsiTheme="minorHAnsi" w:cstheme="minorHAnsi"/>
        </w:rPr>
        <w:t xml:space="preserve"> – tabela z opisem sprawy</w:t>
      </w:r>
    </w:p>
  </w:footnote>
  <w:footnote w:id="16">
    <w:p w14:paraId="60EA5A24" w14:textId="77777777" w:rsidR="007F11E7" w:rsidRDefault="00000000" w:rsidP="00300D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F2002">
        <w:rPr>
          <w:rFonts w:asciiTheme="minorHAnsi" w:hAnsiTheme="minorHAnsi" w:cstheme="minorHAnsi"/>
        </w:rPr>
        <w:t>Akta kontroli str. 37-45 – Program kontroli</w:t>
      </w:r>
    </w:p>
  </w:footnote>
  <w:footnote w:id="17">
    <w:p w14:paraId="1990F710" w14:textId="77777777" w:rsidR="007F11E7" w:rsidRPr="00471A04" w:rsidRDefault="00000000" w:rsidP="00300DBB">
      <w:pPr>
        <w:pStyle w:val="Tekstprzypisudolnego"/>
        <w:rPr>
          <w:rFonts w:asciiTheme="minorHAnsi" w:hAnsiTheme="minorHAnsi" w:cstheme="minorHAnsi"/>
          <w:highlight w:val="yellow"/>
        </w:rPr>
      </w:pPr>
      <w:r w:rsidRPr="00FA024E">
        <w:rPr>
          <w:rStyle w:val="Odwoanieprzypisudolnego"/>
          <w:rFonts w:asciiTheme="minorHAnsi" w:hAnsiTheme="minorHAnsi" w:cstheme="minorHAnsi"/>
        </w:rPr>
        <w:footnoteRef/>
      </w:r>
      <w:r w:rsidRPr="00FA024E">
        <w:rPr>
          <w:rFonts w:asciiTheme="minorHAnsi" w:hAnsiTheme="minorHAnsi" w:cstheme="minorHAnsi"/>
        </w:rPr>
        <w:t xml:space="preserve"> Akta kontroli str. 9-10 - Zawiadomienie o kontroli</w:t>
      </w:r>
    </w:p>
  </w:footnote>
  <w:footnote w:id="18">
    <w:p w14:paraId="6962EE70" w14:textId="77777777" w:rsidR="007F11E7" w:rsidRPr="00FA024E" w:rsidRDefault="00000000" w:rsidP="00300DBB">
      <w:pPr>
        <w:pStyle w:val="Tekstprzypisudolnego"/>
        <w:rPr>
          <w:rFonts w:asciiTheme="minorHAnsi" w:hAnsiTheme="minorHAnsi" w:cstheme="minorHAnsi"/>
        </w:rPr>
      </w:pPr>
      <w:r w:rsidRPr="00FA024E">
        <w:rPr>
          <w:rStyle w:val="Odwoanieprzypisudolnego"/>
          <w:rFonts w:asciiTheme="minorHAnsi" w:hAnsiTheme="minorHAnsi" w:cstheme="minorHAnsi"/>
        </w:rPr>
        <w:footnoteRef/>
      </w:r>
      <w:r w:rsidRPr="00FA024E">
        <w:rPr>
          <w:rFonts w:asciiTheme="minorHAnsi" w:hAnsiTheme="minorHAnsi" w:cstheme="minorHAnsi"/>
        </w:rPr>
        <w:t xml:space="preserve"> Akta kontroli str. 21 – dane przesłane przez </w:t>
      </w:r>
      <w:r>
        <w:rPr>
          <w:rFonts w:asciiTheme="minorHAnsi" w:hAnsiTheme="minorHAnsi" w:cstheme="minorHAnsi"/>
        </w:rPr>
        <w:t>Starostę</w:t>
      </w:r>
      <w:r w:rsidRPr="00FA024E">
        <w:rPr>
          <w:rFonts w:asciiTheme="minorHAnsi" w:hAnsiTheme="minorHAnsi" w:cstheme="minorHAnsi"/>
        </w:rPr>
        <w:t xml:space="preserve"> w odp. na zawiadomienie o kontroli</w:t>
      </w:r>
    </w:p>
  </w:footnote>
  <w:footnote w:id="19">
    <w:p w14:paraId="13621F6C" w14:textId="77777777" w:rsidR="007F11E7" w:rsidRPr="00471A04" w:rsidRDefault="00000000" w:rsidP="00300DBB">
      <w:pPr>
        <w:pStyle w:val="Tekstprzypisudolnego"/>
        <w:rPr>
          <w:rFonts w:asciiTheme="minorHAnsi" w:hAnsiTheme="minorHAnsi" w:cstheme="minorHAnsi"/>
          <w:highlight w:val="yellow"/>
        </w:rPr>
      </w:pPr>
      <w:r w:rsidRPr="00024DCB">
        <w:rPr>
          <w:rStyle w:val="Odwoanieprzypisudolnego"/>
          <w:rFonts w:asciiTheme="minorHAnsi" w:hAnsiTheme="minorHAnsi" w:cstheme="minorHAnsi"/>
        </w:rPr>
        <w:footnoteRef/>
      </w:r>
      <w:r w:rsidRPr="00024DCB">
        <w:rPr>
          <w:rFonts w:asciiTheme="minorHAnsi" w:hAnsiTheme="minorHAnsi" w:cstheme="minorHAnsi"/>
        </w:rPr>
        <w:t xml:space="preserve"> Akta kontroli str. 69 – poprawione dane przesłane przez Starostę</w:t>
      </w:r>
    </w:p>
  </w:footnote>
  <w:footnote w:id="20">
    <w:p w14:paraId="365C38D1" w14:textId="77777777" w:rsidR="007F11E7" w:rsidRPr="00567AF9" w:rsidRDefault="00000000" w:rsidP="00300DBB">
      <w:pPr>
        <w:pStyle w:val="Tekstprzypisudolnego"/>
        <w:rPr>
          <w:rFonts w:asciiTheme="minorHAnsi" w:hAnsiTheme="minorHAnsi" w:cstheme="minorHAnsi"/>
        </w:rPr>
      </w:pPr>
      <w:r w:rsidRPr="006B55ED">
        <w:rPr>
          <w:rStyle w:val="Odwoanieprzypisudolnego"/>
          <w:rFonts w:asciiTheme="minorHAnsi" w:hAnsiTheme="minorHAnsi" w:cstheme="minorHAnsi"/>
        </w:rPr>
        <w:footnoteRef/>
      </w:r>
      <w:r w:rsidRPr="006B55ED">
        <w:rPr>
          <w:rFonts w:asciiTheme="minorHAnsi" w:hAnsiTheme="minorHAnsi" w:cstheme="minorHAnsi"/>
        </w:rPr>
        <w:t xml:space="preserve"> Akta kontroli str. 107-110 – analiza skorowidza działek oddanych w użytkowanie wieczyste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6CD4" w14:textId="77777777" w:rsidR="007F11E7" w:rsidRDefault="007F11E7">
    <w:pPr>
      <w:pStyle w:val="Nagwek"/>
    </w:pPr>
  </w:p>
  <w:p w14:paraId="2141ECFD" w14:textId="77777777" w:rsidR="007F11E7" w:rsidRDefault="007F1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385E" w14:textId="77777777" w:rsidR="007F11E7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19F23BCF" wp14:editId="7CED23B3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74704" w14:textId="77777777" w:rsidR="007F11E7" w:rsidRPr="0009348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Theme="minorHAnsi" w:hAnsiTheme="minorHAnsi"/>
        <w:b/>
        <w:sz w:val="28"/>
        <w:szCs w:val="24"/>
      </w:rPr>
    </w:pPr>
    <w:r w:rsidRPr="00093484">
      <w:rPr>
        <w:rFonts w:asciiTheme="minorHAnsi" w:hAnsiTheme="minorHAnsi"/>
        <w:b/>
        <w:sz w:val="28"/>
        <w:szCs w:val="24"/>
      </w:rPr>
      <w:t>Wojewoda Pomorski</w:t>
    </w:r>
  </w:p>
  <w:p w14:paraId="720C2843" w14:textId="77777777" w:rsidR="007F11E7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307F9060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25F8"/>
    <w:multiLevelType w:val="hybridMultilevel"/>
    <w:tmpl w:val="CC740846"/>
    <w:lvl w:ilvl="0" w:tplc="D0F83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6B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E7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09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CC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2C7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41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00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01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A94"/>
    <w:multiLevelType w:val="hybridMultilevel"/>
    <w:tmpl w:val="70F4E3A6"/>
    <w:lvl w:ilvl="0" w:tplc="1F5C8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880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CF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49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6F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122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47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877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C3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52D2E"/>
    <w:multiLevelType w:val="hybridMultilevel"/>
    <w:tmpl w:val="14E62920"/>
    <w:lvl w:ilvl="0" w:tplc="8C483CA8">
      <w:start w:val="1"/>
      <w:numFmt w:val="decimal"/>
      <w:lvlText w:val="%1."/>
      <w:lvlJc w:val="left"/>
      <w:pPr>
        <w:ind w:left="785" w:hanging="360"/>
      </w:pPr>
    </w:lvl>
    <w:lvl w:ilvl="1" w:tplc="70A26CDE" w:tentative="1">
      <w:start w:val="1"/>
      <w:numFmt w:val="lowerLetter"/>
      <w:lvlText w:val="%2."/>
      <w:lvlJc w:val="left"/>
      <w:pPr>
        <w:ind w:left="1505" w:hanging="360"/>
      </w:pPr>
    </w:lvl>
    <w:lvl w:ilvl="2" w:tplc="F48656C4" w:tentative="1">
      <w:start w:val="1"/>
      <w:numFmt w:val="lowerRoman"/>
      <w:lvlText w:val="%3."/>
      <w:lvlJc w:val="right"/>
      <w:pPr>
        <w:ind w:left="2225" w:hanging="180"/>
      </w:pPr>
    </w:lvl>
    <w:lvl w:ilvl="3" w:tplc="1C786E8A" w:tentative="1">
      <w:start w:val="1"/>
      <w:numFmt w:val="decimal"/>
      <w:lvlText w:val="%4."/>
      <w:lvlJc w:val="left"/>
      <w:pPr>
        <w:ind w:left="2945" w:hanging="360"/>
      </w:pPr>
    </w:lvl>
    <w:lvl w:ilvl="4" w:tplc="29D8C286" w:tentative="1">
      <w:start w:val="1"/>
      <w:numFmt w:val="lowerLetter"/>
      <w:lvlText w:val="%5."/>
      <w:lvlJc w:val="left"/>
      <w:pPr>
        <w:ind w:left="3665" w:hanging="360"/>
      </w:pPr>
    </w:lvl>
    <w:lvl w:ilvl="5" w:tplc="3DF2D640" w:tentative="1">
      <w:start w:val="1"/>
      <w:numFmt w:val="lowerRoman"/>
      <w:lvlText w:val="%6."/>
      <w:lvlJc w:val="right"/>
      <w:pPr>
        <w:ind w:left="4385" w:hanging="180"/>
      </w:pPr>
    </w:lvl>
    <w:lvl w:ilvl="6" w:tplc="EB28F3EE" w:tentative="1">
      <w:start w:val="1"/>
      <w:numFmt w:val="decimal"/>
      <w:lvlText w:val="%7."/>
      <w:lvlJc w:val="left"/>
      <w:pPr>
        <w:ind w:left="5105" w:hanging="360"/>
      </w:pPr>
    </w:lvl>
    <w:lvl w:ilvl="7" w:tplc="9FB8C8B0" w:tentative="1">
      <w:start w:val="1"/>
      <w:numFmt w:val="lowerLetter"/>
      <w:lvlText w:val="%8."/>
      <w:lvlJc w:val="left"/>
      <w:pPr>
        <w:ind w:left="5825" w:hanging="360"/>
      </w:pPr>
    </w:lvl>
    <w:lvl w:ilvl="8" w:tplc="AC6895D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1D1BB8"/>
    <w:multiLevelType w:val="hybridMultilevel"/>
    <w:tmpl w:val="56CE7CA2"/>
    <w:lvl w:ilvl="0" w:tplc="72DCE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44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1A3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A0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C4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00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8A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6C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ACE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36C9"/>
    <w:multiLevelType w:val="hybridMultilevel"/>
    <w:tmpl w:val="FDD8075A"/>
    <w:lvl w:ilvl="0" w:tplc="A01CE302">
      <w:start w:val="1"/>
      <w:numFmt w:val="decimal"/>
      <w:lvlText w:val="%1)"/>
      <w:lvlJc w:val="left"/>
      <w:pPr>
        <w:ind w:left="720" w:hanging="360"/>
      </w:pPr>
    </w:lvl>
    <w:lvl w:ilvl="1" w:tplc="84401116" w:tentative="1">
      <w:start w:val="1"/>
      <w:numFmt w:val="lowerLetter"/>
      <w:lvlText w:val="%2."/>
      <w:lvlJc w:val="left"/>
      <w:pPr>
        <w:ind w:left="1440" w:hanging="360"/>
      </w:pPr>
    </w:lvl>
    <w:lvl w:ilvl="2" w:tplc="D62603F6" w:tentative="1">
      <w:start w:val="1"/>
      <w:numFmt w:val="lowerRoman"/>
      <w:lvlText w:val="%3."/>
      <w:lvlJc w:val="right"/>
      <w:pPr>
        <w:ind w:left="2160" w:hanging="180"/>
      </w:pPr>
    </w:lvl>
    <w:lvl w:ilvl="3" w:tplc="6D52470C" w:tentative="1">
      <w:start w:val="1"/>
      <w:numFmt w:val="decimal"/>
      <w:lvlText w:val="%4."/>
      <w:lvlJc w:val="left"/>
      <w:pPr>
        <w:ind w:left="2880" w:hanging="360"/>
      </w:pPr>
    </w:lvl>
    <w:lvl w:ilvl="4" w:tplc="F27AE072" w:tentative="1">
      <w:start w:val="1"/>
      <w:numFmt w:val="lowerLetter"/>
      <w:lvlText w:val="%5."/>
      <w:lvlJc w:val="left"/>
      <w:pPr>
        <w:ind w:left="3600" w:hanging="360"/>
      </w:pPr>
    </w:lvl>
    <w:lvl w:ilvl="5" w:tplc="33745F9C" w:tentative="1">
      <w:start w:val="1"/>
      <w:numFmt w:val="lowerRoman"/>
      <w:lvlText w:val="%6."/>
      <w:lvlJc w:val="right"/>
      <w:pPr>
        <w:ind w:left="4320" w:hanging="180"/>
      </w:pPr>
    </w:lvl>
    <w:lvl w:ilvl="6" w:tplc="6DE692FC" w:tentative="1">
      <w:start w:val="1"/>
      <w:numFmt w:val="decimal"/>
      <w:lvlText w:val="%7."/>
      <w:lvlJc w:val="left"/>
      <w:pPr>
        <w:ind w:left="5040" w:hanging="360"/>
      </w:pPr>
    </w:lvl>
    <w:lvl w:ilvl="7" w:tplc="3D6E1B68" w:tentative="1">
      <w:start w:val="1"/>
      <w:numFmt w:val="lowerLetter"/>
      <w:lvlText w:val="%8."/>
      <w:lvlJc w:val="left"/>
      <w:pPr>
        <w:ind w:left="5760" w:hanging="360"/>
      </w:pPr>
    </w:lvl>
    <w:lvl w:ilvl="8" w:tplc="DA7A0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97E7B"/>
    <w:multiLevelType w:val="hybridMultilevel"/>
    <w:tmpl w:val="CE4CF848"/>
    <w:lvl w:ilvl="0" w:tplc="D4DECCE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DEAF3E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6D4E95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1589CE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9D4D75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F20719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67E395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504943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156669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06949FE"/>
    <w:multiLevelType w:val="hybridMultilevel"/>
    <w:tmpl w:val="BCE8BAD0"/>
    <w:lvl w:ilvl="0" w:tplc="43DA51BA">
      <w:start w:val="1"/>
      <w:numFmt w:val="decimal"/>
      <w:lvlText w:val="%1)"/>
      <w:lvlJc w:val="left"/>
      <w:pPr>
        <w:ind w:left="720" w:hanging="360"/>
      </w:pPr>
    </w:lvl>
    <w:lvl w:ilvl="1" w:tplc="A10A7140" w:tentative="1">
      <w:start w:val="1"/>
      <w:numFmt w:val="lowerLetter"/>
      <w:lvlText w:val="%2."/>
      <w:lvlJc w:val="left"/>
      <w:pPr>
        <w:ind w:left="1440" w:hanging="360"/>
      </w:pPr>
    </w:lvl>
    <w:lvl w:ilvl="2" w:tplc="1E749E2E" w:tentative="1">
      <w:start w:val="1"/>
      <w:numFmt w:val="lowerRoman"/>
      <w:lvlText w:val="%3."/>
      <w:lvlJc w:val="right"/>
      <w:pPr>
        <w:ind w:left="2160" w:hanging="180"/>
      </w:pPr>
    </w:lvl>
    <w:lvl w:ilvl="3" w:tplc="BBBEE492" w:tentative="1">
      <w:start w:val="1"/>
      <w:numFmt w:val="decimal"/>
      <w:lvlText w:val="%4."/>
      <w:lvlJc w:val="left"/>
      <w:pPr>
        <w:ind w:left="2880" w:hanging="360"/>
      </w:pPr>
    </w:lvl>
    <w:lvl w:ilvl="4" w:tplc="359635BE" w:tentative="1">
      <w:start w:val="1"/>
      <w:numFmt w:val="lowerLetter"/>
      <w:lvlText w:val="%5."/>
      <w:lvlJc w:val="left"/>
      <w:pPr>
        <w:ind w:left="3600" w:hanging="360"/>
      </w:pPr>
    </w:lvl>
    <w:lvl w:ilvl="5" w:tplc="38A6C4A6" w:tentative="1">
      <w:start w:val="1"/>
      <w:numFmt w:val="lowerRoman"/>
      <w:lvlText w:val="%6."/>
      <w:lvlJc w:val="right"/>
      <w:pPr>
        <w:ind w:left="4320" w:hanging="180"/>
      </w:pPr>
    </w:lvl>
    <w:lvl w:ilvl="6" w:tplc="8E2A4392" w:tentative="1">
      <w:start w:val="1"/>
      <w:numFmt w:val="decimal"/>
      <w:lvlText w:val="%7."/>
      <w:lvlJc w:val="left"/>
      <w:pPr>
        <w:ind w:left="5040" w:hanging="360"/>
      </w:pPr>
    </w:lvl>
    <w:lvl w:ilvl="7" w:tplc="8F949FFC" w:tentative="1">
      <w:start w:val="1"/>
      <w:numFmt w:val="lowerLetter"/>
      <w:lvlText w:val="%8."/>
      <w:lvlJc w:val="left"/>
      <w:pPr>
        <w:ind w:left="5760" w:hanging="360"/>
      </w:pPr>
    </w:lvl>
    <w:lvl w:ilvl="8" w:tplc="FC8C4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85646"/>
    <w:multiLevelType w:val="multilevel"/>
    <w:tmpl w:val="0B18D31C"/>
    <w:lvl w:ilvl="0">
      <w:start w:val="3"/>
      <w:numFmt w:val="decimal"/>
      <w:lvlText w:val="%1."/>
      <w:lvlJc w:val="left"/>
      <w:pPr>
        <w:ind w:left="6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96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32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8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4" w:hanging="2160"/>
      </w:pPr>
      <w:rPr>
        <w:rFonts w:eastAsia="Times New Roman" w:hint="default"/>
      </w:rPr>
    </w:lvl>
  </w:abstractNum>
  <w:num w:numId="1" w16cid:durableId="1783913297">
    <w:abstractNumId w:val="4"/>
  </w:num>
  <w:num w:numId="2" w16cid:durableId="1648120112">
    <w:abstractNumId w:val="6"/>
  </w:num>
  <w:num w:numId="3" w16cid:durableId="8918585">
    <w:abstractNumId w:val="7"/>
  </w:num>
  <w:num w:numId="4" w16cid:durableId="436023220">
    <w:abstractNumId w:val="5"/>
  </w:num>
  <w:num w:numId="5" w16cid:durableId="287007981">
    <w:abstractNumId w:val="3"/>
  </w:num>
  <w:num w:numId="6" w16cid:durableId="498232145">
    <w:abstractNumId w:val="1"/>
  </w:num>
  <w:num w:numId="7" w16cid:durableId="357705588">
    <w:abstractNumId w:val="0"/>
  </w:num>
  <w:num w:numId="8" w16cid:durableId="155007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2E"/>
    <w:rsid w:val="001C1BAC"/>
    <w:rsid w:val="002D3B78"/>
    <w:rsid w:val="0060262E"/>
    <w:rsid w:val="006D0F34"/>
    <w:rsid w:val="007F11E7"/>
    <w:rsid w:val="008E2CB4"/>
    <w:rsid w:val="00A10F96"/>
    <w:rsid w:val="00BD4FC2"/>
    <w:rsid w:val="00C043F6"/>
    <w:rsid w:val="00CA4854"/>
    <w:rsid w:val="00C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760BDC"/>
  <w15:docId w15:val="{C97C73EF-4443-47B7-BA79-9429EC9A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300DBB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0DB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300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3033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Leszczyński</dc:creator>
  <cp:lastModifiedBy>Karolina Szulgo</cp:lastModifiedBy>
  <cp:revision>3</cp:revision>
  <dcterms:created xsi:type="dcterms:W3CDTF">2026-01-14T10:17:00Z</dcterms:created>
  <dcterms:modified xsi:type="dcterms:W3CDTF">2026-01-14T10:21:00Z</dcterms:modified>
</cp:coreProperties>
</file>