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</w:rPr>
        <w:t>DGO-</w:t>
      </w:r>
      <w:r>
        <w:rPr>
          <w:rStyle w:val="CharStyle7"/>
        </w:rPr>
        <w:t>OP.053.5.2025.DK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7"/>
          <w:sz w:val="18"/>
          <w:szCs w:val="18"/>
        </w:rPr>
        <w:t>3956509.16467779.13404236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7"/>
        </w:rPr>
        <w:t>Warszawa, 20-11-2025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0" w:line="396" w:lineRule="auto"/>
        <w:ind w:left="0" w:right="0" w:firstLine="0"/>
        <w:jc w:val="both"/>
      </w:pPr>
      <w:r>
        <w:rPr>
          <w:rStyle w:val="CharStyle7"/>
          <w:b/>
          <w:bCs/>
        </w:rPr>
        <w:t xml:space="preserve">Dotyczy: </w:t>
      </w:r>
      <w:r>
        <w:rPr>
          <w:rStyle w:val="CharStyle7"/>
        </w:rPr>
        <w:t>Zawiadomienie o sposobie załatwienia petycji w sprawie zmiany ustawy z dnia 11 maja 2001 r. o obowiązkach przedsiębiorców w zakresie gospodarowania niektórymi odpadami oraz o opłacie produktowej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bookmarkStart w:id="0" w:name="bookmark0"/>
      <w:r>
        <w:rPr>
          <w:rStyle w:val="CharStyle11"/>
          <w:b/>
          <w:bCs/>
        </w:rPr>
        <w:t>Szanowni Państwo,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7"/>
        </w:rPr>
        <w:t>po przeanalizowaniu przesłanej przez Państwa petycji informuję, że Ministerstwo Klimatu i Środowiska zgadza się z postulowanym kierunkiem zmian ustawy z dnia 11 maja 2001 r. o obowiązkach przedsiębiorców w zakresie gospodarowania niektórymi odpadami oraz o opłacie produktowej. W związku z powyższym rozpoczęto prace nad wnioskiem o wpis do wykazu prac Rady Ministrów.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96" w:lineRule="auto"/>
        <w:ind w:left="0" w:right="0" w:firstLine="0"/>
        <w:jc w:val="both"/>
      </w:pPr>
      <w:r>
        <w:rPr>
          <w:rStyle w:val="CharStyle7"/>
        </w:rPr>
        <w:t>Wnioskowana potrzeba zwiększenia minimalnych poziomów odzysku i recyklingu opon, a także objęcia systemem opon pełnych została uwzględniona na etapie prekonsultacji projektu, które odbyły się w październiku 2025 r. Zaproponowane przez Ministerstwo zmienione poziomy odzysku i recyklingu dla opon pneumatycznych, wynoszące odpowiednio 95% i 50% spotkały się z ogólnym poparciem branży. Kwestia wprowadzenia dodatkowych postanowień w tej ustawie w zakresie hierarchii postępowania z odpadami w przypadku opon, tj. pierwszeństwa procesów R3-R5 przed procesem R1, nie może zostać uwzględniona w zaproponowanym miejscu i formie. Planowane jest jednak wzmocnienie tego aspektu w sposób spójny z postanowieniami ustawy z dnia 14 grudnia 2012 r. o odpadach i innymi przepisami zmienianej ustawy.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both"/>
      </w:pPr>
      <w:bookmarkStart w:id="2" w:name="bookmark2"/>
      <w:r>
        <w:rPr>
          <w:rStyle w:val="CharStyle11"/>
          <w:b/>
          <w:bCs/>
        </w:rPr>
        <w:t>Podstawa prawna: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60" w:line="396" w:lineRule="auto"/>
        <w:ind w:left="0" w:right="0" w:firstLine="0"/>
        <w:jc w:val="both"/>
      </w:pPr>
      <w:r>
        <w:rPr>
          <w:rStyle w:val="CharStyle7"/>
        </w:rPr>
        <w:t>Art. 12 i 13 ustawy z dnia 11 lipca 2014 r. o petycjach.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55" w:bottom="482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bookmarkStart w:id="4" w:name="bookmark4"/>
      <w:r>
        <w:rPr>
          <w:rStyle w:val="CharStyle11"/>
          <w:b/>
          <w:bCs/>
        </w:rPr>
        <w:t>Pouczenie:</w:t>
      </w:r>
      <w:bookmarkEnd w:id="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left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396" w:lineRule="auto"/>
        <w:ind w:left="0" w:right="0" w:firstLine="0"/>
        <w:jc w:val="left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Podsekretarz Stanu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Podsekretarz Stanu Anita Sowińska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left"/>
      </w:pPr>
      <w:r>
        <w:rPr>
          <w:rStyle w:val="CharStyle7"/>
        </w:rPr>
        <w:t>/ – podpisany cyfrowo/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bookmarkStart w:id="6" w:name="bookmark6"/>
      <w:r>
        <w:rPr>
          <w:rStyle w:val="CharStyle11"/>
          <w:b/>
          <w:bCs/>
        </w:rPr>
        <w:t>Klauzula informacyjna</w:t>
      </w:r>
      <w:bookmarkEnd w:id="6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20"/>
        <w:ind w:left="0" w:right="0" w:firstLine="0"/>
        <w:jc w:val="center"/>
      </w:pPr>
      <w:r>
        <w:rPr>
          <w:rStyle w:val="CharStyle11"/>
          <w:b/>
          <w:bCs/>
        </w:rPr>
        <w:t>dotycząca przetwarzania danych osobowych osób wnoszących petycję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9" w:name="bookmark9"/>
      <w:r>
        <w:rPr>
          <w:rStyle w:val="CharStyle11"/>
          <w:b/>
          <w:bCs/>
        </w:rPr>
        <w:t>Tożsamość administratora</w:t>
      </w:r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Administratorem Pani/Pana danych osobowych jest Minister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Może się Pani/Pan z nami kontaktować w następujący sposób: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7"/>
        </w:rPr>
        <w:t xml:space="preserve"> </w:t>
      </w:r>
      <w:r>
        <w:rPr>
          <w:rStyle w:val="CharStyle7"/>
          <w:color w:val="0000FF"/>
          <w:u w:val="single"/>
        </w:rPr>
        <w:t>info@klimat.gov.pl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7"/>
        </w:rPr>
        <w:t>telefonicznie: 22 36 92 900.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11" w:name="bookmark11"/>
      <w:r>
        <w:rPr>
          <w:rStyle w:val="CharStyle11"/>
          <w:b/>
          <w:bCs/>
        </w:rPr>
        <w:t>Dane kontaktowe inspektora ochrony danych osobowych</w:t>
      </w:r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left"/>
      </w:pPr>
      <w:r>
        <w:rPr>
          <w:rStyle w:val="CharStyle7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6" w:val="left"/>
        </w:tabs>
        <w:bidi w:val="0"/>
        <w:spacing w:before="0" w:after="180" w:line="240" w:lineRule="auto"/>
        <w:ind w:left="0" w:right="0" w:firstLine="380"/>
        <w:jc w:val="left"/>
      </w:pPr>
      <w:r>
        <w:rPr>
          <w:rStyle w:val="CharStyle7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3" w:name="bookmark13"/>
      <w:r>
        <w:rPr>
          <w:rStyle w:val="CharStyle11"/>
          <w:b/>
          <w:bCs/>
        </w:rPr>
        <w:t>Cele przetwarzania danych osobowych i podstawa prawna</w:t>
      </w:r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5" w:name="bookmark15"/>
      <w:r>
        <w:rPr>
          <w:rStyle w:val="CharStyle11"/>
          <w:b/>
          <w:bCs/>
        </w:rPr>
        <w:t>Odbiorcy danych osobowych lub kategorie odbiorców danych osobowych</w:t>
      </w:r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Okres przechowywania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7" w:name="bookmark17"/>
      <w:r>
        <w:rPr>
          <w:rStyle w:val="CharStyle11"/>
          <w:b/>
          <w:bCs/>
        </w:rPr>
        <w:t>Przysługujące uprawnienia związane z przetwarzaniem danych osobowych</w:t>
      </w:r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Przysługują Pani/Panu następujące uprawnienia: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dostępu do danych osobowych i uzyskania ich kopii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sprostowania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usunięcia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180"/>
        <w:ind w:left="0" w:right="0" w:firstLine="380"/>
        <w:jc w:val="left"/>
      </w:pPr>
      <w:r>
        <w:rPr>
          <w:rStyle w:val="CharStyle7"/>
        </w:rPr>
        <w:t>prawo ograniczenia przetwarzania.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Aby skorzystać z powyższych praw należy skontaktować się z nami lub z naszym inspektorem ochrony danych (dane kontaktowe zawarte są powyżej).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5" w:val="left"/>
        </w:tabs>
        <w:bidi w:val="0"/>
        <w:spacing w:before="0"/>
        <w:ind w:left="740" w:right="0" w:hanging="340"/>
        <w:jc w:val="left"/>
      </w:pPr>
      <w:r>
        <w:rPr>
          <w:rStyle w:val="CharStyle7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Informacja o przekazywaniu danych osobowych do państw trzecich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Nie przekazujemy Pani/Pana danych osobowych do państw trzecich.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9" w:name="bookmark19"/>
      <w:r>
        <w:rPr>
          <w:rStyle w:val="CharStyle11"/>
          <w:b/>
          <w:bCs/>
        </w:rPr>
        <w:t>Informacja o profilowaniu</w:t>
      </w:r>
      <w:bookmarkEnd w:id="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nie podlegają zautomatyzowanemu przetwarzaniu, w tym profilowaniu.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1" w:name="bookmark21"/>
      <w:r>
        <w:rPr>
          <w:rStyle w:val="CharStyle11"/>
          <w:b/>
          <w:bCs/>
        </w:rPr>
        <w:t>Informacja o dowolności lub obowiązku podania danych</w:t>
      </w:r>
      <w:bookmarkEnd w:id="2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094" w:right="1961" w:bottom="1923" w:left="1947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35000000000002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10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